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3"/>
        <w:ind w:left="0" w:right="99" w:firstLine="0"/>
        <w:jc w:val="right"/>
        <w:rPr>
          <w:sz w:val="20"/>
        </w:rPr>
      </w:pPr>
      <w:r>
        <w:rPr/>
        <w:drawing>
          <wp:anchor distT="0" distB="0" distL="0" distR="0" allowOverlap="1" layoutInCell="1" locked="0" behindDoc="0" simplePos="0" relativeHeight="15728640">
            <wp:simplePos x="0" y="0"/>
            <wp:positionH relativeFrom="page">
              <wp:posOffset>5963284</wp:posOffset>
            </wp:positionH>
            <wp:positionV relativeFrom="paragraph">
              <wp:posOffset>190754</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险〔2021</w:t>
      </w:r>
      <w:r>
        <w:rPr>
          <w:w w:val="95"/>
          <w:sz w:val="20"/>
        </w:rPr>
        <w:t>〕</w:t>
      </w:r>
      <w:r>
        <w:rPr>
          <w:w w:val="95"/>
          <w:sz w:val="20"/>
        </w:rPr>
        <w:t>疾</w:t>
      </w:r>
      <w:r>
        <w:rPr>
          <w:w w:val="95"/>
          <w:sz w:val="20"/>
        </w:rPr>
        <w:t>病</w:t>
      </w:r>
      <w:r>
        <w:rPr>
          <w:w w:val="95"/>
          <w:sz w:val="20"/>
        </w:rPr>
        <w:t>保</w:t>
      </w:r>
      <w:r>
        <w:rPr>
          <w:w w:val="95"/>
          <w:sz w:val="20"/>
        </w:rPr>
        <w:t>险</w:t>
      </w:r>
      <w:r>
        <w:rPr>
          <w:spacing w:val="10"/>
          <w:sz w:val="20"/>
        </w:rPr>
        <w:t> </w:t>
      </w:r>
      <w:r>
        <w:rPr>
          <w:w w:val="95"/>
          <w:sz w:val="20"/>
        </w:rPr>
        <w:t>015</w:t>
      </w:r>
      <w:r>
        <w:rPr>
          <w:spacing w:val="10"/>
          <w:sz w:val="20"/>
        </w:rPr>
        <w:t> </w:t>
      </w:r>
      <w:r>
        <w:rPr>
          <w:spacing w:val="-10"/>
          <w:w w:val="95"/>
          <w:sz w:val="20"/>
        </w:rPr>
        <w:t>号</w:t>
      </w:r>
    </w:p>
    <w:p>
      <w:pPr>
        <w:pStyle w:val="BodyText"/>
        <w:spacing w:before="5"/>
      </w:pPr>
    </w:p>
    <w:p>
      <w:pPr>
        <w:spacing w:after="0"/>
        <w:sectPr>
          <w:type w:val="continuous"/>
          <w:pgSz w:w="11910" w:h="16840"/>
          <w:pgMar w:top="600" w:bottom="280" w:left="900" w:right="340"/>
        </w:sectPr>
      </w:pPr>
    </w:p>
    <w:p>
      <w:pPr>
        <w:spacing w:line="511" w:lineRule="exact" w:before="0"/>
        <w:ind w:left="2182" w:right="32" w:firstLine="0"/>
        <w:jc w:val="center"/>
        <w:rPr>
          <w:rFonts w:ascii="Microsoft JhengHei" w:eastAsia="Microsoft JhengHei"/>
          <w:b/>
          <w:sz w:val="30"/>
        </w:rPr>
      </w:pPr>
      <w:r>
        <w:rPr>
          <w:rFonts w:ascii="Microsoft JhengHei" w:eastAsia="Microsoft JhengHei"/>
          <w:b/>
          <w:spacing w:val="-1"/>
          <w:sz w:val="30"/>
        </w:rPr>
        <w:t>信泰如意护保益重大疾病保险条款</w:t>
      </w:r>
    </w:p>
    <w:p>
      <w:pPr>
        <w:spacing w:before="72"/>
        <w:ind w:left="2184" w:right="32" w:firstLine="0"/>
        <w:jc w:val="center"/>
        <w:rPr>
          <w:rFonts w:ascii="Microsoft JhengHei" w:eastAsia="Microsoft JhengHei"/>
          <w:b/>
          <w:sz w:val="30"/>
        </w:rPr>
      </w:pPr>
      <w:r>
        <w:rPr>
          <w:rFonts w:ascii="Microsoft JhengHei" w:eastAsia="Microsoft JhengHei"/>
          <w:b/>
          <w:spacing w:val="-3"/>
          <w:sz w:val="30"/>
        </w:rPr>
        <w:t>阅读指引</w:t>
      </w:r>
    </w:p>
    <w:p>
      <w:pPr>
        <w:pStyle w:val="BodyText"/>
        <w:spacing w:line="177" w:lineRule="auto" w:before="113"/>
        <w:ind w:left="2247"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pStyle w:val="Heading2"/>
        <w:tabs>
          <w:tab w:pos="1130" w:val="left" w:leader="none"/>
        </w:tabs>
        <w:spacing w:line="394" w:lineRule="exact"/>
        <w:ind w:left="12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spacing w:line="240" w:lineRule="auto" w:before="0"/>
        <w:rPr>
          <w:rFonts w:ascii="微软雅黑"/>
          <w:b/>
          <w:sz w:val="20"/>
        </w:rPr>
      </w:pPr>
      <w:r>
        <w:rPr/>
        <w:br w:type="column"/>
      </w:r>
      <w:r>
        <w:rPr>
          <w:rFonts w:ascii="微软雅黑"/>
          <w:b/>
          <w:sz w:val="20"/>
        </w:rPr>
      </w:r>
    </w:p>
    <w:p>
      <w:pPr>
        <w:pStyle w:val="BodyText"/>
        <w:spacing w:before="16"/>
        <w:rPr>
          <w:rFonts w:ascii="微软雅黑"/>
          <w:b/>
          <w:sz w:val="26"/>
        </w:rPr>
      </w:pPr>
    </w:p>
    <w:p>
      <w:pPr>
        <w:spacing w:before="0"/>
        <w:ind w:left="70" w:right="0" w:firstLine="0"/>
        <w:jc w:val="lef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900" w:right="340"/>
          <w:cols w:num="2" w:equalWidth="0">
            <w:col w:w="7953" w:space="40"/>
            <w:col w:w="2677"/>
          </w:cols>
        </w:sectPr>
      </w:pPr>
    </w:p>
    <w:sdt>
      <w:sdtPr>
        <w:docPartObj>
          <w:docPartGallery w:val="Table of Contents"/>
          <w:docPartUnique/>
        </w:docPartObj>
      </w:sdtPr>
      <w:sdtEndPr/>
      <w:sdtContent>
        <w:p>
          <w:pPr>
            <w:pStyle w:val="TOC1"/>
            <w:numPr>
              <w:ilvl w:val="0"/>
              <w:numId w:val="1"/>
            </w:numPr>
            <w:tabs>
              <w:tab w:pos="1512" w:val="left" w:leader="none"/>
              <w:tab w:pos="1513" w:val="left" w:leader="none"/>
              <w:tab w:pos="9837" w:val="right" w:leader="dot"/>
            </w:tabs>
            <w:spacing w:line="289" w:lineRule="exact" w:before="0" w:after="0"/>
            <w:ind w:left="1512" w:right="0" w:hanging="421"/>
            <w:jc w:val="left"/>
            <w:rPr>
              <w:rFonts w:ascii="宋体" w:hAnsi="宋体" w:eastAsia="宋体" w:hint="eastAsia"/>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hint="eastAsia"/>
              <w:b w:val="0"/>
              <w:spacing w:val="-5"/>
            </w:rPr>
            <w:t>1.5</w:t>
          </w:r>
        </w:p>
        <w:p>
          <w:pPr>
            <w:pStyle w:val="TOC2"/>
            <w:numPr>
              <w:ilvl w:val="0"/>
              <w:numId w:val="1"/>
            </w:numPr>
            <w:tabs>
              <w:tab w:pos="1512" w:val="left" w:leader="none"/>
              <w:tab w:pos="1513" w:val="left" w:leader="none"/>
              <w:tab w:pos="9815" w:val="right" w:leader="dot"/>
            </w:tabs>
            <w:spacing w:line="261" w:lineRule="exact" w:before="0" w:after="0"/>
            <w:ind w:left="1512" w:right="0" w:hanging="421"/>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2.7</w:t>
          </w:r>
        </w:p>
        <w:p>
          <w:pPr>
            <w:pStyle w:val="TOC2"/>
            <w:numPr>
              <w:ilvl w:val="0"/>
              <w:numId w:val="1"/>
            </w:numPr>
            <w:tabs>
              <w:tab w:pos="1512" w:val="left" w:leader="none"/>
              <w:tab w:pos="1513" w:val="left" w:leader="none"/>
              <w:tab w:pos="9604" w:val="right" w:leader="dot"/>
            </w:tabs>
            <w:spacing w:line="240" w:lineRule="auto" w:before="31" w:after="0"/>
            <w:ind w:left="1512" w:right="0" w:hanging="421"/>
            <w:jc w:val="left"/>
          </w:pPr>
          <w:r>
            <w:rPr>
              <w:spacing w:val="-2"/>
            </w:rPr>
            <w:t>您</w:t>
          </w:r>
          <w:r>
            <w:rPr>
              <w:spacing w:val="-2"/>
            </w:rPr>
            <w:t>有</w:t>
          </w:r>
          <w:r>
            <w:rPr>
              <w:spacing w:val="-2"/>
            </w:rPr>
            <w:t>按本合同约定申请保</w:t>
          </w:r>
          <w:r>
            <w:rPr>
              <w:spacing w:val="-2"/>
            </w:rPr>
            <w:t>单</w:t>
          </w:r>
          <w:r>
            <w:rPr>
              <w:spacing w:val="-2"/>
            </w:rPr>
            <w:t>质</w:t>
          </w:r>
          <w:r>
            <w:rPr>
              <w:spacing w:val="-2"/>
            </w:rPr>
            <w:t>押贷款和保险费的自</w:t>
          </w:r>
          <w:r>
            <w:rPr>
              <w:spacing w:val="-2"/>
            </w:rPr>
            <w:t>动</w:t>
          </w:r>
          <w:r>
            <w:rPr>
              <w:spacing w:val="-2"/>
            </w:rPr>
            <w:t>垫</w:t>
          </w:r>
          <w:r>
            <w:rPr>
              <w:spacing w:val="-2"/>
            </w:rPr>
            <w:t>交的权</w:t>
          </w:r>
          <w:r>
            <w:rPr>
              <w:spacing w:val="-10"/>
            </w:rPr>
            <w:t>利</w:t>
          </w:r>
          <w:r>
            <w:rPr>
              <w:rFonts w:ascii="Times New Roman" w:hAnsi="Times New Roman" w:eastAsia="Times New Roman"/>
            </w:rPr>
            <w:tab/>
          </w:r>
          <w:r>
            <w:rPr>
              <w:spacing w:val="-10"/>
            </w:rPr>
            <w:t>5</w:t>
          </w:r>
        </w:p>
        <w:p>
          <w:pPr>
            <w:pStyle w:val="TOC2"/>
            <w:numPr>
              <w:ilvl w:val="0"/>
              <w:numId w:val="1"/>
            </w:numPr>
            <w:tabs>
              <w:tab w:pos="1512" w:val="left" w:leader="none"/>
              <w:tab w:pos="1513" w:val="left" w:leader="none"/>
              <w:tab w:pos="9604" w:val="right" w:leader="dot"/>
            </w:tabs>
            <w:spacing w:line="251" w:lineRule="exact" w:before="31" w:after="0"/>
            <w:ind w:left="1512" w:right="0" w:hanging="421"/>
            <w:jc w:val="left"/>
          </w:pPr>
          <w:r>
            <w:rPr/>
            <w:pict>
              <v:shapetype id="_x0000_t202" o:spt="202" coordsize="21600,21600" path="m,l,21600r21600,l21600,xe">
                <v:stroke joinstyle="miter"/>
                <v:path gradientshapeok="t" o:connecttype="rect"/>
              </v:shapetype>
              <v:shape style="position:absolute;margin-left:51pt;margin-top:11.091495pt;width:24.55pt;height:27.5pt;mso-position-horizontal-relative:page;mso-position-vertical-relative:paragraph;z-index:15729664" type="#_x0000_t202" id="docshape1"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4"/>
          </w:pPr>
          <w:r>
            <w:rPr>
              <w:spacing w:val="-3"/>
            </w:rPr>
            <w:t>您需要特别注意的事项</w:t>
          </w:r>
        </w:p>
        <w:p>
          <w:pPr>
            <w:pStyle w:val="TOC1"/>
            <w:numPr>
              <w:ilvl w:val="0"/>
              <w:numId w:val="1"/>
            </w:numPr>
            <w:tabs>
              <w:tab w:pos="1512" w:val="left" w:leader="none"/>
              <w:tab w:pos="1513" w:val="left" w:leader="none"/>
            </w:tabs>
            <w:spacing w:line="298" w:lineRule="exact" w:before="0" w:after="0"/>
            <w:ind w:left="1512" w:right="0" w:hanging="421"/>
            <w:jc w:val="left"/>
          </w:pPr>
          <w:r>
            <w:rPr>
              <w:spacing w:val="-3"/>
            </w:rPr>
            <w:t>发生本合同约定的责任免除情形之一导致被保险人发生疾病、达到疾病状态或进行</w:t>
          </w:r>
        </w:p>
        <w:p>
          <w:pPr>
            <w:pStyle w:val="TOC5"/>
            <w:tabs>
              <w:tab w:pos="9834" w:val="right" w:leader="dot"/>
            </w:tabs>
            <w:rPr>
              <w:rFonts w:ascii="宋体" w:eastAsia="宋体" w:hint="eastAsia"/>
              <w:b w:val="0"/>
            </w:rPr>
          </w:pPr>
          <w:r>
            <w:rPr>
              <w:spacing w:val="-2"/>
            </w:rPr>
            <w:t>手</w:t>
          </w:r>
          <w:r>
            <w:rPr>
              <w:spacing w:val="-2"/>
            </w:rPr>
            <w:t>术</w:t>
          </w:r>
          <w:r>
            <w:rPr>
              <w:spacing w:val="-2"/>
            </w:rPr>
            <w:t>，</w:t>
          </w:r>
          <w:r>
            <w:rPr>
              <w:spacing w:val="-2"/>
            </w:rPr>
            <w:t>或</w:t>
          </w:r>
          <w:r>
            <w:rPr>
              <w:spacing w:val="-2"/>
            </w:rPr>
            <w:t>导</w:t>
          </w:r>
          <w:r>
            <w:rPr>
              <w:spacing w:val="-2"/>
            </w:rPr>
            <w:t>致</w:t>
          </w:r>
          <w:r>
            <w:rPr>
              <w:spacing w:val="-2"/>
            </w:rPr>
            <w:t>被</w:t>
          </w:r>
          <w:r>
            <w:rPr>
              <w:spacing w:val="-2"/>
            </w:rPr>
            <w:t>保</w:t>
          </w:r>
          <w:r>
            <w:rPr>
              <w:spacing w:val="-2"/>
            </w:rPr>
            <w:t>险人身</w:t>
          </w:r>
          <w:r>
            <w:rPr>
              <w:spacing w:val="-2"/>
            </w:rPr>
            <w:t>故</w:t>
          </w:r>
          <w:r>
            <w:rPr>
              <w:spacing w:val="-2"/>
            </w:rPr>
            <w:t>或</w:t>
          </w:r>
          <w:r>
            <w:rPr>
              <w:spacing w:val="-2"/>
            </w:rPr>
            <w:t>全</w:t>
          </w:r>
          <w:r>
            <w:rPr>
              <w:spacing w:val="-2"/>
            </w:rPr>
            <w:t>残</w:t>
          </w:r>
          <w:r>
            <w:rPr>
              <w:spacing w:val="-2"/>
            </w:rPr>
            <w:t>的</w:t>
          </w:r>
          <w:r>
            <w:rPr>
              <w:spacing w:val="-2"/>
            </w:rPr>
            <w:t>，</w:t>
          </w:r>
          <w:r>
            <w:rPr>
              <w:spacing w:val="-2"/>
            </w:rPr>
            <w:t>我</w:t>
          </w:r>
          <w:r>
            <w:rPr>
              <w:spacing w:val="-2"/>
            </w:rPr>
            <w:t>们</w:t>
          </w:r>
          <w:r>
            <w:rPr>
              <w:spacing w:val="-2"/>
            </w:rPr>
            <w:t>不承担</w:t>
          </w:r>
          <w:r>
            <w:rPr>
              <w:spacing w:val="-2"/>
            </w:rPr>
            <w:t>给</w:t>
          </w:r>
          <w:r>
            <w:rPr>
              <w:spacing w:val="-2"/>
            </w:rPr>
            <w:t>付</w:t>
          </w:r>
          <w:r>
            <w:rPr>
              <w:spacing w:val="-2"/>
            </w:rPr>
            <w:t>保</w:t>
          </w:r>
          <w:r>
            <w:rPr>
              <w:spacing w:val="-2"/>
            </w:rPr>
            <w:t>险</w:t>
          </w:r>
          <w:r>
            <w:rPr>
              <w:spacing w:val="-2"/>
            </w:rPr>
            <w:t>金</w:t>
          </w:r>
          <w:r>
            <w:rPr>
              <w:spacing w:val="-2"/>
            </w:rPr>
            <w:t>的</w:t>
          </w:r>
          <w:r>
            <w:rPr>
              <w:spacing w:val="-2"/>
            </w:rPr>
            <w:t>责</w:t>
          </w:r>
          <w:r>
            <w:rPr>
              <w:spacing w:val="-10"/>
            </w:rPr>
            <w:t>任</w:t>
          </w:r>
          <w:r>
            <w:rPr>
              <w:rFonts w:ascii="Times New Roman" w:eastAsia="Times New Roman"/>
              <w:b w:val="0"/>
            </w:rPr>
            <w:tab/>
          </w:r>
          <w:r>
            <w:rPr>
              <w:rFonts w:ascii="宋体" w:eastAsia="宋体" w:hint="eastAsia"/>
              <w:b w:val="0"/>
              <w:spacing w:val="-5"/>
            </w:rPr>
            <w:t>2.8</w:t>
          </w:r>
        </w:p>
        <w:p>
          <w:pPr>
            <w:pStyle w:val="TOC2"/>
            <w:numPr>
              <w:ilvl w:val="0"/>
              <w:numId w:val="1"/>
            </w:numPr>
            <w:tabs>
              <w:tab w:pos="1512" w:val="left" w:leader="none"/>
              <w:tab w:pos="1513" w:val="left" w:leader="none"/>
              <w:tab w:pos="9604" w:val="right" w:leader="dot"/>
            </w:tabs>
            <w:spacing w:line="242" w:lineRule="exact" w:before="0" w:after="0"/>
            <w:ind w:left="1512" w:right="0" w:hanging="421"/>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1"/>
            <w:numPr>
              <w:ilvl w:val="0"/>
              <w:numId w:val="1"/>
            </w:numPr>
            <w:tabs>
              <w:tab w:pos="1512" w:val="left" w:leader="none"/>
              <w:tab w:pos="1513" w:val="left" w:leader="none"/>
              <w:tab w:pos="9829" w:val="right" w:leader="dot"/>
            </w:tabs>
            <w:spacing w:line="324" w:lineRule="exact" w:before="0" w:after="0"/>
            <w:ind w:left="1512" w:right="0" w:hanging="421"/>
            <w:jc w:val="left"/>
            <w:rPr>
              <w:rFonts w:ascii="宋体" w:hAnsi="宋体" w:eastAsia="宋体" w:hint="eastAsia"/>
              <w:b w:val="0"/>
            </w:rPr>
          </w:pPr>
          <w:hyperlink w:history="true" w:anchor="_TOC_250000">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hint="eastAsia"/>
                <w:b w:val="0"/>
                <w:spacing w:val="-5"/>
              </w:rPr>
              <w:t>4.1</w:t>
            </w:r>
          </w:hyperlink>
        </w:p>
        <w:p>
          <w:pPr>
            <w:pStyle w:val="TOC3"/>
            <w:numPr>
              <w:ilvl w:val="0"/>
              <w:numId w:val="1"/>
            </w:numPr>
            <w:tabs>
              <w:tab w:pos="1512" w:val="left" w:leader="none"/>
              <w:tab w:pos="1513" w:val="left" w:leader="none"/>
              <w:tab w:pos="9822" w:val="right" w:leader="dot"/>
            </w:tabs>
            <w:spacing w:line="335" w:lineRule="exact" w:before="0" w:after="0"/>
            <w:ind w:left="1512" w:right="0" w:hanging="421"/>
            <w:jc w:val="left"/>
            <w:rPr>
              <w:rFonts w:ascii="宋体" w:hAnsi="宋体" w:eastAsia="宋体" w:hint="eastAsia"/>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hint="eastAsia"/>
              <w:b w:val="0"/>
              <w:i w:val="0"/>
              <w:spacing w:val="-5"/>
              <w:sz w:val="21"/>
            </w:rPr>
            <w:t>6.2</w:t>
          </w:r>
        </w:p>
        <w:p>
          <w:pPr>
            <w:pStyle w:val="TOC2"/>
            <w:numPr>
              <w:ilvl w:val="0"/>
              <w:numId w:val="1"/>
            </w:numPr>
            <w:tabs>
              <w:tab w:pos="1512" w:val="left" w:leader="none"/>
              <w:tab w:pos="1513" w:val="left" w:leader="none"/>
              <w:tab w:pos="9815" w:val="right" w:leader="dot"/>
            </w:tabs>
            <w:spacing w:line="241" w:lineRule="exact" w:before="0" w:after="0"/>
            <w:ind w:left="1512" w:right="0" w:hanging="421"/>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1"/>
            <w:numPr>
              <w:ilvl w:val="0"/>
              <w:numId w:val="1"/>
            </w:numPr>
            <w:tabs>
              <w:tab w:pos="1512" w:val="left" w:leader="none"/>
              <w:tab w:pos="1513" w:val="left" w:leader="none"/>
              <w:tab w:pos="9616" w:val="right" w:leader="dot"/>
            </w:tabs>
            <w:spacing w:line="324" w:lineRule="exact" w:before="0" w:after="0"/>
            <w:ind w:left="1512" w:right="0" w:hanging="421"/>
            <w:jc w:val="left"/>
            <w:rPr>
              <w:rFonts w:ascii="宋体" w:hAnsi="宋体" w:eastAsia="宋体" w:hint="eastAsia"/>
              <w:b w:val="0"/>
            </w:rPr>
          </w:pPr>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hint="eastAsia"/>
              <w:b w:val="0"/>
              <w:spacing w:val="-10"/>
            </w:rPr>
            <w:t>8</w:t>
          </w:r>
        </w:p>
        <w:p>
          <w:pPr>
            <w:pStyle w:val="TOC3"/>
            <w:numPr>
              <w:ilvl w:val="0"/>
              <w:numId w:val="1"/>
            </w:numPr>
            <w:tabs>
              <w:tab w:pos="1512" w:val="left" w:leader="none"/>
              <w:tab w:pos="1513" w:val="left" w:leader="none"/>
              <w:tab w:pos="9714" w:val="right" w:leader="dot"/>
            </w:tabs>
            <w:spacing w:line="335" w:lineRule="exact" w:before="0" w:after="0"/>
            <w:ind w:left="1512" w:right="0" w:hanging="421"/>
            <w:jc w:val="left"/>
            <w:rPr>
              <w:rFonts w:ascii="宋体" w:hAnsi="宋体" w:eastAsia="宋体" w:hint="eastAsia"/>
              <w:b w:val="0"/>
              <w:i w:val="0"/>
              <w:sz w:val="21"/>
            </w:rPr>
          </w:pPr>
          <w:r>
            <w:rPr>
              <w:i w:val="0"/>
              <w:sz w:val="21"/>
            </w:rPr>
            <w:t>本合同疾病定</w:t>
          </w:r>
          <w:r>
            <w:rPr>
              <w:i w:val="0"/>
              <w:spacing w:val="-10"/>
              <w:sz w:val="21"/>
            </w:rPr>
            <w:t>义</w:t>
          </w:r>
          <w:r>
            <w:rPr>
              <w:rFonts w:ascii="Times New Roman" w:hAnsi="Times New Roman" w:eastAsia="Times New Roman"/>
              <w:b w:val="0"/>
              <w:i w:val="0"/>
              <w:sz w:val="21"/>
            </w:rPr>
            <w:tab/>
          </w:r>
          <w:r>
            <w:rPr>
              <w:rFonts w:ascii="宋体" w:hAnsi="宋体" w:eastAsia="宋体" w:hint="eastAsia"/>
              <w:b w:val="0"/>
              <w:i w:val="0"/>
              <w:spacing w:val="-5"/>
              <w:sz w:val="21"/>
            </w:rPr>
            <w:t>10</w:t>
          </w:r>
        </w:p>
        <w:p>
          <w:pPr>
            <w:pStyle w:val="TOC2"/>
            <w:numPr>
              <w:ilvl w:val="0"/>
              <w:numId w:val="1"/>
            </w:numPr>
            <w:tabs>
              <w:tab w:pos="1512" w:val="left" w:leader="none"/>
              <w:tab w:pos="1513" w:val="left" w:leader="none"/>
              <w:tab w:pos="9709" w:val="right" w:leader="dot"/>
            </w:tabs>
            <w:spacing w:line="222" w:lineRule="exact" w:before="0" w:after="0"/>
            <w:ind w:left="1512" w:right="0" w:hanging="421"/>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11</w:t>
          </w:r>
        </w:p>
      </w:sdtContent>
    </w:sdt>
    <w:p>
      <w:pPr>
        <w:pStyle w:val="Heading2"/>
        <w:tabs>
          <w:tab w:pos="1130" w:val="left" w:leader="none"/>
        </w:tabs>
        <w:spacing w:line="385" w:lineRule="exact"/>
        <w:ind w:left="12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条款是保险合同的重要内容，为充分保障您的权益，请您仔细阅读本条款。</w:t>
      </w:r>
    </w:p>
    <w:p>
      <w:pPr>
        <w:tabs>
          <w:tab w:pos="1130" w:val="left" w:leader="none"/>
        </w:tabs>
        <w:spacing w:line="424" w:lineRule="exact" w:before="0"/>
        <w:ind w:left="120" w:right="0" w:firstLine="0"/>
        <w:jc w:val="left"/>
        <w:rPr>
          <w:rFonts w:ascii="微软雅黑" w:hAnsi="微软雅黑" w:eastAsia="微软雅黑"/>
          <w:b/>
          <w:sz w:val="21"/>
        </w:rPr>
      </w:pPr>
      <w:r>
        <w:rPr/>
        <w:drawing>
          <wp:anchor distT="0" distB="0" distL="0" distR="0" allowOverlap="1" layoutInCell="1" locked="0" behindDoc="1" simplePos="0" relativeHeight="485568000">
            <wp:simplePos x="0" y="0"/>
            <wp:positionH relativeFrom="page">
              <wp:posOffset>696277</wp:posOffset>
            </wp:positionH>
            <wp:positionV relativeFrom="paragraph">
              <wp:posOffset>203520</wp:posOffset>
            </wp:positionV>
            <wp:extent cx="6377305" cy="48768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77305" cy="487680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条款目录</w:t>
      </w:r>
    </w:p>
    <w:p>
      <w:pPr>
        <w:spacing w:after="0" w:line="424" w:lineRule="exact"/>
        <w:jc w:val="left"/>
        <w:rPr>
          <w:rFonts w:ascii="微软雅黑" w:hAnsi="微软雅黑" w:eastAsia="微软雅黑"/>
          <w:sz w:val="21"/>
        </w:rPr>
        <w:sectPr>
          <w:type w:val="continuous"/>
          <w:pgSz w:w="11910" w:h="16840"/>
          <w:pgMar w:top="600" w:bottom="280" w:left="900" w:right="340"/>
        </w:sectPr>
      </w:pPr>
    </w:p>
    <w:p>
      <w:pPr>
        <w:pStyle w:val="Heading2"/>
        <w:spacing w:line="324" w:lineRule="exact"/>
        <w:ind w:left="343"/>
      </w:pPr>
      <w:r>
        <w:rPr>
          <w:w w:val="95"/>
        </w:rPr>
        <w:t>1．</w:t>
      </w:r>
      <w:r>
        <w:rPr>
          <w:w w:val="95"/>
        </w:rPr>
        <w:t>您</w:t>
      </w:r>
      <w:r>
        <w:rPr>
          <w:w w:val="95"/>
        </w:rPr>
        <w:t>与</w:t>
      </w:r>
      <w:r>
        <w:rPr>
          <w:w w:val="95"/>
        </w:rPr>
        <w:t>我</w:t>
      </w:r>
      <w:r>
        <w:rPr>
          <w:w w:val="95"/>
        </w:rPr>
        <w:t>们</w:t>
      </w:r>
      <w:r>
        <w:rPr>
          <w:w w:val="95"/>
        </w:rPr>
        <w:t>的</w:t>
      </w:r>
      <w:r>
        <w:rPr>
          <w:w w:val="95"/>
        </w:rPr>
        <w:t>合</w:t>
      </w:r>
      <w:r>
        <w:rPr>
          <w:spacing w:val="-10"/>
          <w:w w:val="95"/>
        </w:rPr>
        <w:t>同</w:t>
      </w:r>
    </w:p>
    <w:p>
      <w:pPr>
        <w:pStyle w:val="ListParagraph"/>
        <w:numPr>
          <w:ilvl w:val="0"/>
          <w:numId w:val="2"/>
        </w:numPr>
        <w:tabs>
          <w:tab w:pos="662" w:val="left" w:leader="none"/>
        </w:tabs>
        <w:spacing w:line="324" w:lineRule="exact" w:before="0" w:after="0"/>
        <w:ind w:left="661" w:right="0" w:hanging="319"/>
        <w:jc w:val="left"/>
        <w:rPr>
          <w:rFonts w:ascii="微软雅黑" w:eastAsia="微软雅黑"/>
          <w:b/>
          <w:sz w:val="21"/>
        </w:rPr>
      </w:pPr>
      <w:r>
        <w:rPr>
          <w:rFonts w:ascii="微软雅黑" w:eastAsia="微软雅黑"/>
          <w:b/>
          <w:sz w:val="21"/>
        </w:rPr>
        <w:br w:type="column"/>
      </w:r>
      <w:r>
        <w:rPr>
          <w:rFonts w:ascii="微软雅黑" w:eastAsia="微软雅黑"/>
          <w:b/>
          <w:spacing w:val="-2"/>
          <w:sz w:val="21"/>
        </w:rPr>
        <w:t>如何申请领取保险金</w:t>
      </w:r>
    </w:p>
    <w:p>
      <w:pPr>
        <w:pStyle w:val="BodyText"/>
        <w:spacing w:line="249" w:lineRule="exact"/>
        <w:ind w:left="343"/>
      </w:pPr>
      <w:r>
        <w:rPr/>
        <w:br w:type="column"/>
      </w:r>
      <w:r>
        <w:rPr/>
        <w:t>11.6</w:t>
      </w:r>
      <w:r>
        <w:rPr>
          <w:spacing w:val="-6"/>
        </w:rPr>
        <w:t> 初次患本合同所定义的</w:t>
      </w:r>
    </w:p>
    <w:p>
      <w:pPr>
        <w:spacing w:after="0" w:line="249" w:lineRule="exact"/>
        <w:sectPr>
          <w:type w:val="continuous"/>
          <w:pgSz w:w="11910" w:h="16840"/>
          <w:pgMar w:top="600" w:bottom="280" w:left="900" w:right="340"/>
          <w:cols w:num="3" w:equalWidth="0">
            <w:col w:w="2179" w:space="896"/>
            <w:col w:w="2602" w:space="598"/>
            <w:col w:w="4395"/>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pPr>
    </w:p>
    <w:p>
      <w:pPr>
        <w:pStyle w:val="BodyText"/>
        <w:ind w:left="554"/>
      </w:pPr>
      <w:r>
        <w:rPr/>
        <w:pict>
          <v:shape style="position:absolute;margin-left:59.683998pt;margin-top:-337.140991pt;width:492.55pt;height:338.65pt;mso-position-horizontal-relative:page;mso-position-vertical-relative:paragraph;z-index:15730176"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2429"/>
                    <w:gridCol w:w="698"/>
                    <w:gridCol w:w="2459"/>
                    <w:gridCol w:w="3633"/>
                  </w:tblGrid>
                  <w:tr>
                    <w:trPr>
                      <w:trHeight w:val="242" w:hRule="atLeast"/>
                    </w:trPr>
                    <w:tc>
                      <w:tcPr>
                        <w:tcW w:w="631" w:type="dxa"/>
                      </w:tcPr>
                      <w:p>
                        <w:pPr>
                          <w:pStyle w:val="TableParagraph"/>
                          <w:spacing w:line="222" w:lineRule="exact"/>
                          <w:ind w:left="0" w:right="52"/>
                          <w:jc w:val="right"/>
                          <w:rPr>
                            <w:sz w:val="21"/>
                          </w:rPr>
                        </w:pPr>
                        <w:r>
                          <w:rPr>
                            <w:spacing w:val="-5"/>
                            <w:sz w:val="21"/>
                          </w:rPr>
                          <w:t>1.1</w:t>
                        </w:r>
                      </w:p>
                    </w:tc>
                    <w:tc>
                      <w:tcPr>
                        <w:tcW w:w="2429" w:type="dxa"/>
                      </w:tcPr>
                      <w:p>
                        <w:pPr>
                          <w:pStyle w:val="TableParagraph"/>
                          <w:spacing w:line="222" w:lineRule="exact"/>
                          <w:ind w:left="52"/>
                          <w:rPr>
                            <w:sz w:val="21"/>
                          </w:rPr>
                        </w:pPr>
                        <w:r>
                          <w:rPr>
                            <w:spacing w:val="-4"/>
                            <w:sz w:val="21"/>
                          </w:rPr>
                          <w:t>合同的构成</w:t>
                        </w:r>
                      </w:p>
                    </w:tc>
                    <w:tc>
                      <w:tcPr>
                        <w:tcW w:w="698" w:type="dxa"/>
                      </w:tcPr>
                      <w:p>
                        <w:pPr>
                          <w:pStyle w:val="TableParagraph"/>
                          <w:spacing w:line="222" w:lineRule="exact"/>
                          <w:ind w:left="276"/>
                          <w:rPr>
                            <w:sz w:val="21"/>
                          </w:rPr>
                        </w:pPr>
                        <w:r>
                          <w:rPr>
                            <w:spacing w:val="-5"/>
                            <w:sz w:val="21"/>
                          </w:rPr>
                          <w:t>7.1</w:t>
                        </w:r>
                      </w:p>
                    </w:tc>
                    <w:tc>
                      <w:tcPr>
                        <w:tcW w:w="2459" w:type="dxa"/>
                      </w:tcPr>
                      <w:p>
                        <w:pPr>
                          <w:pStyle w:val="TableParagraph"/>
                          <w:spacing w:line="222" w:lineRule="exact"/>
                          <w:ind w:left="0"/>
                          <w:rPr>
                            <w:sz w:val="21"/>
                          </w:rPr>
                        </w:pPr>
                        <w:r>
                          <w:rPr>
                            <w:spacing w:val="-5"/>
                            <w:sz w:val="21"/>
                          </w:rPr>
                          <w:t>受益人</w:t>
                        </w:r>
                      </w:p>
                    </w:tc>
                    <w:tc>
                      <w:tcPr>
                        <w:tcW w:w="3633" w:type="dxa"/>
                      </w:tcPr>
                      <w:p>
                        <w:pPr>
                          <w:pStyle w:val="TableParagraph"/>
                          <w:spacing w:line="222" w:lineRule="exact"/>
                          <w:ind w:left="630"/>
                          <w:rPr>
                            <w:sz w:val="21"/>
                          </w:rPr>
                        </w:pPr>
                        <w:r>
                          <w:rPr>
                            <w:spacing w:val="-4"/>
                            <w:sz w:val="21"/>
                          </w:rPr>
                          <w:t>重大疾病</w:t>
                        </w:r>
                      </w:p>
                    </w:tc>
                  </w:tr>
                  <w:tr>
                    <w:trPr>
                      <w:trHeight w:val="249" w:hRule="atLeast"/>
                    </w:trPr>
                    <w:tc>
                      <w:tcPr>
                        <w:tcW w:w="631" w:type="dxa"/>
                      </w:tcPr>
                      <w:p>
                        <w:pPr>
                          <w:pStyle w:val="TableParagraph"/>
                          <w:spacing w:line="227" w:lineRule="exact" w:before="2"/>
                          <w:ind w:left="0" w:right="52"/>
                          <w:jc w:val="right"/>
                          <w:rPr>
                            <w:sz w:val="21"/>
                          </w:rPr>
                        </w:pPr>
                        <w:r>
                          <w:rPr>
                            <w:spacing w:val="-5"/>
                            <w:sz w:val="21"/>
                          </w:rPr>
                          <w:t>1.2</w:t>
                        </w:r>
                      </w:p>
                    </w:tc>
                    <w:tc>
                      <w:tcPr>
                        <w:tcW w:w="2429" w:type="dxa"/>
                      </w:tcPr>
                      <w:p>
                        <w:pPr>
                          <w:pStyle w:val="TableParagraph"/>
                          <w:spacing w:line="227" w:lineRule="exact" w:before="2"/>
                          <w:ind w:left="52"/>
                          <w:rPr>
                            <w:sz w:val="21"/>
                          </w:rPr>
                        </w:pPr>
                        <w:r>
                          <w:rPr>
                            <w:spacing w:val="-4"/>
                            <w:sz w:val="21"/>
                          </w:rPr>
                          <w:t>合同成立与生效</w:t>
                        </w:r>
                      </w:p>
                    </w:tc>
                    <w:tc>
                      <w:tcPr>
                        <w:tcW w:w="698" w:type="dxa"/>
                      </w:tcPr>
                      <w:p>
                        <w:pPr>
                          <w:pStyle w:val="TableParagraph"/>
                          <w:spacing w:line="227" w:lineRule="exact" w:before="2"/>
                          <w:ind w:left="276"/>
                          <w:rPr>
                            <w:sz w:val="21"/>
                          </w:rPr>
                        </w:pPr>
                        <w:r>
                          <w:rPr>
                            <w:spacing w:val="-5"/>
                            <w:sz w:val="21"/>
                          </w:rPr>
                          <w:t>7.2</w:t>
                        </w:r>
                      </w:p>
                    </w:tc>
                    <w:tc>
                      <w:tcPr>
                        <w:tcW w:w="2459" w:type="dxa"/>
                      </w:tcPr>
                      <w:p>
                        <w:pPr>
                          <w:pStyle w:val="TableParagraph"/>
                          <w:spacing w:line="227" w:lineRule="exact" w:before="2"/>
                          <w:ind w:left="0"/>
                          <w:rPr>
                            <w:sz w:val="21"/>
                          </w:rPr>
                        </w:pPr>
                        <w:r>
                          <w:rPr>
                            <w:spacing w:val="-4"/>
                            <w:sz w:val="21"/>
                          </w:rPr>
                          <w:t>保险事故通知</w:t>
                        </w:r>
                      </w:p>
                    </w:tc>
                    <w:tc>
                      <w:tcPr>
                        <w:tcW w:w="3633" w:type="dxa"/>
                      </w:tcPr>
                      <w:p>
                        <w:pPr>
                          <w:pStyle w:val="TableParagraph"/>
                          <w:spacing w:line="230" w:lineRule="exact"/>
                          <w:rPr>
                            <w:sz w:val="21"/>
                          </w:rPr>
                        </w:pPr>
                        <w:r>
                          <w:rPr>
                            <w:sz w:val="21"/>
                          </w:rPr>
                          <w:t>11.7</w:t>
                        </w:r>
                        <w:r>
                          <w:rPr>
                            <w:spacing w:val="-4"/>
                            <w:sz w:val="21"/>
                          </w:rPr>
                          <w:t> 全残</w:t>
                        </w:r>
                      </w:p>
                    </w:tc>
                  </w:tr>
                  <w:tr>
                    <w:trPr>
                      <w:trHeight w:val="249" w:hRule="atLeast"/>
                    </w:trPr>
                    <w:tc>
                      <w:tcPr>
                        <w:tcW w:w="631" w:type="dxa"/>
                      </w:tcPr>
                      <w:p>
                        <w:pPr>
                          <w:pStyle w:val="TableParagraph"/>
                          <w:spacing w:line="227" w:lineRule="exact" w:before="2"/>
                          <w:ind w:left="0" w:right="51"/>
                          <w:jc w:val="right"/>
                          <w:rPr>
                            <w:sz w:val="21"/>
                          </w:rPr>
                        </w:pPr>
                        <w:r>
                          <w:rPr>
                            <w:spacing w:val="-5"/>
                            <w:sz w:val="21"/>
                          </w:rPr>
                          <w:t>1.3</w:t>
                        </w:r>
                      </w:p>
                    </w:tc>
                    <w:tc>
                      <w:tcPr>
                        <w:tcW w:w="2429" w:type="dxa"/>
                      </w:tcPr>
                      <w:p>
                        <w:pPr>
                          <w:pStyle w:val="TableParagraph"/>
                          <w:spacing w:line="227" w:lineRule="exact" w:before="2"/>
                          <w:ind w:left="52"/>
                          <w:rPr>
                            <w:sz w:val="21"/>
                          </w:rPr>
                        </w:pPr>
                        <w:r>
                          <w:rPr>
                            <w:spacing w:val="-4"/>
                            <w:sz w:val="21"/>
                          </w:rPr>
                          <w:t>投保年龄</w:t>
                        </w:r>
                      </w:p>
                    </w:tc>
                    <w:tc>
                      <w:tcPr>
                        <w:tcW w:w="698" w:type="dxa"/>
                      </w:tcPr>
                      <w:p>
                        <w:pPr>
                          <w:pStyle w:val="TableParagraph"/>
                          <w:spacing w:line="227" w:lineRule="exact" w:before="2"/>
                          <w:ind w:left="276"/>
                          <w:rPr>
                            <w:sz w:val="21"/>
                          </w:rPr>
                        </w:pPr>
                        <w:r>
                          <w:rPr>
                            <w:spacing w:val="-5"/>
                            <w:sz w:val="21"/>
                          </w:rPr>
                          <w:t>7.3</w:t>
                        </w:r>
                      </w:p>
                    </w:tc>
                    <w:tc>
                      <w:tcPr>
                        <w:tcW w:w="2459" w:type="dxa"/>
                      </w:tcPr>
                      <w:p>
                        <w:pPr>
                          <w:pStyle w:val="TableParagraph"/>
                          <w:spacing w:line="227" w:lineRule="exact" w:before="2"/>
                          <w:ind w:left="0"/>
                          <w:rPr>
                            <w:sz w:val="21"/>
                          </w:rPr>
                        </w:pPr>
                        <w:r>
                          <w:rPr>
                            <w:spacing w:val="-4"/>
                            <w:sz w:val="21"/>
                          </w:rPr>
                          <w:t>保险金申请</w:t>
                        </w:r>
                      </w:p>
                    </w:tc>
                    <w:tc>
                      <w:tcPr>
                        <w:tcW w:w="3633" w:type="dxa"/>
                      </w:tcPr>
                      <w:p>
                        <w:pPr>
                          <w:pStyle w:val="TableParagraph"/>
                          <w:spacing w:line="230" w:lineRule="exact"/>
                          <w:rPr>
                            <w:sz w:val="21"/>
                          </w:rPr>
                        </w:pPr>
                        <w:r>
                          <w:rPr>
                            <w:sz w:val="21"/>
                          </w:rPr>
                          <w:t>11.8</w:t>
                        </w:r>
                        <w:r>
                          <w:rPr>
                            <w:spacing w:val="-5"/>
                            <w:sz w:val="21"/>
                          </w:rPr>
                          <w:t> 累计已交保险费</w:t>
                        </w:r>
                      </w:p>
                    </w:tc>
                  </w:tr>
                  <w:tr>
                    <w:trPr>
                      <w:trHeight w:val="251" w:hRule="atLeast"/>
                    </w:trPr>
                    <w:tc>
                      <w:tcPr>
                        <w:tcW w:w="631" w:type="dxa"/>
                      </w:tcPr>
                      <w:p>
                        <w:pPr>
                          <w:pStyle w:val="TableParagraph"/>
                          <w:spacing w:line="228" w:lineRule="exact" w:before="2"/>
                          <w:ind w:left="0" w:right="51"/>
                          <w:jc w:val="right"/>
                          <w:rPr>
                            <w:sz w:val="21"/>
                          </w:rPr>
                        </w:pPr>
                        <w:r>
                          <w:rPr>
                            <w:spacing w:val="-5"/>
                            <w:sz w:val="21"/>
                          </w:rPr>
                          <w:t>1.4</w:t>
                        </w:r>
                      </w:p>
                    </w:tc>
                    <w:tc>
                      <w:tcPr>
                        <w:tcW w:w="2429" w:type="dxa"/>
                      </w:tcPr>
                      <w:p>
                        <w:pPr>
                          <w:pStyle w:val="TableParagraph"/>
                          <w:spacing w:line="228" w:lineRule="exact" w:before="2"/>
                          <w:ind w:left="52"/>
                          <w:rPr>
                            <w:sz w:val="21"/>
                          </w:rPr>
                        </w:pPr>
                        <w:r>
                          <w:rPr>
                            <w:spacing w:val="-4"/>
                            <w:sz w:val="21"/>
                          </w:rPr>
                          <w:t>保险期间</w:t>
                        </w:r>
                      </w:p>
                    </w:tc>
                    <w:tc>
                      <w:tcPr>
                        <w:tcW w:w="698" w:type="dxa"/>
                      </w:tcPr>
                      <w:p>
                        <w:pPr>
                          <w:pStyle w:val="TableParagraph"/>
                          <w:spacing w:line="228" w:lineRule="exact" w:before="2"/>
                          <w:ind w:left="276"/>
                          <w:rPr>
                            <w:sz w:val="21"/>
                          </w:rPr>
                        </w:pPr>
                        <w:r>
                          <w:rPr>
                            <w:spacing w:val="-5"/>
                            <w:sz w:val="21"/>
                          </w:rPr>
                          <w:t>7.4</w:t>
                        </w:r>
                      </w:p>
                    </w:tc>
                    <w:tc>
                      <w:tcPr>
                        <w:tcW w:w="2459" w:type="dxa"/>
                      </w:tcPr>
                      <w:p>
                        <w:pPr>
                          <w:pStyle w:val="TableParagraph"/>
                          <w:spacing w:line="228" w:lineRule="exact" w:before="2"/>
                          <w:ind w:left="0"/>
                          <w:rPr>
                            <w:sz w:val="21"/>
                          </w:rPr>
                        </w:pPr>
                        <w:r>
                          <w:rPr>
                            <w:spacing w:val="-4"/>
                            <w:sz w:val="21"/>
                          </w:rPr>
                          <w:t>保险事故鉴定</w:t>
                        </w:r>
                      </w:p>
                    </w:tc>
                    <w:tc>
                      <w:tcPr>
                        <w:tcW w:w="3633" w:type="dxa"/>
                      </w:tcPr>
                      <w:p>
                        <w:pPr>
                          <w:pStyle w:val="TableParagraph"/>
                          <w:spacing w:line="231" w:lineRule="exact"/>
                          <w:rPr>
                            <w:sz w:val="21"/>
                          </w:rPr>
                        </w:pPr>
                        <w:r>
                          <w:rPr>
                            <w:sz w:val="21"/>
                          </w:rPr>
                          <w:t>11.9</w:t>
                        </w:r>
                        <w:r>
                          <w:rPr>
                            <w:spacing w:val="-6"/>
                            <w:sz w:val="21"/>
                          </w:rPr>
                          <w:t> 本公司认可的医疗机构</w:t>
                        </w:r>
                      </w:p>
                    </w:tc>
                  </w:tr>
                  <w:tr>
                    <w:trPr>
                      <w:trHeight w:val="241" w:hRule="atLeast"/>
                    </w:trPr>
                    <w:tc>
                      <w:tcPr>
                        <w:tcW w:w="631" w:type="dxa"/>
                      </w:tcPr>
                      <w:p>
                        <w:pPr>
                          <w:pStyle w:val="TableParagraph"/>
                          <w:spacing w:line="220" w:lineRule="exact" w:before="1"/>
                          <w:ind w:left="0" w:right="51"/>
                          <w:jc w:val="right"/>
                          <w:rPr>
                            <w:sz w:val="21"/>
                          </w:rPr>
                        </w:pPr>
                        <w:r>
                          <w:rPr>
                            <w:spacing w:val="-5"/>
                            <w:sz w:val="21"/>
                          </w:rPr>
                          <w:t>1.5</w:t>
                        </w:r>
                      </w:p>
                    </w:tc>
                    <w:tc>
                      <w:tcPr>
                        <w:tcW w:w="2429" w:type="dxa"/>
                      </w:tcPr>
                      <w:p>
                        <w:pPr>
                          <w:pStyle w:val="TableParagraph"/>
                          <w:spacing w:line="220" w:lineRule="exact" w:before="1"/>
                          <w:ind w:left="52"/>
                          <w:rPr>
                            <w:sz w:val="21"/>
                          </w:rPr>
                        </w:pPr>
                        <w:r>
                          <w:rPr>
                            <w:spacing w:val="-5"/>
                            <w:sz w:val="21"/>
                          </w:rPr>
                          <w:t>犹豫期</w:t>
                        </w:r>
                      </w:p>
                    </w:tc>
                    <w:tc>
                      <w:tcPr>
                        <w:tcW w:w="698" w:type="dxa"/>
                      </w:tcPr>
                      <w:p>
                        <w:pPr>
                          <w:pStyle w:val="TableParagraph"/>
                          <w:spacing w:line="220" w:lineRule="exact" w:before="1"/>
                          <w:ind w:left="276"/>
                          <w:rPr>
                            <w:sz w:val="21"/>
                          </w:rPr>
                        </w:pPr>
                        <w:r>
                          <w:rPr>
                            <w:spacing w:val="-5"/>
                            <w:sz w:val="21"/>
                          </w:rPr>
                          <w:t>7.5</w:t>
                        </w:r>
                      </w:p>
                    </w:tc>
                    <w:tc>
                      <w:tcPr>
                        <w:tcW w:w="2459" w:type="dxa"/>
                      </w:tcPr>
                      <w:p>
                        <w:pPr>
                          <w:pStyle w:val="TableParagraph"/>
                          <w:spacing w:line="220" w:lineRule="exact" w:before="1"/>
                          <w:ind w:left="0"/>
                          <w:rPr>
                            <w:sz w:val="21"/>
                          </w:rPr>
                        </w:pPr>
                        <w:r>
                          <w:rPr>
                            <w:spacing w:val="-4"/>
                            <w:sz w:val="21"/>
                          </w:rPr>
                          <w:t>保险金给付</w:t>
                        </w:r>
                      </w:p>
                    </w:tc>
                    <w:tc>
                      <w:tcPr>
                        <w:tcW w:w="3633" w:type="dxa"/>
                      </w:tcPr>
                      <w:p>
                        <w:pPr>
                          <w:pStyle w:val="TableParagraph"/>
                          <w:spacing w:line="221" w:lineRule="exact"/>
                          <w:rPr>
                            <w:sz w:val="21"/>
                          </w:rPr>
                        </w:pPr>
                        <w:r>
                          <w:rPr>
                            <w:sz w:val="21"/>
                          </w:rPr>
                          <w:t>11.10</w:t>
                        </w:r>
                        <w:r>
                          <w:rPr>
                            <w:spacing w:val="-4"/>
                            <w:sz w:val="21"/>
                          </w:rPr>
                          <w:t> 专科医生</w:t>
                        </w:r>
                      </w:p>
                    </w:tc>
                  </w:tr>
                  <w:tr>
                    <w:trPr>
                      <w:trHeight w:val="252" w:hRule="atLeast"/>
                    </w:trPr>
                    <w:tc>
                      <w:tcPr>
                        <w:tcW w:w="3060" w:type="dxa"/>
                        <w:gridSpan w:val="2"/>
                      </w:tcPr>
                      <w:p>
                        <w:pPr>
                          <w:pStyle w:val="TableParagraph"/>
                          <w:spacing w:line="215" w:lineRule="exact"/>
                          <w:ind w:left="50"/>
                          <w:rPr>
                            <w:rFonts w:ascii="微软雅黑" w:eastAsia="微软雅黑"/>
                            <w:b/>
                            <w:sz w:val="21"/>
                          </w:rPr>
                        </w:pPr>
                        <w:r>
                          <w:rPr>
                            <w:rFonts w:ascii="微软雅黑" w:eastAsia="微软雅黑"/>
                            <w:b/>
                            <w:w w:val="95"/>
                            <w:sz w:val="21"/>
                          </w:rPr>
                          <w:t>2．</w:t>
                        </w:r>
                        <w:r>
                          <w:rPr>
                            <w:rFonts w:ascii="微软雅黑" w:eastAsia="微软雅黑"/>
                            <w:b/>
                            <w:w w:val="95"/>
                            <w:sz w:val="21"/>
                          </w:rPr>
                          <w:t>我</w:t>
                        </w:r>
                        <w:r>
                          <w:rPr>
                            <w:rFonts w:ascii="微软雅黑" w:eastAsia="微软雅黑"/>
                            <w:b/>
                            <w:w w:val="95"/>
                            <w:sz w:val="21"/>
                          </w:rPr>
                          <w:t>们</w:t>
                        </w:r>
                        <w:r>
                          <w:rPr>
                            <w:rFonts w:ascii="微软雅黑" w:eastAsia="微软雅黑"/>
                            <w:b/>
                            <w:w w:val="95"/>
                            <w:sz w:val="21"/>
                          </w:rPr>
                          <w:t>提</w:t>
                        </w:r>
                        <w:r>
                          <w:rPr>
                            <w:rFonts w:ascii="微软雅黑" w:eastAsia="微软雅黑"/>
                            <w:b/>
                            <w:w w:val="95"/>
                            <w:sz w:val="21"/>
                          </w:rPr>
                          <w:t>供</w:t>
                        </w:r>
                        <w:r>
                          <w:rPr>
                            <w:rFonts w:ascii="微软雅黑" w:eastAsia="微软雅黑"/>
                            <w:b/>
                            <w:w w:val="95"/>
                            <w:sz w:val="21"/>
                          </w:rPr>
                          <w:t>的</w:t>
                        </w:r>
                        <w:r>
                          <w:rPr>
                            <w:rFonts w:ascii="微软雅黑" w:eastAsia="微软雅黑"/>
                            <w:b/>
                            <w:w w:val="95"/>
                            <w:sz w:val="21"/>
                          </w:rPr>
                          <w:t>保</w:t>
                        </w:r>
                        <w:r>
                          <w:rPr>
                            <w:rFonts w:ascii="微软雅黑" w:eastAsia="微软雅黑"/>
                            <w:b/>
                            <w:spacing w:val="-10"/>
                            <w:w w:val="95"/>
                            <w:sz w:val="21"/>
                          </w:rPr>
                          <w:t>障</w:t>
                        </w:r>
                      </w:p>
                    </w:tc>
                    <w:tc>
                      <w:tcPr>
                        <w:tcW w:w="698" w:type="dxa"/>
                      </w:tcPr>
                      <w:p>
                        <w:pPr>
                          <w:pStyle w:val="TableParagraph"/>
                          <w:spacing w:line="215" w:lineRule="exact"/>
                          <w:ind w:left="276"/>
                          <w:rPr>
                            <w:sz w:val="21"/>
                          </w:rPr>
                        </w:pPr>
                        <w:r>
                          <w:rPr>
                            <w:spacing w:val="-5"/>
                            <w:sz w:val="21"/>
                          </w:rPr>
                          <w:t>7.6</w:t>
                        </w:r>
                      </w:p>
                    </w:tc>
                    <w:tc>
                      <w:tcPr>
                        <w:tcW w:w="2459" w:type="dxa"/>
                      </w:tcPr>
                      <w:p>
                        <w:pPr>
                          <w:pStyle w:val="TableParagraph"/>
                          <w:spacing w:line="215" w:lineRule="exact"/>
                          <w:ind w:left="0"/>
                          <w:rPr>
                            <w:sz w:val="21"/>
                          </w:rPr>
                        </w:pPr>
                        <w:r>
                          <w:rPr>
                            <w:spacing w:val="-4"/>
                            <w:sz w:val="21"/>
                          </w:rPr>
                          <w:t>诉讼时效</w:t>
                        </w:r>
                      </w:p>
                    </w:tc>
                    <w:tc>
                      <w:tcPr>
                        <w:tcW w:w="3633" w:type="dxa"/>
                      </w:tcPr>
                      <w:p>
                        <w:pPr>
                          <w:pStyle w:val="TableParagraph"/>
                          <w:spacing w:line="215" w:lineRule="exact"/>
                          <w:rPr>
                            <w:sz w:val="21"/>
                          </w:rPr>
                        </w:pPr>
                        <w:r>
                          <w:rPr>
                            <w:sz w:val="21"/>
                          </w:rPr>
                          <w:t>11.11</w:t>
                        </w:r>
                        <w:r>
                          <w:rPr>
                            <w:spacing w:val="-4"/>
                            <w:sz w:val="21"/>
                          </w:rPr>
                          <w:t> 到达年龄</w:t>
                        </w:r>
                      </w:p>
                    </w:tc>
                  </w:tr>
                  <w:tr>
                    <w:trPr>
                      <w:trHeight w:val="256" w:hRule="atLeast"/>
                    </w:trPr>
                    <w:tc>
                      <w:tcPr>
                        <w:tcW w:w="631" w:type="dxa"/>
                      </w:tcPr>
                      <w:p>
                        <w:pPr>
                          <w:pStyle w:val="TableParagraph"/>
                          <w:spacing w:line="222" w:lineRule="exact"/>
                          <w:ind w:left="0" w:right="52"/>
                          <w:jc w:val="right"/>
                          <w:rPr>
                            <w:sz w:val="21"/>
                          </w:rPr>
                        </w:pPr>
                        <w:r>
                          <w:rPr>
                            <w:spacing w:val="-5"/>
                            <w:sz w:val="21"/>
                          </w:rPr>
                          <w:t>2.1</w:t>
                        </w:r>
                      </w:p>
                    </w:tc>
                    <w:tc>
                      <w:tcPr>
                        <w:tcW w:w="2429" w:type="dxa"/>
                      </w:tcPr>
                      <w:p>
                        <w:pPr>
                          <w:pStyle w:val="TableParagraph"/>
                          <w:spacing w:line="222" w:lineRule="exact"/>
                          <w:ind w:left="52"/>
                          <w:rPr>
                            <w:sz w:val="21"/>
                          </w:rPr>
                        </w:pPr>
                        <w:r>
                          <w:rPr>
                            <w:spacing w:val="-4"/>
                            <w:sz w:val="21"/>
                          </w:rPr>
                          <w:t>基本保险金额</w:t>
                        </w:r>
                      </w:p>
                    </w:tc>
                    <w:tc>
                      <w:tcPr>
                        <w:tcW w:w="3157" w:type="dxa"/>
                        <w:gridSpan w:val="2"/>
                      </w:tcPr>
                      <w:p>
                        <w:pPr>
                          <w:pStyle w:val="TableParagraph"/>
                          <w:spacing w:line="222" w:lineRule="exact"/>
                          <w:ind w:left="64"/>
                          <w:rPr>
                            <w:rFonts w:ascii="微软雅黑" w:eastAsia="微软雅黑"/>
                            <w:b/>
                            <w:sz w:val="21"/>
                          </w:rPr>
                        </w:pPr>
                        <w:r>
                          <w:rPr>
                            <w:rFonts w:ascii="微软雅黑" w:eastAsia="微软雅黑"/>
                            <w:b/>
                            <w:w w:val="95"/>
                            <w:sz w:val="21"/>
                          </w:rPr>
                          <w:t>8．</w:t>
                        </w:r>
                        <w:r>
                          <w:rPr>
                            <w:rFonts w:ascii="微软雅黑" w:eastAsia="微软雅黑"/>
                            <w:b/>
                            <w:w w:val="95"/>
                            <w:sz w:val="21"/>
                          </w:rPr>
                          <w:t>您</w:t>
                        </w:r>
                        <w:r>
                          <w:rPr>
                            <w:rFonts w:ascii="微软雅黑" w:eastAsia="微软雅黑"/>
                            <w:b/>
                            <w:w w:val="95"/>
                            <w:sz w:val="21"/>
                          </w:rPr>
                          <w:t>犹</w:t>
                        </w:r>
                        <w:r>
                          <w:rPr>
                            <w:rFonts w:ascii="微软雅黑" w:eastAsia="微软雅黑"/>
                            <w:b/>
                            <w:w w:val="95"/>
                            <w:sz w:val="21"/>
                          </w:rPr>
                          <w:t>豫</w:t>
                        </w:r>
                        <w:r>
                          <w:rPr>
                            <w:rFonts w:ascii="微软雅黑" w:eastAsia="微软雅黑"/>
                            <w:b/>
                            <w:w w:val="95"/>
                            <w:sz w:val="21"/>
                          </w:rPr>
                          <w:t>期</w:t>
                        </w:r>
                        <w:r>
                          <w:rPr>
                            <w:rFonts w:ascii="微软雅黑" w:eastAsia="微软雅黑"/>
                            <w:b/>
                            <w:w w:val="95"/>
                            <w:sz w:val="21"/>
                          </w:rPr>
                          <w:t>后</w:t>
                        </w:r>
                        <w:r>
                          <w:rPr>
                            <w:rFonts w:ascii="微软雅黑" w:eastAsia="微软雅黑"/>
                            <w:b/>
                            <w:w w:val="95"/>
                            <w:sz w:val="21"/>
                          </w:rPr>
                          <w:t>解</w:t>
                        </w:r>
                        <w:r>
                          <w:rPr>
                            <w:rFonts w:ascii="微软雅黑" w:eastAsia="微软雅黑"/>
                            <w:b/>
                            <w:w w:val="95"/>
                            <w:sz w:val="21"/>
                          </w:rPr>
                          <w:t>除</w:t>
                        </w:r>
                        <w:r>
                          <w:rPr>
                            <w:rFonts w:ascii="微软雅黑" w:eastAsia="微软雅黑"/>
                            <w:b/>
                            <w:w w:val="95"/>
                            <w:sz w:val="21"/>
                          </w:rPr>
                          <w:t>合同的</w:t>
                        </w:r>
                        <w:r>
                          <w:rPr>
                            <w:rFonts w:ascii="微软雅黑" w:eastAsia="微软雅黑"/>
                            <w:b/>
                            <w:w w:val="95"/>
                            <w:sz w:val="21"/>
                          </w:rPr>
                          <w:t>手</w:t>
                        </w:r>
                        <w:r>
                          <w:rPr>
                            <w:rFonts w:ascii="微软雅黑" w:eastAsia="微软雅黑"/>
                            <w:b/>
                            <w:w w:val="95"/>
                            <w:sz w:val="21"/>
                          </w:rPr>
                          <w:t>续</w:t>
                        </w:r>
                        <w:r>
                          <w:rPr>
                            <w:rFonts w:ascii="微软雅黑" w:eastAsia="微软雅黑"/>
                            <w:b/>
                            <w:spacing w:val="-10"/>
                            <w:w w:val="95"/>
                            <w:sz w:val="21"/>
                          </w:rPr>
                          <w:t>及</w:t>
                        </w:r>
                      </w:p>
                    </w:tc>
                    <w:tc>
                      <w:tcPr>
                        <w:tcW w:w="3633" w:type="dxa"/>
                      </w:tcPr>
                      <w:p>
                        <w:pPr>
                          <w:pStyle w:val="TableParagraph"/>
                          <w:spacing w:line="222" w:lineRule="exact"/>
                          <w:rPr>
                            <w:sz w:val="21"/>
                          </w:rPr>
                        </w:pPr>
                        <w:r>
                          <w:rPr>
                            <w:sz w:val="21"/>
                          </w:rPr>
                          <w:t>11.12</w:t>
                        </w:r>
                        <w:r>
                          <w:rPr>
                            <w:spacing w:val="-4"/>
                            <w:sz w:val="21"/>
                          </w:rPr>
                          <w:t> 现金价值</w:t>
                        </w:r>
                      </w:p>
                    </w:tc>
                  </w:tr>
                  <w:tr>
                    <w:trPr>
                      <w:trHeight w:val="249" w:hRule="atLeast"/>
                    </w:trPr>
                    <w:tc>
                      <w:tcPr>
                        <w:tcW w:w="631" w:type="dxa"/>
                      </w:tcPr>
                      <w:p>
                        <w:pPr>
                          <w:pStyle w:val="TableParagraph"/>
                          <w:spacing w:line="227" w:lineRule="exact" w:before="2"/>
                          <w:ind w:left="0" w:right="51"/>
                          <w:jc w:val="right"/>
                          <w:rPr>
                            <w:sz w:val="21"/>
                          </w:rPr>
                        </w:pPr>
                        <w:r>
                          <w:rPr>
                            <w:spacing w:val="-5"/>
                            <w:sz w:val="21"/>
                          </w:rPr>
                          <w:t>2.2</w:t>
                        </w:r>
                      </w:p>
                    </w:tc>
                    <w:tc>
                      <w:tcPr>
                        <w:tcW w:w="2429" w:type="dxa"/>
                      </w:tcPr>
                      <w:p>
                        <w:pPr>
                          <w:pStyle w:val="TableParagraph"/>
                          <w:spacing w:line="227" w:lineRule="exact" w:before="2"/>
                          <w:ind w:left="52"/>
                          <w:rPr>
                            <w:sz w:val="21"/>
                          </w:rPr>
                        </w:pPr>
                        <w:r>
                          <w:rPr>
                            <w:spacing w:val="-3"/>
                            <w:sz w:val="21"/>
                          </w:rPr>
                          <w:t>未成年人身故保险金限制</w:t>
                        </w:r>
                      </w:p>
                    </w:tc>
                    <w:tc>
                      <w:tcPr>
                        <w:tcW w:w="3157" w:type="dxa"/>
                        <w:gridSpan w:val="2"/>
                      </w:tcPr>
                      <w:p>
                        <w:pPr>
                          <w:pStyle w:val="TableParagraph"/>
                          <w:spacing w:line="230" w:lineRule="exact"/>
                          <w:ind w:left="64"/>
                          <w:rPr>
                            <w:rFonts w:ascii="微软雅黑" w:eastAsia="微软雅黑"/>
                            <w:b/>
                            <w:sz w:val="21"/>
                          </w:rPr>
                        </w:pPr>
                        <w:r>
                          <w:rPr>
                            <w:rFonts w:ascii="微软雅黑" w:eastAsia="微软雅黑"/>
                            <w:b/>
                            <w:spacing w:val="-5"/>
                            <w:sz w:val="21"/>
                          </w:rPr>
                          <w:t>风险</w:t>
                        </w:r>
                      </w:p>
                    </w:tc>
                    <w:tc>
                      <w:tcPr>
                        <w:tcW w:w="3633" w:type="dxa"/>
                      </w:tcPr>
                      <w:p>
                        <w:pPr>
                          <w:pStyle w:val="TableParagraph"/>
                          <w:spacing w:line="230" w:lineRule="exact"/>
                          <w:rPr>
                            <w:sz w:val="21"/>
                          </w:rPr>
                        </w:pPr>
                        <w:r>
                          <w:rPr>
                            <w:sz w:val="21"/>
                          </w:rPr>
                          <w:t>11.13</w:t>
                        </w:r>
                        <w:r>
                          <w:rPr>
                            <w:spacing w:val="-4"/>
                            <w:sz w:val="21"/>
                          </w:rPr>
                          <w:t> 毒品</w:t>
                        </w:r>
                      </w:p>
                    </w:tc>
                  </w:tr>
                  <w:tr>
                    <w:trPr>
                      <w:trHeight w:val="249" w:hRule="atLeast"/>
                    </w:trPr>
                    <w:tc>
                      <w:tcPr>
                        <w:tcW w:w="631" w:type="dxa"/>
                      </w:tcPr>
                      <w:p>
                        <w:pPr>
                          <w:pStyle w:val="TableParagraph"/>
                          <w:spacing w:line="227" w:lineRule="exact" w:before="2"/>
                          <w:ind w:left="0" w:right="51"/>
                          <w:jc w:val="right"/>
                          <w:rPr>
                            <w:sz w:val="21"/>
                          </w:rPr>
                        </w:pPr>
                        <w:r>
                          <w:rPr>
                            <w:spacing w:val="-5"/>
                            <w:sz w:val="21"/>
                          </w:rPr>
                          <w:t>2.3</w:t>
                        </w:r>
                      </w:p>
                    </w:tc>
                    <w:tc>
                      <w:tcPr>
                        <w:tcW w:w="2429" w:type="dxa"/>
                      </w:tcPr>
                      <w:p>
                        <w:pPr>
                          <w:pStyle w:val="TableParagraph"/>
                          <w:spacing w:line="227" w:lineRule="exact" w:before="2"/>
                          <w:ind w:left="52"/>
                          <w:rPr>
                            <w:sz w:val="21"/>
                          </w:rPr>
                        </w:pPr>
                        <w:r>
                          <w:rPr>
                            <w:spacing w:val="-4"/>
                            <w:sz w:val="21"/>
                          </w:rPr>
                          <w:t>轻症疾病名称</w:t>
                        </w:r>
                      </w:p>
                    </w:tc>
                    <w:tc>
                      <w:tcPr>
                        <w:tcW w:w="3157" w:type="dxa"/>
                        <w:gridSpan w:val="2"/>
                      </w:tcPr>
                      <w:p>
                        <w:pPr>
                          <w:pStyle w:val="TableParagraph"/>
                          <w:spacing w:line="227" w:lineRule="exact" w:before="2"/>
                          <w:ind w:left="276"/>
                          <w:rPr>
                            <w:sz w:val="21"/>
                          </w:rPr>
                        </w:pPr>
                        <w:r>
                          <w:rPr>
                            <w:spacing w:val="-3"/>
                            <w:sz w:val="21"/>
                          </w:rPr>
                          <w:t>您犹豫期后解除合同的手续及</w:t>
                        </w:r>
                      </w:p>
                    </w:tc>
                    <w:tc>
                      <w:tcPr>
                        <w:tcW w:w="3633" w:type="dxa"/>
                      </w:tcPr>
                      <w:p>
                        <w:pPr>
                          <w:pStyle w:val="TableParagraph"/>
                          <w:spacing w:line="230" w:lineRule="exact"/>
                          <w:rPr>
                            <w:sz w:val="21"/>
                          </w:rPr>
                        </w:pPr>
                        <w:r>
                          <w:rPr>
                            <w:sz w:val="21"/>
                          </w:rPr>
                          <w:t>11.14</w:t>
                        </w:r>
                        <w:r>
                          <w:rPr>
                            <w:spacing w:val="-4"/>
                            <w:sz w:val="21"/>
                          </w:rPr>
                          <w:t> 酒后驾驶</w:t>
                        </w:r>
                      </w:p>
                    </w:tc>
                  </w:tr>
                  <w:tr>
                    <w:trPr>
                      <w:trHeight w:val="250" w:hRule="atLeast"/>
                    </w:trPr>
                    <w:tc>
                      <w:tcPr>
                        <w:tcW w:w="631" w:type="dxa"/>
                      </w:tcPr>
                      <w:p>
                        <w:pPr>
                          <w:pStyle w:val="TableParagraph"/>
                          <w:spacing w:line="228" w:lineRule="exact" w:before="2"/>
                          <w:ind w:left="0" w:right="51"/>
                          <w:jc w:val="right"/>
                          <w:rPr>
                            <w:sz w:val="21"/>
                          </w:rPr>
                        </w:pPr>
                        <w:r>
                          <w:rPr>
                            <w:spacing w:val="-5"/>
                            <w:sz w:val="21"/>
                          </w:rPr>
                          <w:t>2.4</w:t>
                        </w:r>
                      </w:p>
                    </w:tc>
                    <w:tc>
                      <w:tcPr>
                        <w:tcW w:w="2429" w:type="dxa"/>
                      </w:tcPr>
                      <w:p>
                        <w:pPr>
                          <w:pStyle w:val="TableParagraph"/>
                          <w:spacing w:line="228" w:lineRule="exact" w:before="2"/>
                          <w:ind w:left="52"/>
                          <w:rPr>
                            <w:sz w:val="21"/>
                          </w:rPr>
                        </w:pPr>
                        <w:r>
                          <w:rPr>
                            <w:spacing w:val="-4"/>
                            <w:sz w:val="21"/>
                          </w:rPr>
                          <w:t>中症疾病名称</w:t>
                        </w:r>
                      </w:p>
                    </w:tc>
                    <w:tc>
                      <w:tcPr>
                        <w:tcW w:w="3157" w:type="dxa"/>
                        <w:gridSpan w:val="2"/>
                      </w:tcPr>
                      <w:p>
                        <w:pPr>
                          <w:pStyle w:val="TableParagraph"/>
                          <w:spacing w:line="228" w:lineRule="exact" w:before="2"/>
                          <w:ind w:left="64"/>
                          <w:rPr>
                            <w:sz w:val="21"/>
                          </w:rPr>
                        </w:pPr>
                        <w:r>
                          <w:rPr>
                            <w:spacing w:val="-5"/>
                            <w:sz w:val="21"/>
                          </w:rPr>
                          <w:t>风险</w:t>
                        </w:r>
                      </w:p>
                    </w:tc>
                    <w:tc>
                      <w:tcPr>
                        <w:tcW w:w="3633" w:type="dxa"/>
                      </w:tcPr>
                      <w:p>
                        <w:pPr>
                          <w:pStyle w:val="TableParagraph"/>
                          <w:spacing w:line="231" w:lineRule="exact"/>
                          <w:rPr>
                            <w:sz w:val="21"/>
                          </w:rPr>
                        </w:pPr>
                        <w:r>
                          <w:rPr>
                            <w:sz w:val="21"/>
                          </w:rPr>
                          <w:t>11.15</w:t>
                        </w:r>
                        <w:r>
                          <w:rPr>
                            <w:spacing w:val="-5"/>
                            <w:sz w:val="21"/>
                          </w:rPr>
                          <w:t> 无合法有效驾驶证驾驶</w:t>
                        </w:r>
                      </w:p>
                    </w:tc>
                  </w:tr>
                  <w:tr>
                    <w:trPr>
                      <w:trHeight w:val="249" w:hRule="atLeast"/>
                    </w:trPr>
                    <w:tc>
                      <w:tcPr>
                        <w:tcW w:w="631" w:type="dxa"/>
                      </w:tcPr>
                      <w:p>
                        <w:pPr>
                          <w:pStyle w:val="TableParagraph"/>
                          <w:spacing w:line="228" w:lineRule="exact" w:before="1"/>
                          <w:ind w:left="0" w:right="51"/>
                          <w:jc w:val="right"/>
                          <w:rPr>
                            <w:sz w:val="21"/>
                          </w:rPr>
                        </w:pPr>
                        <w:r>
                          <w:rPr>
                            <w:spacing w:val="-5"/>
                            <w:sz w:val="21"/>
                          </w:rPr>
                          <w:t>2.5</w:t>
                        </w:r>
                      </w:p>
                    </w:tc>
                    <w:tc>
                      <w:tcPr>
                        <w:tcW w:w="2429" w:type="dxa"/>
                      </w:tcPr>
                      <w:p>
                        <w:pPr>
                          <w:pStyle w:val="TableParagraph"/>
                          <w:spacing w:line="228" w:lineRule="exact" w:before="1"/>
                          <w:ind w:left="52"/>
                          <w:rPr>
                            <w:sz w:val="21"/>
                          </w:rPr>
                        </w:pPr>
                        <w:r>
                          <w:rPr>
                            <w:spacing w:val="-4"/>
                            <w:sz w:val="21"/>
                          </w:rPr>
                          <w:t>重大疾病名称</w:t>
                        </w:r>
                      </w:p>
                    </w:tc>
                    <w:tc>
                      <w:tcPr>
                        <w:tcW w:w="3157" w:type="dxa"/>
                        <w:gridSpan w:val="2"/>
                      </w:tcPr>
                      <w:p>
                        <w:pPr>
                          <w:pStyle w:val="TableParagraph"/>
                          <w:spacing w:line="230" w:lineRule="exact"/>
                          <w:ind w:left="64"/>
                          <w:rPr>
                            <w:rFonts w:ascii="微软雅黑" w:eastAsia="微软雅黑"/>
                            <w:b/>
                            <w:sz w:val="21"/>
                          </w:rPr>
                        </w:pPr>
                        <w:r>
                          <w:rPr>
                            <w:rFonts w:ascii="微软雅黑" w:eastAsia="微软雅黑"/>
                            <w:b/>
                            <w:w w:val="95"/>
                            <w:sz w:val="21"/>
                          </w:rPr>
                          <w:t>9．</w:t>
                        </w: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需</w:t>
                        </w:r>
                        <w:r>
                          <w:rPr>
                            <w:rFonts w:ascii="微软雅黑" w:eastAsia="微软雅黑"/>
                            <w:b/>
                            <w:w w:val="95"/>
                            <w:sz w:val="21"/>
                          </w:rPr>
                          <w:t>要</w:t>
                        </w:r>
                        <w:r>
                          <w:rPr>
                            <w:rFonts w:ascii="微软雅黑" w:eastAsia="微软雅黑"/>
                            <w:b/>
                            <w:w w:val="95"/>
                            <w:sz w:val="21"/>
                          </w:rPr>
                          <w:t>注</w:t>
                        </w:r>
                        <w:r>
                          <w:rPr>
                            <w:rFonts w:ascii="微软雅黑" w:eastAsia="微软雅黑"/>
                            <w:b/>
                            <w:w w:val="95"/>
                            <w:sz w:val="21"/>
                          </w:rPr>
                          <w:t>意</w:t>
                        </w:r>
                        <w:r>
                          <w:rPr>
                            <w:rFonts w:ascii="微软雅黑" w:eastAsia="微软雅黑"/>
                            <w:b/>
                            <w:w w:val="95"/>
                            <w:sz w:val="21"/>
                          </w:rPr>
                          <w:t>的</w:t>
                        </w:r>
                        <w:r>
                          <w:rPr>
                            <w:rFonts w:ascii="微软雅黑" w:eastAsia="微软雅黑"/>
                            <w:b/>
                            <w:w w:val="95"/>
                            <w:sz w:val="21"/>
                          </w:rPr>
                          <w:t>事</w:t>
                        </w:r>
                        <w:r>
                          <w:rPr>
                            <w:rFonts w:ascii="微软雅黑" w:eastAsia="微软雅黑"/>
                            <w:b/>
                            <w:spacing w:val="-10"/>
                            <w:w w:val="95"/>
                            <w:sz w:val="21"/>
                          </w:rPr>
                          <w:t>项</w:t>
                        </w:r>
                      </w:p>
                    </w:tc>
                    <w:tc>
                      <w:tcPr>
                        <w:tcW w:w="3633" w:type="dxa"/>
                      </w:tcPr>
                      <w:p>
                        <w:pPr>
                          <w:pStyle w:val="TableParagraph"/>
                          <w:spacing w:line="230" w:lineRule="exact"/>
                          <w:rPr>
                            <w:sz w:val="21"/>
                          </w:rPr>
                        </w:pPr>
                        <w:r>
                          <w:rPr>
                            <w:sz w:val="21"/>
                          </w:rPr>
                          <w:t>11.16</w:t>
                        </w:r>
                        <w:r>
                          <w:rPr>
                            <w:spacing w:val="-5"/>
                            <w:sz w:val="21"/>
                          </w:rPr>
                          <w:t> 无合法有效行驶证</w:t>
                        </w:r>
                      </w:p>
                    </w:tc>
                  </w:tr>
                  <w:tr>
                    <w:trPr>
                      <w:trHeight w:val="250" w:hRule="atLeast"/>
                    </w:trPr>
                    <w:tc>
                      <w:tcPr>
                        <w:tcW w:w="631" w:type="dxa"/>
                      </w:tcPr>
                      <w:p>
                        <w:pPr>
                          <w:pStyle w:val="TableParagraph"/>
                          <w:spacing w:line="227" w:lineRule="exact" w:before="4"/>
                          <w:ind w:left="0" w:right="51"/>
                          <w:jc w:val="right"/>
                          <w:rPr>
                            <w:sz w:val="21"/>
                          </w:rPr>
                        </w:pPr>
                        <w:r>
                          <w:rPr>
                            <w:spacing w:val="-5"/>
                            <w:sz w:val="21"/>
                          </w:rPr>
                          <w:t>2.6</w:t>
                        </w:r>
                      </w:p>
                    </w:tc>
                    <w:tc>
                      <w:tcPr>
                        <w:tcW w:w="2429" w:type="dxa"/>
                      </w:tcPr>
                      <w:p>
                        <w:pPr>
                          <w:pStyle w:val="TableParagraph"/>
                          <w:spacing w:line="227" w:lineRule="exact" w:before="4"/>
                          <w:ind w:left="52"/>
                          <w:rPr>
                            <w:sz w:val="21"/>
                          </w:rPr>
                        </w:pPr>
                        <w:r>
                          <w:rPr>
                            <w:spacing w:val="-5"/>
                            <w:sz w:val="21"/>
                          </w:rPr>
                          <w:t>等待期</w:t>
                        </w:r>
                      </w:p>
                    </w:tc>
                    <w:tc>
                      <w:tcPr>
                        <w:tcW w:w="3157" w:type="dxa"/>
                        <w:gridSpan w:val="2"/>
                      </w:tcPr>
                      <w:p>
                        <w:pPr>
                          <w:pStyle w:val="TableParagraph"/>
                          <w:spacing w:line="227" w:lineRule="exact" w:before="4"/>
                          <w:ind w:left="276"/>
                          <w:rPr>
                            <w:sz w:val="21"/>
                          </w:rPr>
                        </w:pPr>
                        <w:r>
                          <w:rPr>
                            <w:sz w:val="21"/>
                          </w:rPr>
                          <w:t>9.1</w:t>
                        </w:r>
                        <w:r>
                          <w:rPr>
                            <w:spacing w:val="-5"/>
                            <w:sz w:val="21"/>
                          </w:rPr>
                          <w:t> 年龄确定与错误处理</w:t>
                        </w:r>
                      </w:p>
                    </w:tc>
                    <w:tc>
                      <w:tcPr>
                        <w:tcW w:w="3633" w:type="dxa"/>
                      </w:tcPr>
                      <w:p>
                        <w:pPr>
                          <w:pStyle w:val="TableParagraph"/>
                          <w:spacing w:line="231" w:lineRule="exact"/>
                          <w:rPr>
                            <w:sz w:val="21"/>
                          </w:rPr>
                        </w:pPr>
                        <w:r>
                          <w:rPr>
                            <w:sz w:val="21"/>
                          </w:rPr>
                          <w:t>11.17</w:t>
                        </w:r>
                        <w:r>
                          <w:rPr>
                            <w:spacing w:val="-6"/>
                            <w:sz w:val="21"/>
                          </w:rPr>
                          <w:t> 感染艾滋病病毒或患艾滋病</w:t>
                        </w:r>
                      </w:p>
                    </w:tc>
                  </w:tr>
                  <w:tr>
                    <w:trPr>
                      <w:trHeight w:val="249" w:hRule="atLeast"/>
                    </w:trPr>
                    <w:tc>
                      <w:tcPr>
                        <w:tcW w:w="631" w:type="dxa"/>
                      </w:tcPr>
                      <w:p>
                        <w:pPr>
                          <w:pStyle w:val="TableParagraph"/>
                          <w:spacing w:line="227" w:lineRule="exact" w:before="2"/>
                          <w:ind w:left="0" w:right="51"/>
                          <w:jc w:val="right"/>
                          <w:rPr>
                            <w:sz w:val="21"/>
                          </w:rPr>
                        </w:pPr>
                        <w:r>
                          <w:rPr>
                            <w:spacing w:val="-5"/>
                            <w:sz w:val="21"/>
                          </w:rPr>
                          <w:t>2.7</w:t>
                        </w:r>
                      </w:p>
                    </w:tc>
                    <w:tc>
                      <w:tcPr>
                        <w:tcW w:w="2429" w:type="dxa"/>
                      </w:tcPr>
                      <w:p>
                        <w:pPr>
                          <w:pStyle w:val="TableParagraph"/>
                          <w:spacing w:line="227" w:lineRule="exact" w:before="2"/>
                          <w:ind w:left="52"/>
                          <w:rPr>
                            <w:sz w:val="21"/>
                          </w:rPr>
                        </w:pPr>
                        <w:r>
                          <w:rPr>
                            <w:spacing w:val="-4"/>
                            <w:sz w:val="21"/>
                          </w:rPr>
                          <w:t>保险责任</w:t>
                        </w:r>
                      </w:p>
                    </w:tc>
                    <w:tc>
                      <w:tcPr>
                        <w:tcW w:w="3157" w:type="dxa"/>
                        <w:gridSpan w:val="2"/>
                      </w:tcPr>
                      <w:p>
                        <w:pPr>
                          <w:pStyle w:val="TableParagraph"/>
                          <w:spacing w:line="227" w:lineRule="exact" w:before="2"/>
                          <w:ind w:left="276"/>
                          <w:rPr>
                            <w:sz w:val="21"/>
                          </w:rPr>
                        </w:pPr>
                        <w:r>
                          <w:rPr>
                            <w:sz w:val="21"/>
                          </w:rPr>
                          <w:t>9.2</w:t>
                        </w:r>
                        <w:r>
                          <w:rPr>
                            <w:spacing w:val="-4"/>
                            <w:sz w:val="21"/>
                          </w:rPr>
                          <w:t> 地址变更</w:t>
                        </w:r>
                      </w:p>
                    </w:tc>
                    <w:tc>
                      <w:tcPr>
                        <w:tcW w:w="3633" w:type="dxa"/>
                      </w:tcPr>
                      <w:p>
                        <w:pPr>
                          <w:pStyle w:val="TableParagraph"/>
                          <w:spacing w:line="230" w:lineRule="exact"/>
                          <w:rPr>
                            <w:sz w:val="21"/>
                          </w:rPr>
                        </w:pPr>
                        <w:r>
                          <w:rPr>
                            <w:sz w:val="21"/>
                          </w:rPr>
                          <w:t>11.18</w:t>
                        </w:r>
                        <w:r>
                          <w:rPr>
                            <w:spacing w:val="-5"/>
                            <w:sz w:val="21"/>
                          </w:rPr>
                          <w:t> 遗传性疾病</w:t>
                        </w:r>
                      </w:p>
                    </w:tc>
                  </w:tr>
                  <w:tr>
                    <w:trPr>
                      <w:trHeight w:val="249" w:hRule="atLeast"/>
                    </w:trPr>
                    <w:tc>
                      <w:tcPr>
                        <w:tcW w:w="631" w:type="dxa"/>
                      </w:tcPr>
                      <w:p>
                        <w:pPr>
                          <w:pStyle w:val="TableParagraph"/>
                          <w:spacing w:line="227" w:lineRule="exact" w:before="2"/>
                          <w:ind w:left="0" w:right="51"/>
                          <w:jc w:val="right"/>
                          <w:rPr>
                            <w:sz w:val="21"/>
                          </w:rPr>
                        </w:pPr>
                        <w:r>
                          <w:rPr>
                            <w:spacing w:val="-5"/>
                            <w:sz w:val="21"/>
                          </w:rPr>
                          <w:t>2.8</w:t>
                        </w:r>
                      </w:p>
                    </w:tc>
                    <w:tc>
                      <w:tcPr>
                        <w:tcW w:w="2429" w:type="dxa"/>
                      </w:tcPr>
                      <w:p>
                        <w:pPr>
                          <w:pStyle w:val="TableParagraph"/>
                          <w:spacing w:line="227" w:lineRule="exact" w:before="2"/>
                          <w:ind w:left="52"/>
                          <w:rPr>
                            <w:sz w:val="21"/>
                          </w:rPr>
                        </w:pPr>
                        <w:r>
                          <w:rPr>
                            <w:spacing w:val="-4"/>
                            <w:sz w:val="21"/>
                          </w:rPr>
                          <w:t>责任免除</w:t>
                        </w:r>
                      </w:p>
                    </w:tc>
                    <w:tc>
                      <w:tcPr>
                        <w:tcW w:w="3157" w:type="dxa"/>
                        <w:gridSpan w:val="2"/>
                      </w:tcPr>
                      <w:p>
                        <w:pPr>
                          <w:pStyle w:val="TableParagraph"/>
                          <w:spacing w:line="227" w:lineRule="exact" w:before="2"/>
                          <w:ind w:left="276"/>
                          <w:rPr>
                            <w:sz w:val="21"/>
                          </w:rPr>
                        </w:pPr>
                        <w:r>
                          <w:rPr>
                            <w:sz w:val="21"/>
                          </w:rPr>
                          <w:t>9.3</w:t>
                        </w:r>
                        <w:r>
                          <w:rPr>
                            <w:spacing w:val="-4"/>
                            <w:sz w:val="21"/>
                          </w:rPr>
                          <w:t> 宣告死亡处理</w:t>
                        </w:r>
                      </w:p>
                    </w:tc>
                    <w:tc>
                      <w:tcPr>
                        <w:tcW w:w="3633" w:type="dxa"/>
                      </w:tcPr>
                      <w:p>
                        <w:pPr>
                          <w:pStyle w:val="TableParagraph"/>
                          <w:spacing w:line="230" w:lineRule="exact"/>
                          <w:rPr>
                            <w:sz w:val="21"/>
                          </w:rPr>
                        </w:pPr>
                        <w:r>
                          <w:rPr>
                            <w:sz w:val="21"/>
                          </w:rPr>
                          <w:t>11.19</w:t>
                        </w:r>
                        <w:r>
                          <w:rPr>
                            <w:spacing w:val="-12"/>
                            <w:sz w:val="21"/>
                          </w:rPr>
                          <w:t> 先天性畸形、变形或染色体异常</w:t>
                        </w:r>
                      </w:p>
                    </w:tc>
                  </w:tr>
                  <w:tr>
                    <w:trPr>
                      <w:trHeight w:val="242" w:hRule="atLeast"/>
                    </w:trPr>
                    <w:tc>
                      <w:tcPr>
                        <w:tcW w:w="631" w:type="dxa"/>
                      </w:tcPr>
                      <w:p>
                        <w:pPr>
                          <w:pStyle w:val="TableParagraph"/>
                          <w:spacing w:line="220" w:lineRule="exact" w:before="2"/>
                          <w:ind w:left="0" w:right="51"/>
                          <w:jc w:val="right"/>
                          <w:rPr>
                            <w:sz w:val="21"/>
                          </w:rPr>
                        </w:pPr>
                        <w:r>
                          <w:rPr>
                            <w:spacing w:val="-5"/>
                            <w:sz w:val="21"/>
                          </w:rPr>
                          <w:t>2.9</w:t>
                        </w:r>
                      </w:p>
                    </w:tc>
                    <w:tc>
                      <w:tcPr>
                        <w:tcW w:w="2429" w:type="dxa"/>
                      </w:tcPr>
                      <w:p>
                        <w:pPr>
                          <w:pStyle w:val="TableParagraph"/>
                          <w:spacing w:line="220" w:lineRule="exact" w:before="2"/>
                          <w:ind w:left="52"/>
                          <w:rPr>
                            <w:sz w:val="21"/>
                          </w:rPr>
                        </w:pPr>
                        <w:r>
                          <w:rPr>
                            <w:spacing w:val="-3"/>
                            <w:sz w:val="21"/>
                          </w:rPr>
                          <w:t>其他免除保险责任条款</w:t>
                        </w:r>
                      </w:p>
                    </w:tc>
                    <w:tc>
                      <w:tcPr>
                        <w:tcW w:w="3157" w:type="dxa"/>
                        <w:gridSpan w:val="2"/>
                      </w:tcPr>
                      <w:p>
                        <w:pPr>
                          <w:pStyle w:val="TableParagraph"/>
                          <w:spacing w:line="220" w:lineRule="exact" w:before="2"/>
                          <w:ind w:left="276"/>
                          <w:rPr>
                            <w:sz w:val="21"/>
                          </w:rPr>
                        </w:pPr>
                        <w:r>
                          <w:rPr>
                            <w:sz w:val="21"/>
                          </w:rPr>
                          <w:t>9.4</w:t>
                        </w:r>
                        <w:r>
                          <w:rPr>
                            <w:spacing w:val="-4"/>
                            <w:sz w:val="21"/>
                          </w:rPr>
                          <w:t> 未还款项的扣除</w:t>
                        </w:r>
                      </w:p>
                    </w:tc>
                    <w:tc>
                      <w:tcPr>
                        <w:tcW w:w="3633" w:type="dxa"/>
                      </w:tcPr>
                      <w:p>
                        <w:pPr>
                          <w:pStyle w:val="TableParagraph"/>
                          <w:spacing w:line="222" w:lineRule="exact"/>
                          <w:rPr>
                            <w:sz w:val="21"/>
                          </w:rPr>
                        </w:pPr>
                        <w:r>
                          <w:rPr>
                            <w:sz w:val="21"/>
                          </w:rPr>
                          <w:t>11.20</w:t>
                        </w:r>
                        <w:r>
                          <w:rPr>
                            <w:spacing w:val="-5"/>
                            <w:sz w:val="21"/>
                          </w:rPr>
                          <w:t> 本合同约定利率</w:t>
                        </w:r>
                      </w:p>
                    </w:tc>
                  </w:tr>
                  <w:tr>
                    <w:trPr>
                      <w:trHeight w:val="258" w:hRule="atLeast"/>
                    </w:trPr>
                    <w:tc>
                      <w:tcPr>
                        <w:tcW w:w="3060" w:type="dxa"/>
                        <w:gridSpan w:val="2"/>
                      </w:tcPr>
                      <w:p>
                        <w:pPr>
                          <w:pStyle w:val="TableParagraph"/>
                          <w:spacing w:line="224" w:lineRule="exact"/>
                          <w:ind w:left="50"/>
                          <w:rPr>
                            <w:rFonts w:ascii="微软雅黑" w:eastAsia="微软雅黑"/>
                            <w:b/>
                            <w:sz w:val="21"/>
                          </w:rPr>
                        </w:pPr>
                        <w:r>
                          <w:rPr>
                            <w:rFonts w:ascii="微软雅黑" w:eastAsia="微软雅黑"/>
                            <w:b/>
                            <w:w w:val="95"/>
                            <w:sz w:val="21"/>
                          </w:rPr>
                          <w:t>3．</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支</w:t>
                        </w:r>
                        <w:r>
                          <w:rPr>
                            <w:rFonts w:ascii="微软雅黑" w:eastAsia="微软雅黑"/>
                            <w:b/>
                            <w:w w:val="95"/>
                            <w:sz w:val="21"/>
                          </w:rPr>
                          <w:t>付</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费</w:t>
                        </w:r>
                      </w:p>
                    </w:tc>
                    <w:tc>
                      <w:tcPr>
                        <w:tcW w:w="3157" w:type="dxa"/>
                        <w:gridSpan w:val="2"/>
                      </w:tcPr>
                      <w:p>
                        <w:pPr>
                          <w:pStyle w:val="TableParagraph"/>
                          <w:spacing w:line="224" w:lineRule="exact"/>
                          <w:ind w:left="276"/>
                          <w:rPr>
                            <w:sz w:val="21"/>
                          </w:rPr>
                        </w:pPr>
                        <w:r>
                          <w:rPr>
                            <w:sz w:val="21"/>
                          </w:rPr>
                          <w:t>9.5</w:t>
                        </w:r>
                        <w:r>
                          <w:rPr>
                            <w:spacing w:val="-4"/>
                            <w:sz w:val="21"/>
                          </w:rPr>
                          <w:t> 合同内容的变更</w:t>
                        </w:r>
                      </w:p>
                    </w:tc>
                    <w:tc>
                      <w:tcPr>
                        <w:tcW w:w="3633" w:type="dxa"/>
                      </w:tcPr>
                      <w:p>
                        <w:pPr>
                          <w:pStyle w:val="TableParagraph"/>
                          <w:spacing w:line="224" w:lineRule="exact"/>
                          <w:rPr>
                            <w:sz w:val="21"/>
                          </w:rPr>
                        </w:pPr>
                        <w:r>
                          <w:rPr>
                            <w:sz w:val="21"/>
                          </w:rPr>
                          <w:t>11.21</w:t>
                        </w:r>
                        <w:r>
                          <w:rPr>
                            <w:spacing w:val="-5"/>
                            <w:sz w:val="21"/>
                          </w:rPr>
                          <w:t> 组织病理学检查</w:t>
                        </w:r>
                      </w:p>
                    </w:tc>
                  </w:tr>
                  <w:tr>
                    <w:trPr>
                      <w:trHeight w:val="249" w:hRule="atLeast"/>
                    </w:trPr>
                    <w:tc>
                      <w:tcPr>
                        <w:tcW w:w="3060" w:type="dxa"/>
                        <w:gridSpan w:val="2"/>
                      </w:tcPr>
                      <w:p>
                        <w:pPr>
                          <w:pStyle w:val="TableParagraph"/>
                          <w:spacing w:line="228" w:lineRule="exact" w:before="1"/>
                          <w:ind w:left="261"/>
                          <w:rPr>
                            <w:sz w:val="21"/>
                          </w:rPr>
                        </w:pPr>
                        <w:r>
                          <w:rPr>
                            <w:sz w:val="21"/>
                          </w:rPr>
                          <w:t>3.1</w:t>
                        </w:r>
                        <w:r>
                          <w:rPr>
                            <w:spacing w:val="-4"/>
                            <w:sz w:val="21"/>
                          </w:rPr>
                          <w:t> 保险费的支付</w:t>
                        </w:r>
                      </w:p>
                    </w:tc>
                    <w:tc>
                      <w:tcPr>
                        <w:tcW w:w="3157" w:type="dxa"/>
                        <w:gridSpan w:val="2"/>
                      </w:tcPr>
                      <w:p>
                        <w:pPr>
                          <w:pStyle w:val="TableParagraph"/>
                          <w:spacing w:line="228" w:lineRule="exact" w:before="1"/>
                          <w:ind w:left="276"/>
                          <w:rPr>
                            <w:sz w:val="21"/>
                          </w:rPr>
                        </w:pPr>
                        <w:r>
                          <w:rPr>
                            <w:sz w:val="21"/>
                          </w:rPr>
                          <w:t>9.6</w:t>
                        </w:r>
                        <w:r>
                          <w:rPr>
                            <w:spacing w:val="-4"/>
                            <w:sz w:val="21"/>
                          </w:rPr>
                          <w:t> 争议处理</w:t>
                        </w:r>
                      </w:p>
                    </w:tc>
                    <w:tc>
                      <w:tcPr>
                        <w:tcW w:w="3633" w:type="dxa"/>
                      </w:tcPr>
                      <w:p>
                        <w:pPr>
                          <w:pStyle w:val="TableParagraph"/>
                          <w:spacing w:line="230" w:lineRule="exact"/>
                          <w:rPr>
                            <w:sz w:val="21"/>
                          </w:rPr>
                        </w:pPr>
                        <w:r>
                          <w:rPr>
                            <w:sz w:val="21"/>
                          </w:rPr>
                          <w:t>11.22</w:t>
                        </w:r>
                        <w:r>
                          <w:rPr>
                            <w:spacing w:val="-5"/>
                            <w:sz w:val="21"/>
                          </w:rPr>
                          <w:t> </w:t>
                        </w:r>
                        <w:r>
                          <w:rPr>
                            <w:sz w:val="21"/>
                          </w:rPr>
                          <w:t>ICD-</w:t>
                        </w:r>
                        <w:r>
                          <w:rPr>
                            <w:spacing w:val="-5"/>
                            <w:sz w:val="21"/>
                          </w:rPr>
                          <w:t>10</w:t>
                        </w:r>
                      </w:p>
                    </w:tc>
                  </w:tr>
                  <w:tr>
                    <w:trPr>
                      <w:trHeight w:val="250" w:hRule="atLeast"/>
                    </w:trPr>
                    <w:tc>
                      <w:tcPr>
                        <w:tcW w:w="3060" w:type="dxa"/>
                        <w:gridSpan w:val="2"/>
                      </w:tcPr>
                      <w:p>
                        <w:pPr>
                          <w:pStyle w:val="TableParagraph"/>
                          <w:spacing w:line="227" w:lineRule="exact" w:before="4"/>
                          <w:ind w:left="261"/>
                          <w:rPr>
                            <w:sz w:val="21"/>
                          </w:rPr>
                        </w:pPr>
                        <w:r>
                          <w:rPr>
                            <w:sz w:val="21"/>
                          </w:rPr>
                          <w:t>3.2</w:t>
                        </w:r>
                        <w:r>
                          <w:rPr>
                            <w:spacing w:val="-4"/>
                            <w:sz w:val="21"/>
                          </w:rPr>
                          <w:t> 宽限期</w:t>
                        </w:r>
                      </w:p>
                    </w:tc>
                    <w:tc>
                      <w:tcPr>
                        <w:tcW w:w="3157" w:type="dxa"/>
                        <w:gridSpan w:val="2"/>
                      </w:tcPr>
                      <w:p>
                        <w:pPr>
                          <w:pStyle w:val="TableParagraph"/>
                          <w:spacing w:line="231" w:lineRule="exact"/>
                          <w:ind w:left="64"/>
                          <w:rPr>
                            <w:rFonts w:ascii="微软雅黑" w:eastAsia="微软雅黑"/>
                            <w:b/>
                            <w:sz w:val="21"/>
                          </w:rPr>
                        </w:pPr>
                        <w:r>
                          <w:rPr>
                            <w:rFonts w:ascii="微软雅黑" w:eastAsia="微软雅黑"/>
                            <w:b/>
                            <w:w w:val="95"/>
                            <w:sz w:val="21"/>
                          </w:rPr>
                          <w:t>10．</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定</w:t>
                        </w:r>
                        <w:r>
                          <w:rPr>
                            <w:rFonts w:ascii="微软雅黑" w:eastAsia="微软雅黑"/>
                            <w:b/>
                            <w:spacing w:val="-10"/>
                            <w:w w:val="95"/>
                            <w:sz w:val="21"/>
                          </w:rPr>
                          <w:t>义</w:t>
                        </w:r>
                      </w:p>
                    </w:tc>
                    <w:tc>
                      <w:tcPr>
                        <w:tcW w:w="3633" w:type="dxa"/>
                      </w:tcPr>
                      <w:p>
                        <w:pPr>
                          <w:pStyle w:val="TableParagraph"/>
                          <w:spacing w:line="231" w:lineRule="exact"/>
                          <w:rPr>
                            <w:sz w:val="21"/>
                          </w:rPr>
                        </w:pPr>
                        <w:r>
                          <w:rPr>
                            <w:sz w:val="21"/>
                          </w:rPr>
                          <w:t>11.23</w:t>
                        </w:r>
                        <w:r>
                          <w:rPr>
                            <w:spacing w:val="-5"/>
                            <w:sz w:val="21"/>
                          </w:rPr>
                          <w:t> </w:t>
                        </w:r>
                        <w:r>
                          <w:rPr>
                            <w:sz w:val="21"/>
                          </w:rPr>
                          <w:t>ICD-O-</w:t>
                        </w:r>
                        <w:r>
                          <w:rPr>
                            <w:spacing w:val="-10"/>
                            <w:sz w:val="21"/>
                          </w:rPr>
                          <w:t>3</w:t>
                        </w:r>
                      </w:p>
                    </w:tc>
                  </w:tr>
                  <w:tr>
                    <w:trPr>
                      <w:trHeight w:val="249" w:hRule="atLeast"/>
                    </w:trPr>
                    <w:tc>
                      <w:tcPr>
                        <w:tcW w:w="3060" w:type="dxa"/>
                        <w:gridSpan w:val="2"/>
                      </w:tcPr>
                      <w:p>
                        <w:pPr>
                          <w:pStyle w:val="TableParagraph"/>
                          <w:spacing w:line="230" w:lineRule="exact"/>
                          <w:ind w:left="50"/>
                          <w:rPr>
                            <w:rFonts w:ascii="微软雅黑" w:eastAsia="微软雅黑"/>
                            <w:b/>
                            <w:sz w:val="21"/>
                          </w:rPr>
                        </w:pPr>
                        <w:r>
                          <w:rPr>
                            <w:rFonts w:ascii="微软雅黑" w:eastAsia="微软雅黑"/>
                            <w:b/>
                            <w:w w:val="95"/>
                            <w:sz w:val="21"/>
                          </w:rPr>
                          <w:t>4．</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效</w:t>
                        </w:r>
                        <w:r>
                          <w:rPr>
                            <w:rFonts w:ascii="微软雅黑" w:eastAsia="微软雅黑"/>
                            <w:b/>
                            <w:w w:val="95"/>
                            <w:sz w:val="21"/>
                          </w:rPr>
                          <w:t>力</w:t>
                        </w:r>
                        <w:r>
                          <w:rPr>
                            <w:rFonts w:ascii="微软雅黑" w:eastAsia="微软雅黑"/>
                            <w:b/>
                            <w:w w:val="95"/>
                            <w:sz w:val="21"/>
                          </w:rPr>
                          <w:t>的</w:t>
                        </w:r>
                        <w:r>
                          <w:rPr>
                            <w:rFonts w:ascii="微软雅黑" w:eastAsia="微软雅黑"/>
                            <w:b/>
                            <w:w w:val="95"/>
                            <w:sz w:val="21"/>
                          </w:rPr>
                          <w:t>中</w:t>
                        </w:r>
                        <w:r>
                          <w:rPr>
                            <w:rFonts w:ascii="微软雅黑" w:eastAsia="微软雅黑"/>
                            <w:b/>
                            <w:w w:val="95"/>
                            <w:sz w:val="21"/>
                          </w:rPr>
                          <w:t>止</w:t>
                        </w:r>
                        <w:r>
                          <w:rPr>
                            <w:rFonts w:ascii="微软雅黑" w:eastAsia="微软雅黑"/>
                            <w:b/>
                            <w:w w:val="95"/>
                            <w:sz w:val="21"/>
                          </w:rPr>
                          <w:t>及</w:t>
                        </w:r>
                        <w:r>
                          <w:rPr>
                            <w:rFonts w:ascii="微软雅黑" w:eastAsia="微软雅黑"/>
                            <w:b/>
                            <w:spacing w:val="-5"/>
                            <w:w w:val="95"/>
                            <w:sz w:val="21"/>
                          </w:rPr>
                          <w:t>恢复</w:t>
                        </w:r>
                      </w:p>
                    </w:tc>
                    <w:tc>
                      <w:tcPr>
                        <w:tcW w:w="3157" w:type="dxa"/>
                        <w:gridSpan w:val="2"/>
                      </w:tcPr>
                      <w:p>
                        <w:pPr>
                          <w:pStyle w:val="TableParagraph"/>
                          <w:spacing w:line="227" w:lineRule="exact" w:before="2"/>
                          <w:ind w:left="276"/>
                          <w:rPr>
                            <w:sz w:val="21"/>
                          </w:rPr>
                        </w:pPr>
                        <w:r>
                          <w:rPr>
                            <w:sz w:val="21"/>
                          </w:rPr>
                          <w:t>10.1</w:t>
                        </w:r>
                        <w:r>
                          <w:rPr>
                            <w:spacing w:val="-4"/>
                            <w:sz w:val="21"/>
                          </w:rPr>
                          <w:t> 轻症疾病定义</w:t>
                        </w:r>
                      </w:p>
                    </w:tc>
                    <w:tc>
                      <w:tcPr>
                        <w:tcW w:w="3633" w:type="dxa"/>
                      </w:tcPr>
                      <w:p>
                        <w:pPr>
                          <w:pStyle w:val="TableParagraph"/>
                          <w:spacing w:line="230" w:lineRule="exact"/>
                          <w:rPr>
                            <w:sz w:val="21"/>
                          </w:rPr>
                        </w:pPr>
                        <w:r>
                          <w:rPr>
                            <w:sz w:val="21"/>
                          </w:rPr>
                          <w:t>11.24</w:t>
                        </w:r>
                        <w:r>
                          <w:rPr>
                            <w:spacing w:val="-2"/>
                            <w:sz w:val="21"/>
                          </w:rPr>
                          <w:t> </w:t>
                        </w:r>
                        <w:r>
                          <w:rPr>
                            <w:sz w:val="21"/>
                          </w:rPr>
                          <w:t>TNM</w:t>
                        </w:r>
                        <w:r>
                          <w:rPr>
                            <w:spacing w:val="-22"/>
                            <w:sz w:val="21"/>
                          </w:rPr>
                          <w:t> 分期</w:t>
                        </w:r>
                      </w:p>
                    </w:tc>
                  </w:tr>
                  <w:tr>
                    <w:trPr>
                      <w:trHeight w:val="249" w:hRule="atLeast"/>
                    </w:trPr>
                    <w:tc>
                      <w:tcPr>
                        <w:tcW w:w="3060" w:type="dxa"/>
                        <w:gridSpan w:val="2"/>
                      </w:tcPr>
                      <w:p>
                        <w:pPr>
                          <w:pStyle w:val="TableParagraph"/>
                          <w:spacing w:line="227" w:lineRule="exact" w:before="3"/>
                          <w:ind w:left="261"/>
                          <w:rPr>
                            <w:sz w:val="21"/>
                          </w:rPr>
                        </w:pPr>
                        <w:r>
                          <w:rPr>
                            <w:sz w:val="21"/>
                          </w:rPr>
                          <w:t>4.1</w:t>
                        </w:r>
                        <w:r>
                          <w:rPr>
                            <w:spacing w:val="-4"/>
                            <w:sz w:val="21"/>
                          </w:rPr>
                          <w:t> 合同效力的中止</w:t>
                        </w:r>
                      </w:p>
                    </w:tc>
                    <w:tc>
                      <w:tcPr>
                        <w:tcW w:w="3157" w:type="dxa"/>
                        <w:gridSpan w:val="2"/>
                      </w:tcPr>
                      <w:p>
                        <w:pPr>
                          <w:pStyle w:val="TableParagraph"/>
                          <w:spacing w:line="227" w:lineRule="exact" w:before="3"/>
                          <w:ind w:left="276"/>
                          <w:rPr>
                            <w:sz w:val="21"/>
                          </w:rPr>
                        </w:pPr>
                        <w:r>
                          <w:rPr>
                            <w:sz w:val="21"/>
                          </w:rPr>
                          <w:t>10.2</w:t>
                        </w:r>
                        <w:r>
                          <w:rPr>
                            <w:spacing w:val="-4"/>
                            <w:sz w:val="21"/>
                          </w:rPr>
                          <w:t> 中症疾病定义</w:t>
                        </w:r>
                      </w:p>
                    </w:tc>
                    <w:tc>
                      <w:tcPr>
                        <w:tcW w:w="3633" w:type="dxa"/>
                      </w:tcPr>
                      <w:p>
                        <w:pPr>
                          <w:pStyle w:val="TableParagraph"/>
                          <w:spacing w:line="230" w:lineRule="exact"/>
                          <w:rPr>
                            <w:sz w:val="21"/>
                          </w:rPr>
                        </w:pPr>
                        <w:r>
                          <w:rPr>
                            <w:sz w:val="21"/>
                          </w:rPr>
                          <w:t>11.25</w:t>
                        </w:r>
                        <w:r>
                          <w:rPr>
                            <w:spacing w:val="-4"/>
                            <w:sz w:val="21"/>
                          </w:rPr>
                          <w:t> 肢体</w:t>
                        </w:r>
                      </w:p>
                    </w:tc>
                  </w:tr>
                  <w:tr>
                    <w:trPr>
                      <w:trHeight w:val="249" w:hRule="atLeast"/>
                    </w:trPr>
                    <w:tc>
                      <w:tcPr>
                        <w:tcW w:w="3060" w:type="dxa"/>
                        <w:gridSpan w:val="2"/>
                      </w:tcPr>
                      <w:p>
                        <w:pPr>
                          <w:pStyle w:val="TableParagraph"/>
                          <w:spacing w:line="227" w:lineRule="exact" w:before="2"/>
                          <w:ind w:left="261"/>
                          <w:rPr>
                            <w:sz w:val="21"/>
                          </w:rPr>
                        </w:pPr>
                        <w:r>
                          <w:rPr>
                            <w:sz w:val="21"/>
                          </w:rPr>
                          <w:t>4.2</w:t>
                        </w:r>
                        <w:r>
                          <w:rPr>
                            <w:spacing w:val="-4"/>
                            <w:sz w:val="21"/>
                          </w:rPr>
                          <w:t> 合同效力的恢复</w:t>
                        </w:r>
                      </w:p>
                    </w:tc>
                    <w:tc>
                      <w:tcPr>
                        <w:tcW w:w="3157" w:type="dxa"/>
                        <w:gridSpan w:val="2"/>
                      </w:tcPr>
                      <w:p>
                        <w:pPr>
                          <w:pStyle w:val="TableParagraph"/>
                          <w:spacing w:line="227" w:lineRule="exact" w:before="2"/>
                          <w:ind w:left="276"/>
                          <w:rPr>
                            <w:sz w:val="21"/>
                          </w:rPr>
                        </w:pPr>
                        <w:r>
                          <w:rPr>
                            <w:sz w:val="21"/>
                          </w:rPr>
                          <w:t>10.3</w:t>
                        </w:r>
                        <w:r>
                          <w:rPr>
                            <w:spacing w:val="-4"/>
                            <w:sz w:val="21"/>
                          </w:rPr>
                          <w:t> 重大疾病定义</w:t>
                        </w:r>
                      </w:p>
                    </w:tc>
                    <w:tc>
                      <w:tcPr>
                        <w:tcW w:w="3633" w:type="dxa"/>
                      </w:tcPr>
                      <w:p>
                        <w:pPr>
                          <w:pStyle w:val="TableParagraph"/>
                          <w:spacing w:line="230" w:lineRule="exact"/>
                          <w:rPr>
                            <w:sz w:val="21"/>
                          </w:rPr>
                        </w:pPr>
                        <w:r>
                          <w:rPr>
                            <w:sz w:val="21"/>
                          </w:rPr>
                          <w:t>11.26</w:t>
                        </w:r>
                        <w:r>
                          <w:rPr>
                            <w:spacing w:val="-4"/>
                            <w:sz w:val="21"/>
                          </w:rPr>
                          <w:t> 肌力</w:t>
                        </w:r>
                      </w:p>
                    </w:tc>
                  </w:tr>
                  <w:tr>
                    <w:trPr>
                      <w:trHeight w:val="242" w:hRule="atLeast"/>
                    </w:trPr>
                    <w:tc>
                      <w:tcPr>
                        <w:tcW w:w="3060" w:type="dxa"/>
                        <w:gridSpan w:val="2"/>
                      </w:tcPr>
                      <w:p>
                        <w:pPr>
                          <w:pStyle w:val="TableParagraph"/>
                          <w:spacing w:line="222" w:lineRule="exact"/>
                          <w:ind w:left="50"/>
                          <w:rPr>
                            <w:rFonts w:ascii="微软雅黑" w:eastAsia="微软雅黑"/>
                            <w:b/>
                            <w:sz w:val="21"/>
                          </w:rPr>
                        </w:pPr>
                        <w:r>
                          <w:rPr>
                            <w:rFonts w:ascii="微软雅黑" w:eastAsia="微软雅黑"/>
                            <w:b/>
                            <w:w w:val="95"/>
                            <w:sz w:val="21"/>
                          </w:rPr>
                          <w:t>5．</w:t>
                        </w:r>
                        <w:r>
                          <w:rPr>
                            <w:rFonts w:ascii="微软雅黑" w:eastAsia="微软雅黑"/>
                            <w:b/>
                            <w:w w:val="95"/>
                            <w:sz w:val="21"/>
                          </w:rPr>
                          <w:t>现</w:t>
                        </w:r>
                        <w:r>
                          <w:rPr>
                            <w:rFonts w:ascii="微软雅黑" w:eastAsia="微软雅黑"/>
                            <w:b/>
                            <w:w w:val="95"/>
                            <w:sz w:val="21"/>
                          </w:rPr>
                          <w:t>金</w:t>
                        </w:r>
                        <w:r>
                          <w:rPr>
                            <w:rFonts w:ascii="微软雅黑" w:eastAsia="微软雅黑"/>
                            <w:b/>
                            <w:w w:val="95"/>
                            <w:sz w:val="21"/>
                          </w:rPr>
                          <w:t>价</w:t>
                        </w:r>
                        <w:r>
                          <w:rPr>
                            <w:rFonts w:ascii="微软雅黑" w:eastAsia="微软雅黑"/>
                            <w:b/>
                            <w:w w:val="95"/>
                            <w:sz w:val="21"/>
                          </w:rPr>
                          <w:t>值</w:t>
                        </w:r>
                        <w:r>
                          <w:rPr>
                            <w:rFonts w:ascii="微软雅黑" w:eastAsia="微软雅黑"/>
                            <w:b/>
                            <w:w w:val="95"/>
                            <w:sz w:val="21"/>
                          </w:rPr>
                          <w:t>权</w:t>
                        </w:r>
                        <w:r>
                          <w:rPr>
                            <w:rFonts w:ascii="微软雅黑" w:eastAsia="微软雅黑"/>
                            <w:b/>
                            <w:spacing w:val="-10"/>
                            <w:w w:val="95"/>
                            <w:sz w:val="21"/>
                          </w:rPr>
                          <w:t>益</w:t>
                        </w:r>
                      </w:p>
                    </w:tc>
                    <w:tc>
                      <w:tcPr>
                        <w:tcW w:w="3157" w:type="dxa"/>
                        <w:gridSpan w:val="2"/>
                      </w:tcPr>
                      <w:p>
                        <w:pPr>
                          <w:pStyle w:val="TableParagraph"/>
                          <w:spacing w:line="222" w:lineRule="exact"/>
                          <w:ind w:left="64"/>
                          <w:rPr>
                            <w:rFonts w:ascii="微软雅黑" w:eastAsia="微软雅黑"/>
                            <w:b/>
                            <w:sz w:val="21"/>
                          </w:rPr>
                        </w:pPr>
                        <w:r>
                          <w:rPr>
                            <w:rFonts w:ascii="微软雅黑" w:eastAsia="微软雅黑"/>
                            <w:b/>
                            <w:w w:val="90"/>
                            <w:sz w:val="21"/>
                          </w:rPr>
                          <w:t>11．</w:t>
                        </w:r>
                        <w:r>
                          <w:rPr>
                            <w:rFonts w:ascii="微软雅黑" w:eastAsia="微软雅黑"/>
                            <w:b/>
                            <w:w w:val="90"/>
                            <w:sz w:val="21"/>
                          </w:rPr>
                          <w:t>释</w:t>
                        </w:r>
                        <w:r>
                          <w:rPr>
                            <w:rFonts w:ascii="微软雅黑" w:eastAsia="微软雅黑"/>
                            <w:b/>
                            <w:spacing w:val="-10"/>
                            <w:w w:val="90"/>
                            <w:sz w:val="21"/>
                          </w:rPr>
                          <w:t>义</w:t>
                        </w:r>
                      </w:p>
                    </w:tc>
                    <w:tc>
                      <w:tcPr>
                        <w:tcW w:w="3633" w:type="dxa"/>
                      </w:tcPr>
                      <w:p>
                        <w:pPr>
                          <w:pStyle w:val="TableParagraph"/>
                          <w:spacing w:line="222" w:lineRule="exact"/>
                          <w:rPr>
                            <w:sz w:val="21"/>
                          </w:rPr>
                        </w:pPr>
                        <w:r>
                          <w:rPr>
                            <w:sz w:val="21"/>
                          </w:rPr>
                          <w:t>11.27</w:t>
                        </w:r>
                        <w:r>
                          <w:rPr>
                            <w:spacing w:val="-5"/>
                            <w:sz w:val="21"/>
                          </w:rPr>
                          <w:t> 六项基本日常生活活动</w:t>
                        </w:r>
                      </w:p>
                    </w:tc>
                  </w:tr>
                  <w:tr>
                    <w:trPr>
                      <w:trHeight w:val="262" w:hRule="atLeast"/>
                    </w:trPr>
                    <w:tc>
                      <w:tcPr>
                        <w:tcW w:w="3060" w:type="dxa"/>
                        <w:gridSpan w:val="2"/>
                      </w:tcPr>
                      <w:p>
                        <w:pPr>
                          <w:pStyle w:val="TableParagraph"/>
                          <w:spacing w:line="226" w:lineRule="exact"/>
                          <w:ind w:left="261"/>
                          <w:rPr>
                            <w:sz w:val="21"/>
                          </w:rPr>
                        </w:pPr>
                        <w:r>
                          <w:rPr>
                            <w:sz w:val="21"/>
                          </w:rPr>
                          <w:t>5.1</w:t>
                        </w:r>
                        <w:r>
                          <w:rPr>
                            <w:spacing w:val="-4"/>
                            <w:sz w:val="21"/>
                          </w:rPr>
                          <w:t> 保单质押贷款</w:t>
                        </w:r>
                      </w:p>
                    </w:tc>
                    <w:tc>
                      <w:tcPr>
                        <w:tcW w:w="698" w:type="dxa"/>
                      </w:tcPr>
                      <w:p>
                        <w:pPr>
                          <w:pStyle w:val="TableParagraph"/>
                          <w:spacing w:line="226" w:lineRule="exact"/>
                          <w:ind w:left="276" w:right="-15"/>
                          <w:rPr>
                            <w:sz w:val="21"/>
                          </w:rPr>
                        </w:pPr>
                        <w:r>
                          <w:rPr>
                            <w:spacing w:val="-4"/>
                            <w:sz w:val="21"/>
                          </w:rPr>
                          <w:t>11.1</w:t>
                        </w:r>
                      </w:p>
                    </w:tc>
                    <w:tc>
                      <w:tcPr>
                        <w:tcW w:w="2459" w:type="dxa"/>
                      </w:tcPr>
                      <w:p>
                        <w:pPr>
                          <w:pStyle w:val="TableParagraph"/>
                          <w:spacing w:line="226" w:lineRule="exact"/>
                          <w:ind w:left="103"/>
                          <w:rPr>
                            <w:sz w:val="21"/>
                          </w:rPr>
                        </w:pPr>
                        <w:r>
                          <w:rPr>
                            <w:spacing w:val="-4"/>
                            <w:sz w:val="21"/>
                          </w:rPr>
                          <w:t>保单年度</w:t>
                        </w:r>
                      </w:p>
                    </w:tc>
                    <w:tc>
                      <w:tcPr>
                        <w:tcW w:w="3633" w:type="dxa"/>
                      </w:tcPr>
                      <w:p>
                        <w:pPr>
                          <w:pStyle w:val="TableParagraph"/>
                          <w:spacing w:line="226" w:lineRule="exact"/>
                          <w:rPr>
                            <w:sz w:val="21"/>
                          </w:rPr>
                        </w:pPr>
                        <w:r>
                          <w:rPr>
                            <w:sz w:val="21"/>
                          </w:rPr>
                          <w:t>11.28</w:t>
                        </w:r>
                        <w:r>
                          <w:rPr>
                            <w:spacing w:val="-5"/>
                            <w:sz w:val="21"/>
                          </w:rPr>
                          <w:t> 永久不可逆</w:t>
                        </w:r>
                      </w:p>
                    </w:tc>
                  </w:tr>
                  <w:tr>
                    <w:trPr>
                      <w:trHeight w:val="257" w:hRule="atLeast"/>
                    </w:trPr>
                    <w:tc>
                      <w:tcPr>
                        <w:tcW w:w="3060" w:type="dxa"/>
                        <w:gridSpan w:val="2"/>
                      </w:tcPr>
                      <w:p>
                        <w:pPr>
                          <w:pStyle w:val="TableParagraph"/>
                          <w:spacing w:line="238" w:lineRule="exact"/>
                          <w:ind w:left="261"/>
                          <w:rPr>
                            <w:sz w:val="21"/>
                          </w:rPr>
                        </w:pPr>
                        <w:r>
                          <w:rPr>
                            <w:sz w:val="21"/>
                          </w:rPr>
                          <w:t>5.2</w:t>
                        </w:r>
                        <w:r>
                          <w:rPr>
                            <w:spacing w:val="-5"/>
                            <w:sz w:val="21"/>
                          </w:rPr>
                          <w:t> 保险费的自动垫交</w:t>
                        </w:r>
                      </w:p>
                    </w:tc>
                    <w:tc>
                      <w:tcPr>
                        <w:tcW w:w="698" w:type="dxa"/>
                      </w:tcPr>
                      <w:p>
                        <w:pPr>
                          <w:pStyle w:val="TableParagraph"/>
                          <w:spacing w:line="238" w:lineRule="exact"/>
                          <w:ind w:left="276" w:right="-15"/>
                          <w:rPr>
                            <w:sz w:val="21"/>
                          </w:rPr>
                        </w:pPr>
                        <w:r>
                          <w:rPr>
                            <w:spacing w:val="-4"/>
                            <w:sz w:val="21"/>
                          </w:rPr>
                          <w:t>11.2</w:t>
                        </w:r>
                      </w:p>
                    </w:tc>
                    <w:tc>
                      <w:tcPr>
                        <w:tcW w:w="2459" w:type="dxa"/>
                      </w:tcPr>
                      <w:p>
                        <w:pPr>
                          <w:pStyle w:val="TableParagraph"/>
                          <w:spacing w:line="238" w:lineRule="exact"/>
                          <w:ind w:left="103"/>
                          <w:rPr>
                            <w:sz w:val="21"/>
                          </w:rPr>
                        </w:pPr>
                        <w:r>
                          <w:rPr>
                            <w:spacing w:val="-4"/>
                            <w:sz w:val="21"/>
                          </w:rPr>
                          <w:t>保险费约定支付日</w:t>
                        </w:r>
                      </w:p>
                    </w:tc>
                    <w:tc>
                      <w:tcPr>
                        <w:tcW w:w="3633" w:type="dxa"/>
                      </w:tcPr>
                      <w:p>
                        <w:pPr>
                          <w:pStyle w:val="TableParagraph"/>
                          <w:spacing w:line="238" w:lineRule="exact"/>
                          <w:rPr>
                            <w:sz w:val="21"/>
                          </w:rPr>
                        </w:pPr>
                        <w:r>
                          <w:rPr>
                            <w:spacing w:val="-4"/>
                            <w:sz w:val="21"/>
                          </w:rPr>
                          <w:t>11.29 美国纽约心脏病学会（New</w:t>
                        </w:r>
                        <w:r>
                          <w:rPr>
                            <w:spacing w:val="-49"/>
                            <w:sz w:val="21"/>
                          </w:rPr>
                          <w:t> </w:t>
                        </w:r>
                        <w:r>
                          <w:rPr>
                            <w:spacing w:val="-4"/>
                            <w:sz w:val="21"/>
                          </w:rPr>
                          <w:t>York</w:t>
                        </w:r>
                      </w:p>
                    </w:tc>
                  </w:tr>
                  <w:tr>
                    <w:trPr>
                      <w:trHeight w:val="253" w:hRule="atLeast"/>
                    </w:trPr>
                    <w:tc>
                      <w:tcPr>
                        <w:tcW w:w="3060" w:type="dxa"/>
                        <w:gridSpan w:val="2"/>
                      </w:tcPr>
                      <w:p>
                        <w:pPr>
                          <w:pStyle w:val="TableParagraph"/>
                          <w:spacing w:line="233" w:lineRule="exact"/>
                          <w:ind w:left="50"/>
                          <w:rPr>
                            <w:rFonts w:ascii="微软雅黑" w:eastAsia="微软雅黑"/>
                            <w:b/>
                            <w:sz w:val="21"/>
                          </w:rPr>
                        </w:pPr>
                        <w:r>
                          <w:rPr>
                            <w:rFonts w:ascii="微软雅黑" w:eastAsia="微软雅黑"/>
                            <w:b/>
                            <w:sz w:val="21"/>
                          </w:rPr>
                          <w:t>6.</w:t>
                        </w:r>
                        <w:r>
                          <w:rPr>
                            <w:rFonts w:ascii="微软雅黑" w:eastAsia="微软雅黑"/>
                            <w:b/>
                            <w:spacing w:val="-2"/>
                            <w:sz w:val="21"/>
                          </w:rPr>
                          <w:t>明确说明与如实告知</w:t>
                        </w:r>
                      </w:p>
                    </w:tc>
                    <w:tc>
                      <w:tcPr>
                        <w:tcW w:w="698" w:type="dxa"/>
                      </w:tcPr>
                      <w:p>
                        <w:pPr>
                          <w:pStyle w:val="TableParagraph"/>
                          <w:spacing w:line="233" w:lineRule="exact"/>
                          <w:ind w:left="276" w:right="-15"/>
                          <w:rPr>
                            <w:sz w:val="21"/>
                          </w:rPr>
                        </w:pPr>
                        <w:r>
                          <w:rPr>
                            <w:spacing w:val="-4"/>
                            <w:sz w:val="21"/>
                          </w:rPr>
                          <w:t>11.3</w:t>
                        </w:r>
                      </w:p>
                    </w:tc>
                    <w:tc>
                      <w:tcPr>
                        <w:tcW w:w="2459" w:type="dxa"/>
                      </w:tcPr>
                      <w:p>
                        <w:pPr>
                          <w:pStyle w:val="TableParagraph"/>
                          <w:spacing w:line="233" w:lineRule="exact"/>
                          <w:ind w:left="103"/>
                          <w:rPr>
                            <w:sz w:val="21"/>
                          </w:rPr>
                        </w:pPr>
                        <w:r>
                          <w:rPr>
                            <w:spacing w:val="-5"/>
                            <w:sz w:val="21"/>
                          </w:rPr>
                          <w:t>周岁</w:t>
                        </w:r>
                      </w:p>
                    </w:tc>
                    <w:tc>
                      <w:tcPr>
                        <w:tcW w:w="3633" w:type="dxa"/>
                      </w:tcPr>
                      <w:p>
                        <w:pPr>
                          <w:pStyle w:val="TableParagraph"/>
                          <w:spacing w:line="233" w:lineRule="exact"/>
                          <w:ind w:left="736"/>
                          <w:rPr>
                            <w:sz w:val="21"/>
                          </w:rPr>
                        </w:pPr>
                        <w:r>
                          <w:rPr>
                            <w:sz w:val="21"/>
                          </w:rPr>
                          <w:t>Heart</w:t>
                        </w:r>
                        <w:r>
                          <w:rPr>
                            <w:spacing w:val="-19"/>
                            <w:sz w:val="21"/>
                          </w:rPr>
                          <w:t> </w:t>
                        </w:r>
                        <w:r>
                          <w:rPr>
                            <w:sz w:val="21"/>
                          </w:rPr>
                          <w:t>Association，NYHA）</w:t>
                        </w:r>
                        <w:r>
                          <w:rPr>
                            <w:spacing w:val="-10"/>
                            <w:sz w:val="21"/>
                          </w:rPr>
                          <w:t>心</w:t>
                        </w:r>
                      </w:p>
                    </w:tc>
                  </w:tr>
                  <w:tr>
                    <w:trPr>
                      <w:trHeight w:val="261" w:hRule="atLeast"/>
                    </w:trPr>
                    <w:tc>
                      <w:tcPr>
                        <w:tcW w:w="3060" w:type="dxa"/>
                        <w:gridSpan w:val="2"/>
                      </w:tcPr>
                      <w:p>
                        <w:pPr>
                          <w:pStyle w:val="TableParagraph"/>
                          <w:spacing w:line="242" w:lineRule="exact"/>
                          <w:ind w:left="261"/>
                          <w:rPr>
                            <w:sz w:val="21"/>
                          </w:rPr>
                        </w:pPr>
                        <w:r>
                          <w:rPr>
                            <w:sz w:val="21"/>
                          </w:rPr>
                          <w:t>6.1</w:t>
                        </w:r>
                        <w:r>
                          <w:rPr>
                            <w:spacing w:val="-4"/>
                            <w:sz w:val="21"/>
                          </w:rPr>
                          <w:t> 明确说明</w:t>
                        </w:r>
                      </w:p>
                    </w:tc>
                    <w:tc>
                      <w:tcPr>
                        <w:tcW w:w="698" w:type="dxa"/>
                      </w:tcPr>
                      <w:p>
                        <w:pPr>
                          <w:pStyle w:val="TableParagraph"/>
                          <w:spacing w:line="242" w:lineRule="exact"/>
                          <w:ind w:left="276" w:right="-15"/>
                          <w:rPr>
                            <w:sz w:val="21"/>
                          </w:rPr>
                        </w:pPr>
                        <w:r>
                          <w:rPr>
                            <w:spacing w:val="-4"/>
                            <w:sz w:val="21"/>
                          </w:rPr>
                          <w:t>11.4</w:t>
                        </w:r>
                      </w:p>
                    </w:tc>
                    <w:tc>
                      <w:tcPr>
                        <w:tcW w:w="2459" w:type="dxa"/>
                      </w:tcPr>
                      <w:p>
                        <w:pPr>
                          <w:pStyle w:val="TableParagraph"/>
                          <w:spacing w:line="242" w:lineRule="exact"/>
                          <w:ind w:left="103"/>
                          <w:rPr>
                            <w:sz w:val="21"/>
                          </w:rPr>
                        </w:pPr>
                        <w:r>
                          <w:rPr>
                            <w:spacing w:val="-4"/>
                            <w:sz w:val="21"/>
                          </w:rPr>
                          <w:t>意外伤害</w:t>
                        </w:r>
                      </w:p>
                    </w:tc>
                    <w:tc>
                      <w:tcPr>
                        <w:tcW w:w="3633" w:type="dxa"/>
                      </w:tcPr>
                      <w:p>
                        <w:pPr>
                          <w:pStyle w:val="TableParagraph"/>
                          <w:spacing w:line="223" w:lineRule="exact" w:before="18"/>
                          <w:ind w:left="736"/>
                          <w:rPr>
                            <w:sz w:val="21"/>
                          </w:rPr>
                        </w:pPr>
                        <w:r>
                          <w:rPr>
                            <w:spacing w:val="-4"/>
                            <w:sz w:val="21"/>
                          </w:rPr>
                          <w:t>功能状态分级</w:t>
                        </w:r>
                      </w:p>
                    </w:tc>
                  </w:tr>
                  <w:tr>
                    <w:trPr>
                      <w:trHeight w:val="267" w:hRule="atLeast"/>
                    </w:trPr>
                    <w:tc>
                      <w:tcPr>
                        <w:tcW w:w="3060" w:type="dxa"/>
                        <w:gridSpan w:val="2"/>
                      </w:tcPr>
                      <w:p>
                        <w:pPr>
                          <w:pStyle w:val="TableParagraph"/>
                          <w:spacing w:line="244" w:lineRule="exact"/>
                          <w:ind w:left="261"/>
                          <w:rPr>
                            <w:sz w:val="21"/>
                          </w:rPr>
                        </w:pPr>
                        <w:r>
                          <w:rPr>
                            <w:sz w:val="21"/>
                          </w:rPr>
                          <w:t>6.2</w:t>
                        </w:r>
                        <w:r>
                          <w:rPr>
                            <w:spacing w:val="-4"/>
                            <w:sz w:val="21"/>
                          </w:rPr>
                          <w:t> 如实告知</w:t>
                        </w:r>
                      </w:p>
                    </w:tc>
                    <w:tc>
                      <w:tcPr>
                        <w:tcW w:w="698" w:type="dxa"/>
                      </w:tcPr>
                      <w:p>
                        <w:pPr>
                          <w:pStyle w:val="TableParagraph"/>
                          <w:spacing w:line="244" w:lineRule="exact"/>
                          <w:ind w:left="276" w:right="-15"/>
                          <w:rPr>
                            <w:sz w:val="21"/>
                          </w:rPr>
                        </w:pPr>
                        <w:r>
                          <w:rPr>
                            <w:spacing w:val="-4"/>
                            <w:sz w:val="21"/>
                          </w:rPr>
                          <w:t>11.5</w:t>
                        </w:r>
                      </w:p>
                    </w:tc>
                    <w:tc>
                      <w:tcPr>
                        <w:tcW w:w="2459" w:type="dxa"/>
                      </w:tcPr>
                      <w:p>
                        <w:pPr>
                          <w:pStyle w:val="TableParagraph"/>
                          <w:spacing w:line="244" w:lineRule="exact"/>
                          <w:ind w:left="103"/>
                          <w:rPr>
                            <w:sz w:val="21"/>
                          </w:rPr>
                        </w:pPr>
                        <w:r>
                          <w:rPr>
                            <w:spacing w:val="-3"/>
                            <w:sz w:val="21"/>
                          </w:rPr>
                          <w:t>初次患本合同所定义的</w:t>
                        </w:r>
                      </w:p>
                    </w:tc>
                    <w:tc>
                      <w:tcPr>
                        <w:tcW w:w="3633" w:type="dxa"/>
                      </w:tcPr>
                      <w:p>
                        <w:pPr>
                          <w:pStyle w:val="TableParagraph"/>
                          <w:spacing w:line="220" w:lineRule="exact" w:before="28"/>
                          <w:rPr>
                            <w:sz w:val="21"/>
                          </w:rPr>
                        </w:pPr>
                        <w:r>
                          <w:rPr>
                            <w:sz w:val="21"/>
                          </w:rPr>
                          <w:t>11.30</w:t>
                        </w:r>
                        <w:r>
                          <w:rPr>
                            <w:spacing w:val="-12"/>
                            <w:sz w:val="21"/>
                          </w:rPr>
                          <w:t> 语言能力完全丧失，或严重咀嚼</w:t>
                        </w:r>
                      </w:p>
                    </w:tc>
                  </w:tr>
                </w:tbl>
                <w:p>
                  <w:pPr>
                    <w:pStyle w:val="BodyText"/>
                  </w:pPr>
                </w:p>
              </w:txbxContent>
            </v:textbox>
            <w10:wrap type="none"/>
          </v:shape>
        </w:pict>
      </w:r>
      <w:r>
        <w:rPr/>
        <w:t>6.3</w:t>
      </w:r>
      <w:r>
        <w:rPr>
          <w:spacing w:val="-5"/>
        </w:rPr>
        <w:t> 本公司合同解除权的限制</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pPr>
    </w:p>
    <w:p>
      <w:pPr>
        <w:pStyle w:val="BodyText"/>
        <w:ind w:left="554"/>
      </w:pPr>
      <w:r>
        <w:rPr>
          <w:spacing w:val="-3"/>
        </w:rPr>
        <w:t>中症疾病、轻症疾病</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7"/>
        </w:rPr>
      </w:pPr>
    </w:p>
    <w:p>
      <w:pPr>
        <w:pStyle w:val="BodyText"/>
        <w:ind w:left="554"/>
      </w:pPr>
      <w:r>
        <w:rPr>
          <w:spacing w:val="-4"/>
        </w:rPr>
        <w:t>吞咽功能障碍</w:t>
      </w:r>
    </w:p>
    <w:p>
      <w:pPr>
        <w:spacing w:after="0"/>
        <w:sectPr>
          <w:type w:val="continuous"/>
          <w:pgSz w:w="11910" w:h="16840"/>
          <w:pgMar w:top="600" w:bottom="280" w:left="900" w:right="340"/>
          <w:cols w:num="3" w:equalWidth="0">
            <w:col w:w="3329" w:space="271"/>
            <w:col w:w="2487" w:space="605"/>
            <w:col w:w="3978"/>
          </w:cols>
        </w:sectPr>
      </w:pPr>
    </w:p>
    <w:p>
      <w:pPr>
        <w:spacing w:line="485" w:lineRule="exact" w:before="0"/>
        <w:ind w:left="1957" w:right="2518" w:firstLine="0"/>
        <w:jc w:val="center"/>
        <w:rPr>
          <w:rFonts w:ascii="Microsoft JhengHei" w:eastAsia="Microsoft JhengHei"/>
          <w:b/>
          <w:sz w:val="30"/>
        </w:rPr>
      </w:pPr>
      <w:r>
        <w:rPr>
          <w:rFonts w:ascii="Microsoft JhengHei" w:eastAsia="Microsoft JhengHei"/>
          <w:b/>
          <w:spacing w:val="-1"/>
          <w:sz w:val="30"/>
        </w:rPr>
        <w:t>信泰如意护保益重大疾病保险条款</w:t>
      </w:r>
    </w:p>
    <w:p>
      <w:pPr>
        <w:pStyle w:val="BodyText"/>
        <w:spacing w:before="4"/>
        <w:rPr>
          <w:rFonts w:ascii="Microsoft JhengHei"/>
          <w:b/>
          <w:sz w:val="26"/>
        </w:rPr>
      </w:pPr>
    </w:p>
    <w:p>
      <w:pPr>
        <w:pStyle w:val="BodyText"/>
        <w:spacing w:line="278" w:lineRule="auto"/>
        <w:ind w:left="120" w:right="673"/>
      </w:pPr>
      <w:r>
        <w:rPr>
          <w:spacing w:val="-2"/>
        </w:rPr>
        <w:t>在本条款中，“您”指投保人，“我们”、“本公司”均指信泰人寿保险股份有限公司。“本合同”指您与</w:t>
      </w:r>
      <w:r>
        <w:rPr>
          <w:spacing w:val="-2"/>
        </w:rPr>
        <w:t>我们之间订立的“信泰如意护保益重大疾病保险合同”。</w:t>
      </w:r>
    </w:p>
    <w:p>
      <w:pPr>
        <w:tabs>
          <w:tab w:pos="1080" w:val="left" w:leader="none"/>
        </w:tabs>
        <w:spacing w:before="150"/>
        <w:ind w:left="227" w:right="0" w:firstLine="0"/>
        <w:jc w:val="left"/>
        <w:rPr>
          <w:rFonts w:ascii="微软雅黑" w:hAnsi="微软雅黑" w:eastAsia="微软雅黑"/>
          <w:b/>
          <w:sz w:val="24"/>
        </w:rPr>
      </w:pPr>
      <w:r>
        <w:rPr>
          <w:rFonts w:ascii="Wingdings" w:hAnsi="Wingdings" w:eastAsia="Wingdings"/>
          <w:b/>
          <w:spacing w:val="-10"/>
          <w:position w:val="-4"/>
          <w:sz w:val="40"/>
        </w:rPr>
        <w:t></w:t>
      </w:r>
      <w:r>
        <w:rPr>
          <w:rFonts w:ascii="Times New Roman" w:hAnsi="Times New Roman" w:eastAsia="Times New Roman"/>
          <w:position w:val="-4"/>
          <w:sz w:val="40"/>
        </w:rPr>
        <w:tab/>
      </w:r>
      <w:r>
        <w:rPr>
          <w:rFonts w:ascii="微软雅黑" w:hAnsi="微软雅黑" w:eastAsia="微软雅黑"/>
          <w:b/>
          <w:spacing w:val="-2"/>
          <w:sz w:val="24"/>
        </w:rPr>
        <w:t>您与我们的合同</w:t>
      </w:r>
    </w:p>
    <w:p>
      <w:pPr>
        <w:pStyle w:val="BodyText"/>
        <w:spacing w:before="14"/>
        <w:rPr>
          <w:rFonts w:ascii="微软雅黑"/>
          <w:b/>
          <w:sz w:val="3"/>
        </w:rPr>
      </w:pPr>
      <w:r>
        <w:rPr/>
        <w:drawing>
          <wp:anchor distT="0" distB="0" distL="0" distR="0" allowOverlap="1" layoutInCell="1" locked="0" behindDoc="0" simplePos="0" relativeHeight="4">
            <wp:simplePos x="0" y="0"/>
            <wp:positionH relativeFrom="page">
              <wp:posOffset>647700</wp:posOffset>
            </wp:positionH>
            <wp:positionV relativeFrom="paragraph">
              <wp:posOffset>59626</wp:posOffset>
            </wp:positionV>
            <wp:extent cx="638738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7383" cy="12287"/>
                    </a:xfrm>
                    <a:prstGeom prst="rect">
                      <a:avLst/>
                    </a:prstGeom>
                  </pic:spPr>
                </pic:pic>
              </a:graphicData>
            </a:graphic>
          </wp:anchor>
        </w:drawing>
      </w:r>
    </w:p>
    <w:p>
      <w:pPr>
        <w:pStyle w:val="ListParagraph"/>
        <w:numPr>
          <w:ilvl w:val="1"/>
          <w:numId w:val="3"/>
        </w:numPr>
        <w:tabs>
          <w:tab w:pos="1081" w:val="left" w:leader="none"/>
        </w:tabs>
        <w:spacing w:line="235" w:lineRule="auto" w:before="170" w:after="0"/>
        <w:ind w:left="2698" w:right="563" w:hanging="2470"/>
        <w:jc w:val="both"/>
        <w:rPr>
          <w:sz w:val="21"/>
        </w:rPr>
      </w:pPr>
      <w:r>
        <w:rPr>
          <w:rFonts w:ascii="微软雅黑" w:eastAsia="微软雅黑"/>
          <w:b/>
          <w:spacing w:val="82"/>
          <w:sz w:val="21"/>
        </w:rPr>
        <w:t>合同的构成 </w:t>
      </w:r>
      <w:r>
        <w:rPr>
          <w:sz w:val="21"/>
        </w:rPr>
        <w:t>本合同由保险单或其他保险凭证及所附保险条款、投保单、现金价值表、与本合</w:t>
      </w:r>
      <w:r>
        <w:rPr>
          <w:spacing w:val="-13"/>
          <w:sz w:val="21"/>
        </w:rPr>
        <w:t>同有关的其他投保文件、合法有效的声明、批注、批单及其他书面协议共同构成。</w:t>
      </w:r>
    </w:p>
    <w:p>
      <w:pPr>
        <w:pStyle w:val="BodyText"/>
        <w:spacing w:line="278" w:lineRule="auto" w:before="133"/>
        <w:ind w:left="2698" w:right="666"/>
        <w:jc w:val="both"/>
      </w:pPr>
      <w:r>
        <w:rPr>
          <w:spacing w:val="-5"/>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10"/>
        <w:rPr>
          <w:sz w:val="18"/>
        </w:rPr>
      </w:pPr>
    </w:p>
    <w:p>
      <w:pPr>
        <w:spacing w:after="0"/>
        <w:rPr>
          <w:sz w:val="18"/>
        </w:rPr>
        <w:sectPr>
          <w:footerReference w:type="default" r:id="rId7"/>
          <w:pgSz w:w="11910" w:h="16840"/>
          <w:pgMar w:footer="406" w:header="0" w:top="1200" w:bottom="600" w:left="900" w:right="340"/>
          <w:pgNumType w:start="1"/>
        </w:sectPr>
      </w:pPr>
    </w:p>
    <w:p>
      <w:pPr>
        <w:pStyle w:val="Heading2"/>
        <w:numPr>
          <w:ilvl w:val="1"/>
          <w:numId w:val="3"/>
        </w:numPr>
        <w:tabs>
          <w:tab w:pos="1080" w:val="left" w:leader="none"/>
          <w:tab w:pos="1081" w:val="left" w:leader="none"/>
        </w:tabs>
        <w:spacing w:line="194" w:lineRule="auto" w:before="57" w:after="0"/>
        <w:ind w:left="1080" w:right="38" w:hanging="853"/>
        <w:jc w:val="left"/>
      </w:pPr>
      <w:r>
        <w:rPr>
          <w:spacing w:val="-2"/>
        </w:rPr>
        <w:t>合同成立与生</w:t>
      </w:r>
      <w:r>
        <w:rPr>
          <w:spacing w:val="-10"/>
        </w:rPr>
        <w:t>效</w:t>
      </w:r>
    </w:p>
    <w:p>
      <w:pPr>
        <w:pStyle w:val="BodyText"/>
        <w:spacing w:before="72"/>
        <w:ind w:left="228"/>
      </w:pPr>
      <w:r>
        <w:rPr/>
        <w:br w:type="column"/>
      </w:r>
      <w:r>
        <w:rPr>
          <w:spacing w:val="-3"/>
        </w:rPr>
        <w:t>您提出保险申请，我们同意承保，本合同成立，本合同成立日载明于保险单上。</w:t>
      </w:r>
    </w:p>
    <w:p>
      <w:pPr>
        <w:pStyle w:val="BodyText"/>
        <w:spacing w:line="278" w:lineRule="auto" w:before="137"/>
        <w:ind w:left="228" w:right="561"/>
      </w:pPr>
      <w:r>
        <w:rPr>
          <w:spacing w:val="-16"/>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3"/>
        <w:ind w:left="228" w:right="666"/>
      </w:pPr>
      <w:r>
        <w:rPr>
          <w:spacing w:val="-2"/>
        </w:rPr>
        <w:t>本合同生效日以后每年的对应日为保单周年日。若当月无对应的同一日，则以该</w:t>
      </w:r>
      <w:r>
        <w:rPr>
          <w:spacing w:val="-2"/>
        </w:rPr>
        <w:t>月最后一日作为对应日。</w:t>
      </w:r>
    </w:p>
    <w:p>
      <w:pPr>
        <w:spacing w:before="26"/>
        <w:ind w:left="228" w:right="0" w:firstLine="0"/>
        <w:jc w:val="left"/>
        <w:rPr>
          <w:sz w:val="21"/>
        </w:rPr>
      </w:pPr>
      <w:r>
        <w:rPr>
          <w:rFonts w:ascii="微软雅黑" w:eastAsia="微软雅黑"/>
          <w:b/>
          <w:spacing w:val="-1"/>
          <w:sz w:val="21"/>
        </w:rPr>
        <w:t>保单年度 </w:t>
      </w:r>
      <w:r>
        <w:rPr>
          <w:spacing w:val="-2"/>
          <w:position w:val="11"/>
          <w:sz w:val="11"/>
        </w:rPr>
        <w:t>11.1</w:t>
      </w:r>
      <w:r>
        <w:rPr>
          <w:spacing w:val="-2"/>
          <w:sz w:val="21"/>
        </w:rPr>
        <w:t>、</w:t>
      </w:r>
      <w:r>
        <w:rPr>
          <w:rFonts w:ascii="微软雅黑" w:eastAsia="微软雅黑"/>
          <w:b/>
          <w:spacing w:val="-2"/>
          <w:sz w:val="21"/>
        </w:rPr>
        <w:t>保险费约定支付日 </w:t>
      </w:r>
      <w:r>
        <w:rPr>
          <w:spacing w:val="-2"/>
          <w:position w:val="11"/>
          <w:sz w:val="11"/>
        </w:rPr>
        <w:t>11.2</w:t>
      </w:r>
      <w:r>
        <w:rPr>
          <w:spacing w:val="-20"/>
          <w:position w:val="11"/>
          <w:sz w:val="11"/>
        </w:rPr>
        <w:t> </w:t>
      </w:r>
      <w:r>
        <w:rPr>
          <w:spacing w:val="-3"/>
          <w:sz w:val="21"/>
        </w:rPr>
        <w:t>均以本合同生效日计算。</w:t>
      </w:r>
    </w:p>
    <w:p>
      <w:pPr>
        <w:spacing w:after="0"/>
        <w:jc w:val="left"/>
        <w:rPr>
          <w:sz w:val="21"/>
        </w:rPr>
        <w:sectPr>
          <w:type w:val="continuous"/>
          <w:pgSz w:w="11910" w:h="16840"/>
          <w:pgMar w:header="0" w:footer="406" w:top="600" w:bottom="280" w:left="900" w:right="340"/>
          <w:cols w:num="2" w:equalWidth="0">
            <w:col w:w="2388" w:space="82"/>
            <w:col w:w="8200"/>
          </w:cols>
        </w:sectPr>
      </w:pPr>
    </w:p>
    <w:p>
      <w:pPr>
        <w:pStyle w:val="BodyText"/>
        <w:spacing w:before="5"/>
        <w:rPr>
          <w:sz w:val="23"/>
        </w:rPr>
      </w:pPr>
    </w:p>
    <w:p>
      <w:pPr>
        <w:pStyle w:val="ListParagraph"/>
        <w:numPr>
          <w:ilvl w:val="1"/>
          <w:numId w:val="3"/>
        </w:numPr>
        <w:tabs>
          <w:tab w:pos="1080" w:val="left" w:leader="none"/>
          <w:tab w:pos="1081" w:val="left" w:leader="none"/>
          <w:tab w:pos="2697" w:val="left" w:leader="none"/>
        </w:tabs>
        <w:spacing w:line="235" w:lineRule="auto" w:before="34" w:after="0"/>
        <w:ind w:left="2698" w:right="666" w:hanging="2470"/>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年</w:t>
      </w:r>
      <w:r>
        <w:rPr>
          <w:rFonts w:ascii="微软雅黑" w:eastAsia="微软雅黑"/>
          <w:b/>
          <w:spacing w:val="-4"/>
          <w:sz w:val="21"/>
        </w:rPr>
        <w:t>龄</w:t>
      </w:r>
      <w:r>
        <w:rPr>
          <w:rFonts w:ascii="微软雅黑" w:eastAsia="微软雅黑"/>
          <w:b/>
          <w:sz w:val="21"/>
        </w:rPr>
        <w:tab/>
      </w:r>
      <w:r>
        <w:rPr>
          <w:sz w:val="21"/>
        </w:rPr>
        <w:t>投保时被保险人的年龄为</w:t>
      </w:r>
      <w:r>
        <w:rPr>
          <w:sz w:val="21"/>
        </w:rPr>
        <w:t>投保年龄。投保年龄以</w:t>
      </w:r>
      <w:r>
        <w:rPr>
          <w:rFonts w:ascii="微软雅黑" w:eastAsia="微软雅黑"/>
          <w:b/>
          <w:sz w:val="21"/>
        </w:rPr>
        <w:t>周岁</w:t>
      </w:r>
      <w:r>
        <w:rPr>
          <w:rFonts w:ascii="微软雅黑" w:eastAsia="微软雅黑"/>
          <w:b/>
          <w:spacing w:val="13"/>
          <w:sz w:val="21"/>
        </w:rPr>
        <w:t> </w:t>
      </w:r>
      <w:r>
        <w:rPr>
          <w:position w:val="11"/>
          <w:sz w:val="11"/>
        </w:rPr>
        <w:t>11.3</w:t>
      </w:r>
      <w:r>
        <w:rPr>
          <w:spacing w:val="-14"/>
          <w:position w:val="11"/>
          <w:sz w:val="11"/>
        </w:rPr>
        <w:t> </w:t>
      </w:r>
      <w:r>
        <w:rPr>
          <w:sz w:val="21"/>
        </w:rPr>
        <w:t>计算，本公司接受</w:t>
      </w:r>
      <w:r>
        <w:rPr>
          <w:sz w:val="21"/>
        </w:rPr>
        <w:t>的本</w:t>
      </w:r>
      <w:r>
        <w:rPr>
          <w:spacing w:val="-2"/>
          <w:sz w:val="21"/>
        </w:rPr>
        <w:t>合</w:t>
      </w:r>
      <w:r>
        <w:rPr>
          <w:spacing w:val="-2"/>
          <w:sz w:val="21"/>
        </w:rPr>
        <w:t>同</w:t>
      </w:r>
      <w:r>
        <w:rPr>
          <w:spacing w:val="-2"/>
          <w:sz w:val="21"/>
        </w:rPr>
        <w:t>投保年龄为出生满二</w:t>
      </w:r>
      <w:r>
        <w:rPr>
          <w:spacing w:val="-2"/>
          <w:sz w:val="21"/>
        </w:rPr>
        <w:t>十</w:t>
      </w:r>
      <w:r>
        <w:rPr>
          <w:spacing w:val="-2"/>
          <w:sz w:val="21"/>
        </w:rPr>
        <w:t>八</w:t>
      </w:r>
      <w:r>
        <w:rPr>
          <w:spacing w:val="-2"/>
          <w:sz w:val="21"/>
        </w:rPr>
        <w:t>日至六十周</w:t>
      </w:r>
      <w:r>
        <w:rPr>
          <w:spacing w:val="-2"/>
          <w:sz w:val="21"/>
        </w:rPr>
        <w:t>岁</w:t>
      </w:r>
      <w:r>
        <w:rPr>
          <w:spacing w:val="-2"/>
          <w:sz w:val="21"/>
        </w:rPr>
        <w:t>。</w:t>
      </w:r>
    </w:p>
    <w:p>
      <w:pPr>
        <w:pStyle w:val="BodyText"/>
        <w:spacing w:before="6"/>
        <w:rPr>
          <w:sz w:val="22"/>
        </w:rPr>
      </w:pPr>
    </w:p>
    <w:p>
      <w:pPr>
        <w:pStyle w:val="ListParagraph"/>
        <w:numPr>
          <w:ilvl w:val="1"/>
          <w:numId w:val="3"/>
        </w:numPr>
        <w:tabs>
          <w:tab w:pos="1080" w:val="left" w:leader="none"/>
          <w:tab w:pos="1081" w:val="left" w:leader="none"/>
          <w:tab w:pos="2697" w:val="left" w:leader="none"/>
        </w:tabs>
        <w:spacing w:line="383" w:lineRule="exact" w:before="0" w:after="0"/>
        <w:ind w:left="1080" w:right="0" w:hanging="854"/>
        <w:jc w:val="left"/>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合</w:t>
      </w:r>
      <w:r>
        <w:rPr>
          <w:spacing w:val="-2"/>
          <w:sz w:val="21"/>
        </w:rPr>
        <w:t>同保险期间分为以下</w:t>
      </w:r>
      <w:r>
        <w:rPr>
          <w:spacing w:val="-2"/>
          <w:sz w:val="21"/>
        </w:rPr>
        <w:t>两</w:t>
      </w:r>
      <w:r>
        <w:rPr>
          <w:spacing w:val="-2"/>
          <w:sz w:val="21"/>
        </w:rPr>
        <w:t>种</w:t>
      </w:r>
      <w:r>
        <w:rPr>
          <w:spacing w:val="-10"/>
          <w:sz w:val="21"/>
        </w:rPr>
        <w:t>：</w:t>
      </w:r>
    </w:p>
    <w:p>
      <w:pPr>
        <w:pStyle w:val="ListParagraph"/>
        <w:numPr>
          <w:ilvl w:val="2"/>
          <w:numId w:val="3"/>
        </w:numPr>
        <w:tabs>
          <w:tab w:pos="3230" w:val="left" w:leader="none"/>
        </w:tabs>
        <w:spacing w:line="278" w:lineRule="auto" w:before="0" w:after="0"/>
        <w:ind w:left="3224" w:right="670" w:hanging="527"/>
        <w:jc w:val="left"/>
        <w:rPr>
          <w:sz w:val="21"/>
        </w:rPr>
      </w:pPr>
      <w:r>
        <w:rPr>
          <w:spacing w:val="-2"/>
          <w:sz w:val="21"/>
        </w:rPr>
        <w:t>自本合同生效日零时起至被保险人年满七十周岁后的首个保单周年日前一</w:t>
      </w:r>
      <w:r>
        <w:rPr>
          <w:spacing w:val="-2"/>
          <w:sz w:val="21"/>
        </w:rPr>
        <w:t>日二十四时止；</w:t>
      </w:r>
    </w:p>
    <w:p>
      <w:pPr>
        <w:pStyle w:val="ListParagraph"/>
        <w:numPr>
          <w:ilvl w:val="2"/>
          <w:numId w:val="3"/>
        </w:numPr>
        <w:tabs>
          <w:tab w:pos="3228" w:val="left" w:leader="none"/>
        </w:tabs>
        <w:spacing w:line="240" w:lineRule="auto" w:before="89" w:after="0"/>
        <w:ind w:left="3227" w:right="0" w:hanging="530"/>
        <w:jc w:val="left"/>
        <w:rPr>
          <w:sz w:val="21"/>
        </w:rPr>
      </w:pPr>
      <w:r>
        <w:rPr>
          <w:spacing w:val="-3"/>
          <w:sz w:val="21"/>
        </w:rPr>
        <w:t>终身，自本合同生效日零时起至被保险人身故时止。</w:t>
      </w:r>
    </w:p>
    <w:p>
      <w:pPr>
        <w:pStyle w:val="BodyText"/>
        <w:spacing w:before="137"/>
        <w:ind w:left="2698"/>
      </w:pPr>
      <w:r>
        <w:rPr>
          <w:spacing w:val="-3"/>
        </w:rPr>
        <w:t>本合同保险期间由您在投保时与我们约定，并载明于保险单上。</w:t>
      </w:r>
    </w:p>
    <w:p>
      <w:pPr>
        <w:pStyle w:val="BodyText"/>
        <w:spacing w:before="7"/>
        <w:rPr>
          <w:sz w:val="26"/>
        </w:rPr>
      </w:pPr>
    </w:p>
    <w:p>
      <w:pPr>
        <w:pStyle w:val="ListParagraph"/>
        <w:numPr>
          <w:ilvl w:val="1"/>
          <w:numId w:val="3"/>
        </w:numPr>
        <w:tabs>
          <w:tab w:pos="1080" w:val="left" w:leader="none"/>
          <w:tab w:pos="1081" w:val="left" w:leader="none"/>
          <w:tab w:pos="2697" w:val="left" w:leader="none"/>
        </w:tabs>
        <w:spacing w:line="194" w:lineRule="auto" w:before="0" w:after="0"/>
        <w:ind w:left="2698" w:right="671" w:hanging="2470"/>
        <w:jc w:val="left"/>
        <w:rPr>
          <w:rFonts w:ascii="微软雅黑" w:eastAsia="微软雅黑"/>
          <w:b/>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pacing w:val="-2"/>
          <w:sz w:val="21"/>
        </w:rPr>
        <w:t>为</w:t>
      </w:r>
      <w:r>
        <w:rPr>
          <w:spacing w:val="-2"/>
          <w:sz w:val="21"/>
        </w:rPr>
        <w:t>充</w:t>
      </w:r>
      <w:r>
        <w:rPr>
          <w:spacing w:val="-2"/>
          <w:sz w:val="21"/>
        </w:rPr>
        <w:t>分保障您的权益，本</w:t>
      </w:r>
      <w:r>
        <w:rPr>
          <w:spacing w:val="-2"/>
          <w:sz w:val="21"/>
        </w:rPr>
        <w:t>合</w:t>
      </w:r>
      <w:r>
        <w:rPr>
          <w:spacing w:val="-2"/>
          <w:sz w:val="21"/>
        </w:rPr>
        <w:t>同</w:t>
      </w:r>
      <w:r>
        <w:rPr>
          <w:spacing w:val="-2"/>
          <w:sz w:val="21"/>
        </w:rPr>
        <w:t>设有犹豫期。</w:t>
      </w:r>
      <w:r>
        <w:rPr>
          <w:rFonts w:ascii="微软雅黑" w:eastAsia="微软雅黑"/>
          <w:b/>
          <w:spacing w:val="-2"/>
          <w:sz w:val="21"/>
        </w:rPr>
        <w:t>自</w:t>
      </w:r>
      <w:r>
        <w:rPr>
          <w:rFonts w:ascii="微软雅黑" w:eastAsia="微软雅黑"/>
          <w:b/>
          <w:spacing w:val="-2"/>
          <w:sz w:val="21"/>
        </w:rPr>
        <w:t>您</w:t>
      </w:r>
      <w:r>
        <w:rPr>
          <w:rFonts w:ascii="微软雅黑" w:eastAsia="微软雅黑"/>
          <w:b/>
          <w:spacing w:val="-2"/>
          <w:sz w:val="21"/>
        </w:rPr>
        <w:t>签</w:t>
      </w:r>
      <w:r>
        <w:rPr>
          <w:rFonts w:ascii="微软雅黑" w:eastAsia="微软雅黑"/>
          <w:b/>
          <w:spacing w:val="-2"/>
          <w:sz w:val="21"/>
        </w:rPr>
        <w:t>收</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次</w:t>
      </w:r>
      <w:r>
        <w:rPr>
          <w:rFonts w:ascii="微软雅黑" w:eastAsia="微软雅黑"/>
          <w:b/>
          <w:spacing w:val="-2"/>
          <w:sz w:val="21"/>
        </w:rPr>
        <w:t>日</w:t>
      </w:r>
      <w:r>
        <w:rPr>
          <w:rFonts w:ascii="微软雅黑" w:eastAsia="微软雅黑"/>
          <w:b/>
          <w:spacing w:val="-2"/>
          <w:sz w:val="21"/>
        </w:rPr>
        <w:t>起</w:t>
      </w:r>
      <w:r>
        <w:rPr>
          <w:rFonts w:ascii="微软雅黑" w:eastAsia="微软雅黑"/>
          <w:b/>
          <w:spacing w:val="-2"/>
          <w:sz w:val="21"/>
        </w:rPr>
        <w:t>十</w:t>
      </w:r>
      <w:r>
        <w:rPr>
          <w:rFonts w:ascii="微软雅黑" w:eastAsia="微软雅黑"/>
          <w:b/>
          <w:spacing w:val="-2"/>
          <w:sz w:val="21"/>
        </w:rPr>
        <w:t>五日为</w:t>
      </w:r>
      <w:r>
        <w:rPr>
          <w:rFonts w:ascii="微软雅黑" w:eastAsia="微软雅黑"/>
          <w:b/>
          <w:spacing w:val="-2"/>
          <w:sz w:val="21"/>
        </w:rPr>
        <w:t>犹</w:t>
      </w:r>
      <w:r>
        <w:rPr>
          <w:rFonts w:ascii="微软雅黑" w:eastAsia="微软雅黑"/>
          <w:b/>
          <w:spacing w:val="-2"/>
          <w:sz w:val="21"/>
        </w:rPr>
        <w:t>豫</w:t>
      </w:r>
      <w:r>
        <w:rPr>
          <w:rFonts w:ascii="微软雅黑" w:eastAsia="微软雅黑"/>
          <w:b/>
          <w:spacing w:val="-2"/>
          <w:sz w:val="21"/>
        </w:rPr>
        <w:t>期</w:t>
      </w:r>
      <w:r>
        <w:rPr>
          <w:rFonts w:ascii="微软雅黑" w:eastAsia="微软雅黑"/>
          <w:b/>
          <w:spacing w:val="-2"/>
          <w:sz w:val="21"/>
        </w:rPr>
        <w:t>。</w:t>
      </w:r>
      <w:r>
        <w:rPr>
          <w:rFonts w:ascii="微软雅黑" w:eastAsia="微软雅黑"/>
          <w:b/>
          <w:spacing w:val="-2"/>
          <w:sz w:val="21"/>
        </w:rPr>
        <w:t>请</w:t>
      </w:r>
      <w:r>
        <w:rPr>
          <w:rFonts w:ascii="微软雅黑" w:eastAsia="微软雅黑"/>
          <w:b/>
          <w:spacing w:val="-2"/>
          <w:sz w:val="21"/>
        </w:rPr>
        <w:t>您</w:t>
      </w:r>
      <w:r>
        <w:rPr>
          <w:rFonts w:ascii="微软雅黑" w:eastAsia="微软雅黑"/>
          <w:b/>
          <w:spacing w:val="-2"/>
          <w:sz w:val="21"/>
        </w:rPr>
        <w:t>认</w:t>
      </w:r>
      <w:r>
        <w:rPr>
          <w:rFonts w:ascii="微软雅黑" w:eastAsia="微软雅黑"/>
          <w:b/>
          <w:spacing w:val="-2"/>
          <w:sz w:val="21"/>
        </w:rPr>
        <w:t>真</w:t>
      </w:r>
      <w:r>
        <w:rPr>
          <w:rFonts w:ascii="微软雅黑" w:eastAsia="微软雅黑"/>
          <w:b/>
          <w:spacing w:val="-2"/>
          <w:sz w:val="21"/>
        </w:rPr>
        <w:t>审</w:t>
      </w:r>
      <w:r>
        <w:rPr>
          <w:rFonts w:ascii="微软雅黑" w:eastAsia="微软雅黑"/>
          <w:b/>
          <w:spacing w:val="-2"/>
          <w:sz w:val="21"/>
        </w:rPr>
        <w:t>阅</w:t>
      </w:r>
      <w:r>
        <w:rPr>
          <w:rFonts w:ascii="微软雅黑" w:eastAsia="微软雅黑"/>
          <w:b/>
          <w:spacing w:val="-2"/>
          <w:sz w:val="21"/>
        </w:rPr>
        <w:t>本合同</w:t>
      </w:r>
      <w:r>
        <w:rPr>
          <w:rFonts w:ascii="微软雅黑" w:eastAsia="微软雅黑"/>
          <w:b/>
          <w:spacing w:val="-2"/>
          <w:sz w:val="21"/>
        </w:rPr>
        <w:t>条</w:t>
      </w:r>
      <w:r>
        <w:rPr>
          <w:rFonts w:ascii="微软雅黑" w:eastAsia="微软雅黑"/>
          <w:b/>
          <w:spacing w:val="-2"/>
          <w:sz w:val="21"/>
        </w:rPr>
        <w:t>款</w:t>
      </w:r>
      <w:r>
        <w:rPr>
          <w:rFonts w:ascii="微软雅黑" w:eastAsia="微软雅黑"/>
          <w:b/>
          <w:spacing w:val="-2"/>
          <w:sz w:val="21"/>
        </w:rPr>
        <w:t>，</w:t>
      </w:r>
      <w:r>
        <w:rPr>
          <w:rFonts w:ascii="微软雅黑" w:eastAsia="微软雅黑"/>
          <w:b/>
          <w:spacing w:val="-2"/>
          <w:sz w:val="21"/>
        </w:rPr>
        <w:t>在</w:t>
      </w:r>
      <w:r>
        <w:rPr>
          <w:rFonts w:ascii="微软雅黑" w:eastAsia="微软雅黑"/>
          <w:b/>
          <w:spacing w:val="-2"/>
          <w:sz w:val="21"/>
        </w:rPr>
        <w:t>犹</w:t>
      </w:r>
      <w:r>
        <w:rPr>
          <w:rFonts w:ascii="微软雅黑" w:eastAsia="微软雅黑"/>
          <w:b/>
          <w:spacing w:val="-2"/>
          <w:sz w:val="21"/>
        </w:rPr>
        <w:t>豫</w:t>
      </w:r>
      <w:r>
        <w:rPr>
          <w:rFonts w:ascii="微软雅黑" w:eastAsia="微软雅黑"/>
          <w:b/>
          <w:spacing w:val="-2"/>
          <w:sz w:val="21"/>
        </w:rPr>
        <w:t>期</w:t>
      </w:r>
      <w:r>
        <w:rPr>
          <w:rFonts w:ascii="微软雅黑" w:eastAsia="微软雅黑"/>
          <w:b/>
          <w:spacing w:val="-2"/>
          <w:sz w:val="21"/>
        </w:rPr>
        <w:t>内</w:t>
      </w:r>
      <w:r>
        <w:rPr>
          <w:rFonts w:ascii="微软雅黑" w:eastAsia="微软雅黑"/>
          <w:b/>
          <w:spacing w:val="-2"/>
          <w:sz w:val="21"/>
        </w:rPr>
        <w:t>您可以</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解</w:t>
      </w:r>
      <w:r>
        <w:rPr>
          <w:rFonts w:ascii="微软雅黑" w:eastAsia="微软雅黑"/>
          <w:b/>
          <w:spacing w:val="-2"/>
          <w:sz w:val="21"/>
        </w:rPr>
        <w:t>除</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w:t>
      </w:r>
    </w:p>
    <w:p>
      <w:pPr>
        <w:pStyle w:val="BodyText"/>
        <w:spacing w:line="312" w:lineRule="exact" w:before="49"/>
        <w:ind w:left="2698" w:right="666"/>
        <w:jc w:val="both"/>
        <w:rPr>
          <w:rFonts w:ascii="微软雅黑" w:eastAsia="微软雅黑"/>
          <w:b/>
        </w:rPr>
      </w:pPr>
      <w:r>
        <w:rPr>
          <w:spacing w:val="-2"/>
        </w:rPr>
        <w:t>在犹豫期内申请解除本合同时，您需要填写申请书，并提供您的保险合同及有效</w:t>
      </w:r>
      <w:r>
        <w:rPr>
          <w:spacing w:val="-2"/>
        </w:rPr>
        <w:t>身份证件。自我们收到解除合同的书面申请之日起，本合同终止，我们将在扣除</w:t>
      </w:r>
      <w:r>
        <w:rPr>
          <w:spacing w:val="-7"/>
        </w:rPr>
        <w:t>工本费后退还您所支付的全部保险费，</w:t>
      </w:r>
      <w:r>
        <w:rPr>
          <w:rFonts w:ascii="微软雅黑" w:eastAsia="微软雅黑"/>
          <w:b/>
          <w:spacing w:val="-3"/>
        </w:rPr>
        <w:t>并且我们对本合同终止前发生的保险事故</w:t>
      </w:r>
    </w:p>
    <w:p>
      <w:pPr>
        <w:pStyle w:val="Heading2"/>
        <w:spacing w:line="360" w:lineRule="exact"/>
        <w:ind w:left="2698"/>
      </w:pPr>
      <w:r>
        <w:rPr>
          <w:spacing w:val="-2"/>
        </w:rPr>
        <w:t>不承担保险责任。</w:t>
      </w:r>
    </w:p>
    <w:p>
      <w:pPr>
        <w:pStyle w:val="BodyText"/>
        <w:spacing w:before="10"/>
        <w:rPr>
          <w:rFonts w:ascii="微软雅黑"/>
          <w:b/>
          <w:sz w:val="19"/>
        </w:rPr>
      </w:pPr>
    </w:p>
    <w:p>
      <w:pPr>
        <w:tabs>
          <w:tab w:pos="1080" w:val="left" w:leader="none"/>
        </w:tabs>
        <w:spacing w:before="0"/>
        <w:ind w:left="227" w:right="0" w:firstLine="0"/>
        <w:jc w:val="left"/>
        <w:rPr>
          <w:rFonts w:ascii="微软雅黑" w:hAnsi="微软雅黑" w:eastAsia="微软雅黑"/>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微软雅黑" w:hAnsi="微软雅黑" w:eastAsia="微软雅黑"/>
          <w:b/>
          <w:spacing w:val="-2"/>
          <w:sz w:val="24"/>
        </w:rPr>
        <w:t>我们提供的保障</w:t>
      </w:r>
    </w:p>
    <w:p>
      <w:pPr>
        <w:pStyle w:val="BodyText"/>
        <w:spacing w:before="5"/>
        <w:rPr>
          <w:rFonts w:ascii="微软雅黑"/>
          <w:b/>
          <w:sz w:val="4"/>
        </w:rPr>
      </w:pPr>
      <w:r>
        <w:rPr/>
        <w:drawing>
          <wp:anchor distT="0" distB="0" distL="0" distR="0" allowOverlap="1" layoutInCell="1" locked="0" behindDoc="0" simplePos="0" relativeHeight="5">
            <wp:simplePos x="0" y="0"/>
            <wp:positionH relativeFrom="page">
              <wp:posOffset>647700</wp:posOffset>
            </wp:positionH>
            <wp:positionV relativeFrom="paragraph">
              <wp:posOffset>65326</wp:posOffset>
            </wp:positionV>
            <wp:extent cx="6387317"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387317" cy="12287"/>
                    </a:xfrm>
                    <a:prstGeom prst="rect">
                      <a:avLst/>
                    </a:prstGeom>
                  </pic:spPr>
                </pic:pic>
              </a:graphicData>
            </a:graphic>
          </wp:anchor>
        </w:drawing>
      </w:r>
    </w:p>
    <w:p>
      <w:pPr>
        <w:pStyle w:val="ListParagraph"/>
        <w:numPr>
          <w:ilvl w:val="1"/>
          <w:numId w:val="4"/>
        </w:numPr>
        <w:tabs>
          <w:tab w:pos="1080" w:val="left" w:leader="none"/>
          <w:tab w:pos="1081" w:val="left" w:leader="none"/>
          <w:tab w:pos="2697" w:val="left" w:leader="none"/>
        </w:tabs>
        <w:spacing w:line="256" w:lineRule="auto" w:before="164" w:after="0"/>
        <w:ind w:left="2698" w:right="666" w:hanging="2470"/>
        <w:jc w:val="left"/>
        <w:rPr>
          <w:sz w:val="21"/>
        </w:rPr>
      </w:pPr>
      <w:r>
        <w:rPr>
          <w:rFonts w:ascii="微软雅黑" w:eastAsia="微软雅黑"/>
          <w:b/>
          <w:w w:val="100"/>
          <w:sz w:val="21"/>
        </w:rPr>
        <w:t>基本保险金额</w:t>
      </w:r>
      <w:r>
        <w:rPr>
          <w:rFonts w:ascii="微软雅黑" w:eastAsia="微软雅黑"/>
          <w:b/>
          <w:sz w:val="21"/>
        </w:rPr>
        <w:tab/>
      </w:r>
      <w:r>
        <w:rPr>
          <w:w w:val="100"/>
          <w:sz w:val="21"/>
        </w:rPr>
        <w:t>本合</w:t>
      </w:r>
      <w:r>
        <w:rPr>
          <w:spacing w:val="-3"/>
          <w:w w:val="100"/>
          <w:sz w:val="21"/>
        </w:rPr>
        <w:t>同</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由</w:t>
      </w:r>
      <w:r>
        <w:rPr>
          <w:w w:val="100"/>
          <w:sz w:val="21"/>
        </w:rPr>
        <w:t>您在</w:t>
      </w:r>
      <w:r>
        <w:rPr>
          <w:spacing w:val="-3"/>
          <w:w w:val="100"/>
          <w:sz w:val="21"/>
        </w:rPr>
        <w:t>投</w:t>
      </w:r>
      <w:r>
        <w:rPr>
          <w:w w:val="100"/>
          <w:sz w:val="21"/>
        </w:rPr>
        <w:t>保</w:t>
      </w:r>
      <w:r>
        <w:rPr>
          <w:spacing w:val="-3"/>
          <w:w w:val="100"/>
          <w:sz w:val="21"/>
        </w:rPr>
        <w:t>时</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2"/>
          <w:w w:val="100"/>
          <w:sz w:val="21"/>
        </w:rPr>
        <w:t>，</w:t>
      </w:r>
      <w:r>
        <w:rPr>
          <w:w w:val="100"/>
          <w:sz w:val="21"/>
        </w:rPr>
        <w:t>并载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r>
        <w:rPr>
          <w:spacing w:val="-31"/>
          <w:w w:val="100"/>
          <w:sz w:val="21"/>
        </w:rPr>
        <w:t>。</w:t>
      </w:r>
      <w:r>
        <w:rPr>
          <w:w w:val="100"/>
          <w:sz w:val="21"/>
        </w:rPr>
        <w:t>若</w:t>
      </w:r>
      <w:r>
        <w:rPr>
          <w:spacing w:val="-3"/>
          <w:w w:val="100"/>
          <w:sz w:val="21"/>
        </w:rPr>
        <w:t>您</w:t>
      </w:r>
      <w:r>
        <w:rPr>
          <w:w w:val="100"/>
          <w:sz w:val="21"/>
        </w:rPr>
        <w:t>后续变更</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w:t>
      </w:r>
      <w:r>
        <w:rPr>
          <w:w w:val="100"/>
          <w:sz w:val="21"/>
        </w:rPr>
        <w:t>我</w:t>
      </w:r>
      <w:r>
        <w:rPr>
          <w:spacing w:val="-3"/>
          <w:w w:val="100"/>
          <w:sz w:val="21"/>
        </w:rPr>
        <w:t>们</w:t>
      </w:r>
      <w:r>
        <w:rPr>
          <w:w w:val="100"/>
          <w:sz w:val="21"/>
        </w:rPr>
        <w:t>将按</w:t>
      </w:r>
      <w:r>
        <w:rPr>
          <w:spacing w:val="-3"/>
          <w:w w:val="100"/>
          <w:sz w:val="21"/>
        </w:rPr>
        <w:t>变</w:t>
      </w:r>
      <w:r>
        <w:rPr>
          <w:w w:val="100"/>
          <w:sz w:val="21"/>
        </w:rPr>
        <w:t>更</w:t>
      </w:r>
      <w:r>
        <w:rPr>
          <w:spacing w:val="-3"/>
          <w:w w:val="100"/>
          <w:sz w:val="21"/>
        </w:rPr>
        <w:t>后</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额计</w:t>
      </w:r>
      <w:r>
        <w:rPr>
          <w:spacing w:val="-3"/>
          <w:w w:val="100"/>
          <w:sz w:val="21"/>
        </w:rPr>
        <w:t>算</w:t>
      </w:r>
      <w:r>
        <w:rPr>
          <w:w w:val="100"/>
          <w:sz w:val="21"/>
        </w:rPr>
        <w:t>并</w:t>
      </w:r>
      <w:r>
        <w:rPr>
          <w:spacing w:val="-3"/>
          <w:w w:val="100"/>
          <w:sz w:val="21"/>
        </w:rPr>
        <w:t>承</w:t>
      </w:r>
      <w:r>
        <w:rPr>
          <w:w w:val="100"/>
          <w:sz w:val="21"/>
        </w:rPr>
        <w:t>担</w:t>
      </w:r>
      <w:r>
        <w:rPr>
          <w:spacing w:val="-3"/>
          <w:w w:val="100"/>
          <w:sz w:val="21"/>
        </w:rPr>
        <w:t>相</w:t>
      </w:r>
      <w:r>
        <w:rPr>
          <w:w w:val="100"/>
          <w:sz w:val="21"/>
        </w:rPr>
        <w:t>应</w:t>
      </w:r>
      <w:r>
        <w:rPr>
          <w:spacing w:val="-3"/>
          <w:w w:val="100"/>
          <w:sz w:val="21"/>
        </w:rPr>
        <w:t>的</w:t>
      </w:r>
      <w:r>
        <w:rPr>
          <w:w w:val="100"/>
          <w:sz w:val="21"/>
        </w:rPr>
        <w:t>保</w:t>
      </w:r>
      <w:r>
        <w:rPr>
          <w:spacing w:val="-3"/>
          <w:w w:val="100"/>
          <w:sz w:val="21"/>
        </w:rPr>
        <w:t>险</w:t>
      </w:r>
      <w:r>
        <w:rPr>
          <w:w w:val="100"/>
          <w:sz w:val="21"/>
        </w:rPr>
        <w:t>责任。</w:t>
      </w:r>
    </w:p>
    <w:p>
      <w:pPr>
        <w:spacing w:after="0" w:line="256" w:lineRule="auto"/>
        <w:jc w:val="left"/>
        <w:rPr>
          <w:sz w:val="21"/>
        </w:rPr>
        <w:sectPr>
          <w:type w:val="continuous"/>
          <w:pgSz w:w="11910" w:h="16840"/>
          <w:pgMar w:header="0" w:footer="406" w:top="600" w:bottom="280" w:left="900" w:right="340"/>
        </w:sectPr>
      </w:pPr>
    </w:p>
    <w:p>
      <w:pPr>
        <w:pStyle w:val="Heading2"/>
        <w:numPr>
          <w:ilvl w:val="1"/>
          <w:numId w:val="4"/>
        </w:numPr>
        <w:tabs>
          <w:tab w:pos="1080" w:val="left" w:leader="none"/>
          <w:tab w:pos="1081" w:val="left" w:leader="none"/>
        </w:tabs>
        <w:spacing w:line="194" w:lineRule="auto" w:before="42" w:after="0"/>
        <w:ind w:left="1080" w:right="38" w:hanging="853"/>
        <w:jc w:val="left"/>
      </w:pPr>
      <w:r>
        <w:rPr>
          <w:spacing w:val="-2"/>
        </w:rPr>
        <w:t>未成年人身故</w:t>
      </w:r>
      <w:r>
        <w:rPr>
          <w:spacing w:val="-2"/>
        </w:rPr>
        <w:t>保险金限制</w:t>
      </w:r>
    </w:p>
    <w:p>
      <w:pPr>
        <w:pStyle w:val="BodyText"/>
        <w:spacing w:line="278" w:lineRule="auto" w:before="57"/>
        <w:ind w:left="228" w:right="666"/>
        <w:jc w:val="both"/>
      </w:pPr>
      <w:r>
        <w:rPr/>
        <w:br w:type="column"/>
      </w:r>
      <w:r>
        <w:rPr>
          <w:spacing w:val="-6"/>
        </w:rPr>
        <w:t>为未成年子女投保的人身保险，约定的被保险人身故给付的保险金额总和不得超</w:t>
      </w:r>
      <w:r>
        <w:rPr>
          <w:spacing w:val="-5"/>
        </w:rPr>
        <w:t>过国务院保险监督管理机构规定的限额，被保险人身故时实际给付的保险金总和</w:t>
      </w:r>
      <w:r>
        <w:rPr>
          <w:spacing w:val="-2"/>
        </w:rPr>
        <w:t>也不得超过上述限额。</w:t>
      </w:r>
    </w:p>
    <w:p>
      <w:pPr>
        <w:spacing w:after="0" w:line="278" w:lineRule="auto"/>
        <w:jc w:val="both"/>
        <w:sectPr>
          <w:pgSz w:w="11910" w:h="16840"/>
          <w:pgMar w:header="0" w:footer="406" w:top="1080" w:bottom="600" w:left="900" w:right="340"/>
          <w:cols w:num="2" w:equalWidth="0">
            <w:col w:w="2388" w:space="82"/>
            <w:col w:w="8200"/>
          </w:cols>
        </w:sectPr>
      </w:pPr>
    </w:p>
    <w:p>
      <w:pPr>
        <w:pStyle w:val="BodyText"/>
        <w:spacing w:before="10"/>
        <w:rPr>
          <w:sz w:val="18"/>
        </w:rPr>
      </w:pPr>
    </w:p>
    <w:p>
      <w:pPr>
        <w:pStyle w:val="ListParagraph"/>
        <w:numPr>
          <w:ilvl w:val="1"/>
          <w:numId w:val="4"/>
        </w:numPr>
        <w:tabs>
          <w:tab w:pos="1081" w:val="left" w:leader="none"/>
        </w:tabs>
        <w:spacing w:line="256" w:lineRule="auto" w:before="4" w:after="0"/>
        <w:ind w:left="2698" w:right="666" w:hanging="2470"/>
        <w:jc w:val="both"/>
        <w:rPr>
          <w:sz w:val="21"/>
        </w:rPr>
      </w:pPr>
      <w:r>
        <w:rPr>
          <w:rFonts w:ascii="微软雅黑" w:eastAsia="微软雅黑"/>
          <w:b/>
          <w:spacing w:val="30"/>
          <w:sz w:val="21"/>
        </w:rPr>
        <w:t>轻症疾病名称 </w:t>
      </w:r>
      <w:r>
        <w:rPr>
          <w:spacing w:val="-3"/>
          <w:sz w:val="21"/>
        </w:rPr>
        <w:t>本合同所保障的轻症疾病共 </w:t>
      </w:r>
      <w:r>
        <w:rPr>
          <w:sz w:val="21"/>
        </w:rPr>
        <w:t>55</w:t>
      </w:r>
      <w:r>
        <w:rPr>
          <w:spacing w:val="-8"/>
          <w:sz w:val="21"/>
        </w:rPr>
        <w:t> 种，其中前 </w:t>
      </w:r>
      <w:r>
        <w:rPr>
          <w:sz w:val="21"/>
        </w:rPr>
        <w:t>3</w:t>
      </w:r>
      <w:r>
        <w:rPr>
          <w:spacing w:val="-5"/>
          <w:sz w:val="21"/>
        </w:rPr>
        <w:t> 种轻症疾病与《重大疾病保险的疾</w:t>
      </w:r>
      <w:r>
        <w:rPr>
          <w:sz w:val="21"/>
        </w:rPr>
        <w:t>病定义使用规范（2020 年修订版）》中轻度疾病的疾病名称和疾病定义保持一</w:t>
      </w:r>
      <w:r>
        <w:rPr>
          <w:spacing w:val="-2"/>
          <w:sz w:val="21"/>
        </w:rPr>
        <w:t>致，其他轻症疾病为本公司增加的轻症疾病。</w:t>
      </w:r>
    </w:p>
    <w:p>
      <w:pPr>
        <w:pStyle w:val="Heading2"/>
        <w:spacing w:line="333" w:lineRule="exact"/>
        <w:ind w:left="2698"/>
      </w:pPr>
      <w:r>
        <w:rPr/>
        <w:t>轻症疾病的定义详见“10.1</w:t>
      </w:r>
      <w:r>
        <w:rPr>
          <w:spacing w:val="-2"/>
        </w:rPr>
        <w:t> 轻症疾病定义”。</w:t>
      </w:r>
    </w:p>
    <w:tbl>
      <w:tblPr>
        <w:tblW w:w="0" w:type="auto"/>
        <w:jc w:val="left"/>
        <w:tblInd w:w="2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42"/>
        <w:gridCol w:w="2347"/>
      </w:tblGrid>
      <w:tr>
        <w:trPr>
          <w:trHeight w:val="314" w:hRule="atLeast"/>
        </w:trPr>
        <w:tc>
          <w:tcPr>
            <w:tcW w:w="7034" w:type="dxa"/>
            <w:gridSpan w:val="3"/>
          </w:tcPr>
          <w:p>
            <w:pPr>
              <w:pStyle w:val="TableParagraph"/>
              <w:spacing w:line="289" w:lineRule="exact"/>
              <w:ind w:left="2872" w:right="2863"/>
              <w:jc w:val="center"/>
              <w:rPr>
                <w:rFonts w:ascii="微软雅黑" w:eastAsia="微软雅黑"/>
                <w:b/>
                <w:sz w:val="21"/>
              </w:rPr>
            </w:pPr>
            <w:r>
              <w:rPr>
                <w:rFonts w:ascii="微软雅黑" w:eastAsia="微软雅黑"/>
                <w:b/>
                <w:spacing w:val="-2"/>
                <w:sz w:val="21"/>
              </w:rPr>
              <w:t>轻症疾病名称</w:t>
            </w:r>
          </w:p>
        </w:tc>
      </w:tr>
      <w:tr>
        <w:trPr>
          <w:trHeight w:val="239" w:hRule="atLeast"/>
        </w:trPr>
        <w:tc>
          <w:tcPr>
            <w:tcW w:w="2345" w:type="dxa"/>
          </w:tcPr>
          <w:p>
            <w:pPr>
              <w:pStyle w:val="TableParagraph"/>
              <w:spacing w:line="214" w:lineRule="exact"/>
              <w:rPr>
                <w:sz w:val="21"/>
              </w:rPr>
            </w:pPr>
            <w:r>
              <w:rPr>
                <w:spacing w:val="-2"/>
                <w:sz w:val="21"/>
              </w:rPr>
              <w:t>1.</w:t>
            </w:r>
            <w:r>
              <w:rPr>
                <w:spacing w:val="-4"/>
                <w:sz w:val="21"/>
              </w:rPr>
              <w:t>恶性肿瘤——轻度</w:t>
            </w:r>
          </w:p>
        </w:tc>
        <w:tc>
          <w:tcPr>
            <w:tcW w:w="2342" w:type="dxa"/>
          </w:tcPr>
          <w:p>
            <w:pPr>
              <w:pStyle w:val="TableParagraph"/>
              <w:spacing w:line="214" w:lineRule="exact"/>
              <w:ind w:left="108"/>
              <w:rPr>
                <w:sz w:val="21"/>
              </w:rPr>
            </w:pPr>
            <w:r>
              <w:rPr>
                <w:spacing w:val="-2"/>
                <w:sz w:val="21"/>
              </w:rPr>
              <w:t>2.</w:t>
            </w:r>
            <w:r>
              <w:rPr>
                <w:spacing w:val="-4"/>
                <w:sz w:val="21"/>
              </w:rPr>
              <w:t>较轻急性心肌梗死</w:t>
            </w:r>
          </w:p>
        </w:tc>
        <w:tc>
          <w:tcPr>
            <w:tcW w:w="2347" w:type="dxa"/>
          </w:tcPr>
          <w:p>
            <w:pPr>
              <w:pStyle w:val="TableParagraph"/>
              <w:spacing w:line="214" w:lineRule="exact"/>
              <w:ind w:left="111"/>
              <w:rPr>
                <w:sz w:val="21"/>
              </w:rPr>
            </w:pPr>
            <w:r>
              <w:rPr>
                <w:spacing w:val="-2"/>
                <w:sz w:val="21"/>
              </w:rPr>
              <w:t>3.</w:t>
            </w:r>
            <w:r>
              <w:rPr>
                <w:spacing w:val="-4"/>
                <w:sz w:val="21"/>
              </w:rPr>
              <w:t>轻度脑中风后遗症</w:t>
            </w:r>
          </w:p>
        </w:tc>
      </w:tr>
      <w:tr>
        <w:trPr>
          <w:trHeight w:val="479" w:hRule="atLeast"/>
        </w:trPr>
        <w:tc>
          <w:tcPr>
            <w:tcW w:w="2345" w:type="dxa"/>
          </w:tcPr>
          <w:p>
            <w:pPr>
              <w:pStyle w:val="TableParagraph"/>
              <w:spacing w:before="76"/>
              <w:rPr>
                <w:sz w:val="21"/>
              </w:rPr>
            </w:pPr>
            <w:r>
              <w:rPr>
                <w:spacing w:val="-2"/>
                <w:sz w:val="21"/>
              </w:rPr>
              <w:t>4.</w:t>
            </w:r>
            <w:r>
              <w:rPr>
                <w:spacing w:val="-5"/>
                <w:sz w:val="21"/>
              </w:rPr>
              <w:t>原位癌</w:t>
            </w:r>
          </w:p>
        </w:tc>
        <w:tc>
          <w:tcPr>
            <w:tcW w:w="2342" w:type="dxa"/>
          </w:tcPr>
          <w:p>
            <w:pPr>
              <w:pStyle w:val="TableParagraph"/>
              <w:spacing w:line="211" w:lineRule="exact"/>
              <w:ind w:left="108"/>
              <w:rPr>
                <w:sz w:val="21"/>
              </w:rPr>
            </w:pPr>
            <w:r>
              <w:rPr>
                <w:sz w:val="21"/>
              </w:rPr>
              <w:t>5</w:t>
            </w:r>
            <w:r>
              <w:rPr>
                <w:spacing w:val="-1"/>
                <w:sz w:val="21"/>
              </w:rPr>
              <w:t>.微创冠状动脉介入手</w:t>
            </w:r>
          </w:p>
          <w:p>
            <w:pPr>
              <w:pStyle w:val="TableParagraph"/>
              <w:spacing w:line="243" w:lineRule="exact"/>
              <w:ind w:left="108"/>
              <w:rPr>
                <w:sz w:val="21"/>
              </w:rPr>
            </w:pPr>
            <w:r>
              <w:rPr>
                <w:w w:val="100"/>
                <w:sz w:val="21"/>
              </w:rPr>
              <w:t>术</w:t>
            </w:r>
          </w:p>
        </w:tc>
        <w:tc>
          <w:tcPr>
            <w:tcW w:w="2347" w:type="dxa"/>
          </w:tcPr>
          <w:p>
            <w:pPr>
              <w:pStyle w:val="TableParagraph"/>
              <w:spacing w:before="76"/>
              <w:ind w:left="111"/>
              <w:rPr>
                <w:sz w:val="21"/>
              </w:rPr>
            </w:pPr>
            <w:r>
              <w:rPr>
                <w:spacing w:val="-2"/>
                <w:sz w:val="21"/>
              </w:rPr>
              <w:t>6.</w:t>
            </w:r>
            <w:r>
              <w:rPr>
                <w:spacing w:val="-4"/>
                <w:sz w:val="21"/>
              </w:rPr>
              <w:t>激光心肌血运重建</w:t>
            </w:r>
          </w:p>
        </w:tc>
      </w:tr>
      <w:tr>
        <w:trPr>
          <w:trHeight w:val="479" w:hRule="atLeast"/>
        </w:trPr>
        <w:tc>
          <w:tcPr>
            <w:tcW w:w="2345" w:type="dxa"/>
          </w:tcPr>
          <w:p>
            <w:pPr>
              <w:pStyle w:val="TableParagraph"/>
              <w:spacing w:before="76"/>
              <w:rPr>
                <w:sz w:val="21"/>
              </w:rPr>
            </w:pPr>
            <w:r>
              <w:rPr>
                <w:spacing w:val="-2"/>
                <w:sz w:val="21"/>
              </w:rPr>
              <w:t>7.</w:t>
            </w:r>
            <w:r>
              <w:rPr>
                <w:spacing w:val="-4"/>
                <w:sz w:val="21"/>
              </w:rPr>
              <w:t>心脏瓣膜介入手术</w:t>
            </w:r>
          </w:p>
        </w:tc>
        <w:tc>
          <w:tcPr>
            <w:tcW w:w="2342" w:type="dxa"/>
          </w:tcPr>
          <w:p>
            <w:pPr>
              <w:pStyle w:val="TableParagraph"/>
              <w:spacing w:before="76"/>
              <w:ind w:left="108"/>
              <w:rPr>
                <w:sz w:val="21"/>
              </w:rPr>
            </w:pPr>
            <w:r>
              <w:rPr>
                <w:spacing w:val="-2"/>
                <w:sz w:val="21"/>
              </w:rPr>
              <w:t>8.</w:t>
            </w:r>
            <w:r>
              <w:rPr>
                <w:spacing w:val="-4"/>
                <w:sz w:val="21"/>
              </w:rPr>
              <w:t>主动脉内手术</w:t>
            </w:r>
          </w:p>
        </w:tc>
        <w:tc>
          <w:tcPr>
            <w:tcW w:w="2347" w:type="dxa"/>
          </w:tcPr>
          <w:p>
            <w:pPr>
              <w:pStyle w:val="TableParagraph"/>
              <w:spacing w:line="211" w:lineRule="exact"/>
              <w:ind w:left="111"/>
              <w:rPr>
                <w:sz w:val="21"/>
              </w:rPr>
            </w:pPr>
            <w:r>
              <w:rPr>
                <w:sz w:val="21"/>
              </w:rPr>
              <w:t>9</w:t>
            </w:r>
            <w:r>
              <w:rPr>
                <w:spacing w:val="-1"/>
                <w:sz w:val="21"/>
              </w:rPr>
              <w:t>.脑垂体瘤、脑囊肿、</w:t>
            </w:r>
          </w:p>
          <w:p>
            <w:pPr>
              <w:pStyle w:val="TableParagraph"/>
              <w:spacing w:line="243" w:lineRule="exact"/>
              <w:ind w:left="111"/>
              <w:rPr>
                <w:sz w:val="21"/>
              </w:rPr>
            </w:pPr>
            <w:r>
              <w:rPr>
                <w:spacing w:val="-3"/>
                <w:sz w:val="21"/>
              </w:rPr>
              <w:t>脑动脉瘤及脑血管瘤</w:t>
            </w:r>
          </w:p>
        </w:tc>
      </w:tr>
      <w:tr>
        <w:trPr>
          <w:trHeight w:val="480" w:hRule="atLeast"/>
        </w:trPr>
        <w:tc>
          <w:tcPr>
            <w:tcW w:w="2345" w:type="dxa"/>
          </w:tcPr>
          <w:p>
            <w:pPr>
              <w:pStyle w:val="TableParagraph"/>
              <w:spacing w:line="211" w:lineRule="exact"/>
              <w:rPr>
                <w:sz w:val="21"/>
              </w:rPr>
            </w:pPr>
            <w:r>
              <w:rPr>
                <w:sz w:val="21"/>
              </w:rPr>
              <w:t>10</w:t>
            </w:r>
            <w:r>
              <w:rPr>
                <w:spacing w:val="8"/>
                <w:sz w:val="21"/>
              </w:rPr>
              <w:t>.无颅内压增高的微</w:t>
            </w:r>
          </w:p>
          <w:p>
            <w:pPr>
              <w:pStyle w:val="TableParagraph"/>
              <w:spacing w:line="244" w:lineRule="exact"/>
              <w:rPr>
                <w:sz w:val="21"/>
              </w:rPr>
            </w:pPr>
            <w:r>
              <w:rPr>
                <w:spacing w:val="-4"/>
                <w:sz w:val="21"/>
              </w:rPr>
              <w:t>小良性脑肿瘤</w:t>
            </w:r>
          </w:p>
        </w:tc>
        <w:tc>
          <w:tcPr>
            <w:tcW w:w="2342" w:type="dxa"/>
          </w:tcPr>
          <w:p>
            <w:pPr>
              <w:pStyle w:val="TableParagraph"/>
              <w:spacing w:before="76"/>
              <w:ind w:left="108"/>
              <w:rPr>
                <w:sz w:val="21"/>
              </w:rPr>
            </w:pPr>
            <w:r>
              <w:rPr>
                <w:spacing w:val="-2"/>
                <w:sz w:val="21"/>
              </w:rPr>
              <w:t>11.</w:t>
            </w:r>
            <w:r>
              <w:rPr>
                <w:spacing w:val="-4"/>
                <w:sz w:val="21"/>
              </w:rPr>
              <w:t>微创颅脑手术</w:t>
            </w:r>
          </w:p>
        </w:tc>
        <w:tc>
          <w:tcPr>
            <w:tcW w:w="2347" w:type="dxa"/>
          </w:tcPr>
          <w:p>
            <w:pPr>
              <w:pStyle w:val="TableParagraph"/>
              <w:spacing w:before="76"/>
              <w:ind w:left="111"/>
              <w:rPr>
                <w:sz w:val="21"/>
              </w:rPr>
            </w:pPr>
            <w:r>
              <w:rPr>
                <w:spacing w:val="-2"/>
                <w:sz w:val="21"/>
              </w:rPr>
              <w:t>12.</w:t>
            </w:r>
            <w:r>
              <w:rPr>
                <w:spacing w:val="-4"/>
                <w:sz w:val="21"/>
              </w:rPr>
              <w:t>植入大脑内分流器</w:t>
            </w:r>
          </w:p>
        </w:tc>
      </w:tr>
      <w:tr>
        <w:trPr>
          <w:trHeight w:val="239" w:hRule="atLeast"/>
        </w:trPr>
        <w:tc>
          <w:tcPr>
            <w:tcW w:w="2345" w:type="dxa"/>
          </w:tcPr>
          <w:p>
            <w:pPr>
              <w:pStyle w:val="TableParagraph"/>
              <w:spacing w:line="214" w:lineRule="exact"/>
              <w:rPr>
                <w:sz w:val="21"/>
              </w:rPr>
            </w:pPr>
            <w:r>
              <w:rPr>
                <w:spacing w:val="-2"/>
                <w:sz w:val="21"/>
              </w:rPr>
              <w:t>13.</w:t>
            </w:r>
            <w:r>
              <w:rPr>
                <w:spacing w:val="-4"/>
                <w:sz w:val="21"/>
              </w:rPr>
              <w:t>单眼失明</w:t>
            </w:r>
          </w:p>
        </w:tc>
        <w:tc>
          <w:tcPr>
            <w:tcW w:w="2342" w:type="dxa"/>
          </w:tcPr>
          <w:p>
            <w:pPr>
              <w:pStyle w:val="TableParagraph"/>
              <w:spacing w:line="214" w:lineRule="exact"/>
              <w:ind w:left="108"/>
              <w:rPr>
                <w:sz w:val="21"/>
              </w:rPr>
            </w:pPr>
            <w:r>
              <w:rPr>
                <w:spacing w:val="-2"/>
                <w:sz w:val="21"/>
              </w:rPr>
              <w:t>14.</w:t>
            </w:r>
            <w:r>
              <w:rPr>
                <w:spacing w:val="-4"/>
                <w:sz w:val="21"/>
              </w:rPr>
              <w:t>轻度视力受损</w:t>
            </w:r>
          </w:p>
        </w:tc>
        <w:tc>
          <w:tcPr>
            <w:tcW w:w="2347" w:type="dxa"/>
          </w:tcPr>
          <w:p>
            <w:pPr>
              <w:pStyle w:val="TableParagraph"/>
              <w:spacing w:line="214" w:lineRule="exact"/>
              <w:ind w:left="111"/>
              <w:rPr>
                <w:sz w:val="21"/>
              </w:rPr>
            </w:pPr>
            <w:r>
              <w:rPr>
                <w:spacing w:val="-2"/>
                <w:sz w:val="21"/>
              </w:rPr>
              <w:t>15.</w:t>
            </w:r>
            <w:r>
              <w:rPr>
                <w:spacing w:val="-4"/>
                <w:sz w:val="21"/>
              </w:rPr>
              <w:t>角膜移植</w:t>
            </w:r>
          </w:p>
        </w:tc>
      </w:tr>
      <w:tr>
        <w:trPr>
          <w:trHeight w:val="241" w:hRule="atLeast"/>
        </w:trPr>
        <w:tc>
          <w:tcPr>
            <w:tcW w:w="2345" w:type="dxa"/>
          </w:tcPr>
          <w:p>
            <w:pPr>
              <w:pStyle w:val="TableParagraph"/>
              <w:spacing w:line="217" w:lineRule="exact"/>
              <w:rPr>
                <w:sz w:val="21"/>
              </w:rPr>
            </w:pPr>
            <w:r>
              <w:rPr>
                <w:spacing w:val="-2"/>
                <w:sz w:val="21"/>
              </w:rPr>
              <w:t>16.</w:t>
            </w:r>
            <w:r>
              <w:rPr>
                <w:spacing w:val="-4"/>
                <w:sz w:val="21"/>
              </w:rPr>
              <w:t>轻度听力受损</w:t>
            </w:r>
          </w:p>
        </w:tc>
        <w:tc>
          <w:tcPr>
            <w:tcW w:w="2342" w:type="dxa"/>
          </w:tcPr>
          <w:p>
            <w:pPr>
              <w:pStyle w:val="TableParagraph"/>
              <w:spacing w:line="217" w:lineRule="exact"/>
              <w:ind w:left="108"/>
              <w:rPr>
                <w:sz w:val="21"/>
              </w:rPr>
            </w:pPr>
            <w:r>
              <w:rPr>
                <w:spacing w:val="-2"/>
                <w:sz w:val="21"/>
              </w:rPr>
              <w:t>17.</w:t>
            </w:r>
            <w:r>
              <w:rPr>
                <w:spacing w:val="-4"/>
                <w:sz w:val="21"/>
              </w:rPr>
              <w:t>单耳失聪</w:t>
            </w:r>
          </w:p>
        </w:tc>
        <w:tc>
          <w:tcPr>
            <w:tcW w:w="2347" w:type="dxa"/>
          </w:tcPr>
          <w:p>
            <w:pPr>
              <w:pStyle w:val="TableParagraph"/>
              <w:spacing w:line="217" w:lineRule="exact"/>
              <w:ind w:left="111"/>
              <w:rPr>
                <w:sz w:val="21"/>
              </w:rPr>
            </w:pPr>
            <w:r>
              <w:rPr>
                <w:spacing w:val="-2"/>
                <w:sz w:val="21"/>
              </w:rPr>
              <w:t>18.</w:t>
            </w:r>
            <w:r>
              <w:rPr>
                <w:spacing w:val="-4"/>
                <w:sz w:val="21"/>
              </w:rPr>
              <w:t>人工耳蜗植入术</w:t>
            </w:r>
          </w:p>
        </w:tc>
      </w:tr>
      <w:tr>
        <w:trPr>
          <w:trHeight w:val="239" w:hRule="atLeast"/>
        </w:trPr>
        <w:tc>
          <w:tcPr>
            <w:tcW w:w="2345" w:type="dxa"/>
          </w:tcPr>
          <w:p>
            <w:pPr>
              <w:pStyle w:val="TableParagraph"/>
              <w:spacing w:line="214" w:lineRule="exact"/>
              <w:rPr>
                <w:sz w:val="21"/>
              </w:rPr>
            </w:pPr>
            <w:r>
              <w:rPr>
                <w:spacing w:val="-2"/>
                <w:sz w:val="21"/>
              </w:rPr>
              <w:t>19.</w:t>
            </w:r>
            <w:r>
              <w:rPr>
                <w:spacing w:val="-4"/>
                <w:sz w:val="21"/>
              </w:rPr>
              <w:t>轻度Ⅲ度烧伤</w:t>
            </w:r>
          </w:p>
        </w:tc>
        <w:tc>
          <w:tcPr>
            <w:tcW w:w="2342" w:type="dxa"/>
          </w:tcPr>
          <w:p>
            <w:pPr>
              <w:pStyle w:val="TableParagraph"/>
              <w:spacing w:line="214" w:lineRule="exact"/>
              <w:ind w:left="108"/>
              <w:rPr>
                <w:sz w:val="21"/>
              </w:rPr>
            </w:pPr>
            <w:r>
              <w:rPr>
                <w:spacing w:val="-2"/>
                <w:sz w:val="21"/>
              </w:rPr>
              <w:t>20.</w:t>
            </w:r>
            <w:r>
              <w:rPr>
                <w:spacing w:val="-4"/>
                <w:sz w:val="21"/>
              </w:rPr>
              <w:t>轻度面部烧伤</w:t>
            </w:r>
          </w:p>
        </w:tc>
        <w:tc>
          <w:tcPr>
            <w:tcW w:w="2347" w:type="dxa"/>
          </w:tcPr>
          <w:p>
            <w:pPr>
              <w:pStyle w:val="TableParagraph"/>
              <w:spacing w:line="214" w:lineRule="exact"/>
              <w:ind w:left="111"/>
              <w:rPr>
                <w:sz w:val="21"/>
              </w:rPr>
            </w:pPr>
            <w:r>
              <w:rPr>
                <w:spacing w:val="-2"/>
                <w:sz w:val="21"/>
              </w:rPr>
              <w:t>21.</w:t>
            </w:r>
            <w:r>
              <w:rPr>
                <w:spacing w:val="-4"/>
                <w:sz w:val="21"/>
              </w:rPr>
              <w:t>肝叶切除术</w:t>
            </w:r>
          </w:p>
        </w:tc>
      </w:tr>
      <w:tr>
        <w:trPr>
          <w:trHeight w:val="239" w:hRule="atLeast"/>
        </w:trPr>
        <w:tc>
          <w:tcPr>
            <w:tcW w:w="2345" w:type="dxa"/>
          </w:tcPr>
          <w:p>
            <w:pPr>
              <w:pStyle w:val="TableParagraph"/>
              <w:spacing w:line="214" w:lineRule="exact"/>
              <w:rPr>
                <w:sz w:val="21"/>
              </w:rPr>
            </w:pPr>
            <w:r>
              <w:rPr>
                <w:spacing w:val="-2"/>
                <w:sz w:val="21"/>
              </w:rPr>
              <w:t>22.</w:t>
            </w:r>
            <w:r>
              <w:rPr>
                <w:spacing w:val="-4"/>
                <w:sz w:val="21"/>
              </w:rPr>
              <w:t>单侧肾脏切除</w:t>
            </w:r>
          </w:p>
        </w:tc>
        <w:tc>
          <w:tcPr>
            <w:tcW w:w="2342" w:type="dxa"/>
          </w:tcPr>
          <w:p>
            <w:pPr>
              <w:pStyle w:val="TableParagraph"/>
              <w:spacing w:line="214" w:lineRule="exact"/>
              <w:ind w:left="108"/>
              <w:rPr>
                <w:sz w:val="21"/>
              </w:rPr>
            </w:pPr>
            <w:r>
              <w:rPr>
                <w:spacing w:val="-2"/>
                <w:sz w:val="21"/>
              </w:rPr>
              <w:t>23.</w:t>
            </w:r>
            <w:r>
              <w:rPr>
                <w:spacing w:val="-4"/>
                <w:sz w:val="21"/>
              </w:rPr>
              <w:t>双侧睾丸切除术</w:t>
            </w:r>
          </w:p>
        </w:tc>
        <w:tc>
          <w:tcPr>
            <w:tcW w:w="2347" w:type="dxa"/>
          </w:tcPr>
          <w:p>
            <w:pPr>
              <w:pStyle w:val="TableParagraph"/>
              <w:spacing w:line="214" w:lineRule="exact"/>
              <w:ind w:left="111"/>
              <w:rPr>
                <w:sz w:val="21"/>
              </w:rPr>
            </w:pPr>
            <w:r>
              <w:rPr>
                <w:spacing w:val="-2"/>
                <w:sz w:val="21"/>
              </w:rPr>
              <w:t>24.</w:t>
            </w:r>
            <w:r>
              <w:rPr>
                <w:spacing w:val="-4"/>
                <w:sz w:val="21"/>
              </w:rPr>
              <w:t>双侧卵巢切除术</w:t>
            </w:r>
          </w:p>
        </w:tc>
      </w:tr>
      <w:tr>
        <w:trPr>
          <w:trHeight w:val="479" w:hRule="atLeast"/>
        </w:trPr>
        <w:tc>
          <w:tcPr>
            <w:tcW w:w="2345" w:type="dxa"/>
          </w:tcPr>
          <w:p>
            <w:pPr>
              <w:pStyle w:val="TableParagraph"/>
              <w:spacing w:line="211" w:lineRule="exact"/>
              <w:rPr>
                <w:sz w:val="21"/>
              </w:rPr>
            </w:pPr>
            <w:r>
              <w:rPr>
                <w:sz w:val="21"/>
              </w:rPr>
              <w:t>25</w:t>
            </w:r>
            <w:r>
              <w:rPr>
                <w:spacing w:val="8"/>
                <w:sz w:val="21"/>
              </w:rPr>
              <w:t>.于颈动脉进行血管</w:t>
            </w:r>
          </w:p>
          <w:p>
            <w:pPr>
              <w:pStyle w:val="TableParagraph"/>
              <w:spacing w:line="243" w:lineRule="exact"/>
              <w:rPr>
                <w:sz w:val="21"/>
              </w:rPr>
            </w:pPr>
            <w:r>
              <w:rPr>
                <w:spacing w:val="-3"/>
                <w:sz w:val="21"/>
              </w:rPr>
              <w:t>成形术或内膜切除术</w:t>
            </w:r>
          </w:p>
        </w:tc>
        <w:tc>
          <w:tcPr>
            <w:tcW w:w="2342" w:type="dxa"/>
          </w:tcPr>
          <w:p>
            <w:pPr>
              <w:pStyle w:val="TableParagraph"/>
              <w:spacing w:before="76"/>
              <w:ind w:left="108"/>
              <w:rPr>
                <w:sz w:val="21"/>
              </w:rPr>
            </w:pPr>
            <w:r>
              <w:rPr>
                <w:spacing w:val="-2"/>
                <w:sz w:val="21"/>
              </w:rPr>
              <w:t>26.</w:t>
            </w:r>
            <w:r>
              <w:rPr>
                <w:spacing w:val="-4"/>
                <w:sz w:val="21"/>
              </w:rPr>
              <w:t>心包膜切除术</w:t>
            </w:r>
          </w:p>
        </w:tc>
        <w:tc>
          <w:tcPr>
            <w:tcW w:w="2347" w:type="dxa"/>
          </w:tcPr>
          <w:p>
            <w:pPr>
              <w:pStyle w:val="TableParagraph"/>
              <w:spacing w:before="76"/>
              <w:ind w:left="111"/>
              <w:rPr>
                <w:sz w:val="21"/>
              </w:rPr>
            </w:pPr>
            <w:r>
              <w:rPr>
                <w:spacing w:val="-2"/>
                <w:sz w:val="21"/>
              </w:rPr>
              <w:t>27.</w:t>
            </w:r>
            <w:r>
              <w:rPr>
                <w:spacing w:val="-4"/>
                <w:sz w:val="21"/>
              </w:rPr>
              <w:t>硬脑膜下血肿手术</w:t>
            </w:r>
          </w:p>
        </w:tc>
      </w:tr>
      <w:tr>
        <w:trPr>
          <w:trHeight w:val="479" w:hRule="atLeast"/>
        </w:trPr>
        <w:tc>
          <w:tcPr>
            <w:tcW w:w="2345" w:type="dxa"/>
          </w:tcPr>
          <w:p>
            <w:pPr>
              <w:pStyle w:val="TableParagraph"/>
              <w:spacing w:line="211" w:lineRule="exact"/>
              <w:rPr>
                <w:sz w:val="21"/>
              </w:rPr>
            </w:pPr>
            <w:r>
              <w:rPr>
                <w:sz w:val="21"/>
              </w:rPr>
              <w:t>28</w:t>
            </w:r>
            <w:r>
              <w:rPr>
                <w:spacing w:val="8"/>
                <w:sz w:val="21"/>
              </w:rPr>
              <w:t>.特定周围动脉疾病</w:t>
            </w:r>
          </w:p>
          <w:p>
            <w:pPr>
              <w:pStyle w:val="TableParagraph"/>
              <w:spacing w:line="243" w:lineRule="exact"/>
              <w:rPr>
                <w:sz w:val="21"/>
              </w:rPr>
            </w:pPr>
            <w:r>
              <w:rPr>
                <w:spacing w:val="-4"/>
                <w:sz w:val="21"/>
              </w:rPr>
              <w:t>的血管介入治疗</w:t>
            </w:r>
          </w:p>
        </w:tc>
        <w:tc>
          <w:tcPr>
            <w:tcW w:w="2342" w:type="dxa"/>
          </w:tcPr>
          <w:p>
            <w:pPr>
              <w:pStyle w:val="TableParagraph"/>
              <w:spacing w:before="76"/>
              <w:ind w:left="108"/>
              <w:rPr>
                <w:sz w:val="21"/>
              </w:rPr>
            </w:pPr>
            <w:r>
              <w:rPr>
                <w:spacing w:val="-2"/>
                <w:sz w:val="21"/>
              </w:rPr>
              <w:t>29.</w:t>
            </w:r>
            <w:r>
              <w:rPr>
                <w:spacing w:val="-4"/>
                <w:sz w:val="21"/>
              </w:rPr>
              <w:t>植入腔静脉过滤器</w:t>
            </w:r>
          </w:p>
        </w:tc>
        <w:tc>
          <w:tcPr>
            <w:tcW w:w="2347" w:type="dxa"/>
          </w:tcPr>
          <w:p>
            <w:pPr>
              <w:pStyle w:val="TableParagraph"/>
              <w:spacing w:before="76"/>
              <w:ind w:left="111"/>
              <w:rPr>
                <w:sz w:val="21"/>
              </w:rPr>
            </w:pPr>
            <w:r>
              <w:rPr>
                <w:spacing w:val="-2"/>
                <w:sz w:val="21"/>
              </w:rPr>
              <w:t>30.</w:t>
            </w:r>
            <w:r>
              <w:rPr>
                <w:spacing w:val="-4"/>
                <w:sz w:val="21"/>
              </w:rPr>
              <w:t>早期象皮病</w:t>
            </w:r>
          </w:p>
        </w:tc>
      </w:tr>
      <w:tr>
        <w:trPr>
          <w:trHeight w:val="479" w:hRule="atLeast"/>
        </w:trPr>
        <w:tc>
          <w:tcPr>
            <w:tcW w:w="2345" w:type="dxa"/>
          </w:tcPr>
          <w:p>
            <w:pPr>
              <w:pStyle w:val="TableParagraph"/>
              <w:spacing w:before="76"/>
              <w:rPr>
                <w:sz w:val="21"/>
              </w:rPr>
            </w:pPr>
            <w:r>
              <w:rPr>
                <w:spacing w:val="-2"/>
                <w:sz w:val="21"/>
              </w:rPr>
              <w:t>31.</w:t>
            </w:r>
            <w:r>
              <w:rPr>
                <w:spacing w:val="-4"/>
                <w:sz w:val="21"/>
              </w:rPr>
              <w:t>心脏起搏器植入</w:t>
            </w:r>
          </w:p>
        </w:tc>
        <w:tc>
          <w:tcPr>
            <w:tcW w:w="2342" w:type="dxa"/>
          </w:tcPr>
          <w:p>
            <w:pPr>
              <w:pStyle w:val="TableParagraph"/>
              <w:spacing w:before="76"/>
              <w:ind w:left="108"/>
              <w:rPr>
                <w:sz w:val="21"/>
              </w:rPr>
            </w:pPr>
            <w:r>
              <w:rPr>
                <w:spacing w:val="-2"/>
                <w:sz w:val="21"/>
              </w:rPr>
              <w:t>32.</w:t>
            </w:r>
            <w:r>
              <w:rPr>
                <w:spacing w:val="-4"/>
                <w:sz w:val="21"/>
              </w:rPr>
              <w:t>心脏除颤器植入</w:t>
            </w:r>
          </w:p>
        </w:tc>
        <w:tc>
          <w:tcPr>
            <w:tcW w:w="2347" w:type="dxa"/>
          </w:tcPr>
          <w:p>
            <w:pPr>
              <w:pStyle w:val="TableParagraph"/>
              <w:spacing w:line="211" w:lineRule="exact"/>
              <w:ind w:left="111"/>
              <w:rPr>
                <w:sz w:val="21"/>
              </w:rPr>
            </w:pPr>
            <w:r>
              <w:rPr>
                <w:sz w:val="21"/>
              </w:rPr>
              <w:t>33</w:t>
            </w:r>
            <w:r>
              <w:rPr>
                <w:spacing w:val="9"/>
                <w:sz w:val="21"/>
              </w:rPr>
              <w:t>.严重阻塞性睡眠窒</w:t>
            </w:r>
          </w:p>
          <w:p>
            <w:pPr>
              <w:pStyle w:val="TableParagraph"/>
              <w:spacing w:line="243" w:lineRule="exact"/>
              <w:ind w:left="111"/>
              <w:rPr>
                <w:sz w:val="21"/>
              </w:rPr>
            </w:pPr>
            <w:r>
              <w:rPr>
                <w:spacing w:val="-5"/>
                <w:sz w:val="21"/>
              </w:rPr>
              <w:t>息症</w:t>
            </w:r>
          </w:p>
        </w:tc>
      </w:tr>
      <w:tr>
        <w:trPr>
          <w:trHeight w:val="482" w:hRule="atLeast"/>
        </w:trPr>
        <w:tc>
          <w:tcPr>
            <w:tcW w:w="2345" w:type="dxa"/>
          </w:tcPr>
          <w:p>
            <w:pPr>
              <w:pStyle w:val="TableParagraph"/>
              <w:spacing w:before="78"/>
              <w:rPr>
                <w:sz w:val="21"/>
              </w:rPr>
            </w:pPr>
            <w:r>
              <w:rPr>
                <w:spacing w:val="-2"/>
                <w:sz w:val="21"/>
              </w:rPr>
              <w:t>34.</w:t>
            </w:r>
            <w:r>
              <w:rPr>
                <w:spacing w:val="-4"/>
                <w:sz w:val="21"/>
              </w:rPr>
              <w:t>面部重建手术</w:t>
            </w:r>
          </w:p>
        </w:tc>
        <w:tc>
          <w:tcPr>
            <w:tcW w:w="2342" w:type="dxa"/>
          </w:tcPr>
          <w:p>
            <w:pPr>
              <w:pStyle w:val="TableParagraph"/>
              <w:spacing w:line="213" w:lineRule="exact"/>
              <w:ind w:left="108"/>
              <w:rPr>
                <w:sz w:val="21"/>
              </w:rPr>
            </w:pPr>
            <w:r>
              <w:rPr>
                <w:sz w:val="21"/>
              </w:rPr>
              <w:t>35</w:t>
            </w:r>
            <w:r>
              <w:rPr>
                <w:spacing w:val="8"/>
                <w:sz w:val="21"/>
              </w:rPr>
              <w:t>.因意外毁容而施行</w:t>
            </w:r>
          </w:p>
          <w:p>
            <w:pPr>
              <w:pStyle w:val="TableParagraph"/>
              <w:spacing w:line="243" w:lineRule="exact"/>
              <w:ind w:left="108"/>
              <w:rPr>
                <w:sz w:val="21"/>
              </w:rPr>
            </w:pPr>
            <w:r>
              <w:rPr>
                <w:spacing w:val="-4"/>
                <w:sz w:val="21"/>
              </w:rPr>
              <w:t>的面部整形手术</w:t>
            </w:r>
          </w:p>
        </w:tc>
        <w:tc>
          <w:tcPr>
            <w:tcW w:w="2347" w:type="dxa"/>
          </w:tcPr>
          <w:p>
            <w:pPr>
              <w:pStyle w:val="TableParagraph"/>
              <w:spacing w:before="78"/>
              <w:ind w:left="111"/>
              <w:rPr>
                <w:sz w:val="21"/>
              </w:rPr>
            </w:pPr>
            <w:r>
              <w:rPr>
                <w:spacing w:val="-2"/>
                <w:sz w:val="21"/>
              </w:rPr>
              <w:t>36.</w:t>
            </w:r>
            <w:r>
              <w:rPr>
                <w:spacing w:val="-4"/>
                <w:sz w:val="21"/>
              </w:rPr>
              <w:t>系统性红斑狼疮</w:t>
            </w:r>
          </w:p>
        </w:tc>
      </w:tr>
      <w:tr>
        <w:trPr>
          <w:trHeight w:val="479" w:hRule="atLeast"/>
        </w:trPr>
        <w:tc>
          <w:tcPr>
            <w:tcW w:w="2345" w:type="dxa"/>
          </w:tcPr>
          <w:p>
            <w:pPr>
              <w:pStyle w:val="TableParagraph"/>
              <w:spacing w:line="211" w:lineRule="exact"/>
              <w:rPr>
                <w:sz w:val="21"/>
              </w:rPr>
            </w:pPr>
            <w:r>
              <w:rPr>
                <w:sz w:val="21"/>
              </w:rPr>
              <w:t>37</w:t>
            </w:r>
            <w:r>
              <w:rPr>
                <w:spacing w:val="8"/>
                <w:sz w:val="21"/>
              </w:rPr>
              <w:t>.轻度特发性肺动脉</w:t>
            </w:r>
          </w:p>
          <w:p>
            <w:pPr>
              <w:pStyle w:val="TableParagraph"/>
              <w:spacing w:line="243" w:lineRule="exact"/>
              <w:rPr>
                <w:sz w:val="21"/>
              </w:rPr>
            </w:pPr>
            <w:r>
              <w:rPr>
                <w:spacing w:val="-5"/>
                <w:sz w:val="21"/>
              </w:rPr>
              <w:t>高压</w:t>
            </w:r>
          </w:p>
        </w:tc>
        <w:tc>
          <w:tcPr>
            <w:tcW w:w="2342" w:type="dxa"/>
          </w:tcPr>
          <w:p>
            <w:pPr>
              <w:pStyle w:val="TableParagraph"/>
              <w:spacing w:line="211" w:lineRule="exact"/>
              <w:ind w:left="108"/>
              <w:rPr>
                <w:sz w:val="21"/>
              </w:rPr>
            </w:pPr>
            <w:r>
              <w:rPr>
                <w:sz w:val="21"/>
              </w:rPr>
              <w:t>38</w:t>
            </w:r>
            <w:r>
              <w:rPr>
                <w:spacing w:val="8"/>
                <w:sz w:val="21"/>
              </w:rPr>
              <w:t>.轻度继发性肺动脉</w:t>
            </w:r>
          </w:p>
          <w:p>
            <w:pPr>
              <w:pStyle w:val="TableParagraph"/>
              <w:spacing w:line="243" w:lineRule="exact"/>
              <w:ind w:left="108"/>
              <w:rPr>
                <w:sz w:val="21"/>
              </w:rPr>
            </w:pPr>
            <w:r>
              <w:rPr>
                <w:spacing w:val="-5"/>
                <w:sz w:val="21"/>
              </w:rPr>
              <w:t>高压</w:t>
            </w:r>
          </w:p>
        </w:tc>
        <w:tc>
          <w:tcPr>
            <w:tcW w:w="2347" w:type="dxa"/>
          </w:tcPr>
          <w:p>
            <w:pPr>
              <w:pStyle w:val="TableParagraph"/>
              <w:spacing w:before="76"/>
              <w:ind w:left="111"/>
              <w:rPr>
                <w:sz w:val="21"/>
              </w:rPr>
            </w:pPr>
            <w:r>
              <w:rPr>
                <w:spacing w:val="-2"/>
                <w:sz w:val="21"/>
              </w:rPr>
              <w:t>39.</w:t>
            </w:r>
            <w:r>
              <w:rPr>
                <w:spacing w:val="-4"/>
                <w:sz w:val="21"/>
              </w:rPr>
              <w:t>早期原发性心肌病</w:t>
            </w:r>
          </w:p>
        </w:tc>
      </w:tr>
      <w:tr>
        <w:trPr>
          <w:trHeight w:val="480" w:hRule="atLeast"/>
        </w:trPr>
        <w:tc>
          <w:tcPr>
            <w:tcW w:w="2345" w:type="dxa"/>
          </w:tcPr>
          <w:p>
            <w:pPr>
              <w:pStyle w:val="TableParagraph"/>
              <w:spacing w:before="76"/>
              <w:rPr>
                <w:sz w:val="21"/>
              </w:rPr>
            </w:pPr>
            <w:r>
              <w:rPr>
                <w:spacing w:val="-2"/>
                <w:sz w:val="21"/>
              </w:rPr>
              <w:t>40.</w:t>
            </w:r>
            <w:r>
              <w:rPr>
                <w:spacing w:val="-4"/>
                <w:sz w:val="21"/>
              </w:rPr>
              <w:t>轻度慢性肾衰竭</w:t>
            </w:r>
          </w:p>
        </w:tc>
        <w:tc>
          <w:tcPr>
            <w:tcW w:w="2342" w:type="dxa"/>
          </w:tcPr>
          <w:p>
            <w:pPr>
              <w:pStyle w:val="TableParagraph"/>
              <w:spacing w:line="211" w:lineRule="exact"/>
              <w:ind w:left="108"/>
              <w:rPr>
                <w:sz w:val="21"/>
              </w:rPr>
            </w:pPr>
            <w:r>
              <w:rPr>
                <w:sz w:val="21"/>
              </w:rPr>
              <w:t>41</w:t>
            </w:r>
            <w:r>
              <w:rPr>
                <w:spacing w:val="8"/>
                <w:sz w:val="21"/>
              </w:rPr>
              <w:t>.因肾上腺皮质腺瘤</w:t>
            </w:r>
          </w:p>
          <w:p>
            <w:pPr>
              <w:pStyle w:val="TableParagraph"/>
              <w:spacing w:line="243" w:lineRule="exact"/>
              <w:ind w:left="108"/>
              <w:rPr>
                <w:sz w:val="21"/>
              </w:rPr>
            </w:pPr>
            <w:r>
              <w:rPr>
                <w:spacing w:val="-3"/>
                <w:sz w:val="21"/>
              </w:rPr>
              <w:t>所致的肾上腺切除术</w:t>
            </w:r>
          </w:p>
        </w:tc>
        <w:tc>
          <w:tcPr>
            <w:tcW w:w="2347" w:type="dxa"/>
          </w:tcPr>
          <w:p>
            <w:pPr>
              <w:pStyle w:val="TableParagraph"/>
              <w:spacing w:before="76"/>
              <w:ind w:left="111"/>
              <w:rPr>
                <w:sz w:val="21"/>
              </w:rPr>
            </w:pPr>
            <w:r>
              <w:rPr>
                <w:spacing w:val="-2"/>
                <w:sz w:val="21"/>
              </w:rPr>
              <w:t>42.</w:t>
            </w:r>
            <w:r>
              <w:rPr>
                <w:spacing w:val="-4"/>
                <w:sz w:val="21"/>
              </w:rPr>
              <w:t>胆道系统重建手术</w:t>
            </w:r>
          </w:p>
        </w:tc>
      </w:tr>
      <w:tr>
        <w:trPr>
          <w:trHeight w:val="479" w:hRule="atLeast"/>
        </w:trPr>
        <w:tc>
          <w:tcPr>
            <w:tcW w:w="2345" w:type="dxa"/>
          </w:tcPr>
          <w:p>
            <w:pPr>
              <w:pStyle w:val="TableParagraph"/>
              <w:spacing w:before="76"/>
              <w:rPr>
                <w:sz w:val="21"/>
              </w:rPr>
            </w:pPr>
            <w:r>
              <w:rPr>
                <w:spacing w:val="-2"/>
                <w:sz w:val="21"/>
              </w:rPr>
              <w:t>43.</w:t>
            </w:r>
            <w:r>
              <w:rPr>
                <w:spacing w:val="-4"/>
                <w:sz w:val="21"/>
              </w:rPr>
              <w:t>早期肝硬化</w:t>
            </w:r>
          </w:p>
        </w:tc>
        <w:tc>
          <w:tcPr>
            <w:tcW w:w="2342" w:type="dxa"/>
          </w:tcPr>
          <w:p>
            <w:pPr>
              <w:pStyle w:val="TableParagraph"/>
              <w:spacing w:before="76"/>
              <w:ind w:left="108"/>
              <w:rPr>
                <w:sz w:val="21"/>
              </w:rPr>
            </w:pPr>
            <w:r>
              <w:rPr>
                <w:spacing w:val="-2"/>
                <w:sz w:val="21"/>
              </w:rPr>
              <w:t>44.</w:t>
            </w:r>
            <w:r>
              <w:rPr>
                <w:spacing w:val="-4"/>
                <w:sz w:val="21"/>
              </w:rPr>
              <w:t>轻度慢性肝衰竭</w:t>
            </w:r>
          </w:p>
        </w:tc>
        <w:tc>
          <w:tcPr>
            <w:tcW w:w="2347" w:type="dxa"/>
          </w:tcPr>
          <w:p>
            <w:pPr>
              <w:pStyle w:val="TableParagraph"/>
              <w:spacing w:line="211" w:lineRule="exact"/>
              <w:ind w:left="111"/>
              <w:rPr>
                <w:sz w:val="21"/>
              </w:rPr>
            </w:pPr>
            <w:r>
              <w:rPr>
                <w:sz w:val="21"/>
              </w:rPr>
              <w:t>45</w:t>
            </w:r>
            <w:r>
              <w:rPr>
                <w:spacing w:val="9"/>
                <w:sz w:val="21"/>
              </w:rPr>
              <w:t>.急性出血坏死性胰</w:t>
            </w:r>
          </w:p>
          <w:p>
            <w:pPr>
              <w:pStyle w:val="TableParagraph"/>
              <w:spacing w:line="243" w:lineRule="exact"/>
              <w:ind w:left="111"/>
              <w:rPr>
                <w:sz w:val="21"/>
              </w:rPr>
            </w:pPr>
            <w:r>
              <w:rPr>
                <w:spacing w:val="-4"/>
                <w:sz w:val="21"/>
              </w:rPr>
              <w:t>腺炎腹腔镜手术</w:t>
            </w:r>
          </w:p>
        </w:tc>
      </w:tr>
      <w:tr>
        <w:trPr>
          <w:trHeight w:val="239" w:hRule="atLeast"/>
        </w:trPr>
        <w:tc>
          <w:tcPr>
            <w:tcW w:w="2345" w:type="dxa"/>
          </w:tcPr>
          <w:p>
            <w:pPr>
              <w:pStyle w:val="TableParagraph"/>
              <w:spacing w:line="214" w:lineRule="exact"/>
              <w:rPr>
                <w:sz w:val="21"/>
              </w:rPr>
            </w:pPr>
            <w:r>
              <w:rPr>
                <w:spacing w:val="-2"/>
                <w:sz w:val="21"/>
              </w:rPr>
              <w:t>46.</w:t>
            </w:r>
            <w:r>
              <w:rPr>
                <w:spacing w:val="-4"/>
                <w:sz w:val="21"/>
              </w:rPr>
              <w:t>慢性阻塞性肺病</w:t>
            </w:r>
          </w:p>
        </w:tc>
        <w:tc>
          <w:tcPr>
            <w:tcW w:w="2342" w:type="dxa"/>
          </w:tcPr>
          <w:p>
            <w:pPr>
              <w:pStyle w:val="TableParagraph"/>
              <w:spacing w:line="214" w:lineRule="exact"/>
              <w:ind w:left="108"/>
              <w:rPr>
                <w:sz w:val="21"/>
              </w:rPr>
            </w:pPr>
            <w:r>
              <w:rPr>
                <w:spacing w:val="-2"/>
                <w:sz w:val="21"/>
              </w:rPr>
              <w:t>47.</w:t>
            </w:r>
            <w:r>
              <w:rPr>
                <w:spacing w:val="-4"/>
                <w:sz w:val="21"/>
              </w:rPr>
              <w:t>早期系统性硬皮病</w:t>
            </w:r>
          </w:p>
        </w:tc>
        <w:tc>
          <w:tcPr>
            <w:tcW w:w="2347" w:type="dxa"/>
          </w:tcPr>
          <w:p>
            <w:pPr>
              <w:pStyle w:val="TableParagraph"/>
              <w:spacing w:line="214" w:lineRule="exact"/>
              <w:ind w:left="111"/>
              <w:rPr>
                <w:sz w:val="21"/>
              </w:rPr>
            </w:pPr>
            <w:r>
              <w:rPr>
                <w:spacing w:val="-2"/>
                <w:sz w:val="21"/>
              </w:rPr>
              <w:t>48.</w:t>
            </w:r>
            <w:r>
              <w:rPr>
                <w:spacing w:val="-4"/>
                <w:sz w:val="21"/>
              </w:rPr>
              <w:t>中度昏迷</w:t>
            </w:r>
          </w:p>
        </w:tc>
      </w:tr>
      <w:tr>
        <w:trPr>
          <w:trHeight w:val="479" w:hRule="atLeast"/>
        </w:trPr>
        <w:tc>
          <w:tcPr>
            <w:tcW w:w="2345" w:type="dxa"/>
          </w:tcPr>
          <w:p>
            <w:pPr>
              <w:pStyle w:val="TableParagraph"/>
              <w:spacing w:line="211" w:lineRule="exact"/>
              <w:rPr>
                <w:sz w:val="21"/>
              </w:rPr>
            </w:pPr>
            <w:r>
              <w:rPr>
                <w:sz w:val="21"/>
              </w:rPr>
              <w:t>49</w:t>
            </w:r>
            <w:r>
              <w:rPr>
                <w:spacing w:val="8"/>
                <w:sz w:val="21"/>
              </w:rPr>
              <w:t>.风湿热导致的心脏</w:t>
            </w:r>
          </w:p>
          <w:p>
            <w:pPr>
              <w:pStyle w:val="TableParagraph"/>
              <w:spacing w:line="243" w:lineRule="exact"/>
              <w:rPr>
                <w:sz w:val="21"/>
              </w:rPr>
            </w:pPr>
            <w:r>
              <w:rPr>
                <w:spacing w:val="-4"/>
                <w:sz w:val="21"/>
              </w:rPr>
              <w:t>瓣膜疾病</w:t>
            </w:r>
          </w:p>
        </w:tc>
        <w:tc>
          <w:tcPr>
            <w:tcW w:w="2342" w:type="dxa"/>
          </w:tcPr>
          <w:p>
            <w:pPr>
              <w:pStyle w:val="TableParagraph"/>
              <w:spacing w:line="211" w:lineRule="exact"/>
              <w:ind w:left="108"/>
              <w:rPr>
                <w:sz w:val="21"/>
              </w:rPr>
            </w:pPr>
            <w:r>
              <w:rPr>
                <w:sz w:val="21"/>
              </w:rPr>
              <w:t>50</w:t>
            </w:r>
            <w:r>
              <w:rPr>
                <w:spacing w:val="8"/>
                <w:sz w:val="21"/>
              </w:rPr>
              <w:t>.骨质疏松骨折髋关</w:t>
            </w:r>
          </w:p>
          <w:p>
            <w:pPr>
              <w:pStyle w:val="TableParagraph"/>
              <w:spacing w:line="243" w:lineRule="exact"/>
              <w:ind w:left="108"/>
              <w:rPr>
                <w:sz w:val="21"/>
              </w:rPr>
            </w:pPr>
            <w:r>
              <w:rPr>
                <w:spacing w:val="-4"/>
                <w:sz w:val="21"/>
              </w:rPr>
              <w:t>节置换手术</w:t>
            </w:r>
          </w:p>
        </w:tc>
        <w:tc>
          <w:tcPr>
            <w:tcW w:w="2347" w:type="dxa"/>
          </w:tcPr>
          <w:p>
            <w:pPr>
              <w:pStyle w:val="TableParagraph"/>
              <w:spacing w:before="76"/>
              <w:ind w:left="111"/>
              <w:rPr>
                <w:sz w:val="21"/>
              </w:rPr>
            </w:pPr>
            <w:r>
              <w:rPr>
                <w:spacing w:val="-2"/>
                <w:sz w:val="21"/>
              </w:rPr>
              <w:t>51.</w:t>
            </w:r>
            <w:r>
              <w:rPr>
                <w:spacing w:val="-4"/>
                <w:sz w:val="21"/>
              </w:rPr>
              <w:t>多发肋骨骨折</w:t>
            </w:r>
          </w:p>
        </w:tc>
      </w:tr>
      <w:tr>
        <w:trPr>
          <w:trHeight w:val="481" w:hRule="atLeast"/>
        </w:trPr>
        <w:tc>
          <w:tcPr>
            <w:tcW w:w="2345" w:type="dxa"/>
          </w:tcPr>
          <w:p>
            <w:pPr>
              <w:pStyle w:val="TableParagraph"/>
              <w:spacing w:line="213" w:lineRule="exact"/>
              <w:rPr>
                <w:sz w:val="21"/>
              </w:rPr>
            </w:pPr>
            <w:r>
              <w:rPr>
                <w:sz w:val="21"/>
              </w:rPr>
              <w:t>52</w:t>
            </w:r>
            <w:r>
              <w:rPr>
                <w:spacing w:val="8"/>
                <w:sz w:val="21"/>
              </w:rPr>
              <w:t>.糖尿病并发症导致</w:t>
            </w:r>
          </w:p>
          <w:p>
            <w:pPr>
              <w:pStyle w:val="TableParagraph"/>
              <w:spacing w:line="243" w:lineRule="exact"/>
              <w:rPr>
                <w:sz w:val="21"/>
              </w:rPr>
            </w:pPr>
            <w:r>
              <w:rPr>
                <w:spacing w:val="-4"/>
                <w:sz w:val="21"/>
              </w:rPr>
              <w:t>的单足截除</w:t>
            </w:r>
          </w:p>
        </w:tc>
        <w:tc>
          <w:tcPr>
            <w:tcW w:w="2342" w:type="dxa"/>
          </w:tcPr>
          <w:p>
            <w:pPr>
              <w:pStyle w:val="TableParagraph"/>
              <w:spacing w:line="213" w:lineRule="exact"/>
              <w:ind w:left="108"/>
              <w:rPr>
                <w:sz w:val="21"/>
              </w:rPr>
            </w:pPr>
            <w:r>
              <w:rPr>
                <w:sz w:val="21"/>
              </w:rPr>
              <w:t>53</w:t>
            </w:r>
            <w:r>
              <w:rPr>
                <w:spacing w:val="8"/>
                <w:sz w:val="21"/>
              </w:rPr>
              <w:t>.糖尿病视网膜晚期</w:t>
            </w:r>
          </w:p>
          <w:p>
            <w:pPr>
              <w:pStyle w:val="TableParagraph"/>
              <w:spacing w:line="243" w:lineRule="exact"/>
              <w:ind w:left="108"/>
              <w:rPr>
                <w:sz w:val="21"/>
              </w:rPr>
            </w:pPr>
            <w:r>
              <w:rPr>
                <w:spacing w:val="-4"/>
                <w:sz w:val="21"/>
              </w:rPr>
              <w:t>增生性病变</w:t>
            </w:r>
          </w:p>
        </w:tc>
        <w:tc>
          <w:tcPr>
            <w:tcW w:w="2347" w:type="dxa"/>
          </w:tcPr>
          <w:p>
            <w:pPr>
              <w:pStyle w:val="TableParagraph"/>
              <w:spacing w:before="78"/>
              <w:ind w:left="111"/>
              <w:rPr>
                <w:sz w:val="21"/>
              </w:rPr>
            </w:pPr>
            <w:r>
              <w:rPr>
                <w:spacing w:val="-2"/>
                <w:sz w:val="21"/>
              </w:rPr>
              <w:t>54.</w:t>
            </w:r>
            <w:r>
              <w:rPr>
                <w:spacing w:val="-4"/>
                <w:sz w:val="21"/>
              </w:rPr>
              <w:t>轻度坏死性筋膜炎</w:t>
            </w:r>
          </w:p>
        </w:tc>
      </w:tr>
      <w:tr>
        <w:trPr>
          <w:trHeight w:val="479" w:hRule="atLeast"/>
        </w:trPr>
        <w:tc>
          <w:tcPr>
            <w:tcW w:w="2345" w:type="dxa"/>
          </w:tcPr>
          <w:p>
            <w:pPr>
              <w:pStyle w:val="TableParagraph"/>
              <w:spacing w:line="211" w:lineRule="exact"/>
              <w:rPr>
                <w:sz w:val="21"/>
              </w:rPr>
            </w:pPr>
            <w:r>
              <w:rPr>
                <w:sz w:val="21"/>
              </w:rPr>
              <w:t>55</w:t>
            </w:r>
            <w:r>
              <w:rPr>
                <w:spacing w:val="8"/>
                <w:sz w:val="21"/>
              </w:rPr>
              <w:t>.肺泡蛋白沉积症肺</w:t>
            </w:r>
          </w:p>
          <w:p>
            <w:pPr>
              <w:pStyle w:val="TableParagraph"/>
              <w:spacing w:line="243" w:lineRule="exact"/>
              <w:rPr>
                <w:sz w:val="21"/>
              </w:rPr>
            </w:pPr>
            <w:r>
              <w:rPr>
                <w:spacing w:val="-4"/>
                <w:sz w:val="21"/>
              </w:rPr>
              <w:t>灌流治疗</w:t>
            </w:r>
          </w:p>
        </w:tc>
        <w:tc>
          <w:tcPr>
            <w:tcW w:w="2342" w:type="dxa"/>
          </w:tcPr>
          <w:p>
            <w:pPr>
              <w:pStyle w:val="TableParagraph"/>
              <w:ind w:left="0"/>
              <w:rPr>
                <w:rFonts w:ascii="Times New Roman"/>
                <w:sz w:val="20"/>
              </w:rPr>
            </w:pPr>
          </w:p>
        </w:tc>
        <w:tc>
          <w:tcPr>
            <w:tcW w:w="2347" w:type="dxa"/>
          </w:tcPr>
          <w:p>
            <w:pPr>
              <w:pStyle w:val="TableParagraph"/>
              <w:ind w:left="0"/>
              <w:rPr>
                <w:rFonts w:ascii="Times New Roman"/>
                <w:sz w:val="20"/>
              </w:rPr>
            </w:pPr>
          </w:p>
        </w:tc>
      </w:tr>
    </w:tbl>
    <w:p>
      <w:pPr>
        <w:pStyle w:val="BodyText"/>
        <w:spacing w:before="7"/>
        <w:rPr>
          <w:rFonts w:ascii="微软雅黑"/>
          <w:b/>
          <w:sz w:val="13"/>
        </w:rPr>
      </w:pPr>
    </w:p>
    <w:p>
      <w:pPr>
        <w:pStyle w:val="ListParagraph"/>
        <w:numPr>
          <w:ilvl w:val="1"/>
          <w:numId w:val="4"/>
        </w:numPr>
        <w:tabs>
          <w:tab w:pos="1080" w:val="left" w:leader="none"/>
          <w:tab w:pos="1081" w:val="left" w:leader="none"/>
          <w:tab w:pos="2697" w:val="left" w:leader="none"/>
        </w:tabs>
        <w:spacing w:line="240" w:lineRule="auto" w:before="1" w:after="0"/>
        <w:ind w:left="1080" w:right="0" w:hanging="854"/>
        <w:jc w:val="left"/>
        <w:rPr>
          <w:rFonts w:ascii="微软雅黑" w:hAnsi="微软雅黑" w:eastAsia="微软雅黑"/>
          <w:b/>
          <w:sz w:val="21"/>
        </w:rPr>
      </w:pPr>
      <w:r>
        <w:rPr/>
        <w:pict>
          <v:shape style="position:absolute;margin-left:179.899979pt;margin-top:17.868168pt;width:352.3pt;height:151.4pt;mso-position-horizontal-relative:page;mso-position-vertical-relative:paragraph;z-index:15731712" type="#_x0000_t202" id="docshape4"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04"/>
                    <w:gridCol w:w="2386"/>
                  </w:tblGrid>
                  <w:tr>
                    <w:trPr>
                      <w:trHeight w:val="311" w:hRule="atLeast"/>
                    </w:trPr>
                    <w:tc>
                      <w:tcPr>
                        <w:tcW w:w="7035" w:type="dxa"/>
                        <w:gridSpan w:val="3"/>
                      </w:tcPr>
                      <w:p>
                        <w:pPr>
                          <w:pStyle w:val="TableParagraph"/>
                          <w:spacing w:line="292" w:lineRule="exact"/>
                          <w:ind w:left="2872" w:right="2864"/>
                          <w:jc w:val="center"/>
                          <w:rPr>
                            <w:rFonts w:ascii="微软雅黑" w:eastAsia="微软雅黑"/>
                            <w:b/>
                            <w:sz w:val="21"/>
                          </w:rPr>
                        </w:pPr>
                        <w:r>
                          <w:rPr>
                            <w:rFonts w:ascii="微软雅黑" w:eastAsia="微软雅黑"/>
                            <w:b/>
                            <w:spacing w:val="-2"/>
                            <w:sz w:val="21"/>
                          </w:rPr>
                          <w:t>中症疾病名称</w:t>
                        </w:r>
                      </w:p>
                    </w:tc>
                  </w:tr>
                  <w:tr>
                    <w:trPr>
                      <w:trHeight w:val="240" w:hRule="atLeast"/>
                    </w:trPr>
                    <w:tc>
                      <w:tcPr>
                        <w:tcW w:w="2345" w:type="dxa"/>
                      </w:tcPr>
                      <w:p>
                        <w:pPr>
                          <w:pStyle w:val="TableParagraph"/>
                          <w:spacing w:line="220" w:lineRule="exact"/>
                          <w:rPr>
                            <w:sz w:val="21"/>
                          </w:rPr>
                        </w:pPr>
                        <w:r>
                          <w:rPr>
                            <w:spacing w:val="-2"/>
                            <w:sz w:val="21"/>
                          </w:rPr>
                          <w:t>1.</w:t>
                        </w:r>
                        <w:r>
                          <w:rPr>
                            <w:spacing w:val="-4"/>
                            <w:sz w:val="21"/>
                          </w:rPr>
                          <w:t>单侧肺脏切除</w:t>
                        </w:r>
                      </w:p>
                    </w:tc>
                    <w:tc>
                      <w:tcPr>
                        <w:tcW w:w="2304" w:type="dxa"/>
                      </w:tcPr>
                      <w:p>
                        <w:pPr>
                          <w:pStyle w:val="TableParagraph"/>
                          <w:spacing w:line="220" w:lineRule="exact"/>
                          <w:ind w:left="108"/>
                          <w:rPr>
                            <w:sz w:val="21"/>
                          </w:rPr>
                        </w:pPr>
                        <w:r>
                          <w:rPr>
                            <w:spacing w:val="-2"/>
                            <w:sz w:val="21"/>
                          </w:rPr>
                          <w:t>2.</w:t>
                        </w:r>
                        <w:r>
                          <w:rPr>
                            <w:spacing w:val="-4"/>
                            <w:sz w:val="21"/>
                          </w:rPr>
                          <w:t>严重昏迷</w:t>
                        </w:r>
                      </w:p>
                    </w:tc>
                    <w:tc>
                      <w:tcPr>
                        <w:tcW w:w="2386" w:type="dxa"/>
                      </w:tcPr>
                      <w:p>
                        <w:pPr>
                          <w:pStyle w:val="TableParagraph"/>
                          <w:spacing w:line="220" w:lineRule="exact"/>
                          <w:ind w:left="108"/>
                          <w:rPr>
                            <w:sz w:val="21"/>
                          </w:rPr>
                        </w:pPr>
                        <w:r>
                          <w:rPr>
                            <w:spacing w:val="-2"/>
                            <w:sz w:val="21"/>
                          </w:rPr>
                          <w:t>3.</w:t>
                        </w:r>
                        <w:r>
                          <w:rPr>
                            <w:spacing w:val="-4"/>
                            <w:sz w:val="21"/>
                          </w:rPr>
                          <w:t>中度严重克罗恩病</w:t>
                        </w:r>
                      </w:p>
                    </w:tc>
                  </w:tr>
                  <w:tr>
                    <w:trPr>
                      <w:trHeight w:val="479" w:hRule="atLeast"/>
                    </w:trPr>
                    <w:tc>
                      <w:tcPr>
                        <w:tcW w:w="2345" w:type="dxa"/>
                      </w:tcPr>
                      <w:p>
                        <w:pPr>
                          <w:pStyle w:val="TableParagraph"/>
                          <w:spacing w:before="106"/>
                          <w:rPr>
                            <w:sz w:val="21"/>
                          </w:rPr>
                        </w:pPr>
                        <w:r>
                          <w:rPr>
                            <w:spacing w:val="-2"/>
                            <w:sz w:val="21"/>
                          </w:rPr>
                          <w:t>4.</w:t>
                        </w:r>
                        <w:r>
                          <w:rPr>
                            <w:spacing w:val="-4"/>
                            <w:sz w:val="21"/>
                          </w:rPr>
                          <w:t>中度脑损伤</w:t>
                        </w:r>
                      </w:p>
                    </w:tc>
                    <w:tc>
                      <w:tcPr>
                        <w:tcW w:w="2304" w:type="dxa"/>
                      </w:tcPr>
                      <w:p>
                        <w:pPr>
                          <w:pStyle w:val="TableParagraph"/>
                          <w:spacing w:line="240" w:lineRule="exact"/>
                          <w:ind w:left="108" w:right="94"/>
                          <w:rPr>
                            <w:sz w:val="21"/>
                          </w:rPr>
                        </w:pPr>
                        <w:r>
                          <w:rPr>
                            <w:sz w:val="21"/>
                          </w:rPr>
                          <w:t>5.</w:t>
                        </w:r>
                        <w:r>
                          <w:rPr>
                            <w:spacing w:val="6"/>
                            <w:sz w:val="21"/>
                          </w:rPr>
                          <w:t> 中度运动神经元疾</w:t>
                        </w:r>
                        <w:r>
                          <w:rPr>
                            <w:spacing w:val="-10"/>
                            <w:sz w:val="21"/>
                          </w:rPr>
                          <w:t>病</w:t>
                        </w:r>
                      </w:p>
                    </w:tc>
                    <w:tc>
                      <w:tcPr>
                        <w:tcW w:w="2386" w:type="dxa"/>
                      </w:tcPr>
                      <w:p>
                        <w:pPr>
                          <w:pStyle w:val="TableParagraph"/>
                          <w:spacing w:line="240" w:lineRule="exact"/>
                          <w:ind w:left="108" w:right="95"/>
                          <w:rPr>
                            <w:sz w:val="21"/>
                          </w:rPr>
                        </w:pPr>
                        <w:r>
                          <w:rPr>
                            <w:spacing w:val="-2"/>
                            <w:sz w:val="21"/>
                          </w:rPr>
                          <w:t>6.中度脑炎后遗症或中</w:t>
                        </w:r>
                        <w:r>
                          <w:rPr>
                            <w:spacing w:val="-2"/>
                            <w:sz w:val="21"/>
                          </w:rPr>
                          <w:t>度脑膜炎后遗症</w:t>
                        </w:r>
                      </w:p>
                    </w:tc>
                  </w:tr>
                  <w:tr>
                    <w:trPr>
                      <w:trHeight w:val="481" w:hRule="atLeast"/>
                    </w:trPr>
                    <w:tc>
                      <w:tcPr>
                        <w:tcW w:w="2345" w:type="dxa"/>
                      </w:tcPr>
                      <w:p>
                        <w:pPr>
                          <w:pStyle w:val="TableParagraph"/>
                          <w:spacing w:before="108"/>
                          <w:rPr>
                            <w:sz w:val="21"/>
                          </w:rPr>
                        </w:pPr>
                        <w:r>
                          <w:rPr>
                            <w:spacing w:val="-2"/>
                            <w:sz w:val="21"/>
                          </w:rPr>
                          <w:t>7.</w:t>
                        </w:r>
                        <w:r>
                          <w:rPr>
                            <w:spacing w:val="-3"/>
                            <w:sz w:val="21"/>
                          </w:rPr>
                          <w:t>中度原发性帕金森病</w:t>
                        </w:r>
                      </w:p>
                    </w:tc>
                    <w:tc>
                      <w:tcPr>
                        <w:tcW w:w="2304" w:type="dxa"/>
                      </w:tcPr>
                      <w:p>
                        <w:pPr>
                          <w:pStyle w:val="TableParagraph"/>
                          <w:spacing w:before="108"/>
                          <w:ind w:left="108"/>
                          <w:rPr>
                            <w:sz w:val="21"/>
                          </w:rPr>
                        </w:pPr>
                        <w:r>
                          <w:rPr>
                            <w:spacing w:val="-2"/>
                            <w:sz w:val="21"/>
                          </w:rPr>
                          <w:t>8.</w:t>
                        </w:r>
                        <w:r>
                          <w:rPr>
                            <w:spacing w:val="-4"/>
                            <w:sz w:val="21"/>
                          </w:rPr>
                          <w:t>中度阿尔茨海默病</w:t>
                        </w:r>
                      </w:p>
                    </w:tc>
                    <w:tc>
                      <w:tcPr>
                        <w:tcW w:w="2386" w:type="dxa"/>
                      </w:tcPr>
                      <w:p>
                        <w:pPr>
                          <w:pStyle w:val="TableParagraph"/>
                          <w:spacing w:line="240" w:lineRule="exact"/>
                          <w:ind w:left="108" w:right="95"/>
                          <w:rPr>
                            <w:sz w:val="21"/>
                          </w:rPr>
                        </w:pPr>
                        <w:r>
                          <w:rPr>
                            <w:spacing w:val="-2"/>
                            <w:sz w:val="21"/>
                          </w:rPr>
                          <w:t>9.可逆性再生障碍性贫</w:t>
                        </w:r>
                        <w:r>
                          <w:rPr>
                            <w:spacing w:val="-10"/>
                            <w:sz w:val="21"/>
                          </w:rPr>
                          <w:t>血</w:t>
                        </w:r>
                      </w:p>
                    </w:tc>
                  </w:tr>
                  <w:tr>
                    <w:trPr>
                      <w:trHeight w:val="479" w:hRule="atLeast"/>
                    </w:trPr>
                    <w:tc>
                      <w:tcPr>
                        <w:tcW w:w="2345" w:type="dxa"/>
                      </w:tcPr>
                      <w:p>
                        <w:pPr>
                          <w:pStyle w:val="TableParagraph"/>
                          <w:spacing w:line="240" w:lineRule="exact"/>
                          <w:ind w:right="94"/>
                          <w:rPr>
                            <w:sz w:val="21"/>
                          </w:rPr>
                        </w:pPr>
                        <w:r>
                          <w:rPr>
                            <w:sz w:val="21"/>
                          </w:rPr>
                          <w:t>10</w:t>
                        </w:r>
                        <w:r>
                          <w:rPr>
                            <w:spacing w:val="7"/>
                            <w:sz w:val="21"/>
                          </w:rPr>
                          <w:t>.中度严重溃疡性结</w:t>
                        </w:r>
                        <w:r>
                          <w:rPr>
                            <w:spacing w:val="-6"/>
                            <w:sz w:val="21"/>
                          </w:rPr>
                          <w:t>肠炎</w:t>
                        </w:r>
                      </w:p>
                    </w:tc>
                    <w:tc>
                      <w:tcPr>
                        <w:tcW w:w="2304" w:type="dxa"/>
                      </w:tcPr>
                      <w:p>
                        <w:pPr>
                          <w:pStyle w:val="TableParagraph"/>
                          <w:spacing w:before="106"/>
                          <w:ind w:left="108"/>
                          <w:rPr>
                            <w:sz w:val="21"/>
                          </w:rPr>
                        </w:pPr>
                        <w:r>
                          <w:rPr>
                            <w:spacing w:val="-2"/>
                            <w:sz w:val="21"/>
                          </w:rPr>
                          <w:t>11.</w:t>
                        </w:r>
                        <w:r>
                          <w:rPr>
                            <w:spacing w:val="-4"/>
                            <w:sz w:val="21"/>
                          </w:rPr>
                          <w:t>中度肌营养不良症</w:t>
                        </w:r>
                      </w:p>
                    </w:tc>
                    <w:tc>
                      <w:tcPr>
                        <w:tcW w:w="2386" w:type="dxa"/>
                      </w:tcPr>
                      <w:p>
                        <w:pPr>
                          <w:pStyle w:val="TableParagraph"/>
                          <w:spacing w:line="240" w:lineRule="exact"/>
                          <w:ind w:left="108" w:right="94"/>
                          <w:rPr>
                            <w:sz w:val="21"/>
                          </w:rPr>
                        </w:pPr>
                        <w:r>
                          <w:rPr>
                            <w:sz w:val="21"/>
                          </w:rPr>
                          <w:t>12.</w:t>
                        </w:r>
                        <w:r>
                          <w:rPr>
                            <w:spacing w:val="5"/>
                            <w:sz w:val="21"/>
                          </w:rPr>
                          <w:t> 中度严重脊髓灰质</w:t>
                        </w:r>
                        <w:r>
                          <w:rPr>
                            <w:spacing w:val="-10"/>
                            <w:sz w:val="21"/>
                          </w:rPr>
                          <w:t>炎</w:t>
                        </w:r>
                      </w:p>
                    </w:tc>
                  </w:tr>
                  <w:tr>
                    <w:trPr>
                      <w:trHeight w:val="239" w:hRule="atLeast"/>
                    </w:trPr>
                    <w:tc>
                      <w:tcPr>
                        <w:tcW w:w="2345" w:type="dxa"/>
                      </w:tcPr>
                      <w:p>
                        <w:pPr>
                          <w:pStyle w:val="TableParagraph"/>
                          <w:spacing w:line="219" w:lineRule="exact"/>
                          <w:rPr>
                            <w:sz w:val="21"/>
                          </w:rPr>
                        </w:pPr>
                        <w:r>
                          <w:rPr>
                            <w:spacing w:val="-2"/>
                            <w:sz w:val="21"/>
                          </w:rPr>
                          <w:t>13.</w:t>
                        </w:r>
                        <w:r>
                          <w:rPr>
                            <w:spacing w:val="-4"/>
                            <w:sz w:val="21"/>
                          </w:rPr>
                          <w:t>出血性登革热</w:t>
                        </w:r>
                      </w:p>
                    </w:tc>
                    <w:tc>
                      <w:tcPr>
                        <w:tcW w:w="2304" w:type="dxa"/>
                      </w:tcPr>
                      <w:p>
                        <w:pPr>
                          <w:pStyle w:val="TableParagraph"/>
                          <w:spacing w:line="219" w:lineRule="exact"/>
                          <w:ind w:left="108"/>
                          <w:rPr>
                            <w:sz w:val="21"/>
                          </w:rPr>
                        </w:pPr>
                        <w:r>
                          <w:rPr>
                            <w:spacing w:val="-2"/>
                            <w:sz w:val="21"/>
                          </w:rPr>
                          <w:t>14.</w:t>
                        </w:r>
                        <w:r>
                          <w:rPr>
                            <w:spacing w:val="-4"/>
                            <w:sz w:val="21"/>
                          </w:rPr>
                          <w:t>结核性脊髓炎</w:t>
                        </w:r>
                      </w:p>
                    </w:tc>
                    <w:tc>
                      <w:tcPr>
                        <w:tcW w:w="2386" w:type="dxa"/>
                      </w:tcPr>
                      <w:p>
                        <w:pPr>
                          <w:pStyle w:val="TableParagraph"/>
                          <w:spacing w:line="219" w:lineRule="exact"/>
                          <w:ind w:left="108"/>
                          <w:rPr>
                            <w:sz w:val="21"/>
                          </w:rPr>
                        </w:pPr>
                        <w:r>
                          <w:rPr>
                            <w:spacing w:val="-2"/>
                            <w:sz w:val="21"/>
                          </w:rPr>
                          <w:t>15.</w:t>
                        </w:r>
                        <w:r>
                          <w:rPr>
                            <w:spacing w:val="-4"/>
                            <w:sz w:val="21"/>
                          </w:rPr>
                          <w:t>单个肢体缺失</w:t>
                        </w:r>
                      </w:p>
                    </w:tc>
                  </w:tr>
                  <w:tr>
                    <w:trPr>
                      <w:trHeight w:val="479" w:hRule="atLeast"/>
                    </w:trPr>
                    <w:tc>
                      <w:tcPr>
                        <w:tcW w:w="2345" w:type="dxa"/>
                      </w:tcPr>
                      <w:p>
                        <w:pPr>
                          <w:pStyle w:val="TableParagraph"/>
                          <w:spacing w:before="106"/>
                          <w:rPr>
                            <w:sz w:val="21"/>
                          </w:rPr>
                        </w:pPr>
                        <w:r>
                          <w:rPr>
                            <w:spacing w:val="-2"/>
                            <w:sz w:val="21"/>
                          </w:rPr>
                          <w:t>16.</w:t>
                        </w:r>
                        <w:r>
                          <w:rPr>
                            <w:spacing w:val="-4"/>
                            <w:sz w:val="21"/>
                          </w:rPr>
                          <w:t>中度Ⅲ度烧伤</w:t>
                        </w:r>
                      </w:p>
                    </w:tc>
                    <w:tc>
                      <w:tcPr>
                        <w:tcW w:w="2304" w:type="dxa"/>
                      </w:tcPr>
                      <w:p>
                        <w:pPr>
                          <w:pStyle w:val="TableParagraph"/>
                          <w:spacing w:before="106"/>
                          <w:ind w:left="108"/>
                          <w:rPr>
                            <w:sz w:val="21"/>
                          </w:rPr>
                        </w:pPr>
                        <w:r>
                          <w:rPr>
                            <w:spacing w:val="-2"/>
                            <w:sz w:val="21"/>
                          </w:rPr>
                          <w:t>17.</w:t>
                        </w:r>
                        <w:r>
                          <w:rPr>
                            <w:spacing w:val="-4"/>
                            <w:sz w:val="21"/>
                          </w:rPr>
                          <w:t>中度面部烧伤</w:t>
                        </w:r>
                      </w:p>
                    </w:tc>
                    <w:tc>
                      <w:tcPr>
                        <w:tcW w:w="2386" w:type="dxa"/>
                      </w:tcPr>
                      <w:p>
                        <w:pPr>
                          <w:pStyle w:val="TableParagraph"/>
                          <w:spacing w:line="240" w:lineRule="exact"/>
                          <w:ind w:left="108" w:right="94"/>
                          <w:rPr>
                            <w:sz w:val="21"/>
                          </w:rPr>
                        </w:pPr>
                        <w:r>
                          <w:rPr>
                            <w:sz w:val="21"/>
                          </w:rPr>
                          <w:t>18.</w:t>
                        </w:r>
                        <w:r>
                          <w:rPr>
                            <w:spacing w:val="5"/>
                            <w:sz w:val="21"/>
                          </w:rPr>
                          <w:t> 中度类风湿性关节</w:t>
                        </w:r>
                        <w:r>
                          <w:rPr>
                            <w:spacing w:val="-10"/>
                            <w:sz w:val="21"/>
                          </w:rPr>
                          <w:t>炎</w:t>
                        </w:r>
                      </w:p>
                    </w:tc>
                  </w:tr>
                  <w:tr>
                    <w:trPr>
                      <w:trHeight w:val="230" w:hRule="atLeast"/>
                    </w:trPr>
                    <w:tc>
                      <w:tcPr>
                        <w:tcW w:w="2345" w:type="dxa"/>
                      </w:tcPr>
                      <w:p>
                        <w:pPr>
                          <w:pStyle w:val="TableParagraph"/>
                          <w:spacing w:line="210" w:lineRule="exact"/>
                          <w:rPr>
                            <w:sz w:val="21"/>
                          </w:rPr>
                        </w:pPr>
                        <w:r>
                          <w:rPr>
                            <w:sz w:val="21"/>
                          </w:rPr>
                          <w:t>19</w:t>
                        </w:r>
                        <w:r>
                          <w:rPr>
                            <w:spacing w:val="8"/>
                            <w:sz w:val="21"/>
                          </w:rPr>
                          <w:t>.中度肠道疾病并发</w:t>
                        </w:r>
                      </w:p>
                    </w:tc>
                    <w:tc>
                      <w:tcPr>
                        <w:tcW w:w="2304" w:type="dxa"/>
                      </w:tcPr>
                      <w:p>
                        <w:pPr>
                          <w:pStyle w:val="TableParagraph"/>
                          <w:spacing w:line="210" w:lineRule="exact"/>
                          <w:ind w:left="108"/>
                          <w:rPr>
                            <w:sz w:val="21"/>
                          </w:rPr>
                        </w:pPr>
                        <w:r>
                          <w:rPr>
                            <w:sz w:val="21"/>
                          </w:rPr>
                          <w:t>20</w:t>
                        </w:r>
                        <w:r>
                          <w:rPr>
                            <w:spacing w:val="1"/>
                            <w:sz w:val="21"/>
                          </w:rPr>
                          <w:t>.中度进行性核上性</w:t>
                        </w:r>
                      </w:p>
                    </w:tc>
                    <w:tc>
                      <w:tcPr>
                        <w:tcW w:w="2386" w:type="dxa"/>
                      </w:tcPr>
                      <w:p>
                        <w:pPr>
                          <w:pStyle w:val="TableParagraph"/>
                          <w:spacing w:line="210" w:lineRule="exact"/>
                          <w:ind w:left="108"/>
                          <w:rPr>
                            <w:sz w:val="21"/>
                          </w:rPr>
                        </w:pPr>
                        <w:r>
                          <w:rPr>
                            <w:spacing w:val="-2"/>
                            <w:sz w:val="21"/>
                          </w:rPr>
                          <w:t>21.</w:t>
                        </w:r>
                        <w:r>
                          <w:rPr>
                            <w:spacing w:val="-4"/>
                            <w:sz w:val="21"/>
                          </w:rPr>
                          <w:t>中度克雅氏症</w:t>
                        </w:r>
                      </w:p>
                    </w:tc>
                  </w:tr>
                </w:tbl>
                <w:p>
                  <w:pPr>
                    <w:pStyle w:val="BodyText"/>
                  </w:pPr>
                </w:p>
              </w:txbxContent>
            </v:textbox>
            <w10:wrap type="none"/>
          </v:shape>
        </w:pict>
      </w:r>
      <w:r>
        <w:rPr>
          <w:rFonts w:ascii="微软雅黑" w:hAnsi="微软雅黑" w:eastAsia="微软雅黑"/>
          <w:b/>
          <w:sz w:val="21"/>
        </w:rPr>
        <w:t>中症疾病名</w:t>
      </w:r>
      <w:r>
        <w:rPr>
          <w:rFonts w:ascii="微软雅黑" w:hAnsi="微软雅黑" w:eastAsia="微软雅黑"/>
          <w:b/>
          <w:spacing w:val="-10"/>
          <w:sz w:val="21"/>
        </w:rPr>
        <w:t>称</w:t>
      </w:r>
      <w:r>
        <w:rPr>
          <w:rFonts w:ascii="微软雅黑" w:hAnsi="微软雅黑" w:eastAsia="微软雅黑"/>
          <w:b/>
          <w:sz w:val="21"/>
        </w:rPr>
        <w:tab/>
      </w:r>
      <w:r>
        <w:rPr>
          <w:spacing w:val="-2"/>
          <w:sz w:val="21"/>
        </w:rPr>
        <w:t>本</w:t>
      </w:r>
      <w:r>
        <w:rPr>
          <w:spacing w:val="-2"/>
          <w:sz w:val="21"/>
        </w:rPr>
        <w:t>合</w:t>
      </w:r>
      <w:r>
        <w:rPr>
          <w:spacing w:val="-2"/>
          <w:sz w:val="21"/>
        </w:rPr>
        <w:t>同所保障的中症疾病共</w:t>
      </w:r>
      <w:r>
        <w:rPr>
          <w:spacing w:val="-47"/>
          <w:sz w:val="21"/>
        </w:rPr>
        <w:t> </w:t>
      </w:r>
      <w:r>
        <w:rPr>
          <w:spacing w:val="-2"/>
          <w:sz w:val="21"/>
        </w:rPr>
        <w:t>25</w:t>
      </w:r>
      <w:r>
        <w:rPr>
          <w:spacing w:val="-51"/>
          <w:sz w:val="21"/>
        </w:rPr>
        <w:t> </w:t>
      </w:r>
      <w:r>
        <w:rPr>
          <w:spacing w:val="-2"/>
          <w:sz w:val="21"/>
        </w:rPr>
        <w:t>种</w:t>
      </w:r>
      <w:r>
        <w:rPr>
          <w:spacing w:val="-63"/>
          <w:sz w:val="21"/>
        </w:rPr>
        <w:t>。</w:t>
      </w:r>
      <w:r>
        <w:rPr>
          <w:rFonts w:ascii="微软雅黑" w:hAnsi="微软雅黑" w:eastAsia="微软雅黑"/>
          <w:b/>
          <w:spacing w:val="-2"/>
          <w:sz w:val="21"/>
        </w:rPr>
        <w:t>中</w:t>
      </w:r>
      <w:r>
        <w:rPr>
          <w:rFonts w:ascii="微软雅黑" w:hAnsi="微软雅黑" w:eastAsia="微软雅黑"/>
          <w:b/>
          <w:spacing w:val="-2"/>
          <w:sz w:val="21"/>
        </w:rPr>
        <w:t>症</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的</w:t>
      </w:r>
      <w:r>
        <w:rPr>
          <w:rFonts w:ascii="微软雅黑" w:hAnsi="微软雅黑" w:eastAsia="微软雅黑"/>
          <w:b/>
          <w:spacing w:val="-2"/>
          <w:sz w:val="21"/>
        </w:rPr>
        <w:t>定</w:t>
      </w:r>
      <w:r>
        <w:rPr>
          <w:rFonts w:ascii="微软雅黑" w:hAnsi="微软雅黑" w:eastAsia="微软雅黑"/>
          <w:b/>
          <w:spacing w:val="-2"/>
          <w:sz w:val="21"/>
        </w:rPr>
        <w:t>义详</w:t>
      </w:r>
      <w:r>
        <w:rPr>
          <w:rFonts w:ascii="微软雅黑" w:hAnsi="微软雅黑" w:eastAsia="微软雅黑"/>
          <w:b/>
          <w:spacing w:val="-60"/>
          <w:sz w:val="21"/>
        </w:rPr>
        <w:t>见</w:t>
      </w:r>
      <w:r>
        <w:rPr>
          <w:rFonts w:ascii="微软雅黑" w:hAnsi="微软雅黑" w:eastAsia="微软雅黑"/>
          <w:b/>
          <w:spacing w:val="-2"/>
          <w:sz w:val="21"/>
        </w:rPr>
        <w:t>“10.2</w:t>
      </w:r>
      <w:r>
        <w:rPr>
          <w:rFonts w:ascii="微软雅黑" w:hAnsi="微软雅黑" w:eastAsia="微软雅黑"/>
          <w:b/>
          <w:spacing w:val="53"/>
          <w:sz w:val="21"/>
        </w:rPr>
        <w:t> </w:t>
      </w:r>
      <w:r>
        <w:rPr>
          <w:rFonts w:ascii="微软雅黑" w:hAnsi="微软雅黑" w:eastAsia="微软雅黑"/>
          <w:b/>
          <w:spacing w:val="-2"/>
          <w:sz w:val="21"/>
        </w:rPr>
        <w:t>中</w:t>
      </w:r>
      <w:r>
        <w:rPr>
          <w:rFonts w:ascii="微软雅黑" w:hAnsi="微软雅黑" w:eastAsia="微软雅黑"/>
          <w:b/>
          <w:spacing w:val="-2"/>
          <w:sz w:val="21"/>
        </w:rPr>
        <w:t>症</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定</w:t>
      </w:r>
      <w:r>
        <w:rPr>
          <w:rFonts w:ascii="微软雅黑" w:hAnsi="微软雅黑" w:eastAsia="微软雅黑"/>
          <w:b/>
          <w:spacing w:val="-2"/>
          <w:sz w:val="21"/>
        </w:rPr>
        <w:t>义</w:t>
      </w:r>
      <w:r>
        <w:rPr>
          <w:rFonts w:ascii="微软雅黑" w:hAnsi="微软雅黑" w:eastAsia="微软雅黑"/>
          <w:b/>
          <w:spacing w:val="-60"/>
          <w:sz w:val="21"/>
        </w:rPr>
        <w:t>”</w:t>
      </w:r>
      <w:r>
        <w:rPr>
          <w:rFonts w:ascii="微软雅黑" w:hAnsi="微软雅黑" w:eastAsia="微软雅黑"/>
          <w:b/>
          <w:spacing w:val="-10"/>
          <w:sz w:val="21"/>
        </w:rPr>
        <w:t>。</w:t>
      </w:r>
    </w:p>
    <w:p>
      <w:pPr>
        <w:spacing w:after="0" w:line="240" w:lineRule="auto"/>
        <w:jc w:val="left"/>
        <w:rPr>
          <w:rFonts w:ascii="微软雅黑" w:hAnsi="微软雅黑" w:eastAsia="微软雅黑"/>
          <w:sz w:val="21"/>
        </w:rPr>
        <w:sectPr>
          <w:type w:val="continuous"/>
          <w:pgSz w:w="11910" w:h="16840"/>
          <w:pgMar w:header="0" w:footer="406" w:top="600" w:bottom="280" w:left="900" w:right="340"/>
        </w:sectPr>
      </w:pPr>
    </w:p>
    <w:tbl>
      <w:tblPr>
        <w:tblW w:w="0" w:type="auto"/>
        <w:jc w:val="left"/>
        <w:tblInd w:w="2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04"/>
        <w:gridCol w:w="2386"/>
      </w:tblGrid>
      <w:tr>
        <w:trPr>
          <w:trHeight w:val="241" w:hRule="atLeast"/>
        </w:trPr>
        <w:tc>
          <w:tcPr>
            <w:tcW w:w="2345" w:type="dxa"/>
          </w:tcPr>
          <w:p>
            <w:pPr>
              <w:pStyle w:val="TableParagraph"/>
              <w:spacing w:line="222" w:lineRule="exact"/>
              <w:rPr>
                <w:sz w:val="21"/>
              </w:rPr>
            </w:pPr>
            <w:r>
              <w:rPr>
                <w:w w:val="100"/>
                <w:sz w:val="21"/>
              </w:rPr>
              <w:t>症</w:t>
            </w:r>
          </w:p>
        </w:tc>
        <w:tc>
          <w:tcPr>
            <w:tcW w:w="2304" w:type="dxa"/>
          </w:tcPr>
          <w:p>
            <w:pPr>
              <w:pStyle w:val="TableParagraph"/>
              <w:spacing w:line="222" w:lineRule="exact"/>
              <w:ind w:left="108"/>
              <w:rPr>
                <w:sz w:val="21"/>
              </w:rPr>
            </w:pPr>
            <w:r>
              <w:rPr>
                <w:spacing w:val="-5"/>
                <w:sz w:val="21"/>
              </w:rPr>
              <w:t>麻痹</w:t>
            </w:r>
          </w:p>
        </w:tc>
        <w:tc>
          <w:tcPr>
            <w:tcW w:w="2386" w:type="dxa"/>
          </w:tcPr>
          <w:p>
            <w:pPr>
              <w:pStyle w:val="TableParagraph"/>
              <w:ind w:left="0"/>
              <w:rPr>
                <w:rFonts w:ascii="Times New Roman"/>
                <w:sz w:val="16"/>
              </w:rPr>
            </w:pPr>
          </w:p>
        </w:tc>
      </w:tr>
      <w:tr>
        <w:trPr>
          <w:trHeight w:val="480" w:hRule="atLeast"/>
        </w:trPr>
        <w:tc>
          <w:tcPr>
            <w:tcW w:w="2345" w:type="dxa"/>
          </w:tcPr>
          <w:p>
            <w:pPr>
              <w:pStyle w:val="TableParagraph"/>
              <w:spacing w:line="236" w:lineRule="exact"/>
              <w:rPr>
                <w:sz w:val="21"/>
              </w:rPr>
            </w:pPr>
            <w:r>
              <w:rPr>
                <w:sz w:val="21"/>
              </w:rPr>
              <w:t>22</w:t>
            </w:r>
            <w:r>
              <w:rPr>
                <w:spacing w:val="8"/>
                <w:sz w:val="21"/>
              </w:rPr>
              <w:t>.中度脊髓小脑变性</w:t>
            </w:r>
          </w:p>
          <w:p>
            <w:pPr>
              <w:pStyle w:val="TableParagraph"/>
              <w:spacing w:line="224" w:lineRule="exact"/>
              <w:rPr>
                <w:sz w:val="21"/>
              </w:rPr>
            </w:pPr>
            <w:r>
              <w:rPr>
                <w:w w:val="100"/>
                <w:sz w:val="21"/>
              </w:rPr>
              <w:t>症</w:t>
            </w:r>
          </w:p>
        </w:tc>
        <w:tc>
          <w:tcPr>
            <w:tcW w:w="2304" w:type="dxa"/>
          </w:tcPr>
          <w:p>
            <w:pPr>
              <w:pStyle w:val="TableParagraph"/>
              <w:spacing w:before="101"/>
              <w:ind w:left="108"/>
              <w:rPr>
                <w:sz w:val="21"/>
              </w:rPr>
            </w:pPr>
            <w:r>
              <w:rPr>
                <w:spacing w:val="-2"/>
                <w:sz w:val="21"/>
              </w:rPr>
              <w:t>23.</w:t>
            </w:r>
            <w:r>
              <w:rPr>
                <w:spacing w:val="-4"/>
                <w:sz w:val="21"/>
              </w:rPr>
              <w:t>中度强直性脊柱炎</w:t>
            </w:r>
          </w:p>
        </w:tc>
        <w:tc>
          <w:tcPr>
            <w:tcW w:w="2386" w:type="dxa"/>
          </w:tcPr>
          <w:p>
            <w:pPr>
              <w:pStyle w:val="TableParagraph"/>
              <w:spacing w:before="101"/>
              <w:ind w:left="108"/>
              <w:rPr>
                <w:sz w:val="21"/>
              </w:rPr>
            </w:pPr>
            <w:r>
              <w:rPr>
                <w:spacing w:val="-2"/>
                <w:sz w:val="21"/>
              </w:rPr>
              <w:t>24.</w:t>
            </w:r>
            <w:r>
              <w:rPr>
                <w:spacing w:val="-4"/>
                <w:sz w:val="21"/>
              </w:rPr>
              <w:t>中度多发性硬化</w:t>
            </w:r>
          </w:p>
        </w:tc>
      </w:tr>
      <w:tr>
        <w:trPr>
          <w:trHeight w:val="330" w:hRule="atLeast"/>
        </w:trPr>
        <w:tc>
          <w:tcPr>
            <w:tcW w:w="2345" w:type="dxa"/>
          </w:tcPr>
          <w:p>
            <w:pPr>
              <w:pStyle w:val="TableParagraph"/>
              <w:spacing w:before="26"/>
              <w:rPr>
                <w:sz w:val="21"/>
              </w:rPr>
            </w:pPr>
            <w:r>
              <w:rPr>
                <w:spacing w:val="-2"/>
                <w:sz w:val="21"/>
              </w:rPr>
              <w:t>25.</w:t>
            </w:r>
            <w:r>
              <w:rPr>
                <w:spacing w:val="-4"/>
                <w:sz w:val="21"/>
              </w:rPr>
              <w:t>中度重症肌无力</w:t>
            </w:r>
          </w:p>
        </w:tc>
        <w:tc>
          <w:tcPr>
            <w:tcW w:w="2304" w:type="dxa"/>
          </w:tcPr>
          <w:p>
            <w:pPr>
              <w:pStyle w:val="TableParagraph"/>
              <w:ind w:left="0"/>
              <w:rPr>
                <w:rFonts w:ascii="Times New Roman"/>
                <w:sz w:val="20"/>
              </w:rPr>
            </w:pPr>
          </w:p>
        </w:tc>
        <w:tc>
          <w:tcPr>
            <w:tcW w:w="2386" w:type="dxa"/>
          </w:tcPr>
          <w:p>
            <w:pPr>
              <w:pStyle w:val="TableParagraph"/>
              <w:ind w:left="0"/>
              <w:rPr>
                <w:rFonts w:ascii="Times New Roman"/>
                <w:sz w:val="20"/>
              </w:rPr>
            </w:pPr>
          </w:p>
        </w:tc>
      </w:tr>
    </w:tbl>
    <w:p>
      <w:pPr>
        <w:pStyle w:val="BodyText"/>
        <w:spacing w:before="1"/>
        <w:rPr>
          <w:rFonts w:ascii="微软雅黑"/>
          <w:b/>
          <w:sz w:val="14"/>
        </w:rPr>
      </w:pPr>
    </w:p>
    <w:p>
      <w:pPr>
        <w:pStyle w:val="ListParagraph"/>
        <w:numPr>
          <w:ilvl w:val="1"/>
          <w:numId w:val="4"/>
        </w:numPr>
        <w:tabs>
          <w:tab w:pos="1081" w:val="left" w:leader="none"/>
        </w:tabs>
        <w:spacing w:line="256" w:lineRule="auto" w:before="4" w:after="0"/>
        <w:ind w:left="2698" w:right="666" w:hanging="2470"/>
        <w:jc w:val="both"/>
        <w:rPr>
          <w:sz w:val="21"/>
        </w:rPr>
      </w:pPr>
      <w:r>
        <w:rPr>
          <w:rFonts w:ascii="微软雅黑" w:eastAsia="微软雅黑"/>
          <w:b/>
          <w:spacing w:val="30"/>
          <w:sz w:val="21"/>
        </w:rPr>
        <w:t>重大疾病名称 </w:t>
      </w:r>
      <w:r>
        <w:rPr>
          <w:spacing w:val="-3"/>
          <w:sz w:val="21"/>
        </w:rPr>
        <w:t>本合同所保障的重大疾病共 </w:t>
      </w:r>
      <w:r>
        <w:rPr>
          <w:sz w:val="21"/>
        </w:rPr>
        <w:t>110</w:t>
      </w:r>
      <w:r>
        <w:rPr>
          <w:spacing w:val="-8"/>
          <w:sz w:val="21"/>
        </w:rPr>
        <w:t> 种，其中前 </w:t>
      </w:r>
      <w:r>
        <w:rPr>
          <w:sz w:val="21"/>
        </w:rPr>
        <w:t>28</w:t>
      </w:r>
      <w:r>
        <w:rPr>
          <w:spacing w:val="-5"/>
          <w:sz w:val="21"/>
        </w:rPr>
        <w:t> 种重大疾病与《重大疾病保险的</w:t>
      </w:r>
      <w:r>
        <w:rPr>
          <w:sz w:val="21"/>
        </w:rPr>
        <w:t>疾病定义使用规范（2020 年修订版）》中重大疾病的疾病名称和疾病定义保持</w:t>
      </w:r>
      <w:r>
        <w:rPr>
          <w:spacing w:val="-2"/>
          <w:sz w:val="21"/>
        </w:rPr>
        <w:t>一致，其他重大疾病为本公司增加的重大疾病。</w:t>
      </w:r>
    </w:p>
    <w:p>
      <w:pPr>
        <w:pStyle w:val="Heading2"/>
        <w:spacing w:line="333" w:lineRule="exact"/>
        <w:ind w:left="2698"/>
      </w:pPr>
      <w:r>
        <w:rPr/>
        <w:pict>
          <v:shape style="position:absolute;margin-left:179.899994pt;margin-top:15.119385pt;width:353.5pt;height:587.950pt;mso-position-horizontal-relative:page;mso-position-vertical-relative:paragraph;z-index:15732224" type="#_x0000_t202" id="docshape5"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53"/>
                    <w:gridCol w:w="2353"/>
                    <w:gridCol w:w="2356"/>
                  </w:tblGrid>
                  <w:tr>
                    <w:trPr>
                      <w:trHeight w:val="311" w:hRule="atLeast"/>
                    </w:trPr>
                    <w:tc>
                      <w:tcPr>
                        <w:tcW w:w="7062" w:type="dxa"/>
                        <w:gridSpan w:val="3"/>
                      </w:tcPr>
                      <w:p>
                        <w:pPr>
                          <w:pStyle w:val="TableParagraph"/>
                          <w:spacing w:line="292" w:lineRule="exact"/>
                          <w:ind w:left="2884" w:right="2879"/>
                          <w:jc w:val="center"/>
                          <w:rPr>
                            <w:rFonts w:ascii="微软雅黑" w:eastAsia="微软雅黑"/>
                            <w:b/>
                            <w:sz w:val="21"/>
                          </w:rPr>
                        </w:pPr>
                        <w:r>
                          <w:rPr>
                            <w:rFonts w:ascii="微软雅黑" w:eastAsia="微软雅黑"/>
                            <w:b/>
                            <w:spacing w:val="-2"/>
                            <w:sz w:val="21"/>
                          </w:rPr>
                          <w:t>重大疾病名称</w:t>
                        </w:r>
                      </w:p>
                    </w:tc>
                  </w:tr>
                  <w:tr>
                    <w:trPr>
                      <w:trHeight w:val="311" w:hRule="atLeast"/>
                    </w:trPr>
                    <w:tc>
                      <w:tcPr>
                        <w:tcW w:w="2353" w:type="dxa"/>
                      </w:tcPr>
                      <w:p>
                        <w:pPr>
                          <w:pStyle w:val="TableParagraph"/>
                          <w:spacing w:before="22"/>
                          <w:rPr>
                            <w:sz w:val="21"/>
                          </w:rPr>
                        </w:pPr>
                        <w:r>
                          <w:rPr>
                            <w:spacing w:val="-2"/>
                            <w:sz w:val="21"/>
                          </w:rPr>
                          <w:t>1.</w:t>
                        </w:r>
                        <w:r>
                          <w:rPr>
                            <w:spacing w:val="-4"/>
                            <w:sz w:val="21"/>
                          </w:rPr>
                          <w:t>恶性肿瘤——重度</w:t>
                        </w:r>
                      </w:p>
                    </w:tc>
                    <w:tc>
                      <w:tcPr>
                        <w:tcW w:w="2353" w:type="dxa"/>
                      </w:tcPr>
                      <w:p>
                        <w:pPr>
                          <w:pStyle w:val="TableParagraph"/>
                          <w:spacing w:before="22"/>
                          <w:rPr>
                            <w:sz w:val="21"/>
                          </w:rPr>
                        </w:pPr>
                        <w:r>
                          <w:rPr>
                            <w:spacing w:val="-2"/>
                            <w:sz w:val="21"/>
                          </w:rPr>
                          <w:t>2.</w:t>
                        </w:r>
                        <w:r>
                          <w:rPr>
                            <w:spacing w:val="-4"/>
                            <w:sz w:val="21"/>
                          </w:rPr>
                          <w:t>较重急性心肌梗死</w:t>
                        </w:r>
                      </w:p>
                    </w:tc>
                    <w:tc>
                      <w:tcPr>
                        <w:tcW w:w="2356" w:type="dxa"/>
                      </w:tcPr>
                      <w:p>
                        <w:pPr>
                          <w:pStyle w:val="TableParagraph"/>
                          <w:spacing w:before="22"/>
                          <w:ind w:left="106"/>
                          <w:rPr>
                            <w:sz w:val="21"/>
                          </w:rPr>
                        </w:pPr>
                        <w:r>
                          <w:rPr>
                            <w:spacing w:val="-2"/>
                            <w:sz w:val="21"/>
                          </w:rPr>
                          <w:t>3.</w:t>
                        </w:r>
                        <w:r>
                          <w:rPr>
                            <w:spacing w:val="-4"/>
                            <w:sz w:val="21"/>
                          </w:rPr>
                          <w:t>严重脑中风后遗症</w:t>
                        </w:r>
                      </w:p>
                    </w:tc>
                  </w:tr>
                  <w:tr>
                    <w:trPr>
                      <w:trHeight w:val="935" w:hRule="atLeast"/>
                    </w:trPr>
                    <w:tc>
                      <w:tcPr>
                        <w:tcW w:w="2353" w:type="dxa"/>
                      </w:tcPr>
                      <w:p>
                        <w:pPr>
                          <w:pStyle w:val="TableParagraph"/>
                          <w:spacing w:line="278" w:lineRule="auto" w:before="178"/>
                          <w:ind w:right="96"/>
                          <w:rPr>
                            <w:sz w:val="21"/>
                          </w:rPr>
                        </w:pPr>
                        <w:r>
                          <w:rPr>
                            <w:spacing w:val="-2"/>
                            <w:sz w:val="21"/>
                          </w:rPr>
                          <w:t>4.重大器官移植术或造</w:t>
                        </w:r>
                        <w:r>
                          <w:rPr>
                            <w:spacing w:val="-2"/>
                            <w:sz w:val="21"/>
                          </w:rPr>
                          <w:t>血干细胞移植术</w:t>
                        </w:r>
                      </w:p>
                    </w:tc>
                    <w:tc>
                      <w:tcPr>
                        <w:tcW w:w="2353" w:type="dxa"/>
                      </w:tcPr>
                      <w:p>
                        <w:pPr>
                          <w:pStyle w:val="TableParagraph"/>
                          <w:spacing w:line="278" w:lineRule="auto" w:before="22"/>
                          <w:ind w:right="96"/>
                          <w:rPr>
                            <w:sz w:val="21"/>
                          </w:rPr>
                        </w:pPr>
                        <w:r>
                          <w:rPr>
                            <w:spacing w:val="-2"/>
                            <w:sz w:val="21"/>
                          </w:rPr>
                          <w:t>5.冠状动脉搭桥术（</w:t>
                        </w:r>
                        <w:r>
                          <w:rPr>
                            <w:spacing w:val="-2"/>
                            <w:sz w:val="21"/>
                          </w:rPr>
                          <w:t>或</w:t>
                        </w:r>
                        <w:r>
                          <w:rPr>
                            <w:spacing w:val="23"/>
                            <w:sz w:val="21"/>
                          </w:rPr>
                          <w:t>称冠状动脉旁路移植</w:t>
                        </w:r>
                      </w:p>
                      <w:p>
                        <w:pPr>
                          <w:pStyle w:val="TableParagraph"/>
                          <w:spacing w:line="269" w:lineRule="exact"/>
                          <w:rPr>
                            <w:sz w:val="21"/>
                          </w:rPr>
                        </w:pPr>
                        <w:r>
                          <w:rPr>
                            <w:sz w:val="21"/>
                          </w:rPr>
                          <w:t>术</w:t>
                        </w:r>
                        <w:r>
                          <w:rPr>
                            <w:spacing w:val="-10"/>
                            <w:sz w:val="21"/>
                          </w:rPr>
                          <w:t>）</w:t>
                        </w:r>
                      </w:p>
                    </w:tc>
                    <w:tc>
                      <w:tcPr>
                        <w:tcW w:w="2356" w:type="dxa"/>
                      </w:tcPr>
                      <w:p>
                        <w:pPr>
                          <w:pStyle w:val="TableParagraph"/>
                          <w:spacing w:before="2"/>
                          <w:ind w:left="0"/>
                          <w:rPr>
                            <w:rFonts w:ascii="微软雅黑"/>
                            <w:b/>
                            <w:sz w:val="18"/>
                          </w:rPr>
                        </w:pPr>
                      </w:p>
                      <w:p>
                        <w:pPr>
                          <w:pStyle w:val="TableParagraph"/>
                          <w:spacing w:before="1"/>
                          <w:ind w:left="106"/>
                          <w:rPr>
                            <w:sz w:val="21"/>
                          </w:rPr>
                        </w:pPr>
                        <w:r>
                          <w:rPr>
                            <w:spacing w:val="-2"/>
                            <w:sz w:val="21"/>
                          </w:rPr>
                          <w:t>6.</w:t>
                        </w:r>
                        <w:r>
                          <w:rPr>
                            <w:spacing w:val="-4"/>
                            <w:sz w:val="21"/>
                          </w:rPr>
                          <w:t>严重慢性肾衰竭</w:t>
                        </w:r>
                      </w:p>
                    </w:tc>
                  </w:tr>
                  <w:tr>
                    <w:trPr>
                      <w:trHeight w:val="624" w:hRule="atLeast"/>
                    </w:trPr>
                    <w:tc>
                      <w:tcPr>
                        <w:tcW w:w="2353" w:type="dxa"/>
                      </w:tcPr>
                      <w:p>
                        <w:pPr>
                          <w:pStyle w:val="TableParagraph"/>
                          <w:spacing w:before="179"/>
                          <w:rPr>
                            <w:sz w:val="21"/>
                          </w:rPr>
                        </w:pPr>
                        <w:r>
                          <w:rPr>
                            <w:spacing w:val="-2"/>
                            <w:sz w:val="21"/>
                          </w:rPr>
                          <w:t>7.</w:t>
                        </w:r>
                        <w:r>
                          <w:rPr>
                            <w:spacing w:val="-4"/>
                            <w:sz w:val="21"/>
                          </w:rPr>
                          <w:t>多个肢体缺失</w:t>
                        </w:r>
                      </w:p>
                    </w:tc>
                    <w:tc>
                      <w:tcPr>
                        <w:tcW w:w="2353" w:type="dxa"/>
                      </w:tcPr>
                      <w:p>
                        <w:pPr>
                          <w:pStyle w:val="TableParagraph"/>
                          <w:spacing w:before="23"/>
                          <w:rPr>
                            <w:sz w:val="21"/>
                          </w:rPr>
                        </w:pPr>
                        <w:r>
                          <w:rPr>
                            <w:sz w:val="21"/>
                          </w:rPr>
                          <w:t>8</w:t>
                        </w:r>
                        <w:r>
                          <w:rPr>
                            <w:spacing w:val="-1"/>
                            <w:sz w:val="21"/>
                          </w:rPr>
                          <w:t>.急性重症肝炎或亚急</w:t>
                        </w:r>
                      </w:p>
                      <w:p>
                        <w:pPr>
                          <w:pStyle w:val="TableParagraph"/>
                          <w:spacing w:before="43"/>
                          <w:rPr>
                            <w:sz w:val="21"/>
                          </w:rPr>
                        </w:pPr>
                        <w:r>
                          <w:rPr>
                            <w:spacing w:val="-4"/>
                            <w:sz w:val="21"/>
                          </w:rPr>
                          <w:t>性重症肝炎</w:t>
                        </w:r>
                      </w:p>
                    </w:tc>
                    <w:tc>
                      <w:tcPr>
                        <w:tcW w:w="2356" w:type="dxa"/>
                      </w:tcPr>
                      <w:p>
                        <w:pPr>
                          <w:pStyle w:val="TableParagraph"/>
                          <w:spacing w:before="23"/>
                          <w:ind w:left="106"/>
                          <w:rPr>
                            <w:sz w:val="21"/>
                          </w:rPr>
                        </w:pPr>
                        <w:r>
                          <w:rPr>
                            <w:sz w:val="21"/>
                          </w:rPr>
                          <w:t>9</w:t>
                        </w:r>
                        <w:r>
                          <w:rPr>
                            <w:spacing w:val="-1"/>
                            <w:sz w:val="21"/>
                          </w:rPr>
                          <w:t>.严重非恶性颅内脑肿</w:t>
                        </w:r>
                      </w:p>
                      <w:p>
                        <w:pPr>
                          <w:pStyle w:val="TableParagraph"/>
                          <w:spacing w:before="43"/>
                          <w:ind w:left="106"/>
                          <w:rPr>
                            <w:sz w:val="21"/>
                          </w:rPr>
                        </w:pPr>
                        <w:r>
                          <w:rPr>
                            <w:w w:val="100"/>
                            <w:sz w:val="21"/>
                          </w:rPr>
                          <w:t>瘤</w:t>
                        </w:r>
                      </w:p>
                    </w:tc>
                  </w:tr>
                  <w:tr>
                    <w:trPr>
                      <w:trHeight w:val="623" w:hRule="atLeast"/>
                    </w:trPr>
                    <w:tc>
                      <w:tcPr>
                        <w:tcW w:w="2353" w:type="dxa"/>
                      </w:tcPr>
                      <w:p>
                        <w:pPr>
                          <w:pStyle w:val="TableParagraph"/>
                          <w:spacing w:before="178"/>
                          <w:rPr>
                            <w:sz w:val="21"/>
                          </w:rPr>
                        </w:pPr>
                        <w:r>
                          <w:rPr>
                            <w:spacing w:val="-2"/>
                            <w:sz w:val="21"/>
                          </w:rPr>
                          <w:t>10.</w:t>
                        </w:r>
                        <w:r>
                          <w:rPr>
                            <w:spacing w:val="-4"/>
                            <w:sz w:val="21"/>
                          </w:rPr>
                          <w:t>严重慢性肝衰竭</w:t>
                        </w:r>
                      </w:p>
                    </w:tc>
                    <w:tc>
                      <w:tcPr>
                        <w:tcW w:w="2353" w:type="dxa"/>
                      </w:tcPr>
                      <w:p>
                        <w:pPr>
                          <w:pStyle w:val="TableParagraph"/>
                          <w:spacing w:before="22"/>
                          <w:rPr>
                            <w:sz w:val="21"/>
                          </w:rPr>
                        </w:pPr>
                        <w:r>
                          <w:rPr>
                            <w:sz w:val="21"/>
                          </w:rPr>
                          <w:t>11</w:t>
                        </w:r>
                        <w:r>
                          <w:rPr>
                            <w:spacing w:val="9"/>
                            <w:sz w:val="21"/>
                          </w:rPr>
                          <w:t>.严重脑炎后遗症或</w:t>
                        </w:r>
                      </w:p>
                      <w:p>
                        <w:pPr>
                          <w:pStyle w:val="TableParagraph"/>
                          <w:spacing w:before="43"/>
                          <w:rPr>
                            <w:sz w:val="21"/>
                          </w:rPr>
                        </w:pPr>
                        <w:r>
                          <w:rPr>
                            <w:spacing w:val="-4"/>
                            <w:sz w:val="21"/>
                          </w:rPr>
                          <w:t>严重脑膜炎后遗症</w:t>
                        </w:r>
                      </w:p>
                    </w:tc>
                    <w:tc>
                      <w:tcPr>
                        <w:tcW w:w="2356" w:type="dxa"/>
                      </w:tcPr>
                      <w:p>
                        <w:pPr>
                          <w:pStyle w:val="TableParagraph"/>
                          <w:spacing w:before="178"/>
                          <w:ind w:left="106"/>
                          <w:rPr>
                            <w:sz w:val="21"/>
                          </w:rPr>
                        </w:pPr>
                        <w:r>
                          <w:rPr>
                            <w:spacing w:val="-2"/>
                            <w:sz w:val="21"/>
                          </w:rPr>
                          <w:t>12.</w:t>
                        </w:r>
                        <w:r>
                          <w:rPr>
                            <w:spacing w:val="-4"/>
                            <w:sz w:val="21"/>
                          </w:rPr>
                          <w:t>深度昏迷</w:t>
                        </w:r>
                      </w:p>
                    </w:tc>
                  </w:tr>
                  <w:tr>
                    <w:trPr>
                      <w:trHeight w:val="313" w:hRule="atLeast"/>
                    </w:trPr>
                    <w:tc>
                      <w:tcPr>
                        <w:tcW w:w="2353" w:type="dxa"/>
                      </w:tcPr>
                      <w:p>
                        <w:pPr>
                          <w:pStyle w:val="TableParagraph"/>
                          <w:spacing w:before="25"/>
                          <w:rPr>
                            <w:sz w:val="21"/>
                          </w:rPr>
                        </w:pPr>
                        <w:r>
                          <w:rPr>
                            <w:spacing w:val="-2"/>
                            <w:sz w:val="21"/>
                          </w:rPr>
                          <w:t>13.</w:t>
                        </w:r>
                        <w:r>
                          <w:rPr>
                            <w:spacing w:val="-4"/>
                            <w:sz w:val="21"/>
                          </w:rPr>
                          <w:t>双耳失聪</w:t>
                        </w:r>
                      </w:p>
                    </w:tc>
                    <w:tc>
                      <w:tcPr>
                        <w:tcW w:w="2353" w:type="dxa"/>
                      </w:tcPr>
                      <w:p>
                        <w:pPr>
                          <w:pStyle w:val="TableParagraph"/>
                          <w:spacing w:before="25"/>
                          <w:rPr>
                            <w:sz w:val="21"/>
                          </w:rPr>
                        </w:pPr>
                        <w:r>
                          <w:rPr>
                            <w:spacing w:val="-2"/>
                            <w:sz w:val="21"/>
                          </w:rPr>
                          <w:t>14.</w:t>
                        </w:r>
                        <w:r>
                          <w:rPr>
                            <w:spacing w:val="-4"/>
                            <w:sz w:val="21"/>
                          </w:rPr>
                          <w:t>双目失明</w:t>
                        </w:r>
                      </w:p>
                    </w:tc>
                    <w:tc>
                      <w:tcPr>
                        <w:tcW w:w="2356" w:type="dxa"/>
                      </w:tcPr>
                      <w:p>
                        <w:pPr>
                          <w:pStyle w:val="TableParagraph"/>
                          <w:spacing w:before="25"/>
                          <w:ind w:left="106"/>
                          <w:rPr>
                            <w:sz w:val="21"/>
                          </w:rPr>
                        </w:pPr>
                        <w:r>
                          <w:rPr>
                            <w:spacing w:val="-2"/>
                            <w:sz w:val="21"/>
                          </w:rPr>
                          <w:t>15.</w:t>
                        </w:r>
                        <w:r>
                          <w:rPr>
                            <w:spacing w:val="-6"/>
                            <w:sz w:val="21"/>
                          </w:rPr>
                          <w:t>瘫痪</w:t>
                        </w:r>
                      </w:p>
                    </w:tc>
                  </w:tr>
                  <w:tr>
                    <w:trPr>
                      <w:trHeight w:val="311" w:hRule="atLeast"/>
                    </w:trPr>
                    <w:tc>
                      <w:tcPr>
                        <w:tcW w:w="2353" w:type="dxa"/>
                      </w:tcPr>
                      <w:p>
                        <w:pPr>
                          <w:pStyle w:val="TableParagraph"/>
                          <w:spacing w:before="22"/>
                          <w:rPr>
                            <w:sz w:val="21"/>
                          </w:rPr>
                        </w:pPr>
                        <w:r>
                          <w:rPr>
                            <w:spacing w:val="-2"/>
                            <w:sz w:val="21"/>
                          </w:rPr>
                          <w:t>16.</w:t>
                        </w:r>
                        <w:r>
                          <w:rPr>
                            <w:spacing w:val="-4"/>
                            <w:sz w:val="21"/>
                          </w:rPr>
                          <w:t>心脏瓣膜手术</w:t>
                        </w:r>
                      </w:p>
                    </w:tc>
                    <w:tc>
                      <w:tcPr>
                        <w:tcW w:w="2353" w:type="dxa"/>
                      </w:tcPr>
                      <w:p>
                        <w:pPr>
                          <w:pStyle w:val="TableParagraph"/>
                          <w:spacing w:before="22"/>
                          <w:rPr>
                            <w:sz w:val="21"/>
                          </w:rPr>
                        </w:pPr>
                        <w:r>
                          <w:rPr>
                            <w:spacing w:val="-2"/>
                            <w:sz w:val="21"/>
                          </w:rPr>
                          <w:t>17.</w:t>
                        </w:r>
                        <w:r>
                          <w:rPr>
                            <w:spacing w:val="-4"/>
                            <w:sz w:val="21"/>
                          </w:rPr>
                          <w:t>严重阿尔茨海默病</w:t>
                        </w:r>
                      </w:p>
                    </w:tc>
                    <w:tc>
                      <w:tcPr>
                        <w:tcW w:w="2356" w:type="dxa"/>
                      </w:tcPr>
                      <w:p>
                        <w:pPr>
                          <w:pStyle w:val="TableParagraph"/>
                          <w:spacing w:before="22"/>
                          <w:ind w:left="106"/>
                          <w:rPr>
                            <w:sz w:val="21"/>
                          </w:rPr>
                        </w:pPr>
                        <w:r>
                          <w:rPr>
                            <w:spacing w:val="-2"/>
                            <w:sz w:val="21"/>
                          </w:rPr>
                          <w:t>18.</w:t>
                        </w:r>
                        <w:r>
                          <w:rPr>
                            <w:spacing w:val="-4"/>
                            <w:sz w:val="21"/>
                          </w:rPr>
                          <w:t>严重脑损伤</w:t>
                        </w:r>
                      </w:p>
                    </w:tc>
                  </w:tr>
                  <w:tr>
                    <w:trPr>
                      <w:trHeight w:val="623" w:hRule="atLeast"/>
                    </w:trPr>
                    <w:tc>
                      <w:tcPr>
                        <w:tcW w:w="2353" w:type="dxa"/>
                      </w:tcPr>
                      <w:p>
                        <w:pPr>
                          <w:pStyle w:val="TableParagraph"/>
                          <w:spacing w:before="22"/>
                          <w:rPr>
                            <w:sz w:val="21"/>
                          </w:rPr>
                        </w:pPr>
                        <w:r>
                          <w:rPr>
                            <w:sz w:val="21"/>
                          </w:rPr>
                          <w:t>19</w:t>
                        </w:r>
                        <w:r>
                          <w:rPr>
                            <w:spacing w:val="9"/>
                            <w:sz w:val="21"/>
                          </w:rPr>
                          <w:t>.严重原发性帕金森</w:t>
                        </w:r>
                      </w:p>
                      <w:p>
                        <w:pPr>
                          <w:pStyle w:val="TableParagraph"/>
                          <w:spacing w:before="43"/>
                          <w:rPr>
                            <w:sz w:val="21"/>
                          </w:rPr>
                        </w:pPr>
                        <w:r>
                          <w:rPr>
                            <w:w w:val="100"/>
                            <w:sz w:val="21"/>
                          </w:rPr>
                          <w:t>病</w:t>
                        </w:r>
                      </w:p>
                    </w:tc>
                    <w:tc>
                      <w:tcPr>
                        <w:tcW w:w="2353" w:type="dxa"/>
                      </w:tcPr>
                      <w:p>
                        <w:pPr>
                          <w:pStyle w:val="TableParagraph"/>
                          <w:spacing w:before="178"/>
                          <w:rPr>
                            <w:sz w:val="21"/>
                          </w:rPr>
                        </w:pPr>
                        <w:r>
                          <w:rPr>
                            <w:spacing w:val="-2"/>
                            <w:sz w:val="21"/>
                          </w:rPr>
                          <w:t>20.</w:t>
                        </w:r>
                        <w:r>
                          <w:rPr>
                            <w:spacing w:val="-4"/>
                            <w:sz w:val="21"/>
                          </w:rPr>
                          <w:t>严重Ⅲ度烧伤</w:t>
                        </w:r>
                      </w:p>
                    </w:tc>
                    <w:tc>
                      <w:tcPr>
                        <w:tcW w:w="2356" w:type="dxa"/>
                      </w:tcPr>
                      <w:p>
                        <w:pPr>
                          <w:pStyle w:val="TableParagraph"/>
                          <w:spacing w:before="22"/>
                          <w:ind w:left="106"/>
                          <w:rPr>
                            <w:sz w:val="21"/>
                          </w:rPr>
                        </w:pPr>
                        <w:r>
                          <w:rPr>
                            <w:sz w:val="21"/>
                          </w:rPr>
                          <w:t>21</w:t>
                        </w:r>
                        <w:r>
                          <w:rPr>
                            <w:spacing w:val="9"/>
                            <w:sz w:val="21"/>
                          </w:rPr>
                          <w:t>.严重特发性肺动脉</w:t>
                        </w:r>
                      </w:p>
                      <w:p>
                        <w:pPr>
                          <w:pStyle w:val="TableParagraph"/>
                          <w:spacing w:before="43"/>
                          <w:ind w:left="106"/>
                          <w:rPr>
                            <w:sz w:val="21"/>
                          </w:rPr>
                        </w:pPr>
                        <w:r>
                          <w:rPr>
                            <w:spacing w:val="-5"/>
                            <w:sz w:val="21"/>
                          </w:rPr>
                          <w:t>高压</w:t>
                        </w:r>
                      </w:p>
                    </w:tc>
                  </w:tr>
                  <w:tr>
                    <w:trPr>
                      <w:trHeight w:val="623" w:hRule="atLeast"/>
                    </w:trPr>
                    <w:tc>
                      <w:tcPr>
                        <w:tcW w:w="2353" w:type="dxa"/>
                      </w:tcPr>
                      <w:p>
                        <w:pPr>
                          <w:pStyle w:val="TableParagraph"/>
                          <w:spacing w:before="178"/>
                          <w:rPr>
                            <w:sz w:val="21"/>
                          </w:rPr>
                        </w:pPr>
                        <w:r>
                          <w:rPr>
                            <w:spacing w:val="-2"/>
                            <w:sz w:val="21"/>
                          </w:rPr>
                          <w:t>22.</w:t>
                        </w:r>
                        <w:r>
                          <w:rPr>
                            <w:spacing w:val="-4"/>
                            <w:sz w:val="21"/>
                          </w:rPr>
                          <w:t>严重运动神经元病</w:t>
                        </w:r>
                      </w:p>
                    </w:tc>
                    <w:tc>
                      <w:tcPr>
                        <w:tcW w:w="2353" w:type="dxa"/>
                      </w:tcPr>
                      <w:p>
                        <w:pPr>
                          <w:pStyle w:val="TableParagraph"/>
                          <w:spacing w:before="178"/>
                          <w:rPr>
                            <w:sz w:val="21"/>
                          </w:rPr>
                        </w:pPr>
                        <w:r>
                          <w:rPr>
                            <w:spacing w:val="-2"/>
                            <w:sz w:val="21"/>
                          </w:rPr>
                          <w:t>23.</w:t>
                        </w:r>
                        <w:r>
                          <w:rPr>
                            <w:spacing w:val="-4"/>
                            <w:sz w:val="21"/>
                          </w:rPr>
                          <w:t>语言能力丧失</w:t>
                        </w:r>
                      </w:p>
                    </w:tc>
                    <w:tc>
                      <w:tcPr>
                        <w:tcW w:w="2356" w:type="dxa"/>
                      </w:tcPr>
                      <w:p>
                        <w:pPr>
                          <w:pStyle w:val="TableParagraph"/>
                          <w:spacing w:before="22"/>
                          <w:ind w:left="106"/>
                          <w:rPr>
                            <w:sz w:val="21"/>
                          </w:rPr>
                        </w:pPr>
                        <w:r>
                          <w:rPr>
                            <w:sz w:val="21"/>
                          </w:rPr>
                          <w:t>24</w:t>
                        </w:r>
                        <w:r>
                          <w:rPr>
                            <w:spacing w:val="9"/>
                            <w:sz w:val="21"/>
                          </w:rPr>
                          <w:t>.重型再生障碍性贫</w:t>
                        </w:r>
                      </w:p>
                      <w:p>
                        <w:pPr>
                          <w:pStyle w:val="TableParagraph"/>
                          <w:spacing w:before="43"/>
                          <w:ind w:left="106"/>
                          <w:rPr>
                            <w:sz w:val="21"/>
                          </w:rPr>
                        </w:pPr>
                        <w:r>
                          <w:rPr>
                            <w:w w:val="100"/>
                            <w:sz w:val="21"/>
                          </w:rPr>
                          <w:t>血</w:t>
                        </w:r>
                      </w:p>
                    </w:tc>
                  </w:tr>
                  <w:tr>
                    <w:trPr>
                      <w:trHeight w:val="311" w:hRule="atLeast"/>
                    </w:trPr>
                    <w:tc>
                      <w:tcPr>
                        <w:tcW w:w="2353" w:type="dxa"/>
                      </w:tcPr>
                      <w:p>
                        <w:pPr>
                          <w:pStyle w:val="TableParagraph"/>
                          <w:spacing w:before="22"/>
                          <w:rPr>
                            <w:sz w:val="21"/>
                          </w:rPr>
                        </w:pPr>
                        <w:r>
                          <w:rPr>
                            <w:spacing w:val="-2"/>
                            <w:sz w:val="21"/>
                          </w:rPr>
                          <w:t>25.</w:t>
                        </w:r>
                        <w:r>
                          <w:rPr>
                            <w:spacing w:val="-4"/>
                            <w:sz w:val="21"/>
                          </w:rPr>
                          <w:t>主动脉手术</w:t>
                        </w:r>
                      </w:p>
                    </w:tc>
                    <w:tc>
                      <w:tcPr>
                        <w:tcW w:w="2353" w:type="dxa"/>
                      </w:tcPr>
                      <w:p>
                        <w:pPr>
                          <w:pStyle w:val="TableParagraph"/>
                          <w:spacing w:before="22"/>
                          <w:rPr>
                            <w:sz w:val="21"/>
                          </w:rPr>
                        </w:pPr>
                        <w:r>
                          <w:rPr>
                            <w:spacing w:val="-2"/>
                            <w:sz w:val="21"/>
                          </w:rPr>
                          <w:t>26.</w:t>
                        </w:r>
                        <w:r>
                          <w:rPr>
                            <w:spacing w:val="-4"/>
                            <w:sz w:val="21"/>
                          </w:rPr>
                          <w:t>严重慢性呼吸衰竭</w:t>
                        </w:r>
                      </w:p>
                    </w:tc>
                    <w:tc>
                      <w:tcPr>
                        <w:tcW w:w="2356" w:type="dxa"/>
                      </w:tcPr>
                      <w:p>
                        <w:pPr>
                          <w:pStyle w:val="TableParagraph"/>
                          <w:spacing w:before="22"/>
                          <w:ind w:left="106"/>
                          <w:rPr>
                            <w:sz w:val="21"/>
                          </w:rPr>
                        </w:pPr>
                        <w:r>
                          <w:rPr>
                            <w:spacing w:val="-2"/>
                            <w:sz w:val="21"/>
                          </w:rPr>
                          <w:t>27.</w:t>
                        </w:r>
                        <w:r>
                          <w:rPr>
                            <w:spacing w:val="-4"/>
                            <w:sz w:val="21"/>
                          </w:rPr>
                          <w:t>严重克罗恩病</w:t>
                        </w:r>
                      </w:p>
                    </w:tc>
                  </w:tr>
                  <w:tr>
                    <w:trPr>
                      <w:trHeight w:val="623" w:hRule="atLeast"/>
                    </w:trPr>
                    <w:tc>
                      <w:tcPr>
                        <w:tcW w:w="2353" w:type="dxa"/>
                      </w:tcPr>
                      <w:p>
                        <w:pPr>
                          <w:pStyle w:val="TableParagraph"/>
                          <w:spacing w:before="178"/>
                          <w:rPr>
                            <w:sz w:val="21"/>
                          </w:rPr>
                        </w:pPr>
                        <w:r>
                          <w:rPr>
                            <w:spacing w:val="-2"/>
                            <w:sz w:val="21"/>
                          </w:rPr>
                          <w:t>28.</w:t>
                        </w:r>
                        <w:r>
                          <w:rPr>
                            <w:spacing w:val="-4"/>
                            <w:sz w:val="21"/>
                          </w:rPr>
                          <w:t>严重溃疡性结肠炎</w:t>
                        </w:r>
                      </w:p>
                    </w:tc>
                    <w:tc>
                      <w:tcPr>
                        <w:tcW w:w="2353" w:type="dxa"/>
                      </w:tcPr>
                      <w:p>
                        <w:pPr>
                          <w:pStyle w:val="TableParagraph"/>
                          <w:spacing w:before="22"/>
                          <w:rPr>
                            <w:sz w:val="21"/>
                          </w:rPr>
                        </w:pPr>
                        <w:r>
                          <w:rPr>
                            <w:sz w:val="21"/>
                          </w:rPr>
                          <w:t>29</w:t>
                        </w:r>
                        <w:r>
                          <w:rPr>
                            <w:spacing w:val="9"/>
                            <w:sz w:val="21"/>
                          </w:rPr>
                          <w:t>.严重冠状动脉粥样</w:t>
                        </w:r>
                      </w:p>
                      <w:p>
                        <w:pPr>
                          <w:pStyle w:val="TableParagraph"/>
                          <w:spacing w:before="44"/>
                          <w:rPr>
                            <w:sz w:val="21"/>
                          </w:rPr>
                        </w:pPr>
                        <w:r>
                          <w:rPr>
                            <w:spacing w:val="-4"/>
                            <w:sz w:val="21"/>
                          </w:rPr>
                          <w:t>硬化性心脏病</w:t>
                        </w:r>
                      </w:p>
                    </w:tc>
                    <w:tc>
                      <w:tcPr>
                        <w:tcW w:w="2356" w:type="dxa"/>
                      </w:tcPr>
                      <w:p>
                        <w:pPr>
                          <w:pStyle w:val="TableParagraph"/>
                          <w:spacing w:before="178"/>
                          <w:ind w:left="106"/>
                          <w:rPr>
                            <w:sz w:val="21"/>
                          </w:rPr>
                        </w:pPr>
                        <w:r>
                          <w:rPr>
                            <w:spacing w:val="-2"/>
                            <w:sz w:val="21"/>
                          </w:rPr>
                          <w:t>30.</w:t>
                        </w:r>
                        <w:r>
                          <w:rPr>
                            <w:spacing w:val="-4"/>
                            <w:sz w:val="21"/>
                          </w:rPr>
                          <w:t>严重心肌病</w:t>
                        </w:r>
                      </w:p>
                    </w:tc>
                  </w:tr>
                  <w:tr>
                    <w:trPr>
                      <w:trHeight w:val="313" w:hRule="atLeast"/>
                    </w:trPr>
                    <w:tc>
                      <w:tcPr>
                        <w:tcW w:w="2353" w:type="dxa"/>
                      </w:tcPr>
                      <w:p>
                        <w:pPr>
                          <w:pStyle w:val="TableParagraph"/>
                          <w:spacing w:before="25"/>
                          <w:rPr>
                            <w:sz w:val="21"/>
                          </w:rPr>
                        </w:pPr>
                        <w:r>
                          <w:rPr>
                            <w:spacing w:val="-2"/>
                            <w:sz w:val="21"/>
                          </w:rPr>
                          <w:t>31.</w:t>
                        </w:r>
                        <w:r>
                          <w:rPr>
                            <w:spacing w:val="-4"/>
                            <w:sz w:val="21"/>
                          </w:rPr>
                          <w:t>严重心肌炎</w:t>
                        </w:r>
                      </w:p>
                    </w:tc>
                    <w:tc>
                      <w:tcPr>
                        <w:tcW w:w="2353" w:type="dxa"/>
                      </w:tcPr>
                      <w:p>
                        <w:pPr>
                          <w:pStyle w:val="TableParagraph"/>
                          <w:spacing w:before="25"/>
                          <w:rPr>
                            <w:sz w:val="21"/>
                          </w:rPr>
                        </w:pPr>
                        <w:r>
                          <w:rPr>
                            <w:spacing w:val="-2"/>
                            <w:sz w:val="21"/>
                          </w:rPr>
                          <w:t>32.</w:t>
                        </w:r>
                        <w:r>
                          <w:rPr>
                            <w:spacing w:val="-4"/>
                            <w:sz w:val="21"/>
                          </w:rPr>
                          <w:t>Ⅲ度房室传导阻滞</w:t>
                        </w:r>
                      </w:p>
                    </w:tc>
                    <w:tc>
                      <w:tcPr>
                        <w:tcW w:w="2356" w:type="dxa"/>
                      </w:tcPr>
                      <w:p>
                        <w:pPr>
                          <w:pStyle w:val="TableParagraph"/>
                          <w:spacing w:before="25"/>
                          <w:ind w:left="106"/>
                          <w:rPr>
                            <w:sz w:val="21"/>
                          </w:rPr>
                        </w:pPr>
                        <w:r>
                          <w:rPr>
                            <w:spacing w:val="-2"/>
                            <w:sz w:val="21"/>
                          </w:rPr>
                          <w:t>33.</w:t>
                        </w:r>
                        <w:r>
                          <w:rPr>
                            <w:spacing w:val="-4"/>
                            <w:sz w:val="21"/>
                          </w:rPr>
                          <w:t>感染性心内膜炎</w:t>
                        </w:r>
                      </w:p>
                    </w:tc>
                  </w:tr>
                  <w:tr>
                    <w:trPr>
                      <w:trHeight w:val="623" w:hRule="atLeast"/>
                    </w:trPr>
                    <w:tc>
                      <w:tcPr>
                        <w:tcW w:w="2353" w:type="dxa"/>
                      </w:tcPr>
                      <w:p>
                        <w:pPr>
                          <w:pStyle w:val="TableParagraph"/>
                          <w:spacing w:before="178"/>
                          <w:rPr>
                            <w:sz w:val="21"/>
                          </w:rPr>
                        </w:pPr>
                        <w:r>
                          <w:rPr>
                            <w:spacing w:val="-2"/>
                            <w:sz w:val="21"/>
                          </w:rPr>
                          <w:t>34.</w:t>
                        </w:r>
                        <w:r>
                          <w:rPr>
                            <w:spacing w:val="-4"/>
                            <w:sz w:val="21"/>
                          </w:rPr>
                          <w:t>肺源性心脏病</w:t>
                        </w:r>
                      </w:p>
                    </w:tc>
                    <w:tc>
                      <w:tcPr>
                        <w:tcW w:w="2353" w:type="dxa"/>
                      </w:tcPr>
                      <w:p>
                        <w:pPr>
                          <w:pStyle w:val="TableParagraph"/>
                          <w:spacing w:before="178"/>
                          <w:rPr>
                            <w:sz w:val="21"/>
                          </w:rPr>
                        </w:pPr>
                        <w:r>
                          <w:rPr>
                            <w:spacing w:val="-2"/>
                            <w:sz w:val="21"/>
                          </w:rPr>
                          <w:t>35.</w:t>
                        </w:r>
                        <w:r>
                          <w:rPr>
                            <w:spacing w:val="-4"/>
                            <w:sz w:val="21"/>
                          </w:rPr>
                          <w:t>嗜铬细胞瘤</w:t>
                        </w:r>
                      </w:p>
                    </w:tc>
                    <w:tc>
                      <w:tcPr>
                        <w:tcW w:w="2356" w:type="dxa"/>
                      </w:tcPr>
                      <w:p>
                        <w:pPr>
                          <w:pStyle w:val="TableParagraph"/>
                          <w:spacing w:before="22"/>
                          <w:ind w:left="106"/>
                          <w:rPr>
                            <w:sz w:val="21"/>
                          </w:rPr>
                        </w:pPr>
                        <w:r>
                          <w:rPr>
                            <w:sz w:val="21"/>
                          </w:rPr>
                          <w:t>36</w:t>
                        </w:r>
                        <w:r>
                          <w:rPr>
                            <w:spacing w:val="9"/>
                            <w:sz w:val="21"/>
                          </w:rPr>
                          <w:t>.严重慢性缩窄性心</w:t>
                        </w:r>
                      </w:p>
                      <w:p>
                        <w:pPr>
                          <w:pStyle w:val="TableParagraph"/>
                          <w:spacing w:before="43"/>
                          <w:ind w:left="106"/>
                          <w:rPr>
                            <w:sz w:val="21"/>
                          </w:rPr>
                        </w:pPr>
                        <w:r>
                          <w:rPr>
                            <w:spacing w:val="-5"/>
                            <w:sz w:val="21"/>
                          </w:rPr>
                          <w:t>包炎</w:t>
                        </w:r>
                      </w:p>
                    </w:tc>
                  </w:tr>
                  <w:tr>
                    <w:trPr>
                      <w:trHeight w:val="623" w:hRule="atLeast"/>
                    </w:trPr>
                    <w:tc>
                      <w:tcPr>
                        <w:tcW w:w="2353" w:type="dxa"/>
                      </w:tcPr>
                      <w:p>
                        <w:pPr>
                          <w:pStyle w:val="TableParagraph"/>
                          <w:spacing w:before="178"/>
                          <w:rPr>
                            <w:sz w:val="21"/>
                          </w:rPr>
                        </w:pPr>
                        <w:r>
                          <w:rPr>
                            <w:spacing w:val="-2"/>
                            <w:sz w:val="21"/>
                          </w:rPr>
                          <w:t>37.</w:t>
                        </w:r>
                        <w:r>
                          <w:rPr>
                            <w:spacing w:val="-4"/>
                            <w:sz w:val="21"/>
                          </w:rPr>
                          <w:t>主动脉夹层瘤</w:t>
                        </w:r>
                      </w:p>
                    </w:tc>
                    <w:tc>
                      <w:tcPr>
                        <w:tcW w:w="2353" w:type="dxa"/>
                      </w:tcPr>
                      <w:p>
                        <w:pPr>
                          <w:pStyle w:val="TableParagraph"/>
                          <w:spacing w:before="178"/>
                          <w:rPr>
                            <w:sz w:val="21"/>
                          </w:rPr>
                        </w:pPr>
                        <w:r>
                          <w:rPr>
                            <w:spacing w:val="-2"/>
                            <w:sz w:val="21"/>
                          </w:rPr>
                          <w:t>38.</w:t>
                        </w:r>
                        <w:r>
                          <w:rPr>
                            <w:spacing w:val="-4"/>
                            <w:sz w:val="21"/>
                          </w:rPr>
                          <w:t>艾森门格综合征</w:t>
                        </w:r>
                      </w:p>
                    </w:tc>
                    <w:tc>
                      <w:tcPr>
                        <w:tcW w:w="2356" w:type="dxa"/>
                      </w:tcPr>
                      <w:p>
                        <w:pPr>
                          <w:pStyle w:val="TableParagraph"/>
                          <w:spacing w:before="22"/>
                          <w:ind w:left="106"/>
                          <w:rPr>
                            <w:sz w:val="21"/>
                          </w:rPr>
                        </w:pPr>
                        <w:r>
                          <w:rPr>
                            <w:sz w:val="21"/>
                          </w:rPr>
                          <w:t>39</w:t>
                        </w:r>
                        <w:r>
                          <w:rPr>
                            <w:spacing w:val="9"/>
                            <w:sz w:val="21"/>
                          </w:rPr>
                          <w:t>.严重继发性肺动脉</w:t>
                        </w:r>
                      </w:p>
                      <w:p>
                        <w:pPr>
                          <w:pStyle w:val="TableParagraph"/>
                          <w:spacing w:before="43"/>
                          <w:ind w:left="106"/>
                          <w:rPr>
                            <w:sz w:val="21"/>
                          </w:rPr>
                        </w:pPr>
                        <w:r>
                          <w:rPr>
                            <w:spacing w:val="-5"/>
                            <w:sz w:val="21"/>
                          </w:rPr>
                          <w:t>高压</w:t>
                        </w:r>
                      </w:p>
                    </w:tc>
                  </w:tr>
                  <w:tr>
                    <w:trPr>
                      <w:trHeight w:val="311" w:hRule="atLeast"/>
                    </w:trPr>
                    <w:tc>
                      <w:tcPr>
                        <w:tcW w:w="2353" w:type="dxa"/>
                      </w:tcPr>
                      <w:p>
                        <w:pPr>
                          <w:pStyle w:val="TableParagraph"/>
                          <w:spacing w:before="22"/>
                          <w:rPr>
                            <w:sz w:val="21"/>
                          </w:rPr>
                        </w:pPr>
                        <w:r>
                          <w:rPr>
                            <w:spacing w:val="-2"/>
                            <w:sz w:val="21"/>
                          </w:rPr>
                          <w:t>40.</w:t>
                        </w:r>
                        <w:r>
                          <w:rPr>
                            <w:spacing w:val="-4"/>
                            <w:sz w:val="21"/>
                          </w:rPr>
                          <w:t>主动脉夹层血肿</w:t>
                        </w:r>
                      </w:p>
                    </w:tc>
                    <w:tc>
                      <w:tcPr>
                        <w:tcW w:w="2353" w:type="dxa"/>
                      </w:tcPr>
                      <w:p>
                        <w:pPr>
                          <w:pStyle w:val="TableParagraph"/>
                          <w:spacing w:before="22"/>
                          <w:rPr>
                            <w:sz w:val="21"/>
                          </w:rPr>
                        </w:pPr>
                        <w:r>
                          <w:rPr>
                            <w:spacing w:val="-2"/>
                            <w:sz w:val="21"/>
                          </w:rPr>
                          <w:t>41.</w:t>
                        </w:r>
                        <w:r>
                          <w:rPr>
                            <w:spacing w:val="-4"/>
                            <w:sz w:val="21"/>
                          </w:rPr>
                          <w:t>严重大动脉炎</w:t>
                        </w:r>
                      </w:p>
                    </w:tc>
                    <w:tc>
                      <w:tcPr>
                        <w:tcW w:w="2356" w:type="dxa"/>
                      </w:tcPr>
                      <w:p>
                        <w:pPr>
                          <w:pStyle w:val="TableParagraph"/>
                          <w:spacing w:before="22"/>
                          <w:ind w:left="106"/>
                          <w:rPr>
                            <w:sz w:val="21"/>
                          </w:rPr>
                        </w:pPr>
                        <w:r>
                          <w:rPr>
                            <w:spacing w:val="-2"/>
                            <w:sz w:val="21"/>
                          </w:rPr>
                          <w:t>42.</w:t>
                        </w:r>
                        <w:r>
                          <w:rPr>
                            <w:spacing w:val="-4"/>
                            <w:sz w:val="21"/>
                          </w:rPr>
                          <w:t>皮质基底节变性</w:t>
                        </w:r>
                      </w:p>
                    </w:tc>
                  </w:tr>
                  <w:tr>
                    <w:trPr>
                      <w:trHeight w:val="623" w:hRule="atLeast"/>
                    </w:trPr>
                    <w:tc>
                      <w:tcPr>
                        <w:tcW w:w="2353" w:type="dxa"/>
                      </w:tcPr>
                      <w:p>
                        <w:pPr>
                          <w:pStyle w:val="TableParagraph"/>
                          <w:spacing w:before="22"/>
                          <w:rPr>
                            <w:sz w:val="21"/>
                          </w:rPr>
                        </w:pPr>
                        <w:r>
                          <w:rPr>
                            <w:sz w:val="21"/>
                          </w:rPr>
                          <w:t>43</w:t>
                        </w:r>
                        <w:r>
                          <w:rPr>
                            <w:spacing w:val="9"/>
                            <w:sz w:val="21"/>
                          </w:rPr>
                          <w:t>.破裂脑动脉瘤夹闭</w:t>
                        </w:r>
                      </w:p>
                      <w:p>
                        <w:pPr>
                          <w:pStyle w:val="TableParagraph"/>
                          <w:spacing w:before="43"/>
                          <w:rPr>
                            <w:sz w:val="21"/>
                          </w:rPr>
                        </w:pPr>
                        <w:r>
                          <w:rPr>
                            <w:spacing w:val="-5"/>
                            <w:sz w:val="21"/>
                          </w:rPr>
                          <w:t>手术</w:t>
                        </w:r>
                      </w:p>
                    </w:tc>
                    <w:tc>
                      <w:tcPr>
                        <w:tcW w:w="2353" w:type="dxa"/>
                      </w:tcPr>
                      <w:p>
                        <w:pPr>
                          <w:pStyle w:val="TableParagraph"/>
                          <w:spacing w:before="178"/>
                          <w:rPr>
                            <w:sz w:val="21"/>
                          </w:rPr>
                        </w:pPr>
                        <w:r>
                          <w:rPr>
                            <w:spacing w:val="-2"/>
                            <w:sz w:val="21"/>
                          </w:rPr>
                          <w:t>44.</w:t>
                        </w:r>
                        <w:r>
                          <w:rPr>
                            <w:spacing w:val="-4"/>
                            <w:sz w:val="21"/>
                          </w:rPr>
                          <w:t>严重肌营养不良症</w:t>
                        </w:r>
                      </w:p>
                    </w:tc>
                    <w:tc>
                      <w:tcPr>
                        <w:tcW w:w="2356" w:type="dxa"/>
                      </w:tcPr>
                      <w:p>
                        <w:pPr>
                          <w:pStyle w:val="TableParagraph"/>
                          <w:spacing w:before="178"/>
                          <w:ind w:left="106"/>
                          <w:rPr>
                            <w:sz w:val="21"/>
                          </w:rPr>
                        </w:pPr>
                        <w:r>
                          <w:rPr>
                            <w:spacing w:val="-2"/>
                            <w:sz w:val="21"/>
                          </w:rPr>
                          <w:t>45.</w:t>
                        </w:r>
                        <w:r>
                          <w:rPr>
                            <w:spacing w:val="-4"/>
                            <w:sz w:val="21"/>
                          </w:rPr>
                          <w:t>脊髓灰质炎</w:t>
                        </w:r>
                      </w:p>
                    </w:tc>
                  </w:tr>
                  <w:tr>
                    <w:trPr>
                      <w:trHeight w:val="623" w:hRule="atLeast"/>
                    </w:trPr>
                    <w:tc>
                      <w:tcPr>
                        <w:tcW w:w="2353" w:type="dxa"/>
                      </w:tcPr>
                      <w:p>
                        <w:pPr>
                          <w:pStyle w:val="TableParagraph"/>
                          <w:spacing w:before="178"/>
                          <w:rPr>
                            <w:sz w:val="21"/>
                          </w:rPr>
                        </w:pPr>
                        <w:r>
                          <w:rPr>
                            <w:spacing w:val="-2"/>
                            <w:sz w:val="21"/>
                          </w:rPr>
                          <w:t>46.</w:t>
                        </w:r>
                        <w:r>
                          <w:rPr>
                            <w:spacing w:val="-4"/>
                            <w:sz w:val="21"/>
                          </w:rPr>
                          <w:t>植物人状态</w:t>
                        </w:r>
                      </w:p>
                    </w:tc>
                    <w:tc>
                      <w:tcPr>
                        <w:tcW w:w="2353" w:type="dxa"/>
                      </w:tcPr>
                      <w:p>
                        <w:pPr>
                          <w:pStyle w:val="TableParagraph"/>
                          <w:spacing w:before="22"/>
                          <w:rPr>
                            <w:sz w:val="21"/>
                          </w:rPr>
                        </w:pPr>
                        <w:r>
                          <w:rPr>
                            <w:sz w:val="21"/>
                          </w:rPr>
                          <w:t>47</w:t>
                        </w:r>
                        <w:r>
                          <w:rPr>
                            <w:spacing w:val="9"/>
                            <w:sz w:val="21"/>
                          </w:rPr>
                          <w:t>.非阿尔茨海默病所</w:t>
                        </w:r>
                      </w:p>
                      <w:p>
                        <w:pPr>
                          <w:pStyle w:val="TableParagraph"/>
                          <w:spacing w:before="43"/>
                          <w:rPr>
                            <w:sz w:val="21"/>
                          </w:rPr>
                        </w:pPr>
                        <w:r>
                          <w:rPr>
                            <w:spacing w:val="-4"/>
                            <w:sz w:val="21"/>
                          </w:rPr>
                          <w:t>致严重痴呆</w:t>
                        </w:r>
                      </w:p>
                    </w:tc>
                    <w:tc>
                      <w:tcPr>
                        <w:tcW w:w="2356" w:type="dxa"/>
                      </w:tcPr>
                      <w:p>
                        <w:pPr>
                          <w:pStyle w:val="TableParagraph"/>
                          <w:spacing w:before="178"/>
                          <w:ind w:left="106"/>
                          <w:rPr>
                            <w:sz w:val="21"/>
                          </w:rPr>
                        </w:pPr>
                        <w:r>
                          <w:rPr>
                            <w:spacing w:val="-2"/>
                            <w:sz w:val="21"/>
                          </w:rPr>
                          <w:t>48.</w:t>
                        </w:r>
                        <w:r>
                          <w:rPr>
                            <w:spacing w:val="-4"/>
                            <w:sz w:val="21"/>
                          </w:rPr>
                          <w:t>严重多发性硬化</w:t>
                        </w:r>
                      </w:p>
                    </w:tc>
                  </w:tr>
                  <w:tr>
                    <w:trPr>
                      <w:trHeight w:val="626" w:hRule="atLeast"/>
                    </w:trPr>
                    <w:tc>
                      <w:tcPr>
                        <w:tcW w:w="2353" w:type="dxa"/>
                      </w:tcPr>
                      <w:p>
                        <w:pPr>
                          <w:pStyle w:val="TableParagraph"/>
                          <w:spacing w:before="25"/>
                          <w:rPr>
                            <w:sz w:val="21"/>
                          </w:rPr>
                        </w:pPr>
                        <w:r>
                          <w:rPr>
                            <w:sz w:val="21"/>
                          </w:rPr>
                          <w:t>49</w:t>
                        </w:r>
                        <w:r>
                          <w:rPr>
                            <w:spacing w:val="9"/>
                            <w:sz w:val="21"/>
                          </w:rPr>
                          <w:t>.严重全身性重症肌</w:t>
                        </w:r>
                      </w:p>
                      <w:p>
                        <w:pPr>
                          <w:pStyle w:val="TableParagraph"/>
                          <w:spacing w:before="43"/>
                          <w:rPr>
                            <w:sz w:val="21"/>
                          </w:rPr>
                        </w:pPr>
                        <w:r>
                          <w:rPr>
                            <w:spacing w:val="-5"/>
                            <w:sz w:val="21"/>
                          </w:rPr>
                          <w:t>无力</w:t>
                        </w:r>
                      </w:p>
                    </w:tc>
                    <w:tc>
                      <w:tcPr>
                        <w:tcW w:w="2353" w:type="dxa"/>
                      </w:tcPr>
                      <w:p>
                        <w:pPr>
                          <w:pStyle w:val="TableParagraph"/>
                          <w:spacing w:before="15"/>
                          <w:ind w:left="0"/>
                          <w:rPr>
                            <w:rFonts w:ascii="微软雅黑"/>
                            <w:b/>
                            <w:sz w:val="9"/>
                          </w:rPr>
                        </w:pPr>
                      </w:p>
                      <w:p>
                        <w:pPr>
                          <w:pStyle w:val="TableParagraph"/>
                          <w:rPr>
                            <w:sz w:val="21"/>
                          </w:rPr>
                        </w:pPr>
                        <w:r>
                          <w:rPr>
                            <w:spacing w:val="-2"/>
                            <w:sz w:val="21"/>
                          </w:rPr>
                          <w:t>50.</w:t>
                        </w:r>
                        <w:r>
                          <w:rPr>
                            <w:spacing w:val="-4"/>
                            <w:sz w:val="21"/>
                          </w:rPr>
                          <w:t>进行性核上性麻痹</w:t>
                        </w:r>
                      </w:p>
                    </w:tc>
                    <w:tc>
                      <w:tcPr>
                        <w:tcW w:w="2356" w:type="dxa"/>
                      </w:tcPr>
                      <w:p>
                        <w:pPr>
                          <w:pStyle w:val="TableParagraph"/>
                          <w:spacing w:before="15"/>
                          <w:ind w:left="0"/>
                          <w:rPr>
                            <w:rFonts w:ascii="微软雅黑"/>
                            <w:b/>
                            <w:sz w:val="9"/>
                          </w:rPr>
                        </w:pPr>
                      </w:p>
                      <w:p>
                        <w:pPr>
                          <w:pStyle w:val="TableParagraph"/>
                          <w:ind w:left="106"/>
                          <w:rPr>
                            <w:sz w:val="21"/>
                          </w:rPr>
                        </w:pPr>
                        <w:r>
                          <w:rPr>
                            <w:spacing w:val="-2"/>
                            <w:sz w:val="21"/>
                          </w:rPr>
                          <w:t>51.</w:t>
                        </w:r>
                        <w:r>
                          <w:rPr>
                            <w:spacing w:val="-4"/>
                            <w:sz w:val="21"/>
                          </w:rPr>
                          <w:t>颅脑手术</w:t>
                        </w:r>
                      </w:p>
                    </w:tc>
                  </w:tr>
                  <w:tr>
                    <w:trPr>
                      <w:trHeight w:val="311" w:hRule="atLeast"/>
                    </w:trPr>
                    <w:tc>
                      <w:tcPr>
                        <w:tcW w:w="2353" w:type="dxa"/>
                      </w:tcPr>
                      <w:p>
                        <w:pPr>
                          <w:pStyle w:val="TableParagraph"/>
                          <w:spacing w:before="22"/>
                          <w:rPr>
                            <w:sz w:val="21"/>
                          </w:rPr>
                        </w:pPr>
                        <w:r>
                          <w:rPr>
                            <w:spacing w:val="-2"/>
                            <w:sz w:val="21"/>
                          </w:rPr>
                          <w:t>52.</w:t>
                        </w:r>
                        <w:r>
                          <w:rPr>
                            <w:spacing w:val="-4"/>
                            <w:sz w:val="21"/>
                          </w:rPr>
                          <w:t>骨生长不全症</w:t>
                        </w:r>
                      </w:p>
                    </w:tc>
                    <w:tc>
                      <w:tcPr>
                        <w:tcW w:w="2353" w:type="dxa"/>
                      </w:tcPr>
                      <w:p>
                        <w:pPr>
                          <w:pStyle w:val="TableParagraph"/>
                          <w:spacing w:before="22"/>
                          <w:rPr>
                            <w:sz w:val="21"/>
                          </w:rPr>
                        </w:pPr>
                        <w:r>
                          <w:rPr>
                            <w:spacing w:val="-2"/>
                            <w:sz w:val="21"/>
                          </w:rPr>
                          <w:t>53.</w:t>
                        </w:r>
                        <w:r>
                          <w:rPr>
                            <w:spacing w:val="-4"/>
                            <w:sz w:val="21"/>
                          </w:rPr>
                          <w:t>严重癫痫</w:t>
                        </w:r>
                      </w:p>
                    </w:tc>
                    <w:tc>
                      <w:tcPr>
                        <w:tcW w:w="2356" w:type="dxa"/>
                      </w:tcPr>
                      <w:p>
                        <w:pPr>
                          <w:pStyle w:val="TableParagraph"/>
                          <w:spacing w:before="22"/>
                          <w:ind w:left="106"/>
                          <w:rPr>
                            <w:sz w:val="21"/>
                          </w:rPr>
                        </w:pPr>
                        <w:r>
                          <w:rPr>
                            <w:spacing w:val="-2"/>
                            <w:sz w:val="21"/>
                          </w:rPr>
                          <w:t>54.</w:t>
                        </w:r>
                        <w:r>
                          <w:rPr>
                            <w:spacing w:val="-4"/>
                            <w:sz w:val="21"/>
                          </w:rPr>
                          <w:t>独立能力丧失</w:t>
                        </w:r>
                      </w:p>
                    </w:tc>
                  </w:tr>
                  <w:tr>
                    <w:trPr>
                      <w:trHeight w:val="623" w:hRule="atLeast"/>
                    </w:trPr>
                    <w:tc>
                      <w:tcPr>
                        <w:tcW w:w="2353" w:type="dxa"/>
                      </w:tcPr>
                      <w:p>
                        <w:pPr>
                          <w:pStyle w:val="TableParagraph"/>
                          <w:spacing w:before="22"/>
                          <w:rPr>
                            <w:sz w:val="21"/>
                          </w:rPr>
                        </w:pPr>
                        <w:r>
                          <w:rPr>
                            <w:sz w:val="21"/>
                          </w:rPr>
                          <w:t>55</w:t>
                        </w:r>
                        <w:r>
                          <w:rPr>
                            <w:spacing w:val="9"/>
                            <w:sz w:val="21"/>
                          </w:rPr>
                          <w:t>.肌萎缩脊髓侧索硬</w:t>
                        </w:r>
                      </w:p>
                      <w:p>
                        <w:pPr>
                          <w:pStyle w:val="TableParagraph"/>
                          <w:spacing w:before="43"/>
                          <w:rPr>
                            <w:sz w:val="21"/>
                          </w:rPr>
                        </w:pPr>
                        <w:r>
                          <w:rPr>
                            <w:spacing w:val="-4"/>
                            <w:sz w:val="21"/>
                          </w:rPr>
                          <w:t>化后遗症</w:t>
                        </w:r>
                      </w:p>
                    </w:tc>
                    <w:tc>
                      <w:tcPr>
                        <w:tcW w:w="2353" w:type="dxa"/>
                      </w:tcPr>
                      <w:p>
                        <w:pPr>
                          <w:pStyle w:val="TableParagraph"/>
                          <w:spacing w:before="178"/>
                          <w:rPr>
                            <w:sz w:val="21"/>
                          </w:rPr>
                        </w:pPr>
                        <w:r>
                          <w:rPr>
                            <w:spacing w:val="-2"/>
                            <w:sz w:val="21"/>
                          </w:rPr>
                          <w:t>56.</w:t>
                        </w:r>
                        <w:r>
                          <w:rPr>
                            <w:spacing w:val="-4"/>
                            <w:sz w:val="21"/>
                          </w:rPr>
                          <w:t>严重结核性脑膜炎</w:t>
                        </w:r>
                      </w:p>
                    </w:tc>
                    <w:tc>
                      <w:tcPr>
                        <w:tcW w:w="2356" w:type="dxa"/>
                      </w:tcPr>
                      <w:p>
                        <w:pPr>
                          <w:pStyle w:val="TableParagraph"/>
                          <w:spacing w:before="22"/>
                          <w:ind w:left="106"/>
                          <w:rPr>
                            <w:sz w:val="21"/>
                          </w:rPr>
                        </w:pPr>
                        <w:r>
                          <w:rPr>
                            <w:sz w:val="21"/>
                          </w:rPr>
                          <w:t>57</w:t>
                        </w:r>
                        <w:r>
                          <w:rPr>
                            <w:spacing w:val="9"/>
                            <w:sz w:val="21"/>
                          </w:rPr>
                          <w:t>.进行性多灶性白质</w:t>
                        </w:r>
                      </w:p>
                      <w:p>
                        <w:pPr>
                          <w:pStyle w:val="TableParagraph"/>
                          <w:spacing w:before="43"/>
                          <w:ind w:left="106"/>
                          <w:rPr>
                            <w:sz w:val="21"/>
                          </w:rPr>
                        </w:pPr>
                        <w:r>
                          <w:rPr>
                            <w:spacing w:val="-5"/>
                            <w:sz w:val="21"/>
                          </w:rPr>
                          <w:t>脑病</w:t>
                        </w:r>
                      </w:p>
                    </w:tc>
                  </w:tr>
                  <w:tr>
                    <w:trPr>
                      <w:trHeight w:val="623" w:hRule="atLeast"/>
                    </w:trPr>
                    <w:tc>
                      <w:tcPr>
                        <w:tcW w:w="2353" w:type="dxa"/>
                      </w:tcPr>
                      <w:p>
                        <w:pPr>
                          <w:pStyle w:val="TableParagraph"/>
                          <w:spacing w:before="22"/>
                          <w:rPr>
                            <w:sz w:val="21"/>
                          </w:rPr>
                        </w:pPr>
                        <w:r>
                          <w:rPr>
                            <w:sz w:val="21"/>
                          </w:rPr>
                          <w:t>58</w:t>
                        </w:r>
                        <w:r>
                          <w:rPr>
                            <w:spacing w:val="9"/>
                            <w:sz w:val="21"/>
                          </w:rPr>
                          <w:t>.严重脊髓小脑变性</w:t>
                        </w:r>
                      </w:p>
                      <w:p>
                        <w:pPr>
                          <w:pStyle w:val="TableParagraph"/>
                          <w:spacing w:before="43"/>
                          <w:rPr>
                            <w:sz w:val="21"/>
                          </w:rPr>
                        </w:pPr>
                        <w:r>
                          <w:rPr>
                            <w:w w:val="100"/>
                            <w:sz w:val="21"/>
                          </w:rPr>
                          <w:t>症</w:t>
                        </w:r>
                      </w:p>
                    </w:tc>
                    <w:tc>
                      <w:tcPr>
                        <w:tcW w:w="2353" w:type="dxa"/>
                      </w:tcPr>
                      <w:p>
                        <w:pPr>
                          <w:pStyle w:val="TableParagraph"/>
                          <w:spacing w:before="22"/>
                          <w:rPr>
                            <w:sz w:val="21"/>
                          </w:rPr>
                        </w:pPr>
                        <w:r>
                          <w:rPr>
                            <w:sz w:val="21"/>
                          </w:rPr>
                          <w:t>59</w:t>
                        </w:r>
                        <w:r>
                          <w:rPr>
                            <w:spacing w:val="9"/>
                            <w:sz w:val="21"/>
                          </w:rPr>
                          <w:t>.婴儿进行性脊肌萎</w:t>
                        </w:r>
                      </w:p>
                      <w:p>
                        <w:pPr>
                          <w:pStyle w:val="TableParagraph"/>
                          <w:spacing w:before="43"/>
                          <w:rPr>
                            <w:sz w:val="21"/>
                          </w:rPr>
                        </w:pPr>
                        <w:r>
                          <w:rPr>
                            <w:spacing w:val="-5"/>
                            <w:sz w:val="21"/>
                          </w:rPr>
                          <w:t>缩症</w:t>
                        </w:r>
                      </w:p>
                    </w:tc>
                    <w:tc>
                      <w:tcPr>
                        <w:tcW w:w="2356" w:type="dxa"/>
                      </w:tcPr>
                      <w:p>
                        <w:pPr>
                          <w:pStyle w:val="TableParagraph"/>
                          <w:spacing w:before="22"/>
                          <w:ind w:left="106"/>
                          <w:rPr>
                            <w:sz w:val="21"/>
                          </w:rPr>
                        </w:pPr>
                        <w:r>
                          <w:rPr>
                            <w:sz w:val="21"/>
                          </w:rPr>
                          <w:t>60</w:t>
                        </w:r>
                        <w:r>
                          <w:rPr>
                            <w:spacing w:val="9"/>
                            <w:sz w:val="21"/>
                          </w:rPr>
                          <w:t>.多处臂丛神经根性</w:t>
                        </w:r>
                      </w:p>
                      <w:p>
                        <w:pPr>
                          <w:pStyle w:val="TableParagraph"/>
                          <w:spacing w:before="43"/>
                          <w:ind w:left="106"/>
                          <w:rPr>
                            <w:sz w:val="21"/>
                          </w:rPr>
                        </w:pPr>
                        <w:r>
                          <w:rPr>
                            <w:spacing w:val="-5"/>
                            <w:sz w:val="21"/>
                          </w:rPr>
                          <w:t>撕脱</w:t>
                        </w:r>
                      </w:p>
                    </w:tc>
                  </w:tr>
                  <w:tr>
                    <w:trPr>
                      <w:trHeight w:val="311" w:hRule="atLeast"/>
                    </w:trPr>
                    <w:tc>
                      <w:tcPr>
                        <w:tcW w:w="2353" w:type="dxa"/>
                      </w:tcPr>
                      <w:p>
                        <w:pPr>
                          <w:pStyle w:val="TableParagraph"/>
                          <w:spacing w:before="22"/>
                          <w:rPr>
                            <w:sz w:val="21"/>
                          </w:rPr>
                        </w:pPr>
                        <w:r>
                          <w:rPr>
                            <w:spacing w:val="-2"/>
                            <w:sz w:val="21"/>
                          </w:rPr>
                          <w:t>61.</w:t>
                        </w:r>
                        <w:r>
                          <w:rPr>
                            <w:spacing w:val="-4"/>
                            <w:sz w:val="21"/>
                          </w:rPr>
                          <w:t>细菌性脑脊髓膜炎</w:t>
                        </w:r>
                      </w:p>
                    </w:tc>
                    <w:tc>
                      <w:tcPr>
                        <w:tcW w:w="2353" w:type="dxa"/>
                      </w:tcPr>
                      <w:p>
                        <w:pPr>
                          <w:pStyle w:val="TableParagraph"/>
                          <w:spacing w:before="22"/>
                          <w:rPr>
                            <w:sz w:val="21"/>
                          </w:rPr>
                        </w:pPr>
                        <w:r>
                          <w:rPr>
                            <w:spacing w:val="-2"/>
                            <w:sz w:val="21"/>
                          </w:rPr>
                          <w:t>62.</w:t>
                        </w:r>
                        <w:r>
                          <w:rPr>
                            <w:spacing w:val="-5"/>
                            <w:sz w:val="21"/>
                          </w:rPr>
                          <w:t>脊柱裂</w:t>
                        </w:r>
                      </w:p>
                    </w:tc>
                    <w:tc>
                      <w:tcPr>
                        <w:tcW w:w="2356" w:type="dxa"/>
                      </w:tcPr>
                      <w:p>
                        <w:pPr>
                          <w:pStyle w:val="TableParagraph"/>
                          <w:spacing w:before="22"/>
                          <w:ind w:left="106"/>
                          <w:rPr>
                            <w:sz w:val="21"/>
                          </w:rPr>
                        </w:pPr>
                        <w:r>
                          <w:rPr>
                            <w:spacing w:val="-2"/>
                            <w:sz w:val="21"/>
                          </w:rPr>
                          <w:t>63.</w:t>
                        </w:r>
                        <w:r>
                          <w:rPr>
                            <w:spacing w:val="-4"/>
                            <w:sz w:val="21"/>
                          </w:rPr>
                          <w:t>血管性痴呆</w:t>
                        </w:r>
                      </w:p>
                    </w:tc>
                  </w:tr>
                  <w:tr>
                    <w:trPr>
                      <w:trHeight w:val="301" w:hRule="atLeast"/>
                    </w:trPr>
                    <w:tc>
                      <w:tcPr>
                        <w:tcW w:w="2353" w:type="dxa"/>
                      </w:tcPr>
                      <w:p>
                        <w:pPr>
                          <w:pStyle w:val="TableParagraph"/>
                          <w:spacing w:line="259" w:lineRule="exact" w:before="22"/>
                          <w:rPr>
                            <w:sz w:val="21"/>
                          </w:rPr>
                        </w:pPr>
                        <w:r>
                          <w:rPr>
                            <w:spacing w:val="-2"/>
                            <w:sz w:val="21"/>
                          </w:rPr>
                          <w:t>64.</w:t>
                        </w:r>
                        <w:r>
                          <w:rPr>
                            <w:spacing w:val="-4"/>
                            <w:sz w:val="21"/>
                          </w:rPr>
                          <w:t>额颞叶痴呆</w:t>
                        </w:r>
                      </w:p>
                    </w:tc>
                    <w:tc>
                      <w:tcPr>
                        <w:tcW w:w="2353" w:type="dxa"/>
                      </w:tcPr>
                      <w:p>
                        <w:pPr>
                          <w:pStyle w:val="TableParagraph"/>
                          <w:spacing w:line="259" w:lineRule="exact" w:before="22"/>
                          <w:rPr>
                            <w:sz w:val="21"/>
                          </w:rPr>
                        </w:pPr>
                        <w:r>
                          <w:rPr>
                            <w:spacing w:val="-2"/>
                            <w:sz w:val="21"/>
                          </w:rPr>
                          <w:t>65.</w:t>
                        </w:r>
                        <w:r>
                          <w:rPr>
                            <w:spacing w:val="-4"/>
                            <w:sz w:val="21"/>
                          </w:rPr>
                          <w:t>路易体痴呆</w:t>
                        </w:r>
                      </w:p>
                    </w:tc>
                    <w:tc>
                      <w:tcPr>
                        <w:tcW w:w="2356" w:type="dxa"/>
                      </w:tcPr>
                      <w:p>
                        <w:pPr>
                          <w:pStyle w:val="TableParagraph"/>
                          <w:spacing w:line="259" w:lineRule="exact" w:before="22"/>
                          <w:ind w:left="106"/>
                          <w:rPr>
                            <w:sz w:val="21"/>
                          </w:rPr>
                        </w:pPr>
                        <w:r>
                          <w:rPr>
                            <w:sz w:val="21"/>
                          </w:rPr>
                          <w:t>66</w:t>
                        </w:r>
                        <w:r>
                          <w:rPr>
                            <w:spacing w:val="9"/>
                            <w:sz w:val="21"/>
                          </w:rPr>
                          <w:t>.亚急性硬化性全脑</w:t>
                        </w:r>
                      </w:p>
                    </w:tc>
                  </w:tr>
                </w:tbl>
                <w:p>
                  <w:pPr>
                    <w:pStyle w:val="BodyText"/>
                  </w:pPr>
                </w:p>
              </w:txbxContent>
            </v:textbox>
            <w10:wrap type="none"/>
          </v:shape>
        </w:pict>
      </w:r>
      <w:r>
        <w:rPr/>
        <w:t>重大疾病的定义详见“10.3</w:t>
      </w:r>
      <w:r>
        <w:rPr>
          <w:spacing w:val="-2"/>
        </w:rPr>
        <w:t> 重大疾病定义”。</w:t>
      </w:r>
    </w:p>
    <w:p>
      <w:pPr>
        <w:spacing w:after="0" w:line="333" w:lineRule="exact"/>
        <w:sectPr>
          <w:pgSz w:w="11910" w:h="16840"/>
          <w:pgMar w:header="0" w:footer="406" w:top="1120" w:bottom="600" w:left="900" w:right="340"/>
        </w:sectPr>
      </w:pPr>
    </w:p>
    <w:tbl>
      <w:tblPr>
        <w:tblW w:w="0" w:type="auto"/>
        <w:jc w:val="left"/>
        <w:tblInd w:w="2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53"/>
        <w:gridCol w:w="2353"/>
        <w:gridCol w:w="2356"/>
      </w:tblGrid>
      <w:tr>
        <w:trPr>
          <w:trHeight w:val="313" w:hRule="atLeast"/>
        </w:trPr>
        <w:tc>
          <w:tcPr>
            <w:tcW w:w="2353" w:type="dxa"/>
          </w:tcPr>
          <w:p>
            <w:pPr>
              <w:pStyle w:val="TableParagraph"/>
              <w:ind w:left="0"/>
              <w:rPr>
                <w:rFonts w:ascii="Times New Roman"/>
                <w:sz w:val="20"/>
              </w:rPr>
            </w:pPr>
          </w:p>
        </w:tc>
        <w:tc>
          <w:tcPr>
            <w:tcW w:w="2353" w:type="dxa"/>
          </w:tcPr>
          <w:p>
            <w:pPr>
              <w:pStyle w:val="TableParagraph"/>
              <w:ind w:left="0"/>
              <w:rPr>
                <w:rFonts w:ascii="Times New Roman"/>
                <w:sz w:val="20"/>
              </w:rPr>
            </w:pPr>
          </w:p>
        </w:tc>
        <w:tc>
          <w:tcPr>
            <w:tcW w:w="2356" w:type="dxa"/>
          </w:tcPr>
          <w:p>
            <w:pPr>
              <w:pStyle w:val="TableParagraph"/>
              <w:spacing w:before="19"/>
              <w:ind w:left="106"/>
              <w:rPr>
                <w:sz w:val="21"/>
              </w:rPr>
            </w:pPr>
            <w:r>
              <w:rPr>
                <w:w w:val="100"/>
                <w:sz w:val="21"/>
              </w:rPr>
              <w:t>炎</w:t>
            </w:r>
          </w:p>
        </w:tc>
      </w:tr>
      <w:tr>
        <w:trPr>
          <w:trHeight w:val="624" w:hRule="atLeast"/>
        </w:trPr>
        <w:tc>
          <w:tcPr>
            <w:tcW w:w="2353" w:type="dxa"/>
          </w:tcPr>
          <w:p>
            <w:pPr>
              <w:pStyle w:val="TableParagraph"/>
              <w:spacing w:before="17"/>
              <w:rPr>
                <w:sz w:val="21"/>
              </w:rPr>
            </w:pPr>
            <w:r>
              <w:rPr>
                <w:sz w:val="21"/>
              </w:rPr>
              <w:t>67</w:t>
            </w:r>
            <w:r>
              <w:rPr>
                <w:spacing w:val="9"/>
                <w:sz w:val="21"/>
              </w:rPr>
              <w:t>.进行性风疹性全脑</w:t>
            </w:r>
          </w:p>
          <w:p>
            <w:pPr>
              <w:pStyle w:val="TableParagraph"/>
              <w:spacing w:before="43"/>
              <w:rPr>
                <w:sz w:val="21"/>
              </w:rPr>
            </w:pPr>
            <w:r>
              <w:rPr>
                <w:w w:val="100"/>
                <w:sz w:val="21"/>
              </w:rPr>
              <w:t>炎</w:t>
            </w:r>
          </w:p>
        </w:tc>
        <w:tc>
          <w:tcPr>
            <w:tcW w:w="2353" w:type="dxa"/>
          </w:tcPr>
          <w:p>
            <w:pPr>
              <w:pStyle w:val="TableParagraph"/>
              <w:spacing w:before="17"/>
              <w:rPr>
                <w:sz w:val="21"/>
              </w:rPr>
            </w:pPr>
            <w:r>
              <w:rPr>
                <w:sz w:val="21"/>
              </w:rPr>
              <w:t>68</w:t>
            </w:r>
            <w:r>
              <w:rPr>
                <w:spacing w:val="9"/>
                <w:sz w:val="21"/>
              </w:rPr>
              <w:t>.严重类风湿性关节</w:t>
            </w:r>
          </w:p>
          <w:p>
            <w:pPr>
              <w:pStyle w:val="TableParagraph"/>
              <w:spacing w:before="43"/>
              <w:rPr>
                <w:sz w:val="21"/>
              </w:rPr>
            </w:pPr>
            <w:r>
              <w:rPr>
                <w:w w:val="100"/>
                <w:sz w:val="21"/>
              </w:rPr>
              <w:t>炎</w:t>
            </w:r>
          </w:p>
        </w:tc>
        <w:tc>
          <w:tcPr>
            <w:tcW w:w="2356" w:type="dxa"/>
          </w:tcPr>
          <w:p>
            <w:pPr>
              <w:pStyle w:val="TableParagraph"/>
              <w:spacing w:before="17"/>
              <w:ind w:left="106"/>
              <w:rPr>
                <w:sz w:val="21"/>
              </w:rPr>
            </w:pPr>
            <w:r>
              <w:rPr>
                <w:sz w:val="21"/>
              </w:rPr>
              <w:t>69</w:t>
            </w:r>
            <w:r>
              <w:rPr>
                <w:spacing w:val="9"/>
                <w:sz w:val="21"/>
              </w:rPr>
              <w:t>.重症幼年型类风湿</w:t>
            </w:r>
          </w:p>
          <w:p>
            <w:pPr>
              <w:pStyle w:val="TableParagraph"/>
              <w:spacing w:before="43"/>
              <w:ind w:left="106"/>
              <w:rPr>
                <w:sz w:val="21"/>
              </w:rPr>
            </w:pPr>
            <w:r>
              <w:rPr>
                <w:spacing w:val="-4"/>
                <w:sz w:val="21"/>
              </w:rPr>
              <w:t>性关节炎</w:t>
            </w:r>
          </w:p>
        </w:tc>
      </w:tr>
      <w:tr>
        <w:trPr>
          <w:trHeight w:val="311" w:hRule="atLeast"/>
        </w:trPr>
        <w:tc>
          <w:tcPr>
            <w:tcW w:w="2353" w:type="dxa"/>
          </w:tcPr>
          <w:p>
            <w:pPr>
              <w:pStyle w:val="TableParagraph"/>
              <w:spacing w:before="17"/>
              <w:rPr>
                <w:sz w:val="21"/>
              </w:rPr>
            </w:pPr>
            <w:r>
              <w:rPr>
                <w:spacing w:val="-2"/>
                <w:sz w:val="21"/>
              </w:rPr>
              <w:t>70.</w:t>
            </w:r>
            <w:r>
              <w:rPr>
                <w:spacing w:val="-4"/>
                <w:sz w:val="21"/>
              </w:rPr>
              <w:t>严重强直性脊柱炎</w:t>
            </w:r>
          </w:p>
        </w:tc>
        <w:tc>
          <w:tcPr>
            <w:tcW w:w="2353" w:type="dxa"/>
          </w:tcPr>
          <w:p>
            <w:pPr>
              <w:pStyle w:val="TableParagraph"/>
              <w:spacing w:before="17"/>
              <w:rPr>
                <w:sz w:val="21"/>
              </w:rPr>
            </w:pPr>
            <w:r>
              <w:rPr>
                <w:spacing w:val="-2"/>
                <w:sz w:val="21"/>
              </w:rPr>
              <w:t>71.</w:t>
            </w:r>
            <w:r>
              <w:rPr>
                <w:spacing w:val="-4"/>
                <w:sz w:val="21"/>
              </w:rPr>
              <w:t>脑型疟疾</w:t>
            </w:r>
          </w:p>
        </w:tc>
        <w:tc>
          <w:tcPr>
            <w:tcW w:w="2356" w:type="dxa"/>
          </w:tcPr>
          <w:p>
            <w:pPr>
              <w:pStyle w:val="TableParagraph"/>
              <w:spacing w:before="17"/>
              <w:ind w:left="106"/>
              <w:rPr>
                <w:sz w:val="21"/>
              </w:rPr>
            </w:pPr>
            <w:r>
              <w:rPr>
                <w:spacing w:val="-2"/>
                <w:sz w:val="21"/>
              </w:rPr>
              <w:t>72.</w:t>
            </w:r>
            <w:r>
              <w:rPr>
                <w:spacing w:val="-4"/>
                <w:sz w:val="21"/>
              </w:rPr>
              <w:t>神经白塞病</w:t>
            </w:r>
          </w:p>
        </w:tc>
      </w:tr>
      <w:tr>
        <w:trPr>
          <w:trHeight w:val="311" w:hRule="atLeast"/>
        </w:trPr>
        <w:tc>
          <w:tcPr>
            <w:tcW w:w="2353" w:type="dxa"/>
          </w:tcPr>
          <w:p>
            <w:pPr>
              <w:pStyle w:val="TableParagraph"/>
              <w:spacing w:before="17"/>
              <w:rPr>
                <w:sz w:val="21"/>
              </w:rPr>
            </w:pPr>
            <w:r>
              <w:rPr>
                <w:spacing w:val="-2"/>
                <w:sz w:val="21"/>
              </w:rPr>
              <w:t>73.</w:t>
            </w:r>
            <w:r>
              <w:rPr>
                <w:spacing w:val="-5"/>
                <w:sz w:val="21"/>
              </w:rPr>
              <w:t>库鲁病</w:t>
            </w:r>
          </w:p>
        </w:tc>
        <w:tc>
          <w:tcPr>
            <w:tcW w:w="2353" w:type="dxa"/>
          </w:tcPr>
          <w:p>
            <w:pPr>
              <w:pStyle w:val="TableParagraph"/>
              <w:spacing w:before="17"/>
              <w:rPr>
                <w:sz w:val="21"/>
              </w:rPr>
            </w:pPr>
            <w:r>
              <w:rPr>
                <w:spacing w:val="-2"/>
                <w:sz w:val="21"/>
              </w:rPr>
              <w:t>74.</w:t>
            </w:r>
            <w:r>
              <w:rPr>
                <w:spacing w:val="-4"/>
                <w:sz w:val="21"/>
              </w:rPr>
              <w:t>严重克雅氏症</w:t>
            </w:r>
          </w:p>
        </w:tc>
        <w:tc>
          <w:tcPr>
            <w:tcW w:w="2356" w:type="dxa"/>
          </w:tcPr>
          <w:p>
            <w:pPr>
              <w:pStyle w:val="TableParagraph"/>
              <w:spacing w:before="17"/>
              <w:ind w:left="106"/>
              <w:rPr>
                <w:sz w:val="21"/>
              </w:rPr>
            </w:pPr>
            <w:r>
              <w:rPr>
                <w:spacing w:val="-2"/>
                <w:sz w:val="21"/>
              </w:rPr>
              <w:t>75.</w:t>
            </w:r>
            <w:r>
              <w:rPr>
                <w:spacing w:val="-4"/>
                <w:sz w:val="21"/>
              </w:rPr>
              <w:t>胰腺移植</w:t>
            </w:r>
          </w:p>
        </w:tc>
      </w:tr>
      <w:tr>
        <w:trPr>
          <w:trHeight w:val="935" w:hRule="atLeast"/>
        </w:trPr>
        <w:tc>
          <w:tcPr>
            <w:tcW w:w="2353" w:type="dxa"/>
          </w:tcPr>
          <w:p>
            <w:pPr>
              <w:pStyle w:val="TableParagraph"/>
              <w:spacing w:line="278" w:lineRule="auto" w:before="173"/>
              <w:ind w:right="95"/>
              <w:rPr>
                <w:sz w:val="21"/>
              </w:rPr>
            </w:pPr>
            <w:r>
              <w:rPr>
                <w:sz w:val="21"/>
              </w:rPr>
              <w:t>76</w:t>
            </w:r>
            <w:r>
              <w:rPr>
                <w:spacing w:val="8"/>
                <w:sz w:val="21"/>
              </w:rPr>
              <w:t>.原发性硬化性胆管</w:t>
            </w:r>
            <w:r>
              <w:rPr>
                <w:spacing w:val="-10"/>
                <w:sz w:val="21"/>
              </w:rPr>
              <w:t>炎</w:t>
            </w:r>
          </w:p>
        </w:tc>
        <w:tc>
          <w:tcPr>
            <w:tcW w:w="2353" w:type="dxa"/>
          </w:tcPr>
          <w:p>
            <w:pPr>
              <w:pStyle w:val="TableParagraph"/>
              <w:spacing w:before="15"/>
              <w:ind w:left="0"/>
              <w:rPr>
                <w:rFonts w:ascii="微软雅黑"/>
                <w:b/>
                <w:sz w:val="17"/>
              </w:rPr>
            </w:pPr>
          </w:p>
          <w:p>
            <w:pPr>
              <w:pStyle w:val="TableParagraph"/>
              <w:rPr>
                <w:sz w:val="21"/>
              </w:rPr>
            </w:pPr>
            <w:r>
              <w:rPr>
                <w:spacing w:val="-2"/>
                <w:sz w:val="21"/>
              </w:rPr>
              <w:t>77.</w:t>
            </w:r>
            <w:r>
              <w:rPr>
                <w:spacing w:val="-4"/>
                <w:sz w:val="21"/>
              </w:rPr>
              <w:t>失去一肢及一眼</w:t>
            </w:r>
          </w:p>
        </w:tc>
        <w:tc>
          <w:tcPr>
            <w:tcW w:w="2356" w:type="dxa"/>
          </w:tcPr>
          <w:p>
            <w:pPr>
              <w:pStyle w:val="TableParagraph"/>
              <w:spacing w:before="17"/>
              <w:ind w:left="106"/>
              <w:rPr>
                <w:sz w:val="21"/>
              </w:rPr>
            </w:pPr>
            <w:r>
              <w:rPr>
                <w:sz w:val="21"/>
              </w:rPr>
              <w:t>78.系统性红斑狼疮 －</w:t>
            </w:r>
          </w:p>
          <w:p>
            <w:pPr>
              <w:pStyle w:val="TableParagraph"/>
              <w:spacing w:line="310" w:lineRule="atLeast" w:before="2"/>
              <w:ind w:left="106" w:right="101"/>
              <w:rPr>
                <w:sz w:val="21"/>
              </w:rPr>
            </w:pPr>
            <w:r>
              <w:rPr>
                <w:spacing w:val="-2"/>
                <w:sz w:val="21"/>
              </w:rPr>
              <w:t>（并发）Ⅲ型或以上狼</w:t>
            </w:r>
            <w:r>
              <w:rPr>
                <w:spacing w:val="-4"/>
                <w:sz w:val="21"/>
              </w:rPr>
              <w:t>疮性肾炎</w:t>
            </w:r>
          </w:p>
        </w:tc>
      </w:tr>
      <w:tr>
        <w:trPr>
          <w:trHeight w:val="623" w:hRule="atLeast"/>
        </w:trPr>
        <w:tc>
          <w:tcPr>
            <w:tcW w:w="2353" w:type="dxa"/>
          </w:tcPr>
          <w:p>
            <w:pPr>
              <w:pStyle w:val="TableParagraph"/>
              <w:spacing w:before="17"/>
              <w:rPr>
                <w:sz w:val="21"/>
              </w:rPr>
            </w:pPr>
            <w:r>
              <w:rPr>
                <w:sz w:val="21"/>
              </w:rPr>
              <w:t>79</w:t>
            </w:r>
            <w:r>
              <w:rPr>
                <w:spacing w:val="9"/>
                <w:sz w:val="21"/>
              </w:rPr>
              <w:t>.急性坏死性胰腺炎</w:t>
            </w:r>
          </w:p>
          <w:p>
            <w:pPr>
              <w:pStyle w:val="TableParagraph"/>
              <w:spacing w:before="43"/>
              <w:rPr>
                <w:sz w:val="21"/>
              </w:rPr>
            </w:pPr>
            <w:r>
              <w:rPr>
                <w:spacing w:val="-4"/>
                <w:sz w:val="21"/>
              </w:rPr>
              <w:t>开腹手术</w:t>
            </w:r>
          </w:p>
        </w:tc>
        <w:tc>
          <w:tcPr>
            <w:tcW w:w="2353" w:type="dxa"/>
          </w:tcPr>
          <w:p>
            <w:pPr>
              <w:pStyle w:val="TableParagraph"/>
              <w:spacing w:before="173"/>
              <w:rPr>
                <w:sz w:val="21"/>
              </w:rPr>
            </w:pPr>
            <w:r>
              <w:rPr>
                <w:spacing w:val="-2"/>
                <w:sz w:val="21"/>
              </w:rPr>
              <w:t>80.</w:t>
            </w:r>
            <w:r>
              <w:rPr>
                <w:spacing w:val="-4"/>
                <w:sz w:val="21"/>
              </w:rPr>
              <w:t>系统性硬皮病</w:t>
            </w:r>
          </w:p>
        </w:tc>
        <w:tc>
          <w:tcPr>
            <w:tcW w:w="2356" w:type="dxa"/>
          </w:tcPr>
          <w:p>
            <w:pPr>
              <w:pStyle w:val="TableParagraph"/>
              <w:spacing w:before="173"/>
              <w:ind w:left="106"/>
              <w:rPr>
                <w:sz w:val="21"/>
              </w:rPr>
            </w:pPr>
            <w:r>
              <w:rPr>
                <w:spacing w:val="-2"/>
                <w:sz w:val="21"/>
              </w:rPr>
              <w:t>81.</w:t>
            </w:r>
            <w:r>
              <w:rPr>
                <w:spacing w:val="-4"/>
                <w:sz w:val="21"/>
              </w:rPr>
              <w:t>严重Ⅰ型糖尿病</w:t>
            </w:r>
          </w:p>
        </w:tc>
      </w:tr>
      <w:tr>
        <w:trPr>
          <w:trHeight w:val="313" w:hRule="atLeast"/>
        </w:trPr>
        <w:tc>
          <w:tcPr>
            <w:tcW w:w="2353" w:type="dxa"/>
          </w:tcPr>
          <w:p>
            <w:pPr>
              <w:pStyle w:val="TableParagraph"/>
              <w:spacing w:before="19"/>
              <w:rPr>
                <w:sz w:val="21"/>
              </w:rPr>
            </w:pPr>
            <w:r>
              <w:rPr>
                <w:spacing w:val="-2"/>
                <w:sz w:val="21"/>
              </w:rPr>
              <w:t>82.</w:t>
            </w:r>
            <w:r>
              <w:rPr>
                <w:spacing w:val="-4"/>
                <w:sz w:val="21"/>
              </w:rPr>
              <w:t>肺淋巴管肌瘤病</w:t>
            </w:r>
          </w:p>
        </w:tc>
        <w:tc>
          <w:tcPr>
            <w:tcW w:w="2353" w:type="dxa"/>
          </w:tcPr>
          <w:p>
            <w:pPr>
              <w:pStyle w:val="TableParagraph"/>
              <w:spacing w:before="19"/>
              <w:rPr>
                <w:sz w:val="21"/>
              </w:rPr>
            </w:pPr>
            <w:r>
              <w:rPr>
                <w:spacing w:val="-2"/>
                <w:sz w:val="21"/>
              </w:rPr>
              <w:t>83.</w:t>
            </w:r>
            <w:r>
              <w:rPr>
                <w:spacing w:val="-4"/>
                <w:sz w:val="21"/>
              </w:rPr>
              <w:t>肝豆状核变性</w:t>
            </w:r>
          </w:p>
        </w:tc>
        <w:tc>
          <w:tcPr>
            <w:tcW w:w="2356" w:type="dxa"/>
          </w:tcPr>
          <w:p>
            <w:pPr>
              <w:pStyle w:val="TableParagraph"/>
              <w:spacing w:before="19"/>
              <w:ind w:left="106"/>
              <w:rPr>
                <w:sz w:val="21"/>
              </w:rPr>
            </w:pPr>
            <w:r>
              <w:rPr>
                <w:spacing w:val="-2"/>
                <w:sz w:val="21"/>
              </w:rPr>
              <w:t>84.</w:t>
            </w:r>
            <w:r>
              <w:rPr>
                <w:spacing w:val="-4"/>
                <w:sz w:val="21"/>
              </w:rPr>
              <w:t>肾髓质囊性病</w:t>
            </w:r>
          </w:p>
        </w:tc>
      </w:tr>
      <w:tr>
        <w:trPr>
          <w:trHeight w:val="623" w:hRule="atLeast"/>
        </w:trPr>
        <w:tc>
          <w:tcPr>
            <w:tcW w:w="2353" w:type="dxa"/>
          </w:tcPr>
          <w:p>
            <w:pPr>
              <w:pStyle w:val="TableParagraph"/>
              <w:spacing w:before="17"/>
              <w:rPr>
                <w:sz w:val="21"/>
              </w:rPr>
            </w:pPr>
            <w:r>
              <w:rPr>
                <w:sz w:val="21"/>
              </w:rPr>
              <w:t>85</w:t>
            </w:r>
            <w:r>
              <w:rPr>
                <w:spacing w:val="11"/>
                <w:sz w:val="21"/>
              </w:rPr>
              <w:t>.严重自身免疫性肝</w:t>
            </w:r>
          </w:p>
          <w:p>
            <w:pPr>
              <w:pStyle w:val="TableParagraph"/>
              <w:spacing w:before="43"/>
              <w:rPr>
                <w:sz w:val="21"/>
              </w:rPr>
            </w:pPr>
            <w:r>
              <w:rPr>
                <w:w w:val="100"/>
                <w:sz w:val="21"/>
              </w:rPr>
              <w:t>炎</w:t>
            </w:r>
          </w:p>
        </w:tc>
        <w:tc>
          <w:tcPr>
            <w:tcW w:w="2353" w:type="dxa"/>
          </w:tcPr>
          <w:p>
            <w:pPr>
              <w:pStyle w:val="TableParagraph"/>
              <w:spacing w:before="173"/>
              <w:rPr>
                <w:sz w:val="21"/>
              </w:rPr>
            </w:pPr>
            <w:r>
              <w:rPr>
                <w:spacing w:val="-2"/>
                <w:sz w:val="21"/>
              </w:rPr>
              <w:t>86.</w:t>
            </w:r>
            <w:r>
              <w:rPr>
                <w:spacing w:val="-4"/>
                <w:sz w:val="21"/>
              </w:rPr>
              <w:t>原发性骨髓纤维化</w:t>
            </w:r>
          </w:p>
        </w:tc>
        <w:tc>
          <w:tcPr>
            <w:tcW w:w="2356" w:type="dxa"/>
          </w:tcPr>
          <w:p>
            <w:pPr>
              <w:pStyle w:val="TableParagraph"/>
              <w:spacing w:before="17"/>
              <w:ind w:left="106"/>
              <w:rPr>
                <w:sz w:val="21"/>
              </w:rPr>
            </w:pPr>
            <w:r>
              <w:rPr>
                <w:sz w:val="21"/>
              </w:rPr>
              <w:t>87</w:t>
            </w:r>
            <w:r>
              <w:rPr>
                <w:spacing w:val="9"/>
                <w:sz w:val="21"/>
              </w:rPr>
              <w:t>.严重获得性或继发</w:t>
            </w:r>
          </w:p>
          <w:p>
            <w:pPr>
              <w:pStyle w:val="TableParagraph"/>
              <w:spacing w:before="43"/>
              <w:ind w:left="106"/>
              <w:rPr>
                <w:sz w:val="21"/>
              </w:rPr>
            </w:pPr>
            <w:r>
              <w:rPr>
                <w:spacing w:val="-3"/>
                <w:sz w:val="21"/>
              </w:rPr>
              <w:t>性肺泡蛋白质沉积症</w:t>
            </w:r>
          </w:p>
        </w:tc>
      </w:tr>
      <w:tr>
        <w:trPr>
          <w:trHeight w:val="624" w:hRule="atLeast"/>
        </w:trPr>
        <w:tc>
          <w:tcPr>
            <w:tcW w:w="2353" w:type="dxa"/>
          </w:tcPr>
          <w:p>
            <w:pPr>
              <w:pStyle w:val="TableParagraph"/>
              <w:spacing w:before="17"/>
              <w:rPr>
                <w:sz w:val="21"/>
              </w:rPr>
            </w:pPr>
            <w:r>
              <w:rPr>
                <w:sz w:val="21"/>
              </w:rPr>
              <w:t>88</w:t>
            </w:r>
            <w:r>
              <w:rPr>
                <w:spacing w:val="9"/>
                <w:sz w:val="21"/>
              </w:rPr>
              <w:t>.严重肠道疾病并发</w:t>
            </w:r>
          </w:p>
          <w:p>
            <w:pPr>
              <w:pStyle w:val="TableParagraph"/>
              <w:spacing w:before="43"/>
              <w:rPr>
                <w:sz w:val="21"/>
              </w:rPr>
            </w:pPr>
            <w:r>
              <w:rPr>
                <w:w w:val="100"/>
                <w:sz w:val="21"/>
              </w:rPr>
              <w:t>症</w:t>
            </w:r>
          </w:p>
        </w:tc>
        <w:tc>
          <w:tcPr>
            <w:tcW w:w="2353" w:type="dxa"/>
          </w:tcPr>
          <w:p>
            <w:pPr>
              <w:pStyle w:val="TableParagraph"/>
              <w:spacing w:before="17"/>
              <w:rPr>
                <w:sz w:val="21"/>
              </w:rPr>
            </w:pPr>
            <w:r>
              <w:rPr>
                <w:sz w:val="21"/>
              </w:rPr>
              <w:t>89</w:t>
            </w:r>
            <w:r>
              <w:rPr>
                <w:spacing w:val="9"/>
                <w:sz w:val="21"/>
              </w:rPr>
              <w:t>.严重骨髓异常增生</w:t>
            </w:r>
          </w:p>
          <w:p>
            <w:pPr>
              <w:pStyle w:val="TableParagraph"/>
              <w:spacing w:before="43"/>
              <w:rPr>
                <w:sz w:val="21"/>
              </w:rPr>
            </w:pPr>
            <w:r>
              <w:rPr>
                <w:spacing w:val="-4"/>
                <w:sz w:val="21"/>
              </w:rPr>
              <w:t>综合征</w:t>
            </w:r>
          </w:p>
        </w:tc>
        <w:tc>
          <w:tcPr>
            <w:tcW w:w="2356" w:type="dxa"/>
          </w:tcPr>
          <w:p>
            <w:pPr>
              <w:pStyle w:val="TableParagraph"/>
              <w:spacing w:before="17"/>
              <w:ind w:left="106"/>
              <w:rPr>
                <w:sz w:val="21"/>
              </w:rPr>
            </w:pPr>
            <w:r>
              <w:rPr>
                <w:sz w:val="21"/>
              </w:rPr>
              <w:t>90</w:t>
            </w:r>
            <w:r>
              <w:rPr>
                <w:spacing w:val="9"/>
                <w:sz w:val="21"/>
              </w:rPr>
              <w:t>.严重甲型及乙型血</w:t>
            </w:r>
          </w:p>
          <w:p>
            <w:pPr>
              <w:pStyle w:val="TableParagraph"/>
              <w:spacing w:before="43"/>
              <w:ind w:left="106"/>
              <w:rPr>
                <w:sz w:val="21"/>
              </w:rPr>
            </w:pPr>
            <w:r>
              <w:rPr>
                <w:spacing w:val="-5"/>
                <w:sz w:val="21"/>
              </w:rPr>
              <w:t>友病</w:t>
            </w:r>
          </w:p>
        </w:tc>
      </w:tr>
      <w:tr>
        <w:trPr>
          <w:trHeight w:val="623" w:hRule="atLeast"/>
        </w:trPr>
        <w:tc>
          <w:tcPr>
            <w:tcW w:w="2353" w:type="dxa"/>
          </w:tcPr>
          <w:p>
            <w:pPr>
              <w:pStyle w:val="TableParagraph"/>
              <w:spacing w:before="17"/>
              <w:rPr>
                <w:sz w:val="21"/>
              </w:rPr>
            </w:pPr>
            <w:r>
              <w:rPr>
                <w:sz w:val="21"/>
              </w:rPr>
              <w:t>91</w:t>
            </w:r>
            <w:r>
              <w:rPr>
                <w:spacing w:val="9"/>
                <w:sz w:val="21"/>
              </w:rPr>
              <w:t>.重症急性坏死性筋</w:t>
            </w:r>
          </w:p>
          <w:p>
            <w:pPr>
              <w:pStyle w:val="TableParagraph"/>
              <w:spacing w:before="43"/>
              <w:rPr>
                <w:sz w:val="21"/>
              </w:rPr>
            </w:pPr>
            <w:r>
              <w:rPr>
                <w:spacing w:val="-5"/>
                <w:sz w:val="21"/>
              </w:rPr>
              <w:t>膜炎</w:t>
            </w:r>
          </w:p>
        </w:tc>
        <w:tc>
          <w:tcPr>
            <w:tcW w:w="2353" w:type="dxa"/>
          </w:tcPr>
          <w:p>
            <w:pPr>
              <w:pStyle w:val="TableParagraph"/>
              <w:spacing w:before="17"/>
              <w:rPr>
                <w:sz w:val="21"/>
              </w:rPr>
            </w:pPr>
            <w:r>
              <w:rPr>
                <w:sz w:val="21"/>
              </w:rPr>
              <w:t>92.</w:t>
            </w:r>
            <w:r>
              <w:rPr>
                <w:spacing w:val="2"/>
                <w:sz w:val="21"/>
              </w:rPr>
              <w:t> 经输血导致的 </w:t>
            </w:r>
            <w:r>
              <w:rPr>
                <w:spacing w:val="-5"/>
                <w:sz w:val="21"/>
              </w:rPr>
              <w:t>HIV</w:t>
            </w:r>
          </w:p>
          <w:p>
            <w:pPr>
              <w:pStyle w:val="TableParagraph"/>
              <w:spacing w:before="43"/>
              <w:rPr>
                <w:sz w:val="21"/>
              </w:rPr>
            </w:pPr>
            <w:r>
              <w:rPr>
                <w:spacing w:val="-5"/>
                <w:sz w:val="21"/>
              </w:rPr>
              <w:t>感染</w:t>
            </w:r>
          </w:p>
        </w:tc>
        <w:tc>
          <w:tcPr>
            <w:tcW w:w="2356" w:type="dxa"/>
          </w:tcPr>
          <w:p>
            <w:pPr>
              <w:pStyle w:val="TableParagraph"/>
              <w:spacing w:before="17"/>
              <w:ind w:left="106"/>
              <w:rPr>
                <w:sz w:val="21"/>
              </w:rPr>
            </w:pPr>
            <w:r>
              <w:rPr>
                <w:sz w:val="21"/>
              </w:rPr>
              <w:t>93.</w:t>
            </w:r>
            <w:r>
              <w:rPr>
                <w:spacing w:val="3"/>
                <w:sz w:val="21"/>
              </w:rPr>
              <w:t>器官移植导致的</w:t>
            </w:r>
            <w:r>
              <w:rPr>
                <w:spacing w:val="-5"/>
                <w:sz w:val="21"/>
              </w:rPr>
              <w:t>HIV</w:t>
            </w:r>
          </w:p>
          <w:p>
            <w:pPr>
              <w:pStyle w:val="TableParagraph"/>
              <w:spacing w:before="43"/>
              <w:ind w:left="106"/>
              <w:rPr>
                <w:sz w:val="21"/>
              </w:rPr>
            </w:pPr>
            <w:r>
              <w:rPr>
                <w:spacing w:val="-5"/>
                <w:sz w:val="21"/>
              </w:rPr>
              <w:t>感染</w:t>
            </w:r>
          </w:p>
        </w:tc>
      </w:tr>
      <w:tr>
        <w:trPr>
          <w:trHeight w:val="623" w:hRule="atLeast"/>
        </w:trPr>
        <w:tc>
          <w:tcPr>
            <w:tcW w:w="2353" w:type="dxa"/>
          </w:tcPr>
          <w:p>
            <w:pPr>
              <w:pStyle w:val="TableParagraph"/>
              <w:spacing w:before="173"/>
              <w:rPr>
                <w:sz w:val="21"/>
              </w:rPr>
            </w:pPr>
            <w:r>
              <w:rPr>
                <w:spacing w:val="-2"/>
                <w:sz w:val="21"/>
              </w:rPr>
              <w:t>94.</w:t>
            </w:r>
            <w:r>
              <w:rPr>
                <w:spacing w:val="-4"/>
                <w:sz w:val="21"/>
              </w:rPr>
              <w:t>弥漫性血管内凝血</w:t>
            </w:r>
          </w:p>
        </w:tc>
        <w:tc>
          <w:tcPr>
            <w:tcW w:w="2353" w:type="dxa"/>
          </w:tcPr>
          <w:p>
            <w:pPr>
              <w:pStyle w:val="TableParagraph"/>
              <w:spacing w:before="17"/>
              <w:rPr>
                <w:sz w:val="21"/>
              </w:rPr>
            </w:pPr>
            <w:r>
              <w:rPr>
                <w:sz w:val="21"/>
              </w:rPr>
              <w:t>95</w:t>
            </w:r>
            <w:r>
              <w:rPr>
                <w:spacing w:val="9"/>
                <w:sz w:val="21"/>
              </w:rPr>
              <w:t>.溶血性链球菌引起</w:t>
            </w:r>
          </w:p>
          <w:p>
            <w:pPr>
              <w:pStyle w:val="TableParagraph"/>
              <w:spacing w:before="43"/>
              <w:rPr>
                <w:sz w:val="21"/>
              </w:rPr>
            </w:pPr>
            <w:r>
              <w:rPr>
                <w:spacing w:val="-4"/>
                <w:sz w:val="21"/>
              </w:rPr>
              <w:t>的坏疽</w:t>
            </w:r>
          </w:p>
        </w:tc>
        <w:tc>
          <w:tcPr>
            <w:tcW w:w="2356" w:type="dxa"/>
          </w:tcPr>
          <w:p>
            <w:pPr>
              <w:pStyle w:val="TableParagraph"/>
              <w:spacing w:before="173"/>
              <w:ind w:left="106"/>
              <w:rPr>
                <w:sz w:val="21"/>
              </w:rPr>
            </w:pPr>
            <w:r>
              <w:rPr>
                <w:spacing w:val="-2"/>
                <w:sz w:val="21"/>
              </w:rPr>
              <w:t>96.</w:t>
            </w:r>
            <w:r>
              <w:rPr>
                <w:spacing w:val="-4"/>
                <w:sz w:val="21"/>
              </w:rPr>
              <w:t>严重气性坏疽</w:t>
            </w:r>
          </w:p>
        </w:tc>
      </w:tr>
      <w:tr>
        <w:trPr>
          <w:trHeight w:val="623" w:hRule="atLeast"/>
        </w:trPr>
        <w:tc>
          <w:tcPr>
            <w:tcW w:w="2353" w:type="dxa"/>
          </w:tcPr>
          <w:p>
            <w:pPr>
              <w:pStyle w:val="TableParagraph"/>
              <w:spacing w:before="173"/>
              <w:rPr>
                <w:sz w:val="21"/>
              </w:rPr>
            </w:pPr>
            <w:r>
              <w:rPr>
                <w:spacing w:val="-2"/>
                <w:sz w:val="21"/>
              </w:rPr>
              <w:t>97.</w:t>
            </w:r>
            <w:r>
              <w:rPr>
                <w:spacing w:val="-4"/>
                <w:sz w:val="21"/>
              </w:rPr>
              <w:t>慢性复发性胰腺炎</w:t>
            </w:r>
          </w:p>
        </w:tc>
        <w:tc>
          <w:tcPr>
            <w:tcW w:w="2353" w:type="dxa"/>
          </w:tcPr>
          <w:p>
            <w:pPr>
              <w:pStyle w:val="TableParagraph"/>
              <w:spacing w:before="173"/>
              <w:rPr>
                <w:sz w:val="21"/>
              </w:rPr>
            </w:pPr>
            <w:r>
              <w:rPr>
                <w:spacing w:val="-2"/>
                <w:sz w:val="21"/>
              </w:rPr>
              <w:t>98.</w:t>
            </w:r>
            <w:r>
              <w:rPr>
                <w:spacing w:val="-4"/>
                <w:sz w:val="21"/>
              </w:rPr>
              <w:t>范可尼综合征</w:t>
            </w:r>
          </w:p>
        </w:tc>
        <w:tc>
          <w:tcPr>
            <w:tcW w:w="2356" w:type="dxa"/>
          </w:tcPr>
          <w:p>
            <w:pPr>
              <w:pStyle w:val="TableParagraph"/>
              <w:spacing w:before="17"/>
              <w:ind w:left="106"/>
              <w:rPr>
                <w:sz w:val="21"/>
              </w:rPr>
            </w:pPr>
            <w:r>
              <w:rPr>
                <w:spacing w:val="-2"/>
                <w:sz w:val="21"/>
              </w:rPr>
              <w:t>99.</w:t>
            </w:r>
            <w:r>
              <w:rPr>
                <w:spacing w:val="-14"/>
                <w:sz w:val="21"/>
              </w:rPr>
              <w:t>侵蚀性葡萄胎</w:t>
            </w:r>
            <w:r>
              <w:rPr>
                <w:spacing w:val="-2"/>
                <w:sz w:val="21"/>
              </w:rPr>
              <w:t>（</w:t>
            </w:r>
            <w:r>
              <w:rPr>
                <w:spacing w:val="-6"/>
                <w:sz w:val="21"/>
              </w:rPr>
              <w:t>或称</w:t>
            </w:r>
          </w:p>
          <w:p>
            <w:pPr>
              <w:pStyle w:val="TableParagraph"/>
              <w:spacing w:before="43"/>
              <w:ind w:left="106"/>
              <w:rPr>
                <w:sz w:val="21"/>
              </w:rPr>
            </w:pPr>
            <w:r>
              <w:rPr>
                <w:spacing w:val="-2"/>
                <w:sz w:val="21"/>
              </w:rPr>
              <w:t>恶性葡萄胎</w:t>
            </w:r>
            <w:r>
              <w:rPr>
                <w:spacing w:val="-10"/>
                <w:sz w:val="21"/>
              </w:rPr>
              <w:t>）</w:t>
            </w:r>
          </w:p>
        </w:tc>
      </w:tr>
      <w:tr>
        <w:trPr>
          <w:trHeight w:val="626" w:hRule="atLeast"/>
        </w:trPr>
        <w:tc>
          <w:tcPr>
            <w:tcW w:w="2353" w:type="dxa"/>
          </w:tcPr>
          <w:p>
            <w:pPr>
              <w:pStyle w:val="TableParagraph"/>
              <w:spacing w:before="19"/>
              <w:rPr>
                <w:sz w:val="21"/>
              </w:rPr>
            </w:pPr>
            <w:r>
              <w:rPr>
                <w:sz w:val="21"/>
              </w:rPr>
              <w:t>100</w:t>
            </w:r>
            <w:r>
              <w:rPr>
                <w:spacing w:val="-2"/>
                <w:sz w:val="21"/>
              </w:rPr>
              <w:t>.特发性慢性肾上腺</w:t>
            </w:r>
          </w:p>
          <w:p>
            <w:pPr>
              <w:pStyle w:val="TableParagraph"/>
              <w:spacing w:before="43"/>
              <w:rPr>
                <w:sz w:val="21"/>
              </w:rPr>
            </w:pPr>
            <w:r>
              <w:rPr>
                <w:spacing w:val="-4"/>
                <w:sz w:val="21"/>
              </w:rPr>
              <w:t>皮质功能减退</w:t>
            </w:r>
          </w:p>
        </w:tc>
        <w:tc>
          <w:tcPr>
            <w:tcW w:w="2353" w:type="dxa"/>
          </w:tcPr>
          <w:p>
            <w:pPr>
              <w:pStyle w:val="TableParagraph"/>
              <w:spacing w:before="175"/>
              <w:rPr>
                <w:sz w:val="21"/>
              </w:rPr>
            </w:pPr>
            <w:r>
              <w:rPr>
                <w:spacing w:val="-2"/>
                <w:sz w:val="21"/>
              </w:rPr>
              <w:t>101.</w:t>
            </w:r>
            <w:r>
              <w:rPr>
                <w:spacing w:val="-4"/>
                <w:sz w:val="21"/>
              </w:rPr>
              <w:t>埃博拉病毒感染</w:t>
            </w:r>
          </w:p>
        </w:tc>
        <w:tc>
          <w:tcPr>
            <w:tcW w:w="2356" w:type="dxa"/>
          </w:tcPr>
          <w:p>
            <w:pPr>
              <w:pStyle w:val="TableParagraph"/>
              <w:spacing w:before="175"/>
              <w:ind w:left="106"/>
              <w:rPr>
                <w:sz w:val="21"/>
              </w:rPr>
            </w:pPr>
            <w:r>
              <w:rPr>
                <w:spacing w:val="-2"/>
                <w:sz w:val="21"/>
              </w:rPr>
              <w:t>102.</w:t>
            </w:r>
            <w:r>
              <w:rPr>
                <w:spacing w:val="-4"/>
                <w:sz w:val="21"/>
              </w:rPr>
              <w:t>丝虫病所致象皮肿</w:t>
            </w:r>
          </w:p>
        </w:tc>
      </w:tr>
      <w:tr>
        <w:trPr>
          <w:trHeight w:val="623" w:hRule="atLeast"/>
        </w:trPr>
        <w:tc>
          <w:tcPr>
            <w:tcW w:w="2353" w:type="dxa"/>
          </w:tcPr>
          <w:p>
            <w:pPr>
              <w:pStyle w:val="TableParagraph"/>
              <w:spacing w:before="17"/>
              <w:rPr>
                <w:sz w:val="21"/>
              </w:rPr>
            </w:pPr>
            <w:r>
              <w:rPr>
                <w:sz w:val="21"/>
              </w:rPr>
              <w:t>103</w:t>
            </w:r>
            <w:r>
              <w:rPr>
                <w:spacing w:val="-2"/>
                <w:sz w:val="21"/>
              </w:rPr>
              <w:t>.因职业关系导致的</w:t>
            </w:r>
          </w:p>
          <w:p>
            <w:pPr>
              <w:pStyle w:val="TableParagraph"/>
              <w:spacing w:before="43"/>
              <w:rPr>
                <w:sz w:val="21"/>
              </w:rPr>
            </w:pPr>
            <w:r>
              <w:rPr>
                <w:spacing w:val="-2"/>
                <w:sz w:val="21"/>
              </w:rPr>
              <w:t>HIV</w:t>
            </w:r>
            <w:r>
              <w:rPr>
                <w:spacing w:val="-20"/>
                <w:sz w:val="21"/>
              </w:rPr>
              <w:t> 感染</w:t>
            </w:r>
          </w:p>
        </w:tc>
        <w:tc>
          <w:tcPr>
            <w:tcW w:w="2353" w:type="dxa"/>
          </w:tcPr>
          <w:p>
            <w:pPr>
              <w:pStyle w:val="TableParagraph"/>
              <w:spacing w:before="173"/>
              <w:rPr>
                <w:sz w:val="21"/>
              </w:rPr>
            </w:pPr>
            <w:r>
              <w:rPr>
                <w:spacing w:val="-2"/>
                <w:sz w:val="21"/>
              </w:rPr>
              <w:t>104.</w:t>
            </w:r>
            <w:r>
              <w:rPr>
                <w:spacing w:val="-4"/>
                <w:sz w:val="21"/>
              </w:rPr>
              <w:t>严重面部烧伤</w:t>
            </w:r>
          </w:p>
        </w:tc>
        <w:tc>
          <w:tcPr>
            <w:tcW w:w="2356" w:type="dxa"/>
          </w:tcPr>
          <w:p>
            <w:pPr>
              <w:pStyle w:val="TableParagraph"/>
              <w:spacing w:before="17"/>
              <w:ind w:left="106"/>
              <w:rPr>
                <w:sz w:val="21"/>
              </w:rPr>
            </w:pPr>
            <w:r>
              <w:rPr>
                <w:sz w:val="21"/>
              </w:rPr>
              <w:t>105</w:t>
            </w:r>
            <w:r>
              <w:rPr>
                <w:spacing w:val="-2"/>
                <w:sz w:val="21"/>
              </w:rPr>
              <w:t>.原发性脊柱侧弯的</w:t>
            </w:r>
          </w:p>
          <w:p>
            <w:pPr>
              <w:pStyle w:val="TableParagraph"/>
              <w:spacing w:before="43"/>
              <w:ind w:left="106"/>
              <w:rPr>
                <w:sz w:val="21"/>
              </w:rPr>
            </w:pPr>
            <w:r>
              <w:rPr>
                <w:spacing w:val="-4"/>
                <w:sz w:val="21"/>
              </w:rPr>
              <w:t>矫正手术</w:t>
            </w:r>
          </w:p>
        </w:tc>
      </w:tr>
      <w:tr>
        <w:trPr>
          <w:trHeight w:val="624" w:hRule="atLeast"/>
        </w:trPr>
        <w:tc>
          <w:tcPr>
            <w:tcW w:w="2353" w:type="dxa"/>
          </w:tcPr>
          <w:p>
            <w:pPr>
              <w:pStyle w:val="TableParagraph"/>
              <w:spacing w:before="17"/>
              <w:rPr>
                <w:sz w:val="21"/>
              </w:rPr>
            </w:pPr>
            <w:r>
              <w:rPr>
                <w:sz w:val="21"/>
              </w:rPr>
              <w:t>106</w:t>
            </w:r>
            <w:r>
              <w:rPr>
                <w:spacing w:val="-2"/>
                <w:sz w:val="21"/>
              </w:rPr>
              <w:t>.疾病或外伤所致智</w:t>
            </w:r>
          </w:p>
          <w:p>
            <w:pPr>
              <w:pStyle w:val="TableParagraph"/>
              <w:spacing w:before="43"/>
              <w:rPr>
                <w:sz w:val="21"/>
              </w:rPr>
            </w:pPr>
            <w:r>
              <w:rPr>
                <w:spacing w:val="-4"/>
                <w:sz w:val="21"/>
              </w:rPr>
              <w:t>力障碍</w:t>
            </w:r>
          </w:p>
        </w:tc>
        <w:tc>
          <w:tcPr>
            <w:tcW w:w="2353" w:type="dxa"/>
          </w:tcPr>
          <w:p>
            <w:pPr>
              <w:pStyle w:val="TableParagraph"/>
              <w:spacing w:before="173"/>
              <w:rPr>
                <w:sz w:val="21"/>
              </w:rPr>
            </w:pPr>
            <w:r>
              <w:rPr>
                <w:spacing w:val="-2"/>
                <w:sz w:val="21"/>
              </w:rPr>
              <w:t>107.</w:t>
            </w:r>
            <w:r>
              <w:rPr>
                <w:spacing w:val="-4"/>
                <w:sz w:val="21"/>
              </w:rPr>
              <w:t>瑞氏综合征</w:t>
            </w:r>
          </w:p>
        </w:tc>
        <w:tc>
          <w:tcPr>
            <w:tcW w:w="2356" w:type="dxa"/>
          </w:tcPr>
          <w:p>
            <w:pPr>
              <w:pStyle w:val="TableParagraph"/>
              <w:spacing w:before="173"/>
              <w:ind w:left="106"/>
              <w:rPr>
                <w:sz w:val="21"/>
              </w:rPr>
            </w:pPr>
            <w:r>
              <w:rPr>
                <w:spacing w:val="-2"/>
                <w:sz w:val="21"/>
              </w:rPr>
              <w:t>108.</w:t>
            </w:r>
            <w:r>
              <w:rPr>
                <w:spacing w:val="-4"/>
                <w:sz w:val="21"/>
              </w:rPr>
              <w:t>重症手足口病</w:t>
            </w:r>
          </w:p>
        </w:tc>
      </w:tr>
      <w:tr>
        <w:trPr>
          <w:trHeight w:val="311" w:hRule="atLeast"/>
        </w:trPr>
        <w:tc>
          <w:tcPr>
            <w:tcW w:w="2353" w:type="dxa"/>
          </w:tcPr>
          <w:p>
            <w:pPr>
              <w:pStyle w:val="TableParagraph"/>
              <w:spacing w:before="17"/>
              <w:rPr>
                <w:sz w:val="21"/>
              </w:rPr>
            </w:pPr>
            <w:r>
              <w:rPr>
                <w:spacing w:val="-2"/>
                <w:sz w:val="21"/>
              </w:rPr>
              <w:t>109.</w:t>
            </w:r>
            <w:r>
              <w:rPr>
                <w:spacing w:val="-4"/>
                <w:sz w:val="21"/>
              </w:rPr>
              <w:t>严重川崎病</w:t>
            </w:r>
          </w:p>
        </w:tc>
        <w:tc>
          <w:tcPr>
            <w:tcW w:w="2353" w:type="dxa"/>
          </w:tcPr>
          <w:p>
            <w:pPr>
              <w:pStyle w:val="TableParagraph"/>
              <w:spacing w:before="17"/>
              <w:rPr>
                <w:sz w:val="21"/>
              </w:rPr>
            </w:pPr>
            <w:r>
              <w:rPr>
                <w:spacing w:val="-2"/>
                <w:sz w:val="21"/>
              </w:rPr>
              <w:t>110.</w:t>
            </w:r>
            <w:r>
              <w:rPr>
                <w:spacing w:val="-4"/>
                <w:sz w:val="21"/>
              </w:rPr>
              <w:t>严重哮喘</w:t>
            </w:r>
          </w:p>
        </w:tc>
        <w:tc>
          <w:tcPr>
            <w:tcW w:w="2356" w:type="dxa"/>
          </w:tcPr>
          <w:p>
            <w:pPr>
              <w:pStyle w:val="TableParagraph"/>
              <w:ind w:left="0"/>
              <w:rPr>
                <w:rFonts w:ascii="Times New Roman"/>
                <w:sz w:val="20"/>
              </w:rPr>
            </w:pPr>
          </w:p>
        </w:tc>
      </w:tr>
    </w:tbl>
    <w:p>
      <w:pPr>
        <w:pStyle w:val="BodyText"/>
        <w:spacing w:before="7"/>
        <w:rPr>
          <w:rFonts w:ascii="微软雅黑"/>
          <w:b/>
          <w:sz w:val="14"/>
        </w:rPr>
      </w:pPr>
    </w:p>
    <w:p>
      <w:pPr>
        <w:pStyle w:val="BodyText"/>
        <w:spacing w:line="278" w:lineRule="auto" w:before="72"/>
        <w:ind w:left="2698" w:right="666"/>
        <w:jc w:val="both"/>
      </w:pPr>
      <w:r>
        <w:rPr>
          <w:spacing w:val="-6"/>
        </w:rPr>
        <w:t>本合同所保障的特定心脑血管疾病共 </w:t>
      </w:r>
      <w:r>
        <w:rPr>
          <w:spacing w:val="-4"/>
        </w:rPr>
        <w:t>3</w:t>
      </w:r>
      <w:r>
        <w:rPr>
          <w:spacing w:val="-8"/>
        </w:rPr>
        <w:t> 种，与《重大疾病保险的疾病定义使用规</w:t>
      </w:r>
      <w:r>
        <w:rPr/>
        <w:t>范（2020</w:t>
      </w:r>
      <w:r>
        <w:rPr>
          <w:spacing w:val="-7"/>
        </w:rPr>
        <w:t> 年修订版</w:t>
      </w:r>
      <w:r>
        <w:rPr/>
        <w:t>）</w:t>
      </w:r>
      <w:r>
        <w:rPr>
          <w:spacing w:val="-6"/>
        </w:rPr>
        <w:t>》中的第 </w:t>
      </w:r>
      <w:r>
        <w:rPr/>
        <w:t>2、3、5</w:t>
      </w:r>
      <w:r>
        <w:rPr>
          <w:spacing w:val="-5"/>
        </w:rPr>
        <w:t> 种重大疾病的疾病名称和疾病定义保持</w:t>
      </w:r>
      <w:r>
        <w:rPr>
          <w:spacing w:val="-4"/>
        </w:rPr>
        <w:t>一致。</w:t>
      </w:r>
    </w:p>
    <w:p>
      <w:pPr>
        <w:pStyle w:val="Heading2"/>
        <w:spacing w:before="26"/>
        <w:ind w:left="2698"/>
        <w:jc w:val="both"/>
      </w:pPr>
      <w:r>
        <w:rPr/>
        <w:t>特定心脑血管疾病的定义详见“10.3</w:t>
      </w:r>
      <w:r>
        <w:rPr>
          <w:spacing w:val="-2"/>
        </w:rPr>
        <w:t> 重大疾病定义”。</w:t>
      </w:r>
    </w:p>
    <w:p>
      <w:pPr>
        <w:pStyle w:val="BodyText"/>
        <w:spacing w:before="7"/>
        <w:rPr>
          <w:rFonts w:ascii="微软雅黑"/>
          <w:b/>
          <w:sz w:val="3"/>
        </w:rPr>
      </w:pPr>
    </w:p>
    <w:tbl>
      <w:tblPr>
        <w:tblW w:w="0" w:type="auto"/>
        <w:jc w:val="left"/>
        <w:tblInd w:w="2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37"/>
        <w:gridCol w:w="2410"/>
        <w:gridCol w:w="2554"/>
      </w:tblGrid>
      <w:tr>
        <w:trPr>
          <w:trHeight w:val="397" w:hRule="atLeast"/>
        </w:trPr>
        <w:tc>
          <w:tcPr>
            <w:tcW w:w="7201" w:type="dxa"/>
            <w:gridSpan w:val="3"/>
          </w:tcPr>
          <w:p>
            <w:pPr>
              <w:pStyle w:val="TableParagraph"/>
              <w:spacing w:line="343" w:lineRule="exact"/>
              <w:ind w:left="2546" w:right="2534"/>
              <w:jc w:val="center"/>
              <w:rPr>
                <w:rFonts w:ascii="微软雅黑" w:eastAsia="微软雅黑"/>
                <w:b/>
                <w:sz w:val="21"/>
              </w:rPr>
            </w:pPr>
            <w:r>
              <w:rPr>
                <w:rFonts w:ascii="微软雅黑" w:eastAsia="微软雅黑"/>
                <w:b/>
                <w:spacing w:val="-3"/>
                <w:sz w:val="21"/>
              </w:rPr>
              <w:t>特定心脑血管疾病名称</w:t>
            </w:r>
          </w:p>
        </w:tc>
      </w:tr>
      <w:tr>
        <w:trPr>
          <w:trHeight w:val="659" w:hRule="atLeast"/>
        </w:trPr>
        <w:tc>
          <w:tcPr>
            <w:tcW w:w="2237" w:type="dxa"/>
          </w:tcPr>
          <w:p>
            <w:pPr>
              <w:pStyle w:val="TableParagraph"/>
              <w:spacing w:before="13"/>
              <w:ind w:left="0"/>
              <w:rPr>
                <w:rFonts w:ascii="微软雅黑"/>
                <w:b/>
                <w:sz w:val="10"/>
              </w:rPr>
            </w:pPr>
          </w:p>
          <w:p>
            <w:pPr>
              <w:pStyle w:val="TableParagraph"/>
              <w:rPr>
                <w:sz w:val="21"/>
              </w:rPr>
            </w:pPr>
            <w:r>
              <w:rPr>
                <w:spacing w:val="-2"/>
                <w:sz w:val="21"/>
              </w:rPr>
              <w:t>1.</w:t>
            </w:r>
            <w:r>
              <w:rPr>
                <w:spacing w:val="-4"/>
                <w:sz w:val="21"/>
              </w:rPr>
              <w:t>较重急性心肌梗死</w:t>
            </w:r>
          </w:p>
        </w:tc>
        <w:tc>
          <w:tcPr>
            <w:tcW w:w="2410" w:type="dxa"/>
          </w:tcPr>
          <w:p>
            <w:pPr>
              <w:pStyle w:val="TableParagraph"/>
              <w:spacing w:before="13"/>
              <w:ind w:left="0"/>
              <w:rPr>
                <w:rFonts w:ascii="微软雅黑"/>
                <w:b/>
                <w:sz w:val="10"/>
              </w:rPr>
            </w:pPr>
          </w:p>
          <w:p>
            <w:pPr>
              <w:pStyle w:val="TableParagraph"/>
              <w:ind w:left="108"/>
              <w:rPr>
                <w:sz w:val="21"/>
              </w:rPr>
            </w:pPr>
            <w:r>
              <w:rPr>
                <w:spacing w:val="-2"/>
                <w:sz w:val="21"/>
              </w:rPr>
              <w:t>2.</w:t>
            </w:r>
            <w:r>
              <w:rPr>
                <w:spacing w:val="-4"/>
                <w:sz w:val="21"/>
              </w:rPr>
              <w:t>严重脑中风后遗症</w:t>
            </w:r>
          </w:p>
        </w:tc>
        <w:tc>
          <w:tcPr>
            <w:tcW w:w="2554" w:type="dxa"/>
          </w:tcPr>
          <w:p>
            <w:pPr>
              <w:pStyle w:val="TableParagraph"/>
              <w:spacing w:line="213" w:lineRule="auto" w:before="101"/>
              <w:ind w:left="108" w:right="93"/>
              <w:rPr>
                <w:sz w:val="21"/>
              </w:rPr>
            </w:pPr>
            <w:r>
              <w:rPr>
                <w:spacing w:val="-2"/>
                <w:sz w:val="21"/>
              </w:rPr>
              <w:t>3.冠状动脉搭桥术（或称</w:t>
            </w:r>
            <w:r>
              <w:rPr>
                <w:spacing w:val="-2"/>
                <w:sz w:val="21"/>
              </w:rPr>
              <w:t>冠状动脉旁路移植术）</w:t>
            </w:r>
          </w:p>
        </w:tc>
      </w:tr>
    </w:tbl>
    <w:p>
      <w:pPr>
        <w:pStyle w:val="BodyText"/>
        <w:spacing w:before="17"/>
        <w:rPr>
          <w:rFonts w:ascii="微软雅黑"/>
          <w:b/>
          <w:sz w:val="14"/>
        </w:rPr>
      </w:pPr>
    </w:p>
    <w:p>
      <w:pPr>
        <w:pStyle w:val="ListParagraph"/>
        <w:numPr>
          <w:ilvl w:val="1"/>
          <w:numId w:val="4"/>
        </w:numPr>
        <w:tabs>
          <w:tab w:pos="1080" w:val="left" w:leader="none"/>
          <w:tab w:pos="1081" w:val="left" w:leader="none"/>
          <w:tab w:pos="2697" w:val="left" w:leader="none"/>
        </w:tabs>
        <w:spacing w:line="235" w:lineRule="auto" w:before="0" w:after="0"/>
        <w:ind w:left="2698" w:right="666" w:hanging="2470"/>
        <w:jc w:val="left"/>
        <w:rPr>
          <w:sz w:val="21"/>
        </w:rPr>
      </w:pPr>
      <w:r>
        <w:rPr>
          <w:rFonts w:ascii="微软雅黑" w:eastAsia="微软雅黑"/>
          <w:b/>
          <w:spacing w:val="-4"/>
          <w:sz w:val="21"/>
        </w:rPr>
        <w:t>等</w:t>
      </w:r>
      <w:r>
        <w:rPr>
          <w:rFonts w:ascii="微软雅黑" w:eastAsia="微软雅黑"/>
          <w:b/>
          <w:spacing w:val="-4"/>
          <w:sz w:val="21"/>
        </w:rPr>
        <w:t>待</w:t>
      </w:r>
      <w:r>
        <w:rPr>
          <w:rFonts w:ascii="微软雅黑" w:eastAsia="微软雅黑"/>
          <w:b/>
          <w:spacing w:val="-4"/>
          <w:sz w:val="21"/>
        </w:rPr>
        <w:t>期</w:t>
      </w:r>
      <w:r>
        <w:rPr>
          <w:rFonts w:ascii="微软雅黑" w:eastAsia="微软雅黑"/>
          <w:b/>
          <w:sz w:val="21"/>
        </w:rPr>
        <w:tab/>
      </w:r>
      <w:r>
        <w:rPr>
          <w:spacing w:val="-2"/>
          <w:sz w:val="21"/>
        </w:rPr>
        <w:t>自</w:t>
      </w:r>
      <w:r>
        <w:rPr>
          <w:spacing w:val="-2"/>
          <w:sz w:val="21"/>
        </w:rPr>
        <w:t>本</w:t>
      </w:r>
      <w:r>
        <w:rPr>
          <w:spacing w:val="-2"/>
          <w:sz w:val="21"/>
        </w:rPr>
        <w:t>合同生效日或最后复效日（以较迟者为准）起</w:t>
      </w:r>
      <w:r>
        <w:rPr>
          <w:spacing w:val="-2"/>
          <w:sz w:val="21"/>
        </w:rPr>
        <w:t>九</w:t>
      </w:r>
      <w:r>
        <w:rPr>
          <w:spacing w:val="-2"/>
          <w:sz w:val="21"/>
        </w:rPr>
        <w:t>十</w:t>
      </w:r>
      <w:r>
        <w:rPr>
          <w:spacing w:val="-2"/>
          <w:sz w:val="21"/>
        </w:rPr>
        <w:t>日内（含第九十日）</w:t>
      </w:r>
      <w:r>
        <w:rPr>
          <w:spacing w:val="-2"/>
          <w:sz w:val="21"/>
        </w:rPr>
        <w:t>为</w:t>
      </w:r>
      <w:r>
        <w:rPr>
          <w:spacing w:val="-2"/>
          <w:sz w:val="21"/>
        </w:rPr>
        <w:t>等</w:t>
      </w:r>
      <w:r>
        <w:rPr>
          <w:spacing w:val="-4"/>
          <w:sz w:val="21"/>
        </w:rPr>
        <w:t>待</w:t>
      </w:r>
      <w:r>
        <w:rPr>
          <w:spacing w:val="-4"/>
          <w:sz w:val="21"/>
        </w:rPr>
        <w:t>期</w:t>
      </w:r>
      <w:r>
        <w:rPr>
          <w:spacing w:val="-4"/>
          <w:sz w:val="21"/>
        </w:rPr>
        <w:t>。</w:t>
      </w:r>
    </w:p>
    <w:p>
      <w:pPr>
        <w:spacing w:line="194" w:lineRule="auto" w:before="122"/>
        <w:ind w:left="2698" w:right="668" w:firstLine="0"/>
        <w:jc w:val="both"/>
        <w:rPr>
          <w:sz w:val="21"/>
        </w:rPr>
      </w:pPr>
      <w:r>
        <w:rPr>
          <w:sz w:val="21"/>
        </w:rPr>
        <w:t>被保险人在等待期内因</w:t>
      </w:r>
      <w:r>
        <w:rPr>
          <w:rFonts w:ascii="微软雅黑" w:eastAsia="微软雅黑"/>
          <w:b/>
          <w:sz w:val="21"/>
        </w:rPr>
        <w:t>意外伤害 </w:t>
      </w:r>
      <w:r>
        <w:rPr>
          <w:position w:val="11"/>
          <w:sz w:val="11"/>
        </w:rPr>
        <w:t>11.4</w:t>
      </w:r>
      <w:r>
        <w:rPr>
          <w:spacing w:val="-14"/>
          <w:position w:val="11"/>
          <w:sz w:val="11"/>
        </w:rPr>
        <w:t> </w:t>
      </w:r>
      <w:r>
        <w:rPr>
          <w:sz w:val="21"/>
        </w:rPr>
        <w:t>以外的原因导致</w:t>
      </w:r>
      <w:r>
        <w:rPr>
          <w:rFonts w:ascii="微软雅黑" w:eastAsia="微软雅黑"/>
          <w:b/>
          <w:sz w:val="21"/>
        </w:rPr>
        <w:t>初次患本合同所定义的中症疾病、轻症疾病 </w:t>
      </w:r>
      <w:r>
        <w:rPr>
          <w:position w:val="11"/>
          <w:sz w:val="11"/>
        </w:rPr>
        <w:t>11.5</w:t>
      </w:r>
      <w:r>
        <w:rPr>
          <w:sz w:val="21"/>
        </w:rPr>
        <w:t>（无论一种或多种）的，</w:t>
      </w:r>
      <w:r>
        <w:rPr>
          <w:rFonts w:ascii="微软雅黑" w:eastAsia="微软雅黑"/>
          <w:b/>
          <w:sz w:val="21"/>
        </w:rPr>
        <w:t>我们不承担给付保险金的责任</w:t>
      </w:r>
      <w:r>
        <w:rPr>
          <w:sz w:val="21"/>
        </w:rPr>
        <w:t>，</w:t>
      </w:r>
      <w:r>
        <w:rPr>
          <w:rFonts w:ascii="微软雅黑" w:eastAsia="微软雅黑"/>
          <w:b/>
          <w:sz w:val="21"/>
        </w:rPr>
        <w:t>该</w:t>
      </w:r>
      <w:r>
        <w:rPr>
          <w:rFonts w:ascii="微软雅黑" w:eastAsia="微软雅黑"/>
          <w:b/>
          <w:spacing w:val="-2"/>
          <w:sz w:val="21"/>
        </w:rPr>
        <w:t>一种或多种疾病的保险责任终止</w:t>
      </w:r>
      <w:r>
        <w:rPr>
          <w:spacing w:val="-2"/>
          <w:sz w:val="21"/>
        </w:rPr>
        <w:t>。</w:t>
      </w:r>
    </w:p>
    <w:p>
      <w:pPr>
        <w:spacing w:line="194" w:lineRule="auto" w:before="89"/>
        <w:ind w:left="2698" w:right="668" w:firstLine="0"/>
        <w:jc w:val="both"/>
        <w:rPr>
          <w:sz w:val="21"/>
        </w:rPr>
      </w:pPr>
      <w:r>
        <w:rPr>
          <w:spacing w:val="2"/>
          <w:w w:val="100"/>
          <w:sz w:val="21"/>
        </w:rPr>
        <w:t>被保险人在等待期内因意外伤害以外的原因导致</w:t>
      </w:r>
      <w:r>
        <w:rPr>
          <w:rFonts w:ascii="微软雅黑" w:eastAsia="微软雅黑"/>
          <w:b/>
          <w:spacing w:val="1"/>
          <w:w w:val="100"/>
          <w:sz w:val="21"/>
        </w:rPr>
        <w:t>初次患本合同所定义的重大疾病</w:t>
      </w:r>
      <w:r>
        <w:rPr>
          <w:rFonts w:ascii="微软雅黑" w:eastAsia="微软雅黑"/>
          <w:b/>
          <w:spacing w:val="-7"/>
          <w:sz w:val="21"/>
        </w:rPr>
        <w:t> </w:t>
      </w:r>
      <w:r>
        <w:rPr>
          <w:w w:val="100"/>
          <w:position w:val="11"/>
          <w:sz w:val="11"/>
        </w:rPr>
        <w:t>11</w:t>
      </w:r>
      <w:r>
        <w:rPr>
          <w:spacing w:val="-3"/>
          <w:w w:val="100"/>
          <w:position w:val="11"/>
          <w:sz w:val="11"/>
        </w:rPr>
        <w:t>.6</w:t>
      </w:r>
      <w:r>
        <w:rPr>
          <w:spacing w:val="-3"/>
          <w:w w:val="100"/>
          <w:sz w:val="21"/>
        </w:rPr>
        <w:t>（无论一种或多种</w:t>
      </w:r>
      <w:r>
        <w:rPr>
          <w:spacing w:val="-5"/>
          <w:w w:val="100"/>
          <w:sz w:val="21"/>
        </w:rPr>
        <w:t>）</w:t>
      </w:r>
      <w:r>
        <w:rPr>
          <w:spacing w:val="-3"/>
          <w:w w:val="100"/>
          <w:sz w:val="21"/>
        </w:rPr>
        <w:t>、身故或</w:t>
      </w:r>
      <w:r>
        <w:rPr>
          <w:rFonts w:ascii="微软雅黑" w:eastAsia="微软雅黑"/>
          <w:b/>
          <w:w w:val="100"/>
          <w:sz w:val="21"/>
        </w:rPr>
        <w:t>全残</w:t>
      </w:r>
      <w:r>
        <w:rPr>
          <w:rFonts w:ascii="微软雅黑" w:eastAsia="微软雅黑"/>
          <w:b/>
          <w:spacing w:val="-10"/>
          <w:sz w:val="21"/>
        </w:rPr>
        <w:t> </w:t>
      </w:r>
      <w:r>
        <w:rPr>
          <w:w w:val="100"/>
          <w:position w:val="11"/>
          <w:sz w:val="11"/>
        </w:rPr>
        <w:t>11.7</w:t>
      </w:r>
      <w:r>
        <w:rPr>
          <w:spacing w:val="-29"/>
          <w:position w:val="11"/>
          <w:sz w:val="11"/>
        </w:rPr>
        <w:t> </w:t>
      </w:r>
      <w:r>
        <w:rPr>
          <w:spacing w:val="-4"/>
          <w:w w:val="100"/>
          <w:sz w:val="21"/>
        </w:rPr>
        <w:t>的，</w:t>
      </w:r>
      <w:r>
        <w:rPr>
          <w:rFonts w:ascii="微软雅黑" w:eastAsia="微软雅黑"/>
          <w:b/>
          <w:spacing w:val="-2"/>
          <w:w w:val="100"/>
          <w:sz w:val="21"/>
        </w:rPr>
        <w:t>我们不承担给付保险金的责任</w:t>
      </w:r>
      <w:r>
        <w:rPr>
          <w:w w:val="100"/>
          <w:sz w:val="21"/>
        </w:rPr>
        <w:t>并</w:t>
      </w:r>
    </w:p>
    <w:p>
      <w:pPr>
        <w:spacing w:after="0" w:line="194" w:lineRule="auto"/>
        <w:jc w:val="both"/>
        <w:rPr>
          <w:sz w:val="21"/>
        </w:rPr>
        <w:sectPr>
          <w:pgSz w:w="11910" w:h="16840"/>
          <w:pgMar w:header="0" w:footer="406" w:top="1120" w:bottom="600" w:left="900" w:right="340"/>
        </w:sectPr>
      </w:pPr>
    </w:p>
    <w:p>
      <w:pPr>
        <w:spacing w:before="10"/>
        <w:ind w:left="2698" w:right="0" w:firstLine="0"/>
        <w:jc w:val="left"/>
        <w:rPr>
          <w:sz w:val="21"/>
        </w:rPr>
      </w:pPr>
      <w:r>
        <w:rPr>
          <w:spacing w:val="-2"/>
          <w:sz w:val="21"/>
        </w:rPr>
        <w:t>退还您所支付的本合同</w:t>
      </w:r>
      <w:r>
        <w:rPr>
          <w:rFonts w:ascii="微软雅黑" w:eastAsia="微软雅黑"/>
          <w:b/>
          <w:sz w:val="21"/>
        </w:rPr>
        <w:t>累计已交保险费 </w:t>
      </w:r>
      <w:r>
        <w:rPr>
          <w:spacing w:val="-2"/>
          <w:position w:val="11"/>
          <w:sz w:val="11"/>
        </w:rPr>
        <w:t>11.8</w:t>
      </w:r>
      <w:r>
        <w:rPr>
          <w:spacing w:val="-2"/>
          <w:sz w:val="21"/>
        </w:rPr>
        <w:t>，</w:t>
      </w:r>
      <w:r>
        <w:rPr>
          <w:rFonts w:ascii="微软雅黑" w:eastAsia="微软雅黑"/>
          <w:b/>
          <w:spacing w:val="-2"/>
          <w:sz w:val="21"/>
        </w:rPr>
        <w:t>本合同终止</w:t>
      </w:r>
      <w:r>
        <w:rPr>
          <w:spacing w:val="-12"/>
          <w:sz w:val="21"/>
        </w:rPr>
        <w:t>。</w:t>
      </w:r>
    </w:p>
    <w:p>
      <w:pPr>
        <w:pStyle w:val="BodyText"/>
        <w:spacing w:before="85"/>
        <w:ind w:left="2698"/>
      </w:pPr>
      <w:r>
        <w:rPr>
          <w:spacing w:val="-5"/>
        </w:rPr>
        <w:t>被保险人因意外伤害导致初次患本合同所定义的轻症疾病、中症疾病、重大疾病</w:t>
      </w:r>
    </w:p>
    <w:p>
      <w:pPr>
        <w:pStyle w:val="BodyText"/>
        <w:spacing w:before="44"/>
        <w:ind w:left="2698"/>
      </w:pPr>
      <w:r>
        <w:rPr>
          <w:spacing w:val="-2"/>
        </w:rPr>
        <w:t>（无论一种或多种）</w:t>
      </w:r>
      <w:r>
        <w:rPr>
          <w:spacing w:val="-3"/>
        </w:rPr>
        <w:t>、身故或全残的，无等待期。</w:t>
      </w:r>
    </w:p>
    <w:p>
      <w:pPr>
        <w:pStyle w:val="BodyText"/>
        <w:spacing w:before="4"/>
        <w:rPr>
          <w:sz w:val="26"/>
        </w:rPr>
      </w:pPr>
    </w:p>
    <w:p>
      <w:pPr>
        <w:pStyle w:val="Heading2"/>
        <w:numPr>
          <w:ilvl w:val="1"/>
          <w:numId w:val="4"/>
        </w:numPr>
        <w:tabs>
          <w:tab w:pos="1081" w:val="left" w:leader="none"/>
          <w:tab w:pos="2697" w:val="left" w:leader="none"/>
        </w:tabs>
        <w:spacing w:line="194" w:lineRule="auto" w:before="1" w:after="0"/>
        <w:ind w:left="2698" w:right="670" w:hanging="2470"/>
        <w:jc w:val="both"/>
      </w:pPr>
      <w:r>
        <w:rPr>
          <w:spacing w:val="-4"/>
        </w:rPr>
        <w:t>保</w:t>
      </w:r>
      <w:r>
        <w:rPr>
          <w:spacing w:val="-4"/>
        </w:rPr>
        <w:t>险</w:t>
      </w:r>
      <w:r>
        <w:rPr>
          <w:spacing w:val="-4"/>
        </w:rPr>
        <w:t>责</w:t>
      </w:r>
      <w:r>
        <w:rPr>
          <w:spacing w:val="-4"/>
        </w:rPr>
        <w:t>任</w:t>
      </w:r>
      <w:r>
        <w:rPr/>
        <w:tab/>
      </w:r>
      <w:r>
        <w:rPr>
          <w:spacing w:val="-2"/>
        </w:rPr>
        <w:t>本</w:t>
      </w:r>
      <w:r>
        <w:rPr>
          <w:spacing w:val="-2"/>
        </w:rPr>
        <w:t>合</w:t>
      </w:r>
      <w:r>
        <w:rPr>
          <w:spacing w:val="-2"/>
        </w:rPr>
        <w:t>同</w:t>
      </w:r>
      <w:r>
        <w:rPr>
          <w:spacing w:val="-2"/>
        </w:rPr>
        <w:t>的</w:t>
      </w:r>
      <w:r>
        <w:rPr>
          <w:spacing w:val="-2"/>
        </w:rPr>
        <w:t>保</w:t>
      </w:r>
      <w:r>
        <w:rPr>
          <w:spacing w:val="-2"/>
        </w:rPr>
        <w:t>险</w:t>
      </w:r>
      <w:r>
        <w:rPr>
          <w:spacing w:val="-2"/>
        </w:rPr>
        <w:t>责</w:t>
      </w:r>
      <w:r>
        <w:rPr>
          <w:spacing w:val="-2"/>
        </w:rPr>
        <w:t>任</w:t>
      </w:r>
      <w:r>
        <w:rPr>
          <w:spacing w:val="-2"/>
        </w:rPr>
        <w:t>分为基</w:t>
      </w:r>
      <w:r>
        <w:rPr>
          <w:spacing w:val="-2"/>
        </w:rPr>
        <w:t>本</w:t>
      </w:r>
      <w:r>
        <w:rPr>
          <w:spacing w:val="-2"/>
        </w:rPr>
        <w:t>保</w:t>
      </w:r>
      <w:r>
        <w:rPr>
          <w:spacing w:val="-2"/>
        </w:rPr>
        <w:t>险</w:t>
      </w:r>
      <w:r>
        <w:rPr>
          <w:spacing w:val="-2"/>
        </w:rPr>
        <w:t>责</w:t>
      </w:r>
      <w:r>
        <w:rPr>
          <w:spacing w:val="-2"/>
        </w:rPr>
        <w:t>任</w:t>
      </w:r>
      <w:r>
        <w:rPr>
          <w:spacing w:val="-2"/>
        </w:rPr>
        <w:t>和</w:t>
      </w:r>
      <w:r>
        <w:rPr>
          <w:spacing w:val="-2"/>
        </w:rPr>
        <w:t>可</w:t>
      </w:r>
      <w:r>
        <w:rPr>
          <w:spacing w:val="-2"/>
        </w:rPr>
        <w:t>选</w:t>
      </w:r>
      <w:r>
        <w:rPr>
          <w:spacing w:val="-2"/>
        </w:rPr>
        <w:t>保险责任</w:t>
      </w:r>
      <w:r>
        <w:rPr>
          <w:spacing w:val="-85"/>
        </w:rPr>
        <w:t>，</w:t>
      </w:r>
      <w:r>
        <w:rPr>
          <w:spacing w:val="-2"/>
        </w:rPr>
        <w:t>您</w:t>
      </w:r>
      <w:r>
        <w:rPr>
          <w:spacing w:val="-2"/>
        </w:rPr>
        <w:t>可</w:t>
      </w:r>
      <w:r>
        <w:rPr>
          <w:spacing w:val="-2"/>
        </w:rPr>
        <w:t>以</w:t>
      </w:r>
      <w:r>
        <w:rPr>
          <w:spacing w:val="-2"/>
        </w:rPr>
        <w:t>单</w:t>
      </w:r>
      <w:r>
        <w:rPr>
          <w:spacing w:val="-2"/>
        </w:rPr>
        <w:t>独</w:t>
      </w:r>
      <w:r>
        <w:rPr>
          <w:spacing w:val="-2"/>
        </w:rPr>
        <w:t>投</w:t>
      </w:r>
      <w:r>
        <w:rPr>
          <w:spacing w:val="-2"/>
        </w:rPr>
        <w:t>保</w:t>
      </w:r>
      <w:r>
        <w:rPr>
          <w:spacing w:val="-2"/>
        </w:rPr>
        <w:t>基</w:t>
      </w:r>
      <w:r>
        <w:rPr>
          <w:spacing w:val="-2"/>
        </w:rPr>
        <w:t>本</w:t>
      </w:r>
      <w:r>
        <w:rPr>
          <w:spacing w:val="-2"/>
        </w:rPr>
        <w:t>保险</w:t>
      </w:r>
      <w:r>
        <w:rPr>
          <w:spacing w:val="-2"/>
        </w:rPr>
        <w:t>责</w:t>
      </w:r>
      <w:r>
        <w:rPr>
          <w:spacing w:val="-2"/>
        </w:rPr>
        <w:t>任</w:t>
      </w:r>
      <w:r>
        <w:rPr>
          <w:spacing w:val="-2"/>
        </w:rPr>
        <w:t>，</w:t>
      </w:r>
      <w:r>
        <w:rPr>
          <w:spacing w:val="-2"/>
        </w:rPr>
        <w:t>也</w:t>
      </w:r>
      <w:r>
        <w:rPr>
          <w:spacing w:val="-2"/>
        </w:rPr>
        <w:t>可</w:t>
      </w:r>
      <w:r>
        <w:rPr>
          <w:spacing w:val="-2"/>
        </w:rPr>
        <w:t>以</w:t>
      </w:r>
      <w:r>
        <w:rPr>
          <w:spacing w:val="-2"/>
        </w:rPr>
        <w:t>在</w:t>
      </w:r>
      <w:r>
        <w:rPr>
          <w:spacing w:val="-2"/>
        </w:rPr>
        <w:t>投</w:t>
      </w:r>
      <w:r>
        <w:rPr>
          <w:spacing w:val="-2"/>
        </w:rPr>
        <w:t>保</w:t>
      </w:r>
      <w:r>
        <w:rPr>
          <w:spacing w:val="-2"/>
        </w:rPr>
        <w:t>基</w:t>
      </w:r>
      <w:r>
        <w:rPr>
          <w:spacing w:val="-2"/>
        </w:rPr>
        <w:t>本</w:t>
      </w:r>
      <w:r>
        <w:rPr>
          <w:spacing w:val="-2"/>
        </w:rPr>
        <w:t>保</w:t>
      </w:r>
      <w:r>
        <w:rPr>
          <w:spacing w:val="-2"/>
        </w:rPr>
        <w:t>险</w:t>
      </w:r>
      <w:r>
        <w:rPr>
          <w:spacing w:val="-2"/>
        </w:rPr>
        <w:t>责</w:t>
      </w:r>
      <w:r>
        <w:rPr>
          <w:spacing w:val="-2"/>
        </w:rPr>
        <w:t>任</w:t>
      </w:r>
      <w:r>
        <w:rPr>
          <w:spacing w:val="-2"/>
        </w:rPr>
        <w:t>的</w:t>
      </w:r>
      <w:r>
        <w:rPr>
          <w:spacing w:val="-2"/>
        </w:rPr>
        <w:t>基</w:t>
      </w:r>
      <w:r>
        <w:rPr>
          <w:spacing w:val="-2"/>
        </w:rPr>
        <w:t>础</w:t>
      </w:r>
      <w:r>
        <w:rPr>
          <w:spacing w:val="-2"/>
        </w:rPr>
        <w:t>上</w:t>
      </w:r>
      <w:r>
        <w:rPr>
          <w:spacing w:val="-2"/>
        </w:rPr>
        <w:t>投保可</w:t>
      </w:r>
      <w:r>
        <w:rPr>
          <w:spacing w:val="-2"/>
        </w:rPr>
        <w:t>选</w:t>
      </w:r>
      <w:r>
        <w:rPr>
          <w:spacing w:val="-2"/>
        </w:rPr>
        <w:t>保</w:t>
      </w:r>
      <w:r>
        <w:rPr>
          <w:spacing w:val="-2"/>
        </w:rPr>
        <w:t>险</w:t>
      </w:r>
      <w:r>
        <w:rPr>
          <w:spacing w:val="-2"/>
        </w:rPr>
        <w:t>责</w:t>
      </w:r>
      <w:r>
        <w:rPr>
          <w:spacing w:val="-2"/>
        </w:rPr>
        <w:t>任</w:t>
      </w:r>
      <w:r>
        <w:rPr>
          <w:spacing w:val="-2"/>
        </w:rPr>
        <w:t>，</w:t>
      </w:r>
      <w:r>
        <w:rPr>
          <w:spacing w:val="-2"/>
        </w:rPr>
        <w:t>但</w:t>
      </w:r>
      <w:r>
        <w:rPr>
          <w:spacing w:val="-2"/>
        </w:rPr>
        <w:t>不</w:t>
      </w:r>
      <w:r>
        <w:rPr>
          <w:spacing w:val="-2"/>
        </w:rPr>
        <w:t>能</w:t>
      </w:r>
      <w:r>
        <w:rPr>
          <w:spacing w:val="-2"/>
        </w:rPr>
        <w:t>单</w:t>
      </w:r>
      <w:r>
        <w:rPr>
          <w:spacing w:val="-2"/>
        </w:rPr>
        <w:t>独投</w:t>
      </w:r>
      <w:r>
        <w:rPr>
          <w:spacing w:val="-2"/>
        </w:rPr>
        <w:t>保</w:t>
      </w:r>
      <w:r>
        <w:rPr>
          <w:spacing w:val="-2"/>
        </w:rPr>
        <w:t>可</w:t>
      </w:r>
      <w:r>
        <w:rPr>
          <w:spacing w:val="-2"/>
        </w:rPr>
        <w:t>选</w:t>
      </w:r>
      <w:r>
        <w:rPr>
          <w:spacing w:val="-2"/>
        </w:rPr>
        <w:t>保</w:t>
      </w:r>
      <w:r>
        <w:rPr>
          <w:spacing w:val="-2"/>
        </w:rPr>
        <w:t>险</w:t>
      </w:r>
      <w:r>
        <w:rPr>
          <w:spacing w:val="-2"/>
        </w:rPr>
        <w:t>责</w:t>
      </w:r>
      <w:r>
        <w:rPr>
          <w:spacing w:val="-2"/>
        </w:rPr>
        <w:t>任</w:t>
      </w:r>
      <w:r>
        <w:rPr>
          <w:spacing w:val="-2"/>
        </w:rPr>
        <w:t>。</w:t>
      </w:r>
    </w:p>
    <w:p>
      <w:pPr>
        <w:pStyle w:val="BodyText"/>
        <w:spacing w:before="10"/>
        <w:ind w:left="2698"/>
      </w:pPr>
      <w:r>
        <w:rPr>
          <w:spacing w:val="-3"/>
        </w:rPr>
        <w:t>在本合同保险期间内，我们承担下列保险责任：</w:t>
      </w:r>
    </w:p>
    <w:p>
      <w:pPr>
        <w:pStyle w:val="BodyText"/>
        <w:rPr>
          <w:sz w:val="19"/>
        </w:rPr>
      </w:pPr>
    </w:p>
    <w:p>
      <w:pPr>
        <w:tabs>
          <w:tab w:pos="2697" w:val="left" w:leader="none"/>
        </w:tabs>
        <w:spacing w:line="194" w:lineRule="auto" w:before="1"/>
        <w:ind w:left="2698" w:right="672" w:hanging="1618"/>
        <w:jc w:val="left"/>
        <w:rPr>
          <w:rFonts w:ascii="微软雅黑" w:hAnsi="微软雅黑" w:eastAsia="微软雅黑"/>
          <w:b/>
          <w:sz w:val="21"/>
        </w:rPr>
      </w:pPr>
      <w:r>
        <w:rPr>
          <w:rFonts w:ascii="微软雅黑" w:hAnsi="微软雅黑" w:eastAsia="微软雅黑"/>
          <w:b/>
          <w:spacing w:val="-2"/>
          <w:sz w:val="21"/>
        </w:rPr>
        <w:t>基</w:t>
      </w:r>
      <w:r>
        <w:rPr>
          <w:rFonts w:ascii="微软雅黑" w:hAnsi="微软雅黑" w:eastAsia="微软雅黑"/>
          <w:b/>
          <w:spacing w:val="-2"/>
          <w:sz w:val="21"/>
        </w:rPr>
        <w:t>本</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责</w:t>
      </w:r>
      <w:r>
        <w:rPr>
          <w:rFonts w:ascii="微软雅黑" w:hAnsi="微软雅黑" w:eastAsia="微软雅黑"/>
          <w:b/>
          <w:spacing w:val="-2"/>
          <w:sz w:val="21"/>
        </w:rPr>
        <w:t>任</w:t>
      </w:r>
      <w:r>
        <w:rPr>
          <w:rFonts w:ascii="微软雅黑" w:hAnsi="微软雅黑" w:eastAsia="微软雅黑"/>
          <w:b/>
          <w:sz w:val="21"/>
        </w:rPr>
        <w:tab/>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基</w:t>
      </w:r>
      <w:r>
        <w:rPr>
          <w:rFonts w:ascii="微软雅黑" w:hAnsi="微软雅黑" w:eastAsia="微软雅黑"/>
          <w:b/>
          <w:spacing w:val="-2"/>
          <w:sz w:val="21"/>
        </w:rPr>
        <w:t>本</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责</w:t>
      </w:r>
      <w:r>
        <w:rPr>
          <w:rFonts w:ascii="微软雅黑" w:hAnsi="微软雅黑" w:eastAsia="微软雅黑"/>
          <w:b/>
          <w:spacing w:val="-2"/>
          <w:sz w:val="21"/>
        </w:rPr>
        <w:t>任包括“</w:t>
      </w:r>
      <w:r>
        <w:rPr>
          <w:rFonts w:ascii="微软雅黑" w:hAnsi="微软雅黑" w:eastAsia="微软雅黑"/>
          <w:b/>
          <w:spacing w:val="-2"/>
          <w:sz w:val="21"/>
        </w:rPr>
        <w:t>轻</w:t>
      </w:r>
      <w:r>
        <w:rPr>
          <w:rFonts w:ascii="微软雅黑" w:hAnsi="微软雅黑" w:eastAsia="微软雅黑"/>
          <w:b/>
          <w:spacing w:val="-2"/>
          <w:sz w:val="21"/>
        </w:rPr>
        <w:t>症</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w:t>
      </w:r>
      <w:r>
        <w:rPr>
          <w:rFonts w:ascii="微软雅黑" w:hAnsi="微软雅黑" w:eastAsia="微软雅黑"/>
          <w:b/>
          <w:spacing w:val="-2"/>
          <w:sz w:val="21"/>
        </w:rPr>
        <w:t>中</w:t>
      </w:r>
      <w:r>
        <w:rPr>
          <w:rFonts w:ascii="微软雅黑" w:hAnsi="微软雅黑" w:eastAsia="微软雅黑"/>
          <w:b/>
          <w:spacing w:val="-2"/>
          <w:sz w:val="21"/>
        </w:rPr>
        <w:t>症</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”、“重大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w:t>
      </w:r>
      <w:r>
        <w:rPr>
          <w:rFonts w:ascii="微软雅黑" w:hAnsi="微软雅黑" w:eastAsia="微软雅黑"/>
          <w:b/>
          <w:spacing w:val="-2"/>
          <w:sz w:val="21"/>
        </w:rPr>
        <w:t>、</w:t>
      </w:r>
      <w:r>
        <w:rPr>
          <w:rFonts w:ascii="微软雅黑" w:hAnsi="微软雅黑" w:eastAsia="微软雅黑"/>
          <w:b/>
          <w:spacing w:val="-2"/>
          <w:sz w:val="21"/>
        </w:rPr>
        <w:t>和</w:t>
      </w:r>
      <w:r>
        <w:rPr>
          <w:rFonts w:ascii="微软雅黑" w:hAnsi="微软雅黑" w:eastAsia="微软雅黑"/>
          <w:b/>
          <w:spacing w:val="-2"/>
          <w:sz w:val="21"/>
        </w:rPr>
        <w:t>“被保险</w:t>
      </w:r>
      <w:r>
        <w:rPr>
          <w:rFonts w:ascii="微软雅黑" w:hAnsi="微软雅黑" w:eastAsia="微软雅黑"/>
          <w:b/>
          <w:spacing w:val="-2"/>
          <w:sz w:val="21"/>
        </w:rPr>
        <w:t>人</w:t>
      </w:r>
      <w:r>
        <w:rPr>
          <w:rFonts w:ascii="微软雅黑" w:hAnsi="微软雅黑" w:eastAsia="微软雅黑"/>
          <w:b/>
          <w:spacing w:val="-2"/>
          <w:sz w:val="21"/>
        </w:rPr>
        <w:t>轻</w:t>
      </w:r>
      <w:r>
        <w:rPr>
          <w:rFonts w:ascii="微软雅黑" w:hAnsi="微软雅黑" w:eastAsia="微软雅黑"/>
          <w:b/>
          <w:spacing w:val="-2"/>
          <w:sz w:val="21"/>
        </w:rPr>
        <w:t>症</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或</w:t>
      </w:r>
      <w:r>
        <w:rPr>
          <w:rFonts w:ascii="微软雅黑" w:hAnsi="微软雅黑" w:eastAsia="微软雅黑"/>
          <w:b/>
          <w:spacing w:val="-2"/>
          <w:sz w:val="21"/>
        </w:rPr>
        <w:t>中</w:t>
      </w:r>
      <w:r>
        <w:rPr>
          <w:rFonts w:ascii="微软雅黑" w:hAnsi="微软雅黑" w:eastAsia="微软雅黑"/>
          <w:b/>
          <w:spacing w:val="-2"/>
          <w:sz w:val="21"/>
        </w:rPr>
        <w:t>症</w:t>
      </w:r>
      <w:r>
        <w:rPr>
          <w:rFonts w:ascii="微软雅黑" w:hAnsi="微软雅黑" w:eastAsia="微软雅黑"/>
          <w:b/>
          <w:spacing w:val="-2"/>
          <w:sz w:val="21"/>
        </w:rPr>
        <w:t>疾病豁</w:t>
      </w:r>
      <w:r>
        <w:rPr>
          <w:rFonts w:ascii="微软雅黑" w:hAnsi="微软雅黑" w:eastAsia="微软雅黑"/>
          <w:b/>
          <w:spacing w:val="-2"/>
          <w:sz w:val="21"/>
        </w:rPr>
        <w:t>免</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费</w:t>
      </w:r>
      <w:r>
        <w:rPr>
          <w:rFonts w:ascii="微软雅黑" w:hAnsi="微软雅黑" w:eastAsia="微软雅黑"/>
          <w:b/>
          <w:spacing w:val="-2"/>
          <w:sz w:val="21"/>
        </w:rPr>
        <w:t>”</w:t>
      </w:r>
      <w:r>
        <w:rPr>
          <w:rFonts w:ascii="微软雅黑" w:hAnsi="微软雅黑" w:eastAsia="微软雅黑"/>
          <w:b/>
          <w:spacing w:val="-2"/>
          <w:sz w:val="21"/>
        </w:rPr>
        <w:t>四</w:t>
      </w:r>
      <w:r>
        <w:rPr>
          <w:rFonts w:ascii="微软雅黑" w:hAnsi="微软雅黑" w:eastAsia="微软雅黑"/>
          <w:b/>
          <w:spacing w:val="-2"/>
          <w:sz w:val="21"/>
        </w:rPr>
        <w:t>项。</w:t>
      </w:r>
    </w:p>
    <w:p>
      <w:pPr>
        <w:pStyle w:val="BodyText"/>
        <w:spacing w:before="8"/>
        <w:rPr>
          <w:rFonts w:ascii="微软雅黑"/>
          <w:b/>
          <w:sz w:val="8"/>
        </w:rPr>
      </w:pPr>
    </w:p>
    <w:p>
      <w:pPr>
        <w:spacing w:after="0"/>
        <w:rPr>
          <w:rFonts w:ascii="微软雅黑"/>
          <w:sz w:val="8"/>
        </w:rPr>
        <w:sectPr>
          <w:pgSz w:w="11910" w:h="16840"/>
          <w:pgMar w:header="0" w:footer="406" w:top="1060" w:bottom="600" w:left="900" w:right="340"/>
        </w:sectPr>
      </w:pPr>
    </w:p>
    <w:p>
      <w:pPr>
        <w:pStyle w:val="ListParagraph"/>
        <w:numPr>
          <w:ilvl w:val="2"/>
          <w:numId w:val="4"/>
        </w:numPr>
        <w:tabs>
          <w:tab w:pos="852" w:val="left" w:leader="none"/>
          <w:tab w:pos="853" w:val="left" w:leader="none"/>
        </w:tabs>
        <w:spacing w:line="350" w:lineRule="exact" w:before="4" w:after="0"/>
        <w:ind w:left="852" w:right="75" w:hanging="853"/>
        <w:jc w:val="right"/>
        <w:rPr>
          <w:rFonts w:ascii="微软雅黑" w:eastAsia="微软雅黑"/>
          <w:b/>
          <w:sz w:val="21"/>
        </w:rPr>
      </w:pPr>
      <w:r>
        <w:rPr>
          <w:rFonts w:ascii="微软雅黑" w:eastAsia="微软雅黑"/>
          <w:b/>
          <w:spacing w:val="20"/>
          <w:sz w:val="21"/>
        </w:rPr>
        <w:t>轻症疾病保险</w:t>
      </w:r>
    </w:p>
    <w:p>
      <w:pPr>
        <w:spacing w:line="350" w:lineRule="exact" w:before="0"/>
        <w:ind w:left="0" w:right="0" w:firstLine="0"/>
        <w:jc w:val="right"/>
        <w:rPr>
          <w:rFonts w:ascii="微软雅黑" w:eastAsia="微软雅黑"/>
          <w:b/>
          <w:sz w:val="21"/>
        </w:rPr>
      </w:pPr>
      <w:r>
        <w:rPr>
          <w:rFonts w:ascii="微软雅黑" w:eastAsia="微软雅黑"/>
          <w:b/>
          <w:sz w:val="21"/>
        </w:rPr>
        <w:t>金（基本责任</w:t>
      </w:r>
      <w:r>
        <w:rPr>
          <w:rFonts w:ascii="微软雅黑" w:eastAsia="微软雅黑"/>
          <w:b/>
          <w:spacing w:val="-10"/>
          <w:sz w:val="21"/>
        </w:rPr>
        <w:t>）</w:t>
      </w:r>
    </w:p>
    <w:p>
      <w:pPr>
        <w:spacing w:line="199" w:lineRule="auto" w:before="107"/>
        <w:ind w:left="99" w:right="668" w:firstLine="0"/>
        <w:jc w:val="both"/>
        <w:rPr>
          <w:sz w:val="21"/>
        </w:rPr>
      </w:pPr>
      <w:r>
        <w:rPr/>
        <w:br w:type="column"/>
      </w:r>
      <w:r>
        <w:rPr>
          <w:spacing w:val="1"/>
          <w:w w:val="100"/>
          <w:sz w:val="21"/>
        </w:rPr>
        <w:t>被保险人因意外伤害或于等待期后因意外伤害以外的原因导致初次患本合同所</w:t>
      </w:r>
      <w:r>
        <w:rPr>
          <w:spacing w:val="-3"/>
          <w:w w:val="100"/>
          <w:sz w:val="21"/>
        </w:rPr>
        <w:t>定义的轻症疾病</w:t>
      </w:r>
      <w:r>
        <w:rPr>
          <w:w w:val="100"/>
          <w:sz w:val="21"/>
        </w:rPr>
        <w:t>（</w:t>
      </w:r>
      <w:r>
        <w:rPr>
          <w:spacing w:val="-3"/>
          <w:w w:val="100"/>
          <w:sz w:val="21"/>
        </w:rPr>
        <w:t>无论一种或多种）</w:t>
      </w:r>
      <w:r>
        <w:rPr>
          <w:spacing w:val="-2"/>
          <w:w w:val="100"/>
          <w:sz w:val="21"/>
        </w:rPr>
        <w:t>并在</w:t>
      </w:r>
      <w:r>
        <w:rPr>
          <w:rFonts w:ascii="微软雅黑" w:eastAsia="微软雅黑"/>
          <w:b/>
          <w:spacing w:val="-1"/>
          <w:w w:val="100"/>
          <w:sz w:val="21"/>
        </w:rPr>
        <w:t>本公司认可的医疗机构</w:t>
      </w:r>
      <w:r>
        <w:rPr>
          <w:rFonts w:ascii="微软雅黑" w:eastAsia="微软雅黑"/>
          <w:b/>
          <w:spacing w:val="29"/>
          <w:sz w:val="21"/>
        </w:rPr>
        <w:t> </w:t>
      </w:r>
      <w:r>
        <w:rPr>
          <w:w w:val="100"/>
          <w:position w:val="11"/>
          <w:sz w:val="11"/>
        </w:rPr>
        <w:t>11.9</w:t>
      </w:r>
      <w:r>
        <w:rPr>
          <w:spacing w:val="-15"/>
          <w:position w:val="11"/>
          <w:sz w:val="11"/>
        </w:rPr>
        <w:t> </w:t>
      </w:r>
      <w:r>
        <w:rPr>
          <w:spacing w:val="-3"/>
          <w:w w:val="100"/>
          <w:sz w:val="21"/>
        </w:rPr>
        <w:t>内被</w:t>
      </w:r>
      <w:r>
        <w:rPr>
          <w:rFonts w:ascii="微软雅黑" w:eastAsia="微软雅黑"/>
          <w:b/>
          <w:w w:val="100"/>
          <w:sz w:val="21"/>
        </w:rPr>
        <w:t>专科医生</w:t>
      </w:r>
      <w:r>
        <w:rPr>
          <w:rFonts w:ascii="微软雅黑" w:eastAsia="微软雅黑"/>
          <w:b/>
          <w:spacing w:val="19"/>
          <w:sz w:val="21"/>
        </w:rPr>
        <w:t> </w:t>
      </w:r>
      <w:r>
        <w:rPr>
          <w:w w:val="100"/>
          <w:position w:val="11"/>
          <w:sz w:val="11"/>
        </w:rPr>
        <w:t>11.10</w:t>
      </w:r>
      <w:r>
        <w:rPr>
          <w:spacing w:val="-27"/>
          <w:position w:val="11"/>
          <w:sz w:val="11"/>
        </w:rPr>
        <w:t> </w:t>
      </w:r>
      <w:r>
        <w:rPr>
          <w:spacing w:val="-3"/>
          <w:w w:val="100"/>
          <w:sz w:val="21"/>
        </w:rPr>
        <w:t>初次确诊，我们按本合同基本保险金额的</w:t>
      </w:r>
      <w:r>
        <w:rPr>
          <w:spacing w:val="-29"/>
          <w:sz w:val="21"/>
        </w:rPr>
        <w:t> </w:t>
      </w:r>
      <w:r>
        <w:rPr>
          <w:w w:val="100"/>
          <w:sz w:val="21"/>
        </w:rPr>
        <w:t>3</w:t>
      </w:r>
      <w:r>
        <w:rPr>
          <w:spacing w:val="-3"/>
          <w:w w:val="100"/>
          <w:sz w:val="21"/>
        </w:rPr>
        <w:t>0%给付轻症疾病保险金。</w:t>
      </w:r>
      <w:r>
        <w:rPr>
          <w:rFonts w:ascii="微软雅黑" w:eastAsia="微软雅黑"/>
          <w:b/>
          <w:w w:val="100"/>
          <w:sz w:val="21"/>
        </w:rPr>
        <w:t>除本</w:t>
      </w:r>
      <w:r>
        <w:rPr>
          <w:rFonts w:ascii="微软雅黑" w:eastAsia="微软雅黑"/>
          <w:b/>
          <w:spacing w:val="-9"/>
          <w:w w:val="100"/>
          <w:sz w:val="21"/>
        </w:rPr>
        <w:t>合同另有约定外，该一种或多种轻症疾病的保险责任终止，其余轻症疾病的保险</w:t>
      </w:r>
      <w:r>
        <w:rPr>
          <w:rFonts w:ascii="微软雅黑" w:eastAsia="微软雅黑"/>
          <w:b/>
          <w:w w:val="100"/>
          <w:sz w:val="21"/>
        </w:rPr>
        <w:t>责任继续有效</w:t>
      </w:r>
      <w:r>
        <w:rPr>
          <w:w w:val="100"/>
          <w:sz w:val="21"/>
        </w:rPr>
        <w:t>。</w:t>
      </w:r>
    </w:p>
    <w:p>
      <w:pPr>
        <w:spacing w:before="43"/>
        <w:ind w:left="99" w:right="0" w:firstLine="0"/>
        <w:jc w:val="left"/>
        <w:rPr>
          <w:rFonts w:ascii="微软雅黑" w:eastAsia="微软雅黑"/>
          <w:b/>
          <w:sz w:val="21"/>
        </w:rPr>
      </w:pPr>
      <w:r>
        <w:rPr>
          <w:rFonts w:ascii="微软雅黑" w:eastAsia="微软雅黑"/>
          <w:b/>
          <w:spacing w:val="-3"/>
          <w:sz w:val="21"/>
        </w:rPr>
        <w:t>本合同轻症疾病保险金的累计给付次数以四次为限。</w:t>
      </w:r>
    </w:p>
    <w:p>
      <w:pPr>
        <w:spacing w:line="194" w:lineRule="auto" w:before="69"/>
        <w:ind w:left="99" w:right="670" w:firstLine="0"/>
        <w:jc w:val="left"/>
        <w:rPr>
          <w:rFonts w:ascii="微软雅黑" w:eastAsia="微软雅黑"/>
          <w:b/>
          <w:sz w:val="21"/>
        </w:rPr>
      </w:pPr>
      <w:r>
        <w:rPr>
          <w:rFonts w:ascii="微软雅黑" w:eastAsia="微软雅黑"/>
          <w:b/>
          <w:spacing w:val="-9"/>
          <w:w w:val="100"/>
          <w:sz w:val="21"/>
        </w:rPr>
        <w:t>被保险人因同一疾病原因、同次医疗行为或同次意外伤害事故，初次患本合同所</w:t>
      </w:r>
      <w:r>
        <w:rPr>
          <w:rFonts w:ascii="微软雅黑" w:eastAsia="微软雅黑"/>
          <w:b/>
          <w:spacing w:val="-3"/>
          <w:w w:val="100"/>
          <w:sz w:val="21"/>
        </w:rPr>
        <w:t>定义的两种或者两种以上的轻症疾病并在本公司认可的医疗机构内被专科医生初次确诊，我们仅按一种轻症疾病给付轻症疾病保险金。</w:t>
      </w:r>
    </w:p>
    <w:p>
      <w:pPr>
        <w:spacing w:line="194" w:lineRule="auto" w:before="89"/>
        <w:ind w:left="99" w:right="669" w:firstLine="0"/>
        <w:jc w:val="both"/>
        <w:rPr>
          <w:rFonts w:ascii="微软雅黑" w:hAnsi="微软雅黑" w:eastAsia="微软雅黑"/>
          <w:b/>
          <w:sz w:val="21"/>
        </w:rPr>
      </w:pPr>
      <w:r>
        <w:rPr>
          <w:rFonts w:ascii="微软雅黑" w:hAnsi="微软雅黑" w:eastAsia="微软雅黑"/>
          <w:b/>
          <w:spacing w:val="-2"/>
          <w:sz w:val="21"/>
        </w:rPr>
        <w:t>若被保险人在申请理赔时同时符合“轻症疾病保险金”和“中症疾病保险金”保</w:t>
      </w:r>
      <w:r>
        <w:rPr>
          <w:rFonts w:ascii="微软雅黑" w:hAnsi="微软雅黑" w:eastAsia="微软雅黑"/>
          <w:b/>
          <w:spacing w:val="-2"/>
          <w:sz w:val="21"/>
        </w:rPr>
        <w:t>险责任，则我们仅承担“中症疾病保险金”的给付责任；若被保险人在申请理赔</w:t>
      </w:r>
      <w:r>
        <w:rPr>
          <w:rFonts w:ascii="微软雅黑" w:hAnsi="微软雅黑" w:eastAsia="微软雅黑"/>
          <w:b/>
          <w:spacing w:val="-2"/>
          <w:sz w:val="21"/>
        </w:rPr>
        <w:t>时同时符合“轻症疾病保险金”和“重大疾病保险金”保险责任，则我们仅承担</w:t>
      </w:r>
      <w:r>
        <w:rPr>
          <w:rFonts w:ascii="微软雅黑" w:hAnsi="微软雅黑" w:eastAsia="微软雅黑"/>
          <w:b/>
          <w:spacing w:val="-2"/>
          <w:sz w:val="21"/>
        </w:rPr>
        <w:t> “重大疾病保险金”的给付责任；若被保险人在申请理赔时同时符合“轻症疾病</w:t>
      </w:r>
      <w:r>
        <w:rPr>
          <w:rFonts w:ascii="微软雅黑" w:hAnsi="微软雅黑" w:eastAsia="微软雅黑"/>
          <w:b/>
          <w:spacing w:val="-2"/>
          <w:sz w:val="21"/>
        </w:rPr>
        <w:t>保险金”、“中症疾病保险金”和“重大疾病保险金”保险责任，则我们仅承担</w:t>
      </w:r>
      <w:r>
        <w:rPr>
          <w:rFonts w:ascii="微软雅黑" w:hAnsi="微软雅黑" w:eastAsia="微软雅黑"/>
          <w:b/>
          <w:spacing w:val="-2"/>
          <w:sz w:val="21"/>
        </w:rPr>
        <w:t> “重大疾病保险金”的给付责任。</w:t>
      </w:r>
    </w:p>
    <w:p>
      <w:pPr>
        <w:spacing w:after="0" w:line="194" w:lineRule="auto"/>
        <w:jc w:val="both"/>
        <w:rPr>
          <w:rFonts w:ascii="微软雅黑" w:hAnsi="微软雅黑" w:eastAsia="微软雅黑"/>
          <w:sz w:val="21"/>
        </w:rPr>
        <w:sectPr>
          <w:type w:val="continuous"/>
          <w:pgSz w:w="11910" w:h="16840"/>
          <w:pgMar w:header="0" w:footer="406" w:top="600" w:bottom="280" w:left="900" w:right="340"/>
          <w:cols w:num="2" w:equalWidth="0">
            <w:col w:w="2559" w:space="40"/>
            <w:col w:w="8071"/>
          </w:cols>
        </w:sectPr>
      </w:pPr>
    </w:p>
    <w:p>
      <w:pPr>
        <w:pStyle w:val="BodyText"/>
        <w:spacing w:before="8"/>
        <w:rPr>
          <w:rFonts w:ascii="微软雅黑"/>
          <w:b/>
          <w:sz w:val="18"/>
        </w:rPr>
      </w:pPr>
    </w:p>
    <w:p>
      <w:pPr>
        <w:spacing w:after="0"/>
        <w:rPr>
          <w:rFonts w:ascii="微软雅黑"/>
          <w:sz w:val="18"/>
        </w:rPr>
        <w:sectPr>
          <w:type w:val="continuous"/>
          <w:pgSz w:w="11910" w:h="16840"/>
          <w:pgMar w:header="0" w:footer="406" w:top="600" w:bottom="280" w:left="900" w:right="340"/>
        </w:sectPr>
      </w:pPr>
    </w:p>
    <w:p>
      <w:pPr>
        <w:spacing w:line="194" w:lineRule="auto" w:before="57"/>
        <w:ind w:left="1080" w:right="0" w:firstLine="0"/>
        <w:jc w:val="left"/>
        <w:rPr>
          <w:rFonts w:ascii="微软雅黑" w:eastAsia="微软雅黑"/>
          <w:b/>
          <w:sz w:val="21"/>
        </w:rPr>
      </w:pPr>
      <w:r>
        <w:rPr>
          <w:rFonts w:ascii="微软雅黑" w:eastAsia="微软雅黑"/>
          <w:b/>
          <w:spacing w:val="20"/>
          <w:sz w:val="21"/>
        </w:rPr>
        <w:t>轻症疾病额外</w:t>
      </w:r>
      <w:r>
        <w:rPr>
          <w:rFonts w:ascii="微软雅黑" w:eastAsia="微软雅黑"/>
          <w:b/>
          <w:spacing w:val="-4"/>
          <w:sz w:val="21"/>
        </w:rPr>
        <w:t>保险金</w:t>
      </w:r>
    </w:p>
    <w:p>
      <w:pPr>
        <w:pStyle w:val="BodyText"/>
        <w:spacing w:line="312" w:lineRule="exact" w:before="32"/>
        <w:ind w:left="177" w:right="666"/>
        <w:jc w:val="both"/>
      </w:pPr>
      <w:r>
        <w:rPr/>
        <w:br w:type="column"/>
      </w:r>
      <w:r>
        <w:rPr>
          <w:spacing w:val="1"/>
          <w:w w:val="100"/>
        </w:rPr>
        <w:t>被保险人因意外伤害或于等待期后因意外伤害以外的原因导致初次患本合同所</w:t>
      </w:r>
      <w:r>
        <w:rPr>
          <w:spacing w:val="-7"/>
          <w:w w:val="100"/>
        </w:rPr>
        <w:t>定义的轻症疾病</w:t>
      </w:r>
      <w:r>
        <w:rPr>
          <w:w w:val="100"/>
        </w:rPr>
        <w:t>（</w:t>
      </w:r>
      <w:r>
        <w:rPr>
          <w:spacing w:val="-3"/>
          <w:w w:val="100"/>
        </w:rPr>
        <w:t>无论一种或多种</w:t>
      </w:r>
      <w:r>
        <w:rPr>
          <w:spacing w:val="-32"/>
          <w:w w:val="100"/>
        </w:rPr>
        <w:t>）</w:t>
      </w:r>
      <w:r>
        <w:rPr>
          <w:spacing w:val="-3"/>
          <w:w w:val="100"/>
        </w:rPr>
        <w:t>并在本公司认可的医疗机构内被专科医生初</w:t>
      </w:r>
      <w:r>
        <w:rPr>
          <w:spacing w:val="-8"/>
          <w:w w:val="100"/>
        </w:rPr>
        <w:t>次确诊，且轻症疾病初次确诊日在被保险人年满六十周岁的保单周年日前</w:t>
      </w:r>
      <w:r>
        <w:rPr>
          <w:spacing w:val="-3"/>
          <w:w w:val="100"/>
        </w:rPr>
        <w:t>（</w:t>
      </w:r>
      <w:r>
        <w:rPr>
          <w:w w:val="100"/>
        </w:rPr>
        <w:t>不含</w:t>
      </w:r>
      <w:r>
        <w:rPr>
          <w:spacing w:val="-3"/>
          <w:w w:val="100"/>
        </w:rPr>
        <w:t>六十周岁对应的保单周年日</w:t>
      </w:r>
      <w:r>
        <w:rPr>
          <w:spacing w:val="-20"/>
          <w:w w:val="100"/>
        </w:rPr>
        <w:t>）</w:t>
      </w:r>
      <w:r>
        <w:rPr>
          <w:spacing w:val="-7"/>
          <w:w w:val="100"/>
        </w:rPr>
        <w:t>的，我们在给付轻症疾病保险金的基础上，额外按</w:t>
      </w:r>
      <w:r>
        <w:rPr>
          <w:spacing w:val="-5"/>
          <w:w w:val="100"/>
        </w:rPr>
        <w:t>本合同基本保险金额的</w:t>
      </w:r>
      <w:r>
        <w:rPr>
          <w:spacing w:val="-52"/>
        </w:rPr>
        <w:t> </w:t>
      </w:r>
      <w:r>
        <w:rPr>
          <w:spacing w:val="-3"/>
          <w:w w:val="100"/>
        </w:rPr>
        <w:t>10%给付轻症疾病额外保险金，</w:t>
      </w:r>
      <w:r>
        <w:rPr>
          <w:rFonts w:ascii="微软雅黑" w:eastAsia="微软雅黑"/>
          <w:b/>
          <w:w w:val="100"/>
        </w:rPr>
        <w:t>本项保险责任终止</w:t>
      </w:r>
      <w:r>
        <w:rPr>
          <w:w w:val="100"/>
        </w:rPr>
        <w:t>。</w:t>
      </w:r>
    </w:p>
    <w:p>
      <w:pPr>
        <w:spacing w:before="66"/>
        <w:ind w:left="177" w:right="0" w:firstLine="0"/>
        <w:jc w:val="left"/>
        <w:rPr>
          <w:rFonts w:ascii="微软雅黑" w:eastAsia="微软雅黑"/>
          <w:b/>
          <w:sz w:val="21"/>
        </w:rPr>
      </w:pPr>
      <w:r>
        <w:rPr>
          <w:rFonts w:ascii="微软雅黑" w:eastAsia="微软雅黑"/>
          <w:b/>
          <w:spacing w:val="-3"/>
          <w:sz w:val="21"/>
        </w:rPr>
        <w:t>本合同轻症疾病额外保险金的给付次数以一次为限。</w:t>
      </w:r>
    </w:p>
    <w:p>
      <w:pPr>
        <w:spacing w:after="0"/>
        <w:jc w:val="left"/>
        <w:rPr>
          <w:rFonts w:ascii="微软雅黑" w:eastAsia="微软雅黑"/>
          <w:sz w:val="21"/>
        </w:rPr>
        <w:sectPr>
          <w:type w:val="continuous"/>
          <w:pgSz w:w="11910" w:h="16840"/>
          <w:pgMar w:header="0" w:footer="406" w:top="600" w:bottom="280" w:left="900" w:right="340"/>
          <w:cols w:num="2" w:equalWidth="0">
            <w:col w:w="2481" w:space="40"/>
            <w:col w:w="8149"/>
          </w:cols>
        </w:sectPr>
      </w:pPr>
    </w:p>
    <w:p>
      <w:pPr>
        <w:pStyle w:val="BodyText"/>
        <w:spacing w:before="10"/>
        <w:rPr>
          <w:rFonts w:ascii="微软雅黑"/>
          <w:b/>
          <w:sz w:val="17"/>
        </w:rPr>
      </w:pPr>
    </w:p>
    <w:p>
      <w:pPr>
        <w:spacing w:after="0"/>
        <w:rPr>
          <w:rFonts w:ascii="微软雅黑"/>
          <w:sz w:val="17"/>
        </w:rPr>
        <w:sectPr>
          <w:type w:val="continuous"/>
          <w:pgSz w:w="11910" w:h="16840"/>
          <w:pgMar w:header="0" w:footer="406" w:top="600" w:bottom="280" w:left="900" w:right="340"/>
        </w:sectPr>
      </w:pPr>
    </w:p>
    <w:p>
      <w:pPr>
        <w:pStyle w:val="ListParagraph"/>
        <w:numPr>
          <w:ilvl w:val="2"/>
          <w:numId w:val="4"/>
        </w:numPr>
        <w:tabs>
          <w:tab w:pos="852" w:val="left" w:leader="none"/>
          <w:tab w:pos="853" w:val="left" w:leader="none"/>
        </w:tabs>
        <w:spacing w:line="350" w:lineRule="exact" w:before="5" w:after="0"/>
        <w:ind w:left="852" w:right="75" w:hanging="853"/>
        <w:jc w:val="right"/>
        <w:rPr>
          <w:rFonts w:ascii="微软雅黑" w:eastAsia="微软雅黑"/>
          <w:b/>
          <w:sz w:val="21"/>
        </w:rPr>
      </w:pPr>
      <w:r>
        <w:rPr>
          <w:rFonts w:ascii="微软雅黑" w:eastAsia="微软雅黑"/>
          <w:b/>
          <w:spacing w:val="20"/>
          <w:sz w:val="21"/>
        </w:rPr>
        <w:t>中症疾病保险</w:t>
      </w:r>
    </w:p>
    <w:p>
      <w:pPr>
        <w:spacing w:line="350" w:lineRule="exact" w:before="0"/>
        <w:ind w:left="0" w:right="0" w:firstLine="0"/>
        <w:jc w:val="right"/>
        <w:rPr>
          <w:rFonts w:ascii="微软雅黑" w:eastAsia="微软雅黑"/>
          <w:b/>
          <w:sz w:val="21"/>
        </w:rPr>
      </w:pPr>
      <w:r>
        <w:rPr>
          <w:rFonts w:ascii="微软雅黑" w:eastAsia="微软雅黑"/>
          <w:b/>
          <w:spacing w:val="-2"/>
          <w:sz w:val="21"/>
        </w:rPr>
        <w:t>金（基本责任</w:t>
      </w:r>
      <w:r>
        <w:rPr>
          <w:rFonts w:ascii="微软雅黑" w:eastAsia="微软雅黑"/>
          <w:b/>
          <w:spacing w:val="-12"/>
          <w:sz w:val="21"/>
        </w:rPr>
        <w:t>）</w:t>
      </w:r>
    </w:p>
    <w:p>
      <w:pPr>
        <w:pStyle w:val="BodyText"/>
        <w:spacing w:before="72"/>
        <w:ind w:left="99"/>
      </w:pPr>
      <w:r>
        <w:rPr/>
        <w:br w:type="column"/>
      </w:r>
      <w:r>
        <w:rPr>
          <w:spacing w:val="-1"/>
        </w:rPr>
        <w:t>被保险人因意外伤害或于等待期后因意外伤害以外的原因导致初次患本合同所</w:t>
      </w:r>
    </w:p>
    <w:p>
      <w:pPr>
        <w:spacing w:line="201" w:lineRule="auto" w:before="77"/>
        <w:ind w:left="99" w:right="666" w:firstLine="0"/>
        <w:jc w:val="both"/>
        <w:rPr>
          <w:rFonts w:ascii="微软雅黑" w:eastAsia="微软雅黑"/>
          <w:b/>
          <w:sz w:val="21"/>
        </w:rPr>
      </w:pPr>
      <w:r>
        <w:rPr>
          <w:spacing w:val="-2"/>
          <w:sz w:val="21"/>
        </w:rPr>
        <w:t>定义的中症疾病（无论一种或多种）并在本公司认可的医疗机构内被专科医生初</w:t>
      </w:r>
      <w:r>
        <w:rPr>
          <w:spacing w:val="-3"/>
          <w:sz w:val="21"/>
        </w:rPr>
        <w:t>次确诊，我们按本合同基本保险金额的 </w:t>
      </w:r>
      <w:r>
        <w:rPr>
          <w:spacing w:val="-2"/>
          <w:sz w:val="21"/>
        </w:rPr>
        <w:t>60%给付中症疾病保险金。</w:t>
      </w:r>
      <w:r>
        <w:rPr>
          <w:rFonts w:ascii="微软雅黑" w:eastAsia="微软雅黑"/>
          <w:b/>
          <w:spacing w:val="-2"/>
          <w:sz w:val="21"/>
        </w:rPr>
        <w:t>除本合同另有</w:t>
      </w:r>
      <w:r>
        <w:rPr>
          <w:rFonts w:ascii="微软雅黑" w:eastAsia="微软雅黑"/>
          <w:b/>
          <w:spacing w:val="-2"/>
          <w:sz w:val="21"/>
        </w:rPr>
        <w:t>约定外，该一种或多种中症疾病的保险责任终止，其余中症疾病的保险责任继续</w:t>
      </w:r>
      <w:r>
        <w:rPr>
          <w:rFonts w:ascii="微软雅黑" w:eastAsia="微软雅黑"/>
          <w:b/>
          <w:spacing w:val="-4"/>
          <w:sz w:val="21"/>
        </w:rPr>
        <w:t>有效。</w:t>
      </w:r>
    </w:p>
    <w:p>
      <w:pPr>
        <w:spacing w:before="39"/>
        <w:ind w:left="99" w:right="0" w:firstLine="0"/>
        <w:jc w:val="left"/>
        <w:rPr>
          <w:rFonts w:ascii="微软雅黑" w:eastAsia="微软雅黑"/>
          <w:b/>
          <w:sz w:val="21"/>
        </w:rPr>
      </w:pPr>
      <w:r>
        <w:rPr>
          <w:rFonts w:ascii="微软雅黑" w:eastAsia="微软雅黑"/>
          <w:b/>
          <w:spacing w:val="-3"/>
          <w:sz w:val="21"/>
        </w:rPr>
        <w:t>本合同中症疾病保险金的累计给付次数以两次为限。</w:t>
      </w:r>
    </w:p>
    <w:p>
      <w:pPr>
        <w:spacing w:line="194" w:lineRule="auto" w:before="71"/>
        <w:ind w:left="99" w:right="670" w:firstLine="0"/>
        <w:jc w:val="left"/>
        <w:rPr>
          <w:rFonts w:ascii="微软雅黑" w:eastAsia="微软雅黑"/>
          <w:b/>
          <w:sz w:val="21"/>
        </w:rPr>
      </w:pPr>
      <w:r>
        <w:rPr>
          <w:rFonts w:ascii="微软雅黑" w:eastAsia="微软雅黑"/>
          <w:b/>
          <w:spacing w:val="-9"/>
          <w:w w:val="100"/>
          <w:sz w:val="21"/>
        </w:rPr>
        <w:t>被保险人因同一疾病原因、同次医疗行为或同次意外伤害事故，初次患本合同所</w:t>
      </w:r>
      <w:r>
        <w:rPr>
          <w:rFonts w:ascii="微软雅黑" w:eastAsia="微软雅黑"/>
          <w:b/>
          <w:spacing w:val="-3"/>
          <w:w w:val="100"/>
          <w:sz w:val="21"/>
        </w:rPr>
        <w:t>定义的两种或者两种以上的中症疾病并在本公司认可的医疗机构内被专科医生初次确诊，我们仅按一种中症疾病给付中症疾病保险金。</w:t>
      </w:r>
    </w:p>
    <w:p>
      <w:pPr>
        <w:spacing w:after="0" w:line="194" w:lineRule="auto"/>
        <w:jc w:val="left"/>
        <w:rPr>
          <w:rFonts w:ascii="微软雅黑" w:eastAsia="微软雅黑"/>
          <w:sz w:val="21"/>
        </w:rPr>
        <w:sectPr>
          <w:type w:val="continuous"/>
          <w:pgSz w:w="11910" w:h="16840"/>
          <w:pgMar w:header="0" w:footer="406" w:top="600" w:bottom="280" w:left="900" w:right="340"/>
          <w:cols w:num="2" w:equalWidth="0">
            <w:col w:w="2559" w:space="40"/>
            <w:col w:w="8071"/>
          </w:cols>
        </w:sectPr>
      </w:pPr>
    </w:p>
    <w:p>
      <w:pPr>
        <w:spacing w:line="194" w:lineRule="auto" w:before="42"/>
        <w:ind w:left="2698" w:right="668" w:firstLine="0"/>
        <w:jc w:val="left"/>
        <w:rPr>
          <w:rFonts w:ascii="微软雅黑" w:hAnsi="微软雅黑" w:eastAsia="微软雅黑"/>
          <w:b/>
          <w:sz w:val="21"/>
        </w:rPr>
      </w:pPr>
      <w:r>
        <w:rPr>
          <w:rFonts w:ascii="微软雅黑" w:hAnsi="微软雅黑" w:eastAsia="微软雅黑"/>
          <w:b/>
          <w:spacing w:val="-2"/>
          <w:sz w:val="21"/>
        </w:rPr>
        <w:t>若被保险人在申请理赔时同时符合“中症疾病保险金”和“重大疾病保险金”保</w:t>
      </w:r>
      <w:r>
        <w:rPr>
          <w:rFonts w:ascii="微软雅黑" w:hAnsi="微软雅黑" w:eastAsia="微软雅黑"/>
          <w:b/>
          <w:spacing w:val="-2"/>
          <w:sz w:val="21"/>
        </w:rPr>
        <w:t>险责任，则我们仅承担“重大疾病保险金”的给付责任。</w:t>
      </w:r>
    </w:p>
    <w:p>
      <w:pPr>
        <w:pStyle w:val="BodyText"/>
        <w:spacing w:before="14"/>
        <w:rPr>
          <w:rFonts w:ascii="微软雅黑"/>
          <w:b/>
          <w:sz w:val="18"/>
        </w:rPr>
      </w:pPr>
    </w:p>
    <w:p>
      <w:pPr>
        <w:spacing w:after="0"/>
        <w:rPr>
          <w:rFonts w:ascii="微软雅黑"/>
          <w:sz w:val="18"/>
        </w:rPr>
        <w:sectPr>
          <w:pgSz w:w="11910" w:h="16840"/>
          <w:pgMar w:header="0" w:footer="406" w:top="1080" w:bottom="600" w:left="900" w:right="340"/>
        </w:sectPr>
      </w:pPr>
    </w:p>
    <w:p>
      <w:pPr>
        <w:spacing w:line="194" w:lineRule="auto" w:before="58"/>
        <w:ind w:left="1080" w:right="0" w:firstLine="0"/>
        <w:jc w:val="left"/>
        <w:rPr>
          <w:rFonts w:ascii="微软雅黑" w:eastAsia="微软雅黑"/>
          <w:b/>
          <w:sz w:val="21"/>
        </w:rPr>
      </w:pPr>
      <w:r>
        <w:rPr>
          <w:rFonts w:ascii="微软雅黑" w:eastAsia="微软雅黑"/>
          <w:b/>
          <w:spacing w:val="20"/>
          <w:sz w:val="21"/>
        </w:rPr>
        <w:t>中症疾病额外</w:t>
      </w:r>
      <w:r>
        <w:rPr>
          <w:rFonts w:ascii="微软雅黑" w:eastAsia="微软雅黑"/>
          <w:b/>
          <w:spacing w:val="-4"/>
          <w:sz w:val="21"/>
        </w:rPr>
        <w:t>保险金</w:t>
      </w:r>
    </w:p>
    <w:p>
      <w:pPr>
        <w:pStyle w:val="BodyText"/>
        <w:spacing w:line="312" w:lineRule="exact" w:before="32"/>
        <w:ind w:left="177" w:right="666"/>
        <w:jc w:val="both"/>
      </w:pPr>
      <w:r>
        <w:rPr/>
        <w:br w:type="column"/>
      </w:r>
      <w:r>
        <w:rPr>
          <w:spacing w:val="1"/>
          <w:w w:val="100"/>
        </w:rPr>
        <w:t>被保险人因意外伤害或于等待期后因意外伤害以外的原因导致初次患本合同所</w:t>
      </w:r>
      <w:r>
        <w:rPr>
          <w:spacing w:val="-7"/>
          <w:w w:val="100"/>
        </w:rPr>
        <w:t>定义的中症疾病</w:t>
      </w:r>
      <w:r>
        <w:rPr>
          <w:w w:val="100"/>
        </w:rPr>
        <w:t>（</w:t>
      </w:r>
      <w:r>
        <w:rPr>
          <w:spacing w:val="-3"/>
          <w:w w:val="100"/>
        </w:rPr>
        <w:t>无论一种或多种</w:t>
      </w:r>
      <w:r>
        <w:rPr>
          <w:spacing w:val="-32"/>
          <w:w w:val="100"/>
        </w:rPr>
        <w:t>）</w:t>
      </w:r>
      <w:r>
        <w:rPr>
          <w:spacing w:val="-3"/>
          <w:w w:val="100"/>
        </w:rPr>
        <w:t>并在本公司认可的医疗机构内被专科医生初</w:t>
      </w:r>
      <w:r>
        <w:rPr>
          <w:spacing w:val="-8"/>
          <w:w w:val="100"/>
        </w:rPr>
        <w:t>次确诊，且中症疾病初次确诊日在被保险人年满六十周岁的保单周年日前</w:t>
      </w:r>
      <w:r>
        <w:rPr>
          <w:spacing w:val="-3"/>
          <w:w w:val="100"/>
        </w:rPr>
        <w:t>（</w:t>
      </w:r>
      <w:r>
        <w:rPr>
          <w:w w:val="100"/>
        </w:rPr>
        <w:t>不含</w:t>
      </w:r>
      <w:r>
        <w:rPr>
          <w:spacing w:val="-3"/>
          <w:w w:val="100"/>
        </w:rPr>
        <w:t>六十周岁对应的保单周年日</w:t>
      </w:r>
      <w:r>
        <w:rPr>
          <w:spacing w:val="-20"/>
          <w:w w:val="100"/>
        </w:rPr>
        <w:t>）</w:t>
      </w:r>
      <w:r>
        <w:rPr>
          <w:spacing w:val="-7"/>
          <w:w w:val="100"/>
        </w:rPr>
        <w:t>的，我们在给付中症疾病保险金的基础上，额外按</w:t>
      </w:r>
      <w:r>
        <w:rPr>
          <w:spacing w:val="-5"/>
          <w:w w:val="100"/>
        </w:rPr>
        <w:t>本合同基本保险金额的</w:t>
      </w:r>
      <w:r>
        <w:rPr>
          <w:spacing w:val="-52"/>
        </w:rPr>
        <w:t> </w:t>
      </w:r>
      <w:r>
        <w:rPr>
          <w:spacing w:val="-3"/>
          <w:w w:val="100"/>
        </w:rPr>
        <w:t>15%给付中症疾病额外保险金，</w:t>
      </w:r>
      <w:r>
        <w:rPr>
          <w:rFonts w:ascii="微软雅黑" w:eastAsia="微软雅黑"/>
          <w:b/>
          <w:w w:val="100"/>
        </w:rPr>
        <w:t>本项保险责任终止</w:t>
      </w:r>
      <w:r>
        <w:rPr>
          <w:w w:val="100"/>
        </w:rPr>
        <w:t>。</w:t>
      </w:r>
    </w:p>
    <w:p>
      <w:pPr>
        <w:spacing w:before="66"/>
        <w:ind w:left="177" w:right="0" w:firstLine="0"/>
        <w:jc w:val="left"/>
        <w:rPr>
          <w:rFonts w:ascii="微软雅黑" w:eastAsia="微软雅黑"/>
          <w:b/>
          <w:sz w:val="21"/>
        </w:rPr>
      </w:pPr>
      <w:r>
        <w:rPr>
          <w:rFonts w:ascii="微软雅黑" w:eastAsia="微软雅黑"/>
          <w:b/>
          <w:spacing w:val="-3"/>
          <w:sz w:val="21"/>
        </w:rPr>
        <w:t>本合同中症疾病额外保险金的给付次数以一次为限。</w:t>
      </w:r>
    </w:p>
    <w:p>
      <w:pPr>
        <w:spacing w:after="0"/>
        <w:jc w:val="left"/>
        <w:rPr>
          <w:rFonts w:ascii="微软雅黑" w:eastAsia="微软雅黑"/>
          <w:sz w:val="21"/>
        </w:rPr>
        <w:sectPr>
          <w:type w:val="continuous"/>
          <w:pgSz w:w="11910" w:h="16840"/>
          <w:pgMar w:header="0" w:footer="406" w:top="600" w:bottom="280" w:left="900" w:right="340"/>
          <w:cols w:num="2" w:equalWidth="0">
            <w:col w:w="2481" w:space="40"/>
            <w:col w:w="8149"/>
          </w:cols>
        </w:sectPr>
      </w:pPr>
    </w:p>
    <w:p>
      <w:pPr>
        <w:pStyle w:val="BodyText"/>
        <w:spacing w:before="13"/>
        <w:rPr>
          <w:rFonts w:ascii="微软雅黑"/>
          <w:b/>
          <w:sz w:val="17"/>
        </w:rPr>
      </w:pPr>
    </w:p>
    <w:p>
      <w:pPr>
        <w:spacing w:after="0"/>
        <w:rPr>
          <w:rFonts w:ascii="微软雅黑"/>
          <w:sz w:val="17"/>
        </w:rPr>
        <w:sectPr>
          <w:type w:val="continuous"/>
          <w:pgSz w:w="11910" w:h="16840"/>
          <w:pgMar w:header="0" w:footer="406" w:top="600" w:bottom="280" w:left="900" w:right="340"/>
        </w:sectPr>
      </w:pPr>
    </w:p>
    <w:p>
      <w:pPr>
        <w:pStyle w:val="ListParagraph"/>
        <w:numPr>
          <w:ilvl w:val="2"/>
          <w:numId w:val="4"/>
        </w:numPr>
        <w:tabs>
          <w:tab w:pos="852" w:val="left" w:leader="none"/>
          <w:tab w:pos="853" w:val="left" w:leader="none"/>
        </w:tabs>
        <w:spacing w:line="350" w:lineRule="exact" w:before="5" w:after="0"/>
        <w:ind w:left="852" w:right="48" w:hanging="853"/>
        <w:jc w:val="right"/>
        <w:rPr>
          <w:rFonts w:ascii="微软雅黑" w:eastAsia="微软雅黑"/>
          <w:b/>
          <w:sz w:val="21"/>
        </w:rPr>
      </w:pPr>
      <w:r>
        <w:rPr>
          <w:rFonts w:ascii="微软雅黑" w:eastAsia="微软雅黑"/>
          <w:b/>
          <w:spacing w:val="24"/>
          <w:sz w:val="21"/>
        </w:rPr>
        <w:t>重大疾病保险</w:t>
      </w:r>
    </w:p>
    <w:p>
      <w:pPr>
        <w:spacing w:line="350" w:lineRule="exact" w:before="0"/>
        <w:ind w:left="0" w:right="0" w:firstLine="0"/>
        <w:jc w:val="right"/>
        <w:rPr>
          <w:rFonts w:ascii="微软雅黑" w:eastAsia="微软雅黑"/>
          <w:b/>
          <w:sz w:val="21"/>
        </w:rPr>
      </w:pPr>
      <w:r>
        <w:rPr>
          <w:rFonts w:ascii="微软雅黑" w:eastAsia="微软雅黑"/>
          <w:b/>
          <w:sz w:val="21"/>
        </w:rPr>
        <w:t>金（基本责任</w:t>
      </w:r>
      <w:r>
        <w:rPr>
          <w:rFonts w:ascii="微软雅黑" w:eastAsia="微软雅黑"/>
          <w:b/>
          <w:spacing w:val="-10"/>
          <w:sz w:val="21"/>
        </w:rPr>
        <w:t>）</w:t>
      </w:r>
    </w:p>
    <w:p>
      <w:pPr>
        <w:pStyle w:val="BodyText"/>
        <w:spacing w:line="278" w:lineRule="auto" w:before="72"/>
        <w:ind w:left="99" w:right="666"/>
        <w:jc w:val="both"/>
      </w:pPr>
      <w:r>
        <w:rPr/>
        <w:br w:type="column"/>
      </w:r>
      <w:r>
        <w:rPr>
          <w:spacing w:val="1"/>
          <w:w w:val="100"/>
        </w:rPr>
        <w:t>被保险人因意外伤害或于等待期后因意外伤害以外的原因导致初次患本合同所</w:t>
      </w:r>
      <w:r>
        <w:rPr>
          <w:spacing w:val="-7"/>
          <w:w w:val="100"/>
        </w:rPr>
        <w:t>定义的重大疾病</w:t>
      </w:r>
      <w:r>
        <w:rPr>
          <w:w w:val="100"/>
        </w:rPr>
        <w:t>（</w:t>
      </w:r>
      <w:r>
        <w:rPr>
          <w:spacing w:val="-3"/>
          <w:w w:val="100"/>
        </w:rPr>
        <w:t>无论一种或多种</w:t>
      </w:r>
      <w:r>
        <w:rPr>
          <w:spacing w:val="-32"/>
          <w:w w:val="100"/>
        </w:rPr>
        <w:t>）</w:t>
      </w:r>
      <w:r>
        <w:rPr>
          <w:spacing w:val="-3"/>
          <w:w w:val="100"/>
        </w:rPr>
        <w:t>并在本公司认可的医疗机构内被专科医生初次确诊，我们按如下公式计算并给付重大疾病保险金：</w:t>
      </w:r>
    </w:p>
    <w:p>
      <w:pPr>
        <w:pStyle w:val="BodyText"/>
        <w:spacing w:line="362" w:lineRule="auto" w:before="91"/>
        <w:ind w:left="99" w:right="1962"/>
      </w:pPr>
      <w:r>
        <w:rPr>
          <w:spacing w:val="-2"/>
        </w:rPr>
        <w:t>重大疾病保险金</w:t>
      </w:r>
      <w:r>
        <w:rPr>
          <w:rFonts w:ascii="Times New Roman" w:hAnsi="Times New Roman" w:eastAsia="Times New Roman"/>
          <w:spacing w:val="-2"/>
        </w:rPr>
        <w:t>=</w:t>
      </w:r>
      <w:r>
        <w:rPr>
          <w:spacing w:val="-2"/>
        </w:rPr>
        <w:t>本合同基本保险金额×重大疾病保险金给付比例</w:t>
      </w:r>
      <w:r>
        <w:rPr>
          <w:spacing w:val="-2"/>
        </w:rPr>
        <w:t>重大疾病保险金给付比例如下表所示：</w:t>
      </w:r>
    </w:p>
    <w:tbl>
      <w:tblPr>
        <w:tblW w:w="0" w:type="auto"/>
        <w:jc w:val="left"/>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50"/>
        <w:gridCol w:w="1959"/>
        <w:gridCol w:w="1958"/>
      </w:tblGrid>
      <w:tr>
        <w:trPr>
          <w:trHeight w:val="623" w:hRule="atLeast"/>
        </w:trPr>
        <w:tc>
          <w:tcPr>
            <w:tcW w:w="3450" w:type="dxa"/>
          </w:tcPr>
          <w:p>
            <w:pPr>
              <w:pStyle w:val="TableParagraph"/>
              <w:spacing w:line="213" w:lineRule="auto" w:before="19"/>
              <w:ind w:left="1138" w:right="135" w:hanging="990"/>
              <w:rPr>
                <w:sz w:val="11"/>
              </w:rPr>
            </w:pPr>
            <w:r>
              <w:rPr>
                <w:spacing w:val="-2"/>
                <w:sz w:val="21"/>
              </w:rPr>
              <w:t>被保险人初次确诊重大疾病之日的</w:t>
            </w:r>
            <w:r>
              <w:rPr>
                <w:rFonts w:ascii="微软雅黑" w:eastAsia="微软雅黑"/>
                <w:b/>
                <w:position w:val="-10"/>
                <w:sz w:val="21"/>
              </w:rPr>
              <w:t>到达年龄 </w:t>
            </w:r>
            <w:r>
              <w:rPr>
                <w:sz w:val="11"/>
              </w:rPr>
              <w:t>11.11</w:t>
            </w:r>
          </w:p>
        </w:tc>
        <w:tc>
          <w:tcPr>
            <w:tcW w:w="1959" w:type="dxa"/>
          </w:tcPr>
          <w:p>
            <w:pPr>
              <w:pStyle w:val="TableParagraph"/>
              <w:spacing w:before="155"/>
              <w:ind w:left="418" w:right="410"/>
              <w:jc w:val="center"/>
              <w:rPr>
                <w:sz w:val="21"/>
              </w:rPr>
            </w:pPr>
            <w:r>
              <w:rPr>
                <w:spacing w:val="-2"/>
                <w:sz w:val="21"/>
              </w:rPr>
              <w:t>60</w:t>
            </w:r>
            <w:r>
              <w:rPr>
                <w:spacing w:val="-14"/>
                <w:sz w:val="21"/>
              </w:rPr>
              <w:t> 周岁以下</w:t>
            </w:r>
          </w:p>
        </w:tc>
        <w:tc>
          <w:tcPr>
            <w:tcW w:w="1958" w:type="dxa"/>
          </w:tcPr>
          <w:p>
            <w:pPr>
              <w:pStyle w:val="TableParagraph"/>
              <w:spacing w:before="155"/>
              <w:ind w:left="314" w:right="305"/>
              <w:jc w:val="center"/>
              <w:rPr>
                <w:sz w:val="21"/>
              </w:rPr>
            </w:pPr>
            <w:r>
              <w:rPr>
                <w:spacing w:val="-2"/>
                <w:sz w:val="21"/>
              </w:rPr>
              <w:t>60</w:t>
            </w:r>
            <w:r>
              <w:rPr>
                <w:spacing w:val="-12"/>
                <w:sz w:val="21"/>
              </w:rPr>
              <w:t> 周岁及以上</w:t>
            </w:r>
          </w:p>
        </w:tc>
      </w:tr>
      <w:tr>
        <w:trPr>
          <w:trHeight w:val="558" w:hRule="atLeast"/>
        </w:trPr>
        <w:tc>
          <w:tcPr>
            <w:tcW w:w="3450" w:type="dxa"/>
          </w:tcPr>
          <w:p>
            <w:pPr>
              <w:pStyle w:val="TableParagraph"/>
              <w:spacing w:before="123"/>
              <w:ind w:left="569"/>
              <w:rPr>
                <w:sz w:val="21"/>
              </w:rPr>
            </w:pPr>
            <w:r>
              <w:rPr>
                <w:spacing w:val="-3"/>
                <w:sz w:val="21"/>
              </w:rPr>
              <w:t>重大疾病保险金给付比例</w:t>
            </w:r>
          </w:p>
        </w:tc>
        <w:tc>
          <w:tcPr>
            <w:tcW w:w="1959" w:type="dxa"/>
          </w:tcPr>
          <w:p>
            <w:pPr>
              <w:pStyle w:val="TableParagraph"/>
              <w:spacing w:before="123"/>
              <w:ind w:left="418" w:right="410"/>
              <w:jc w:val="center"/>
              <w:rPr>
                <w:sz w:val="21"/>
              </w:rPr>
            </w:pPr>
            <w:r>
              <w:rPr>
                <w:spacing w:val="-4"/>
                <w:sz w:val="21"/>
              </w:rPr>
              <w:t>180%</w:t>
            </w:r>
          </w:p>
        </w:tc>
        <w:tc>
          <w:tcPr>
            <w:tcW w:w="1958" w:type="dxa"/>
          </w:tcPr>
          <w:p>
            <w:pPr>
              <w:pStyle w:val="TableParagraph"/>
              <w:spacing w:before="123"/>
              <w:ind w:left="314" w:right="305"/>
              <w:jc w:val="center"/>
              <w:rPr>
                <w:sz w:val="21"/>
              </w:rPr>
            </w:pPr>
            <w:r>
              <w:rPr>
                <w:spacing w:val="-4"/>
                <w:sz w:val="21"/>
              </w:rPr>
              <w:t>100%</w:t>
            </w:r>
          </w:p>
        </w:tc>
      </w:tr>
    </w:tbl>
    <w:p>
      <w:pPr>
        <w:pStyle w:val="BodyText"/>
        <w:ind w:left="99"/>
      </w:pPr>
      <w:r>
        <w:rPr>
          <w:spacing w:val="-3"/>
        </w:rPr>
        <w:t>我们按照上述约定给付重大疾病保险金后，本合同效力约定如下：</w:t>
      </w:r>
    </w:p>
    <w:p>
      <w:pPr>
        <w:pStyle w:val="ListParagraph"/>
        <w:numPr>
          <w:ilvl w:val="0"/>
          <w:numId w:val="5"/>
        </w:numPr>
        <w:tabs>
          <w:tab w:pos="632" w:val="left" w:leader="none"/>
        </w:tabs>
        <w:spacing w:line="194" w:lineRule="auto" w:before="122" w:after="0"/>
        <w:ind w:left="627" w:right="668" w:hanging="529"/>
        <w:jc w:val="both"/>
        <w:rPr>
          <w:rFonts w:ascii="微软雅黑" w:hAnsi="微软雅黑" w:eastAsia="微软雅黑"/>
          <w:b/>
          <w:sz w:val="21"/>
        </w:rPr>
      </w:pPr>
      <w:r>
        <w:rPr>
          <w:rFonts w:ascii="微软雅黑" w:hAnsi="微软雅黑" w:eastAsia="微软雅黑"/>
          <w:b/>
          <w:spacing w:val="-2"/>
          <w:sz w:val="21"/>
        </w:rPr>
        <w:t>若我们给付重大疾病保险金以被保险人初次确诊本合同所定义的“恶性肿</w:t>
      </w:r>
      <w:r>
        <w:rPr>
          <w:rFonts w:ascii="微软雅黑" w:hAnsi="微软雅黑" w:eastAsia="微软雅黑"/>
          <w:b/>
          <w:spacing w:val="-2"/>
          <w:sz w:val="21"/>
        </w:rPr>
        <w:t>瘤——</w:t>
      </w:r>
      <w:r>
        <w:rPr>
          <w:rFonts w:ascii="微软雅黑" w:hAnsi="微软雅黑" w:eastAsia="微软雅黑"/>
          <w:b/>
          <w:spacing w:val="-2"/>
          <w:sz w:val="21"/>
        </w:rPr>
        <w:t>重度”为保险金给付条件的，本项保险责任终止，您无需继续交纳</w:t>
      </w:r>
      <w:r>
        <w:rPr>
          <w:rFonts w:ascii="微软雅黑" w:hAnsi="微软雅黑" w:eastAsia="微软雅黑"/>
          <w:b/>
          <w:spacing w:val="-2"/>
          <w:sz w:val="21"/>
        </w:rPr>
        <w:t>自被保险人初次确诊重大疾病之日以后按照本合同约定应当交纳的各期保</w:t>
      </w:r>
      <w:r>
        <w:rPr>
          <w:rFonts w:ascii="微软雅黑" w:hAnsi="微软雅黑" w:eastAsia="微软雅黑"/>
          <w:b/>
          <w:sz w:val="21"/>
        </w:rPr>
        <w:t>险费，本合同现金价值 </w:t>
      </w:r>
      <w:r>
        <w:rPr>
          <w:position w:val="11"/>
          <w:sz w:val="11"/>
        </w:rPr>
        <w:t>11.12 </w:t>
      </w:r>
      <w:r>
        <w:rPr>
          <w:rFonts w:ascii="微软雅黑" w:hAnsi="微软雅黑" w:eastAsia="微软雅黑"/>
          <w:b/>
          <w:sz w:val="21"/>
        </w:rPr>
        <w:t>减少至零，我们不再承担除“重度恶性肿瘤关</w:t>
      </w:r>
      <w:r>
        <w:rPr>
          <w:rFonts w:ascii="微软雅黑" w:hAnsi="微软雅黑" w:eastAsia="微软雅黑"/>
          <w:b/>
          <w:spacing w:val="-2"/>
          <w:sz w:val="21"/>
        </w:rPr>
        <w:t>爱保险金”和您所选择投保的“恶性肿瘤扩展保险金”或“特定心脑血管</w:t>
      </w:r>
      <w:r>
        <w:rPr>
          <w:rFonts w:ascii="微软雅黑" w:hAnsi="微软雅黑" w:eastAsia="微软雅黑"/>
          <w:b/>
          <w:spacing w:val="-2"/>
          <w:sz w:val="21"/>
        </w:rPr>
        <w:t>疾病扩展保险金”以外的其他所有保险责任；</w:t>
      </w:r>
    </w:p>
    <w:p>
      <w:pPr>
        <w:pStyle w:val="ListParagraph"/>
        <w:numPr>
          <w:ilvl w:val="0"/>
          <w:numId w:val="5"/>
        </w:numPr>
        <w:tabs>
          <w:tab w:pos="632" w:val="left" w:leader="none"/>
        </w:tabs>
        <w:spacing w:line="194" w:lineRule="auto" w:before="82" w:after="0"/>
        <w:ind w:left="627" w:right="672" w:hanging="529"/>
        <w:jc w:val="left"/>
        <w:rPr>
          <w:rFonts w:ascii="微软雅黑" w:hAnsi="微软雅黑" w:eastAsia="微软雅黑"/>
          <w:b/>
          <w:sz w:val="21"/>
        </w:rPr>
      </w:pPr>
      <w:r>
        <w:rPr>
          <w:rFonts w:ascii="微软雅黑" w:hAnsi="微软雅黑" w:eastAsia="微软雅黑"/>
          <w:b/>
          <w:spacing w:val="-2"/>
          <w:sz w:val="21"/>
        </w:rPr>
        <w:t>若我们给付重大疾病保险金以被保险人初次确诊本合同所定义的“恶性肿</w:t>
      </w:r>
      <w:r>
        <w:rPr>
          <w:rFonts w:ascii="微软雅黑" w:hAnsi="微软雅黑" w:eastAsia="微软雅黑"/>
          <w:b/>
          <w:spacing w:val="-2"/>
          <w:sz w:val="21"/>
        </w:rPr>
        <w:t>瘤——</w:t>
      </w:r>
      <w:r>
        <w:rPr>
          <w:rFonts w:ascii="微软雅黑" w:hAnsi="微软雅黑" w:eastAsia="微软雅黑"/>
          <w:b/>
          <w:spacing w:val="-2"/>
          <w:sz w:val="21"/>
        </w:rPr>
        <w:t>重度”以外的其他重大疾病为保险金给付条件：</w:t>
      </w:r>
    </w:p>
    <w:p>
      <w:pPr>
        <w:spacing w:line="194" w:lineRule="auto" w:before="91"/>
        <w:ind w:left="836" w:right="668" w:hanging="212"/>
        <w:jc w:val="both"/>
        <w:rPr>
          <w:rFonts w:ascii="微软雅黑" w:hAnsi="微软雅黑" w:eastAsia="微软雅黑"/>
          <w:b/>
          <w:sz w:val="21"/>
        </w:rPr>
      </w:pPr>
      <w:r>
        <w:rPr>
          <w:rFonts w:ascii="微软雅黑" w:hAnsi="微软雅黑" w:eastAsia="微软雅黑"/>
          <w:b/>
          <w:spacing w:val="-2"/>
          <w:sz w:val="21"/>
        </w:rPr>
        <w:t>①若您在投保时选择投保了可选保险责任“恶性肿瘤扩展保险金”或“特</w:t>
      </w:r>
      <w:r>
        <w:rPr>
          <w:rFonts w:ascii="微软雅黑" w:hAnsi="微软雅黑" w:eastAsia="微软雅黑"/>
          <w:b/>
          <w:spacing w:val="-2"/>
          <w:sz w:val="21"/>
        </w:rPr>
        <w:t>定心脑血管疾病扩展保险金”的</w:t>
      </w:r>
      <w:r>
        <w:rPr>
          <w:rFonts w:ascii="微软雅黑" w:hAnsi="微软雅黑" w:eastAsia="微软雅黑"/>
          <w:b/>
          <w:spacing w:val="-2"/>
          <w:w w:val="155"/>
          <w:sz w:val="21"/>
        </w:rPr>
        <w:t>,</w:t>
      </w:r>
      <w:r>
        <w:rPr>
          <w:rFonts w:ascii="微软雅黑" w:hAnsi="微软雅黑" w:eastAsia="微软雅黑"/>
          <w:b/>
          <w:spacing w:val="-2"/>
          <w:sz w:val="21"/>
        </w:rPr>
        <w:t>本项保险责任终止，您无需继续交纳自</w:t>
      </w:r>
      <w:r>
        <w:rPr>
          <w:rFonts w:ascii="微软雅黑" w:hAnsi="微软雅黑" w:eastAsia="微软雅黑"/>
          <w:b/>
          <w:spacing w:val="-2"/>
          <w:sz w:val="21"/>
        </w:rPr>
        <w:t>被保险人初次确诊重大疾病之日以后按照本合同约定应当交纳的各期保</w:t>
      </w:r>
      <w:r>
        <w:rPr>
          <w:rFonts w:ascii="微软雅黑" w:hAnsi="微软雅黑" w:eastAsia="微软雅黑"/>
          <w:b/>
          <w:spacing w:val="-2"/>
          <w:sz w:val="21"/>
        </w:rPr>
        <w:t>险费，本合同现金价值减少至零，我们不再承担除您所选择投保的“恶</w:t>
      </w:r>
      <w:r>
        <w:rPr>
          <w:rFonts w:ascii="微软雅黑" w:hAnsi="微软雅黑" w:eastAsia="微软雅黑"/>
          <w:b/>
          <w:spacing w:val="-2"/>
          <w:sz w:val="21"/>
        </w:rPr>
        <w:t>性肿瘤扩展保险金”或“特定心脑血管疾病扩展保险金”以外的其他所</w:t>
      </w:r>
      <w:r>
        <w:rPr>
          <w:rFonts w:ascii="微软雅黑" w:hAnsi="微软雅黑" w:eastAsia="微软雅黑"/>
          <w:b/>
          <w:spacing w:val="-2"/>
          <w:sz w:val="21"/>
        </w:rPr>
        <w:t>有保险责任；</w:t>
      </w:r>
    </w:p>
    <w:p>
      <w:pPr>
        <w:spacing w:line="194" w:lineRule="auto" w:before="84"/>
        <w:ind w:left="836" w:right="668" w:hanging="212"/>
        <w:jc w:val="left"/>
        <w:rPr>
          <w:rFonts w:ascii="微软雅黑" w:hAnsi="微软雅黑" w:eastAsia="微软雅黑"/>
          <w:b/>
          <w:sz w:val="21"/>
        </w:rPr>
      </w:pPr>
      <w:r>
        <w:rPr>
          <w:rFonts w:ascii="微软雅黑" w:hAnsi="微软雅黑" w:eastAsia="微软雅黑"/>
          <w:b/>
          <w:spacing w:val="-2"/>
          <w:sz w:val="21"/>
        </w:rPr>
        <w:t>②若您在投保时未选择投保可选保险责任“恶性肿瘤扩展保险金”或“特</w:t>
      </w:r>
      <w:r>
        <w:rPr>
          <w:rFonts w:ascii="微软雅黑" w:hAnsi="微软雅黑" w:eastAsia="微软雅黑"/>
          <w:b/>
          <w:spacing w:val="-2"/>
          <w:sz w:val="21"/>
        </w:rPr>
        <w:t>定心脑血管疾病扩展保险金”的</w:t>
      </w:r>
      <w:r>
        <w:rPr>
          <w:rFonts w:ascii="微软雅黑" w:hAnsi="微软雅黑" w:eastAsia="微软雅黑"/>
          <w:b/>
          <w:spacing w:val="-2"/>
          <w:w w:val="155"/>
          <w:sz w:val="21"/>
        </w:rPr>
        <w:t>,</w:t>
      </w:r>
      <w:r>
        <w:rPr>
          <w:rFonts w:ascii="微软雅黑" w:hAnsi="微软雅黑" w:eastAsia="微软雅黑"/>
          <w:b/>
          <w:spacing w:val="-2"/>
          <w:sz w:val="21"/>
        </w:rPr>
        <w:t>本合同终止。</w:t>
      </w:r>
    </w:p>
    <w:p>
      <w:pPr>
        <w:spacing w:line="194" w:lineRule="auto" w:before="91"/>
        <w:ind w:left="99" w:right="670" w:firstLine="0"/>
        <w:jc w:val="both"/>
        <w:rPr>
          <w:rFonts w:ascii="微软雅黑" w:eastAsia="微软雅黑"/>
          <w:b/>
          <w:sz w:val="21"/>
        </w:rPr>
      </w:pPr>
      <w:r>
        <w:rPr>
          <w:rFonts w:ascii="微软雅黑" w:eastAsia="微软雅黑"/>
          <w:b/>
          <w:spacing w:val="-9"/>
          <w:w w:val="100"/>
          <w:sz w:val="21"/>
        </w:rPr>
        <w:t>被保险人因同一疾病原因、同次医疗行为或同次意外伤害事故，初次患本合同所</w:t>
      </w:r>
      <w:r>
        <w:rPr>
          <w:rFonts w:ascii="微软雅黑" w:eastAsia="微软雅黑"/>
          <w:b/>
          <w:spacing w:val="1"/>
          <w:w w:val="100"/>
          <w:sz w:val="21"/>
        </w:rPr>
        <w:t>定义的两种或者两种以上的重大疾病并在本公司认可的医疗机构内被专科医生</w:t>
      </w:r>
      <w:r>
        <w:rPr>
          <w:rFonts w:ascii="微软雅黑" w:eastAsia="微软雅黑"/>
          <w:b/>
          <w:spacing w:val="-3"/>
          <w:w w:val="100"/>
          <w:sz w:val="21"/>
        </w:rPr>
        <w:t>初次确诊，我们仅按一种重大疾病给付重大疾病保险金。</w:t>
      </w:r>
    </w:p>
    <w:p>
      <w:pPr>
        <w:spacing w:after="0" w:line="194" w:lineRule="auto"/>
        <w:jc w:val="both"/>
        <w:rPr>
          <w:rFonts w:ascii="微软雅黑" w:eastAsia="微软雅黑"/>
          <w:sz w:val="21"/>
        </w:rPr>
        <w:sectPr>
          <w:type w:val="continuous"/>
          <w:pgSz w:w="11910" w:h="16840"/>
          <w:pgMar w:header="0" w:footer="406" w:top="600" w:bottom="280" w:left="900" w:right="340"/>
          <w:cols w:num="2" w:equalWidth="0">
            <w:col w:w="2559" w:space="40"/>
            <w:col w:w="8071"/>
          </w:cols>
        </w:sectPr>
      </w:pPr>
    </w:p>
    <w:p>
      <w:pPr>
        <w:pStyle w:val="BodyText"/>
        <w:spacing w:before="10"/>
        <w:rPr>
          <w:rFonts w:ascii="微软雅黑"/>
          <w:b/>
          <w:sz w:val="18"/>
        </w:rPr>
      </w:pPr>
    </w:p>
    <w:p>
      <w:pPr>
        <w:spacing w:after="0"/>
        <w:rPr>
          <w:rFonts w:ascii="微软雅黑"/>
          <w:sz w:val="18"/>
        </w:rPr>
        <w:sectPr>
          <w:type w:val="continuous"/>
          <w:pgSz w:w="11910" w:h="16840"/>
          <w:pgMar w:header="0" w:footer="406" w:top="600" w:bottom="280" w:left="900" w:right="340"/>
        </w:sectPr>
      </w:pPr>
    </w:p>
    <w:p>
      <w:pPr>
        <w:spacing w:line="194" w:lineRule="auto" w:before="57"/>
        <w:ind w:left="1080" w:right="0" w:firstLine="0"/>
        <w:jc w:val="left"/>
        <w:rPr>
          <w:rFonts w:ascii="微软雅黑" w:eastAsia="微软雅黑"/>
          <w:b/>
          <w:sz w:val="21"/>
        </w:rPr>
      </w:pPr>
      <w:r>
        <w:rPr>
          <w:rFonts w:ascii="微软雅黑" w:eastAsia="微软雅黑"/>
          <w:b/>
          <w:spacing w:val="20"/>
          <w:sz w:val="21"/>
        </w:rPr>
        <w:t>重度恶性肿瘤</w:t>
      </w:r>
      <w:r>
        <w:rPr>
          <w:rFonts w:ascii="微软雅黑" w:eastAsia="微软雅黑"/>
          <w:b/>
          <w:spacing w:val="-2"/>
          <w:sz w:val="21"/>
        </w:rPr>
        <w:t>关爱保险金</w:t>
      </w:r>
    </w:p>
    <w:p>
      <w:pPr>
        <w:pStyle w:val="BodyText"/>
        <w:spacing w:line="278" w:lineRule="auto" w:before="72"/>
        <w:ind w:left="177" w:right="666"/>
        <w:jc w:val="both"/>
      </w:pPr>
      <w:r>
        <w:rPr/>
        <w:br w:type="column"/>
      </w:r>
      <w:r>
        <w:rPr>
          <w:spacing w:val="-4"/>
        </w:rPr>
        <w:t>若我们给付重大疾病保险金以被保险人初次确诊本合同所定义的“恶性肿瘤——</w:t>
      </w:r>
      <w:r>
        <w:rPr>
          <w:spacing w:val="-2"/>
        </w:rPr>
        <w:t>重度”为保险金给付条件，且被保险人自该“恶性肿瘤——重度”确诊之日起满</w:t>
      </w:r>
      <w:r>
        <w:rPr>
          <w:spacing w:val="-1"/>
        </w:rPr>
        <w:t>一年但不满两年在本公司认可的医疗机构内被专科医生确诊因该疾病仍需持续</w:t>
      </w:r>
    </w:p>
    <w:p>
      <w:pPr>
        <w:spacing w:after="0" w:line="278" w:lineRule="auto"/>
        <w:jc w:val="both"/>
        <w:sectPr>
          <w:type w:val="continuous"/>
          <w:pgSz w:w="11910" w:h="16840"/>
          <w:pgMar w:header="0" w:footer="406" w:top="600" w:bottom="280" w:left="900" w:right="340"/>
          <w:cols w:num="2" w:equalWidth="0">
            <w:col w:w="2481" w:space="40"/>
            <w:col w:w="8149"/>
          </w:cols>
        </w:sectPr>
      </w:pPr>
    </w:p>
    <w:p>
      <w:pPr>
        <w:pStyle w:val="BodyText"/>
        <w:spacing w:line="278" w:lineRule="auto" w:before="57"/>
        <w:ind w:left="2698" w:right="666"/>
        <w:jc w:val="both"/>
      </w:pPr>
      <w:r>
        <w:rPr>
          <w:spacing w:val="-3"/>
        </w:rPr>
        <w:t>治疗的，我们按本合同基本保险金额的 </w:t>
      </w:r>
      <w:r>
        <w:rPr>
          <w:spacing w:val="-2"/>
        </w:rPr>
        <w:t>15%给付重度恶性肿瘤关爱保险金，给付</w:t>
      </w:r>
      <w:r>
        <w:rPr>
          <w:spacing w:val="-2"/>
        </w:rPr>
        <w:t>次数以一次为限。</w:t>
      </w:r>
    </w:p>
    <w:p>
      <w:pPr>
        <w:pStyle w:val="BodyText"/>
        <w:spacing w:line="278" w:lineRule="auto" w:before="94"/>
        <w:ind w:left="2698" w:right="666"/>
        <w:jc w:val="both"/>
      </w:pPr>
      <w:r>
        <w:rPr>
          <w:spacing w:val="-5"/>
          <w:w w:val="100"/>
        </w:rPr>
        <w:t>若我们给付重大疾病保险金以被保险人初次确诊本合同所定义的“恶性肿瘤——</w:t>
      </w:r>
      <w:r>
        <w:rPr>
          <w:spacing w:val="-9"/>
          <w:w w:val="100"/>
        </w:rPr>
        <w:t>重度”为保险金给付条件，且被保险人自该“恶性肿瘤——重度”确诊之日起满</w:t>
      </w:r>
      <w:r>
        <w:rPr>
          <w:spacing w:val="1"/>
          <w:w w:val="100"/>
        </w:rPr>
        <w:t>两年但不满三年在本公司认可的医疗机构内被专科医生确诊因该疾病仍需持续</w:t>
      </w:r>
      <w:r>
        <w:rPr>
          <w:spacing w:val="-3"/>
          <w:w w:val="100"/>
        </w:rPr>
        <w:t>治疗的，我们按本合同基本保险金额的</w:t>
      </w:r>
      <w:r>
        <w:rPr>
          <w:spacing w:val="-53"/>
        </w:rPr>
        <w:t> </w:t>
      </w:r>
      <w:r>
        <w:rPr>
          <w:spacing w:val="-3"/>
          <w:w w:val="100"/>
        </w:rPr>
        <w:t>1</w:t>
      </w:r>
      <w:r>
        <w:rPr>
          <w:w w:val="100"/>
        </w:rPr>
        <w:t>5%</w:t>
      </w:r>
      <w:r>
        <w:rPr>
          <w:spacing w:val="-4"/>
          <w:w w:val="100"/>
        </w:rPr>
        <w:t>给付重度恶性肿瘤关爱保险金，给付</w:t>
      </w:r>
      <w:r>
        <w:rPr>
          <w:spacing w:val="-3"/>
          <w:w w:val="100"/>
        </w:rPr>
        <w:t>次数以一次为限。</w:t>
      </w:r>
    </w:p>
    <w:p>
      <w:pPr>
        <w:pStyle w:val="Heading2"/>
        <w:spacing w:before="26"/>
        <w:ind w:left="2730" w:right="2518"/>
        <w:jc w:val="center"/>
      </w:pPr>
      <w:r>
        <w:rPr>
          <w:spacing w:val="-3"/>
        </w:rPr>
        <w:t>本合同重度恶性肿瘤关爱保险金累计给付次数以两次为限。</w:t>
      </w:r>
    </w:p>
    <w:p>
      <w:pPr>
        <w:pStyle w:val="BodyText"/>
        <w:spacing w:line="278" w:lineRule="auto" w:before="85"/>
        <w:ind w:left="2698" w:right="666"/>
        <w:jc w:val="both"/>
      </w:pPr>
      <w:r>
        <w:rPr>
          <w:spacing w:val="-4"/>
        </w:rPr>
        <w:t>若我们给付重大疾病保险金以被保险人初次确诊本合同所定义的“恶性肿瘤——</w:t>
      </w:r>
      <w:r>
        <w:rPr>
          <w:spacing w:val="-2"/>
        </w:rPr>
        <w:t>重度”为保险金给付条件，且被保险人自该“恶性肿瘤——重度”确诊之日起满</w:t>
      </w:r>
      <w:r>
        <w:rPr>
          <w:spacing w:val="-2"/>
        </w:rPr>
        <w:t>三年后，本合同效力约定如下：</w:t>
      </w:r>
    </w:p>
    <w:p>
      <w:pPr>
        <w:pStyle w:val="ListParagraph"/>
        <w:numPr>
          <w:ilvl w:val="1"/>
          <w:numId w:val="5"/>
        </w:numPr>
        <w:tabs>
          <w:tab w:pos="3230" w:val="left" w:leader="none"/>
        </w:tabs>
        <w:spacing w:line="194" w:lineRule="auto" w:before="77" w:after="0"/>
        <w:ind w:left="3226" w:right="671" w:hanging="529"/>
        <w:jc w:val="both"/>
        <w:rPr>
          <w:rFonts w:ascii="微软雅黑" w:hAnsi="微软雅黑" w:eastAsia="微软雅黑"/>
          <w:b/>
          <w:sz w:val="21"/>
        </w:rPr>
      </w:pPr>
      <w:r>
        <w:rPr>
          <w:rFonts w:ascii="微软雅黑" w:hAnsi="微软雅黑" w:eastAsia="微软雅黑"/>
          <w:b/>
          <w:spacing w:val="-2"/>
          <w:sz w:val="21"/>
        </w:rPr>
        <w:t>若您在投保时选择投保了可选保险责任“恶性肿瘤扩展保险金”或“特定</w:t>
      </w:r>
      <w:r>
        <w:rPr>
          <w:rFonts w:ascii="微软雅黑" w:hAnsi="微软雅黑" w:eastAsia="微软雅黑"/>
          <w:b/>
          <w:spacing w:val="-2"/>
          <w:sz w:val="21"/>
        </w:rPr>
        <w:t>心脑血管疾病扩展保险金”且我们尚未按约定给付您所选择投保的前述全</w:t>
      </w:r>
      <w:r>
        <w:rPr>
          <w:rFonts w:ascii="微软雅黑" w:hAnsi="微软雅黑" w:eastAsia="微软雅黑"/>
          <w:b/>
          <w:spacing w:val="-2"/>
          <w:sz w:val="21"/>
        </w:rPr>
        <w:t>部可选保险责任所对应的保险金的，本项保险责任终止；</w:t>
      </w:r>
    </w:p>
    <w:p>
      <w:pPr>
        <w:pStyle w:val="ListParagraph"/>
        <w:numPr>
          <w:ilvl w:val="1"/>
          <w:numId w:val="5"/>
        </w:numPr>
        <w:tabs>
          <w:tab w:pos="3230" w:val="left" w:leader="none"/>
        </w:tabs>
        <w:spacing w:line="194" w:lineRule="auto" w:before="89" w:after="0"/>
        <w:ind w:left="3226" w:right="671" w:hanging="529"/>
        <w:jc w:val="both"/>
        <w:rPr>
          <w:rFonts w:ascii="微软雅黑" w:hAnsi="微软雅黑" w:eastAsia="微软雅黑"/>
          <w:b/>
          <w:sz w:val="21"/>
        </w:rPr>
      </w:pPr>
      <w:r>
        <w:rPr>
          <w:rFonts w:ascii="微软雅黑" w:hAnsi="微软雅黑" w:eastAsia="微软雅黑"/>
          <w:b/>
          <w:spacing w:val="-2"/>
          <w:sz w:val="21"/>
        </w:rPr>
        <w:t>若您在投保时选择投保了可选保险责任“恶性肿瘤扩展保险金”或“特定</w:t>
      </w:r>
      <w:r>
        <w:rPr>
          <w:rFonts w:ascii="微软雅黑" w:hAnsi="微软雅黑" w:eastAsia="微软雅黑"/>
          <w:b/>
          <w:spacing w:val="-2"/>
          <w:sz w:val="21"/>
        </w:rPr>
        <w:t>心脑血管疾病扩展保险金”且我们已经按约定给付了您所选择投保的前述</w:t>
      </w:r>
      <w:r>
        <w:rPr>
          <w:rFonts w:ascii="微软雅黑" w:hAnsi="微软雅黑" w:eastAsia="微软雅黑"/>
          <w:b/>
          <w:spacing w:val="-2"/>
          <w:sz w:val="21"/>
        </w:rPr>
        <w:t>全部可选保险责任所对应的保险金的，本合同终止；</w:t>
      </w:r>
    </w:p>
    <w:p>
      <w:pPr>
        <w:pStyle w:val="ListParagraph"/>
        <w:numPr>
          <w:ilvl w:val="1"/>
          <w:numId w:val="5"/>
        </w:numPr>
        <w:tabs>
          <w:tab w:pos="3230" w:val="left" w:leader="none"/>
        </w:tabs>
        <w:spacing w:line="194" w:lineRule="auto" w:before="89" w:after="0"/>
        <w:ind w:left="3226" w:right="671" w:hanging="529"/>
        <w:jc w:val="left"/>
        <w:rPr>
          <w:rFonts w:ascii="微软雅黑" w:hAnsi="微软雅黑" w:eastAsia="微软雅黑"/>
          <w:b/>
          <w:sz w:val="21"/>
        </w:rPr>
      </w:pPr>
      <w:r>
        <w:rPr>
          <w:rFonts w:ascii="微软雅黑" w:hAnsi="微软雅黑" w:eastAsia="微软雅黑"/>
          <w:b/>
          <w:spacing w:val="-2"/>
          <w:sz w:val="21"/>
        </w:rPr>
        <w:t>若您在投保时未选择投保可选保险责任“恶性肿瘤扩展保险金”或“特定</w:t>
      </w:r>
      <w:r>
        <w:rPr>
          <w:rFonts w:ascii="微软雅黑" w:hAnsi="微软雅黑" w:eastAsia="微软雅黑"/>
          <w:b/>
          <w:spacing w:val="-2"/>
          <w:sz w:val="21"/>
        </w:rPr>
        <w:t>心脑血管疾病扩展保险金”的，本合同终止。</w:t>
      </w:r>
    </w:p>
    <w:p>
      <w:pPr>
        <w:pStyle w:val="BodyText"/>
        <w:spacing w:before="14"/>
        <w:rPr>
          <w:rFonts w:ascii="微软雅黑"/>
          <w:b/>
          <w:sz w:val="18"/>
        </w:rPr>
      </w:pPr>
    </w:p>
    <w:p>
      <w:pPr>
        <w:spacing w:after="0"/>
        <w:rPr>
          <w:rFonts w:ascii="微软雅黑"/>
          <w:sz w:val="18"/>
        </w:rPr>
        <w:sectPr>
          <w:pgSz w:w="11910" w:h="16840"/>
          <w:pgMar w:header="0" w:footer="406" w:top="1080" w:bottom="600" w:left="900" w:right="340"/>
        </w:sectPr>
      </w:pPr>
    </w:p>
    <w:p>
      <w:pPr>
        <w:pStyle w:val="ListParagraph"/>
        <w:numPr>
          <w:ilvl w:val="2"/>
          <w:numId w:val="4"/>
        </w:numPr>
        <w:tabs>
          <w:tab w:pos="852" w:val="left" w:leader="none"/>
          <w:tab w:pos="853" w:val="left" w:leader="none"/>
        </w:tabs>
        <w:spacing w:line="350" w:lineRule="exact" w:before="4" w:after="0"/>
        <w:ind w:left="852" w:right="38" w:hanging="853"/>
        <w:jc w:val="right"/>
        <w:rPr>
          <w:rFonts w:ascii="微软雅黑" w:eastAsia="微软雅黑"/>
          <w:b/>
          <w:sz w:val="20"/>
        </w:rPr>
      </w:pPr>
      <w:r>
        <w:rPr>
          <w:rFonts w:ascii="微软雅黑" w:eastAsia="微软雅黑"/>
          <w:b/>
          <w:spacing w:val="-2"/>
          <w:sz w:val="21"/>
        </w:rPr>
        <w:t>被保险人轻症</w:t>
      </w:r>
    </w:p>
    <w:p>
      <w:pPr>
        <w:spacing w:line="194" w:lineRule="auto" w:before="15"/>
        <w:ind w:left="1080" w:right="38" w:firstLine="0"/>
        <w:jc w:val="right"/>
        <w:rPr>
          <w:rFonts w:ascii="微软雅黑" w:eastAsia="微软雅黑"/>
          <w:b/>
          <w:sz w:val="21"/>
        </w:rPr>
      </w:pPr>
      <w:r>
        <w:rPr>
          <w:rFonts w:ascii="微软雅黑" w:eastAsia="微软雅黑"/>
          <w:b/>
          <w:spacing w:val="-2"/>
          <w:sz w:val="21"/>
        </w:rPr>
        <w:t>疾病或中症疾</w:t>
      </w:r>
      <w:r>
        <w:rPr>
          <w:rFonts w:ascii="微软雅黑" w:eastAsia="微软雅黑"/>
          <w:b/>
          <w:spacing w:val="-2"/>
          <w:sz w:val="21"/>
        </w:rPr>
        <w:t>病豁免保险费</w:t>
      </w:r>
    </w:p>
    <w:p>
      <w:pPr>
        <w:spacing w:line="331" w:lineRule="exact" w:before="0"/>
        <w:ind w:left="1080" w:right="38" w:firstLine="0"/>
        <w:jc w:val="right"/>
        <w:rPr>
          <w:rFonts w:ascii="微软雅黑" w:eastAsia="微软雅黑"/>
          <w:b/>
          <w:sz w:val="21"/>
        </w:rPr>
      </w:pPr>
      <w:r>
        <w:rPr>
          <w:rFonts w:ascii="微软雅黑" w:eastAsia="微软雅黑"/>
          <w:b/>
          <w:sz w:val="21"/>
        </w:rPr>
        <w:t>（基本责任</w:t>
      </w:r>
      <w:r>
        <w:rPr>
          <w:rFonts w:ascii="微软雅黑" w:eastAsia="微软雅黑"/>
          <w:b/>
          <w:spacing w:val="-10"/>
          <w:sz w:val="21"/>
        </w:rPr>
        <w:t>）</w:t>
      </w:r>
    </w:p>
    <w:p>
      <w:pPr>
        <w:pStyle w:val="BodyText"/>
        <w:spacing w:line="278" w:lineRule="auto" w:before="71"/>
        <w:ind w:left="228" w:right="666"/>
        <w:jc w:val="both"/>
      </w:pPr>
      <w:r>
        <w:rPr/>
        <w:br w:type="column"/>
      </w:r>
      <w:r>
        <w:rPr>
          <w:spacing w:val="1"/>
          <w:w w:val="100"/>
        </w:rPr>
        <w:t>被保险人因意外伤害或于等待期后因意外伤害以外的原因导致初次患本合同所</w:t>
      </w:r>
      <w:r>
        <w:rPr>
          <w:spacing w:val="-6"/>
          <w:w w:val="100"/>
        </w:rPr>
        <w:t>定义的轻症疾病或中症疾病</w:t>
      </w:r>
      <w:r>
        <w:rPr>
          <w:w w:val="100"/>
        </w:rPr>
        <w:t>（</w:t>
      </w:r>
      <w:r>
        <w:rPr>
          <w:spacing w:val="-3"/>
          <w:w w:val="100"/>
        </w:rPr>
        <w:t>无论一种或多种</w:t>
      </w:r>
      <w:r>
        <w:rPr>
          <w:spacing w:val="-32"/>
          <w:w w:val="100"/>
        </w:rPr>
        <w:t>）</w:t>
      </w:r>
      <w:r>
        <w:rPr>
          <w:spacing w:val="-3"/>
          <w:w w:val="100"/>
        </w:rPr>
        <w:t>并在本公司认可的医疗机构内被</w:t>
      </w:r>
      <w:r>
        <w:rPr>
          <w:spacing w:val="-9"/>
          <w:w w:val="100"/>
        </w:rPr>
        <w:t>专科医生初次确诊，我们将豁免自被保险人初次确诊疾病以后按照本合同约定应</w:t>
      </w:r>
      <w:r>
        <w:rPr>
          <w:spacing w:val="-5"/>
          <w:w w:val="100"/>
        </w:rPr>
        <w:t>当交纳的各期保险费。本合同豁免的保险费视为您已交的保险费。</w:t>
      </w:r>
    </w:p>
    <w:p>
      <w:pPr>
        <w:spacing w:after="0" w:line="278" w:lineRule="auto"/>
        <w:jc w:val="both"/>
        <w:sectPr>
          <w:type w:val="continuous"/>
          <w:pgSz w:w="11910" w:h="16840"/>
          <w:pgMar w:header="0" w:footer="406" w:top="600" w:bottom="280" w:left="900" w:right="340"/>
          <w:cols w:num="2" w:equalWidth="0">
            <w:col w:w="2388" w:space="82"/>
            <w:col w:w="8200"/>
          </w:cols>
        </w:sectPr>
      </w:pPr>
    </w:p>
    <w:p>
      <w:pPr>
        <w:pStyle w:val="BodyText"/>
        <w:spacing w:before="12"/>
        <w:rPr>
          <w:sz w:val="15"/>
        </w:rPr>
      </w:pPr>
    </w:p>
    <w:p>
      <w:pPr>
        <w:tabs>
          <w:tab w:pos="2697" w:val="left" w:leader="none"/>
        </w:tabs>
        <w:spacing w:line="194" w:lineRule="auto" w:before="57"/>
        <w:ind w:left="2698" w:right="670" w:hanging="1618"/>
        <w:jc w:val="left"/>
        <w:rPr>
          <w:rFonts w:ascii="微软雅黑" w:hAnsi="微软雅黑" w:eastAsia="微软雅黑"/>
          <w:b/>
          <w:sz w:val="21"/>
        </w:rPr>
      </w:pPr>
      <w:r>
        <w:rPr>
          <w:rFonts w:ascii="微软雅黑" w:hAnsi="微软雅黑" w:eastAsia="微软雅黑"/>
          <w:b/>
          <w:spacing w:val="-2"/>
          <w:sz w:val="21"/>
        </w:rPr>
        <w:t>可</w:t>
      </w:r>
      <w:r>
        <w:rPr>
          <w:rFonts w:ascii="微软雅黑" w:hAnsi="微软雅黑" w:eastAsia="微软雅黑"/>
          <w:b/>
          <w:spacing w:val="-2"/>
          <w:sz w:val="21"/>
        </w:rPr>
        <w:t>选</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责</w:t>
      </w:r>
      <w:r>
        <w:rPr>
          <w:rFonts w:ascii="微软雅黑" w:hAnsi="微软雅黑" w:eastAsia="微软雅黑"/>
          <w:b/>
          <w:spacing w:val="-2"/>
          <w:sz w:val="21"/>
        </w:rPr>
        <w:t>任</w:t>
      </w:r>
      <w:r>
        <w:rPr>
          <w:rFonts w:ascii="微软雅黑" w:hAnsi="微软雅黑" w:eastAsia="微软雅黑"/>
          <w:b/>
          <w:sz w:val="21"/>
        </w:rPr>
        <w:tab/>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的</w:t>
      </w:r>
      <w:r>
        <w:rPr>
          <w:rFonts w:ascii="微软雅黑" w:hAnsi="微软雅黑" w:eastAsia="微软雅黑"/>
          <w:b/>
          <w:spacing w:val="-2"/>
          <w:sz w:val="21"/>
        </w:rPr>
        <w:t>可</w:t>
      </w:r>
      <w:r>
        <w:rPr>
          <w:rFonts w:ascii="微软雅黑" w:hAnsi="微软雅黑" w:eastAsia="微软雅黑"/>
          <w:b/>
          <w:spacing w:val="-2"/>
          <w:sz w:val="21"/>
        </w:rPr>
        <w:t>选</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责任包括“</w:t>
      </w:r>
      <w:r>
        <w:rPr>
          <w:rFonts w:ascii="微软雅黑" w:hAnsi="微软雅黑" w:eastAsia="微软雅黑"/>
          <w:b/>
          <w:spacing w:val="-2"/>
          <w:sz w:val="21"/>
        </w:rPr>
        <w:t>恶</w:t>
      </w:r>
      <w:r>
        <w:rPr>
          <w:rFonts w:ascii="微软雅黑" w:hAnsi="微软雅黑" w:eastAsia="微软雅黑"/>
          <w:b/>
          <w:spacing w:val="-2"/>
          <w:sz w:val="21"/>
        </w:rPr>
        <w:t>性</w:t>
      </w:r>
      <w:r>
        <w:rPr>
          <w:rFonts w:ascii="微软雅黑" w:hAnsi="微软雅黑" w:eastAsia="微软雅黑"/>
          <w:b/>
          <w:spacing w:val="-2"/>
          <w:sz w:val="21"/>
        </w:rPr>
        <w:t>肿</w:t>
      </w:r>
      <w:r>
        <w:rPr>
          <w:rFonts w:ascii="微软雅黑" w:hAnsi="微软雅黑" w:eastAsia="微软雅黑"/>
          <w:b/>
          <w:spacing w:val="-2"/>
          <w:sz w:val="21"/>
        </w:rPr>
        <w:t>瘤</w:t>
      </w:r>
      <w:r>
        <w:rPr>
          <w:rFonts w:ascii="微软雅黑" w:hAnsi="微软雅黑" w:eastAsia="微软雅黑"/>
          <w:b/>
          <w:spacing w:val="-2"/>
          <w:sz w:val="21"/>
        </w:rPr>
        <w:t>扩</w:t>
      </w:r>
      <w:r>
        <w:rPr>
          <w:rFonts w:ascii="微软雅黑" w:hAnsi="微软雅黑" w:eastAsia="微软雅黑"/>
          <w:b/>
          <w:spacing w:val="-2"/>
          <w:sz w:val="21"/>
        </w:rPr>
        <w:t>展</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特</w:t>
      </w:r>
      <w:r>
        <w:rPr>
          <w:rFonts w:ascii="微软雅黑" w:hAnsi="微软雅黑" w:eastAsia="微软雅黑"/>
          <w:b/>
          <w:spacing w:val="-2"/>
          <w:sz w:val="21"/>
        </w:rPr>
        <w:t>定</w:t>
      </w:r>
      <w:r>
        <w:rPr>
          <w:rFonts w:ascii="微软雅黑" w:hAnsi="微软雅黑" w:eastAsia="微软雅黑"/>
          <w:b/>
          <w:spacing w:val="-2"/>
          <w:sz w:val="21"/>
        </w:rPr>
        <w:t>心</w:t>
      </w:r>
      <w:r>
        <w:rPr>
          <w:rFonts w:ascii="微软雅黑" w:hAnsi="微软雅黑" w:eastAsia="微软雅黑"/>
          <w:b/>
          <w:spacing w:val="-2"/>
          <w:sz w:val="21"/>
        </w:rPr>
        <w:t>脑</w:t>
      </w:r>
      <w:r>
        <w:rPr>
          <w:rFonts w:ascii="微软雅黑" w:hAnsi="微软雅黑" w:eastAsia="微软雅黑"/>
          <w:b/>
          <w:spacing w:val="-2"/>
          <w:sz w:val="21"/>
        </w:rPr>
        <w:t>血</w:t>
      </w:r>
      <w:r>
        <w:rPr>
          <w:rFonts w:ascii="微软雅黑" w:hAnsi="微软雅黑" w:eastAsia="微软雅黑"/>
          <w:b/>
          <w:spacing w:val="-2"/>
          <w:sz w:val="21"/>
        </w:rPr>
        <w:t>管</w:t>
      </w:r>
      <w:r>
        <w:rPr>
          <w:rFonts w:ascii="微软雅黑" w:hAnsi="微软雅黑" w:eastAsia="微软雅黑"/>
          <w:b/>
          <w:spacing w:val="-2"/>
          <w:sz w:val="21"/>
        </w:rPr>
        <w:t>疾</w:t>
      </w:r>
      <w:r>
        <w:rPr>
          <w:rFonts w:ascii="微软雅黑" w:hAnsi="微软雅黑" w:eastAsia="微软雅黑"/>
          <w:b/>
          <w:spacing w:val="-2"/>
          <w:sz w:val="21"/>
        </w:rPr>
        <w:t>病扩</w:t>
      </w:r>
      <w:r>
        <w:rPr>
          <w:rFonts w:ascii="微软雅黑" w:hAnsi="微软雅黑" w:eastAsia="微软雅黑"/>
          <w:b/>
          <w:spacing w:val="-2"/>
          <w:sz w:val="21"/>
        </w:rPr>
        <w:t>展</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w:t>
      </w:r>
      <w:r>
        <w:rPr>
          <w:rFonts w:ascii="微软雅黑" w:hAnsi="微软雅黑" w:eastAsia="微软雅黑"/>
          <w:b/>
          <w:spacing w:val="-2"/>
          <w:sz w:val="21"/>
        </w:rPr>
        <w:t>和</w:t>
      </w:r>
      <w:r>
        <w:rPr>
          <w:rFonts w:ascii="微软雅黑" w:hAnsi="微软雅黑" w:eastAsia="微软雅黑"/>
          <w:b/>
          <w:spacing w:val="-2"/>
          <w:sz w:val="21"/>
        </w:rPr>
        <w:t>“</w:t>
      </w:r>
      <w:r>
        <w:rPr>
          <w:rFonts w:ascii="微软雅黑" w:hAnsi="微软雅黑" w:eastAsia="微软雅黑"/>
          <w:b/>
          <w:spacing w:val="-2"/>
          <w:sz w:val="21"/>
        </w:rPr>
        <w:t>身</w:t>
      </w:r>
      <w:r>
        <w:rPr>
          <w:rFonts w:ascii="微软雅黑" w:hAnsi="微软雅黑" w:eastAsia="微软雅黑"/>
          <w:b/>
          <w:spacing w:val="-2"/>
          <w:sz w:val="21"/>
        </w:rPr>
        <w:t>故</w:t>
      </w:r>
      <w:r>
        <w:rPr>
          <w:rFonts w:ascii="微软雅黑" w:hAnsi="微软雅黑" w:eastAsia="微软雅黑"/>
          <w:b/>
          <w:spacing w:val="-2"/>
          <w:sz w:val="21"/>
        </w:rPr>
        <w:t>或全残</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w:t>
      </w:r>
      <w:r>
        <w:rPr>
          <w:rFonts w:ascii="微软雅黑" w:hAnsi="微软雅黑" w:eastAsia="微软雅黑"/>
          <w:b/>
          <w:spacing w:val="-2"/>
          <w:sz w:val="21"/>
        </w:rPr>
        <w:t>三</w:t>
      </w:r>
      <w:r>
        <w:rPr>
          <w:rFonts w:ascii="微软雅黑" w:hAnsi="微软雅黑" w:eastAsia="微软雅黑"/>
          <w:b/>
          <w:spacing w:val="-2"/>
          <w:sz w:val="21"/>
        </w:rPr>
        <w:t>项</w:t>
      </w:r>
      <w:r>
        <w:rPr>
          <w:rFonts w:ascii="微软雅黑" w:hAnsi="微软雅黑" w:eastAsia="微软雅黑"/>
          <w:b/>
          <w:spacing w:val="-2"/>
          <w:sz w:val="21"/>
        </w:rPr>
        <w:t>。</w:t>
      </w:r>
    </w:p>
    <w:p>
      <w:pPr>
        <w:pStyle w:val="BodyText"/>
        <w:spacing w:before="1"/>
        <w:rPr>
          <w:rFonts w:ascii="微软雅黑"/>
          <w:b/>
          <w:sz w:val="14"/>
        </w:rPr>
      </w:pPr>
    </w:p>
    <w:p>
      <w:pPr>
        <w:spacing w:after="0"/>
        <w:rPr>
          <w:rFonts w:ascii="微软雅黑"/>
          <w:sz w:val="14"/>
        </w:rPr>
        <w:sectPr>
          <w:type w:val="continuous"/>
          <w:pgSz w:w="11910" w:h="16840"/>
          <w:pgMar w:header="0" w:footer="406" w:top="600" w:bottom="280" w:left="900" w:right="340"/>
        </w:sectPr>
      </w:pPr>
    </w:p>
    <w:p>
      <w:pPr>
        <w:pStyle w:val="ListParagraph"/>
        <w:numPr>
          <w:ilvl w:val="2"/>
          <w:numId w:val="4"/>
        </w:numPr>
        <w:tabs>
          <w:tab w:pos="1080" w:val="left" w:leader="none"/>
          <w:tab w:pos="1081" w:val="left" w:leader="none"/>
        </w:tabs>
        <w:spacing w:line="350" w:lineRule="exact" w:before="5" w:after="0"/>
        <w:ind w:left="1080" w:right="0" w:hanging="854"/>
        <w:jc w:val="left"/>
        <w:rPr>
          <w:rFonts w:ascii="微软雅黑" w:eastAsia="微软雅黑"/>
          <w:b/>
          <w:sz w:val="21"/>
        </w:rPr>
      </w:pPr>
      <w:r>
        <w:rPr>
          <w:rFonts w:ascii="微软雅黑" w:eastAsia="微软雅黑"/>
          <w:b/>
          <w:spacing w:val="20"/>
          <w:sz w:val="21"/>
        </w:rPr>
        <w:t>恶性肿瘤扩展</w:t>
      </w:r>
    </w:p>
    <w:p>
      <w:pPr>
        <w:spacing w:line="194" w:lineRule="auto" w:before="15"/>
        <w:ind w:left="1080" w:right="0" w:firstLine="0"/>
        <w:jc w:val="left"/>
        <w:rPr>
          <w:rFonts w:ascii="微软雅黑" w:eastAsia="微软雅黑"/>
          <w:b/>
          <w:sz w:val="21"/>
        </w:rPr>
      </w:pPr>
      <w:r>
        <w:rPr>
          <w:rFonts w:ascii="微软雅黑" w:eastAsia="微软雅黑"/>
          <w:b/>
          <w:spacing w:val="-27"/>
          <w:sz w:val="21"/>
        </w:rPr>
        <w:t>保险金</w:t>
      </w:r>
      <w:r>
        <w:rPr>
          <w:rFonts w:ascii="微软雅黑" w:eastAsia="微软雅黑"/>
          <w:b/>
          <w:spacing w:val="-2"/>
          <w:sz w:val="21"/>
        </w:rPr>
        <w:t>（可选责</w:t>
      </w:r>
      <w:r>
        <w:rPr>
          <w:rFonts w:ascii="微软雅黑" w:eastAsia="微软雅黑"/>
          <w:b/>
          <w:spacing w:val="-6"/>
          <w:sz w:val="21"/>
        </w:rPr>
        <w:t>任）</w:t>
      </w:r>
    </w:p>
    <w:p>
      <w:pPr>
        <w:spacing w:line="312" w:lineRule="exact" w:before="32"/>
        <w:ind w:left="173" w:right="666" w:firstLine="0"/>
        <w:jc w:val="both"/>
        <w:rPr>
          <w:rFonts w:ascii="微软雅黑" w:hAnsi="微软雅黑" w:eastAsia="微软雅黑"/>
          <w:b/>
          <w:sz w:val="21"/>
        </w:rPr>
      </w:pPr>
      <w:r>
        <w:rPr/>
        <w:br w:type="column"/>
      </w:r>
      <w:r>
        <w:rPr>
          <w:sz w:val="21"/>
        </w:rPr>
        <w:t>被保险人在本公司认可的医疗机构内被专科医生初次确诊本合同“10.3 重大疾</w:t>
      </w:r>
      <w:r>
        <w:rPr>
          <w:spacing w:val="-2"/>
          <w:sz w:val="21"/>
        </w:rPr>
        <w:t>病定义”中的“恶性肿瘤——重度”之外的其他重大疾病，且针对该疾病我们已</w:t>
      </w:r>
      <w:r>
        <w:rPr>
          <w:spacing w:val="-4"/>
          <w:sz w:val="21"/>
        </w:rPr>
        <w:t>经按约定给付重大疾病保险金后，初次患本合同“10.3</w:t>
      </w:r>
      <w:r>
        <w:rPr>
          <w:spacing w:val="-9"/>
          <w:sz w:val="21"/>
        </w:rPr>
        <w:t> 重大疾病定义”中的“恶</w:t>
      </w:r>
      <w:r>
        <w:rPr>
          <w:spacing w:val="-2"/>
          <w:sz w:val="21"/>
        </w:rPr>
        <w:t>性肿瘤——重度”（无论一种或多种）并在本公司认可的医疗机构内被专科医生</w:t>
      </w:r>
      <w:r>
        <w:rPr>
          <w:sz w:val="21"/>
        </w:rPr>
        <w:t>初次确诊，我们按本合同基本保险金额的 150%给付恶性肿瘤扩展保险金，</w:t>
      </w:r>
      <w:r>
        <w:rPr>
          <w:rFonts w:ascii="微软雅黑" w:hAnsi="微软雅黑" w:eastAsia="微软雅黑"/>
          <w:b/>
          <w:sz w:val="21"/>
        </w:rPr>
        <w:t>若您</w:t>
      </w:r>
      <w:r>
        <w:rPr>
          <w:rFonts w:ascii="微软雅黑" w:hAnsi="微软雅黑" w:eastAsia="微软雅黑"/>
          <w:b/>
          <w:spacing w:val="-2"/>
          <w:sz w:val="21"/>
        </w:rPr>
        <w:t>在投保时选择投保了可选保险责任“特定心脑血管疾病扩展保险金”且我们尚未</w:t>
      </w:r>
      <w:r>
        <w:rPr>
          <w:rFonts w:ascii="微软雅黑" w:hAnsi="微软雅黑" w:eastAsia="微软雅黑"/>
          <w:b/>
          <w:spacing w:val="-2"/>
          <w:sz w:val="21"/>
        </w:rPr>
        <w:t>按约定给付特定心脑血管疾病扩展保险金的，本项保险责任终止，若您在投保时</w:t>
      </w:r>
      <w:r>
        <w:rPr>
          <w:rFonts w:ascii="微软雅黑" w:hAnsi="微软雅黑" w:eastAsia="微软雅黑"/>
          <w:b/>
          <w:spacing w:val="-5"/>
          <w:sz w:val="21"/>
        </w:rPr>
        <w:t>未选择投保可选保险责任“特定心脑血管疾病扩展保险金”或您在投保时选择投</w:t>
      </w:r>
    </w:p>
    <w:p>
      <w:pPr>
        <w:pStyle w:val="Heading2"/>
        <w:spacing w:line="194" w:lineRule="auto" w:before="26"/>
        <w:ind w:left="173" w:right="668"/>
        <w:jc w:val="both"/>
      </w:pPr>
      <w:r>
        <w:rPr>
          <w:spacing w:val="-2"/>
        </w:rPr>
        <w:t>保了可选保险责任“特定心脑血管疾病扩展保险金”且我们已经按约定给付特定</w:t>
      </w:r>
      <w:r>
        <w:rPr>
          <w:spacing w:val="-4"/>
        </w:rPr>
        <w:t>心脑血管疾病扩展保险金的，本合同终止。初次确诊“恶性肿瘤——</w:t>
      </w:r>
      <w:r>
        <w:rPr>
          <w:spacing w:val="-4"/>
        </w:rPr>
        <w:t>重度”的确</w:t>
      </w:r>
      <w:r>
        <w:rPr>
          <w:spacing w:val="-4"/>
        </w:rPr>
        <w:t>诊日须距重大疾病保险金对应的“恶性肿瘤——重度”之外的其他重大疾病确诊</w:t>
      </w:r>
      <w:r>
        <w:rPr>
          <w:spacing w:val="-2"/>
        </w:rPr>
        <w:t>之日起已满一百八十天。</w:t>
      </w:r>
    </w:p>
    <w:p>
      <w:pPr>
        <w:pStyle w:val="BodyText"/>
        <w:spacing w:line="278" w:lineRule="auto" w:before="102"/>
        <w:ind w:left="173" w:right="666"/>
        <w:jc w:val="both"/>
      </w:pPr>
      <w:r>
        <w:rPr/>
        <w:t>被保险人在本公司认可的医疗机构内被专科医生初次确诊本合同“10.3 重大疾</w:t>
      </w:r>
      <w:r>
        <w:rPr>
          <w:spacing w:val="-2"/>
        </w:rPr>
        <w:t>病定义”中的“恶性肿瘤——重度”，且针对该疾病我们已经按约定给付重大疾</w:t>
      </w:r>
      <w:r>
        <w:rPr>
          <w:spacing w:val="-2"/>
        </w:rPr>
        <w:t>病保险金后，再次患“恶性肿瘤——重度”（无论一种或多种）并在本公司认可</w:t>
      </w:r>
      <w:r>
        <w:rPr/>
        <w:t>的医疗机构内被专科医生再次确诊，我们按本合同基本保险金额的 150</w:t>
      </w:r>
      <w:r>
        <w:rPr>
          <w:spacing w:val="-3"/>
        </w:rPr>
        <w:t>%给付恶</w:t>
      </w:r>
    </w:p>
    <w:p>
      <w:pPr>
        <w:spacing w:after="0" w:line="278" w:lineRule="auto"/>
        <w:jc w:val="both"/>
        <w:sectPr>
          <w:type w:val="continuous"/>
          <w:pgSz w:w="11910" w:h="16840"/>
          <w:pgMar w:header="0" w:footer="406" w:top="600" w:bottom="280" w:left="900" w:right="340"/>
          <w:cols w:num="2" w:equalWidth="0">
            <w:col w:w="2485" w:space="40"/>
            <w:col w:w="8145"/>
          </w:cols>
        </w:sectPr>
      </w:pPr>
    </w:p>
    <w:p>
      <w:pPr>
        <w:spacing w:line="194" w:lineRule="auto" w:before="42"/>
        <w:ind w:left="2698" w:right="669" w:firstLine="0"/>
        <w:jc w:val="both"/>
        <w:rPr>
          <w:rFonts w:ascii="微软雅黑" w:hAnsi="微软雅黑" w:eastAsia="微软雅黑"/>
          <w:b/>
          <w:sz w:val="21"/>
        </w:rPr>
      </w:pPr>
      <w:r>
        <w:rPr>
          <w:spacing w:val="-2"/>
          <w:sz w:val="21"/>
        </w:rPr>
        <w:t>性肿瘤扩展保险金，</w:t>
      </w:r>
      <w:r>
        <w:rPr>
          <w:rFonts w:ascii="微软雅黑" w:hAnsi="微软雅黑" w:eastAsia="微软雅黑"/>
          <w:b/>
          <w:spacing w:val="-2"/>
          <w:sz w:val="21"/>
        </w:rPr>
        <w:t>若您在投保时选择投保了可选保险责任“特定心脑血管疾病</w:t>
      </w:r>
      <w:r>
        <w:rPr>
          <w:rFonts w:ascii="微软雅黑" w:hAnsi="微软雅黑" w:eastAsia="微软雅黑"/>
          <w:b/>
          <w:spacing w:val="-2"/>
          <w:sz w:val="21"/>
        </w:rPr>
        <w:t>扩展保险金”且我们尚未按约定给付特定心脑血管疾病扩展保险金的，本项保险</w:t>
      </w:r>
      <w:r>
        <w:rPr>
          <w:rFonts w:ascii="微软雅黑" w:hAnsi="微软雅黑" w:eastAsia="微软雅黑"/>
          <w:b/>
          <w:spacing w:val="-2"/>
          <w:sz w:val="21"/>
        </w:rPr>
        <w:t>责任终止，若您在投保时未选择投保可选保险责任“特定心脑血管疾病扩展保险金”或您在投保时选择投保了可选保险责任“特定心脑血管疾病扩展保险金”且</w:t>
      </w:r>
      <w:r>
        <w:rPr>
          <w:rFonts w:ascii="微软雅黑" w:hAnsi="微软雅黑" w:eastAsia="微软雅黑"/>
          <w:b/>
          <w:spacing w:val="-2"/>
          <w:sz w:val="21"/>
        </w:rPr>
        <w:t>我们已经按约定给付特定心脑血管疾病扩展保险金的，本合同终止。</w:t>
      </w:r>
    </w:p>
    <w:p>
      <w:pPr>
        <w:spacing w:line="350" w:lineRule="exact" w:before="34"/>
        <w:ind w:left="2698" w:right="0" w:firstLine="0"/>
        <w:jc w:val="left"/>
        <w:rPr>
          <w:rFonts w:ascii="微软雅黑" w:hAnsi="微软雅黑" w:eastAsia="微软雅黑"/>
          <w:b/>
          <w:sz w:val="21"/>
        </w:rPr>
      </w:pPr>
      <w:r>
        <w:rPr>
          <w:rFonts w:ascii="微软雅黑" w:hAnsi="微软雅黑" w:eastAsia="微软雅黑"/>
          <w:b/>
          <w:w w:val="95"/>
          <w:sz w:val="21"/>
        </w:rPr>
        <w:t>再</w:t>
      </w:r>
      <w:r>
        <w:rPr>
          <w:rFonts w:ascii="微软雅黑" w:hAnsi="微软雅黑" w:eastAsia="微软雅黑"/>
          <w:b/>
          <w:w w:val="95"/>
          <w:sz w:val="21"/>
        </w:rPr>
        <w:t>次</w:t>
      </w:r>
      <w:r>
        <w:rPr>
          <w:rFonts w:ascii="微软雅黑" w:hAnsi="微软雅黑" w:eastAsia="微软雅黑"/>
          <w:b/>
          <w:w w:val="95"/>
          <w:sz w:val="21"/>
        </w:rPr>
        <w:t>确</w:t>
      </w:r>
      <w:r>
        <w:rPr>
          <w:rFonts w:ascii="微软雅黑" w:hAnsi="微软雅黑" w:eastAsia="微软雅黑"/>
          <w:b/>
          <w:w w:val="95"/>
          <w:sz w:val="21"/>
        </w:rPr>
        <w:t>诊“</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的</w:t>
      </w:r>
      <w:r>
        <w:rPr>
          <w:rFonts w:ascii="微软雅黑" w:hAnsi="微软雅黑" w:eastAsia="微软雅黑"/>
          <w:b/>
          <w:w w:val="95"/>
          <w:sz w:val="21"/>
        </w:rPr>
        <w:t>确</w:t>
      </w:r>
      <w:r>
        <w:rPr>
          <w:rFonts w:ascii="微软雅黑" w:hAnsi="微软雅黑" w:eastAsia="微软雅黑"/>
          <w:b/>
          <w:w w:val="95"/>
          <w:sz w:val="21"/>
        </w:rPr>
        <w:t>诊</w:t>
      </w:r>
      <w:r>
        <w:rPr>
          <w:rFonts w:ascii="微软雅黑" w:hAnsi="微软雅黑" w:eastAsia="微软雅黑"/>
          <w:b/>
          <w:w w:val="95"/>
          <w:sz w:val="21"/>
        </w:rPr>
        <w:t>日</w:t>
      </w:r>
      <w:r>
        <w:rPr>
          <w:rFonts w:ascii="微软雅黑" w:hAnsi="微软雅黑" w:eastAsia="微软雅黑"/>
          <w:b/>
          <w:w w:val="95"/>
          <w:sz w:val="21"/>
        </w:rPr>
        <w:t>须</w:t>
      </w:r>
      <w:r>
        <w:rPr>
          <w:rFonts w:ascii="微软雅黑" w:hAnsi="微软雅黑" w:eastAsia="微软雅黑"/>
          <w:b/>
          <w:w w:val="95"/>
          <w:sz w:val="21"/>
        </w:rPr>
        <w:t>距</w:t>
      </w:r>
      <w:r>
        <w:rPr>
          <w:rFonts w:ascii="微软雅黑" w:hAnsi="微软雅黑" w:eastAsia="微软雅黑"/>
          <w:b/>
          <w:w w:val="95"/>
          <w:sz w:val="21"/>
        </w:rPr>
        <w:t>重</w:t>
      </w:r>
      <w:r>
        <w:rPr>
          <w:rFonts w:ascii="微软雅黑" w:hAnsi="微软雅黑" w:eastAsia="微软雅黑"/>
          <w:b/>
          <w:w w:val="95"/>
          <w:sz w:val="21"/>
        </w:rPr>
        <w:t>大</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保</w:t>
      </w:r>
      <w:r>
        <w:rPr>
          <w:rFonts w:ascii="微软雅黑" w:hAnsi="微软雅黑" w:eastAsia="微软雅黑"/>
          <w:b/>
          <w:w w:val="95"/>
          <w:sz w:val="21"/>
        </w:rPr>
        <w:t>险</w:t>
      </w:r>
      <w:r>
        <w:rPr>
          <w:rFonts w:ascii="微软雅黑" w:hAnsi="微软雅黑" w:eastAsia="微软雅黑"/>
          <w:b/>
          <w:w w:val="95"/>
          <w:sz w:val="21"/>
        </w:rPr>
        <w:t>金</w:t>
      </w:r>
      <w:r>
        <w:rPr>
          <w:rFonts w:ascii="微软雅黑" w:hAnsi="微软雅黑" w:eastAsia="微软雅黑"/>
          <w:b/>
          <w:w w:val="95"/>
          <w:sz w:val="21"/>
        </w:rPr>
        <w:t>对</w:t>
      </w:r>
      <w:r>
        <w:rPr>
          <w:rFonts w:ascii="微软雅黑" w:hAnsi="微软雅黑" w:eastAsia="微软雅黑"/>
          <w:b/>
          <w:w w:val="95"/>
          <w:sz w:val="21"/>
        </w:rPr>
        <w:t>应</w:t>
      </w:r>
      <w:r>
        <w:rPr>
          <w:rFonts w:ascii="微软雅黑" w:hAnsi="微软雅黑" w:eastAsia="微软雅黑"/>
          <w:b/>
          <w:w w:val="95"/>
          <w:sz w:val="21"/>
        </w:rPr>
        <w:t>的“</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spacing w:val="-10"/>
          <w:w w:val="95"/>
          <w:sz w:val="21"/>
        </w:rPr>
        <w:t>瘤</w:t>
      </w:r>
    </w:p>
    <w:p>
      <w:pPr>
        <w:spacing w:line="350" w:lineRule="exact" w:before="0"/>
        <w:ind w:left="2698"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确</w:t>
      </w:r>
      <w:r>
        <w:rPr>
          <w:rFonts w:ascii="微软雅黑" w:hAnsi="微软雅黑" w:eastAsia="微软雅黑"/>
          <w:b/>
          <w:w w:val="95"/>
          <w:sz w:val="21"/>
        </w:rPr>
        <w:t>诊</w:t>
      </w:r>
      <w:r>
        <w:rPr>
          <w:rFonts w:ascii="微软雅黑" w:hAnsi="微软雅黑" w:eastAsia="微软雅黑"/>
          <w:b/>
          <w:w w:val="95"/>
          <w:sz w:val="21"/>
        </w:rPr>
        <w:t>之</w:t>
      </w:r>
      <w:r>
        <w:rPr>
          <w:rFonts w:ascii="微软雅黑" w:hAnsi="微软雅黑" w:eastAsia="微软雅黑"/>
          <w:b/>
          <w:w w:val="95"/>
          <w:sz w:val="21"/>
        </w:rPr>
        <w:t>日起已</w:t>
      </w:r>
      <w:r>
        <w:rPr>
          <w:rFonts w:ascii="微软雅黑" w:hAnsi="微软雅黑" w:eastAsia="微软雅黑"/>
          <w:b/>
          <w:w w:val="95"/>
          <w:sz w:val="21"/>
        </w:rPr>
        <w:t>满</w:t>
      </w:r>
      <w:r>
        <w:rPr>
          <w:rFonts w:ascii="微软雅黑" w:hAnsi="微软雅黑" w:eastAsia="微软雅黑"/>
          <w:b/>
          <w:w w:val="95"/>
          <w:sz w:val="21"/>
        </w:rPr>
        <w:t>三</w:t>
      </w:r>
      <w:r>
        <w:rPr>
          <w:rFonts w:ascii="微软雅黑" w:hAnsi="微软雅黑" w:eastAsia="微软雅黑"/>
          <w:b/>
          <w:w w:val="95"/>
          <w:sz w:val="21"/>
        </w:rPr>
        <w:t>年</w:t>
      </w:r>
      <w:r>
        <w:rPr>
          <w:rFonts w:ascii="微软雅黑" w:hAnsi="微软雅黑" w:eastAsia="微软雅黑"/>
          <w:b/>
          <w:w w:val="95"/>
          <w:sz w:val="21"/>
        </w:rPr>
        <w:t>，</w:t>
      </w:r>
      <w:r>
        <w:rPr>
          <w:rFonts w:ascii="微软雅黑" w:hAnsi="微软雅黑" w:eastAsia="微软雅黑"/>
          <w:b/>
          <w:w w:val="95"/>
          <w:sz w:val="21"/>
        </w:rPr>
        <w:t>且</w:t>
      </w:r>
      <w:r>
        <w:rPr>
          <w:rFonts w:ascii="微软雅黑" w:hAnsi="微软雅黑" w:eastAsia="微软雅黑"/>
          <w:b/>
          <w:w w:val="95"/>
          <w:sz w:val="21"/>
        </w:rPr>
        <w:t>需</w:t>
      </w:r>
      <w:r>
        <w:rPr>
          <w:rFonts w:ascii="微软雅黑" w:hAnsi="微软雅黑" w:eastAsia="微软雅黑"/>
          <w:b/>
          <w:w w:val="95"/>
          <w:sz w:val="21"/>
        </w:rPr>
        <w:t>满</w:t>
      </w:r>
      <w:r>
        <w:rPr>
          <w:rFonts w:ascii="微软雅黑" w:hAnsi="微软雅黑" w:eastAsia="微软雅黑"/>
          <w:b/>
          <w:w w:val="95"/>
          <w:sz w:val="21"/>
        </w:rPr>
        <w:t>足</w:t>
      </w:r>
      <w:r>
        <w:rPr>
          <w:rFonts w:ascii="微软雅黑" w:hAnsi="微软雅黑" w:eastAsia="微软雅黑"/>
          <w:b/>
          <w:w w:val="95"/>
          <w:sz w:val="21"/>
        </w:rPr>
        <w:t>以下条</w:t>
      </w:r>
      <w:r>
        <w:rPr>
          <w:rFonts w:ascii="微软雅黑" w:hAnsi="微软雅黑" w:eastAsia="微软雅黑"/>
          <w:b/>
          <w:w w:val="95"/>
          <w:sz w:val="21"/>
        </w:rPr>
        <w:t>件</w:t>
      </w:r>
      <w:r>
        <w:rPr>
          <w:rFonts w:ascii="微软雅黑" w:hAnsi="微软雅黑" w:eastAsia="微软雅黑"/>
          <w:b/>
          <w:w w:val="95"/>
          <w:sz w:val="21"/>
        </w:rPr>
        <w:t>之</w:t>
      </w:r>
      <w:r>
        <w:rPr>
          <w:rFonts w:ascii="微软雅黑" w:hAnsi="微软雅黑" w:eastAsia="微软雅黑"/>
          <w:b/>
          <w:w w:val="95"/>
          <w:sz w:val="21"/>
        </w:rPr>
        <w:t>一</w:t>
      </w:r>
      <w:r>
        <w:rPr>
          <w:rFonts w:ascii="微软雅黑" w:hAnsi="微软雅黑" w:eastAsia="微软雅黑"/>
          <w:b/>
          <w:spacing w:val="-10"/>
          <w:w w:val="95"/>
          <w:sz w:val="21"/>
        </w:rPr>
        <w:t>：</w:t>
      </w:r>
    </w:p>
    <w:p>
      <w:pPr>
        <w:pStyle w:val="ListParagraph"/>
        <w:numPr>
          <w:ilvl w:val="3"/>
          <w:numId w:val="4"/>
        </w:numPr>
        <w:tabs>
          <w:tab w:pos="3228" w:val="left" w:leader="none"/>
        </w:tabs>
        <w:spacing w:line="240" w:lineRule="auto" w:before="19" w:after="0"/>
        <w:ind w:left="3227" w:right="0" w:hanging="530"/>
        <w:jc w:val="left"/>
        <w:rPr>
          <w:rFonts w:ascii="微软雅黑" w:hAnsi="微软雅黑" w:eastAsia="微软雅黑"/>
          <w:b/>
          <w:sz w:val="21"/>
        </w:rPr>
      </w:pPr>
      <w:r>
        <w:rPr>
          <w:rFonts w:ascii="微软雅黑" w:hAnsi="微软雅黑" w:eastAsia="微软雅黑"/>
          <w:b/>
          <w:w w:val="95"/>
          <w:sz w:val="21"/>
        </w:rPr>
        <w:t>与</w:t>
      </w:r>
      <w:r>
        <w:rPr>
          <w:rFonts w:ascii="微软雅黑" w:hAnsi="微软雅黑" w:eastAsia="微软雅黑"/>
          <w:b/>
          <w:w w:val="95"/>
          <w:sz w:val="21"/>
        </w:rPr>
        <w:t>初</w:t>
      </w:r>
      <w:r>
        <w:rPr>
          <w:rFonts w:ascii="微软雅黑" w:hAnsi="微软雅黑" w:eastAsia="微软雅黑"/>
          <w:b/>
          <w:w w:val="95"/>
          <w:sz w:val="21"/>
        </w:rPr>
        <w:t>次</w:t>
      </w:r>
      <w:r>
        <w:rPr>
          <w:rFonts w:ascii="微软雅黑" w:hAnsi="微软雅黑" w:eastAsia="微软雅黑"/>
          <w:b/>
          <w:w w:val="95"/>
          <w:sz w:val="21"/>
        </w:rPr>
        <w:t>确</w:t>
      </w:r>
      <w:r>
        <w:rPr>
          <w:rFonts w:ascii="微软雅黑" w:hAnsi="微软雅黑" w:eastAsia="微软雅黑"/>
          <w:b/>
          <w:w w:val="95"/>
          <w:sz w:val="21"/>
        </w:rPr>
        <w:t>诊</w:t>
      </w:r>
      <w:r>
        <w:rPr>
          <w:rFonts w:ascii="微软雅黑" w:hAnsi="微软雅黑" w:eastAsia="微软雅黑"/>
          <w:b/>
          <w:w w:val="95"/>
          <w:sz w:val="21"/>
        </w:rPr>
        <w:t>的</w:t>
      </w:r>
      <w:r>
        <w:rPr>
          <w:rFonts w:ascii="微软雅黑" w:hAnsi="微软雅黑" w:eastAsia="微软雅黑"/>
          <w:b/>
          <w:w w:val="95"/>
          <w:sz w:val="21"/>
        </w:rPr>
        <w:t>“恶性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属</w:t>
      </w:r>
      <w:r>
        <w:rPr>
          <w:rFonts w:ascii="微软雅黑" w:hAnsi="微软雅黑" w:eastAsia="微软雅黑"/>
          <w:b/>
          <w:w w:val="95"/>
          <w:sz w:val="21"/>
        </w:rPr>
        <w:t>于不同</w:t>
      </w:r>
      <w:r>
        <w:rPr>
          <w:rFonts w:ascii="微软雅黑" w:hAnsi="微软雅黑" w:eastAsia="微软雅黑"/>
          <w:b/>
          <w:w w:val="95"/>
          <w:sz w:val="21"/>
        </w:rPr>
        <w:t>的</w:t>
      </w:r>
      <w:r>
        <w:rPr>
          <w:rFonts w:ascii="微软雅黑" w:hAnsi="微软雅黑" w:eastAsia="微软雅黑"/>
          <w:b/>
          <w:w w:val="95"/>
          <w:sz w:val="21"/>
        </w:rPr>
        <w:t>病</w:t>
      </w:r>
      <w:r>
        <w:rPr>
          <w:rFonts w:ascii="微软雅黑" w:hAnsi="微软雅黑" w:eastAsia="微软雅黑"/>
          <w:b/>
          <w:w w:val="95"/>
          <w:sz w:val="21"/>
        </w:rPr>
        <w:t>理</w:t>
      </w:r>
      <w:r>
        <w:rPr>
          <w:rFonts w:ascii="微软雅黑" w:hAnsi="微软雅黑" w:eastAsia="微软雅黑"/>
          <w:b/>
          <w:w w:val="95"/>
          <w:sz w:val="21"/>
        </w:rPr>
        <w:t>学</w:t>
      </w:r>
      <w:r>
        <w:rPr>
          <w:rFonts w:ascii="微软雅黑" w:hAnsi="微软雅黑" w:eastAsia="微软雅黑"/>
          <w:b/>
          <w:w w:val="95"/>
          <w:sz w:val="21"/>
        </w:rPr>
        <w:t>及</w:t>
      </w:r>
      <w:r>
        <w:rPr>
          <w:rFonts w:ascii="微软雅黑" w:hAnsi="微软雅黑" w:eastAsia="微软雅黑"/>
          <w:b/>
          <w:w w:val="95"/>
          <w:sz w:val="21"/>
        </w:rPr>
        <w:t>组</w:t>
      </w:r>
      <w:r>
        <w:rPr>
          <w:rFonts w:ascii="微软雅黑" w:hAnsi="微软雅黑" w:eastAsia="微软雅黑"/>
          <w:b/>
          <w:w w:val="95"/>
          <w:sz w:val="21"/>
        </w:rPr>
        <w:t>织</w:t>
      </w:r>
      <w:r>
        <w:rPr>
          <w:rFonts w:ascii="微软雅黑" w:hAnsi="微软雅黑" w:eastAsia="微软雅黑"/>
          <w:b/>
          <w:w w:val="95"/>
          <w:sz w:val="21"/>
        </w:rPr>
        <w:t>学</w:t>
      </w:r>
      <w:r>
        <w:rPr>
          <w:rFonts w:ascii="微软雅黑" w:hAnsi="微软雅黑" w:eastAsia="微软雅黑"/>
          <w:b/>
          <w:w w:val="95"/>
          <w:sz w:val="21"/>
        </w:rPr>
        <w:t>类</w:t>
      </w:r>
      <w:r>
        <w:rPr>
          <w:rFonts w:ascii="微软雅黑" w:hAnsi="微软雅黑" w:eastAsia="微软雅黑"/>
          <w:b/>
          <w:w w:val="95"/>
          <w:sz w:val="21"/>
        </w:rPr>
        <w:t>型</w:t>
      </w:r>
      <w:r>
        <w:rPr>
          <w:rFonts w:ascii="微软雅黑" w:hAnsi="微软雅黑" w:eastAsia="微软雅黑"/>
          <w:b/>
          <w:spacing w:val="-10"/>
          <w:w w:val="95"/>
          <w:sz w:val="21"/>
        </w:rPr>
        <w:t>；</w:t>
      </w:r>
    </w:p>
    <w:p>
      <w:pPr>
        <w:pStyle w:val="ListParagraph"/>
        <w:numPr>
          <w:ilvl w:val="3"/>
          <w:numId w:val="4"/>
        </w:numPr>
        <w:tabs>
          <w:tab w:pos="3228" w:val="left" w:leader="none"/>
        </w:tabs>
        <w:spacing w:line="240" w:lineRule="auto" w:before="18" w:after="0"/>
        <w:ind w:left="3227" w:right="0" w:hanging="530"/>
        <w:jc w:val="left"/>
        <w:rPr>
          <w:rFonts w:ascii="微软雅黑" w:hAnsi="微软雅黑" w:eastAsia="微软雅黑"/>
          <w:b/>
          <w:sz w:val="21"/>
        </w:rPr>
      </w:pPr>
      <w:r>
        <w:rPr>
          <w:rFonts w:ascii="微软雅黑" w:hAnsi="微软雅黑" w:eastAsia="微软雅黑"/>
          <w:b/>
          <w:w w:val="95"/>
          <w:sz w:val="21"/>
        </w:rPr>
        <w:t>为</w:t>
      </w:r>
      <w:r>
        <w:rPr>
          <w:rFonts w:ascii="微软雅黑" w:hAnsi="微软雅黑" w:eastAsia="微软雅黑"/>
          <w:b/>
          <w:w w:val="95"/>
          <w:sz w:val="21"/>
        </w:rPr>
        <w:t>初</w:t>
      </w:r>
      <w:r>
        <w:rPr>
          <w:rFonts w:ascii="微软雅黑" w:hAnsi="微软雅黑" w:eastAsia="微软雅黑"/>
          <w:b/>
          <w:w w:val="95"/>
          <w:sz w:val="21"/>
        </w:rPr>
        <w:t>次</w:t>
      </w:r>
      <w:r>
        <w:rPr>
          <w:rFonts w:ascii="微软雅黑" w:hAnsi="微软雅黑" w:eastAsia="微软雅黑"/>
          <w:b/>
          <w:w w:val="95"/>
          <w:sz w:val="21"/>
        </w:rPr>
        <w:t>确</w:t>
      </w:r>
      <w:r>
        <w:rPr>
          <w:rFonts w:ascii="微软雅黑" w:hAnsi="微软雅黑" w:eastAsia="微软雅黑"/>
          <w:b/>
          <w:w w:val="95"/>
          <w:sz w:val="21"/>
        </w:rPr>
        <w:t>诊</w:t>
      </w:r>
      <w:r>
        <w:rPr>
          <w:rFonts w:ascii="微软雅黑" w:hAnsi="微软雅黑" w:eastAsia="微软雅黑"/>
          <w:b/>
          <w:w w:val="95"/>
          <w:sz w:val="21"/>
        </w:rPr>
        <w:t>的</w:t>
      </w:r>
      <w:r>
        <w:rPr>
          <w:rFonts w:ascii="微软雅黑" w:hAnsi="微软雅黑" w:eastAsia="微软雅黑"/>
          <w:b/>
          <w:w w:val="95"/>
          <w:sz w:val="21"/>
        </w:rPr>
        <w:t>“恶性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的</w:t>
      </w:r>
      <w:r>
        <w:rPr>
          <w:rFonts w:ascii="微软雅黑" w:hAnsi="微软雅黑" w:eastAsia="微软雅黑"/>
          <w:b/>
          <w:w w:val="95"/>
          <w:sz w:val="21"/>
        </w:rPr>
        <w:t>复发、</w:t>
      </w:r>
      <w:r>
        <w:rPr>
          <w:rFonts w:ascii="微软雅黑" w:hAnsi="微软雅黑" w:eastAsia="微软雅黑"/>
          <w:b/>
          <w:w w:val="95"/>
          <w:sz w:val="21"/>
        </w:rPr>
        <w:t>转</w:t>
      </w:r>
      <w:r>
        <w:rPr>
          <w:rFonts w:ascii="微软雅黑" w:hAnsi="微软雅黑" w:eastAsia="微软雅黑"/>
          <w:b/>
          <w:w w:val="95"/>
          <w:sz w:val="21"/>
        </w:rPr>
        <w:t>移</w:t>
      </w:r>
      <w:r>
        <w:rPr>
          <w:rFonts w:ascii="微软雅黑" w:hAnsi="微软雅黑" w:eastAsia="微软雅黑"/>
          <w:b/>
          <w:w w:val="95"/>
          <w:sz w:val="21"/>
        </w:rPr>
        <w:t>或</w:t>
      </w:r>
      <w:r>
        <w:rPr>
          <w:rFonts w:ascii="微软雅黑" w:hAnsi="微软雅黑" w:eastAsia="微软雅黑"/>
          <w:b/>
          <w:w w:val="95"/>
          <w:sz w:val="21"/>
        </w:rPr>
        <w:t>扩</w:t>
      </w:r>
      <w:r>
        <w:rPr>
          <w:rFonts w:ascii="微软雅黑" w:hAnsi="微软雅黑" w:eastAsia="微软雅黑"/>
          <w:b/>
          <w:w w:val="95"/>
          <w:sz w:val="21"/>
        </w:rPr>
        <w:t>散</w:t>
      </w:r>
      <w:r>
        <w:rPr>
          <w:rFonts w:ascii="微软雅黑" w:hAnsi="微软雅黑" w:eastAsia="微软雅黑"/>
          <w:b/>
          <w:spacing w:val="-10"/>
          <w:w w:val="95"/>
          <w:sz w:val="21"/>
        </w:rPr>
        <w:t>；</w:t>
      </w:r>
    </w:p>
    <w:p>
      <w:pPr>
        <w:pStyle w:val="ListParagraph"/>
        <w:numPr>
          <w:ilvl w:val="3"/>
          <w:numId w:val="4"/>
        </w:numPr>
        <w:tabs>
          <w:tab w:pos="3228" w:val="left" w:leader="none"/>
        </w:tabs>
        <w:spacing w:line="240" w:lineRule="auto" w:before="16" w:after="0"/>
        <w:ind w:left="3227" w:right="0" w:hanging="530"/>
        <w:jc w:val="left"/>
        <w:rPr>
          <w:rFonts w:ascii="微软雅黑" w:hAnsi="微软雅黑" w:eastAsia="微软雅黑"/>
          <w:b/>
          <w:sz w:val="21"/>
        </w:rPr>
      </w:pPr>
      <w:r>
        <w:rPr>
          <w:rFonts w:ascii="微软雅黑" w:hAnsi="微软雅黑" w:eastAsia="微软雅黑"/>
          <w:b/>
          <w:w w:val="95"/>
          <w:sz w:val="21"/>
        </w:rPr>
        <w:t>初</w:t>
      </w:r>
      <w:r>
        <w:rPr>
          <w:rFonts w:ascii="微软雅黑" w:hAnsi="微软雅黑" w:eastAsia="微软雅黑"/>
          <w:b/>
          <w:w w:val="95"/>
          <w:sz w:val="21"/>
        </w:rPr>
        <w:t>次</w:t>
      </w:r>
      <w:r>
        <w:rPr>
          <w:rFonts w:ascii="微软雅黑" w:hAnsi="微软雅黑" w:eastAsia="微软雅黑"/>
          <w:b/>
          <w:w w:val="95"/>
          <w:sz w:val="21"/>
        </w:rPr>
        <w:t>确</w:t>
      </w:r>
      <w:r>
        <w:rPr>
          <w:rFonts w:ascii="微软雅黑" w:hAnsi="微软雅黑" w:eastAsia="微软雅黑"/>
          <w:b/>
          <w:w w:val="95"/>
          <w:sz w:val="21"/>
        </w:rPr>
        <w:t>诊</w:t>
      </w:r>
      <w:r>
        <w:rPr>
          <w:rFonts w:ascii="微软雅黑" w:hAnsi="微软雅黑" w:eastAsia="微软雅黑"/>
          <w:b/>
          <w:w w:val="95"/>
          <w:sz w:val="21"/>
        </w:rPr>
        <w:t>的</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仍</w:t>
      </w:r>
      <w:r>
        <w:rPr>
          <w:rFonts w:ascii="微软雅黑" w:hAnsi="微软雅黑" w:eastAsia="微软雅黑"/>
          <w:b/>
          <w:w w:val="95"/>
          <w:sz w:val="21"/>
        </w:rPr>
        <w:t>持</w:t>
      </w:r>
      <w:r>
        <w:rPr>
          <w:rFonts w:ascii="微软雅黑" w:hAnsi="微软雅黑" w:eastAsia="微软雅黑"/>
          <w:b/>
          <w:spacing w:val="-5"/>
          <w:w w:val="95"/>
          <w:sz w:val="21"/>
        </w:rPr>
        <w:t>续。</w:t>
      </w:r>
    </w:p>
    <w:p>
      <w:pPr>
        <w:spacing w:line="194" w:lineRule="auto" w:before="71"/>
        <w:ind w:left="2698" w:right="668" w:firstLine="0"/>
        <w:jc w:val="both"/>
        <w:rPr>
          <w:rFonts w:ascii="微软雅黑" w:hAnsi="微软雅黑" w:eastAsia="微软雅黑"/>
          <w:b/>
          <w:sz w:val="21"/>
        </w:rPr>
      </w:pPr>
      <w:r>
        <w:rPr>
          <w:rFonts w:ascii="微软雅黑" w:hAnsi="微软雅黑" w:eastAsia="微软雅黑"/>
          <w:b/>
          <w:spacing w:val="-4"/>
          <w:sz w:val="21"/>
        </w:rPr>
        <w:t>对于被保险人在本合同生效日前所出现的“恶性肿瘤——</w:t>
      </w:r>
      <w:r>
        <w:rPr>
          <w:rFonts w:ascii="微软雅黑" w:hAnsi="微软雅黑" w:eastAsia="微软雅黑"/>
          <w:b/>
          <w:spacing w:val="-4"/>
          <w:sz w:val="21"/>
        </w:rPr>
        <w:t>重度”的症状体征或所患的“恶性肿瘤——重度”，在本合同有效期间内再次确诊该疾病的，我们不承</w:t>
      </w:r>
      <w:r>
        <w:rPr>
          <w:rFonts w:ascii="微软雅黑" w:hAnsi="微软雅黑" w:eastAsia="微软雅黑"/>
          <w:b/>
          <w:spacing w:val="-2"/>
          <w:sz w:val="21"/>
        </w:rPr>
        <w:t>担给付本项保险金的责任。</w:t>
      </w:r>
    </w:p>
    <w:p>
      <w:pPr>
        <w:pStyle w:val="BodyText"/>
        <w:spacing w:before="3"/>
        <w:rPr>
          <w:rFonts w:ascii="微软雅黑"/>
          <w:b/>
          <w:sz w:val="14"/>
        </w:rPr>
      </w:pPr>
    </w:p>
    <w:p>
      <w:pPr>
        <w:spacing w:after="0"/>
        <w:rPr>
          <w:rFonts w:ascii="微软雅黑"/>
          <w:sz w:val="14"/>
        </w:rPr>
        <w:sectPr>
          <w:pgSz w:w="11910" w:h="16840"/>
          <w:pgMar w:header="0" w:footer="406" w:top="1080" w:bottom="600" w:left="900" w:right="340"/>
        </w:sectPr>
      </w:pPr>
    </w:p>
    <w:p>
      <w:pPr>
        <w:pStyle w:val="ListParagraph"/>
        <w:numPr>
          <w:ilvl w:val="2"/>
          <w:numId w:val="4"/>
        </w:numPr>
        <w:tabs>
          <w:tab w:pos="1080" w:val="left" w:leader="none"/>
          <w:tab w:pos="1081" w:val="left" w:leader="none"/>
        </w:tabs>
        <w:spacing w:line="350" w:lineRule="exact" w:before="4" w:after="0"/>
        <w:ind w:left="1080" w:right="0" w:hanging="854"/>
        <w:jc w:val="left"/>
        <w:rPr>
          <w:rFonts w:ascii="微软雅黑" w:eastAsia="微软雅黑"/>
          <w:b/>
          <w:sz w:val="21"/>
        </w:rPr>
      </w:pPr>
      <w:r>
        <w:rPr>
          <w:rFonts w:ascii="微软雅黑" w:eastAsia="微软雅黑"/>
          <w:b/>
          <w:spacing w:val="20"/>
          <w:sz w:val="21"/>
        </w:rPr>
        <w:t>特定心脑血管</w:t>
      </w:r>
    </w:p>
    <w:p>
      <w:pPr>
        <w:spacing w:line="194" w:lineRule="auto" w:before="15"/>
        <w:ind w:left="1080" w:right="0" w:firstLine="0"/>
        <w:jc w:val="left"/>
        <w:rPr>
          <w:rFonts w:ascii="微软雅黑" w:eastAsia="微软雅黑"/>
          <w:b/>
          <w:sz w:val="21"/>
        </w:rPr>
      </w:pPr>
      <w:r>
        <w:rPr>
          <w:rFonts w:ascii="微软雅黑" w:eastAsia="微软雅黑"/>
          <w:b/>
          <w:spacing w:val="20"/>
          <w:sz w:val="21"/>
        </w:rPr>
        <w:t>疾病扩展保险</w:t>
      </w:r>
      <w:r>
        <w:rPr>
          <w:rFonts w:ascii="微软雅黑" w:eastAsia="微软雅黑"/>
          <w:b/>
          <w:sz w:val="21"/>
        </w:rPr>
        <w:t>金（可选责任</w:t>
      </w:r>
      <w:r>
        <w:rPr>
          <w:rFonts w:ascii="微软雅黑" w:eastAsia="微软雅黑"/>
          <w:b/>
          <w:spacing w:val="-10"/>
          <w:sz w:val="21"/>
        </w:rPr>
        <w:t>）</w:t>
      </w:r>
    </w:p>
    <w:p>
      <w:pPr>
        <w:spacing w:line="312" w:lineRule="exact" w:before="32"/>
        <w:ind w:left="99" w:right="666" w:firstLine="0"/>
        <w:jc w:val="both"/>
        <w:rPr>
          <w:rFonts w:ascii="微软雅黑" w:eastAsia="微软雅黑"/>
          <w:b/>
          <w:sz w:val="21"/>
        </w:rPr>
      </w:pPr>
      <w:r>
        <w:rPr/>
        <w:br w:type="column"/>
      </w:r>
      <w:r>
        <w:rPr>
          <w:spacing w:val="2"/>
          <w:w w:val="100"/>
          <w:sz w:val="21"/>
        </w:rPr>
        <w:t>被保险人在本公司认可的医疗机构内被专科医生初次确诊本合同所定义的特定</w:t>
      </w:r>
      <w:r>
        <w:rPr>
          <w:spacing w:val="-7"/>
          <w:w w:val="100"/>
          <w:sz w:val="21"/>
        </w:rPr>
        <w:t>心脑血管疾病之外的其他重大疾病，且针对该疾病我们已经按约定给付重大疾病</w:t>
      </w:r>
      <w:r>
        <w:rPr>
          <w:spacing w:val="-8"/>
          <w:w w:val="100"/>
          <w:sz w:val="21"/>
        </w:rPr>
        <w:t>保险金后，初次患本合同所定义的特定心脑血管疾病</w:t>
      </w:r>
      <w:r>
        <w:rPr>
          <w:w w:val="100"/>
          <w:sz w:val="21"/>
        </w:rPr>
        <w:t>（</w:t>
      </w:r>
      <w:r>
        <w:rPr>
          <w:spacing w:val="-3"/>
          <w:w w:val="100"/>
          <w:sz w:val="21"/>
        </w:rPr>
        <w:t>无论一种或多种</w:t>
      </w:r>
      <w:r>
        <w:rPr>
          <w:spacing w:val="-22"/>
          <w:w w:val="100"/>
          <w:sz w:val="21"/>
        </w:rPr>
        <w:t>）</w:t>
      </w:r>
      <w:r>
        <w:rPr>
          <w:spacing w:val="-2"/>
          <w:w w:val="100"/>
          <w:sz w:val="21"/>
        </w:rPr>
        <w:t>并在本</w:t>
      </w:r>
      <w:r>
        <w:rPr>
          <w:spacing w:val="-9"/>
          <w:w w:val="100"/>
          <w:sz w:val="21"/>
        </w:rPr>
        <w:t>公司认可的医疗机构内被专科医生初次确诊，我们按本合同基本保险金额的</w:t>
      </w:r>
      <w:r>
        <w:rPr>
          <w:spacing w:val="-57"/>
          <w:sz w:val="21"/>
        </w:rPr>
        <w:t> </w:t>
      </w:r>
      <w:r>
        <w:rPr>
          <w:w w:val="100"/>
          <w:sz w:val="21"/>
        </w:rPr>
        <w:t>1</w:t>
      </w:r>
      <w:r>
        <w:rPr>
          <w:spacing w:val="-3"/>
          <w:w w:val="100"/>
          <w:sz w:val="21"/>
        </w:rPr>
        <w:t>5</w:t>
      </w:r>
      <w:r>
        <w:rPr>
          <w:spacing w:val="-1"/>
          <w:w w:val="100"/>
          <w:sz w:val="21"/>
        </w:rPr>
        <w:t>0</w:t>
      </w:r>
      <w:r>
        <w:rPr>
          <w:w w:val="100"/>
          <w:sz w:val="21"/>
        </w:rPr>
        <w:t>%</w:t>
      </w:r>
      <w:r>
        <w:rPr>
          <w:spacing w:val="-8"/>
          <w:w w:val="100"/>
          <w:sz w:val="21"/>
        </w:rPr>
        <w:t>给付特定心脑血管疾病扩展保险金。</w:t>
      </w:r>
      <w:r>
        <w:rPr>
          <w:rFonts w:ascii="微软雅黑" w:eastAsia="微软雅黑"/>
          <w:b/>
          <w:spacing w:val="-3"/>
          <w:w w:val="100"/>
          <w:sz w:val="21"/>
        </w:rPr>
        <w:t>初次确诊的特定心脑血管疾病的确诊日须距</w:t>
      </w:r>
      <w:r>
        <w:rPr>
          <w:rFonts w:ascii="微软雅黑" w:eastAsia="微软雅黑"/>
          <w:b/>
          <w:spacing w:val="1"/>
          <w:w w:val="100"/>
          <w:sz w:val="21"/>
        </w:rPr>
        <w:t>重大疾病保险金对应的特定心脑血管疾病之外的其他重大疾病初次确诊之日起已满一百八十天。</w:t>
      </w:r>
    </w:p>
    <w:p>
      <w:pPr>
        <w:pStyle w:val="BodyText"/>
        <w:spacing w:before="131"/>
        <w:ind w:left="99"/>
      </w:pPr>
      <w:r>
        <w:rPr>
          <w:spacing w:val="-3"/>
        </w:rPr>
        <w:t>我们按照上述约定给付特定心脑血管疾病扩展保险金后，本合同效力约定如下：</w:t>
      </w:r>
    </w:p>
    <w:p>
      <w:pPr>
        <w:pStyle w:val="ListParagraph"/>
        <w:numPr>
          <w:ilvl w:val="0"/>
          <w:numId w:val="6"/>
        </w:numPr>
        <w:tabs>
          <w:tab w:pos="629" w:val="left" w:leader="none"/>
        </w:tabs>
        <w:spacing w:line="240" w:lineRule="auto" w:before="69" w:after="0"/>
        <w:ind w:left="628" w:right="0" w:hanging="530"/>
        <w:jc w:val="left"/>
        <w:rPr>
          <w:rFonts w:ascii="微软雅黑" w:eastAsia="微软雅黑"/>
          <w:b/>
          <w:sz w:val="21"/>
        </w:rPr>
      </w:pPr>
      <w:r>
        <w:rPr>
          <w:rFonts w:ascii="微软雅黑" w:eastAsia="微软雅黑"/>
          <w:b/>
          <w:spacing w:val="-3"/>
          <w:sz w:val="21"/>
        </w:rPr>
        <w:t>若本合同重度恶性肿瘤关爱保险金责任仍然有效的，本项保险责任终止；</w:t>
      </w:r>
    </w:p>
    <w:p>
      <w:pPr>
        <w:pStyle w:val="ListParagraph"/>
        <w:numPr>
          <w:ilvl w:val="0"/>
          <w:numId w:val="6"/>
        </w:numPr>
        <w:tabs>
          <w:tab w:pos="632" w:val="left" w:leader="none"/>
        </w:tabs>
        <w:spacing w:line="194" w:lineRule="auto" w:before="72" w:after="0"/>
        <w:ind w:left="627" w:right="672" w:hanging="529"/>
        <w:jc w:val="left"/>
        <w:rPr>
          <w:rFonts w:ascii="微软雅黑" w:eastAsia="微软雅黑"/>
          <w:b/>
          <w:sz w:val="21"/>
        </w:rPr>
      </w:pPr>
      <w:r>
        <w:rPr>
          <w:rFonts w:ascii="微软雅黑" w:eastAsia="微软雅黑"/>
          <w:b/>
          <w:spacing w:val="-2"/>
          <w:sz w:val="21"/>
        </w:rPr>
        <w:t>若我们不再承担重度恶性肿瘤关爱保险金责任或本合同重度恶性肿瘤关爱</w:t>
      </w:r>
      <w:r>
        <w:rPr>
          <w:rFonts w:ascii="微软雅黑" w:eastAsia="微软雅黑"/>
          <w:b/>
          <w:spacing w:val="-2"/>
          <w:sz w:val="21"/>
        </w:rPr>
        <w:t>保险金责任已终止：</w:t>
      </w:r>
    </w:p>
    <w:p>
      <w:pPr>
        <w:spacing w:line="194" w:lineRule="auto" w:before="90"/>
        <w:ind w:left="836" w:right="668" w:hanging="212"/>
        <w:jc w:val="left"/>
        <w:rPr>
          <w:rFonts w:ascii="微软雅黑" w:hAnsi="微软雅黑" w:eastAsia="微软雅黑"/>
          <w:b/>
          <w:sz w:val="21"/>
        </w:rPr>
      </w:pPr>
      <w:r>
        <w:rPr>
          <w:rFonts w:ascii="微软雅黑" w:hAnsi="微软雅黑" w:eastAsia="微软雅黑"/>
          <w:b/>
          <w:spacing w:val="-2"/>
          <w:sz w:val="21"/>
        </w:rPr>
        <w:t>①若您在投保时选择投保了可选保险责任“恶性肿瘤扩展保险金”且我们</w:t>
      </w:r>
      <w:r>
        <w:rPr>
          <w:rFonts w:ascii="微软雅黑" w:hAnsi="微软雅黑" w:eastAsia="微软雅黑"/>
          <w:b/>
          <w:spacing w:val="-2"/>
          <w:sz w:val="21"/>
        </w:rPr>
        <w:t>尚未按约定给付恶性肿瘤扩展保险金的，本项保险责任终止；</w:t>
      </w:r>
    </w:p>
    <w:p>
      <w:pPr>
        <w:spacing w:line="194" w:lineRule="auto" w:before="88"/>
        <w:ind w:left="836" w:right="668" w:hanging="212"/>
        <w:jc w:val="both"/>
        <w:rPr>
          <w:rFonts w:ascii="微软雅黑" w:hAnsi="微软雅黑" w:eastAsia="微软雅黑"/>
          <w:b/>
          <w:sz w:val="21"/>
        </w:rPr>
      </w:pPr>
      <w:r>
        <w:rPr>
          <w:rFonts w:ascii="微软雅黑" w:hAnsi="微软雅黑" w:eastAsia="微软雅黑"/>
          <w:b/>
          <w:spacing w:val="-2"/>
          <w:sz w:val="21"/>
        </w:rPr>
        <w:t>②若您在投保时选择投保了可选保险责任“恶性肿瘤扩展保险金”且我们</w:t>
      </w:r>
      <w:r>
        <w:rPr>
          <w:rFonts w:ascii="微软雅黑" w:hAnsi="微软雅黑" w:eastAsia="微软雅黑"/>
          <w:b/>
          <w:spacing w:val="-2"/>
          <w:sz w:val="21"/>
        </w:rPr>
        <w:t>已按约定给付恶性肿瘤扩展保险金或您在投保时未选择投保可选保险责</w:t>
      </w:r>
      <w:r>
        <w:rPr>
          <w:rFonts w:ascii="微软雅黑" w:hAnsi="微软雅黑" w:eastAsia="微软雅黑"/>
          <w:b/>
          <w:spacing w:val="-2"/>
          <w:sz w:val="21"/>
        </w:rPr>
        <w:t>任“恶性肿瘤扩展保险金”的，本合同终止。</w:t>
      </w:r>
    </w:p>
    <w:p>
      <w:pPr>
        <w:pStyle w:val="BodyText"/>
        <w:spacing w:line="278" w:lineRule="auto" w:before="104"/>
        <w:ind w:left="99" w:right="666"/>
        <w:jc w:val="both"/>
      </w:pPr>
      <w:r>
        <w:rPr>
          <w:spacing w:val="1"/>
          <w:w w:val="100"/>
        </w:rPr>
        <w:t>被保险人在本公司认可的医疗机构内被专科医生初次确诊本合同所定义的特定</w:t>
      </w:r>
      <w:r>
        <w:rPr>
          <w:spacing w:val="-8"/>
          <w:w w:val="100"/>
        </w:rPr>
        <w:t>心脑血管疾病，且针对该疾病我们已经按约定给付重大疾病保险金后，再次患本</w:t>
      </w:r>
      <w:r>
        <w:rPr>
          <w:spacing w:val="1"/>
          <w:w w:val="100"/>
        </w:rPr>
        <w:t>合同所定义的该种特定心脑血管疾病并在本公司认可的医疗机构内被专科医生</w:t>
      </w:r>
      <w:r>
        <w:rPr>
          <w:w w:val="100"/>
        </w:rPr>
        <w:t>再次确诊，我们按本合同基本保险金额的</w:t>
      </w:r>
      <w:r>
        <w:rPr>
          <w:spacing w:val="1"/>
        </w:rPr>
        <w:t> </w:t>
      </w:r>
      <w:r>
        <w:rPr>
          <w:spacing w:val="-3"/>
          <w:w w:val="100"/>
        </w:rPr>
        <w:t>1</w:t>
      </w:r>
      <w:r>
        <w:rPr>
          <w:w w:val="100"/>
        </w:rPr>
        <w:t>5</w:t>
      </w:r>
      <w:r>
        <w:rPr>
          <w:spacing w:val="-3"/>
          <w:w w:val="100"/>
        </w:rPr>
        <w:t>0</w:t>
      </w:r>
      <w:r>
        <w:rPr>
          <w:spacing w:val="-1"/>
          <w:w w:val="100"/>
        </w:rPr>
        <w:t>%给付特定心脑血管疾病扩展保险</w:t>
      </w:r>
    </w:p>
    <w:p>
      <w:pPr>
        <w:spacing w:line="283" w:lineRule="exact" w:before="0"/>
        <w:ind w:left="99" w:right="0" w:firstLine="0"/>
        <w:jc w:val="left"/>
        <w:rPr>
          <w:rFonts w:ascii="微软雅黑" w:hAnsi="微软雅黑" w:eastAsia="微软雅黑"/>
          <w:b/>
          <w:sz w:val="21"/>
        </w:rPr>
      </w:pPr>
      <w:r>
        <w:rPr>
          <w:spacing w:val="-4"/>
          <w:sz w:val="21"/>
        </w:rPr>
        <w:t>金，</w:t>
      </w:r>
      <w:r>
        <w:rPr>
          <w:rFonts w:ascii="微软雅黑" w:hAnsi="微软雅黑" w:eastAsia="微软雅黑"/>
          <w:b/>
          <w:spacing w:val="-5"/>
          <w:sz w:val="21"/>
        </w:rPr>
        <w:t>若您在投保时选择投保了可选保险责任“恶性肿瘤扩展保险金”且我们尚未</w:t>
      </w:r>
    </w:p>
    <w:p>
      <w:pPr>
        <w:spacing w:line="194" w:lineRule="auto" w:before="15"/>
        <w:ind w:left="99" w:right="668" w:firstLine="0"/>
        <w:jc w:val="both"/>
        <w:rPr>
          <w:rFonts w:ascii="微软雅黑" w:hAnsi="微软雅黑" w:eastAsia="微软雅黑"/>
          <w:b/>
          <w:sz w:val="21"/>
        </w:rPr>
      </w:pPr>
      <w:r>
        <w:rPr>
          <w:rFonts w:ascii="微软雅黑" w:hAnsi="微软雅黑" w:eastAsia="微软雅黑"/>
          <w:b/>
          <w:spacing w:val="-2"/>
          <w:sz w:val="21"/>
        </w:rPr>
        <w:t>按约定给付恶性肿瘤扩展保险金的，本项保险责任终止，若您在投保时未选择投</w:t>
      </w:r>
      <w:r>
        <w:rPr>
          <w:rFonts w:ascii="微软雅黑" w:hAnsi="微软雅黑" w:eastAsia="微软雅黑"/>
          <w:b/>
          <w:spacing w:val="-2"/>
          <w:sz w:val="21"/>
        </w:rPr>
        <w:t>保可选保险责任“恶性肿瘤扩展保险金”或您在投保时选择投保了可选保险责任 “恶性肿瘤扩展保险金”且我们已按约定给付恶性肿瘤扩展保险金的，本合同终</w:t>
      </w:r>
      <w:r>
        <w:rPr>
          <w:rFonts w:ascii="微软雅黑" w:hAnsi="微软雅黑" w:eastAsia="微软雅黑"/>
          <w:b/>
          <w:spacing w:val="-12"/>
          <w:sz w:val="21"/>
        </w:rPr>
        <w:t>止。再次确诊的特定心脑血管疾病的确诊日须距重大疾病保险金对应的特定心脑</w:t>
      </w:r>
      <w:r>
        <w:rPr>
          <w:rFonts w:ascii="微软雅黑" w:hAnsi="微软雅黑" w:eastAsia="微软雅黑"/>
          <w:b/>
          <w:spacing w:val="-2"/>
          <w:sz w:val="21"/>
        </w:rPr>
        <w:t>血管疾病初次确诊之日起已满一年。</w:t>
      </w:r>
    </w:p>
    <w:p>
      <w:pPr>
        <w:spacing w:line="194" w:lineRule="auto" w:before="86"/>
        <w:ind w:left="99" w:right="672" w:firstLine="0"/>
        <w:jc w:val="both"/>
        <w:rPr>
          <w:rFonts w:ascii="微软雅黑" w:hAnsi="微软雅黑" w:eastAsia="微软雅黑"/>
          <w:b/>
          <w:sz w:val="21"/>
        </w:rPr>
      </w:pPr>
      <w:r>
        <w:rPr>
          <w:rFonts w:ascii="微软雅黑" w:hAnsi="微软雅黑" w:eastAsia="微软雅黑"/>
          <w:b/>
          <w:spacing w:val="-8"/>
          <w:w w:val="100"/>
          <w:sz w:val="21"/>
        </w:rPr>
        <w:t>若所确诊特定心脑血管疾病为严重脑中风后遗症，则再次确诊严重脑中风后遗症</w:t>
      </w:r>
      <w:r>
        <w:rPr>
          <w:rFonts w:ascii="微软雅黑" w:hAnsi="微软雅黑" w:eastAsia="微软雅黑"/>
          <w:b/>
          <w:spacing w:val="1"/>
          <w:w w:val="100"/>
          <w:sz w:val="21"/>
        </w:rPr>
        <w:t>须由颅脑显影或影像学检查证实与初次确诊的严重脑中风后遗症相比为新一次</w:t>
      </w:r>
      <w:r>
        <w:rPr>
          <w:rFonts w:ascii="微软雅黑" w:hAnsi="微软雅黑" w:eastAsia="微软雅黑"/>
          <w:b/>
          <w:w w:val="100"/>
          <w:sz w:val="21"/>
        </w:rPr>
        <w:t>的中风，并符合本合同“</w:t>
      </w:r>
      <w:r>
        <w:rPr>
          <w:rFonts w:ascii="微软雅黑" w:hAnsi="微软雅黑" w:eastAsia="微软雅黑"/>
          <w:b/>
          <w:w w:val="94"/>
          <w:sz w:val="21"/>
        </w:rPr>
        <w:t>10.3</w:t>
      </w:r>
      <w:r>
        <w:rPr>
          <w:rFonts w:ascii="微软雅黑" w:hAnsi="微软雅黑" w:eastAsia="微软雅黑"/>
          <w:b/>
          <w:spacing w:val="-9"/>
          <w:sz w:val="21"/>
        </w:rPr>
        <w:t>  </w:t>
      </w:r>
      <w:r>
        <w:rPr>
          <w:rFonts w:ascii="微软雅黑" w:hAnsi="微软雅黑" w:eastAsia="微软雅黑"/>
          <w:b/>
          <w:spacing w:val="-1"/>
          <w:w w:val="100"/>
          <w:sz w:val="21"/>
        </w:rPr>
        <w:t>重大疾病定义”中“严重脑中风后遗症”的定义</w:t>
      </w:r>
    </w:p>
    <w:p>
      <w:pPr>
        <w:spacing w:after="0" w:line="194" w:lineRule="auto"/>
        <w:jc w:val="both"/>
        <w:rPr>
          <w:rFonts w:ascii="微软雅黑" w:hAnsi="微软雅黑" w:eastAsia="微软雅黑"/>
          <w:sz w:val="21"/>
        </w:rPr>
        <w:sectPr>
          <w:type w:val="continuous"/>
          <w:pgSz w:w="11910" w:h="16840"/>
          <w:pgMar w:header="0" w:footer="406" w:top="600" w:bottom="280" w:left="900" w:right="340"/>
          <w:cols w:num="2" w:equalWidth="0">
            <w:col w:w="2559" w:space="40"/>
            <w:col w:w="8071"/>
          </w:cols>
        </w:sectPr>
      </w:pPr>
    </w:p>
    <w:p>
      <w:pPr>
        <w:spacing w:line="377" w:lineRule="exact" w:before="0"/>
        <w:ind w:left="2698" w:right="0" w:firstLine="0"/>
        <w:jc w:val="left"/>
        <w:rPr>
          <w:rFonts w:ascii="微软雅黑" w:eastAsia="微软雅黑"/>
          <w:b/>
          <w:sz w:val="21"/>
        </w:rPr>
      </w:pPr>
      <w:r>
        <w:rPr>
          <w:rFonts w:ascii="微软雅黑" w:eastAsia="微软雅黑"/>
          <w:b/>
          <w:spacing w:val="-4"/>
          <w:sz w:val="21"/>
        </w:rPr>
        <w:t>条件。</w:t>
      </w:r>
    </w:p>
    <w:p>
      <w:pPr>
        <w:spacing w:before="18"/>
        <w:ind w:left="2698" w:right="0" w:firstLine="0"/>
        <w:jc w:val="left"/>
        <w:rPr>
          <w:rFonts w:ascii="微软雅黑" w:eastAsia="微软雅黑"/>
          <w:b/>
          <w:sz w:val="21"/>
        </w:rPr>
      </w:pPr>
      <w:r>
        <w:rPr>
          <w:rFonts w:ascii="微软雅黑" w:eastAsia="微软雅黑"/>
          <w:b/>
          <w:spacing w:val="-3"/>
          <w:sz w:val="21"/>
        </w:rPr>
        <w:t>本合同特定心脑血管疾病扩展保险金的累计给付次数以一次为限。</w:t>
      </w:r>
    </w:p>
    <w:p>
      <w:pPr>
        <w:spacing w:line="194" w:lineRule="auto" w:before="72"/>
        <w:ind w:left="2698" w:right="670" w:firstLine="0"/>
        <w:jc w:val="both"/>
        <w:rPr>
          <w:rFonts w:ascii="微软雅黑" w:eastAsia="微软雅黑"/>
          <w:b/>
          <w:sz w:val="21"/>
        </w:rPr>
      </w:pPr>
      <w:r>
        <w:rPr>
          <w:rFonts w:ascii="微软雅黑" w:eastAsia="微软雅黑"/>
          <w:b/>
          <w:spacing w:val="1"/>
          <w:w w:val="100"/>
          <w:sz w:val="21"/>
        </w:rPr>
        <w:t>对于被保险人在本合同生效日前所出现的特定心脑血管疾病的症状体征或所患</w:t>
      </w:r>
      <w:r>
        <w:rPr>
          <w:rFonts w:ascii="微软雅黑" w:eastAsia="微软雅黑"/>
          <w:b/>
          <w:spacing w:val="-7"/>
          <w:w w:val="100"/>
          <w:sz w:val="21"/>
        </w:rPr>
        <w:t>的特定心脑血管疾病，在本合同有效期间内再次确诊该疾病的，我们不承担给付</w:t>
      </w:r>
      <w:r>
        <w:rPr>
          <w:rFonts w:ascii="微软雅黑" w:eastAsia="微软雅黑"/>
          <w:b/>
          <w:w w:val="100"/>
          <w:sz w:val="21"/>
        </w:rPr>
        <w:t>本项保险金的责任。</w:t>
      </w:r>
    </w:p>
    <w:p>
      <w:pPr>
        <w:spacing w:line="194" w:lineRule="auto" w:before="89"/>
        <w:ind w:left="2698" w:right="670" w:firstLine="0"/>
        <w:jc w:val="both"/>
        <w:rPr>
          <w:rFonts w:ascii="微软雅黑" w:eastAsia="微软雅黑"/>
          <w:b/>
          <w:sz w:val="21"/>
        </w:rPr>
      </w:pPr>
      <w:r>
        <w:rPr>
          <w:rFonts w:ascii="微软雅黑" w:eastAsia="微软雅黑"/>
          <w:b/>
          <w:spacing w:val="-9"/>
          <w:w w:val="100"/>
          <w:sz w:val="21"/>
        </w:rPr>
        <w:t>被保险人因同一疾病原因、同次医疗行为或同次意外伤害事故，导致患本合同所</w:t>
      </w:r>
      <w:r>
        <w:rPr>
          <w:rFonts w:ascii="微软雅黑" w:eastAsia="微软雅黑"/>
          <w:b/>
          <w:spacing w:val="1"/>
          <w:w w:val="100"/>
          <w:sz w:val="21"/>
        </w:rPr>
        <w:t>定义的两种或者两种以上的特定心脑血管疾病并符合特定心脑血管疾病扩展保</w:t>
      </w:r>
      <w:r>
        <w:rPr>
          <w:rFonts w:ascii="微软雅黑" w:eastAsia="微软雅黑"/>
          <w:b/>
          <w:spacing w:val="-10"/>
          <w:w w:val="100"/>
          <w:sz w:val="21"/>
        </w:rPr>
        <w:t>险金给付条件的，我们仅按一种特定心脑血管疾病给付特定心脑血管疾病扩展保</w:t>
      </w:r>
      <w:r>
        <w:rPr>
          <w:rFonts w:ascii="微软雅黑" w:eastAsia="微软雅黑"/>
          <w:b/>
          <w:w w:val="100"/>
          <w:sz w:val="21"/>
        </w:rPr>
        <w:t>险金。</w:t>
      </w:r>
    </w:p>
    <w:p>
      <w:pPr>
        <w:pStyle w:val="BodyText"/>
        <w:spacing w:before="16"/>
        <w:rPr>
          <w:rFonts w:ascii="微软雅黑"/>
          <w:b/>
          <w:sz w:val="13"/>
        </w:rPr>
      </w:pPr>
    </w:p>
    <w:p>
      <w:pPr>
        <w:spacing w:after="0"/>
        <w:rPr>
          <w:rFonts w:ascii="微软雅黑"/>
          <w:sz w:val="13"/>
        </w:rPr>
        <w:sectPr>
          <w:pgSz w:w="11910" w:h="16840"/>
          <w:pgMar w:header="0" w:footer="406" w:top="1080" w:bottom="600" w:left="900" w:right="340"/>
        </w:sectPr>
      </w:pPr>
    </w:p>
    <w:p>
      <w:pPr>
        <w:pStyle w:val="ListParagraph"/>
        <w:numPr>
          <w:ilvl w:val="2"/>
          <w:numId w:val="4"/>
        </w:numPr>
        <w:tabs>
          <w:tab w:pos="1080" w:val="left" w:leader="none"/>
          <w:tab w:pos="1081" w:val="left" w:leader="none"/>
        </w:tabs>
        <w:spacing w:line="350" w:lineRule="exact" w:before="5" w:after="0"/>
        <w:ind w:left="1080" w:right="0" w:hanging="854"/>
        <w:jc w:val="left"/>
        <w:rPr>
          <w:rFonts w:ascii="微软雅黑" w:eastAsia="微软雅黑"/>
          <w:b/>
          <w:sz w:val="21"/>
        </w:rPr>
      </w:pPr>
      <w:r>
        <w:rPr>
          <w:rFonts w:ascii="微软雅黑" w:eastAsia="微软雅黑"/>
          <w:b/>
          <w:spacing w:val="20"/>
          <w:sz w:val="21"/>
        </w:rPr>
        <w:t>身故或全残保</w:t>
      </w:r>
    </w:p>
    <w:p>
      <w:pPr>
        <w:spacing w:line="194" w:lineRule="auto" w:before="15"/>
        <w:ind w:left="1080" w:right="0" w:firstLine="0"/>
        <w:jc w:val="left"/>
        <w:rPr>
          <w:rFonts w:ascii="微软雅黑" w:eastAsia="微软雅黑"/>
          <w:b/>
          <w:sz w:val="21"/>
        </w:rPr>
      </w:pPr>
      <w:r>
        <w:rPr>
          <w:rFonts w:ascii="微软雅黑" w:eastAsia="微软雅黑"/>
          <w:b/>
          <w:spacing w:val="26"/>
          <w:sz w:val="21"/>
        </w:rPr>
        <w:t>险金</w:t>
      </w:r>
      <w:r>
        <w:rPr>
          <w:rFonts w:ascii="微软雅黑" w:eastAsia="微软雅黑"/>
          <w:b/>
          <w:sz w:val="21"/>
        </w:rPr>
        <w:t>（</w:t>
      </w:r>
      <w:r>
        <w:rPr>
          <w:rFonts w:ascii="微软雅黑" w:eastAsia="微软雅黑"/>
          <w:b/>
          <w:spacing w:val="3"/>
          <w:sz w:val="21"/>
        </w:rPr>
        <w:t> 可选责</w:t>
      </w:r>
      <w:r>
        <w:rPr>
          <w:rFonts w:ascii="微软雅黑" w:eastAsia="微软雅黑"/>
          <w:b/>
          <w:spacing w:val="-6"/>
          <w:sz w:val="21"/>
        </w:rPr>
        <w:t>任）</w:t>
      </w:r>
    </w:p>
    <w:p>
      <w:pPr>
        <w:spacing w:line="312" w:lineRule="exact" w:before="32"/>
        <w:ind w:left="177" w:right="666" w:firstLine="0"/>
        <w:jc w:val="both"/>
        <w:rPr>
          <w:rFonts w:ascii="微软雅黑" w:eastAsia="微软雅黑"/>
          <w:b/>
          <w:sz w:val="21"/>
        </w:rPr>
      </w:pPr>
      <w:r>
        <w:rPr/>
        <w:br w:type="column"/>
      </w:r>
      <w:r>
        <w:rPr>
          <w:spacing w:val="-4"/>
          <w:sz w:val="21"/>
        </w:rPr>
        <w:t>被保险人因意外伤害或于等待期后因意外伤害以外的原因导致身故或全残，且身</w:t>
      </w:r>
      <w:r>
        <w:rPr>
          <w:spacing w:val="-5"/>
          <w:sz w:val="21"/>
        </w:rPr>
        <w:t>故或全残发生在被保险人年满十八周岁的保单周年日前</w:t>
      </w:r>
      <w:r>
        <w:rPr>
          <w:spacing w:val="-2"/>
          <w:sz w:val="21"/>
        </w:rPr>
        <w:t>（不含十八周岁对应的保</w:t>
      </w:r>
      <w:r>
        <w:rPr>
          <w:w w:val="95"/>
          <w:sz w:val="21"/>
        </w:rPr>
        <w:t>单</w:t>
      </w:r>
      <w:r>
        <w:rPr>
          <w:w w:val="95"/>
          <w:sz w:val="21"/>
        </w:rPr>
        <w:t>周</w:t>
      </w:r>
      <w:r>
        <w:rPr>
          <w:w w:val="95"/>
          <w:sz w:val="21"/>
        </w:rPr>
        <w:t>年</w:t>
      </w:r>
      <w:r>
        <w:rPr>
          <w:w w:val="95"/>
          <w:sz w:val="21"/>
        </w:rPr>
        <w:t>日</w:t>
      </w:r>
      <w:r>
        <w:rPr>
          <w:w w:val="95"/>
          <w:sz w:val="21"/>
        </w:rPr>
        <w:t>）</w:t>
      </w:r>
      <w:r>
        <w:rPr>
          <w:w w:val="95"/>
          <w:sz w:val="21"/>
        </w:rPr>
        <w:t>的</w:t>
      </w:r>
      <w:r>
        <w:rPr>
          <w:w w:val="95"/>
          <w:sz w:val="21"/>
        </w:rPr>
        <w:t>，</w:t>
      </w: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终</w:t>
      </w:r>
      <w:r>
        <w:rPr>
          <w:rFonts w:ascii="微软雅黑" w:eastAsia="微软雅黑"/>
          <w:b/>
          <w:w w:val="95"/>
          <w:sz w:val="21"/>
        </w:rPr>
        <w:t>止</w:t>
      </w:r>
      <w:r>
        <w:rPr>
          <w:rFonts w:ascii="微软雅黑" w:eastAsia="微软雅黑"/>
          <w:b/>
          <w:w w:val="95"/>
          <w:sz w:val="21"/>
        </w:rPr>
        <w:t>，</w:t>
      </w:r>
      <w:r>
        <w:rPr>
          <w:rFonts w:ascii="微软雅黑" w:eastAsia="微软雅黑"/>
          <w:b/>
          <w:w w:val="95"/>
          <w:sz w:val="21"/>
        </w:rPr>
        <w:t>我</w:t>
      </w:r>
      <w:r>
        <w:rPr>
          <w:rFonts w:ascii="微软雅黑" w:eastAsia="微软雅黑"/>
          <w:b/>
          <w:w w:val="95"/>
          <w:sz w:val="21"/>
        </w:rPr>
        <w:t>们</w:t>
      </w:r>
      <w:r>
        <w:rPr>
          <w:rFonts w:ascii="微软雅黑" w:eastAsia="微软雅黑"/>
          <w:b/>
          <w:w w:val="95"/>
          <w:sz w:val="21"/>
        </w:rPr>
        <w:t>按</w:t>
      </w: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累</w:t>
      </w:r>
      <w:r>
        <w:rPr>
          <w:rFonts w:ascii="微软雅黑" w:eastAsia="微软雅黑"/>
          <w:b/>
          <w:w w:val="95"/>
          <w:sz w:val="21"/>
        </w:rPr>
        <w:t>计</w:t>
      </w:r>
      <w:r>
        <w:rPr>
          <w:rFonts w:ascii="微软雅黑" w:eastAsia="微软雅黑"/>
          <w:b/>
          <w:w w:val="95"/>
          <w:sz w:val="21"/>
        </w:rPr>
        <w:t>已</w:t>
      </w:r>
      <w:r>
        <w:rPr>
          <w:rFonts w:ascii="微软雅黑" w:eastAsia="微软雅黑"/>
          <w:b/>
          <w:w w:val="95"/>
          <w:sz w:val="21"/>
        </w:rPr>
        <w:t>交</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费</w:t>
      </w:r>
      <w:r>
        <w:rPr>
          <w:rFonts w:ascii="微软雅黑" w:eastAsia="微软雅黑"/>
          <w:b/>
          <w:w w:val="95"/>
          <w:sz w:val="21"/>
        </w:rPr>
        <w:t>的</w:t>
      </w:r>
      <w:r>
        <w:rPr>
          <w:rFonts w:ascii="微软雅黑" w:eastAsia="微软雅黑"/>
          <w:b/>
          <w:spacing w:val="59"/>
          <w:w w:val="150"/>
          <w:sz w:val="21"/>
        </w:rPr>
        <w:t>  </w:t>
      </w:r>
      <w:r>
        <w:rPr>
          <w:rFonts w:ascii="微软雅黑" w:eastAsia="微软雅黑"/>
          <w:b/>
          <w:w w:val="95"/>
          <w:sz w:val="21"/>
        </w:rPr>
        <w:t>100%</w:t>
      </w:r>
      <w:r>
        <w:rPr>
          <w:rFonts w:ascii="微软雅黑" w:eastAsia="微软雅黑"/>
          <w:b/>
          <w:w w:val="95"/>
          <w:sz w:val="21"/>
        </w:rPr>
        <w:t>给</w:t>
      </w:r>
      <w:r>
        <w:rPr>
          <w:rFonts w:ascii="微软雅黑" w:eastAsia="微软雅黑"/>
          <w:b/>
          <w:w w:val="95"/>
          <w:sz w:val="21"/>
        </w:rPr>
        <w:t>付</w:t>
      </w:r>
      <w:r>
        <w:rPr>
          <w:rFonts w:ascii="微软雅黑" w:eastAsia="微软雅黑"/>
          <w:b/>
          <w:w w:val="95"/>
          <w:sz w:val="21"/>
        </w:rPr>
        <w:t>身</w:t>
      </w:r>
      <w:r>
        <w:rPr>
          <w:rFonts w:ascii="微软雅黑" w:eastAsia="微软雅黑"/>
          <w:b/>
          <w:w w:val="95"/>
          <w:sz w:val="21"/>
        </w:rPr>
        <w:t>故</w:t>
      </w:r>
      <w:r>
        <w:rPr>
          <w:rFonts w:ascii="微软雅黑" w:eastAsia="微软雅黑"/>
          <w:b/>
          <w:spacing w:val="-10"/>
          <w:w w:val="95"/>
          <w:sz w:val="21"/>
        </w:rPr>
        <w:t>或</w:t>
      </w:r>
    </w:p>
    <w:p>
      <w:pPr>
        <w:pStyle w:val="Heading2"/>
        <w:spacing w:line="360" w:lineRule="exact"/>
        <w:ind w:left="177"/>
      </w:pPr>
      <w:r>
        <w:rPr>
          <w:spacing w:val="-2"/>
        </w:rPr>
        <w:t>全残保险金。</w:t>
      </w:r>
    </w:p>
    <w:p>
      <w:pPr>
        <w:spacing w:line="206" w:lineRule="auto" w:before="115"/>
        <w:ind w:left="177" w:right="666" w:firstLine="0"/>
        <w:jc w:val="both"/>
        <w:rPr>
          <w:rFonts w:ascii="微软雅黑" w:eastAsia="微软雅黑"/>
          <w:b/>
          <w:sz w:val="21"/>
        </w:rPr>
      </w:pPr>
      <w:r>
        <w:rPr>
          <w:spacing w:val="-4"/>
          <w:sz w:val="21"/>
        </w:rPr>
        <w:t>被保险人因意外伤害或于等待期后因意外伤害以外的原因导致身故或全残，且身</w:t>
      </w:r>
      <w:r>
        <w:rPr>
          <w:spacing w:val="-2"/>
          <w:sz w:val="21"/>
        </w:rPr>
        <w:t>故或全残发生在被保险人年满十八周岁的保单周年日及以后的，</w:t>
      </w:r>
      <w:r>
        <w:rPr>
          <w:rFonts w:ascii="微软雅黑" w:eastAsia="微软雅黑"/>
          <w:b/>
          <w:spacing w:val="-2"/>
          <w:sz w:val="21"/>
        </w:rPr>
        <w:t>本合同终止，我</w:t>
      </w:r>
      <w:r>
        <w:rPr>
          <w:rFonts w:ascii="微软雅黑" w:eastAsia="微软雅黑"/>
          <w:b/>
          <w:sz w:val="21"/>
        </w:rPr>
        <w:t>们按本合同基本保险金额的 100%</w:t>
      </w:r>
      <w:r>
        <w:rPr>
          <w:rFonts w:ascii="微软雅黑" w:eastAsia="微软雅黑"/>
          <w:b/>
          <w:sz w:val="21"/>
        </w:rPr>
        <w:t>给付身故或全残保险金。</w:t>
      </w:r>
    </w:p>
    <w:p>
      <w:pPr>
        <w:pStyle w:val="Heading2"/>
        <w:spacing w:line="194" w:lineRule="auto" w:before="89"/>
        <w:ind w:left="177" w:right="670"/>
      </w:pPr>
      <w:r>
        <w:rPr>
          <w:spacing w:val="-2"/>
        </w:rPr>
        <w:t>上述“重大疾病保险金”、“身故或全残保险金”不可兼得，即若本公司给付上</w:t>
      </w:r>
      <w:r>
        <w:rPr>
          <w:spacing w:val="-2"/>
        </w:rPr>
        <w:t>述两项保险金中的任何一项，则其余一项保险金将不再给付。</w:t>
      </w:r>
    </w:p>
    <w:p>
      <w:pPr>
        <w:spacing w:after="0" w:line="194" w:lineRule="auto"/>
        <w:sectPr>
          <w:type w:val="continuous"/>
          <w:pgSz w:w="11910" w:h="16840"/>
          <w:pgMar w:header="0" w:footer="406" w:top="600" w:bottom="280" w:left="900" w:right="340"/>
          <w:cols w:num="2" w:equalWidth="0">
            <w:col w:w="2481" w:space="40"/>
            <w:col w:w="8149"/>
          </w:cols>
        </w:sectPr>
      </w:pPr>
    </w:p>
    <w:p>
      <w:pPr>
        <w:pStyle w:val="BodyText"/>
        <w:spacing w:before="1"/>
        <w:rPr>
          <w:rFonts w:ascii="微软雅黑"/>
          <w:b/>
          <w:sz w:val="14"/>
        </w:rPr>
      </w:pPr>
    </w:p>
    <w:p>
      <w:pPr>
        <w:pStyle w:val="ListParagraph"/>
        <w:numPr>
          <w:ilvl w:val="1"/>
          <w:numId w:val="4"/>
        </w:numPr>
        <w:tabs>
          <w:tab w:pos="1080" w:val="left" w:leader="none"/>
          <w:tab w:pos="1081" w:val="left" w:leader="none"/>
          <w:tab w:pos="2697" w:val="left" w:leader="none"/>
        </w:tabs>
        <w:spacing w:line="235" w:lineRule="auto" w:before="10" w:after="0"/>
        <w:ind w:left="2698" w:right="666" w:hanging="2470"/>
        <w:jc w:val="left"/>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因</w:t>
      </w:r>
      <w:r>
        <w:rPr>
          <w:spacing w:val="-2"/>
          <w:sz w:val="21"/>
        </w:rPr>
        <w:t>下</w:t>
      </w:r>
      <w:r>
        <w:rPr>
          <w:spacing w:val="-2"/>
          <w:sz w:val="21"/>
        </w:rPr>
        <w:t>列情形之一导致被保</w:t>
      </w:r>
      <w:r>
        <w:rPr>
          <w:spacing w:val="-2"/>
          <w:sz w:val="21"/>
        </w:rPr>
        <w:t>险</w:t>
      </w:r>
      <w:r>
        <w:rPr>
          <w:spacing w:val="-2"/>
          <w:sz w:val="21"/>
        </w:rPr>
        <w:t>人</w:t>
      </w:r>
      <w:r>
        <w:rPr>
          <w:spacing w:val="-2"/>
          <w:sz w:val="21"/>
        </w:rPr>
        <w:t>发生疾病、达到疾病</w:t>
      </w:r>
      <w:r>
        <w:rPr>
          <w:spacing w:val="-2"/>
          <w:sz w:val="21"/>
        </w:rPr>
        <w:t>状</w:t>
      </w:r>
      <w:r>
        <w:rPr>
          <w:spacing w:val="-2"/>
          <w:sz w:val="21"/>
        </w:rPr>
        <w:t>态</w:t>
      </w:r>
      <w:r>
        <w:rPr>
          <w:spacing w:val="-2"/>
          <w:sz w:val="21"/>
        </w:rPr>
        <w:t>或进行手术，或导致</w:t>
      </w:r>
      <w:r>
        <w:rPr>
          <w:spacing w:val="-2"/>
          <w:sz w:val="21"/>
        </w:rPr>
        <w:t>被</w:t>
      </w:r>
      <w:r>
        <w:rPr>
          <w:spacing w:val="-2"/>
          <w:sz w:val="21"/>
        </w:rPr>
        <w:t>保</w:t>
      </w:r>
      <w:r>
        <w:rPr>
          <w:spacing w:val="-2"/>
          <w:sz w:val="21"/>
        </w:rPr>
        <w:t>险</w:t>
      </w:r>
      <w:r>
        <w:rPr>
          <w:spacing w:val="-2"/>
          <w:sz w:val="21"/>
        </w:rPr>
        <w:t>人</w:t>
      </w:r>
      <w:r>
        <w:rPr>
          <w:spacing w:val="-2"/>
          <w:sz w:val="21"/>
        </w:rPr>
        <w:t>全残的，我们不承担</w:t>
      </w:r>
      <w:r>
        <w:rPr>
          <w:spacing w:val="-2"/>
          <w:sz w:val="21"/>
        </w:rPr>
        <w:t>给</w:t>
      </w:r>
      <w:r>
        <w:rPr>
          <w:spacing w:val="-2"/>
          <w:sz w:val="21"/>
        </w:rPr>
        <w:t>付</w:t>
      </w:r>
      <w:r>
        <w:rPr>
          <w:spacing w:val="-2"/>
          <w:sz w:val="21"/>
        </w:rPr>
        <w:t>保险金的责</w:t>
      </w:r>
      <w:r>
        <w:rPr>
          <w:spacing w:val="-2"/>
          <w:sz w:val="21"/>
        </w:rPr>
        <w:t>任</w:t>
      </w:r>
      <w:r>
        <w:rPr>
          <w:spacing w:val="-2"/>
          <w:sz w:val="21"/>
        </w:rPr>
        <w:t>：</w:t>
      </w:r>
    </w:p>
    <w:p>
      <w:pPr>
        <w:pStyle w:val="ListParagraph"/>
        <w:numPr>
          <w:ilvl w:val="0"/>
          <w:numId w:val="7"/>
        </w:numPr>
        <w:tabs>
          <w:tab w:pos="3228" w:val="left" w:leader="none"/>
        </w:tabs>
        <w:spacing w:line="240" w:lineRule="auto" w:before="136" w:after="0"/>
        <w:ind w:left="3227" w:right="0" w:hanging="530"/>
        <w:jc w:val="left"/>
        <w:rPr>
          <w:sz w:val="21"/>
        </w:rPr>
      </w:pPr>
      <w:r>
        <w:rPr>
          <w:spacing w:val="-3"/>
          <w:sz w:val="21"/>
        </w:rPr>
        <w:t>投保人对被保险人的故意杀害、故意伤害；</w:t>
      </w:r>
    </w:p>
    <w:p>
      <w:pPr>
        <w:pStyle w:val="ListParagraph"/>
        <w:numPr>
          <w:ilvl w:val="0"/>
          <w:numId w:val="7"/>
        </w:numPr>
        <w:tabs>
          <w:tab w:pos="3228" w:val="left" w:leader="none"/>
        </w:tabs>
        <w:spacing w:line="240" w:lineRule="auto" w:before="134" w:after="0"/>
        <w:ind w:left="3227" w:right="0" w:hanging="530"/>
        <w:jc w:val="left"/>
        <w:rPr>
          <w:sz w:val="21"/>
        </w:rPr>
      </w:pPr>
      <w:r>
        <w:rPr>
          <w:spacing w:val="-3"/>
          <w:sz w:val="21"/>
        </w:rPr>
        <w:t>被保险人故意犯罪或抗拒依法采取的刑事强制措施；</w:t>
      </w:r>
    </w:p>
    <w:p>
      <w:pPr>
        <w:pStyle w:val="ListParagraph"/>
        <w:numPr>
          <w:ilvl w:val="0"/>
          <w:numId w:val="7"/>
        </w:numPr>
        <w:tabs>
          <w:tab w:pos="3228" w:val="left" w:leader="none"/>
        </w:tabs>
        <w:spacing w:line="278" w:lineRule="auto" w:before="137" w:after="0"/>
        <w:ind w:left="3224" w:right="668" w:hanging="527"/>
        <w:jc w:val="left"/>
        <w:rPr>
          <w:sz w:val="21"/>
        </w:rPr>
      </w:pPr>
      <w:r>
        <w:rPr>
          <w:spacing w:val="-1"/>
          <w:sz w:val="21"/>
        </w:rPr>
        <w:t>被保险人故意自伤、或自本合同成立或者本合同效力恢复之日起 </w:t>
      </w:r>
      <w:r>
        <w:rPr>
          <w:sz w:val="21"/>
        </w:rPr>
        <w:t>2</w:t>
      </w:r>
      <w:r>
        <w:rPr>
          <w:spacing w:val="-9"/>
          <w:sz w:val="21"/>
        </w:rPr>
        <w:t> 年内自</w:t>
      </w:r>
      <w:r>
        <w:rPr>
          <w:spacing w:val="-2"/>
          <w:sz w:val="21"/>
        </w:rPr>
        <w:t>杀，但被保险人自杀时为无民事行为能力人的除外；</w:t>
      </w:r>
    </w:p>
    <w:p>
      <w:pPr>
        <w:pStyle w:val="ListParagraph"/>
        <w:numPr>
          <w:ilvl w:val="0"/>
          <w:numId w:val="7"/>
        </w:numPr>
        <w:tabs>
          <w:tab w:pos="3228" w:val="left" w:leader="none"/>
        </w:tabs>
        <w:spacing w:line="240" w:lineRule="auto" w:before="24" w:after="0"/>
        <w:ind w:left="3227" w:right="0" w:hanging="530"/>
        <w:jc w:val="left"/>
        <w:rPr>
          <w:sz w:val="21"/>
        </w:rPr>
      </w:pPr>
      <w:r>
        <w:rPr>
          <w:spacing w:val="-2"/>
          <w:sz w:val="21"/>
        </w:rPr>
        <w:t>被保险人服用、吸食或注射</w:t>
      </w:r>
      <w:r>
        <w:rPr>
          <w:rFonts w:ascii="Microsoft JhengHei" w:eastAsia="Microsoft JhengHei"/>
          <w:b/>
          <w:sz w:val="21"/>
        </w:rPr>
        <w:t>毒品 </w:t>
      </w:r>
      <w:r>
        <w:rPr>
          <w:spacing w:val="-2"/>
          <w:position w:val="11"/>
          <w:sz w:val="11"/>
        </w:rPr>
        <w:t>11.13</w:t>
      </w:r>
      <w:r>
        <w:rPr>
          <w:spacing w:val="-2"/>
          <w:sz w:val="21"/>
        </w:rPr>
        <w:t>；</w:t>
      </w:r>
    </w:p>
    <w:p>
      <w:pPr>
        <w:pStyle w:val="ListParagraph"/>
        <w:numPr>
          <w:ilvl w:val="0"/>
          <w:numId w:val="7"/>
        </w:numPr>
        <w:tabs>
          <w:tab w:pos="3226" w:val="left" w:leader="none"/>
        </w:tabs>
        <w:spacing w:line="194" w:lineRule="auto" w:before="72" w:after="0"/>
        <w:ind w:left="3224" w:right="668" w:hanging="527"/>
        <w:jc w:val="left"/>
        <w:rPr>
          <w:sz w:val="21"/>
        </w:rPr>
      </w:pPr>
      <w:r>
        <w:rPr>
          <w:sz w:val="21"/>
        </w:rPr>
        <w:t>被保险人</w:t>
      </w:r>
      <w:r>
        <w:rPr>
          <w:rFonts w:ascii="Microsoft JhengHei" w:eastAsia="Microsoft JhengHei"/>
          <w:b/>
          <w:spacing w:val="-3"/>
          <w:sz w:val="21"/>
        </w:rPr>
        <w:t>酒后驾驶 </w:t>
      </w:r>
      <w:r>
        <w:rPr>
          <w:position w:val="11"/>
          <w:sz w:val="11"/>
        </w:rPr>
        <w:t>11.14</w:t>
      </w:r>
      <w:r>
        <w:rPr>
          <w:sz w:val="21"/>
        </w:rPr>
        <w:t>、</w:t>
      </w:r>
      <w:r>
        <w:rPr>
          <w:rFonts w:ascii="Microsoft JhengHei" w:eastAsia="Microsoft JhengHei"/>
          <w:b/>
          <w:spacing w:val="-2"/>
          <w:sz w:val="21"/>
        </w:rPr>
        <w:t>无合法有效驾驶证驾驶 </w:t>
      </w:r>
      <w:r>
        <w:rPr>
          <w:position w:val="11"/>
          <w:sz w:val="11"/>
        </w:rPr>
        <w:t>11.15</w:t>
      </w:r>
      <w:r>
        <w:rPr>
          <w:spacing w:val="-29"/>
          <w:position w:val="11"/>
          <w:sz w:val="11"/>
        </w:rPr>
        <w:t> </w:t>
      </w:r>
      <w:r>
        <w:rPr>
          <w:sz w:val="21"/>
        </w:rPr>
        <w:t>或驾驶</w:t>
      </w:r>
      <w:r>
        <w:rPr>
          <w:rFonts w:ascii="Microsoft JhengHei" w:eastAsia="Microsoft JhengHei"/>
          <w:b/>
          <w:sz w:val="21"/>
        </w:rPr>
        <w:t>无合法有效行驶证 </w:t>
      </w:r>
      <w:r>
        <w:rPr>
          <w:position w:val="11"/>
          <w:sz w:val="11"/>
        </w:rPr>
        <w:t>11.16</w:t>
      </w:r>
      <w:r>
        <w:rPr>
          <w:spacing w:val="-16"/>
          <w:position w:val="11"/>
          <w:sz w:val="11"/>
        </w:rPr>
        <w:t> </w:t>
      </w:r>
      <w:r>
        <w:rPr>
          <w:sz w:val="21"/>
        </w:rPr>
        <w:t>的机动车；</w:t>
      </w:r>
    </w:p>
    <w:p>
      <w:pPr>
        <w:pStyle w:val="ListParagraph"/>
        <w:numPr>
          <w:ilvl w:val="0"/>
          <w:numId w:val="7"/>
        </w:numPr>
        <w:tabs>
          <w:tab w:pos="3214" w:val="left" w:leader="none"/>
        </w:tabs>
        <w:spacing w:line="240" w:lineRule="auto" w:before="37" w:after="0"/>
        <w:ind w:left="3213" w:right="0" w:hanging="516"/>
        <w:jc w:val="left"/>
        <w:rPr>
          <w:sz w:val="21"/>
        </w:rPr>
      </w:pPr>
      <w:r>
        <w:rPr>
          <w:spacing w:val="-2"/>
          <w:sz w:val="21"/>
        </w:rPr>
        <w:t>被保险人</w:t>
      </w:r>
      <w:r>
        <w:rPr>
          <w:rFonts w:ascii="Microsoft JhengHei" w:eastAsia="Microsoft JhengHei"/>
          <w:b/>
          <w:spacing w:val="1"/>
          <w:sz w:val="21"/>
        </w:rPr>
        <w:t>感染艾滋病病毒或患艾滋病 </w:t>
      </w:r>
      <w:r>
        <w:rPr>
          <w:spacing w:val="-2"/>
          <w:position w:val="11"/>
          <w:sz w:val="11"/>
        </w:rPr>
        <w:t>11.17</w:t>
      </w:r>
      <w:r>
        <w:rPr>
          <w:spacing w:val="-3"/>
          <w:sz w:val="21"/>
        </w:rPr>
        <w:t>，但本合同另有约定的除外；</w:t>
      </w:r>
    </w:p>
    <w:p>
      <w:pPr>
        <w:pStyle w:val="ListParagraph"/>
        <w:numPr>
          <w:ilvl w:val="0"/>
          <w:numId w:val="7"/>
        </w:numPr>
        <w:tabs>
          <w:tab w:pos="3228" w:val="left" w:leader="none"/>
        </w:tabs>
        <w:spacing w:line="240" w:lineRule="auto" w:before="89" w:after="0"/>
        <w:ind w:left="3227" w:right="0" w:hanging="530"/>
        <w:jc w:val="left"/>
        <w:rPr>
          <w:sz w:val="21"/>
        </w:rPr>
      </w:pPr>
      <w:r>
        <w:rPr>
          <w:spacing w:val="-3"/>
          <w:sz w:val="21"/>
        </w:rPr>
        <w:t>战争、军事冲突、暴乱或武装叛乱；</w:t>
      </w:r>
    </w:p>
    <w:p>
      <w:pPr>
        <w:pStyle w:val="ListParagraph"/>
        <w:numPr>
          <w:ilvl w:val="0"/>
          <w:numId w:val="7"/>
        </w:numPr>
        <w:tabs>
          <w:tab w:pos="3228" w:val="left" w:leader="none"/>
        </w:tabs>
        <w:spacing w:line="240" w:lineRule="auto" w:before="136" w:after="0"/>
        <w:ind w:left="3227" w:right="0" w:hanging="530"/>
        <w:jc w:val="left"/>
        <w:rPr>
          <w:sz w:val="21"/>
        </w:rPr>
      </w:pPr>
      <w:r>
        <w:rPr>
          <w:spacing w:val="-3"/>
          <w:sz w:val="21"/>
        </w:rPr>
        <w:t>核爆炸、核辐射或核污染；</w:t>
      </w:r>
    </w:p>
    <w:p>
      <w:pPr>
        <w:pStyle w:val="ListParagraph"/>
        <w:numPr>
          <w:ilvl w:val="0"/>
          <w:numId w:val="7"/>
        </w:numPr>
        <w:tabs>
          <w:tab w:pos="3228" w:val="left" w:leader="none"/>
        </w:tabs>
        <w:spacing w:line="235" w:lineRule="auto" w:before="73" w:after="0"/>
        <w:ind w:left="3224" w:right="668" w:hanging="527"/>
        <w:jc w:val="left"/>
        <w:rPr>
          <w:sz w:val="21"/>
        </w:rPr>
      </w:pPr>
      <w:r>
        <w:rPr>
          <w:rFonts w:ascii="Microsoft JhengHei" w:eastAsia="Microsoft JhengHei"/>
          <w:b/>
          <w:spacing w:val="-1"/>
          <w:sz w:val="21"/>
        </w:rPr>
        <w:t>遗传性疾病 </w:t>
      </w:r>
      <w:r>
        <w:rPr>
          <w:position w:val="11"/>
          <w:sz w:val="11"/>
        </w:rPr>
        <w:t>11.18</w:t>
      </w:r>
      <w:r>
        <w:rPr>
          <w:sz w:val="21"/>
        </w:rPr>
        <w:t>，</w:t>
      </w:r>
      <w:r>
        <w:rPr>
          <w:rFonts w:ascii="Microsoft JhengHei" w:eastAsia="Microsoft JhengHei"/>
          <w:b/>
          <w:spacing w:val="-1"/>
          <w:sz w:val="21"/>
        </w:rPr>
        <w:t>先天性畸形、变形或染色体异常 </w:t>
      </w:r>
      <w:r>
        <w:rPr>
          <w:position w:val="11"/>
          <w:sz w:val="11"/>
        </w:rPr>
        <w:t>11.19</w:t>
      </w:r>
      <w:r>
        <w:rPr>
          <w:sz w:val="21"/>
        </w:rPr>
        <w:t>，但本合同另有约定</w:t>
      </w:r>
      <w:r>
        <w:rPr>
          <w:spacing w:val="-4"/>
          <w:sz w:val="21"/>
        </w:rPr>
        <w:t>的除外。</w:t>
      </w:r>
    </w:p>
    <w:p>
      <w:pPr>
        <w:pStyle w:val="BodyText"/>
        <w:spacing w:line="278" w:lineRule="auto" w:before="138"/>
        <w:ind w:left="2698" w:right="670"/>
      </w:pPr>
      <w:r>
        <w:rPr>
          <w:spacing w:val="-2"/>
        </w:rPr>
        <w:t>发生上述第（1）项情形导致被保险人发生疾病、达到疾病状态或进行手术，或</w:t>
      </w:r>
      <w:r>
        <w:rPr>
          <w:spacing w:val="-2"/>
        </w:rPr>
        <w:t>导致被保险人全残的，本合同终止，我们向被保险人退还本合同的现金价值；</w:t>
      </w:r>
    </w:p>
    <w:p>
      <w:pPr>
        <w:pStyle w:val="BodyText"/>
        <w:spacing w:line="278" w:lineRule="auto" w:before="93"/>
        <w:ind w:left="2698" w:right="666"/>
      </w:pPr>
      <w:r>
        <w:rPr>
          <w:spacing w:val="-2"/>
        </w:rPr>
        <w:t>发生上述其他情形导致被保险人发生疾病、达到疾病状态或进行手术，或导致被</w:t>
      </w:r>
      <w:r>
        <w:rPr>
          <w:spacing w:val="-2"/>
        </w:rPr>
        <w:t>保险人全残的，本合同终止，我们向您退还本合同的现金价值。</w:t>
      </w:r>
    </w:p>
    <w:p>
      <w:pPr>
        <w:pStyle w:val="BodyText"/>
        <w:rPr>
          <w:sz w:val="20"/>
        </w:rPr>
      </w:pPr>
    </w:p>
    <w:p>
      <w:pPr>
        <w:pStyle w:val="BodyText"/>
        <w:spacing w:before="12"/>
        <w:rPr>
          <w:sz w:val="18"/>
        </w:rPr>
      </w:pPr>
    </w:p>
    <w:p>
      <w:pPr>
        <w:pStyle w:val="BodyText"/>
        <w:ind w:left="2698"/>
      </w:pPr>
      <w:r>
        <w:rPr>
          <w:spacing w:val="-3"/>
        </w:rPr>
        <w:t>因下列情形之一导致被保险人身故的，我们不承担给付身故保险金的责任：</w:t>
      </w:r>
    </w:p>
    <w:p>
      <w:pPr>
        <w:spacing w:after="0"/>
        <w:sectPr>
          <w:type w:val="continuous"/>
          <w:pgSz w:w="11910" w:h="16840"/>
          <w:pgMar w:header="0" w:footer="406" w:top="600" w:bottom="280" w:left="900" w:right="340"/>
        </w:sectPr>
      </w:pPr>
    </w:p>
    <w:p>
      <w:pPr>
        <w:pStyle w:val="ListParagraph"/>
        <w:numPr>
          <w:ilvl w:val="0"/>
          <w:numId w:val="8"/>
        </w:numPr>
        <w:tabs>
          <w:tab w:pos="3228" w:val="left" w:leader="none"/>
        </w:tabs>
        <w:spacing w:line="240" w:lineRule="auto" w:before="57" w:after="0"/>
        <w:ind w:left="3227" w:right="0" w:hanging="530"/>
        <w:jc w:val="left"/>
        <w:rPr>
          <w:sz w:val="21"/>
        </w:rPr>
      </w:pPr>
      <w:r>
        <w:rPr>
          <w:spacing w:val="-3"/>
          <w:sz w:val="21"/>
        </w:rPr>
        <w:t>投保人对被保险人的故意杀害、故意伤害；</w:t>
      </w:r>
    </w:p>
    <w:p>
      <w:pPr>
        <w:pStyle w:val="ListParagraph"/>
        <w:numPr>
          <w:ilvl w:val="0"/>
          <w:numId w:val="8"/>
        </w:numPr>
        <w:tabs>
          <w:tab w:pos="3228" w:val="left" w:leader="none"/>
        </w:tabs>
        <w:spacing w:line="240" w:lineRule="auto" w:before="136" w:after="0"/>
        <w:ind w:left="3227" w:right="0" w:hanging="530"/>
        <w:jc w:val="left"/>
        <w:rPr>
          <w:sz w:val="21"/>
        </w:rPr>
      </w:pPr>
      <w:r>
        <w:rPr>
          <w:spacing w:val="-3"/>
          <w:sz w:val="21"/>
        </w:rPr>
        <w:t>被保险人故意犯罪或抗拒依法采取的刑事强制措施；</w:t>
      </w:r>
    </w:p>
    <w:p>
      <w:pPr>
        <w:pStyle w:val="ListParagraph"/>
        <w:numPr>
          <w:ilvl w:val="0"/>
          <w:numId w:val="8"/>
        </w:numPr>
        <w:tabs>
          <w:tab w:pos="3228" w:val="left" w:leader="none"/>
        </w:tabs>
        <w:spacing w:line="278" w:lineRule="auto" w:before="137" w:after="0"/>
        <w:ind w:left="3224" w:right="668" w:hanging="527"/>
        <w:jc w:val="left"/>
        <w:rPr>
          <w:sz w:val="21"/>
        </w:rPr>
      </w:pPr>
      <w:r>
        <w:rPr>
          <w:spacing w:val="-2"/>
          <w:sz w:val="21"/>
        </w:rPr>
        <w:t>被保险人自本合同成立或者本合同效力恢复之日起 </w:t>
      </w:r>
      <w:r>
        <w:rPr>
          <w:sz w:val="21"/>
        </w:rPr>
        <w:t>2</w:t>
      </w:r>
      <w:r>
        <w:rPr>
          <w:spacing w:val="-6"/>
          <w:sz w:val="21"/>
        </w:rPr>
        <w:t> 年内自杀，但被保险</w:t>
      </w:r>
      <w:r>
        <w:rPr>
          <w:spacing w:val="-2"/>
          <w:sz w:val="21"/>
        </w:rPr>
        <w:t>人自杀时为无民事行为能力人的除外；</w:t>
      </w:r>
    </w:p>
    <w:p>
      <w:pPr>
        <w:pStyle w:val="ListParagraph"/>
        <w:numPr>
          <w:ilvl w:val="0"/>
          <w:numId w:val="8"/>
        </w:numPr>
        <w:tabs>
          <w:tab w:pos="3228" w:val="left" w:leader="none"/>
        </w:tabs>
        <w:spacing w:line="240" w:lineRule="auto" w:before="94" w:after="0"/>
        <w:ind w:left="3227" w:right="0" w:hanging="530"/>
        <w:jc w:val="left"/>
        <w:rPr>
          <w:sz w:val="21"/>
        </w:rPr>
      </w:pPr>
      <w:r>
        <w:rPr>
          <w:spacing w:val="-3"/>
          <w:sz w:val="21"/>
        </w:rPr>
        <w:t>被保险人服用、吸食或注射毒品；</w:t>
      </w:r>
    </w:p>
    <w:p>
      <w:pPr>
        <w:pStyle w:val="ListParagraph"/>
        <w:numPr>
          <w:ilvl w:val="0"/>
          <w:numId w:val="8"/>
        </w:numPr>
        <w:tabs>
          <w:tab w:pos="3230" w:val="left" w:leader="none"/>
        </w:tabs>
        <w:spacing w:line="278" w:lineRule="auto" w:before="134" w:after="0"/>
        <w:ind w:left="3224" w:right="668" w:hanging="527"/>
        <w:jc w:val="left"/>
        <w:rPr>
          <w:sz w:val="21"/>
        </w:rPr>
      </w:pPr>
      <w:r>
        <w:rPr>
          <w:spacing w:val="-2"/>
          <w:sz w:val="21"/>
        </w:rPr>
        <w:t>被保险人酒后驾驶、无合法有效驾驶证驾驶或驾驶无合法有效行驶证的机</w:t>
      </w:r>
      <w:r>
        <w:rPr>
          <w:spacing w:val="-4"/>
          <w:sz w:val="21"/>
        </w:rPr>
        <w:t>动车；</w:t>
      </w:r>
    </w:p>
    <w:p>
      <w:pPr>
        <w:pStyle w:val="ListParagraph"/>
        <w:numPr>
          <w:ilvl w:val="0"/>
          <w:numId w:val="8"/>
        </w:numPr>
        <w:tabs>
          <w:tab w:pos="3228" w:val="left" w:leader="none"/>
        </w:tabs>
        <w:spacing w:line="240" w:lineRule="auto" w:before="93" w:after="0"/>
        <w:ind w:left="3227" w:right="0" w:hanging="530"/>
        <w:jc w:val="left"/>
        <w:rPr>
          <w:sz w:val="21"/>
        </w:rPr>
      </w:pPr>
      <w:r>
        <w:rPr>
          <w:spacing w:val="-3"/>
          <w:sz w:val="21"/>
        </w:rPr>
        <w:t>战争、军事冲突、暴乱或武装叛乱；</w:t>
      </w:r>
    </w:p>
    <w:p>
      <w:pPr>
        <w:pStyle w:val="ListParagraph"/>
        <w:numPr>
          <w:ilvl w:val="0"/>
          <w:numId w:val="8"/>
        </w:numPr>
        <w:tabs>
          <w:tab w:pos="3228" w:val="left" w:leader="none"/>
        </w:tabs>
        <w:spacing w:line="240" w:lineRule="auto" w:before="137" w:after="0"/>
        <w:ind w:left="3227" w:right="0" w:hanging="530"/>
        <w:jc w:val="left"/>
        <w:rPr>
          <w:sz w:val="21"/>
        </w:rPr>
      </w:pPr>
      <w:r>
        <w:rPr>
          <w:spacing w:val="-3"/>
          <w:sz w:val="21"/>
        </w:rPr>
        <w:t>核爆炸、核辐射或核污染。</w:t>
      </w:r>
    </w:p>
    <w:p>
      <w:pPr>
        <w:pStyle w:val="BodyText"/>
        <w:spacing w:line="278" w:lineRule="auto" w:before="136"/>
        <w:ind w:left="2698" w:right="670"/>
      </w:pPr>
      <w:r>
        <w:rPr>
          <w:spacing w:val="-2"/>
        </w:rPr>
        <w:t>发生上述第（1）项情形导致被保险人身故的，本合同终止，我们向被保险人的</w:t>
      </w:r>
      <w:r>
        <w:rPr>
          <w:spacing w:val="-2"/>
        </w:rPr>
        <w:t>继承人退还本合同的现金价值。</w:t>
      </w:r>
    </w:p>
    <w:p>
      <w:pPr>
        <w:pStyle w:val="BodyText"/>
        <w:spacing w:line="278" w:lineRule="auto" w:before="91"/>
        <w:ind w:left="2698" w:right="666"/>
      </w:pPr>
      <w:r>
        <w:rPr>
          <w:spacing w:val="-2"/>
        </w:rPr>
        <w:t>发生上述其他情形导致被保险人身故的，本合同终止，我们向您退还本合同的现</w:t>
      </w:r>
      <w:r>
        <w:rPr>
          <w:spacing w:val="-4"/>
        </w:rPr>
        <w:t>金价值。</w:t>
      </w:r>
    </w:p>
    <w:p>
      <w:pPr>
        <w:pStyle w:val="BodyText"/>
        <w:spacing w:before="1"/>
        <w:rPr>
          <w:sz w:val="26"/>
        </w:rPr>
      </w:pPr>
    </w:p>
    <w:p>
      <w:pPr>
        <w:spacing w:after="0"/>
        <w:rPr>
          <w:sz w:val="26"/>
        </w:rPr>
        <w:sectPr>
          <w:pgSz w:w="11910" w:h="16840"/>
          <w:pgMar w:header="0" w:footer="406" w:top="1080" w:bottom="600" w:left="900" w:right="340"/>
        </w:sectPr>
      </w:pPr>
    </w:p>
    <w:p>
      <w:pPr>
        <w:pStyle w:val="Heading2"/>
        <w:numPr>
          <w:ilvl w:val="1"/>
          <w:numId w:val="4"/>
        </w:numPr>
        <w:tabs>
          <w:tab w:pos="1080" w:val="left" w:leader="none"/>
          <w:tab w:pos="1081" w:val="left" w:leader="none"/>
        </w:tabs>
        <w:spacing w:line="194" w:lineRule="auto" w:before="58" w:after="0"/>
        <w:ind w:left="1080" w:right="38" w:hanging="853"/>
        <w:jc w:val="left"/>
      </w:pPr>
      <w:r>
        <w:rPr>
          <w:spacing w:val="-2"/>
        </w:rPr>
        <w:t>其他免除保险</w:t>
      </w:r>
      <w:r>
        <w:rPr>
          <w:spacing w:val="-4"/>
        </w:rPr>
        <w:t>责任条款</w:t>
      </w:r>
    </w:p>
    <w:p>
      <w:pPr>
        <w:pStyle w:val="BodyText"/>
        <w:spacing w:line="278" w:lineRule="auto" w:before="72"/>
        <w:ind w:left="228" w:right="565"/>
      </w:pPr>
      <w:r>
        <w:rPr/>
        <w:br w:type="column"/>
      </w:r>
      <w:r>
        <w:rPr>
          <w:spacing w:val="-27"/>
        </w:rPr>
        <w:t>除“</w:t>
      </w:r>
      <w:r>
        <w:rPr/>
        <w:t>2.8</w:t>
      </w:r>
      <w:r>
        <w:rPr>
          <w:spacing w:val="-15"/>
        </w:rPr>
        <w:t> 责任免除”外，本合同中还有一些免除本公司责任的条款，详见“</w:t>
      </w:r>
      <w:r>
        <w:rPr/>
        <w:t>1.5 犹</w:t>
      </w:r>
      <w:r>
        <w:rPr>
          <w:spacing w:val="-4"/>
        </w:rPr>
        <w:t>豫期”、“4.1</w:t>
      </w:r>
      <w:r>
        <w:rPr>
          <w:spacing w:val="-7"/>
        </w:rPr>
        <w:t> 合同效力的中止”、“</w:t>
      </w:r>
      <w:r>
        <w:rPr>
          <w:spacing w:val="-4"/>
        </w:rPr>
        <w:t>6.2</w:t>
      </w:r>
      <w:r>
        <w:rPr>
          <w:spacing w:val="-7"/>
        </w:rPr>
        <w:t> 如实告知”、“</w:t>
      </w:r>
      <w:r>
        <w:rPr>
          <w:spacing w:val="-4"/>
        </w:rPr>
        <w:t>7.2</w:t>
      </w:r>
      <w:r>
        <w:rPr>
          <w:spacing w:val="-7"/>
        </w:rPr>
        <w:t> 保险事故通知”、</w:t>
      </w:r>
      <w:r>
        <w:rPr>
          <w:spacing w:val="-4"/>
        </w:rPr>
        <w:t> </w:t>
      </w:r>
      <w:r>
        <w:rPr/>
        <w:t>“9.1 年龄确定与错误处理”、“10 疾病定义”中加粗显示的内容，请您务必</w:t>
      </w:r>
      <w:r>
        <w:rPr>
          <w:spacing w:val="-2"/>
        </w:rPr>
        <w:t>特别注意。</w:t>
      </w:r>
    </w:p>
    <w:p>
      <w:pPr>
        <w:spacing w:after="0" w:line="278" w:lineRule="auto"/>
        <w:sectPr>
          <w:type w:val="continuous"/>
          <w:pgSz w:w="11910" w:h="16840"/>
          <w:pgMar w:header="0" w:footer="406" w:top="600" w:bottom="280" w:left="900" w:right="340"/>
          <w:cols w:num="2" w:equalWidth="0">
            <w:col w:w="2388" w:space="82"/>
            <w:col w:w="8200"/>
          </w:cols>
        </w:sectPr>
      </w:pPr>
    </w:p>
    <w:p>
      <w:pPr>
        <w:pStyle w:val="BodyText"/>
        <w:spacing w:before="8"/>
        <w:rPr>
          <w:sz w:val="22"/>
        </w:rPr>
      </w:pPr>
    </w:p>
    <w:p>
      <w:pPr>
        <w:tabs>
          <w:tab w:pos="1080" w:val="left" w:leader="none"/>
        </w:tabs>
        <w:spacing w:before="78"/>
        <w:ind w:left="227" w:right="0" w:firstLine="0"/>
        <w:jc w:val="left"/>
        <w:rPr>
          <w:rFonts w:ascii="微软雅黑" w:hAnsi="微软雅黑" w:eastAsia="微软雅黑"/>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微软雅黑" w:hAnsi="微软雅黑" w:eastAsia="微软雅黑"/>
          <w:b/>
          <w:spacing w:val="-2"/>
          <w:sz w:val="24"/>
        </w:rPr>
        <w:t>如何支付保险费</w:t>
      </w:r>
    </w:p>
    <w:p>
      <w:pPr>
        <w:pStyle w:val="BodyText"/>
        <w:spacing w:before="5"/>
        <w:rPr>
          <w:rFonts w:ascii="微软雅黑"/>
          <w:b/>
          <w:sz w:val="4"/>
        </w:rPr>
      </w:pPr>
      <w:r>
        <w:rPr/>
        <w:drawing>
          <wp:anchor distT="0" distB="0" distL="0" distR="0" allowOverlap="1" layoutInCell="1" locked="0" behindDoc="0" simplePos="0" relativeHeight="8">
            <wp:simplePos x="0" y="0"/>
            <wp:positionH relativeFrom="page">
              <wp:posOffset>647700</wp:posOffset>
            </wp:positionH>
            <wp:positionV relativeFrom="paragraph">
              <wp:posOffset>65376</wp:posOffset>
            </wp:positionV>
            <wp:extent cx="6387516"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87516" cy="12287"/>
                    </a:xfrm>
                    <a:prstGeom prst="rect">
                      <a:avLst/>
                    </a:prstGeom>
                  </pic:spPr>
                </pic:pic>
              </a:graphicData>
            </a:graphic>
          </wp:anchor>
        </w:drawing>
      </w:r>
    </w:p>
    <w:p>
      <w:pPr>
        <w:pStyle w:val="ListParagraph"/>
        <w:numPr>
          <w:ilvl w:val="1"/>
          <w:numId w:val="9"/>
        </w:numPr>
        <w:tabs>
          <w:tab w:pos="1080" w:val="left" w:leader="none"/>
          <w:tab w:pos="1081" w:val="left" w:leader="none"/>
          <w:tab w:pos="2767" w:val="left" w:leader="none"/>
        </w:tabs>
        <w:spacing w:line="235" w:lineRule="auto" w:before="170" w:after="0"/>
        <w:ind w:left="2767" w:right="677" w:hanging="254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支</w:t>
      </w:r>
      <w:r>
        <w:rPr>
          <w:rFonts w:ascii="微软雅黑" w:eastAsia="微软雅黑"/>
          <w:b/>
          <w:spacing w:val="-2"/>
          <w:sz w:val="21"/>
        </w:rPr>
        <w:t>付</w:t>
      </w:r>
      <w:r>
        <w:rPr>
          <w:rFonts w:ascii="微软雅黑" w:eastAsia="微软雅黑"/>
          <w:b/>
          <w:sz w:val="21"/>
        </w:rPr>
        <w:tab/>
      </w:r>
      <w:r>
        <w:rPr>
          <w:spacing w:val="-2"/>
          <w:sz w:val="21"/>
        </w:rPr>
        <w:t>本合同保险费的支付</w:t>
      </w:r>
      <w:r>
        <w:rPr>
          <w:spacing w:val="-2"/>
          <w:sz w:val="21"/>
        </w:rPr>
        <w:t>方</w:t>
      </w:r>
      <w:r>
        <w:rPr>
          <w:spacing w:val="-2"/>
          <w:sz w:val="21"/>
        </w:rPr>
        <w:t>式</w:t>
      </w:r>
      <w:r>
        <w:rPr>
          <w:spacing w:val="-2"/>
          <w:sz w:val="21"/>
        </w:rPr>
        <w:t>为一次支付全部保险</w:t>
      </w:r>
      <w:r>
        <w:rPr>
          <w:spacing w:val="-2"/>
          <w:sz w:val="21"/>
        </w:rPr>
        <w:t>费</w:t>
      </w:r>
      <w:r>
        <w:rPr>
          <w:spacing w:val="-2"/>
          <w:sz w:val="21"/>
        </w:rPr>
        <w:t>或</w:t>
      </w:r>
      <w:r>
        <w:rPr>
          <w:spacing w:val="-2"/>
          <w:sz w:val="21"/>
        </w:rPr>
        <w:t>分期支付保险费。分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费的，交费期间为五</w:t>
      </w:r>
      <w:r>
        <w:rPr>
          <w:spacing w:val="-2"/>
          <w:sz w:val="21"/>
        </w:rPr>
        <w:t>年</w:t>
      </w:r>
      <w:r>
        <w:rPr>
          <w:spacing w:val="-2"/>
          <w:sz w:val="21"/>
        </w:rPr>
        <w:t>、</w:t>
      </w:r>
      <w:r>
        <w:rPr>
          <w:spacing w:val="-2"/>
          <w:sz w:val="21"/>
        </w:rPr>
        <w:t>十年、十五年、二十</w:t>
      </w:r>
      <w:r>
        <w:rPr>
          <w:spacing w:val="-2"/>
          <w:sz w:val="21"/>
        </w:rPr>
        <w:t>年</w:t>
      </w:r>
      <w:r>
        <w:rPr>
          <w:spacing w:val="-2"/>
          <w:sz w:val="21"/>
        </w:rPr>
        <w:t>或</w:t>
      </w:r>
      <w:r>
        <w:rPr>
          <w:spacing w:val="-2"/>
          <w:sz w:val="21"/>
        </w:rPr>
        <w:t>三十年。</w:t>
      </w:r>
    </w:p>
    <w:p>
      <w:pPr>
        <w:pStyle w:val="BodyText"/>
        <w:spacing w:before="136"/>
        <w:ind w:left="2767"/>
      </w:pPr>
      <w:r>
        <w:rPr>
          <w:spacing w:val="-3"/>
        </w:rPr>
        <w:t>本合同的交费方式和交费期间由您和我们约定，并载明于保险单上。</w:t>
      </w:r>
    </w:p>
    <w:p>
      <w:pPr>
        <w:pStyle w:val="BodyText"/>
        <w:spacing w:line="278" w:lineRule="auto" w:before="134"/>
        <w:ind w:left="2767" w:right="677"/>
      </w:pPr>
      <w:r>
        <w:rPr>
          <w:spacing w:val="-2"/>
        </w:rPr>
        <w:t>分期支付保险费的，在支付首期保险费后，您应当按照本合同约定，在每个保</w:t>
      </w:r>
      <w:r>
        <w:rPr>
          <w:spacing w:val="-2"/>
        </w:rPr>
        <w:t>险费约定支付日支付其余各期保险费。</w:t>
      </w:r>
    </w:p>
    <w:p>
      <w:pPr>
        <w:pStyle w:val="BodyText"/>
        <w:spacing w:before="7"/>
        <w:rPr>
          <w:sz w:val="28"/>
        </w:rPr>
      </w:pPr>
    </w:p>
    <w:p>
      <w:pPr>
        <w:pStyle w:val="ListParagraph"/>
        <w:numPr>
          <w:ilvl w:val="1"/>
          <w:numId w:val="9"/>
        </w:numPr>
        <w:tabs>
          <w:tab w:pos="1081" w:val="left" w:leader="none"/>
          <w:tab w:pos="2767" w:val="left" w:leader="none"/>
        </w:tabs>
        <w:spacing w:line="312" w:lineRule="exact" w:before="0" w:after="0"/>
        <w:ind w:left="2767" w:right="675" w:hanging="2540"/>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分期支付保险费的，</w:t>
      </w:r>
      <w:r>
        <w:rPr>
          <w:spacing w:val="-2"/>
          <w:sz w:val="21"/>
        </w:rPr>
        <w:t>您</w:t>
      </w:r>
      <w:r>
        <w:rPr>
          <w:spacing w:val="-2"/>
          <w:sz w:val="21"/>
        </w:rPr>
        <w:t>支</w:t>
      </w:r>
      <w:r>
        <w:rPr>
          <w:spacing w:val="-2"/>
          <w:sz w:val="21"/>
        </w:rPr>
        <w:t>付首期保险费后，除</w:t>
      </w:r>
      <w:r>
        <w:rPr>
          <w:spacing w:val="-2"/>
          <w:sz w:val="21"/>
        </w:rPr>
        <w:t>本</w:t>
      </w:r>
      <w:r>
        <w:rPr>
          <w:spacing w:val="-2"/>
          <w:sz w:val="21"/>
        </w:rPr>
        <w:t>合</w:t>
      </w:r>
      <w:r>
        <w:rPr>
          <w:spacing w:val="-2"/>
          <w:sz w:val="21"/>
        </w:rPr>
        <w:t>同另有约定外，若您</w:t>
      </w:r>
      <w:r>
        <w:rPr>
          <w:spacing w:val="-2"/>
          <w:sz w:val="21"/>
        </w:rPr>
        <w:t>到</w:t>
      </w:r>
      <w:r>
        <w:rPr>
          <w:spacing w:val="-2"/>
          <w:sz w:val="21"/>
        </w:rPr>
        <w:t>期</w:t>
      </w:r>
      <w:r>
        <w:rPr>
          <w:spacing w:val="-2"/>
          <w:sz w:val="21"/>
        </w:rPr>
        <w:t>未</w:t>
      </w:r>
      <w:r>
        <w:rPr>
          <w:spacing w:val="-2"/>
          <w:sz w:val="21"/>
        </w:rPr>
        <w:t>支付保险费，自保险</w:t>
      </w:r>
      <w:r>
        <w:rPr>
          <w:spacing w:val="-2"/>
          <w:sz w:val="21"/>
        </w:rPr>
        <w:t>费</w:t>
      </w:r>
      <w:r>
        <w:rPr>
          <w:spacing w:val="-2"/>
          <w:sz w:val="21"/>
        </w:rPr>
        <w:t>约</w:t>
      </w:r>
      <w:r>
        <w:rPr>
          <w:spacing w:val="-2"/>
          <w:sz w:val="21"/>
        </w:rPr>
        <w:t>定支付日的次日零时</w:t>
      </w:r>
      <w:r>
        <w:rPr>
          <w:spacing w:val="-2"/>
          <w:sz w:val="21"/>
        </w:rPr>
        <w:t>起</w:t>
      </w:r>
      <w:r>
        <w:rPr>
          <w:spacing w:val="-2"/>
          <w:sz w:val="21"/>
        </w:rPr>
        <w:t>六</w:t>
      </w:r>
      <w:r>
        <w:rPr>
          <w:spacing w:val="-2"/>
          <w:sz w:val="21"/>
        </w:rPr>
        <w:t>十日为宽限期。宽限</w:t>
      </w:r>
      <w:r>
        <w:rPr>
          <w:spacing w:val="-2"/>
          <w:sz w:val="21"/>
        </w:rPr>
        <w:t>期</w:t>
      </w:r>
      <w:r>
        <w:rPr>
          <w:spacing w:val="-2"/>
          <w:sz w:val="21"/>
        </w:rPr>
        <w:t>内</w:t>
      </w:r>
      <w:r>
        <w:rPr>
          <w:spacing w:val="-2"/>
          <w:sz w:val="21"/>
        </w:rPr>
        <w:t>发</w:t>
      </w:r>
      <w:r>
        <w:rPr>
          <w:spacing w:val="-2"/>
          <w:sz w:val="21"/>
        </w:rPr>
        <w:t>生的保险事故，我们</w:t>
      </w:r>
      <w:r>
        <w:rPr>
          <w:spacing w:val="-2"/>
          <w:sz w:val="21"/>
        </w:rPr>
        <w:t>仍</w:t>
      </w:r>
      <w:r>
        <w:rPr>
          <w:spacing w:val="-2"/>
          <w:sz w:val="21"/>
        </w:rPr>
        <w:t>会</w:t>
      </w:r>
      <w:r>
        <w:rPr>
          <w:spacing w:val="-2"/>
          <w:sz w:val="21"/>
        </w:rPr>
        <w:t>承担保险责任，但在</w:t>
      </w:r>
      <w:r>
        <w:rPr>
          <w:spacing w:val="-2"/>
          <w:sz w:val="21"/>
        </w:rPr>
        <w:t>给</w:t>
      </w:r>
      <w:r>
        <w:rPr>
          <w:spacing w:val="-2"/>
          <w:sz w:val="21"/>
        </w:rPr>
        <w:t>付</w:t>
      </w:r>
      <w:r>
        <w:rPr>
          <w:spacing w:val="-2"/>
          <w:sz w:val="21"/>
        </w:rPr>
        <w:t>保险金时会扣减您欠</w:t>
      </w:r>
      <w:r>
        <w:rPr>
          <w:spacing w:val="-2"/>
          <w:sz w:val="21"/>
        </w:rPr>
        <w:t>交</w:t>
      </w:r>
      <w:r>
        <w:rPr>
          <w:spacing w:val="-2"/>
          <w:sz w:val="21"/>
        </w:rPr>
        <w:t>的</w:t>
      </w:r>
      <w:r>
        <w:rPr>
          <w:spacing w:val="-2"/>
          <w:sz w:val="21"/>
        </w:rPr>
        <w:t>保</w:t>
      </w:r>
      <w:r>
        <w:rPr>
          <w:spacing w:val="-4"/>
          <w:sz w:val="21"/>
        </w:rPr>
        <w:t>险</w:t>
      </w:r>
      <w:r>
        <w:rPr>
          <w:spacing w:val="-4"/>
          <w:sz w:val="21"/>
        </w:rPr>
        <w:t>费</w:t>
      </w:r>
      <w:r>
        <w:rPr>
          <w:spacing w:val="-4"/>
          <w:sz w:val="21"/>
        </w:rPr>
        <w:t>。</w:t>
      </w:r>
    </w:p>
    <w:p>
      <w:pPr>
        <w:spacing w:line="194" w:lineRule="auto" w:before="119"/>
        <w:ind w:left="2767" w:right="677" w:firstLine="0"/>
        <w:jc w:val="left"/>
        <w:rPr>
          <w:rFonts w:ascii="微软雅黑" w:eastAsia="微软雅黑"/>
          <w:b/>
          <w:sz w:val="21"/>
        </w:rPr>
      </w:pPr>
      <w:r>
        <w:rPr>
          <w:rFonts w:ascii="微软雅黑" w:eastAsia="微软雅黑"/>
          <w:b/>
          <w:spacing w:val="-2"/>
          <w:sz w:val="21"/>
        </w:rPr>
        <w:t>您在宽限期届满后仍未支付保险费的，本合同自宽限期届满的次日零时起效力</w:t>
      </w:r>
      <w:r>
        <w:rPr>
          <w:rFonts w:ascii="微软雅黑" w:eastAsia="微软雅黑"/>
          <w:b/>
          <w:spacing w:val="-4"/>
          <w:sz w:val="21"/>
        </w:rPr>
        <w:t>中止。</w:t>
      </w:r>
    </w:p>
    <w:p>
      <w:pPr>
        <w:pStyle w:val="BodyText"/>
        <w:spacing w:before="13"/>
        <w:rPr>
          <w:rFonts w:ascii="微软雅黑"/>
          <w:b/>
          <w:sz w:val="25"/>
        </w:rPr>
      </w:pPr>
    </w:p>
    <w:p>
      <w:pPr>
        <w:pStyle w:val="Heading1"/>
        <w:tabs>
          <w:tab w:pos="1080"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合同效力的中止及恢复</w:t>
      </w:r>
    </w:p>
    <w:p>
      <w:pPr>
        <w:pStyle w:val="BodyText"/>
        <w:spacing w:before="5"/>
        <w:rPr>
          <w:rFonts w:ascii="微软雅黑"/>
          <w:b/>
          <w:sz w:val="4"/>
        </w:rPr>
      </w:pPr>
      <w:r>
        <w:rPr/>
        <w:drawing>
          <wp:anchor distT="0" distB="0" distL="0" distR="0" allowOverlap="1" layoutInCell="1" locked="0" behindDoc="0" simplePos="0" relativeHeight="9">
            <wp:simplePos x="0" y="0"/>
            <wp:positionH relativeFrom="page">
              <wp:posOffset>647700</wp:posOffset>
            </wp:positionH>
            <wp:positionV relativeFrom="paragraph">
              <wp:posOffset>65348</wp:posOffset>
            </wp:positionV>
            <wp:extent cx="6387317"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387317" cy="12287"/>
                    </a:xfrm>
                    <a:prstGeom prst="rect">
                      <a:avLst/>
                    </a:prstGeom>
                  </pic:spPr>
                </pic:pic>
              </a:graphicData>
            </a:graphic>
          </wp:anchor>
        </w:drawing>
      </w:r>
    </w:p>
    <w:p>
      <w:pPr>
        <w:pStyle w:val="BodyText"/>
        <w:spacing w:before="10"/>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1"/>
          <w:numId w:val="10"/>
        </w:numPr>
        <w:tabs>
          <w:tab w:pos="1080" w:val="left" w:leader="none"/>
          <w:tab w:pos="1081" w:val="left" w:leader="none"/>
        </w:tabs>
        <w:spacing w:line="194" w:lineRule="auto" w:before="57" w:after="0"/>
        <w:ind w:left="1080" w:right="38" w:hanging="853"/>
        <w:jc w:val="left"/>
        <w:rPr>
          <w:rFonts w:ascii="微软雅黑" w:eastAsia="微软雅黑"/>
          <w:b/>
          <w:sz w:val="21"/>
        </w:rPr>
      </w:pPr>
      <w:r>
        <w:rPr>
          <w:rFonts w:ascii="微软雅黑" w:eastAsia="微软雅黑"/>
          <w:b/>
          <w:spacing w:val="-2"/>
          <w:sz w:val="21"/>
        </w:rPr>
        <w:t>合同效力的中</w:t>
      </w:r>
      <w:r>
        <w:rPr>
          <w:rFonts w:ascii="微软雅黑" w:eastAsia="微软雅黑"/>
          <w:b/>
          <w:spacing w:val="-10"/>
          <w:sz w:val="21"/>
        </w:rPr>
        <w:t>止</w:t>
      </w:r>
    </w:p>
    <w:p>
      <w:pPr>
        <w:pStyle w:val="Heading2"/>
        <w:spacing w:before="4"/>
        <w:ind w:left="228"/>
      </w:pPr>
      <w:bookmarkStart w:name="_TOC_250000" w:id="1"/>
      <w:r>
        <w:rPr>
          <w:b w:val="0"/>
        </w:rPr>
        <w:br w:type="column"/>
      </w:r>
      <w:bookmarkEnd w:id="1"/>
      <w:r>
        <w:rPr>
          <w:spacing w:val="-3"/>
        </w:rPr>
        <w:t>在本合同效力中止期间，我们不承担保险责任。</w:t>
      </w:r>
    </w:p>
    <w:p>
      <w:pPr>
        <w:spacing w:after="0"/>
        <w:sectPr>
          <w:type w:val="continuous"/>
          <w:pgSz w:w="11910" w:h="16840"/>
          <w:pgMar w:header="0" w:footer="406" w:top="600" w:bottom="280" w:left="900" w:right="340"/>
          <w:cols w:num="2" w:equalWidth="0">
            <w:col w:w="2388" w:space="151"/>
            <w:col w:w="8131"/>
          </w:cols>
        </w:sectPr>
      </w:pPr>
    </w:p>
    <w:p>
      <w:pPr>
        <w:pStyle w:val="BodyText"/>
        <w:spacing w:before="12"/>
        <w:rPr>
          <w:rFonts w:ascii="微软雅黑"/>
          <w:b/>
          <w:sz w:val="13"/>
        </w:rPr>
      </w:pPr>
    </w:p>
    <w:p>
      <w:pPr>
        <w:spacing w:after="0"/>
        <w:rPr>
          <w:rFonts w:ascii="微软雅黑"/>
          <w:sz w:val="13"/>
        </w:rPr>
        <w:sectPr>
          <w:type w:val="continuous"/>
          <w:pgSz w:w="11910" w:h="16840"/>
          <w:pgMar w:header="0" w:footer="406" w:top="600" w:bottom="280" w:left="900" w:right="340"/>
        </w:sectPr>
      </w:pPr>
    </w:p>
    <w:p>
      <w:pPr>
        <w:pStyle w:val="ListParagraph"/>
        <w:numPr>
          <w:ilvl w:val="1"/>
          <w:numId w:val="10"/>
        </w:numPr>
        <w:tabs>
          <w:tab w:pos="1080" w:val="left" w:leader="none"/>
          <w:tab w:pos="1081" w:val="left" w:leader="none"/>
        </w:tabs>
        <w:spacing w:line="194" w:lineRule="auto" w:before="57" w:after="0"/>
        <w:ind w:left="1080" w:right="38" w:hanging="853"/>
        <w:jc w:val="left"/>
        <w:rPr>
          <w:rFonts w:ascii="微软雅黑" w:eastAsia="微软雅黑"/>
          <w:b/>
          <w:sz w:val="21"/>
        </w:rPr>
      </w:pPr>
      <w:r>
        <w:rPr>
          <w:rFonts w:ascii="微软雅黑" w:eastAsia="微软雅黑"/>
          <w:b/>
          <w:spacing w:val="-2"/>
          <w:sz w:val="21"/>
        </w:rPr>
        <w:t>合同效力的恢</w:t>
      </w:r>
      <w:r>
        <w:rPr>
          <w:rFonts w:ascii="微软雅黑" w:eastAsia="微软雅黑"/>
          <w:b/>
          <w:spacing w:val="-10"/>
          <w:sz w:val="21"/>
        </w:rPr>
        <w:t>复</w:t>
      </w:r>
    </w:p>
    <w:p>
      <w:pPr>
        <w:pStyle w:val="BodyText"/>
        <w:spacing w:line="278" w:lineRule="auto" w:before="72"/>
        <w:ind w:left="228" w:right="677"/>
      </w:pPr>
      <w:r>
        <w:rPr/>
        <w:br w:type="column"/>
      </w:r>
      <w:r>
        <w:rPr>
          <w:spacing w:val="-2"/>
        </w:rPr>
        <w:t>自本合同效力中止之日起二年内，您可以申请恢复合同效力。经我们与您协商</w:t>
      </w:r>
      <w:r>
        <w:rPr>
          <w:spacing w:val="-1"/>
        </w:rPr>
        <w:t>并达成协议，在您补交所欠的保险费及利息、保单质押贷款本金及利息的次日</w:t>
      </w:r>
    </w:p>
    <w:p>
      <w:pPr>
        <w:spacing w:after="0" w:line="278" w:lineRule="auto"/>
        <w:sectPr>
          <w:type w:val="continuous"/>
          <w:pgSz w:w="11910" w:h="16840"/>
          <w:pgMar w:header="0" w:footer="406" w:top="600" w:bottom="280" w:left="900" w:right="340"/>
          <w:cols w:num="2" w:equalWidth="0">
            <w:col w:w="2388" w:space="151"/>
            <w:col w:w="8131"/>
          </w:cols>
        </w:sectPr>
      </w:pPr>
    </w:p>
    <w:p>
      <w:pPr>
        <w:spacing w:line="223" w:lineRule="auto" w:before="72"/>
        <w:ind w:left="2767" w:right="675" w:firstLine="0"/>
        <w:jc w:val="left"/>
        <w:rPr>
          <w:sz w:val="21"/>
        </w:rPr>
      </w:pPr>
      <w:r>
        <w:rPr>
          <w:spacing w:val="-2"/>
          <w:sz w:val="21"/>
        </w:rPr>
        <w:t>零时起，本合同效力恢复。计算上述补交保险费利息的利率按您申请恢复合同</w:t>
      </w:r>
      <w:r>
        <w:rPr>
          <w:sz w:val="21"/>
        </w:rPr>
        <w:t>效力时我们最近一次已宣布的</w:t>
      </w:r>
      <w:r>
        <w:rPr>
          <w:rFonts w:ascii="微软雅黑" w:eastAsia="微软雅黑"/>
          <w:b/>
          <w:sz w:val="21"/>
        </w:rPr>
        <w:t>本合同约定利率 </w:t>
      </w:r>
      <w:r>
        <w:rPr>
          <w:position w:val="11"/>
          <w:sz w:val="11"/>
        </w:rPr>
        <w:t>11.20</w:t>
      </w:r>
      <w:r>
        <w:rPr>
          <w:spacing w:val="-20"/>
          <w:position w:val="11"/>
          <w:sz w:val="11"/>
        </w:rPr>
        <w:t> </w:t>
      </w:r>
      <w:r>
        <w:rPr>
          <w:sz w:val="21"/>
        </w:rPr>
        <w:t>为上限确定。</w:t>
      </w:r>
    </w:p>
    <w:p>
      <w:pPr>
        <w:pStyle w:val="Heading2"/>
        <w:spacing w:line="194" w:lineRule="auto" w:before="78"/>
        <w:ind w:left="2767" w:right="677"/>
      </w:pPr>
      <w:r>
        <w:rPr>
          <w:spacing w:val="-2"/>
        </w:rPr>
        <w:t>自本合同效力中止之日起满二年您和我们未达成协议的，我们有权解除合同。</w:t>
      </w:r>
      <w:r>
        <w:rPr>
          <w:spacing w:val="-2"/>
        </w:rPr>
        <w:t>我们解除合同的，向您退还合同效力中止时本合同现金价值。</w:t>
      </w:r>
    </w:p>
    <w:p>
      <w:pPr>
        <w:pStyle w:val="BodyText"/>
        <w:spacing w:before="1"/>
        <w:rPr>
          <w:rFonts w:ascii="微软雅黑"/>
          <w:b/>
          <w:sz w:val="16"/>
        </w:rPr>
      </w:pPr>
    </w:p>
    <w:p>
      <w:pPr>
        <w:tabs>
          <w:tab w:pos="1080" w:val="left" w:leader="none"/>
        </w:tabs>
        <w:spacing w:before="0"/>
        <w:ind w:left="227" w:right="0" w:firstLine="0"/>
        <w:jc w:val="left"/>
        <w:rPr>
          <w:rFonts w:ascii="微软雅黑" w:hAnsi="微软雅黑" w:eastAsia="微软雅黑"/>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微软雅黑" w:hAnsi="微软雅黑" w:eastAsia="微软雅黑"/>
          <w:b/>
          <w:spacing w:val="-2"/>
          <w:sz w:val="24"/>
        </w:rPr>
        <w:t>现金价值权益</w:t>
      </w:r>
    </w:p>
    <w:p>
      <w:pPr>
        <w:pStyle w:val="BodyText"/>
        <w:spacing w:before="5"/>
        <w:rPr>
          <w:rFonts w:ascii="微软雅黑"/>
          <w:b/>
          <w:sz w:val="4"/>
        </w:rPr>
      </w:pPr>
      <w:r>
        <w:rPr/>
        <w:drawing>
          <wp:anchor distT="0" distB="0" distL="0" distR="0" allowOverlap="1" layoutInCell="1" locked="0" behindDoc="0" simplePos="0" relativeHeight="10">
            <wp:simplePos x="0" y="0"/>
            <wp:positionH relativeFrom="page">
              <wp:posOffset>647700</wp:posOffset>
            </wp:positionH>
            <wp:positionV relativeFrom="paragraph">
              <wp:posOffset>65278</wp:posOffset>
            </wp:positionV>
            <wp:extent cx="6387511" cy="12287"/>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387511" cy="12287"/>
                    </a:xfrm>
                    <a:prstGeom prst="rect">
                      <a:avLst/>
                    </a:prstGeom>
                  </pic:spPr>
                </pic:pic>
              </a:graphicData>
            </a:graphic>
          </wp:anchor>
        </w:drawing>
      </w:r>
    </w:p>
    <w:p>
      <w:pPr>
        <w:pStyle w:val="BodyText"/>
        <w:spacing w:before="10"/>
        <w:rPr>
          <w:rFonts w:ascii="微软雅黑"/>
          <w:b/>
          <w:sz w:val="8"/>
        </w:rPr>
      </w:pPr>
    </w:p>
    <w:p>
      <w:pPr>
        <w:pStyle w:val="ListParagraph"/>
        <w:numPr>
          <w:ilvl w:val="1"/>
          <w:numId w:val="11"/>
        </w:numPr>
        <w:tabs>
          <w:tab w:pos="1081" w:val="left" w:leader="none"/>
        </w:tabs>
        <w:spacing w:line="256" w:lineRule="auto" w:before="4" w:after="0"/>
        <w:ind w:left="2960" w:right="667" w:hanging="2733"/>
        <w:jc w:val="both"/>
        <w:rPr>
          <w:sz w:val="21"/>
        </w:rPr>
      </w:pPr>
      <w:r>
        <w:rPr>
          <w:rFonts w:ascii="微软雅黑" w:eastAsia="微软雅黑"/>
          <w:b/>
          <w:spacing w:val="78"/>
          <w:sz w:val="21"/>
        </w:rPr>
        <w:t>保单质押贷款 </w:t>
      </w:r>
      <w:r>
        <w:rPr>
          <w:sz w:val="21"/>
        </w:rPr>
        <w:t>在本合同有效期内且犹豫期满后，您可以申请并经我们审核同意后办理保单</w:t>
      </w:r>
      <w:r>
        <w:rPr>
          <w:spacing w:val="-2"/>
          <w:sz w:val="21"/>
        </w:rPr>
        <w:t>质押贷款。若本合同包含以身故为给付保险金条件的保险责任，您申请保单</w:t>
      </w:r>
      <w:r>
        <w:rPr>
          <w:spacing w:val="-2"/>
          <w:sz w:val="21"/>
        </w:rPr>
        <w:t>质押贷款应事先经被保险人书面同意。</w:t>
      </w:r>
    </w:p>
    <w:p>
      <w:pPr>
        <w:spacing w:line="211" w:lineRule="auto" w:before="73"/>
        <w:ind w:left="2960" w:right="666" w:firstLine="0"/>
        <w:jc w:val="both"/>
        <w:rPr>
          <w:sz w:val="21"/>
        </w:rPr>
      </w:pPr>
      <w:r>
        <w:rPr>
          <w:rFonts w:ascii="微软雅黑" w:eastAsia="微软雅黑"/>
          <w:b/>
          <w:spacing w:val="-2"/>
          <w:sz w:val="21"/>
        </w:rPr>
        <w:t>保单质押贷款最高金额不得超过本合同当时的现金价值扣除各项欠款、贷款</w:t>
      </w:r>
      <w:r>
        <w:rPr>
          <w:rFonts w:ascii="微软雅黑" w:eastAsia="微软雅黑"/>
          <w:b/>
          <w:spacing w:val="-2"/>
          <w:sz w:val="21"/>
        </w:rPr>
        <w:t>本金及利息后余额的百分之八十，且每次贷款期限不超过六个月。</w:t>
      </w:r>
      <w:r>
        <w:rPr>
          <w:spacing w:val="-2"/>
          <w:sz w:val="21"/>
        </w:rPr>
        <w:t>贷款利率</w:t>
      </w:r>
      <w:r>
        <w:rPr>
          <w:spacing w:val="-1"/>
          <w:sz w:val="21"/>
        </w:rPr>
        <w:t>按本合同约定利率计算，由我们参照同期全国银行间同业拆借中心公布的贷</w:t>
      </w:r>
    </w:p>
    <w:p>
      <w:pPr>
        <w:pStyle w:val="BodyText"/>
        <w:spacing w:line="278" w:lineRule="auto" w:before="52"/>
        <w:ind w:left="2960" w:right="667"/>
        <w:jc w:val="both"/>
      </w:pPr>
      <w:r>
        <w:rPr>
          <w:spacing w:val="-2"/>
        </w:rPr>
        <w:t>款市场报价利率确定并宣布，宣布时间为每年的一月一日和七月一日。在贷</w:t>
      </w:r>
      <w:r>
        <w:rPr>
          <w:spacing w:val="-2"/>
        </w:rPr>
        <w:t>款期限内，利息按贷款期限开始之日时我们最近一次已宣布的本合同约定利</w:t>
      </w:r>
      <w:r>
        <w:rPr>
          <w:spacing w:val="-4"/>
        </w:rPr>
        <w:t>率计算。</w:t>
      </w:r>
    </w:p>
    <w:p>
      <w:pPr>
        <w:pStyle w:val="BodyText"/>
        <w:spacing w:line="278" w:lineRule="auto" w:before="94"/>
        <w:ind w:left="2960" w:right="560"/>
      </w:pPr>
      <w:r>
        <w:rPr>
          <w:w w:val="100"/>
        </w:rPr>
        <w:t>您可以随时偿还全部或部分贷款本金及利息，但最迟应在贷款期限届满日偿还。未能按期偿还的，利息将于贷款期限届满之次日并入贷款本金金额中，</w:t>
      </w:r>
      <w:r>
        <w:rPr>
          <w:spacing w:val="-3"/>
          <w:w w:val="100"/>
        </w:rPr>
        <w:t>视同为重新保单质押贷款，并以原贷款期限作为新的贷款期限重新开始计息。</w:t>
      </w:r>
      <w:r>
        <w:rPr>
          <w:w w:val="100"/>
        </w:rPr>
        <w:t>在新的贷款期限内，贷款利息按原贷款期限届满之次日我们最近一次已宣布的本合同约定利率计算。若贷款本金及利息在新的贷款期限届满日仍未偿还</w:t>
      </w:r>
      <w:r>
        <w:rPr>
          <w:spacing w:val="-3"/>
          <w:w w:val="100"/>
        </w:rPr>
        <w:t>的，贷款本金、贷款期限和利率将按上述方法重新确定。</w:t>
      </w:r>
    </w:p>
    <w:p>
      <w:pPr>
        <w:spacing w:line="211" w:lineRule="auto" w:before="59"/>
        <w:ind w:left="2960" w:right="666" w:firstLine="0"/>
        <w:jc w:val="both"/>
        <w:rPr>
          <w:sz w:val="21"/>
        </w:rPr>
      </w:pPr>
      <w:r>
        <w:rPr>
          <w:rFonts w:ascii="微软雅黑" w:hAnsi="微软雅黑" w:eastAsia="微软雅黑"/>
          <w:b/>
          <w:spacing w:val="-2"/>
          <w:sz w:val="21"/>
        </w:rPr>
        <w:t>当贷款本金及利息加上其他各项欠款及利息达到本合同的现金价值时，本合</w:t>
      </w:r>
      <w:r>
        <w:rPr>
          <w:rFonts w:ascii="微软雅黑" w:hAnsi="微软雅黑" w:eastAsia="微软雅黑"/>
          <w:b/>
          <w:sz w:val="21"/>
        </w:rPr>
        <w:t>同效力中止。</w:t>
      </w:r>
      <w:r>
        <w:rPr>
          <w:sz w:val="21"/>
        </w:rPr>
        <w:t>本合同效力的中止及恢复适用“4.1</w:t>
      </w:r>
      <w:r>
        <w:rPr>
          <w:spacing w:val="-6"/>
          <w:sz w:val="21"/>
        </w:rPr>
        <w:t> 合同效力的中止”及</w:t>
      </w:r>
      <w:r>
        <w:rPr>
          <w:sz w:val="21"/>
        </w:rPr>
        <w:t>“4.2</w:t>
      </w:r>
      <w:r>
        <w:rPr>
          <w:spacing w:val="-2"/>
          <w:sz w:val="21"/>
        </w:rPr>
        <w:t>合同效力的恢复”的规定。</w:t>
      </w:r>
    </w:p>
    <w:p>
      <w:pPr>
        <w:spacing w:line="211" w:lineRule="auto" w:before="18"/>
        <w:ind w:left="2960" w:right="667" w:firstLine="0"/>
        <w:jc w:val="both"/>
        <w:rPr>
          <w:sz w:val="21"/>
        </w:rPr>
      </w:pPr>
      <w:r>
        <w:rPr>
          <w:rFonts w:ascii="微软雅黑" w:hAnsi="微软雅黑" w:eastAsia="微软雅黑"/>
          <w:b/>
          <w:spacing w:val="-2"/>
          <w:sz w:val="21"/>
        </w:rPr>
        <w:t>我们在给付各项保险金、退还现金价值或保险费时，若您有尚未偿还的贷款</w:t>
      </w:r>
      <w:r>
        <w:rPr>
          <w:rFonts w:ascii="微软雅黑" w:hAnsi="微软雅黑" w:eastAsia="微软雅黑"/>
          <w:b/>
          <w:spacing w:val="-2"/>
          <w:sz w:val="21"/>
        </w:rPr>
        <w:t>本金及利息或其他未还清款项时，我们将先扣除上述欠款及相应利息。</w:t>
      </w:r>
      <w:r>
        <w:rPr>
          <w:spacing w:val="-2"/>
          <w:sz w:val="21"/>
        </w:rPr>
        <w:t>本合</w:t>
      </w:r>
      <w:r>
        <w:rPr>
          <w:sz w:val="21"/>
        </w:rPr>
        <w:t>同未还款项的扣除适用“9.4 未还款项的扣除”的规定。</w:t>
      </w:r>
    </w:p>
    <w:p>
      <w:pPr>
        <w:pStyle w:val="BodyText"/>
        <w:spacing w:before="12"/>
        <w:rPr>
          <w:sz w:val="29"/>
        </w:rPr>
      </w:pPr>
    </w:p>
    <w:p>
      <w:pPr>
        <w:spacing w:after="0"/>
        <w:rPr>
          <w:sz w:val="29"/>
        </w:rPr>
        <w:sectPr>
          <w:pgSz w:w="11910" w:h="16840"/>
          <w:pgMar w:header="0" w:footer="406" w:top="1080" w:bottom="600" w:left="900" w:right="340"/>
        </w:sectPr>
      </w:pPr>
    </w:p>
    <w:p>
      <w:pPr>
        <w:pStyle w:val="Heading2"/>
        <w:numPr>
          <w:ilvl w:val="1"/>
          <w:numId w:val="11"/>
        </w:numPr>
        <w:tabs>
          <w:tab w:pos="1080" w:val="left" w:leader="none"/>
          <w:tab w:pos="1081" w:val="left" w:leader="none"/>
        </w:tabs>
        <w:spacing w:line="194" w:lineRule="auto" w:before="57" w:after="0"/>
        <w:ind w:left="1080" w:right="38" w:hanging="853"/>
        <w:jc w:val="left"/>
      </w:pPr>
      <w:r>
        <w:rPr>
          <w:spacing w:val="-2"/>
        </w:rPr>
        <w:t>保险费的自动垫</w:t>
      </w:r>
      <w:r>
        <w:rPr>
          <w:spacing w:val="-10"/>
        </w:rPr>
        <w:t>交</w:t>
      </w:r>
    </w:p>
    <w:p>
      <w:pPr>
        <w:pStyle w:val="BodyText"/>
        <w:spacing w:line="278" w:lineRule="auto" w:before="72"/>
        <w:ind w:left="228" w:right="667"/>
        <w:jc w:val="both"/>
      </w:pPr>
      <w:r>
        <w:rPr/>
        <w:br w:type="column"/>
      </w:r>
      <w:r>
        <w:rPr>
          <w:spacing w:val="-2"/>
        </w:rPr>
        <w:t>您在投保时选择保险费自动垫交方式的，分期支付的保险费若超过宽限期仍</w:t>
      </w:r>
      <w:r>
        <w:rPr>
          <w:spacing w:val="-2"/>
        </w:rPr>
        <w:t>未支付，如本合同在宽限期开始前一日的现金价值扣除各项欠款及利息后的</w:t>
      </w:r>
      <w:r>
        <w:rPr>
          <w:spacing w:val="-2"/>
        </w:rPr>
        <w:t>余额足以垫付到期应付保险费，我们将为您自动垫交到期应付保险费，本合</w:t>
      </w:r>
      <w:r>
        <w:rPr>
          <w:spacing w:val="-2"/>
        </w:rPr>
        <w:t>同继续有效，所垫交的保险费视同保单质押贷款，并按本合同约定利率计算</w:t>
      </w:r>
      <w:r>
        <w:rPr>
          <w:spacing w:val="-2"/>
        </w:rPr>
        <w:t>利息；不足以垫交到期应付保险费的，不进行保险费的自动垫交。</w:t>
      </w:r>
    </w:p>
    <w:p>
      <w:pPr>
        <w:spacing w:line="211" w:lineRule="auto" w:before="28"/>
        <w:ind w:left="228" w:right="667" w:firstLine="0"/>
        <w:jc w:val="both"/>
        <w:rPr>
          <w:sz w:val="21"/>
        </w:rPr>
      </w:pPr>
      <w:r>
        <w:rPr>
          <w:rFonts w:ascii="微软雅黑" w:hAnsi="微软雅黑" w:eastAsia="微软雅黑"/>
          <w:b/>
          <w:spacing w:val="-2"/>
          <w:sz w:val="21"/>
        </w:rPr>
        <w:t>当所垫交的保险费及利息加上其他各项欠款及利息达到本合同现金价值时，</w:t>
      </w:r>
      <w:r>
        <w:rPr>
          <w:rFonts w:ascii="微软雅黑" w:hAnsi="微软雅黑" w:eastAsia="微软雅黑"/>
          <w:b/>
          <w:sz w:val="21"/>
        </w:rPr>
        <w:t>本合同效力中止。</w:t>
      </w:r>
      <w:r>
        <w:rPr>
          <w:sz w:val="21"/>
        </w:rPr>
        <w:t>本合同效力的中止及恢复适用“4.1 合同效力的中止”及 “4.2 合同效力的恢复”的规定。</w:t>
      </w:r>
    </w:p>
    <w:p>
      <w:pPr>
        <w:pStyle w:val="BodyText"/>
        <w:spacing w:line="278" w:lineRule="auto" w:before="114"/>
        <w:ind w:left="228" w:right="667"/>
      </w:pPr>
      <w:r>
        <w:rPr>
          <w:spacing w:val="-2"/>
        </w:rPr>
        <w:t>您在保险费自动垫交开始后申请结束保险费的自动垫交的，须补交所垫交的</w:t>
      </w:r>
      <w:r>
        <w:rPr>
          <w:spacing w:val="-2"/>
        </w:rPr>
        <w:t>保险费及利息。</w:t>
      </w:r>
    </w:p>
    <w:p>
      <w:pPr>
        <w:pStyle w:val="BodyText"/>
        <w:spacing w:line="278" w:lineRule="auto" w:before="63"/>
        <w:ind w:left="228" w:right="670"/>
      </w:pPr>
      <w:r>
        <w:rPr>
          <w:spacing w:val="-2"/>
        </w:rPr>
        <w:t>若本合同有附加保险合同，除附加合同另有约定以外，则保险费的自动垫交</w:t>
      </w:r>
      <w:r>
        <w:rPr>
          <w:spacing w:val="-2"/>
        </w:rPr>
        <w:t>也包括附加保险合同的到期应付保险费。</w:t>
      </w:r>
    </w:p>
    <w:p>
      <w:pPr>
        <w:spacing w:after="0" w:line="278" w:lineRule="auto"/>
        <w:sectPr>
          <w:type w:val="continuous"/>
          <w:pgSz w:w="11910" w:h="16840"/>
          <w:pgMar w:header="0" w:footer="406" w:top="600" w:bottom="280" w:left="900" w:right="340"/>
          <w:cols w:num="2" w:equalWidth="0">
            <w:col w:w="2599" w:space="133"/>
            <w:col w:w="7938"/>
          </w:cols>
        </w:sectPr>
      </w:pPr>
    </w:p>
    <w:p>
      <w:pPr>
        <w:pStyle w:val="BodyText"/>
        <w:spacing w:before="8"/>
        <w:rPr>
          <w:sz w:val="18"/>
        </w:rPr>
      </w:pPr>
    </w:p>
    <w:p>
      <w:pPr>
        <w:pStyle w:val="Heading1"/>
        <w:tabs>
          <w:tab w:pos="1080" w:val="left" w:leader="none"/>
        </w:tabs>
        <w:spacing w:before="79"/>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明确说明与如实告知</w:t>
      </w:r>
    </w:p>
    <w:p>
      <w:pPr>
        <w:pStyle w:val="BodyText"/>
        <w:spacing w:before="7"/>
        <w:rPr>
          <w:rFonts w:ascii="微软雅黑"/>
          <w:b/>
          <w:sz w:val="4"/>
        </w:rPr>
      </w:pPr>
      <w:r>
        <w:rPr/>
        <w:drawing>
          <wp:anchor distT="0" distB="0" distL="0" distR="0" allowOverlap="1" layoutInCell="1" locked="0" behindDoc="0" simplePos="0" relativeHeight="11">
            <wp:simplePos x="0" y="0"/>
            <wp:positionH relativeFrom="page">
              <wp:posOffset>638555</wp:posOffset>
            </wp:positionH>
            <wp:positionV relativeFrom="paragraph">
              <wp:posOffset>66523</wp:posOffset>
            </wp:positionV>
            <wp:extent cx="6247825" cy="12001"/>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6247825" cy="12001"/>
                    </a:xfrm>
                    <a:prstGeom prst="rect">
                      <a:avLst/>
                    </a:prstGeom>
                  </pic:spPr>
                </pic:pic>
              </a:graphicData>
            </a:graphic>
          </wp:anchor>
        </w:drawing>
      </w:r>
    </w:p>
    <w:p>
      <w:pPr>
        <w:spacing w:after="0"/>
        <w:rPr>
          <w:rFonts w:ascii="微软雅黑"/>
          <w:sz w:val="4"/>
        </w:rPr>
        <w:sectPr>
          <w:type w:val="continuous"/>
          <w:pgSz w:w="11910" w:h="16840"/>
          <w:pgMar w:header="0" w:footer="406" w:top="600" w:bottom="280" w:left="900" w:right="340"/>
        </w:sectPr>
      </w:pPr>
    </w:p>
    <w:p>
      <w:pPr>
        <w:pStyle w:val="BodyText"/>
        <w:spacing w:line="20" w:lineRule="exact"/>
        <w:ind w:left="120"/>
        <w:rPr>
          <w:rFonts w:ascii="微软雅黑"/>
          <w:sz w:val="2"/>
        </w:rPr>
      </w:pPr>
      <w:r>
        <w:rPr>
          <w:rFonts w:ascii="微软雅黑"/>
          <w:sz w:val="2"/>
        </w:rPr>
        <w:drawing>
          <wp:inline distT="0" distB="0" distL="0" distR="0">
            <wp:extent cx="6291458" cy="8572"/>
            <wp:effectExtent l="0" t="0" r="0" b="0"/>
            <wp:docPr id="17" name="image7.png"/>
            <wp:cNvGraphicFramePr>
              <a:graphicFrameLocks noChangeAspect="1"/>
            </wp:cNvGraphicFramePr>
            <a:graphic>
              <a:graphicData uri="http://schemas.openxmlformats.org/drawingml/2006/picture">
                <pic:pic>
                  <pic:nvPicPr>
                    <pic:cNvPr id="18" name="image7.png"/>
                    <pic:cNvPicPr/>
                  </pic:nvPicPr>
                  <pic:blipFill>
                    <a:blip r:embed="rId12" cstate="print"/>
                    <a:stretch>
                      <a:fillRect/>
                    </a:stretch>
                  </pic:blipFill>
                  <pic:spPr>
                    <a:xfrm>
                      <a:off x="0" y="0"/>
                      <a:ext cx="6291458" cy="8572"/>
                    </a:xfrm>
                    <a:prstGeom prst="rect">
                      <a:avLst/>
                    </a:prstGeom>
                  </pic:spPr>
                </pic:pic>
              </a:graphicData>
            </a:graphic>
          </wp:inline>
        </w:drawing>
      </w:r>
      <w:r>
        <w:rPr>
          <w:rFonts w:ascii="微软雅黑"/>
          <w:sz w:val="2"/>
        </w:rPr>
      </w:r>
    </w:p>
    <w:p>
      <w:pPr>
        <w:pStyle w:val="BodyText"/>
        <w:spacing w:before="6"/>
        <w:rPr>
          <w:rFonts w:ascii="微软雅黑"/>
          <w:b/>
          <w:sz w:val="8"/>
        </w:rPr>
      </w:pPr>
    </w:p>
    <w:p>
      <w:pPr>
        <w:pStyle w:val="ListParagraph"/>
        <w:numPr>
          <w:ilvl w:val="1"/>
          <w:numId w:val="12"/>
        </w:numPr>
        <w:tabs>
          <w:tab w:pos="1081" w:val="left" w:leader="none"/>
          <w:tab w:pos="2960" w:val="left" w:leader="none"/>
        </w:tabs>
        <w:spacing w:line="240" w:lineRule="auto" w:before="4" w:after="0"/>
        <w:ind w:left="1080" w:right="0" w:hanging="854"/>
        <w:jc w:val="both"/>
        <w:rPr>
          <w:sz w:val="21"/>
        </w:rPr>
      </w:pPr>
      <w:r>
        <w:rPr>
          <w:rFonts w:ascii="微软雅黑" w:eastAsia="微软雅黑"/>
          <w:b/>
          <w:sz w:val="21"/>
        </w:rPr>
        <w:t>明确说</w:t>
      </w:r>
      <w:r>
        <w:rPr>
          <w:rFonts w:ascii="微软雅黑" w:eastAsia="微软雅黑"/>
          <w:b/>
          <w:spacing w:val="-10"/>
          <w:sz w:val="21"/>
        </w:rPr>
        <w:t>明</w:t>
      </w:r>
      <w:r>
        <w:rPr>
          <w:rFonts w:ascii="微软雅黑" w:eastAsia="微软雅黑"/>
          <w:b/>
          <w:sz w:val="21"/>
        </w:rPr>
        <w:tab/>
      </w:r>
      <w:r>
        <w:rPr>
          <w:spacing w:val="-2"/>
          <w:sz w:val="21"/>
        </w:rPr>
        <w:t>订</w:t>
      </w:r>
      <w:r>
        <w:rPr>
          <w:spacing w:val="-2"/>
          <w:sz w:val="21"/>
        </w:rPr>
        <w:t>立</w:t>
      </w:r>
      <w:r>
        <w:rPr>
          <w:spacing w:val="-2"/>
          <w:sz w:val="21"/>
        </w:rPr>
        <w:t>本合同时，我们将向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86"/>
        <w:ind w:left="2960" w:right="670"/>
        <w:jc w:val="both"/>
      </w:pPr>
      <w:r>
        <w:rPr>
          <w:spacing w:val="-2"/>
        </w:rPr>
        <w:t>对保险条款中免除我们责任的条款，我们在订立合同时将在投保单、保险单</w:t>
      </w:r>
      <w:r>
        <w:rPr>
          <w:spacing w:val="-2"/>
        </w:rPr>
        <w:t>或者其他保险凭证上作出足以引起您注意的提示，并对该条款的内容以书面</w:t>
      </w:r>
      <w:r>
        <w:rPr>
          <w:spacing w:val="-2"/>
        </w:rPr>
        <w:t>或者口头形式向您作出明确说明，未作提示或者明确说明的，该条款不产生</w:t>
      </w:r>
      <w:r>
        <w:rPr>
          <w:spacing w:val="-4"/>
        </w:rPr>
        <w:t>效力。</w:t>
      </w:r>
    </w:p>
    <w:p>
      <w:pPr>
        <w:pStyle w:val="BodyText"/>
        <w:spacing w:before="1"/>
        <w:rPr>
          <w:sz w:val="19"/>
        </w:rPr>
      </w:pPr>
    </w:p>
    <w:p>
      <w:pPr>
        <w:pStyle w:val="ListParagraph"/>
        <w:numPr>
          <w:ilvl w:val="1"/>
          <w:numId w:val="12"/>
        </w:numPr>
        <w:tabs>
          <w:tab w:pos="1081" w:val="left" w:leader="none"/>
          <w:tab w:pos="2960" w:val="left" w:leader="none"/>
        </w:tabs>
        <w:spacing w:line="240" w:lineRule="auto" w:before="0" w:after="0"/>
        <w:ind w:left="1080" w:right="0" w:hanging="854"/>
        <w:jc w:val="both"/>
        <w:rPr>
          <w:sz w:val="21"/>
        </w:rPr>
      </w:pPr>
      <w:r>
        <w:rPr>
          <w:rFonts w:ascii="微软雅黑" w:eastAsia="微软雅黑"/>
          <w:b/>
          <w:sz w:val="21"/>
        </w:rPr>
        <w:t>如实告</w:t>
      </w:r>
      <w:r>
        <w:rPr>
          <w:rFonts w:ascii="微软雅黑" w:eastAsia="微软雅黑"/>
          <w:b/>
          <w:spacing w:val="-10"/>
          <w:sz w:val="21"/>
        </w:rPr>
        <w:t>知</w:t>
      </w:r>
      <w:r>
        <w:rPr>
          <w:rFonts w:ascii="微软雅黑" w:eastAsia="微软雅黑"/>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194" w:lineRule="auto" w:before="71"/>
        <w:ind w:left="2960" w:right="667" w:firstLine="0"/>
        <w:jc w:val="left"/>
        <w:rPr>
          <w:rFonts w:ascii="微软雅黑" w:eastAsia="微软雅黑"/>
          <w:b/>
          <w:sz w:val="21"/>
        </w:rPr>
      </w:pPr>
      <w:r>
        <w:rPr>
          <w:rFonts w:ascii="微软雅黑" w:eastAsia="微软雅黑"/>
          <w:b/>
          <w:spacing w:val="-2"/>
          <w:sz w:val="21"/>
        </w:rPr>
        <w:t>若您故意或者因重大过失未履行前款规定的如实告知义务，足以影响我们决</w:t>
      </w:r>
      <w:r>
        <w:rPr>
          <w:rFonts w:ascii="微软雅黑" w:eastAsia="微软雅黑"/>
          <w:b/>
          <w:spacing w:val="-2"/>
          <w:sz w:val="21"/>
        </w:rPr>
        <w:t>定是否同意承保或提高保险费率的，我们有权解除本合同。</w:t>
      </w:r>
    </w:p>
    <w:p>
      <w:pPr>
        <w:spacing w:line="194" w:lineRule="auto" w:before="89"/>
        <w:ind w:left="2960" w:right="667" w:firstLine="0"/>
        <w:jc w:val="left"/>
        <w:rPr>
          <w:rFonts w:ascii="微软雅黑" w:eastAsia="微软雅黑"/>
          <w:b/>
          <w:sz w:val="21"/>
        </w:rPr>
      </w:pPr>
      <w:r>
        <w:rPr>
          <w:rFonts w:ascii="微软雅黑" w:eastAsia="微软雅黑"/>
          <w:b/>
          <w:spacing w:val="-2"/>
          <w:sz w:val="21"/>
        </w:rPr>
        <w:t>若您故意不履行如实告知义务，对于本合同解除前发生的保险事故，我们不</w:t>
      </w:r>
      <w:r>
        <w:rPr>
          <w:rFonts w:ascii="微软雅黑" w:eastAsia="微软雅黑"/>
          <w:b/>
          <w:spacing w:val="-2"/>
          <w:sz w:val="21"/>
        </w:rPr>
        <w:t>承担给付保险金的责任，并不退还保险费。</w:t>
      </w:r>
    </w:p>
    <w:p>
      <w:pPr>
        <w:spacing w:line="194" w:lineRule="auto" w:before="90"/>
        <w:ind w:left="2960" w:right="667" w:firstLine="0"/>
        <w:jc w:val="both"/>
        <w:rPr>
          <w:rFonts w:ascii="微软雅黑" w:eastAsia="微软雅黑"/>
          <w:b/>
          <w:sz w:val="21"/>
        </w:rPr>
      </w:pPr>
      <w:r>
        <w:rPr>
          <w:rFonts w:ascii="微软雅黑" w:eastAsia="微软雅黑"/>
          <w:b/>
          <w:spacing w:val="-2"/>
          <w:sz w:val="21"/>
        </w:rPr>
        <w:t>若您因重大过失未履行如实告知义务，对保险事故的发生有严重影响的，对</w:t>
      </w:r>
      <w:r>
        <w:rPr>
          <w:rFonts w:ascii="微软雅黑" w:eastAsia="微软雅黑"/>
          <w:b/>
          <w:spacing w:val="-2"/>
          <w:sz w:val="21"/>
        </w:rPr>
        <w:t>于本合同解除前发生的保险事故，我们不承担给付保险金的责任，但退还您</w:t>
      </w:r>
      <w:r>
        <w:rPr>
          <w:rFonts w:ascii="微软雅黑" w:eastAsia="微软雅黑"/>
          <w:b/>
          <w:spacing w:val="-2"/>
          <w:sz w:val="21"/>
        </w:rPr>
        <w:t>所支付的保险费。</w:t>
      </w:r>
    </w:p>
    <w:p>
      <w:pPr>
        <w:pStyle w:val="BodyText"/>
        <w:spacing w:line="278" w:lineRule="auto" w:before="104"/>
        <w:ind w:left="2960" w:right="666"/>
      </w:pPr>
      <w:r>
        <w:rPr>
          <w:spacing w:val="-2"/>
        </w:rPr>
        <w:t>我们在合同订立时已经知道您未如实告知的情况的，我们不得解除合同；发</w:t>
      </w:r>
      <w:r>
        <w:rPr>
          <w:spacing w:val="-2"/>
        </w:rPr>
        <w:t>生保险事故的，我们承担给付保险金的责任。</w:t>
      </w:r>
    </w:p>
    <w:p>
      <w:pPr>
        <w:pStyle w:val="BodyText"/>
        <w:spacing w:before="6"/>
        <w:rPr>
          <w:sz w:val="29"/>
        </w:rPr>
      </w:pPr>
    </w:p>
    <w:p>
      <w:pPr>
        <w:spacing w:after="0"/>
        <w:rPr>
          <w:sz w:val="29"/>
        </w:rPr>
        <w:sectPr>
          <w:pgSz w:w="11910" w:h="16840"/>
          <w:pgMar w:header="0" w:footer="406" w:top="1120" w:bottom="600" w:left="900" w:right="340"/>
        </w:sectPr>
      </w:pPr>
    </w:p>
    <w:p>
      <w:pPr>
        <w:pStyle w:val="Heading2"/>
        <w:numPr>
          <w:ilvl w:val="1"/>
          <w:numId w:val="12"/>
        </w:numPr>
        <w:tabs>
          <w:tab w:pos="1080" w:val="left" w:leader="none"/>
          <w:tab w:pos="1081" w:val="left" w:leader="none"/>
        </w:tabs>
        <w:spacing w:line="194" w:lineRule="auto" w:before="57" w:after="0"/>
        <w:ind w:left="1080" w:right="38" w:hanging="853"/>
        <w:jc w:val="left"/>
      </w:pPr>
      <w:r>
        <w:rPr>
          <w:spacing w:val="-2"/>
        </w:rPr>
        <w:t>本公司合同解除</w:t>
      </w:r>
      <w:r>
        <w:rPr>
          <w:spacing w:val="-4"/>
        </w:rPr>
        <w:t>权的限制</w:t>
      </w:r>
    </w:p>
    <w:p>
      <w:pPr>
        <w:pStyle w:val="BodyText"/>
        <w:spacing w:line="278" w:lineRule="auto" w:before="71"/>
        <w:ind w:left="228" w:right="667"/>
        <w:jc w:val="both"/>
      </w:pPr>
      <w:r>
        <w:rPr/>
        <w:br w:type="column"/>
      </w:r>
      <w:r>
        <w:rPr/>
        <w:t>本合同“6.2 如实告知”规定的本公司合同解除权，自我们知道有解除事由</w:t>
      </w:r>
      <w:r>
        <w:rPr>
          <w:spacing w:val="-2"/>
        </w:rPr>
        <w:t>之日起，超过三十日不行使而消灭。自本合同成立日起超过二年的，我们不</w:t>
      </w:r>
      <w:r>
        <w:rPr>
          <w:spacing w:val="-2"/>
        </w:rPr>
        <w:t>得解除合同；发生保险事故的，我们承担给付保险金的责任。</w:t>
      </w:r>
    </w:p>
    <w:p>
      <w:pPr>
        <w:spacing w:after="0" w:line="278" w:lineRule="auto"/>
        <w:jc w:val="both"/>
        <w:sectPr>
          <w:type w:val="continuous"/>
          <w:pgSz w:w="11910" w:h="16840"/>
          <w:pgMar w:header="0" w:footer="406" w:top="600" w:bottom="280" w:left="900" w:right="340"/>
          <w:cols w:num="2" w:equalWidth="0">
            <w:col w:w="2599" w:space="133"/>
            <w:col w:w="7938"/>
          </w:cols>
        </w:sectPr>
      </w:pPr>
    </w:p>
    <w:p>
      <w:pPr>
        <w:pStyle w:val="BodyText"/>
        <w:spacing w:before="8"/>
        <w:rPr>
          <w:sz w:val="11"/>
        </w:rPr>
      </w:pPr>
    </w:p>
    <w:p>
      <w:pPr>
        <w:pStyle w:val="Heading1"/>
        <w:tabs>
          <w:tab w:pos="1080" w:val="left" w:leader="none"/>
        </w:tabs>
        <w:spacing w:before="78"/>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如何申请领取保险金</w:t>
      </w:r>
    </w:p>
    <w:p>
      <w:pPr>
        <w:pStyle w:val="BodyText"/>
        <w:spacing w:before="4"/>
        <w:rPr>
          <w:rFonts w:ascii="微软雅黑"/>
          <w:b/>
          <w:sz w:val="4"/>
        </w:rPr>
      </w:pPr>
      <w:r>
        <w:rPr/>
        <w:drawing>
          <wp:anchor distT="0" distB="0" distL="0" distR="0" allowOverlap="1" layoutInCell="1" locked="0" behindDoc="0" simplePos="0" relativeHeight="12">
            <wp:simplePos x="0" y="0"/>
            <wp:positionH relativeFrom="page">
              <wp:posOffset>647700</wp:posOffset>
            </wp:positionH>
            <wp:positionV relativeFrom="paragraph">
              <wp:posOffset>65065</wp:posOffset>
            </wp:positionV>
            <wp:extent cx="6338128" cy="12191"/>
            <wp:effectExtent l="0" t="0" r="0" b="0"/>
            <wp:wrapTopAndBottom/>
            <wp:docPr id="19" name="image7.png"/>
            <wp:cNvGraphicFramePr>
              <a:graphicFrameLocks noChangeAspect="1"/>
            </wp:cNvGraphicFramePr>
            <a:graphic>
              <a:graphicData uri="http://schemas.openxmlformats.org/drawingml/2006/picture">
                <pic:pic>
                  <pic:nvPicPr>
                    <pic:cNvPr id="20" name="image7.png"/>
                    <pic:cNvPicPr/>
                  </pic:nvPicPr>
                  <pic:blipFill>
                    <a:blip r:embed="rId12" cstate="print"/>
                    <a:stretch>
                      <a:fillRect/>
                    </a:stretch>
                  </pic:blipFill>
                  <pic:spPr>
                    <a:xfrm>
                      <a:off x="0" y="0"/>
                      <a:ext cx="6338128" cy="12191"/>
                    </a:xfrm>
                    <a:prstGeom prst="rect">
                      <a:avLst/>
                    </a:prstGeom>
                  </pic:spPr>
                </pic:pic>
              </a:graphicData>
            </a:graphic>
          </wp:anchor>
        </w:drawing>
      </w:r>
    </w:p>
    <w:p>
      <w:pPr>
        <w:pStyle w:val="Heading2"/>
        <w:numPr>
          <w:ilvl w:val="1"/>
          <w:numId w:val="13"/>
        </w:numPr>
        <w:tabs>
          <w:tab w:pos="1080" w:val="left" w:leader="none"/>
          <w:tab w:pos="1081" w:val="left" w:leader="none"/>
        </w:tabs>
        <w:spacing w:line="240" w:lineRule="auto" w:before="208" w:after="0"/>
        <w:ind w:left="1080" w:right="0" w:hanging="854"/>
        <w:jc w:val="left"/>
      </w:pPr>
      <w:r>
        <w:rPr>
          <w:spacing w:val="-4"/>
        </w:rPr>
        <w:t>受益人</w:t>
      </w:r>
    </w:p>
    <w:p>
      <w:pPr>
        <w:pStyle w:val="BodyText"/>
        <w:spacing w:before="8"/>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BodyText"/>
        <w:spacing w:line="278" w:lineRule="auto" w:before="72"/>
        <w:ind w:left="1080"/>
      </w:pPr>
      <w:r>
        <w:rPr>
          <w:spacing w:val="-2"/>
        </w:rPr>
        <w:t>轻症疾病保险金、</w:t>
      </w:r>
      <w:r>
        <w:rPr>
          <w:spacing w:val="-2"/>
        </w:rPr>
        <w:t>中症疾病保险金、</w:t>
      </w:r>
      <w:r>
        <w:rPr>
          <w:spacing w:val="-2"/>
        </w:rPr>
        <w:t>重大疾病保险金、</w:t>
      </w:r>
      <w:r>
        <w:rPr>
          <w:spacing w:val="-2"/>
        </w:rPr>
        <w:t>恶性肿瘤扩展保</w:t>
      </w:r>
      <w:r>
        <w:rPr>
          <w:spacing w:val="-2"/>
        </w:rPr>
        <w:t> </w:t>
      </w:r>
      <w:r>
        <w:rPr>
          <w:spacing w:val="-2"/>
        </w:rPr>
        <w:t>险金、特定心脑</w:t>
      </w:r>
      <w:r>
        <w:rPr>
          <w:spacing w:val="-2"/>
        </w:rPr>
        <w:t> </w:t>
      </w:r>
      <w:r>
        <w:rPr>
          <w:spacing w:val="-2"/>
        </w:rPr>
        <w:t>血管疾病扩展保</w:t>
      </w:r>
      <w:r>
        <w:rPr>
          <w:spacing w:val="-2"/>
        </w:rPr>
        <w:t> </w:t>
      </w:r>
      <w:r>
        <w:rPr>
          <w:spacing w:val="-2"/>
        </w:rPr>
        <w:t>险金、全残保险</w:t>
      </w:r>
      <w:r>
        <w:rPr>
          <w:spacing w:val="-2"/>
        </w:rPr>
        <w:t> </w:t>
      </w:r>
      <w:r>
        <w:rPr>
          <w:spacing w:val="-4"/>
        </w:rPr>
        <w:t>金受益人</w:t>
      </w:r>
    </w:p>
    <w:p>
      <w:pPr>
        <w:pStyle w:val="BodyText"/>
        <w:spacing w:line="278" w:lineRule="auto" w:before="72"/>
        <w:ind w:left="157" w:right="767"/>
        <w:jc w:val="both"/>
      </w:pPr>
      <w:r>
        <w:rPr/>
        <w:br w:type="column"/>
      </w:r>
      <w:r>
        <w:rPr>
          <w:spacing w:val="-2"/>
        </w:rPr>
        <w:t>除本合同另有约定外，本合同轻症疾病保险金、中症疾病保险金、重大疾病</w:t>
      </w:r>
      <w:r>
        <w:rPr>
          <w:spacing w:val="-2"/>
        </w:rPr>
        <w:t>保险金、恶性肿瘤扩展保险金、特定心脑血管疾病扩展保险金、全残保险金</w:t>
      </w:r>
      <w:r>
        <w:rPr>
          <w:spacing w:val="-2"/>
        </w:rPr>
        <w:t>受益人为被保险人。</w:t>
      </w:r>
    </w:p>
    <w:p>
      <w:pPr>
        <w:spacing w:after="0" w:line="278" w:lineRule="auto"/>
        <w:jc w:val="both"/>
        <w:sectPr>
          <w:type w:val="continuous"/>
          <w:pgSz w:w="11910" w:h="16840"/>
          <w:pgMar w:header="0" w:footer="406" w:top="600" w:bottom="280" w:left="900" w:right="340"/>
          <w:cols w:num="2" w:equalWidth="0">
            <w:col w:w="2764" w:space="40"/>
            <w:col w:w="7866"/>
          </w:cols>
        </w:sectPr>
      </w:pPr>
    </w:p>
    <w:p>
      <w:pPr>
        <w:pStyle w:val="BodyText"/>
        <w:spacing w:before="8"/>
        <w:rPr>
          <w:sz w:val="18"/>
        </w:rPr>
      </w:pPr>
    </w:p>
    <w:p>
      <w:pPr>
        <w:spacing w:after="0"/>
        <w:rPr>
          <w:sz w:val="18"/>
        </w:rPr>
        <w:sectPr>
          <w:type w:val="continuous"/>
          <w:pgSz w:w="11910" w:h="16840"/>
          <w:pgMar w:header="0" w:footer="406" w:top="600" w:bottom="280" w:left="900" w:right="340"/>
        </w:sectPr>
      </w:pPr>
    </w:p>
    <w:p>
      <w:pPr>
        <w:pStyle w:val="BodyText"/>
        <w:spacing w:line="278" w:lineRule="auto" w:before="72"/>
        <w:ind w:left="1080"/>
      </w:pPr>
      <w:r>
        <w:rPr>
          <w:spacing w:val="26"/>
        </w:rPr>
        <w:t>身故保险金受益</w:t>
      </w:r>
      <w:r>
        <w:rPr>
          <w:spacing w:val="-10"/>
        </w:rPr>
        <w:t>人</w:t>
      </w:r>
    </w:p>
    <w:p>
      <w:pPr>
        <w:pStyle w:val="BodyText"/>
        <w:spacing w:before="72"/>
        <w:ind w:left="142"/>
      </w:pPr>
      <w:r>
        <w:rPr/>
        <w:br w:type="column"/>
      </w:r>
      <w:r>
        <w:rPr>
          <w:spacing w:val="-3"/>
        </w:rPr>
        <w:t>被保险人或者您可以指定一人或者数人为身故保险金受益人。</w:t>
      </w:r>
    </w:p>
    <w:p>
      <w:pPr>
        <w:pStyle w:val="BodyText"/>
        <w:spacing w:line="278" w:lineRule="auto" w:before="137"/>
        <w:ind w:left="142" w:right="560"/>
      </w:pPr>
      <w:r>
        <w:rPr>
          <w:spacing w:val="-3"/>
          <w:w w:val="100"/>
        </w:rPr>
        <w:t>身故保险金受益人为数人的，被保险人或者您可以确定受益顺序和受益份额；</w:t>
      </w:r>
      <w:r>
        <w:rPr>
          <w:w w:val="100"/>
        </w:rPr>
        <w:t>未确定受益顺序的，受益人按同一顺序享有受益权；未确定受益份额的，受</w:t>
      </w:r>
      <w:r>
        <w:rPr>
          <w:spacing w:val="-3"/>
          <w:w w:val="100"/>
        </w:rPr>
        <w:t>益人按照相等份额享有受益权。</w:t>
      </w:r>
    </w:p>
    <w:p>
      <w:pPr>
        <w:pStyle w:val="BodyText"/>
        <w:spacing w:line="278" w:lineRule="auto" w:before="93"/>
        <w:ind w:left="142" w:right="667"/>
      </w:pPr>
      <w:r>
        <w:rPr>
          <w:spacing w:val="-2"/>
        </w:rPr>
        <w:t>被保险人为无民事行为能力人或者限制民事行为能力人的，可以由其监护人</w:t>
      </w:r>
      <w:r>
        <w:rPr>
          <w:spacing w:val="-2"/>
        </w:rPr>
        <w:t>指定受益人。</w:t>
      </w:r>
    </w:p>
    <w:p>
      <w:pPr>
        <w:pStyle w:val="BodyText"/>
        <w:spacing w:line="278" w:lineRule="auto" w:before="94"/>
        <w:ind w:left="142" w:right="670"/>
      </w:pPr>
      <w:r>
        <w:rPr>
          <w:spacing w:val="-2"/>
        </w:rPr>
        <w:t>被保险人或者您可以变更身故保险金受益人并书面通知我们。我们收到变更</w:t>
      </w:r>
      <w:r>
        <w:rPr>
          <w:spacing w:val="-2"/>
        </w:rPr>
        <w:t>受益人的书面通知后，在保险单或者其他保险凭证上批注或者附贴批单。</w:t>
      </w:r>
    </w:p>
    <w:p>
      <w:pPr>
        <w:spacing w:after="0" w:line="278" w:lineRule="auto"/>
        <w:sectPr>
          <w:type w:val="continuous"/>
          <w:pgSz w:w="11910" w:h="16840"/>
          <w:pgMar w:header="0" w:footer="406" w:top="600" w:bottom="280" w:left="900" w:right="340"/>
          <w:cols w:num="2" w:equalWidth="0">
            <w:col w:w="2778" w:space="40"/>
            <w:col w:w="7852"/>
          </w:cols>
        </w:sectPr>
      </w:pPr>
    </w:p>
    <w:p>
      <w:pPr>
        <w:pStyle w:val="BodyText"/>
        <w:spacing w:before="57"/>
        <w:ind w:left="2960"/>
      </w:pPr>
      <w:r>
        <w:rPr>
          <w:spacing w:val="-3"/>
        </w:rPr>
        <w:t>您指定和变更身故保险金受益人时须经被保险人同意。</w:t>
      </w:r>
    </w:p>
    <w:p>
      <w:pPr>
        <w:pStyle w:val="BodyText"/>
        <w:spacing w:line="278" w:lineRule="auto" w:before="136"/>
        <w:ind w:left="2960" w:right="667"/>
      </w:pPr>
      <w:r>
        <w:rPr>
          <w:spacing w:val="-2"/>
        </w:rPr>
        <w:t>被保险人身故后，有下列情形之一的，保险金作为被保险人的遗产，由我们</w:t>
      </w:r>
      <w:r>
        <w:rPr>
          <w:spacing w:val="-2"/>
        </w:rPr>
        <w:t>依照被保险人身故时关于继承的法律法规规定履行给付保险金的义务：</w:t>
      </w:r>
    </w:p>
    <w:p>
      <w:pPr>
        <w:pStyle w:val="ListParagraph"/>
        <w:numPr>
          <w:ilvl w:val="2"/>
          <w:numId w:val="13"/>
        </w:numPr>
        <w:tabs>
          <w:tab w:pos="3490" w:val="left" w:leader="none"/>
        </w:tabs>
        <w:spacing w:line="240" w:lineRule="auto" w:before="94" w:after="0"/>
        <w:ind w:left="3489" w:right="0" w:hanging="530"/>
        <w:jc w:val="left"/>
        <w:rPr>
          <w:sz w:val="21"/>
        </w:rPr>
      </w:pPr>
      <w:r>
        <w:rPr>
          <w:spacing w:val="-3"/>
          <w:sz w:val="21"/>
        </w:rPr>
        <w:t>没有指定受益人，或者受益人指定不明无法确定的；</w:t>
      </w:r>
    </w:p>
    <w:p>
      <w:pPr>
        <w:pStyle w:val="ListParagraph"/>
        <w:numPr>
          <w:ilvl w:val="2"/>
          <w:numId w:val="13"/>
        </w:numPr>
        <w:tabs>
          <w:tab w:pos="3490" w:val="left" w:leader="none"/>
        </w:tabs>
        <w:spacing w:line="240" w:lineRule="auto" w:before="137" w:after="0"/>
        <w:ind w:left="3489" w:right="0" w:hanging="530"/>
        <w:jc w:val="left"/>
        <w:rPr>
          <w:sz w:val="21"/>
        </w:rPr>
      </w:pPr>
      <w:r>
        <w:rPr>
          <w:spacing w:val="-3"/>
          <w:sz w:val="21"/>
        </w:rPr>
        <w:t>受益人先于被保险人身故，没有其他受益人的；</w:t>
      </w:r>
    </w:p>
    <w:p>
      <w:pPr>
        <w:pStyle w:val="ListParagraph"/>
        <w:numPr>
          <w:ilvl w:val="2"/>
          <w:numId w:val="13"/>
        </w:numPr>
        <w:tabs>
          <w:tab w:pos="3490" w:val="left" w:leader="none"/>
        </w:tabs>
        <w:spacing w:line="240" w:lineRule="auto" w:before="134" w:after="0"/>
        <w:ind w:left="3489" w:right="0" w:hanging="530"/>
        <w:jc w:val="left"/>
        <w:rPr>
          <w:sz w:val="21"/>
        </w:rPr>
      </w:pPr>
      <w:r>
        <w:rPr>
          <w:spacing w:val="-3"/>
          <w:sz w:val="21"/>
        </w:rPr>
        <w:t>受益人依法丧失受益权或者放弃受益权，没有其他受益人的。</w:t>
      </w:r>
    </w:p>
    <w:p>
      <w:pPr>
        <w:pStyle w:val="BodyText"/>
        <w:spacing w:line="278" w:lineRule="auto" w:before="136"/>
        <w:ind w:left="2960" w:right="667"/>
      </w:pPr>
      <w:r>
        <w:rPr>
          <w:spacing w:val="-2"/>
        </w:rPr>
        <w:t>受益人与被保险人在同一事件中身故，且不能确定身故先后顺序的，推定受</w:t>
      </w:r>
      <w:r>
        <w:rPr>
          <w:spacing w:val="-2"/>
        </w:rPr>
        <w:t>益人身故在先。</w:t>
      </w:r>
    </w:p>
    <w:p>
      <w:pPr>
        <w:pStyle w:val="Heading2"/>
        <w:spacing w:line="194" w:lineRule="auto" w:before="79"/>
        <w:ind w:right="678"/>
      </w:pPr>
      <w:r>
        <w:rPr>
          <w:spacing w:val="-2"/>
        </w:rPr>
        <w:t>受益人故意造成被保险人身故、伤残、疾病的，或者故意杀害被保险人未遂</w:t>
      </w:r>
      <w:r>
        <w:rPr>
          <w:spacing w:val="-2"/>
        </w:rPr>
        <w:t>的，该受益人丧失受益权。</w:t>
      </w:r>
    </w:p>
    <w:p>
      <w:pPr>
        <w:pStyle w:val="BodyText"/>
        <w:rPr>
          <w:rFonts w:ascii="微软雅黑"/>
          <w:b/>
          <w:sz w:val="19"/>
        </w:rPr>
      </w:pPr>
    </w:p>
    <w:p>
      <w:pPr>
        <w:pStyle w:val="ListParagraph"/>
        <w:numPr>
          <w:ilvl w:val="1"/>
          <w:numId w:val="13"/>
        </w:numPr>
        <w:tabs>
          <w:tab w:pos="1080" w:val="left" w:leader="none"/>
          <w:tab w:pos="1081" w:val="left" w:leader="none"/>
          <w:tab w:pos="2960" w:val="left" w:leader="none"/>
        </w:tabs>
        <w:spacing w:line="240" w:lineRule="auto" w:before="0" w:after="0"/>
        <w:ind w:left="1080" w:right="0" w:hanging="854"/>
        <w:jc w:val="left"/>
        <w:rPr>
          <w:sz w:val="21"/>
        </w:rPr>
      </w:pP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spacing w:line="312" w:lineRule="exact" w:before="44"/>
        <w:ind w:left="2960" w:right="564" w:firstLine="0"/>
        <w:jc w:val="left"/>
        <w:rPr>
          <w:sz w:val="21"/>
        </w:rPr>
      </w:pPr>
      <w:r>
        <w:rPr>
          <w:rFonts w:ascii="微软雅黑" w:eastAsia="微软雅黑"/>
          <w:b/>
          <w:w w:val="100"/>
          <w:sz w:val="21"/>
        </w:rPr>
        <w:t>您或受益人故意或者因重大过失未及时通知，致使保险事故的性质、原因、</w:t>
      </w:r>
      <w:r>
        <w:rPr>
          <w:rFonts w:ascii="微软雅黑" w:eastAsia="微软雅黑"/>
          <w:b/>
          <w:spacing w:val="-5"/>
          <w:w w:val="100"/>
          <w:sz w:val="21"/>
        </w:rPr>
        <w:t>损失程度等难以确定的，我们对无法确定的部分，不承担给付保险金的责任，</w:t>
      </w:r>
      <w:r>
        <w:rPr>
          <w:w w:val="100"/>
          <w:sz w:val="21"/>
        </w:rPr>
        <w:t>但我们通过其他途径已经及时知道或者应当及时知道保险事故发生或者虽您或受益人未及时通知但不影响我们确定保险事故的性质、原因、损失程度的除外。</w:t>
      </w:r>
    </w:p>
    <w:p>
      <w:pPr>
        <w:pStyle w:val="BodyText"/>
        <w:spacing w:before="4"/>
        <w:rPr>
          <w:sz w:val="23"/>
        </w:rPr>
      </w:pPr>
    </w:p>
    <w:p>
      <w:pPr>
        <w:pStyle w:val="Heading2"/>
        <w:numPr>
          <w:ilvl w:val="1"/>
          <w:numId w:val="13"/>
        </w:numPr>
        <w:tabs>
          <w:tab w:pos="1080" w:val="left" w:leader="none"/>
          <w:tab w:pos="1081" w:val="left" w:leader="none"/>
        </w:tabs>
        <w:spacing w:line="240" w:lineRule="auto" w:before="0" w:after="0"/>
        <w:ind w:left="1080" w:right="0" w:hanging="854"/>
        <w:jc w:val="left"/>
      </w:pPr>
      <w:r>
        <w:rPr>
          <w:spacing w:val="-2"/>
        </w:rPr>
        <w:t>保险金申请</w:t>
      </w:r>
    </w:p>
    <w:p>
      <w:pPr>
        <w:pStyle w:val="BodyText"/>
        <w:spacing w:before="5"/>
        <w:rPr>
          <w:rFonts w:ascii="微软雅黑"/>
          <w:b/>
          <w:sz w:val="13"/>
        </w:rPr>
      </w:pPr>
    </w:p>
    <w:p>
      <w:pPr>
        <w:spacing w:after="0"/>
        <w:rPr>
          <w:rFonts w:ascii="微软雅黑"/>
          <w:sz w:val="13"/>
        </w:rPr>
        <w:sectPr>
          <w:pgSz w:w="11910" w:h="16840"/>
          <w:pgMar w:header="0" w:footer="406" w:top="1080" w:bottom="600" w:left="900" w:right="340"/>
        </w:sectPr>
      </w:pPr>
    </w:p>
    <w:p>
      <w:pPr>
        <w:pStyle w:val="BodyText"/>
        <w:spacing w:line="278" w:lineRule="auto" w:before="72"/>
        <w:ind w:left="1080"/>
      </w:pPr>
      <w:r>
        <w:rPr>
          <w:spacing w:val="-2"/>
        </w:rPr>
        <w:t>轻症疾病保险金、</w:t>
      </w:r>
      <w:r>
        <w:rPr>
          <w:spacing w:val="-2"/>
        </w:rPr>
        <w:t>中症疾病保险金、</w:t>
      </w:r>
      <w:r>
        <w:rPr>
          <w:spacing w:val="-2"/>
        </w:rPr>
        <w:t>重大疾病保险金、</w:t>
      </w:r>
      <w:r>
        <w:rPr>
          <w:spacing w:val="-2"/>
        </w:rPr>
        <w:t>恶性肿瘤扩展保</w:t>
      </w:r>
      <w:r>
        <w:rPr>
          <w:spacing w:val="-2"/>
        </w:rPr>
        <w:t> </w:t>
      </w:r>
      <w:r>
        <w:rPr>
          <w:spacing w:val="-2"/>
        </w:rPr>
        <w:t>险金、特定心脑</w:t>
      </w:r>
      <w:r>
        <w:rPr>
          <w:spacing w:val="-2"/>
        </w:rPr>
        <w:t> </w:t>
      </w:r>
      <w:r>
        <w:rPr>
          <w:spacing w:val="-2"/>
        </w:rPr>
        <w:t>血管疾病扩展保</w:t>
      </w:r>
      <w:r>
        <w:rPr>
          <w:spacing w:val="-2"/>
        </w:rPr>
        <w:t> 险金及豁免保险</w:t>
      </w:r>
      <w:r>
        <w:rPr>
          <w:spacing w:val="-2"/>
        </w:rPr>
        <w:t> </w:t>
      </w:r>
      <w:r>
        <w:rPr>
          <w:spacing w:val="-4"/>
        </w:rPr>
        <w:t>费申请</w:t>
      </w:r>
    </w:p>
    <w:p>
      <w:pPr>
        <w:pStyle w:val="BodyText"/>
        <w:spacing w:line="278" w:lineRule="auto" w:before="72"/>
        <w:ind w:left="157" w:right="666"/>
        <w:jc w:val="both"/>
      </w:pPr>
      <w:r>
        <w:rPr/>
        <w:br w:type="column"/>
      </w:r>
      <w:r>
        <w:rPr>
          <w:spacing w:val="-2"/>
        </w:rPr>
        <w:t>在申请轻症疾病保险金、中症疾病保险金、重大疾病保险金、恶性肿瘤扩展</w:t>
      </w:r>
      <w:r>
        <w:rPr>
          <w:spacing w:val="-2"/>
        </w:rPr>
        <w:t>保险金、特定心脑血管疾病扩展保险金，或申请被保险人轻症疾病、中症疾</w:t>
      </w:r>
      <w:r>
        <w:rPr>
          <w:spacing w:val="-2"/>
        </w:rPr>
        <w:t>病或重大疾病豁免保险费时，申请人须填写保险金给付申请书或保险费豁免</w:t>
      </w:r>
      <w:r>
        <w:rPr>
          <w:spacing w:val="-2"/>
        </w:rPr>
        <w:t>申请书，并提供下列证明和资料：</w:t>
      </w:r>
    </w:p>
    <w:p>
      <w:pPr>
        <w:pStyle w:val="ListParagraph"/>
        <w:numPr>
          <w:ilvl w:val="0"/>
          <w:numId w:val="14"/>
        </w:numPr>
        <w:tabs>
          <w:tab w:pos="687" w:val="left" w:leader="none"/>
        </w:tabs>
        <w:spacing w:line="240" w:lineRule="auto" w:before="93" w:after="0"/>
        <w:ind w:left="686" w:right="0" w:hanging="530"/>
        <w:jc w:val="left"/>
        <w:rPr>
          <w:sz w:val="21"/>
        </w:rPr>
      </w:pPr>
      <w:r>
        <w:rPr>
          <w:spacing w:val="-4"/>
          <w:sz w:val="21"/>
        </w:rPr>
        <w:t>保险合同；</w:t>
      </w:r>
    </w:p>
    <w:p>
      <w:pPr>
        <w:pStyle w:val="ListParagraph"/>
        <w:numPr>
          <w:ilvl w:val="0"/>
          <w:numId w:val="14"/>
        </w:numPr>
        <w:tabs>
          <w:tab w:pos="687" w:val="left" w:leader="none"/>
        </w:tabs>
        <w:spacing w:line="240" w:lineRule="auto" w:before="137" w:after="0"/>
        <w:ind w:left="686" w:right="0" w:hanging="530"/>
        <w:jc w:val="left"/>
        <w:rPr>
          <w:sz w:val="21"/>
        </w:rPr>
      </w:pPr>
      <w:r>
        <w:rPr>
          <w:spacing w:val="-3"/>
          <w:sz w:val="21"/>
        </w:rPr>
        <w:t>申请人的有效身份证件；</w:t>
      </w:r>
    </w:p>
    <w:p>
      <w:pPr>
        <w:pStyle w:val="ListParagraph"/>
        <w:numPr>
          <w:ilvl w:val="0"/>
          <w:numId w:val="14"/>
        </w:numPr>
        <w:tabs>
          <w:tab w:pos="684" w:val="left" w:leader="none"/>
        </w:tabs>
        <w:spacing w:line="278" w:lineRule="auto" w:before="136" w:after="0"/>
        <w:ind w:left="682" w:right="666" w:hanging="526"/>
        <w:jc w:val="left"/>
        <w:rPr>
          <w:sz w:val="21"/>
        </w:rPr>
      </w:pPr>
      <w:r>
        <w:rPr>
          <w:spacing w:val="-2"/>
          <w:sz w:val="21"/>
        </w:rPr>
        <w:t>由本公司认可的医疗机构出具的附有被保险人病理检查、血液检查及其</w:t>
      </w:r>
      <w:r>
        <w:rPr>
          <w:spacing w:val="-2"/>
          <w:sz w:val="21"/>
        </w:rPr>
        <w:t>他科学方法报告的诊断证明书；</w:t>
      </w:r>
    </w:p>
    <w:p>
      <w:pPr>
        <w:pStyle w:val="ListParagraph"/>
        <w:numPr>
          <w:ilvl w:val="0"/>
          <w:numId w:val="14"/>
        </w:numPr>
        <w:tabs>
          <w:tab w:pos="687" w:val="left" w:leader="none"/>
        </w:tabs>
        <w:spacing w:line="240" w:lineRule="auto" w:before="91" w:after="0"/>
        <w:ind w:left="686"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06" w:top="600" w:bottom="280" w:left="900" w:right="340"/>
          <w:cols w:num="2" w:equalWidth="0">
            <w:col w:w="2764" w:space="40"/>
            <w:col w:w="7866"/>
          </w:cols>
        </w:sectPr>
      </w:pPr>
    </w:p>
    <w:p>
      <w:pPr>
        <w:pStyle w:val="BodyText"/>
        <w:spacing w:before="2"/>
        <w:rPr>
          <w:sz w:val="22"/>
        </w:rPr>
      </w:pPr>
    </w:p>
    <w:p>
      <w:pPr>
        <w:pStyle w:val="BodyText"/>
        <w:tabs>
          <w:tab w:pos="2960" w:val="left" w:leader="none"/>
        </w:tabs>
        <w:spacing w:line="278" w:lineRule="auto" w:before="71"/>
        <w:ind w:left="2960" w:right="667" w:hanging="1880"/>
      </w:pPr>
      <w:r>
        <w:rPr>
          <w:spacing w:val="-2"/>
        </w:rPr>
        <w:t>全</w:t>
      </w:r>
      <w:r>
        <w:rPr>
          <w:spacing w:val="-2"/>
        </w:rPr>
        <w:t>残</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全</w:t>
      </w:r>
      <w:r>
        <w:rPr>
          <w:spacing w:val="-2"/>
        </w:rPr>
        <w:t>残</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pStyle w:val="ListParagraph"/>
        <w:numPr>
          <w:ilvl w:val="1"/>
          <w:numId w:val="14"/>
        </w:numPr>
        <w:tabs>
          <w:tab w:pos="3490" w:val="left" w:leader="none"/>
        </w:tabs>
        <w:spacing w:line="240" w:lineRule="auto" w:before="79" w:after="0"/>
        <w:ind w:left="3489" w:right="0" w:hanging="530"/>
        <w:jc w:val="left"/>
        <w:rPr>
          <w:sz w:val="21"/>
        </w:rPr>
      </w:pPr>
      <w:r>
        <w:rPr>
          <w:spacing w:val="-4"/>
          <w:sz w:val="21"/>
        </w:rPr>
        <w:t>保险合同；</w:t>
      </w:r>
    </w:p>
    <w:p>
      <w:pPr>
        <w:pStyle w:val="ListParagraph"/>
        <w:numPr>
          <w:ilvl w:val="1"/>
          <w:numId w:val="14"/>
        </w:numPr>
        <w:tabs>
          <w:tab w:pos="3490" w:val="left" w:leader="none"/>
        </w:tabs>
        <w:spacing w:line="240" w:lineRule="auto" w:before="120" w:after="0"/>
        <w:ind w:left="3489" w:right="0" w:hanging="530"/>
        <w:jc w:val="left"/>
        <w:rPr>
          <w:sz w:val="21"/>
        </w:rPr>
      </w:pPr>
      <w:r>
        <w:rPr>
          <w:spacing w:val="-3"/>
          <w:sz w:val="21"/>
        </w:rPr>
        <w:t>申请人的有效身份证件；</w:t>
      </w:r>
    </w:p>
    <w:p>
      <w:pPr>
        <w:pStyle w:val="ListParagraph"/>
        <w:numPr>
          <w:ilvl w:val="1"/>
          <w:numId w:val="14"/>
        </w:numPr>
        <w:tabs>
          <w:tab w:pos="3490" w:val="left" w:leader="none"/>
        </w:tabs>
        <w:spacing w:line="278" w:lineRule="auto" w:before="123" w:after="0"/>
        <w:ind w:left="3485" w:right="663" w:hanging="526"/>
        <w:jc w:val="left"/>
        <w:rPr>
          <w:sz w:val="21"/>
        </w:rPr>
      </w:pPr>
      <w:r>
        <w:rPr>
          <w:spacing w:val="-2"/>
          <w:sz w:val="21"/>
        </w:rPr>
        <w:t>由二级以上（含二级）医院或者由双方认可的医疗机构（或鉴定机构）</w:t>
      </w:r>
      <w:r>
        <w:rPr>
          <w:spacing w:val="-2"/>
          <w:sz w:val="21"/>
        </w:rPr>
        <w:t>出具的被保险人身体残疾程度鉴定书、残疾或烧伤程度的资料；</w:t>
      </w:r>
    </w:p>
    <w:p>
      <w:pPr>
        <w:pStyle w:val="ListParagraph"/>
        <w:numPr>
          <w:ilvl w:val="1"/>
          <w:numId w:val="14"/>
        </w:numPr>
        <w:tabs>
          <w:tab w:pos="3487" w:val="left" w:leader="none"/>
        </w:tabs>
        <w:spacing w:line="278" w:lineRule="auto" w:before="77" w:after="0"/>
        <w:ind w:left="3485" w:right="666" w:hanging="526"/>
        <w:jc w:val="left"/>
        <w:rPr>
          <w:sz w:val="21"/>
        </w:rPr>
      </w:pPr>
      <w:r>
        <w:rPr>
          <w:spacing w:val="-2"/>
          <w:sz w:val="21"/>
        </w:rPr>
        <w:t>所能提供的与确认保险事故的性质、原因及伤害程度等有关的其他证明</w:t>
      </w:r>
      <w:r>
        <w:rPr>
          <w:spacing w:val="-4"/>
          <w:sz w:val="21"/>
        </w:rPr>
        <w:t>和资料。</w:t>
      </w:r>
    </w:p>
    <w:p>
      <w:pPr>
        <w:pStyle w:val="BodyText"/>
        <w:rPr>
          <w:sz w:val="20"/>
        </w:rPr>
      </w:pPr>
    </w:p>
    <w:p>
      <w:pPr>
        <w:pStyle w:val="BodyText"/>
        <w:tabs>
          <w:tab w:pos="2960" w:val="left" w:leader="none"/>
        </w:tabs>
        <w:spacing w:line="278" w:lineRule="auto" w:before="134"/>
        <w:ind w:left="2960" w:right="667" w:hanging="1880"/>
      </w:pPr>
      <w:r>
        <w:rPr>
          <w:spacing w:val="-2"/>
        </w:rPr>
        <w:t>身</w:t>
      </w:r>
      <w:r>
        <w:rPr>
          <w:spacing w:val="-2"/>
        </w:rPr>
        <w:t>故</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身</w:t>
      </w:r>
      <w:r>
        <w:rPr>
          <w:spacing w:val="-2"/>
        </w:rPr>
        <w:t>故</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spacing w:after="0" w:line="278" w:lineRule="auto"/>
        <w:sectPr>
          <w:type w:val="continuous"/>
          <w:pgSz w:w="11910" w:h="16840"/>
          <w:pgMar w:header="0" w:footer="406" w:top="600" w:bottom="280" w:left="900" w:right="340"/>
        </w:sectPr>
      </w:pPr>
    </w:p>
    <w:p>
      <w:pPr>
        <w:pStyle w:val="ListParagraph"/>
        <w:numPr>
          <w:ilvl w:val="0"/>
          <w:numId w:val="15"/>
        </w:numPr>
        <w:tabs>
          <w:tab w:pos="3490" w:val="left" w:leader="none"/>
        </w:tabs>
        <w:spacing w:line="240" w:lineRule="auto" w:before="57" w:after="0"/>
        <w:ind w:left="3489" w:right="0" w:hanging="530"/>
        <w:jc w:val="left"/>
        <w:rPr>
          <w:sz w:val="21"/>
        </w:rPr>
      </w:pPr>
      <w:r>
        <w:rPr>
          <w:spacing w:val="-4"/>
          <w:sz w:val="21"/>
        </w:rPr>
        <w:t>保险合同；</w:t>
      </w:r>
    </w:p>
    <w:p>
      <w:pPr>
        <w:pStyle w:val="ListParagraph"/>
        <w:numPr>
          <w:ilvl w:val="0"/>
          <w:numId w:val="15"/>
        </w:numPr>
        <w:tabs>
          <w:tab w:pos="3490" w:val="left" w:leader="none"/>
        </w:tabs>
        <w:spacing w:line="240" w:lineRule="auto" w:before="122" w:after="0"/>
        <w:ind w:left="3489" w:right="0" w:hanging="530"/>
        <w:jc w:val="left"/>
        <w:rPr>
          <w:sz w:val="21"/>
        </w:rPr>
      </w:pPr>
      <w:r>
        <w:rPr>
          <w:spacing w:val="-3"/>
          <w:sz w:val="21"/>
        </w:rPr>
        <w:t>申请人的有效身份证件；</w:t>
      </w:r>
    </w:p>
    <w:p>
      <w:pPr>
        <w:pStyle w:val="ListParagraph"/>
        <w:numPr>
          <w:ilvl w:val="0"/>
          <w:numId w:val="15"/>
        </w:numPr>
        <w:tabs>
          <w:tab w:pos="3487" w:val="left" w:leader="none"/>
        </w:tabs>
        <w:spacing w:line="278" w:lineRule="auto" w:before="120" w:after="0"/>
        <w:ind w:left="3485" w:right="666" w:hanging="526"/>
        <w:jc w:val="left"/>
        <w:rPr>
          <w:sz w:val="21"/>
        </w:rPr>
      </w:pPr>
      <w:r>
        <w:rPr>
          <w:spacing w:val="-2"/>
          <w:sz w:val="21"/>
        </w:rPr>
        <w:t>国家卫生行政部门认定的医疗机构、公安部门或其他相关机构出具的被</w:t>
      </w:r>
      <w:r>
        <w:rPr>
          <w:spacing w:val="-2"/>
          <w:sz w:val="21"/>
        </w:rPr>
        <w:t>保险人的死亡证明；</w:t>
      </w:r>
    </w:p>
    <w:p>
      <w:pPr>
        <w:pStyle w:val="ListParagraph"/>
        <w:numPr>
          <w:ilvl w:val="0"/>
          <w:numId w:val="15"/>
        </w:numPr>
        <w:tabs>
          <w:tab w:pos="3490" w:val="left" w:leader="none"/>
        </w:tabs>
        <w:spacing w:line="240" w:lineRule="auto" w:before="79" w:after="0"/>
        <w:ind w:left="3489" w:right="0" w:hanging="530"/>
        <w:jc w:val="left"/>
        <w:rPr>
          <w:sz w:val="21"/>
        </w:rPr>
      </w:pPr>
      <w:r>
        <w:rPr>
          <w:spacing w:val="-3"/>
          <w:sz w:val="21"/>
        </w:rPr>
        <w:t>被保险人户籍注销证明；</w:t>
      </w:r>
    </w:p>
    <w:p>
      <w:pPr>
        <w:pStyle w:val="ListParagraph"/>
        <w:numPr>
          <w:ilvl w:val="0"/>
          <w:numId w:val="15"/>
        </w:numPr>
        <w:tabs>
          <w:tab w:pos="3490" w:val="left" w:leader="none"/>
        </w:tabs>
        <w:spacing w:line="240" w:lineRule="auto" w:before="120" w:after="0"/>
        <w:ind w:left="3489" w:right="0" w:hanging="530"/>
        <w:jc w:val="left"/>
        <w:rPr>
          <w:sz w:val="21"/>
        </w:rPr>
      </w:pPr>
      <w:r>
        <w:rPr>
          <w:spacing w:val="-3"/>
          <w:sz w:val="21"/>
        </w:rPr>
        <w:t>所能提供的与确认保险事故的性质、原因等有关的其他证明和资料。</w:t>
      </w:r>
    </w:p>
    <w:p>
      <w:pPr>
        <w:pStyle w:val="BodyText"/>
        <w:rPr>
          <w:sz w:val="20"/>
        </w:rPr>
      </w:pPr>
    </w:p>
    <w:p>
      <w:pPr>
        <w:pStyle w:val="BodyText"/>
        <w:spacing w:before="178"/>
        <w:ind w:left="2960"/>
      </w:pPr>
      <w:r>
        <w:rPr>
          <w:spacing w:val="-3"/>
        </w:rPr>
        <w:t>保险金作为被保险人遗产时，必须提供可证明合法继承权的相关权利文件。</w:t>
      </w:r>
    </w:p>
    <w:p>
      <w:pPr>
        <w:pStyle w:val="BodyText"/>
        <w:spacing w:line="278" w:lineRule="auto" w:before="120"/>
        <w:ind w:left="2960" w:right="667"/>
      </w:pPr>
      <w:r>
        <w:rPr>
          <w:spacing w:val="-2"/>
        </w:rPr>
        <w:t>申请人提供的证明和资料不完整的，我们将及时一次性通知申请人补充提供</w:t>
      </w:r>
      <w:r>
        <w:rPr>
          <w:spacing w:val="-2"/>
        </w:rPr>
        <w:t>有关证明和资料。</w:t>
      </w:r>
    </w:p>
    <w:p>
      <w:pPr>
        <w:pStyle w:val="BodyText"/>
        <w:spacing w:before="1"/>
        <w:rPr>
          <w:sz w:val="19"/>
        </w:rPr>
      </w:pPr>
    </w:p>
    <w:p>
      <w:pPr>
        <w:pStyle w:val="ListParagraph"/>
        <w:numPr>
          <w:ilvl w:val="1"/>
          <w:numId w:val="13"/>
        </w:numPr>
        <w:tabs>
          <w:tab w:pos="1081" w:val="left" w:leader="none"/>
        </w:tabs>
        <w:spacing w:line="235" w:lineRule="auto" w:before="0" w:after="0"/>
        <w:ind w:left="2960" w:right="667" w:hanging="2733"/>
        <w:jc w:val="both"/>
        <w:rPr>
          <w:sz w:val="21"/>
        </w:rPr>
      </w:pPr>
      <w:r>
        <w:rPr>
          <w:rFonts w:ascii="微软雅黑" w:eastAsia="微软雅黑"/>
          <w:b/>
          <w:spacing w:val="78"/>
          <w:sz w:val="21"/>
        </w:rPr>
        <w:t>保险事故鉴定 </w:t>
      </w:r>
      <w:r>
        <w:rPr>
          <w:sz w:val="21"/>
        </w:rPr>
        <w:t>如果被保险人发生保险事故，您和我们均可以委托具有相应司法鉴定资质的</w:t>
      </w:r>
      <w:r>
        <w:rPr>
          <w:spacing w:val="-2"/>
          <w:sz w:val="21"/>
        </w:rPr>
        <w:t>司法鉴定机构，对保险事故进行评估和鉴定。</w:t>
      </w:r>
    </w:p>
    <w:p>
      <w:pPr>
        <w:pStyle w:val="BodyText"/>
        <w:spacing w:before="10"/>
        <w:rPr>
          <w:sz w:val="15"/>
        </w:rPr>
      </w:pPr>
    </w:p>
    <w:p>
      <w:pPr>
        <w:pStyle w:val="ListParagraph"/>
        <w:numPr>
          <w:ilvl w:val="1"/>
          <w:numId w:val="13"/>
        </w:numPr>
        <w:tabs>
          <w:tab w:pos="1081" w:val="left" w:leader="none"/>
          <w:tab w:pos="2960" w:val="left" w:leader="none"/>
        </w:tabs>
        <w:spacing w:line="256" w:lineRule="auto" w:before="0" w:after="0"/>
        <w:ind w:left="2960" w:right="667" w:hanging="2733"/>
        <w:jc w:val="both"/>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给付申</w:t>
      </w:r>
      <w:r>
        <w:rPr>
          <w:spacing w:val="-2"/>
          <w:sz w:val="21"/>
        </w:rPr>
        <w:t>请</w:t>
      </w:r>
      <w:r>
        <w:rPr>
          <w:spacing w:val="-2"/>
          <w:sz w:val="21"/>
        </w:rPr>
        <w:t>书</w:t>
      </w:r>
      <w:r>
        <w:rPr>
          <w:spacing w:val="-2"/>
          <w:sz w:val="21"/>
        </w:rPr>
        <w:t>及</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证明和</w:t>
      </w:r>
      <w:r>
        <w:rPr>
          <w:spacing w:val="-2"/>
          <w:sz w:val="21"/>
        </w:rPr>
        <w:t>资</w:t>
      </w:r>
      <w:r>
        <w:rPr>
          <w:spacing w:val="-2"/>
          <w:sz w:val="21"/>
        </w:rPr>
        <w:t>料</w:t>
      </w:r>
      <w:r>
        <w:rPr>
          <w:spacing w:val="-2"/>
          <w:sz w:val="21"/>
        </w:rPr>
        <w:t>后</w:t>
      </w:r>
      <w:r>
        <w:rPr>
          <w:spacing w:val="-2"/>
          <w:sz w:val="21"/>
        </w:rPr>
        <w:t>，</w:t>
      </w:r>
      <w:r>
        <w:rPr>
          <w:spacing w:val="-2"/>
          <w:sz w:val="21"/>
        </w:rPr>
        <w:t>将</w:t>
      </w:r>
      <w:r>
        <w:rPr>
          <w:spacing w:val="-2"/>
          <w:sz w:val="21"/>
        </w:rPr>
        <w:t>在</w:t>
      </w:r>
      <w:r>
        <w:rPr>
          <w:spacing w:val="-2"/>
          <w:sz w:val="21"/>
        </w:rPr>
        <w:t>五</w:t>
      </w:r>
      <w:r>
        <w:rPr>
          <w:spacing w:val="-2"/>
          <w:sz w:val="21"/>
        </w:rPr>
        <w:t>日</w:t>
      </w:r>
      <w:r>
        <w:rPr>
          <w:spacing w:val="-2"/>
          <w:sz w:val="21"/>
        </w:rPr>
        <w:t>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情</w:t>
      </w:r>
      <w:r>
        <w:rPr>
          <w:spacing w:val="-2"/>
          <w:sz w:val="21"/>
        </w:rPr>
        <w:t>形</w:t>
      </w:r>
      <w:r>
        <w:rPr>
          <w:spacing w:val="-2"/>
          <w:sz w:val="21"/>
        </w:rPr>
        <w:t>复</w:t>
      </w:r>
      <w:r>
        <w:rPr>
          <w:spacing w:val="-2"/>
          <w:sz w:val="21"/>
        </w:rPr>
        <w:t>杂</w:t>
      </w:r>
      <w:r>
        <w:rPr>
          <w:spacing w:val="-2"/>
          <w:sz w:val="21"/>
        </w:rPr>
        <w:t>的</w:t>
      </w:r>
      <w:r>
        <w:rPr>
          <w:spacing w:val="-2"/>
          <w:sz w:val="21"/>
        </w:rPr>
        <w:t>，在三</w:t>
      </w:r>
      <w:r>
        <w:rPr>
          <w:spacing w:val="-2"/>
          <w:sz w:val="21"/>
        </w:rPr>
        <w:t>十</w:t>
      </w:r>
      <w:r>
        <w:rPr>
          <w:spacing w:val="-2"/>
          <w:sz w:val="21"/>
        </w:rPr>
        <w:t>日</w:t>
      </w:r>
      <w:r>
        <w:rPr>
          <w:spacing w:val="-2"/>
          <w:sz w:val="21"/>
        </w:rPr>
        <w:t>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对属于</w:t>
      </w:r>
      <w:r>
        <w:rPr>
          <w:spacing w:val="-2"/>
          <w:sz w:val="21"/>
        </w:rPr>
        <w:t>保</w:t>
      </w:r>
      <w:r>
        <w:rPr>
          <w:spacing w:val="-2"/>
          <w:sz w:val="21"/>
        </w:rPr>
        <w:t>险</w:t>
      </w:r>
      <w:r>
        <w:rPr>
          <w:spacing w:val="-2"/>
          <w:sz w:val="21"/>
        </w:rPr>
        <w:t>责</w:t>
      </w:r>
      <w:r>
        <w:rPr>
          <w:spacing w:val="-2"/>
          <w:sz w:val="21"/>
        </w:rPr>
        <w:t>任</w:t>
      </w:r>
      <w:r>
        <w:rPr>
          <w:spacing w:val="-2"/>
          <w:sz w:val="21"/>
        </w:rPr>
        <w:t>的</w:t>
      </w:r>
      <w:r>
        <w:rPr>
          <w:spacing w:val="-2"/>
          <w:sz w:val="21"/>
        </w:rPr>
        <w:t>，</w:t>
      </w:r>
      <w:r>
        <w:rPr>
          <w:spacing w:val="-2"/>
          <w:sz w:val="21"/>
        </w:rPr>
        <w:t>我</w:t>
      </w:r>
      <w:r>
        <w:rPr>
          <w:spacing w:val="-2"/>
          <w:sz w:val="21"/>
        </w:rPr>
        <w:t>们</w:t>
      </w:r>
      <w:r>
        <w:rPr>
          <w:spacing w:val="-2"/>
          <w:sz w:val="21"/>
        </w:rPr>
        <w:t>在</w:t>
      </w:r>
      <w:r>
        <w:rPr>
          <w:spacing w:val="-2"/>
          <w:sz w:val="21"/>
        </w:rPr>
        <w:t>与</w:t>
      </w:r>
      <w:r>
        <w:rPr>
          <w:spacing w:val="-2"/>
          <w:sz w:val="21"/>
        </w:rPr>
        <w:t>受</w:t>
      </w:r>
      <w:r>
        <w:rPr>
          <w:spacing w:val="-2"/>
          <w:sz w:val="21"/>
        </w:rPr>
        <w:t>益</w:t>
      </w:r>
      <w:r>
        <w:rPr>
          <w:spacing w:val="-2"/>
          <w:sz w:val="21"/>
        </w:rPr>
        <w:t>人</w:t>
      </w:r>
      <w:r>
        <w:rPr>
          <w:spacing w:val="-2"/>
          <w:sz w:val="21"/>
        </w:rPr>
        <w:t>达成给付保险金的协</w:t>
      </w:r>
      <w:r>
        <w:rPr>
          <w:spacing w:val="-2"/>
          <w:sz w:val="21"/>
        </w:rPr>
        <w:t>议</w:t>
      </w:r>
      <w:r>
        <w:rPr>
          <w:spacing w:val="-2"/>
          <w:sz w:val="21"/>
        </w:rPr>
        <w:t>后</w:t>
      </w:r>
      <w:r>
        <w:rPr>
          <w:spacing w:val="-2"/>
          <w:sz w:val="21"/>
        </w:rPr>
        <w:t>十日内,履行给付保险</w:t>
      </w:r>
      <w:r>
        <w:rPr>
          <w:spacing w:val="-2"/>
          <w:sz w:val="21"/>
        </w:rPr>
        <w:t>金</w:t>
      </w:r>
      <w:r>
        <w:rPr>
          <w:spacing w:val="-2"/>
          <w:sz w:val="21"/>
        </w:rPr>
        <w:t>义</w:t>
      </w:r>
      <w:r>
        <w:rPr>
          <w:spacing w:val="-2"/>
          <w:sz w:val="21"/>
        </w:rPr>
        <w:t>务。</w:t>
      </w:r>
    </w:p>
    <w:p>
      <w:pPr>
        <w:pStyle w:val="BodyText"/>
        <w:spacing w:line="278" w:lineRule="auto" w:before="107"/>
        <w:ind w:left="2960" w:right="667"/>
      </w:pPr>
      <w:r>
        <w:rPr>
          <w:spacing w:val="-2"/>
        </w:rPr>
        <w:t>我们未及时履行前款规定义务的，除支付保险金外，应当赔偿受益人因此受</w:t>
      </w:r>
      <w:r>
        <w:rPr>
          <w:spacing w:val="-2"/>
        </w:rPr>
        <w:t>到的损失。</w:t>
      </w:r>
    </w:p>
    <w:p>
      <w:pPr>
        <w:pStyle w:val="BodyText"/>
        <w:spacing w:line="278" w:lineRule="auto" w:before="93"/>
        <w:ind w:left="2960" w:right="667"/>
      </w:pPr>
      <w:r>
        <w:rPr>
          <w:spacing w:val="-2"/>
        </w:rPr>
        <w:t>对不属于保险责任的，我们自作出核定之日起三日内向受益人发出拒绝给付</w:t>
      </w:r>
      <w:r>
        <w:rPr>
          <w:spacing w:val="-2"/>
        </w:rPr>
        <w:t>保险金通知书，并说明理由。</w:t>
      </w:r>
    </w:p>
    <w:p>
      <w:pPr>
        <w:pStyle w:val="BodyText"/>
        <w:spacing w:line="278" w:lineRule="auto" w:before="91"/>
        <w:ind w:left="2960" w:right="667"/>
        <w:jc w:val="both"/>
      </w:pPr>
      <w:r>
        <w:rPr>
          <w:spacing w:val="-2"/>
        </w:rPr>
        <w:t>我们在收到保险金给付申请书及有关证明和资料之日起六十日内，对给付保</w:t>
      </w:r>
      <w:r>
        <w:rPr>
          <w:spacing w:val="-2"/>
        </w:rPr>
        <w:t>险金的数额不能确定的，根据已有证明和资料可以确定的数额先予支付，我</w:t>
      </w:r>
      <w:r>
        <w:rPr>
          <w:spacing w:val="-2"/>
        </w:rPr>
        <w:t>们最终确定给付保险金的数额后，将支付相应的差额。</w:t>
      </w:r>
    </w:p>
    <w:p>
      <w:pPr>
        <w:pStyle w:val="ListParagraph"/>
        <w:numPr>
          <w:ilvl w:val="1"/>
          <w:numId w:val="13"/>
        </w:numPr>
        <w:tabs>
          <w:tab w:pos="1081" w:val="left" w:leader="none"/>
          <w:tab w:pos="2960" w:val="left" w:leader="none"/>
        </w:tabs>
        <w:spacing w:line="235" w:lineRule="auto" w:before="166" w:after="0"/>
        <w:ind w:left="2960" w:right="667" w:hanging="2733"/>
        <w:jc w:val="both"/>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pacing w:val="-2"/>
          <w:sz w:val="21"/>
        </w:rPr>
        <w:t>除</w:t>
      </w:r>
      <w:r>
        <w:rPr>
          <w:spacing w:val="-2"/>
          <w:sz w:val="21"/>
        </w:rPr>
        <w:t>法</w:t>
      </w:r>
      <w:r>
        <w:rPr>
          <w:spacing w:val="-2"/>
          <w:sz w:val="21"/>
        </w:rPr>
        <w:t>律</w:t>
      </w:r>
      <w:r>
        <w:rPr>
          <w:spacing w:val="-2"/>
          <w:sz w:val="21"/>
        </w:rPr>
        <w:t>另</w:t>
      </w:r>
      <w:r>
        <w:rPr>
          <w:spacing w:val="-2"/>
          <w:sz w:val="21"/>
        </w:rPr>
        <w:t>有</w:t>
      </w:r>
      <w:r>
        <w:rPr>
          <w:spacing w:val="-2"/>
          <w:sz w:val="21"/>
        </w:rPr>
        <w:t>规</w:t>
      </w:r>
      <w:r>
        <w:rPr>
          <w:spacing w:val="-2"/>
          <w:sz w:val="21"/>
        </w:rPr>
        <w:t>定</w:t>
      </w:r>
      <w:r>
        <w:rPr>
          <w:spacing w:val="-2"/>
          <w:sz w:val="21"/>
        </w:rPr>
        <w:t>外</w:t>
      </w:r>
      <w:r>
        <w:rPr>
          <w:spacing w:val="-2"/>
          <w:sz w:val="21"/>
        </w:rPr>
        <w:t>，受益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保险金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二</w:t>
      </w:r>
      <w:r>
        <w:rPr>
          <w:spacing w:val="-2"/>
          <w:sz w:val="21"/>
        </w:rPr>
        <w:t>年</w:t>
      </w:r>
      <w:r>
        <w:rPr>
          <w:spacing w:val="-2"/>
          <w:sz w:val="21"/>
        </w:rPr>
        <w:t>，</w:t>
      </w:r>
      <w:r>
        <w:rPr>
          <w:spacing w:val="-2"/>
          <w:sz w:val="21"/>
        </w:rPr>
        <w:t>自</w:t>
      </w:r>
      <w:r>
        <w:rPr>
          <w:spacing w:val="-2"/>
          <w:sz w:val="21"/>
        </w:rPr>
        <w:t>其</w:t>
      </w:r>
      <w:r>
        <w:rPr>
          <w:spacing w:val="-2"/>
          <w:sz w:val="21"/>
        </w:rPr>
        <w:t>知道或者应当知道保</w:t>
      </w:r>
      <w:r>
        <w:rPr>
          <w:spacing w:val="-2"/>
          <w:sz w:val="21"/>
        </w:rPr>
        <w:t>险</w:t>
      </w:r>
      <w:r>
        <w:rPr>
          <w:spacing w:val="-2"/>
          <w:sz w:val="21"/>
        </w:rPr>
        <w:t>事</w:t>
      </w:r>
      <w:r>
        <w:rPr>
          <w:spacing w:val="-2"/>
          <w:sz w:val="21"/>
        </w:rPr>
        <w:t>故发生之日起计</w:t>
      </w:r>
      <w:r>
        <w:rPr>
          <w:spacing w:val="-2"/>
          <w:sz w:val="21"/>
        </w:rPr>
        <w:t>算</w:t>
      </w:r>
      <w:r>
        <w:rPr>
          <w:spacing w:val="-2"/>
          <w:sz w:val="21"/>
        </w:rPr>
        <w:t>。</w:t>
      </w:r>
    </w:p>
    <w:p>
      <w:pPr>
        <w:pStyle w:val="BodyText"/>
        <w:rPr>
          <w:sz w:val="20"/>
        </w:rPr>
      </w:pPr>
    </w:p>
    <w:p>
      <w:pPr>
        <w:pStyle w:val="BodyText"/>
        <w:spacing w:before="5"/>
        <w:rPr>
          <w:sz w:val="19"/>
        </w:rPr>
      </w:pPr>
    </w:p>
    <w:p>
      <w:pPr>
        <w:pStyle w:val="Heading1"/>
        <w:tabs>
          <w:tab w:pos="1080"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您犹豫期后解除合同的手续及风险</w:t>
      </w:r>
    </w:p>
    <w:p>
      <w:pPr>
        <w:pStyle w:val="BodyText"/>
        <w:spacing w:before="5"/>
        <w:rPr>
          <w:rFonts w:ascii="微软雅黑"/>
          <w:b/>
          <w:sz w:val="4"/>
        </w:rPr>
      </w:pPr>
      <w:r>
        <w:rPr/>
        <w:drawing>
          <wp:anchor distT="0" distB="0" distL="0" distR="0" allowOverlap="1" layoutInCell="1" locked="0" behindDoc="0" simplePos="0" relativeHeight="13">
            <wp:simplePos x="0" y="0"/>
            <wp:positionH relativeFrom="page">
              <wp:posOffset>647700</wp:posOffset>
            </wp:positionH>
            <wp:positionV relativeFrom="paragraph">
              <wp:posOffset>65456</wp:posOffset>
            </wp:positionV>
            <wp:extent cx="6338326" cy="12191"/>
            <wp:effectExtent l="0" t="0" r="0" b="0"/>
            <wp:wrapTopAndBottom/>
            <wp:docPr id="21" name="image7.png"/>
            <wp:cNvGraphicFramePr>
              <a:graphicFrameLocks noChangeAspect="1"/>
            </wp:cNvGraphicFramePr>
            <a:graphic>
              <a:graphicData uri="http://schemas.openxmlformats.org/drawingml/2006/picture">
                <pic:pic>
                  <pic:nvPicPr>
                    <pic:cNvPr id="22" name="image7.png"/>
                    <pic:cNvPicPr/>
                  </pic:nvPicPr>
                  <pic:blipFill>
                    <a:blip r:embed="rId12" cstate="print"/>
                    <a:stretch>
                      <a:fillRect/>
                    </a:stretch>
                  </pic:blipFill>
                  <pic:spPr>
                    <a:xfrm>
                      <a:off x="0" y="0"/>
                      <a:ext cx="6338326" cy="12191"/>
                    </a:xfrm>
                    <a:prstGeom prst="rect">
                      <a:avLst/>
                    </a:prstGeom>
                  </pic:spPr>
                </pic:pic>
              </a:graphicData>
            </a:graphic>
          </wp:anchor>
        </w:drawing>
      </w:r>
    </w:p>
    <w:p>
      <w:pPr>
        <w:pStyle w:val="BodyText"/>
        <w:spacing w:before="10"/>
        <w:rPr>
          <w:rFonts w:ascii="微软雅黑"/>
          <w:b/>
          <w:sz w:val="8"/>
        </w:rPr>
      </w:pPr>
    </w:p>
    <w:p>
      <w:pPr>
        <w:spacing w:after="0"/>
        <w:rPr>
          <w:rFonts w:ascii="微软雅黑"/>
          <w:sz w:val="8"/>
        </w:rPr>
        <w:sectPr>
          <w:pgSz w:w="11910" w:h="16840"/>
          <w:pgMar w:header="0" w:footer="406" w:top="1080" w:bottom="600" w:left="900" w:right="340"/>
        </w:sectPr>
      </w:pPr>
    </w:p>
    <w:p>
      <w:pPr>
        <w:pStyle w:val="Heading2"/>
        <w:spacing w:line="194" w:lineRule="auto" w:before="57"/>
        <w:ind w:left="1080"/>
        <w:jc w:val="both"/>
      </w:pPr>
      <w:r>
        <w:rPr>
          <w:spacing w:val="-2"/>
        </w:rPr>
        <w:t>您犹豫期后解除</w:t>
      </w:r>
      <w:r>
        <w:rPr>
          <w:spacing w:val="-2"/>
        </w:rPr>
        <w:t>合同的手续及风</w:t>
      </w:r>
      <w:r>
        <w:rPr>
          <w:spacing w:val="-10"/>
        </w:rPr>
        <w:t>险</w:t>
      </w:r>
    </w:p>
    <w:p>
      <w:pPr>
        <w:pStyle w:val="BodyText"/>
        <w:spacing w:line="278" w:lineRule="auto" w:before="71"/>
        <w:ind w:left="361" w:right="667"/>
      </w:pPr>
      <w:r>
        <w:rPr/>
        <w:br w:type="column"/>
      </w:r>
      <w:r>
        <w:rPr>
          <w:spacing w:val="-2"/>
        </w:rPr>
        <w:t>您在犹豫期后申请解除本合同的，请填写解除合同申请书并向我们提供下列</w:t>
      </w:r>
      <w:r>
        <w:rPr>
          <w:spacing w:val="-4"/>
        </w:rPr>
        <w:t>资料：</w:t>
      </w:r>
    </w:p>
    <w:p>
      <w:pPr>
        <w:pStyle w:val="ListParagraph"/>
        <w:numPr>
          <w:ilvl w:val="0"/>
          <w:numId w:val="16"/>
        </w:numPr>
        <w:tabs>
          <w:tab w:pos="891" w:val="left" w:leader="none"/>
        </w:tabs>
        <w:spacing w:line="240" w:lineRule="auto" w:before="94" w:after="0"/>
        <w:ind w:left="890" w:right="0" w:hanging="530"/>
        <w:jc w:val="left"/>
        <w:rPr>
          <w:sz w:val="21"/>
        </w:rPr>
      </w:pPr>
      <w:r>
        <w:rPr>
          <w:spacing w:val="-4"/>
          <w:sz w:val="21"/>
        </w:rPr>
        <w:t>保险合同；</w:t>
      </w:r>
    </w:p>
    <w:p>
      <w:pPr>
        <w:pStyle w:val="ListParagraph"/>
        <w:numPr>
          <w:ilvl w:val="0"/>
          <w:numId w:val="16"/>
        </w:numPr>
        <w:tabs>
          <w:tab w:pos="891" w:val="left" w:leader="none"/>
        </w:tabs>
        <w:spacing w:line="240" w:lineRule="auto" w:before="136" w:after="0"/>
        <w:ind w:left="890" w:right="0" w:hanging="530"/>
        <w:jc w:val="left"/>
        <w:rPr>
          <w:sz w:val="21"/>
        </w:rPr>
      </w:pPr>
      <w:r>
        <w:rPr>
          <w:spacing w:val="-3"/>
          <w:sz w:val="21"/>
        </w:rPr>
        <w:t>您的有效身份证件。</w:t>
      </w:r>
    </w:p>
    <w:p>
      <w:pPr>
        <w:pStyle w:val="BodyText"/>
        <w:spacing w:line="278" w:lineRule="auto" w:before="137"/>
        <w:ind w:left="361" w:right="667"/>
      </w:pPr>
      <w:r>
        <w:rPr>
          <w:spacing w:val="-2"/>
        </w:rPr>
        <w:t>自我们收到解除合同申请书时起，本合同终止，我们自收到解除合同申请书</w:t>
      </w:r>
      <w:r>
        <w:rPr>
          <w:spacing w:val="-2"/>
        </w:rPr>
        <w:t>之日起三十日内向您退还本合同现金价值。</w:t>
      </w:r>
    </w:p>
    <w:p>
      <w:pPr>
        <w:spacing w:line="252" w:lineRule="auto" w:before="24"/>
        <w:ind w:left="361" w:right="1799" w:firstLine="0"/>
        <w:jc w:val="left"/>
        <w:rPr>
          <w:rFonts w:ascii="微软雅黑" w:eastAsia="微软雅黑"/>
          <w:b/>
          <w:sz w:val="21"/>
        </w:rPr>
      </w:pPr>
      <w:r>
        <w:rPr>
          <w:rFonts w:ascii="微软雅黑" w:eastAsia="微软雅黑"/>
          <w:b/>
          <w:spacing w:val="-2"/>
          <w:sz w:val="21"/>
        </w:rPr>
        <w:t>若已发生过保险金给付的，您不得行使本条规定的合同解除权。</w:t>
      </w:r>
      <w:r>
        <w:rPr>
          <w:rFonts w:ascii="微软雅黑" w:eastAsia="微软雅黑"/>
          <w:b/>
          <w:spacing w:val="-2"/>
          <w:sz w:val="21"/>
        </w:rPr>
        <w:t>您在犹豫期后解除合同可能会遭受一定损失。</w:t>
      </w:r>
    </w:p>
    <w:p>
      <w:pPr>
        <w:spacing w:after="0" w:line="252" w:lineRule="auto"/>
        <w:jc w:val="left"/>
        <w:rPr>
          <w:rFonts w:ascii="微软雅黑" w:eastAsia="微软雅黑"/>
          <w:sz w:val="21"/>
        </w:rPr>
        <w:sectPr>
          <w:type w:val="continuous"/>
          <w:pgSz w:w="11910" w:h="16840"/>
          <w:pgMar w:header="0" w:footer="406" w:top="600" w:bottom="280" w:left="900" w:right="340"/>
          <w:cols w:num="2" w:equalWidth="0">
            <w:col w:w="2559" w:space="40"/>
            <w:col w:w="8071"/>
          </w:cols>
        </w:sectPr>
      </w:pPr>
    </w:p>
    <w:p>
      <w:pPr>
        <w:pStyle w:val="BodyText"/>
        <w:spacing w:before="4"/>
        <w:rPr>
          <w:rFonts w:ascii="微软雅黑"/>
          <w:b/>
          <w:sz w:val="14"/>
        </w:rPr>
      </w:pPr>
    </w:p>
    <w:p>
      <w:pPr>
        <w:pStyle w:val="Heading1"/>
        <w:tabs>
          <w:tab w:pos="1080" w:val="left" w:leader="none"/>
        </w:tabs>
        <w:spacing w:before="78"/>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其他需要注意的事项</w:t>
      </w:r>
    </w:p>
    <w:p>
      <w:pPr>
        <w:pStyle w:val="BodyText"/>
        <w:spacing w:before="5"/>
        <w:rPr>
          <w:rFonts w:ascii="微软雅黑"/>
          <w:b/>
          <w:sz w:val="4"/>
        </w:rPr>
      </w:pPr>
      <w:r>
        <w:rPr/>
        <w:drawing>
          <wp:anchor distT="0" distB="0" distL="0" distR="0" allowOverlap="1" layoutInCell="1" locked="0" behindDoc="0" simplePos="0" relativeHeight="14">
            <wp:simplePos x="0" y="0"/>
            <wp:positionH relativeFrom="page">
              <wp:posOffset>647700</wp:posOffset>
            </wp:positionH>
            <wp:positionV relativeFrom="paragraph">
              <wp:posOffset>65233</wp:posOffset>
            </wp:positionV>
            <wp:extent cx="6337929" cy="12191"/>
            <wp:effectExtent l="0" t="0" r="0" b="0"/>
            <wp:wrapTopAndBottom/>
            <wp:docPr id="23" name="image7.png"/>
            <wp:cNvGraphicFramePr>
              <a:graphicFrameLocks noChangeAspect="1"/>
            </wp:cNvGraphicFramePr>
            <a:graphic>
              <a:graphicData uri="http://schemas.openxmlformats.org/drawingml/2006/picture">
                <pic:pic>
                  <pic:nvPicPr>
                    <pic:cNvPr id="24" name="image7.png"/>
                    <pic:cNvPicPr/>
                  </pic:nvPicPr>
                  <pic:blipFill>
                    <a:blip r:embed="rId12" cstate="print"/>
                    <a:stretch>
                      <a:fillRect/>
                    </a:stretch>
                  </pic:blipFill>
                  <pic:spPr>
                    <a:xfrm>
                      <a:off x="0" y="0"/>
                      <a:ext cx="6337929" cy="12191"/>
                    </a:xfrm>
                    <a:prstGeom prst="rect">
                      <a:avLst/>
                    </a:prstGeom>
                  </pic:spPr>
                </pic:pic>
              </a:graphicData>
            </a:graphic>
          </wp:anchor>
        </w:drawing>
      </w:r>
    </w:p>
    <w:p>
      <w:pPr>
        <w:spacing w:after="0"/>
        <w:rPr>
          <w:rFonts w:ascii="微软雅黑"/>
          <w:sz w:val="4"/>
        </w:rPr>
        <w:sectPr>
          <w:type w:val="continuous"/>
          <w:pgSz w:w="11910" w:h="16840"/>
          <w:pgMar w:header="0" w:footer="406" w:top="600" w:bottom="280" w:left="900" w:right="340"/>
        </w:sectPr>
      </w:pPr>
    </w:p>
    <w:p>
      <w:pPr>
        <w:pStyle w:val="Heading2"/>
        <w:numPr>
          <w:ilvl w:val="1"/>
          <w:numId w:val="17"/>
        </w:numPr>
        <w:tabs>
          <w:tab w:pos="1080" w:val="left" w:leader="none"/>
          <w:tab w:pos="1081" w:val="left" w:leader="none"/>
        </w:tabs>
        <w:spacing w:line="194" w:lineRule="auto" w:before="42" w:after="0"/>
        <w:ind w:left="1080" w:right="38" w:hanging="853"/>
        <w:jc w:val="left"/>
      </w:pPr>
      <w:r>
        <w:rPr>
          <w:spacing w:val="-2"/>
        </w:rPr>
        <w:t>年龄确定与错误</w:t>
      </w:r>
      <w:r>
        <w:rPr>
          <w:spacing w:val="-6"/>
        </w:rPr>
        <w:t>处理</w:t>
      </w:r>
    </w:p>
    <w:p>
      <w:pPr>
        <w:pStyle w:val="BodyText"/>
        <w:spacing w:line="278" w:lineRule="auto" w:before="57"/>
        <w:ind w:left="228" w:right="667"/>
      </w:pPr>
      <w:r>
        <w:rPr/>
        <w:br w:type="column"/>
      </w:r>
      <w:r>
        <w:rPr>
          <w:spacing w:val="-2"/>
        </w:rPr>
        <w:t>您在申请投保时，应将与有效身份证件相符的被保险人的出生日期在投保单</w:t>
      </w:r>
      <w:r>
        <w:rPr>
          <w:spacing w:val="-2"/>
        </w:rPr>
        <w:t>上填明，若发生错误按照下列方式办理：</w:t>
      </w:r>
    </w:p>
    <w:p>
      <w:pPr>
        <w:pStyle w:val="ListParagraph"/>
        <w:numPr>
          <w:ilvl w:val="0"/>
          <w:numId w:val="18"/>
        </w:numPr>
        <w:tabs>
          <w:tab w:pos="757" w:val="left" w:leader="none"/>
        </w:tabs>
        <w:spacing w:line="211" w:lineRule="auto" w:before="60" w:after="0"/>
        <w:ind w:left="753" w:right="666" w:hanging="526"/>
        <w:jc w:val="both"/>
        <w:rPr>
          <w:sz w:val="21"/>
        </w:rPr>
      </w:pPr>
      <w:r>
        <w:rPr>
          <w:rFonts w:ascii="微软雅黑" w:hAnsi="微软雅黑" w:eastAsia="微软雅黑"/>
          <w:b/>
          <w:spacing w:val="-2"/>
          <w:sz w:val="21"/>
        </w:rPr>
        <w:t>您申报的被保险人年龄不真实，并且其真实年龄不符合本合同约定投保</w:t>
      </w:r>
      <w:r>
        <w:rPr>
          <w:rFonts w:ascii="微软雅黑" w:hAnsi="微软雅黑" w:eastAsia="微软雅黑"/>
          <w:b/>
          <w:spacing w:val="-2"/>
          <w:sz w:val="21"/>
        </w:rPr>
        <w:t>年龄限制的，我们有权解除本合同，并向您退还本合同的现金价值。</w:t>
      </w:r>
      <w:r>
        <w:rPr>
          <w:spacing w:val="-2"/>
          <w:sz w:val="21"/>
        </w:rPr>
        <w:t>我</w:t>
      </w:r>
      <w:r>
        <w:rPr>
          <w:sz w:val="21"/>
        </w:rPr>
        <w:t>们行使合同解除权适用“6.3 本公司合同解除权的限制”的规定；</w:t>
      </w:r>
    </w:p>
    <w:p>
      <w:pPr>
        <w:pStyle w:val="Heading2"/>
        <w:numPr>
          <w:ilvl w:val="0"/>
          <w:numId w:val="18"/>
        </w:numPr>
        <w:tabs>
          <w:tab w:pos="757" w:val="left" w:leader="none"/>
        </w:tabs>
        <w:spacing w:line="194" w:lineRule="auto" w:before="131" w:after="0"/>
        <w:ind w:left="753" w:right="642" w:hanging="526"/>
        <w:jc w:val="both"/>
        <w:rPr>
          <w:rFonts w:ascii="宋体" w:eastAsia="宋体" w:hint="eastAsia"/>
          <w:b w:val="0"/>
        </w:rPr>
      </w:pPr>
      <w:r>
        <w:rPr>
          <w:spacing w:val="-2"/>
        </w:rPr>
        <w:t>您申报的被保险人年龄不真实，致使您实付保险费少于应付保险费的，</w:t>
      </w:r>
      <w:r>
        <w:rPr>
          <w:spacing w:val="-2"/>
        </w:rPr>
        <w:t>我们有权更正并要求您补交保险费。若已经发生保险事故，在给付保险</w:t>
      </w:r>
      <w:r>
        <w:rPr>
          <w:spacing w:val="-2"/>
        </w:rPr>
        <w:t>金时按实付保险费和应付保险费的比例给付</w:t>
      </w:r>
      <w:r>
        <w:rPr>
          <w:rFonts w:ascii="宋体" w:eastAsia="宋体" w:hint="eastAsia"/>
          <w:b w:val="0"/>
          <w:spacing w:val="-2"/>
        </w:rPr>
        <w:t>；</w:t>
      </w:r>
    </w:p>
    <w:p>
      <w:pPr>
        <w:pStyle w:val="ListParagraph"/>
        <w:numPr>
          <w:ilvl w:val="0"/>
          <w:numId w:val="18"/>
        </w:numPr>
        <w:tabs>
          <w:tab w:pos="757" w:val="left" w:leader="none"/>
        </w:tabs>
        <w:spacing w:line="278" w:lineRule="auto" w:before="103" w:after="0"/>
        <w:ind w:left="753" w:right="663" w:hanging="526"/>
        <w:jc w:val="left"/>
        <w:rPr>
          <w:sz w:val="21"/>
        </w:rPr>
      </w:pPr>
      <w:r>
        <w:rPr>
          <w:spacing w:val="-2"/>
          <w:sz w:val="21"/>
        </w:rPr>
        <w:t>您申报的被保险人年龄不真实，致使您实付保险费多于应付保险费的，</w:t>
      </w:r>
      <w:r>
        <w:rPr>
          <w:spacing w:val="-2"/>
          <w:sz w:val="21"/>
        </w:rPr>
        <w:t>我们将多收的保险费退还给您。</w:t>
      </w:r>
    </w:p>
    <w:p>
      <w:pPr>
        <w:spacing w:after="0" w:line="278" w:lineRule="auto"/>
        <w:jc w:val="left"/>
        <w:rPr>
          <w:sz w:val="21"/>
        </w:rPr>
        <w:sectPr>
          <w:pgSz w:w="11910" w:h="16840"/>
          <w:pgMar w:header="0" w:footer="406" w:top="1080" w:bottom="600" w:left="900" w:right="340"/>
          <w:cols w:num="2" w:equalWidth="0">
            <w:col w:w="2599" w:space="133"/>
            <w:col w:w="7938"/>
          </w:cols>
        </w:sectPr>
      </w:pPr>
    </w:p>
    <w:p>
      <w:pPr>
        <w:pStyle w:val="BodyText"/>
        <w:spacing w:before="10"/>
        <w:rPr>
          <w:sz w:val="18"/>
        </w:rPr>
      </w:pPr>
    </w:p>
    <w:p>
      <w:pPr>
        <w:pStyle w:val="ListParagraph"/>
        <w:numPr>
          <w:ilvl w:val="1"/>
          <w:numId w:val="17"/>
        </w:numPr>
        <w:tabs>
          <w:tab w:pos="1080" w:val="left" w:leader="none"/>
          <w:tab w:pos="1081" w:val="left" w:leader="none"/>
          <w:tab w:pos="2960" w:val="left" w:leader="none"/>
        </w:tabs>
        <w:spacing w:line="256" w:lineRule="auto" w:before="4" w:after="0"/>
        <w:ind w:left="2960" w:right="560" w:hanging="2733"/>
        <w:jc w:val="left"/>
        <w:rPr>
          <w:sz w:val="21"/>
        </w:rPr>
      </w:pPr>
      <w:r>
        <w:rPr>
          <w:rFonts w:ascii="微软雅黑" w:eastAsia="微软雅黑"/>
          <w:b/>
          <w:w w:val="100"/>
          <w:sz w:val="21"/>
        </w:rPr>
        <w:t>地址变更</w:t>
      </w:r>
      <w:r>
        <w:rPr>
          <w:rFonts w:ascii="微软雅黑" w:eastAsia="微软雅黑"/>
          <w:b/>
          <w:sz w:val="21"/>
        </w:rPr>
        <w:tab/>
      </w:r>
      <w:r>
        <w:rPr>
          <w:spacing w:val="2"/>
          <w:w w:val="100"/>
          <w:sz w:val="21"/>
        </w:rPr>
        <w:t>您的通讯地址变更</w:t>
      </w:r>
      <w:r>
        <w:rPr>
          <w:w w:val="100"/>
          <w:sz w:val="21"/>
        </w:rPr>
        <w:t>时</w:t>
      </w:r>
      <w:r>
        <w:rPr>
          <w:spacing w:val="2"/>
          <w:w w:val="100"/>
          <w:sz w:val="21"/>
        </w:rPr>
        <w:t>，</w:t>
      </w:r>
      <w:r>
        <w:rPr>
          <w:w w:val="100"/>
          <w:sz w:val="21"/>
        </w:rPr>
        <w:t>应</w:t>
      </w:r>
      <w:r>
        <w:rPr>
          <w:spacing w:val="2"/>
          <w:w w:val="100"/>
          <w:sz w:val="21"/>
        </w:rPr>
        <w:t>及时以书面形式或</w:t>
      </w:r>
      <w:r>
        <w:rPr>
          <w:w w:val="100"/>
          <w:sz w:val="21"/>
        </w:rPr>
        <w:t>双</w:t>
      </w:r>
      <w:r>
        <w:rPr>
          <w:spacing w:val="2"/>
          <w:w w:val="100"/>
          <w:sz w:val="21"/>
        </w:rPr>
        <w:t>方</w:t>
      </w:r>
      <w:r>
        <w:rPr>
          <w:w w:val="100"/>
          <w:sz w:val="21"/>
        </w:rPr>
        <w:t>认</w:t>
      </w:r>
      <w:r>
        <w:rPr>
          <w:spacing w:val="2"/>
          <w:w w:val="100"/>
          <w:sz w:val="21"/>
        </w:rPr>
        <w:t>可的其他形式通知</w:t>
      </w:r>
      <w:r>
        <w:rPr>
          <w:w w:val="100"/>
          <w:sz w:val="21"/>
        </w:rPr>
        <w:t>我</w:t>
      </w:r>
      <w:r>
        <w:rPr>
          <w:spacing w:val="2"/>
          <w:w w:val="100"/>
          <w:sz w:val="21"/>
        </w:rPr>
        <w:t>们。</w:t>
      </w:r>
      <w:r>
        <w:rPr>
          <w:w w:val="100"/>
          <w:sz w:val="21"/>
        </w:rPr>
        <w:t>您不</w:t>
      </w:r>
      <w:r>
        <w:rPr>
          <w:spacing w:val="-3"/>
          <w:w w:val="100"/>
          <w:sz w:val="21"/>
        </w:rPr>
        <w:t>作</w:t>
      </w:r>
      <w:r>
        <w:rPr>
          <w:w w:val="100"/>
          <w:sz w:val="21"/>
        </w:rPr>
        <w:t>上</w:t>
      </w:r>
      <w:r>
        <w:rPr>
          <w:spacing w:val="-3"/>
          <w:w w:val="100"/>
          <w:sz w:val="21"/>
        </w:rPr>
        <w:t>述</w:t>
      </w:r>
      <w:r>
        <w:rPr>
          <w:w w:val="100"/>
          <w:sz w:val="21"/>
        </w:rPr>
        <w:t>通</w:t>
      </w:r>
      <w:r>
        <w:rPr>
          <w:spacing w:val="-3"/>
          <w:w w:val="100"/>
          <w:sz w:val="21"/>
        </w:rPr>
        <w:t>知</w:t>
      </w:r>
      <w:r>
        <w:rPr>
          <w:w w:val="100"/>
          <w:sz w:val="21"/>
        </w:rPr>
        <w:t>的</w:t>
      </w:r>
      <w:r>
        <w:rPr>
          <w:spacing w:val="-5"/>
          <w:w w:val="100"/>
          <w:sz w:val="21"/>
        </w:rPr>
        <w:t>，</w:t>
      </w:r>
      <w:r>
        <w:rPr>
          <w:w w:val="100"/>
          <w:sz w:val="21"/>
        </w:rPr>
        <w:t>我</w:t>
      </w:r>
      <w:r>
        <w:rPr>
          <w:spacing w:val="-3"/>
          <w:w w:val="100"/>
          <w:sz w:val="21"/>
        </w:rPr>
        <w:t>们</w:t>
      </w:r>
      <w:r>
        <w:rPr>
          <w:w w:val="100"/>
          <w:sz w:val="21"/>
        </w:rPr>
        <w:t>将按</w:t>
      </w:r>
      <w:r>
        <w:rPr>
          <w:spacing w:val="-3"/>
          <w:w w:val="100"/>
          <w:sz w:val="21"/>
        </w:rPr>
        <w:t>本</w:t>
      </w:r>
      <w:r>
        <w:rPr>
          <w:w w:val="100"/>
          <w:sz w:val="21"/>
        </w:rPr>
        <w:t>合</w:t>
      </w:r>
      <w:r>
        <w:rPr>
          <w:spacing w:val="-3"/>
          <w:w w:val="100"/>
          <w:sz w:val="21"/>
        </w:rPr>
        <w:t>同</w:t>
      </w:r>
      <w:r>
        <w:rPr>
          <w:w w:val="100"/>
          <w:sz w:val="21"/>
        </w:rPr>
        <w:t>注</w:t>
      </w:r>
      <w:r>
        <w:rPr>
          <w:spacing w:val="-3"/>
          <w:w w:val="100"/>
          <w:sz w:val="21"/>
        </w:rPr>
        <w:t>明</w:t>
      </w:r>
      <w:r>
        <w:rPr>
          <w:w w:val="100"/>
          <w:sz w:val="21"/>
        </w:rPr>
        <w:t>的</w:t>
      </w:r>
      <w:r>
        <w:rPr>
          <w:spacing w:val="-3"/>
          <w:w w:val="100"/>
          <w:sz w:val="21"/>
        </w:rPr>
        <w:t>最</w:t>
      </w:r>
      <w:r>
        <w:rPr>
          <w:w w:val="100"/>
          <w:sz w:val="21"/>
        </w:rPr>
        <w:t>后</w:t>
      </w:r>
      <w:r>
        <w:rPr>
          <w:spacing w:val="-3"/>
          <w:w w:val="100"/>
          <w:sz w:val="21"/>
        </w:rPr>
        <w:t>通</w:t>
      </w:r>
      <w:r>
        <w:rPr>
          <w:w w:val="100"/>
          <w:sz w:val="21"/>
        </w:rPr>
        <w:t>讯地</w:t>
      </w:r>
      <w:r>
        <w:rPr>
          <w:spacing w:val="-3"/>
          <w:w w:val="100"/>
          <w:sz w:val="21"/>
        </w:rPr>
        <w:t>址</w:t>
      </w:r>
      <w:r>
        <w:rPr>
          <w:w w:val="100"/>
          <w:sz w:val="21"/>
        </w:rPr>
        <w:t>向</w:t>
      </w:r>
      <w:r>
        <w:rPr>
          <w:spacing w:val="-3"/>
          <w:w w:val="100"/>
          <w:sz w:val="21"/>
        </w:rPr>
        <w:t>您</w:t>
      </w:r>
      <w:r>
        <w:rPr>
          <w:w w:val="100"/>
          <w:sz w:val="21"/>
        </w:rPr>
        <w:t>发</w:t>
      </w:r>
      <w:r>
        <w:rPr>
          <w:spacing w:val="-3"/>
          <w:w w:val="100"/>
          <w:sz w:val="21"/>
        </w:rPr>
        <w:t>送</w:t>
      </w:r>
      <w:r>
        <w:rPr>
          <w:w w:val="100"/>
          <w:sz w:val="21"/>
        </w:rPr>
        <w:t>有</w:t>
      </w:r>
      <w:r>
        <w:rPr>
          <w:spacing w:val="-3"/>
          <w:w w:val="100"/>
          <w:sz w:val="21"/>
        </w:rPr>
        <w:t>关</w:t>
      </w:r>
      <w:r>
        <w:rPr>
          <w:w w:val="100"/>
          <w:sz w:val="21"/>
        </w:rPr>
        <w:t>通</w:t>
      </w:r>
      <w:r>
        <w:rPr>
          <w:spacing w:val="-3"/>
          <w:w w:val="100"/>
          <w:sz w:val="21"/>
        </w:rPr>
        <w:t>知</w:t>
      </w:r>
      <w:r>
        <w:rPr>
          <w:w w:val="100"/>
          <w:sz w:val="21"/>
        </w:rPr>
        <w:t>，并视</w:t>
      </w:r>
      <w:r>
        <w:rPr>
          <w:spacing w:val="-3"/>
          <w:w w:val="100"/>
          <w:sz w:val="21"/>
        </w:rPr>
        <w:t>为</w:t>
      </w:r>
      <w:r>
        <w:rPr>
          <w:w w:val="100"/>
          <w:sz w:val="21"/>
        </w:rPr>
        <w:t>已</w:t>
      </w:r>
      <w:r>
        <w:rPr>
          <w:spacing w:val="-3"/>
          <w:w w:val="100"/>
          <w:sz w:val="21"/>
        </w:rPr>
        <w:t>送</w:t>
      </w:r>
      <w:r>
        <w:rPr>
          <w:w w:val="100"/>
          <w:sz w:val="21"/>
        </w:rPr>
        <w:t>达。</w:t>
      </w:r>
    </w:p>
    <w:p>
      <w:pPr>
        <w:pStyle w:val="BodyText"/>
        <w:spacing w:before="10"/>
        <w:rPr>
          <w:sz w:val="20"/>
        </w:rPr>
      </w:pPr>
    </w:p>
    <w:p>
      <w:pPr>
        <w:pStyle w:val="ListParagraph"/>
        <w:numPr>
          <w:ilvl w:val="1"/>
          <w:numId w:val="17"/>
        </w:numPr>
        <w:tabs>
          <w:tab w:pos="1081" w:val="left" w:leader="none"/>
        </w:tabs>
        <w:spacing w:line="235" w:lineRule="auto" w:before="1" w:after="0"/>
        <w:ind w:left="2960" w:right="667" w:hanging="2733"/>
        <w:jc w:val="both"/>
        <w:rPr>
          <w:sz w:val="21"/>
        </w:rPr>
      </w:pPr>
      <w:r>
        <w:rPr>
          <w:rFonts w:ascii="微软雅黑" w:eastAsia="微软雅黑"/>
          <w:b/>
          <w:spacing w:val="78"/>
          <w:sz w:val="21"/>
        </w:rPr>
        <w:t>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BodyText"/>
        <w:spacing w:line="278" w:lineRule="auto" w:before="136"/>
        <w:ind w:left="2960" w:right="667"/>
        <w:jc w:val="both"/>
      </w:pPr>
      <w:r>
        <w:rPr>
          <w:spacing w:val="-2"/>
        </w:rPr>
        <w:t>如日后被保险人重新出现或确知其没有死亡，保险金领取人应将已领取的保</w:t>
      </w:r>
      <w:r>
        <w:rPr>
          <w:spacing w:val="-2"/>
        </w:rPr>
        <w:t>险金于被保险人重新出现或确知其没有死亡之日起三十日内退还本公司，本</w:t>
      </w:r>
      <w:r>
        <w:rPr>
          <w:spacing w:val="-2"/>
        </w:rPr>
        <w:t>合同的效力由您和本公司依法协商处理。</w:t>
      </w:r>
    </w:p>
    <w:p>
      <w:pPr>
        <w:pStyle w:val="BodyText"/>
        <w:rPr>
          <w:sz w:val="20"/>
        </w:rPr>
      </w:pPr>
    </w:p>
    <w:p>
      <w:pPr>
        <w:pStyle w:val="Heading2"/>
        <w:numPr>
          <w:ilvl w:val="1"/>
          <w:numId w:val="17"/>
        </w:numPr>
        <w:tabs>
          <w:tab w:pos="1081" w:val="left" w:leader="none"/>
        </w:tabs>
        <w:spacing w:line="194" w:lineRule="auto" w:before="137" w:after="0"/>
        <w:ind w:left="2960" w:right="746" w:hanging="2733"/>
        <w:jc w:val="both"/>
      </w:pPr>
      <w:r>
        <w:rPr/>
        <w:t>未还款项的扣除 除本合同另有约定外，我们在给付各项保险金、退还现金价值或保险费时，</w:t>
      </w:r>
      <w:r>
        <w:rPr>
          <w:spacing w:val="-2"/>
        </w:rPr>
        <w:t>若您有欠交的保险费、未偿还的保单质押贷款及利息或其他未还清款项，我</w:t>
      </w:r>
      <w:r>
        <w:rPr>
          <w:spacing w:val="-2"/>
        </w:rPr>
        <w:t>们将扣除上述欠款及相应利息。</w:t>
      </w:r>
    </w:p>
    <w:p>
      <w:pPr>
        <w:pStyle w:val="BodyText"/>
        <w:spacing w:before="4"/>
        <w:rPr>
          <w:rFonts w:ascii="微软雅黑"/>
          <w:b/>
          <w:sz w:val="14"/>
        </w:rPr>
      </w:pPr>
    </w:p>
    <w:p>
      <w:pPr>
        <w:pStyle w:val="ListParagraph"/>
        <w:numPr>
          <w:ilvl w:val="1"/>
          <w:numId w:val="17"/>
        </w:numPr>
        <w:tabs>
          <w:tab w:pos="1081" w:val="left" w:leader="none"/>
        </w:tabs>
        <w:spacing w:line="235" w:lineRule="auto" w:before="1" w:after="0"/>
        <w:ind w:left="2960" w:right="669" w:hanging="2733"/>
        <w:jc w:val="both"/>
        <w:rPr>
          <w:sz w:val="21"/>
        </w:rPr>
      </w:pPr>
      <w:r>
        <w:rPr>
          <w:rFonts w:ascii="微软雅黑" w:eastAsia="微软雅黑"/>
          <w:b/>
          <w:spacing w:val="42"/>
          <w:sz w:val="21"/>
        </w:rPr>
        <w:t>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BodyText"/>
        <w:spacing w:before="12"/>
        <w:rPr>
          <w:sz w:val="28"/>
        </w:rPr>
      </w:pPr>
    </w:p>
    <w:p>
      <w:pPr>
        <w:pStyle w:val="ListParagraph"/>
        <w:numPr>
          <w:ilvl w:val="1"/>
          <w:numId w:val="17"/>
        </w:numPr>
        <w:tabs>
          <w:tab w:pos="1080" w:val="left" w:leader="none"/>
          <w:tab w:pos="1081" w:val="left" w:leader="none"/>
          <w:tab w:pos="2960" w:val="left" w:leader="none"/>
        </w:tabs>
        <w:spacing w:line="240" w:lineRule="auto" w:before="0" w:after="0"/>
        <w:ind w:left="1080" w:right="0" w:hanging="854"/>
        <w:jc w:val="left"/>
        <w:rPr>
          <w:sz w:val="21"/>
        </w:rPr>
      </w:pPr>
      <w:r>
        <w:rPr>
          <w:rFonts w:ascii="微软雅黑" w:eastAsia="微软雅黑"/>
          <w:b/>
          <w:sz w:val="21"/>
        </w:rPr>
        <w:t>争议处</w:t>
      </w:r>
      <w:r>
        <w:rPr>
          <w:rFonts w:ascii="微软雅黑" w:eastAsia="微软雅黑"/>
          <w:b/>
          <w:spacing w:val="-10"/>
          <w:sz w:val="21"/>
        </w:rPr>
        <w:t>理</w:t>
      </w:r>
      <w:r>
        <w:rPr>
          <w:rFonts w:ascii="微软雅黑" w:eastAsia="微软雅黑"/>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7"/>
        </w:numPr>
        <w:tabs>
          <w:tab w:pos="3490" w:val="left" w:leader="none"/>
        </w:tabs>
        <w:spacing w:line="278" w:lineRule="auto" w:before="86" w:after="0"/>
        <w:ind w:left="3485" w:right="668" w:hanging="526"/>
        <w:jc w:val="left"/>
        <w:rPr>
          <w:sz w:val="21"/>
        </w:rPr>
      </w:pPr>
      <w:r>
        <w:rPr>
          <w:spacing w:val="-2"/>
          <w:sz w:val="21"/>
        </w:rPr>
        <w:t>因履行本合同发生的争议，由当事人协商解决，协商不成的，提交本合</w:t>
      </w:r>
      <w:r>
        <w:rPr>
          <w:spacing w:val="-2"/>
          <w:sz w:val="21"/>
        </w:rPr>
        <w:t>同约定的仲裁委员会仲裁；</w:t>
      </w:r>
    </w:p>
    <w:p>
      <w:pPr>
        <w:pStyle w:val="ListParagraph"/>
        <w:numPr>
          <w:ilvl w:val="2"/>
          <w:numId w:val="17"/>
        </w:numPr>
        <w:tabs>
          <w:tab w:pos="3490" w:val="left" w:leader="none"/>
        </w:tabs>
        <w:spacing w:line="240" w:lineRule="auto" w:before="93" w:after="0"/>
        <w:ind w:left="3489" w:right="0" w:hanging="530"/>
        <w:jc w:val="left"/>
        <w:rPr>
          <w:sz w:val="21"/>
        </w:rPr>
      </w:pPr>
      <w:r>
        <w:rPr>
          <w:spacing w:val="-3"/>
          <w:sz w:val="21"/>
        </w:rPr>
        <w:t>因履行本合同发生的争议，由当事人协商解决，协商不成的，依法向有</w:t>
      </w:r>
    </w:p>
    <w:p>
      <w:pPr>
        <w:pStyle w:val="BodyText"/>
        <w:spacing w:before="8"/>
        <w:rPr>
          <w:sz w:val="5"/>
        </w:rPr>
      </w:pP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987"/>
        <w:gridCol w:w="7247"/>
      </w:tblGrid>
      <w:tr>
        <w:trPr>
          <w:trHeight w:val="1196" w:hRule="atLeast"/>
        </w:trPr>
        <w:tc>
          <w:tcPr>
            <w:tcW w:w="745" w:type="dxa"/>
            <w:tcBorders>
              <w:bottom w:val="single" w:sz="8" w:space="0" w:color="000000"/>
            </w:tcBorders>
          </w:tcPr>
          <w:p>
            <w:pPr>
              <w:pStyle w:val="TableParagraph"/>
              <w:spacing w:before="8"/>
              <w:ind w:left="0"/>
              <w:rPr>
                <w:sz w:val="52"/>
              </w:rPr>
            </w:pPr>
          </w:p>
          <w:p>
            <w:pPr>
              <w:pStyle w:val="TableParagraph"/>
              <w:rPr>
                <w:rFonts w:ascii="Wingdings 2" w:hAnsi="Wingdings 2"/>
                <w:b/>
                <w:sz w:val="40"/>
              </w:rPr>
            </w:pPr>
            <w:r>
              <w:rPr>
                <w:rFonts w:ascii="Wingdings 2" w:hAnsi="Wingdings 2"/>
                <w:b/>
                <w:w w:val="100"/>
                <w:sz w:val="40"/>
              </w:rPr>
              <w:t></w:t>
            </w:r>
          </w:p>
        </w:tc>
        <w:tc>
          <w:tcPr>
            <w:tcW w:w="1987" w:type="dxa"/>
            <w:tcBorders>
              <w:bottom w:val="single" w:sz="8" w:space="0" w:color="000000"/>
            </w:tcBorders>
          </w:tcPr>
          <w:p>
            <w:pPr>
              <w:pStyle w:val="TableParagraph"/>
              <w:ind w:left="0"/>
              <w:rPr>
                <w:sz w:val="24"/>
              </w:rPr>
            </w:pPr>
          </w:p>
          <w:p>
            <w:pPr>
              <w:pStyle w:val="TableParagraph"/>
              <w:spacing w:before="11"/>
              <w:ind w:left="0"/>
              <w:rPr>
                <w:sz w:val="26"/>
              </w:rPr>
            </w:pPr>
          </w:p>
          <w:p>
            <w:pPr>
              <w:pStyle w:val="TableParagraph"/>
              <w:ind w:left="215"/>
              <w:rPr>
                <w:rFonts w:ascii="微软雅黑" w:eastAsia="微软雅黑"/>
                <w:b/>
                <w:sz w:val="24"/>
              </w:rPr>
            </w:pPr>
            <w:r>
              <w:rPr>
                <w:rFonts w:ascii="微软雅黑" w:eastAsia="微软雅黑"/>
                <w:b/>
                <w:spacing w:val="-3"/>
                <w:sz w:val="24"/>
              </w:rPr>
              <w:t>疾病定义</w:t>
            </w:r>
          </w:p>
        </w:tc>
        <w:tc>
          <w:tcPr>
            <w:tcW w:w="7247" w:type="dxa"/>
            <w:tcBorders>
              <w:bottom w:val="single" w:sz="8" w:space="0" w:color="000000"/>
            </w:tcBorders>
          </w:tcPr>
          <w:p>
            <w:pPr>
              <w:pStyle w:val="TableParagraph"/>
              <w:spacing w:line="241" w:lineRule="exact"/>
              <w:ind w:left="633"/>
              <w:rPr>
                <w:sz w:val="21"/>
              </w:rPr>
            </w:pPr>
            <w:r>
              <w:rPr>
                <w:spacing w:val="-3"/>
                <w:sz w:val="21"/>
              </w:rPr>
              <w:t>管辖权的人民法院提起诉讼。</w:t>
            </w:r>
          </w:p>
        </w:tc>
      </w:tr>
      <w:tr>
        <w:trPr>
          <w:trHeight w:val="1880" w:hRule="atLeast"/>
        </w:trPr>
        <w:tc>
          <w:tcPr>
            <w:tcW w:w="745" w:type="dxa"/>
            <w:tcBorders>
              <w:top w:val="single" w:sz="8" w:space="0" w:color="000000"/>
            </w:tcBorders>
          </w:tcPr>
          <w:p>
            <w:pPr>
              <w:pStyle w:val="TableParagraph"/>
              <w:spacing w:before="161"/>
              <w:rPr>
                <w:rFonts w:ascii="微软雅黑"/>
                <w:b/>
                <w:sz w:val="21"/>
              </w:rPr>
            </w:pPr>
            <w:r>
              <w:rPr>
                <w:rFonts w:ascii="微软雅黑"/>
                <w:b/>
                <w:spacing w:val="-4"/>
                <w:sz w:val="21"/>
              </w:rPr>
              <w:t>10.1</w:t>
            </w:r>
          </w:p>
        </w:tc>
        <w:tc>
          <w:tcPr>
            <w:tcW w:w="1987" w:type="dxa"/>
            <w:tcBorders>
              <w:top w:val="single" w:sz="8" w:space="0" w:color="000000"/>
            </w:tcBorders>
          </w:tcPr>
          <w:p>
            <w:pPr>
              <w:pStyle w:val="TableParagraph"/>
              <w:spacing w:before="161"/>
              <w:ind w:left="215"/>
              <w:rPr>
                <w:rFonts w:ascii="微软雅黑" w:eastAsia="微软雅黑"/>
                <w:b/>
                <w:sz w:val="21"/>
              </w:rPr>
            </w:pPr>
            <w:r>
              <w:rPr>
                <w:rFonts w:ascii="微软雅黑" w:eastAsia="微软雅黑"/>
                <w:b/>
                <w:spacing w:val="-2"/>
                <w:sz w:val="21"/>
              </w:rPr>
              <w:t>轻症疾病定义</w:t>
            </w:r>
          </w:p>
        </w:tc>
        <w:tc>
          <w:tcPr>
            <w:tcW w:w="7247" w:type="dxa"/>
            <w:tcBorders>
              <w:top w:val="single" w:sz="8" w:space="0" w:color="000000"/>
            </w:tcBorders>
          </w:tcPr>
          <w:p>
            <w:pPr>
              <w:pStyle w:val="TableParagraph"/>
              <w:spacing w:line="350" w:lineRule="exact" w:before="161"/>
              <w:ind w:left="108"/>
              <w:jc w:val="both"/>
              <w:rPr>
                <w:rFonts w:ascii="微软雅黑" w:eastAsia="微软雅黑"/>
                <w:b/>
                <w:sz w:val="21"/>
              </w:rPr>
            </w:pP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所</w:t>
            </w:r>
            <w:r>
              <w:rPr>
                <w:rFonts w:ascii="微软雅黑" w:eastAsia="微软雅黑"/>
                <w:b/>
                <w:w w:val="95"/>
                <w:sz w:val="21"/>
              </w:rPr>
              <w:t>保</w:t>
            </w:r>
            <w:r>
              <w:rPr>
                <w:rFonts w:ascii="微软雅黑" w:eastAsia="微软雅黑"/>
                <w:b/>
                <w:w w:val="95"/>
                <w:sz w:val="21"/>
              </w:rPr>
              <w:t>障</w:t>
            </w:r>
            <w:r>
              <w:rPr>
                <w:rFonts w:ascii="微软雅黑" w:eastAsia="微软雅黑"/>
                <w:b/>
                <w:w w:val="95"/>
                <w:sz w:val="21"/>
              </w:rPr>
              <w:t>的</w:t>
            </w:r>
            <w:r>
              <w:rPr>
                <w:rFonts w:ascii="微软雅黑" w:eastAsia="微软雅黑"/>
                <w:b/>
                <w:w w:val="95"/>
                <w:sz w:val="21"/>
              </w:rPr>
              <w:t>轻</w:t>
            </w:r>
            <w:r>
              <w:rPr>
                <w:rFonts w:ascii="微软雅黑" w:eastAsia="微软雅黑"/>
                <w:b/>
                <w:w w:val="95"/>
                <w:sz w:val="21"/>
              </w:rPr>
              <w:t>症疾病共</w:t>
            </w:r>
            <w:r>
              <w:rPr>
                <w:rFonts w:ascii="微软雅黑" w:eastAsia="微软雅黑"/>
                <w:b/>
                <w:spacing w:val="25"/>
                <w:sz w:val="21"/>
              </w:rPr>
              <w:t>  </w:t>
            </w:r>
            <w:r>
              <w:rPr>
                <w:rFonts w:ascii="微软雅黑" w:eastAsia="微软雅黑"/>
                <w:b/>
                <w:w w:val="95"/>
                <w:sz w:val="21"/>
              </w:rPr>
              <w:t>55</w:t>
            </w:r>
            <w:r>
              <w:rPr>
                <w:rFonts w:ascii="微软雅黑" w:eastAsia="微软雅黑"/>
                <w:b/>
                <w:spacing w:val="25"/>
                <w:sz w:val="21"/>
              </w:rPr>
              <w:t>  </w:t>
            </w:r>
            <w:r>
              <w:rPr>
                <w:rFonts w:ascii="微软雅黑" w:eastAsia="微软雅黑"/>
                <w:b/>
                <w:w w:val="95"/>
                <w:sz w:val="21"/>
              </w:rPr>
              <w:t>种，</w:t>
            </w:r>
            <w:r>
              <w:rPr>
                <w:rFonts w:ascii="微软雅黑" w:eastAsia="微软雅黑"/>
                <w:b/>
                <w:w w:val="95"/>
                <w:sz w:val="21"/>
              </w:rPr>
              <w:t>是</w:t>
            </w:r>
            <w:r>
              <w:rPr>
                <w:rFonts w:ascii="微软雅黑" w:eastAsia="微软雅黑"/>
                <w:b/>
                <w:w w:val="95"/>
                <w:sz w:val="21"/>
              </w:rPr>
              <w:t>指</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在</w:t>
            </w:r>
            <w:r>
              <w:rPr>
                <w:rFonts w:ascii="微软雅黑" w:eastAsia="微软雅黑"/>
                <w:b/>
                <w:w w:val="95"/>
                <w:sz w:val="21"/>
              </w:rPr>
              <w:t>本</w:t>
            </w:r>
            <w:r>
              <w:rPr>
                <w:rFonts w:ascii="微软雅黑" w:eastAsia="微软雅黑"/>
                <w:b/>
                <w:w w:val="95"/>
                <w:sz w:val="21"/>
              </w:rPr>
              <w:t>公</w:t>
            </w:r>
            <w:r>
              <w:rPr>
                <w:rFonts w:ascii="微软雅黑" w:eastAsia="微软雅黑"/>
                <w:b/>
                <w:w w:val="95"/>
                <w:sz w:val="21"/>
              </w:rPr>
              <w:t>司</w:t>
            </w:r>
            <w:r>
              <w:rPr>
                <w:rFonts w:ascii="微软雅黑" w:eastAsia="微软雅黑"/>
                <w:b/>
                <w:w w:val="95"/>
                <w:sz w:val="21"/>
              </w:rPr>
              <w:t>认</w:t>
            </w:r>
            <w:r>
              <w:rPr>
                <w:rFonts w:ascii="微软雅黑" w:eastAsia="微软雅黑"/>
                <w:b/>
                <w:w w:val="95"/>
                <w:sz w:val="21"/>
              </w:rPr>
              <w:t>可</w:t>
            </w:r>
            <w:r>
              <w:rPr>
                <w:rFonts w:ascii="微软雅黑" w:eastAsia="微软雅黑"/>
                <w:b/>
                <w:w w:val="95"/>
                <w:sz w:val="21"/>
              </w:rPr>
              <w:t>的</w:t>
            </w:r>
            <w:r>
              <w:rPr>
                <w:rFonts w:ascii="微软雅黑" w:eastAsia="微软雅黑"/>
                <w:b/>
                <w:w w:val="95"/>
                <w:sz w:val="21"/>
              </w:rPr>
              <w:t>医</w:t>
            </w:r>
            <w:r>
              <w:rPr>
                <w:rFonts w:ascii="微软雅黑" w:eastAsia="微软雅黑"/>
                <w:b/>
                <w:w w:val="95"/>
                <w:sz w:val="21"/>
              </w:rPr>
              <w:t>疗</w:t>
            </w:r>
            <w:r>
              <w:rPr>
                <w:rFonts w:ascii="微软雅黑" w:eastAsia="微软雅黑"/>
                <w:b/>
                <w:w w:val="95"/>
                <w:sz w:val="21"/>
              </w:rPr>
              <w:t>机</w:t>
            </w:r>
            <w:r>
              <w:rPr>
                <w:rFonts w:ascii="微软雅黑" w:eastAsia="微软雅黑"/>
                <w:b/>
                <w:w w:val="95"/>
                <w:sz w:val="21"/>
              </w:rPr>
              <w:t>构</w:t>
            </w:r>
            <w:r>
              <w:rPr>
                <w:rFonts w:ascii="微软雅黑" w:eastAsia="微软雅黑"/>
                <w:b/>
                <w:spacing w:val="-10"/>
                <w:w w:val="95"/>
                <w:sz w:val="21"/>
              </w:rPr>
              <w:t>内</w:t>
            </w:r>
          </w:p>
          <w:p>
            <w:pPr>
              <w:pStyle w:val="TableParagraph"/>
              <w:spacing w:line="194" w:lineRule="auto" w:before="15"/>
              <w:ind w:left="108" w:right="101"/>
              <w:jc w:val="both"/>
              <w:rPr>
                <w:rFonts w:ascii="微软雅黑" w:eastAsia="微软雅黑"/>
                <w:b/>
                <w:sz w:val="21"/>
              </w:rPr>
            </w:pPr>
            <w:r>
              <w:rPr>
                <w:rFonts w:ascii="微软雅黑" w:eastAsia="微软雅黑"/>
                <w:b/>
                <w:spacing w:val="-3"/>
                <w:w w:val="100"/>
                <w:sz w:val="21"/>
              </w:rPr>
              <w:t>被专科医生明确诊断的符合下列定义的疾病、疾病状态或手术：其中前</w:t>
            </w:r>
            <w:r>
              <w:rPr>
                <w:rFonts w:ascii="微软雅黑" w:eastAsia="微软雅黑"/>
                <w:b/>
                <w:spacing w:val="28"/>
                <w:sz w:val="21"/>
              </w:rPr>
              <w:t> </w:t>
            </w:r>
            <w:r>
              <w:rPr>
                <w:rFonts w:ascii="微软雅黑" w:eastAsia="微软雅黑"/>
                <w:b/>
                <w:w w:val="81"/>
                <w:sz w:val="21"/>
              </w:rPr>
              <w:t>3</w:t>
            </w:r>
            <w:r>
              <w:rPr>
                <w:rFonts w:ascii="微软雅黑" w:eastAsia="微软雅黑"/>
                <w:b/>
                <w:spacing w:val="28"/>
                <w:sz w:val="21"/>
              </w:rPr>
              <w:t> </w:t>
            </w:r>
            <w:r>
              <w:rPr>
                <w:rFonts w:ascii="微软雅黑" w:eastAsia="微软雅黑"/>
                <w:b/>
                <w:spacing w:val="-12"/>
                <w:w w:val="100"/>
                <w:sz w:val="21"/>
              </w:rPr>
              <w:t>种</w:t>
            </w:r>
            <w:r>
              <w:rPr>
                <w:rFonts w:ascii="微软雅黑" w:eastAsia="微软雅黑"/>
                <w:b/>
                <w:spacing w:val="-3"/>
                <w:w w:val="100"/>
                <w:sz w:val="21"/>
              </w:rPr>
              <w:t>轻症疾病与《重大疾病保险的疾病定义使用规范</w:t>
            </w:r>
            <w:r>
              <w:rPr>
                <w:rFonts w:ascii="微软雅黑" w:eastAsia="微软雅黑"/>
                <w:b/>
                <w:w w:val="100"/>
                <w:sz w:val="21"/>
              </w:rPr>
              <w:t>（</w:t>
            </w:r>
            <w:r>
              <w:rPr>
                <w:rFonts w:ascii="微软雅黑" w:eastAsia="微软雅黑"/>
                <w:b/>
                <w:spacing w:val="-3"/>
                <w:w w:val="81"/>
                <w:sz w:val="21"/>
              </w:rPr>
              <w:t>2</w:t>
            </w:r>
            <w:r>
              <w:rPr>
                <w:rFonts w:ascii="微软雅黑" w:eastAsia="微软雅黑"/>
                <w:b/>
                <w:w w:val="81"/>
                <w:sz w:val="21"/>
              </w:rPr>
              <w:t>020</w:t>
            </w:r>
            <w:r>
              <w:rPr>
                <w:rFonts w:ascii="微软雅黑" w:eastAsia="微软雅黑"/>
                <w:b/>
                <w:spacing w:val="12"/>
                <w:sz w:val="21"/>
              </w:rPr>
              <w:t> </w:t>
            </w:r>
            <w:r>
              <w:rPr>
                <w:rFonts w:ascii="微软雅黑" w:eastAsia="微软雅黑"/>
                <w:b/>
                <w:w w:val="100"/>
                <w:sz w:val="21"/>
              </w:rPr>
              <w:t>年修订版）</w:t>
            </w:r>
            <w:r>
              <w:rPr>
                <w:rFonts w:ascii="微软雅黑" w:eastAsia="微软雅黑"/>
                <w:b/>
                <w:spacing w:val="-4"/>
                <w:w w:val="100"/>
                <w:sz w:val="21"/>
              </w:rPr>
              <w:t>》中轻度</w:t>
            </w:r>
            <w:r>
              <w:rPr>
                <w:rFonts w:ascii="微软雅黑" w:eastAsia="微软雅黑"/>
                <w:b/>
                <w:w w:val="100"/>
                <w:sz w:val="21"/>
              </w:rPr>
              <w:t>疾病的疾病名称和疾病定义保持一致，其他轻症疾病为本公司增加的轻症疾病。</w:t>
            </w:r>
          </w:p>
        </w:tc>
      </w:tr>
      <w:tr>
        <w:trPr>
          <w:trHeight w:val="375" w:hRule="atLeast"/>
        </w:trPr>
        <w:tc>
          <w:tcPr>
            <w:tcW w:w="745" w:type="dxa"/>
          </w:tcPr>
          <w:p>
            <w:pPr>
              <w:pStyle w:val="TableParagraph"/>
              <w:ind w:left="0"/>
              <w:rPr>
                <w:rFonts w:ascii="Times New Roman"/>
                <w:sz w:val="20"/>
              </w:rPr>
            </w:pPr>
          </w:p>
        </w:tc>
        <w:tc>
          <w:tcPr>
            <w:tcW w:w="1987" w:type="dxa"/>
          </w:tcPr>
          <w:p>
            <w:pPr>
              <w:pStyle w:val="TableParagraph"/>
              <w:spacing w:line="220" w:lineRule="exact" w:before="136"/>
              <w:ind w:left="215"/>
              <w:rPr>
                <w:sz w:val="21"/>
              </w:rPr>
            </w:pPr>
            <w:r>
              <w:rPr>
                <w:sz w:val="21"/>
              </w:rPr>
              <w:t>1.</w:t>
            </w:r>
            <w:r>
              <w:rPr>
                <w:spacing w:val="8"/>
                <w:sz w:val="21"/>
              </w:rPr>
              <w:t> 恶性肿瘤——</w:t>
            </w:r>
          </w:p>
        </w:tc>
        <w:tc>
          <w:tcPr>
            <w:tcW w:w="7247" w:type="dxa"/>
          </w:tcPr>
          <w:p>
            <w:pPr>
              <w:pStyle w:val="TableParagraph"/>
              <w:spacing w:line="220" w:lineRule="exact" w:before="136"/>
              <w:ind w:left="108"/>
              <w:rPr>
                <w:sz w:val="21"/>
              </w:rPr>
            </w:pPr>
            <w:r>
              <w:rPr>
                <w:spacing w:val="-1"/>
                <w:sz w:val="21"/>
              </w:rPr>
              <w:t>指恶性细胞不受控制的进行性增长和扩散，浸润和破坏周围正常组织，可以</w:t>
            </w:r>
          </w:p>
        </w:tc>
      </w:tr>
    </w:tbl>
    <w:p>
      <w:pPr>
        <w:spacing w:after="0" w:line="220" w:lineRule="exact"/>
        <w:rPr>
          <w:sz w:val="21"/>
        </w:rPr>
        <w:sectPr>
          <w:type w:val="continuous"/>
          <w:pgSz w:w="11910" w:h="16840"/>
          <w:pgMar w:header="0" w:footer="406" w:top="600" w:bottom="280" w:left="900" w:right="340"/>
        </w:sectPr>
      </w:pPr>
    </w:p>
    <w:p>
      <w:pPr>
        <w:tabs>
          <w:tab w:pos="1879" w:val="left" w:leader="none"/>
        </w:tabs>
        <w:spacing w:line="383" w:lineRule="exact" w:before="10"/>
        <w:ind w:left="0" w:right="668" w:firstLine="0"/>
        <w:jc w:val="right"/>
        <w:rPr>
          <w:sz w:val="11"/>
        </w:rPr>
      </w:pPr>
      <w:r>
        <w:rPr>
          <w:sz w:val="21"/>
        </w:rPr>
        <w:t>轻</w:t>
      </w:r>
      <w:r>
        <w:rPr>
          <w:spacing w:val="-10"/>
          <w:sz w:val="21"/>
        </w:rPr>
        <w:t>度</w:t>
      </w:r>
      <w:r>
        <w:rPr>
          <w:sz w:val="21"/>
        </w:rPr>
        <w:tab/>
      </w:r>
      <w:r>
        <w:rPr>
          <w:spacing w:val="-2"/>
          <w:sz w:val="21"/>
        </w:rPr>
        <w:t>经</w:t>
      </w:r>
      <w:r>
        <w:rPr>
          <w:spacing w:val="-2"/>
          <w:sz w:val="21"/>
        </w:rPr>
        <w:t>血</w:t>
      </w:r>
      <w:r>
        <w:rPr>
          <w:spacing w:val="-2"/>
          <w:sz w:val="21"/>
        </w:rPr>
        <w:t>管、淋巴管和体</w:t>
      </w:r>
      <w:r>
        <w:rPr>
          <w:spacing w:val="-2"/>
          <w:sz w:val="21"/>
        </w:rPr>
        <w:t>腔</w:t>
      </w:r>
      <w:r>
        <w:rPr>
          <w:spacing w:val="-2"/>
          <w:sz w:val="21"/>
        </w:rPr>
        <w:t>扩</w:t>
      </w:r>
      <w:r>
        <w:rPr>
          <w:spacing w:val="-2"/>
          <w:sz w:val="21"/>
        </w:rPr>
        <w:t>散</w:t>
      </w:r>
      <w:r>
        <w:rPr>
          <w:spacing w:val="-2"/>
          <w:sz w:val="21"/>
        </w:rPr>
        <w:t>转</w:t>
      </w:r>
      <w:r>
        <w:rPr>
          <w:spacing w:val="-2"/>
          <w:sz w:val="21"/>
        </w:rPr>
        <w:t>移到身体其他</w:t>
      </w:r>
      <w:r>
        <w:rPr>
          <w:spacing w:val="-2"/>
          <w:sz w:val="21"/>
        </w:rPr>
        <w:t>部</w:t>
      </w:r>
      <w:r>
        <w:rPr>
          <w:spacing w:val="-2"/>
          <w:sz w:val="21"/>
        </w:rPr>
        <w:t>位</w:t>
      </w:r>
      <w:r>
        <w:rPr>
          <w:spacing w:val="-2"/>
          <w:sz w:val="21"/>
        </w:rPr>
        <w:t>，</w:t>
      </w:r>
      <w:r>
        <w:rPr>
          <w:spacing w:val="-2"/>
          <w:sz w:val="21"/>
        </w:rPr>
        <w:t>病</w:t>
      </w:r>
      <w:r>
        <w:rPr>
          <w:spacing w:val="-2"/>
          <w:sz w:val="21"/>
        </w:rPr>
        <w:t>灶</w:t>
      </w:r>
      <w:r>
        <w:rPr>
          <w:spacing w:val="-2"/>
          <w:sz w:val="21"/>
        </w:rPr>
        <w:t>经</w:t>
      </w:r>
      <w:r>
        <w:rPr>
          <w:rFonts w:ascii="微软雅黑" w:eastAsia="微软雅黑"/>
          <w:b/>
          <w:spacing w:val="-2"/>
          <w:sz w:val="21"/>
        </w:rPr>
        <w:t>组</w:t>
      </w:r>
      <w:r>
        <w:rPr>
          <w:rFonts w:ascii="微软雅黑" w:eastAsia="微软雅黑"/>
          <w:b/>
          <w:spacing w:val="-2"/>
          <w:sz w:val="21"/>
        </w:rPr>
        <w:t>织</w:t>
      </w:r>
      <w:r>
        <w:rPr>
          <w:rFonts w:ascii="微软雅黑" w:eastAsia="微软雅黑"/>
          <w:b/>
          <w:spacing w:val="-2"/>
          <w:sz w:val="21"/>
        </w:rPr>
        <w:t>病</w:t>
      </w:r>
      <w:r>
        <w:rPr>
          <w:rFonts w:ascii="微软雅黑" w:eastAsia="微软雅黑"/>
          <w:b/>
          <w:spacing w:val="-2"/>
          <w:sz w:val="21"/>
        </w:rPr>
        <w:t>理</w:t>
      </w:r>
      <w:r>
        <w:rPr>
          <w:rFonts w:ascii="微软雅黑" w:eastAsia="微软雅黑"/>
          <w:b/>
          <w:spacing w:val="-2"/>
          <w:sz w:val="21"/>
        </w:rPr>
        <w:t>学</w:t>
      </w:r>
      <w:r>
        <w:rPr>
          <w:rFonts w:ascii="微软雅黑" w:eastAsia="微软雅黑"/>
          <w:b/>
          <w:spacing w:val="-2"/>
          <w:sz w:val="21"/>
        </w:rPr>
        <w:t>检查</w:t>
      </w:r>
      <w:r>
        <w:rPr>
          <w:rFonts w:ascii="微软雅黑" w:eastAsia="微软雅黑"/>
          <w:b/>
          <w:spacing w:val="-8"/>
          <w:sz w:val="21"/>
        </w:rPr>
        <w:t> </w:t>
      </w:r>
      <w:r>
        <w:rPr>
          <w:spacing w:val="-2"/>
          <w:position w:val="11"/>
          <w:sz w:val="11"/>
        </w:rPr>
        <w:t>11.21</w:t>
      </w:r>
    </w:p>
    <w:p>
      <w:pPr>
        <w:pStyle w:val="BodyText"/>
        <w:spacing w:line="265" w:lineRule="exact"/>
        <w:ind w:right="664"/>
        <w:jc w:val="right"/>
      </w:pPr>
      <w:r>
        <w:rPr>
          <w:spacing w:val="-2"/>
        </w:rPr>
        <w:t>（涵盖骨髓病理学检查）结果明确诊断，临床诊断属于世界卫生组织（WHO，</w:t>
      </w:r>
    </w:p>
    <w:p>
      <w:pPr>
        <w:pStyle w:val="BodyText"/>
        <w:spacing w:line="312" w:lineRule="exact" w:before="3"/>
        <w:ind w:left="2960" w:right="666"/>
        <w:jc w:val="both"/>
      </w:pPr>
      <w:r>
        <w:rPr>
          <w:w w:val="100"/>
        </w:rPr>
        <w:t>World</w:t>
      </w:r>
      <w:r>
        <w:rPr>
          <w:spacing w:val="-2"/>
        </w:rPr>
        <w:t> </w:t>
      </w:r>
      <w:r>
        <w:rPr>
          <w:w w:val="100"/>
        </w:rPr>
        <w:t>H</w:t>
      </w:r>
      <w:r>
        <w:rPr>
          <w:spacing w:val="-3"/>
          <w:w w:val="100"/>
        </w:rPr>
        <w:t>e</w:t>
      </w:r>
      <w:r>
        <w:rPr>
          <w:w w:val="100"/>
        </w:rPr>
        <w:t>alth</w:t>
      </w:r>
      <w:r>
        <w:rPr>
          <w:spacing w:val="-2"/>
        </w:rPr>
        <w:t> </w:t>
      </w:r>
      <w:r>
        <w:rPr>
          <w:spacing w:val="-3"/>
          <w:w w:val="100"/>
        </w:rPr>
        <w:t>O</w:t>
      </w:r>
      <w:r>
        <w:rPr>
          <w:w w:val="100"/>
        </w:rPr>
        <w:t>rga</w:t>
      </w:r>
      <w:r>
        <w:rPr>
          <w:spacing w:val="-3"/>
          <w:w w:val="100"/>
        </w:rPr>
        <w:t>n</w:t>
      </w:r>
      <w:r>
        <w:rPr>
          <w:w w:val="100"/>
        </w:rPr>
        <w:t>iza</w:t>
      </w:r>
      <w:r>
        <w:rPr>
          <w:spacing w:val="-3"/>
          <w:w w:val="100"/>
        </w:rPr>
        <w:t>ti</w:t>
      </w:r>
      <w:r>
        <w:rPr>
          <w:w w:val="100"/>
        </w:rPr>
        <w:t>o</w:t>
      </w:r>
      <w:r>
        <w:rPr>
          <w:spacing w:val="-1"/>
          <w:w w:val="100"/>
        </w:rPr>
        <w:t>n</w:t>
      </w:r>
      <w:r>
        <w:rPr>
          <w:w w:val="100"/>
        </w:rPr>
        <w:t>）</w:t>
      </w:r>
      <w:r>
        <w:rPr>
          <w:spacing w:val="-3"/>
          <w:w w:val="100"/>
        </w:rPr>
        <w:t>《疾病和有关健康问题的国际统计分类》第十次修订版（</w:t>
      </w:r>
      <w:r>
        <w:rPr>
          <w:rFonts w:ascii="微软雅黑" w:hAnsi="微软雅黑" w:eastAsia="微软雅黑"/>
          <w:b/>
          <w:w w:val="83"/>
        </w:rPr>
        <w:t>ICD</w:t>
      </w:r>
      <w:r>
        <w:rPr>
          <w:rFonts w:ascii="微软雅黑" w:hAnsi="微软雅黑" w:eastAsia="微软雅黑"/>
          <w:b/>
          <w:w w:val="115"/>
        </w:rPr>
        <w:t>-</w:t>
      </w:r>
      <w:r>
        <w:rPr>
          <w:rFonts w:ascii="微软雅黑" w:hAnsi="微软雅黑" w:eastAsia="微软雅黑"/>
          <w:b/>
          <w:w w:val="81"/>
        </w:rPr>
        <w:t>10</w:t>
      </w:r>
      <w:r>
        <w:rPr>
          <w:rFonts w:ascii="微软雅黑" w:hAnsi="微软雅黑" w:eastAsia="微软雅黑"/>
          <w:b/>
          <w:spacing w:val="-27"/>
        </w:rPr>
        <w:t> </w:t>
      </w:r>
      <w:r>
        <w:rPr>
          <w:w w:val="100"/>
          <w:position w:val="11"/>
          <w:sz w:val="11"/>
        </w:rPr>
        <w:t>11.</w:t>
      </w:r>
      <w:r>
        <w:rPr>
          <w:spacing w:val="-3"/>
          <w:w w:val="100"/>
          <w:position w:val="11"/>
          <w:sz w:val="11"/>
        </w:rPr>
        <w:t>2</w:t>
      </w:r>
      <w:r>
        <w:rPr>
          <w:w w:val="100"/>
          <w:position w:val="11"/>
          <w:sz w:val="11"/>
        </w:rPr>
        <w:t>2</w:t>
      </w:r>
      <w:r>
        <w:rPr>
          <w:spacing w:val="-3"/>
          <w:w w:val="100"/>
        </w:rPr>
        <w:t>）的恶性肿瘤类别及《国际疾病分类肿瘤学专辑》第三</w:t>
      </w:r>
      <w:r>
        <w:rPr>
          <w:spacing w:val="-8"/>
          <w:w w:val="100"/>
        </w:rPr>
        <w:t>版</w:t>
      </w:r>
      <w:r>
        <w:rPr>
          <w:spacing w:val="-3"/>
          <w:w w:val="100"/>
        </w:rPr>
        <w:t>（</w:t>
      </w:r>
      <w:r>
        <w:rPr>
          <w:rFonts w:ascii="微软雅黑" w:hAnsi="微软雅黑" w:eastAsia="微软雅黑"/>
          <w:b/>
          <w:w w:val="83"/>
        </w:rPr>
        <w:t>IC</w:t>
      </w:r>
      <w:r>
        <w:rPr>
          <w:rFonts w:ascii="微软雅黑" w:hAnsi="微软雅黑" w:eastAsia="微软雅黑"/>
          <w:b/>
          <w:spacing w:val="2"/>
          <w:w w:val="83"/>
        </w:rPr>
        <w:t>D</w:t>
      </w:r>
      <w:r>
        <w:rPr>
          <w:rFonts w:ascii="微软雅黑" w:hAnsi="微软雅黑" w:eastAsia="微软雅黑"/>
          <w:b/>
          <w:w w:val="115"/>
        </w:rPr>
        <w:t>-</w:t>
      </w:r>
      <w:r>
        <w:rPr>
          <w:rFonts w:ascii="微软雅黑" w:hAnsi="微软雅黑" w:eastAsia="微软雅黑"/>
          <w:b/>
          <w:w w:val="61"/>
        </w:rPr>
        <w:t>O</w:t>
      </w:r>
      <w:r>
        <w:rPr>
          <w:rFonts w:ascii="微软雅黑" w:hAnsi="微软雅黑" w:eastAsia="微软雅黑"/>
          <w:b/>
          <w:w w:val="115"/>
        </w:rPr>
        <w:t>-</w:t>
      </w:r>
      <w:r>
        <w:rPr>
          <w:rFonts w:ascii="微软雅黑" w:hAnsi="微软雅黑" w:eastAsia="微软雅黑"/>
          <w:b/>
          <w:w w:val="81"/>
        </w:rPr>
        <w:t>3</w:t>
      </w:r>
      <w:r>
        <w:rPr>
          <w:rFonts w:ascii="微软雅黑" w:hAnsi="微软雅黑" w:eastAsia="微软雅黑"/>
          <w:b/>
          <w:spacing w:val="-34"/>
        </w:rPr>
        <w:t> </w:t>
      </w:r>
      <w:r>
        <w:rPr>
          <w:w w:val="100"/>
          <w:position w:val="11"/>
          <w:sz w:val="11"/>
        </w:rPr>
        <w:t>11.23</w:t>
      </w:r>
      <w:r>
        <w:rPr>
          <w:spacing w:val="-10"/>
          <w:w w:val="100"/>
        </w:rPr>
        <w:t>）</w:t>
      </w:r>
      <w:r>
        <w:rPr>
          <w:spacing w:val="-3"/>
          <w:w w:val="100"/>
        </w:rPr>
        <w:t>的肿瘤形态学编码属于</w:t>
      </w:r>
      <w:r>
        <w:rPr>
          <w:spacing w:val="-53"/>
        </w:rPr>
        <w:t> </w:t>
      </w:r>
      <w:r>
        <w:rPr>
          <w:w w:val="100"/>
        </w:rPr>
        <w:t>3</w:t>
      </w:r>
      <w:r>
        <w:rPr>
          <w:spacing w:val="-8"/>
          <w:w w:val="100"/>
        </w:rPr>
        <w:t>、</w:t>
      </w:r>
      <w:r>
        <w:rPr>
          <w:spacing w:val="-3"/>
          <w:w w:val="100"/>
        </w:rPr>
        <w:t>6</w:t>
      </w:r>
      <w:r>
        <w:rPr>
          <w:spacing w:val="-8"/>
          <w:w w:val="100"/>
        </w:rPr>
        <w:t>、9</w:t>
      </w:r>
      <w:r>
        <w:rPr>
          <w:spacing w:val="-3"/>
          <w:w w:val="100"/>
        </w:rPr>
        <w:t>（</w:t>
      </w:r>
      <w:r>
        <w:rPr>
          <w:spacing w:val="-1"/>
          <w:w w:val="100"/>
        </w:rPr>
        <w:t>恶性肿瘤</w:t>
      </w:r>
      <w:r>
        <w:rPr>
          <w:spacing w:val="-10"/>
          <w:w w:val="100"/>
        </w:rPr>
        <w:t>）</w:t>
      </w:r>
      <w:r>
        <w:rPr>
          <w:spacing w:val="-4"/>
          <w:w w:val="100"/>
        </w:rPr>
        <w:t>范畴，但不在 </w:t>
      </w:r>
      <w:r>
        <w:rPr>
          <w:spacing w:val="-3"/>
          <w:w w:val="100"/>
        </w:rPr>
        <w:t>“恶性肿瘤——重度”保障范围的疾病。且特指下列六项之一：</w:t>
      </w:r>
    </w:p>
    <w:p>
      <w:pPr>
        <w:pStyle w:val="ListParagraph"/>
        <w:numPr>
          <w:ilvl w:val="0"/>
          <w:numId w:val="19"/>
        </w:numPr>
        <w:tabs>
          <w:tab w:pos="3490" w:val="left" w:leader="none"/>
        </w:tabs>
        <w:spacing w:line="355" w:lineRule="exact" w:before="0" w:after="0"/>
        <w:ind w:left="3489" w:right="0" w:hanging="530"/>
        <w:jc w:val="both"/>
        <w:rPr>
          <w:sz w:val="21"/>
        </w:rPr>
      </w:pPr>
      <w:r>
        <w:rPr>
          <w:rFonts w:ascii="微软雅黑" w:hAnsi="微软雅黑" w:eastAsia="微软雅黑"/>
          <w:b/>
          <w:w w:val="90"/>
          <w:sz w:val="21"/>
        </w:rPr>
        <w:t>TNM</w:t>
      </w:r>
      <w:r>
        <w:rPr>
          <w:rFonts w:ascii="微软雅黑" w:hAnsi="微软雅黑" w:eastAsia="微软雅黑"/>
          <w:b/>
          <w:spacing w:val="15"/>
          <w:sz w:val="21"/>
        </w:rPr>
        <w:t> </w:t>
      </w:r>
      <w:r>
        <w:rPr>
          <w:rFonts w:ascii="微软雅黑" w:hAnsi="微软雅黑" w:eastAsia="微软雅黑"/>
          <w:b/>
          <w:w w:val="90"/>
          <w:sz w:val="21"/>
        </w:rPr>
        <w:t>分</w:t>
      </w:r>
      <w:r>
        <w:rPr>
          <w:rFonts w:ascii="微软雅黑" w:hAnsi="微软雅黑" w:eastAsia="微软雅黑"/>
          <w:b/>
          <w:w w:val="90"/>
          <w:sz w:val="21"/>
        </w:rPr>
        <w:t>期</w:t>
      </w:r>
      <w:r>
        <w:rPr>
          <w:rFonts w:ascii="微软雅黑" w:hAnsi="微软雅黑" w:eastAsia="微软雅黑"/>
          <w:b/>
          <w:spacing w:val="19"/>
          <w:sz w:val="21"/>
        </w:rPr>
        <w:t> </w:t>
      </w:r>
      <w:r>
        <w:rPr>
          <w:w w:val="90"/>
          <w:position w:val="11"/>
          <w:sz w:val="11"/>
        </w:rPr>
        <w:t>11.24</w:t>
      </w:r>
      <w:r>
        <w:rPr>
          <w:spacing w:val="-11"/>
          <w:w w:val="90"/>
          <w:position w:val="11"/>
          <w:sz w:val="11"/>
        </w:rPr>
        <w:t> </w:t>
      </w:r>
      <w:r>
        <w:rPr>
          <w:w w:val="90"/>
          <w:sz w:val="21"/>
        </w:rPr>
        <w:t>为Ⅰ期</w:t>
      </w:r>
      <w:r>
        <w:rPr>
          <w:w w:val="90"/>
          <w:sz w:val="21"/>
        </w:rPr>
        <w:t>的</w:t>
      </w:r>
      <w:r>
        <w:rPr>
          <w:w w:val="90"/>
          <w:sz w:val="21"/>
        </w:rPr>
        <w:t>甲</w:t>
      </w:r>
      <w:r>
        <w:rPr>
          <w:spacing w:val="-3"/>
          <w:w w:val="90"/>
          <w:sz w:val="21"/>
        </w:rPr>
        <w:t>状腺癌；</w:t>
      </w:r>
    </w:p>
    <w:p>
      <w:pPr>
        <w:pStyle w:val="ListParagraph"/>
        <w:numPr>
          <w:ilvl w:val="0"/>
          <w:numId w:val="19"/>
        </w:numPr>
        <w:tabs>
          <w:tab w:pos="3490" w:val="left" w:leader="none"/>
        </w:tabs>
        <w:spacing w:line="265" w:lineRule="exact" w:before="0" w:after="0"/>
        <w:ind w:left="3489" w:right="0" w:hanging="530"/>
        <w:jc w:val="both"/>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w:t>
      </w:r>
      <w:r>
        <w:rPr>
          <w:spacing w:val="-4"/>
          <w:position w:val="1"/>
          <w:sz w:val="21"/>
        </w:rPr>
        <w:t>期的前列腺癌；</w:t>
      </w:r>
    </w:p>
    <w:p>
      <w:pPr>
        <w:pStyle w:val="ListParagraph"/>
        <w:numPr>
          <w:ilvl w:val="0"/>
          <w:numId w:val="19"/>
        </w:numPr>
        <w:tabs>
          <w:tab w:pos="3490" w:val="left" w:leader="none"/>
        </w:tabs>
        <w:spacing w:line="240" w:lineRule="auto" w:before="44" w:after="0"/>
        <w:ind w:left="3489" w:right="0" w:hanging="530"/>
        <w:jc w:val="left"/>
        <w:rPr>
          <w:sz w:val="21"/>
        </w:rPr>
      </w:pPr>
      <w:r>
        <w:rPr>
          <w:spacing w:val="-3"/>
          <w:sz w:val="21"/>
        </w:rPr>
        <w:t>黑色素瘤以外的未发生淋巴结和远处转移的皮肤恶性肿瘤；</w:t>
      </w:r>
    </w:p>
    <w:p>
      <w:pPr>
        <w:pStyle w:val="ListParagraph"/>
        <w:numPr>
          <w:ilvl w:val="0"/>
          <w:numId w:val="19"/>
        </w:numPr>
        <w:tabs>
          <w:tab w:pos="3490" w:val="left" w:leader="none"/>
        </w:tabs>
        <w:spacing w:line="240" w:lineRule="auto" w:before="43" w:after="0"/>
        <w:ind w:left="3489" w:right="0" w:hanging="530"/>
        <w:jc w:val="left"/>
        <w:rPr>
          <w:sz w:val="21"/>
        </w:rPr>
      </w:pPr>
      <w:r>
        <w:rPr>
          <w:spacing w:val="-14"/>
          <w:sz w:val="21"/>
        </w:rPr>
        <w:t>相当于 </w:t>
      </w:r>
      <w:r>
        <w:rPr>
          <w:spacing w:val="-2"/>
          <w:sz w:val="21"/>
        </w:rPr>
        <w:t>Binet</w:t>
      </w:r>
      <w:r>
        <w:rPr>
          <w:spacing w:val="-19"/>
          <w:sz w:val="21"/>
        </w:rPr>
        <w:t> 分期方案 </w:t>
      </w:r>
      <w:r>
        <w:rPr>
          <w:spacing w:val="-2"/>
          <w:sz w:val="21"/>
        </w:rPr>
        <w:t>A</w:t>
      </w:r>
      <w:r>
        <w:rPr>
          <w:spacing w:val="-10"/>
          <w:sz w:val="21"/>
        </w:rPr>
        <w:t> 期程度的慢性淋巴细胞白血病；</w:t>
      </w:r>
    </w:p>
    <w:p>
      <w:pPr>
        <w:pStyle w:val="ListParagraph"/>
        <w:numPr>
          <w:ilvl w:val="0"/>
          <w:numId w:val="19"/>
        </w:numPr>
        <w:tabs>
          <w:tab w:pos="3490" w:val="left" w:leader="none"/>
        </w:tabs>
        <w:spacing w:line="240" w:lineRule="auto" w:before="43" w:after="0"/>
        <w:ind w:left="3489" w:right="0" w:hanging="530"/>
        <w:jc w:val="left"/>
        <w:rPr>
          <w:sz w:val="21"/>
        </w:rPr>
      </w:pPr>
      <w:r>
        <w:rPr>
          <w:spacing w:val="-14"/>
          <w:sz w:val="21"/>
        </w:rPr>
        <w:t>相当于 </w:t>
      </w:r>
      <w:r>
        <w:rPr>
          <w:spacing w:val="-2"/>
          <w:sz w:val="21"/>
        </w:rPr>
        <w:t>Ann</w:t>
      </w:r>
      <w:r>
        <w:rPr>
          <w:spacing w:val="12"/>
          <w:sz w:val="21"/>
        </w:rPr>
        <w:t> </w:t>
      </w:r>
      <w:r>
        <w:rPr>
          <w:spacing w:val="-2"/>
          <w:sz w:val="21"/>
        </w:rPr>
        <w:t>Arbor</w:t>
      </w:r>
      <w:r>
        <w:rPr>
          <w:spacing w:val="-10"/>
          <w:sz w:val="21"/>
        </w:rPr>
        <w:t> 分期方案Ⅰ期程度的何杰金氏病；</w:t>
      </w:r>
    </w:p>
    <w:p>
      <w:pPr>
        <w:pStyle w:val="ListParagraph"/>
        <w:numPr>
          <w:ilvl w:val="0"/>
          <w:numId w:val="19"/>
        </w:numPr>
        <w:tabs>
          <w:tab w:pos="3490" w:val="left" w:leader="none"/>
        </w:tabs>
        <w:spacing w:line="278" w:lineRule="auto" w:before="43" w:after="0"/>
        <w:ind w:left="3485" w:right="666" w:hanging="526"/>
        <w:jc w:val="left"/>
        <w:rPr>
          <w:sz w:val="21"/>
        </w:rPr>
      </w:pPr>
      <w:r>
        <w:rPr>
          <w:spacing w:val="-3"/>
          <w:sz w:val="21"/>
        </w:rPr>
        <w:t>未发生淋巴结和远处转移且 </w:t>
      </w:r>
      <w:r>
        <w:rPr>
          <w:sz w:val="21"/>
        </w:rPr>
        <w:t>WHO</w:t>
      </w:r>
      <w:r>
        <w:rPr>
          <w:spacing w:val="-12"/>
          <w:sz w:val="21"/>
        </w:rPr>
        <w:t> 分级为 </w:t>
      </w:r>
      <w:r>
        <w:rPr>
          <w:sz w:val="21"/>
        </w:rPr>
        <w:t>G1</w:t>
      </w:r>
      <w:r>
        <w:rPr>
          <w:spacing w:val="-9"/>
          <w:sz w:val="21"/>
        </w:rPr>
        <w:t> 级别</w:t>
      </w:r>
      <w:r>
        <w:rPr>
          <w:sz w:val="21"/>
        </w:rPr>
        <w:t>（核分裂像&lt;10/50</w:t>
      </w:r>
      <w:r>
        <w:rPr>
          <w:spacing w:val="-26"/>
          <w:sz w:val="21"/>
        </w:rPr>
        <w:t> </w:t>
      </w:r>
      <w:r>
        <w:rPr>
          <w:sz w:val="21"/>
        </w:rPr>
        <w:t>HPF</w:t>
      </w:r>
      <w:r>
        <w:rPr>
          <w:spacing w:val="-21"/>
          <w:sz w:val="21"/>
        </w:rPr>
        <w:t>和 </w:t>
      </w:r>
      <w:r>
        <w:rPr>
          <w:sz w:val="21"/>
        </w:rPr>
        <w:t>ki-67≤2%）的神经内分泌肿瘤。</w:t>
      </w:r>
    </w:p>
    <w:p>
      <w:pPr>
        <w:spacing w:line="282" w:lineRule="exact" w:before="0"/>
        <w:ind w:left="2960"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轻</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不</w:t>
      </w:r>
      <w:r>
        <w:rPr>
          <w:rFonts w:ascii="微软雅黑" w:hAnsi="微软雅黑" w:eastAsia="微软雅黑"/>
          <w:b/>
          <w:w w:val="95"/>
          <w:sz w:val="21"/>
        </w:rPr>
        <w:t>在保障</w:t>
      </w:r>
      <w:r>
        <w:rPr>
          <w:rFonts w:ascii="微软雅黑" w:hAnsi="微软雅黑" w:eastAsia="微软雅黑"/>
          <w:b/>
          <w:w w:val="95"/>
          <w:sz w:val="21"/>
        </w:rPr>
        <w:t>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line="194" w:lineRule="auto" w:before="15"/>
        <w:ind w:left="2960" w:right="668" w:firstLine="0"/>
        <w:jc w:val="left"/>
        <w:rPr>
          <w:rFonts w:ascii="微软雅黑" w:eastAsia="微软雅黑"/>
          <w:b/>
          <w:sz w:val="21"/>
        </w:rPr>
      </w:pPr>
      <w:r>
        <w:rPr>
          <w:rFonts w:ascii="微软雅黑" w:eastAsia="微软雅黑"/>
          <w:b/>
          <w:w w:val="95"/>
          <w:sz w:val="21"/>
        </w:rPr>
        <w:t>ICD-O-3 </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形</w:t>
      </w:r>
      <w:r>
        <w:rPr>
          <w:rFonts w:ascii="微软雅黑" w:eastAsia="微软雅黑"/>
          <w:b/>
          <w:w w:val="95"/>
          <w:sz w:val="21"/>
        </w:rPr>
        <w:t>态</w:t>
      </w:r>
      <w:r>
        <w:rPr>
          <w:rFonts w:ascii="微软雅黑" w:eastAsia="微软雅黑"/>
          <w:b/>
          <w:w w:val="95"/>
          <w:sz w:val="21"/>
        </w:rPr>
        <w:t>学</w:t>
      </w:r>
      <w:r>
        <w:rPr>
          <w:rFonts w:ascii="微软雅黑" w:eastAsia="微软雅黑"/>
          <w:b/>
          <w:w w:val="95"/>
          <w:sz w:val="21"/>
        </w:rPr>
        <w:t>编</w:t>
      </w:r>
      <w:r>
        <w:rPr>
          <w:rFonts w:ascii="微软雅黑" w:eastAsia="微软雅黑"/>
          <w:b/>
          <w:w w:val="95"/>
          <w:sz w:val="21"/>
        </w:rPr>
        <w:t>码</w:t>
      </w:r>
      <w:r>
        <w:rPr>
          <w:rFonts w:ascii="微软雅黑" w:eastAsia="微软雅黑"/>
          <w:b/>
          <w:w w:val="95"/>
          <w:sz w:val="21"/>
        </w:rPr>
        <w:t>属</w:t>
      </w:r>
      <w:r>
        <w:rPr>
          <w:rFonts w:ascii="微软雅黑" w:eastAsia="微软雅黑"/>
          <w:b/>
          <w:w w:val="95"/>
          <w:sz w:val="21"/>
        </w:rPr>
        <w:t>于</w:t>
      </w:r>
      <w:r>
        <w:rPr>
          <w:rFonts w:ascii="微软雅黑" w:eastAsia="微软雅黑"/>
          <w:b/>
          <w:w w:val="95"/>
          <w:sz w:val="21"/>
        </w:rPr>
        <w:t> 0（</w:t>
      </w:r>
      <w:r>
        <w:rPr>
          <w:rFonts w:ascii="微软雅黑" w:eastAsia="微软雅黑"/>
          <w:b/>
          <w:w w:val="95"/>
          <w:sz w:val="21"/>
        </w:rPr>
        <w:t>良</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w:t>
      </w:r>
      <w:r>
        <w:rPr>
          <w:rFonts w:ascii="微软雅黑" w:eastAsia="微软雅黑"/>
          <w:b/>
          <w:w w:val="95"/>
          <w:sz w:val="21"/>
        </w:rPr>
        <w:t>、</w:t>
      </w:r>
      <w:r>
        <w:rPr>
          <w:rFonts w:ascii="微软雅黑" w:eastAsia="微软雅黑"/>
          <w:b/>
          <w:w w:val="95"/>
          <w:sz w:val="21"/>
        </w:rPr>
        <w:t>1（</w:t>
      </w:r>
      <w:r>
        <w:rPr>
          <w:rFonts w:ascii="微软雅黑" w:eastAsia="微软雅黑"/>
          <w:b/>
          <w:w w:val="95"/>
          <w:sz w:val="21"/>
        </w:rPr>
        <w:t>动</w:t>
      </w:r>
      <w:r>
        <w:rPr>
          <w:rFonts w:ascii="微软雅黑" w:eastAsia="微软雅黑"/>
          <w:b/>
          <w:w w:val="95"/>
          <w:sz w:val="21"/>
        </w:rPr>
        <w:t>态</w:t>
      </w:r>
      <w:r>
        <w:rPr>
          <w:rFonts w:ascii="微软雅黑" w:eastAsia="微软雅黑"/>
          <w:b/>
          <w:w w:val="95"/>
          <w:sz w:val="21"/>
        </w:rPr>
        <w:t>未</w:t>
      </w:r>
      <w:r>
        <w:rPr>
          <w:rFonts w:ascii="微软雅黑" w:eastAsia="微软雅黑"/>
          <w:b/>
          <w:w w:val="95"/>
          <w:sz w:val="21"/>
        </w:rPr>
        <w:t>定</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w:t>
      </w:r>
      <w:r>
        <w:rPr>
          <w:rFonts w:ascii="微软雅黑" w:eastAsia="微软雅黑"/>
          <w:b/>
          <w:w w:val="95"/>
          <w:sz w:val="21"/>
        </w:rPr>
        <w:t>、</w:t>
      </w:r>
      <w:r>
        <w:rPr>
          <w:rFonts w:ascii="微软雅黑" w:eastAsia="微软雅黑"/>
          <w:b/>
          <w:w w:val="95"/>
          <w:sz w:val="21"/>
        </w:rPr>
        <w:t>2（</w:t>
      </w:r>
      <w:r>
        <w:rPr>
          <w:rFonts w:ascii="微软雅黑" w:eastAsia="微软雅黑"/>
          <w:b/>
          <w:w w:val="95"/>
          <w:sz w:val="21"/>
        </w:rPr>
        <w:t>原</w:t>
      </w:r>
      <w:r>
        <w:rPr>
          <w:rFonts w:ascii="微软雅黑" w:eastAsia="微软雅黑"/>
          <w:b/>
          <w:spacing w:val="-2"/>
          <w:sz w:val="21"/>
        </w:rPr>
        <w:t>位癌和非侵袭性癌）范畴的疾病，如：</w:t>
      </w:r>
    </w:p>
    <w:p>
      <w:pPr>
        <w:pStyle w:val="ListParagraph"/>
        <w:numPr>
          <w:ilvl w:val="0"/>
          <w:numId w:val="20"/>
        </w:numPr>
        <w:tabs>
          <w:tab w:pos="3174" w:val="left" w:leader="none"/>
        </w:tabs>
        <w:spacing w:line="194" w:lineRule="auto" w:before="0" w:after="0"/>
        <w:ind w:left="2960" w:right="667" w:firstLine="0"/>
        <w:jc w:val="left"/>
        <w:rPr>
          <w:rFonts w:ascii="微软雅黑" w:eastAsia="微软雅黑"/>
          <w:b/>
          <w:sz w:val="21"/>
        </w:rPr>
      </w:pPr>
      <w:r>
        <w:rPr>
          <w:rFonts w:ascii="微软雅黑" w:eastAsia="微软雅黑"/>
          <w:b/>
          <w:spacing w:val="-2"/>
          <w:sz w:val="21"/>
        </w:rPr>
        <w:t>原位癌，癌前病变，非浸润性癌，非侵袭性癌，肿瘤细胞未侵犯基底层，</w:t>
      </w:r>
      <w:r>
        <w:rPr>
          <w:rFonts w:ascii="微软雅黑" w:eastAsia="微软雅黑"/>
          <w:b/>
          <w:spacing w:val="-2"/>
          <w:sz w:val="21"/>
        </w:rPr>
        <w:t>上皮内瘤变，细胞不典型性增生等；</w:t>
      </w:r>
    </w:p>
    <w:p>
      <w:pPr>
        <w:pStyle w:val="ListParagraph"/>
        <w:numPr>
          <w:ilvl w:val="0"/>
          <w:numId w:val="20"/>
        </w:numPr>
        <w:tabs>
          <w:tab w:pos="3173" w:val="left" w:leader="none"/>
        </w:tabs>
        <w:spacing w:line="331" w:lineRule="exact" w:before="0" w:after="0"/>
        <w:ind w:left="3172" w:right="0" w:hanging="213"/>
        <w:jc w:val="left"/>
        <w:rPr>
          <w:rFonts w:ascii="微软雅黑" w:eastAsia="微软雅黑"/>
          <w:b/>
          <w:sz w:val="21"/>
        </w:rPr>
      </w:pPr>
      <w:r>
        <w:rPr>
          <w:rFonts w:ascii="微软雅黑" w:eastAsia="微软雅黑"/>
          <w:b/>
          <w:spacing w:val="-3"/>
          <w:sz w:val="21"/>
        </w:rPr>
        <w:t>交界性肿瘤，交界恶性肿瘤，肿瘤低度恶性潜能，潜在低度恶性肿瘤等。</w:t>
      </w:r>
    </w:p>
    <w:p>
      <w:pPr>
        <w:pStyle w:val="BodyText"/>
        <w:spacing w:before="16"/>
        <w:rPr>
          <w:rFonts w:ascii="微软雅黑"/>
          <w:b/>
          <w:sz w:val="7"/>
        </w:rPr>
      </w:pPr>
    </w:p>
    <w:p>
      <w:pPr>
        <w:spacing w:after="0"/>
        <w:rPr>
          <w:rFonts w:ascii="微软雅黑"/>
          <w:sz w:val="7"/>
        </w:rPr>
        <w:sectPr>
          <w:pgSz w:w="11910" w:h="16840"/>
          <w:pgMar w:header="0" w:footer="406" w:top="1060" w:bottom="600" w:left="900" w:right="340"/>
        </w:sectPr>
      </w:pPr>
    </w:p>
    <w:p>
      <w:pPr>
        <w:pStyle w:val="ListParagraph"/>
        <w:numPr>
          <w:ilvl w:val="1"/>
          <w:numId w:val="2"/>
        </w:numPr>
        <w:tabs>
          <w:tab w:pos="1323" w:val="left" w:leader="none"/>
        </w:tabs>
        <w:spacing w:line="278" w:lineRule="auto" w:before="72" w:after="0"/>
        <w:ind w:left="1080" w:right="0" w:firstLine="0"/>
        <w:jc w:val="left"/>
        <w:rPr>
          <w:sz w:val="21"/>
        </w:rPr>
      </w:pPr>
      <w:r>
        <w:rPr>
          <w:spacing w:val="24"/>
          <w:sz w:val="21"/>
        </w:rPr>
        <w:t>较轻急性心肌</w:t>
      </w:r>
      <w:r>
        <w:rPr>
          <w:spacing w:val="-6"/>
          <w:sz w:val="21"/>
        </w:rPr>
        <w:t>梗死</w:t>
      </w:r>
    </w:p>
    <w:p>
      <w:pPr>
        <w:pStyle w:val="BodyText"/>
        <w:spacing w:line="278" w:lineRule="auto" w:before="72"/>
        <w:ind w:left="142" w:right="560"/>
      </w:pPr>
      <w:r>
        <w:rPr/>
        <w:br w:type="column"/>
      </w:r>
      <w:r>
        <w:rPr>
          <w:w w:val="100"/>
        </w:rPr>
        <w:t>急性心肌梗死指由于冠状动脉闭塞或梗阻引起部分心肌严重的持久性缺血造</w:t>
      </w:r>
      <w:r>
        <w:rPr>
          <w:spacing w:val="-10"/>
          <w:w w:val="100"/>
        </w:rPr>
        <w:t>成急性心肌坏死。急性心肌梗死的诊断必须依据国际国内诊断标准，符合</w:t>
      </w:r>
      <w:r>
        <w:rPr>
          <w:spacing w:val="-1"/>
          <w:w w:val="100"/>
        </w:rPr>
        <w:t>（</w:t>
      </w:r>
      <w:r>
        <w:rPr>
          <w:spacing w:val="-3"/>
          <w:w w:val="100"/>
        </w:rPr>
        <w:t>1</w:t>
      </w:r>
      <w:r>
        <w:rPr>
          <w:w w:val="100"/>
        </w:rPr>
        <w:t>）</w:t>
      </w:r>
      <w:r>
        <w:rPr>
          <w:spacing w:val="-3"/>
          <w:w w:val="100"/>
        </w:rPr>
        <w:t>检测到肌酸激酶同工酶</w:t>
      </w:r>
      <w:r>
        <w:rPr>
          <w:spacing w:val="-1"/>
          <w:w w:val="100"/>
        </w:rPr>
        <w:t>（</w:t>
      </w:r>
      <w:r>
        <w:rPr>
          <w:spacing w:val="-3"/>
          <w:w w:val="100"/>
        </w:rPr>
        <w:t>C</w:t>
      </w:r>
      <w:r>
        <w:rPr>
          <w:w w:val="100"/>
        </w:rPr>
        <w:t>K-M</w:t>
      </w:r>
      <w:r>
        <w:rPr>
          <w:spacing w:val="-3"/>
          <w:w w:val="100"/>
        </w:rPr>
        <w:t>B</w:t>
      </w:r>
      <w:r>
        <w:rPr>
          <w:w w:val="100"/>
        </w:rPr>
        <w:t>）</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w:t>
      </w:r>
      <w:r>
        <w:rPr>
          <w:w w:val="100"/>
        </w:rPr>
        <w:t>的证据，包括：缺血性胸痛症状、新发生的缺血性心电图改变、新生成的病理性</w:t>
      </w:r>
      <w:r>
        <w:rPr>
          <w:spacing w:val="-2"/>
        </w:rPr>
        <w:t> </w:t>
      </w:r>
      <w:r>
        <w:rPr>
          <w:w w:val="100"/>
        </w:rPr>
        <w:t>Q</w:t>
      </w:r>
      <w:r>
        <w:rPr>
          <w:spacing w:val="-2"/>
        </w:rPr>
        <w:t> </w:t>
      </w:r>
      <w:r>
        <w:rPr>
          <w:spacing w:val="-3"/>
          <w:w w:val="100"/>
        </w:rPr>
        <w:t>波、影像学证据显示有新出现的心肌活性丧失或新出现局部室壁运动异常、冠脉造影证实存在冠状动脉血栓。</w:t>
      </w:r>
    </w:p>
    <w:p>
      <w:pPr>
        <w:pStyle w:val="BodyText"/>
        <w:spacing w:line="278" w:lineRule="auto"/>
        <w:ind w:left="142" w:right="666"/>
      </w:pPr>
      <w:r>
        <w:rPr>
          <w:spacing w:val="-6"/>
        </w:rPr>
        <w:t>较轻急性心肌梗死指依照上述标准被明确诊断为急性心肌梗死，但未达到“较</w:t>
      </w:r>
      <w:r>
        <w:rPr>
          <w:spacing w:val="-2"/>
        </w:rPr>
        <w:t>重急性心肌梗死”的给付标准。</w:t>
      </w:r>
    </w:p>
    <w:p>
      <w:pPr>
        <w:pStyle w:val="Heading2"/>
        <w:spacing w:line="282" w:lineRule="exact"/>
        <w:ind w:left="142"/>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塞性疾</w:t>
      </w:r>
      <w:r>
        <w:rPr>
          <w:w w:val="95"/>
        </w:rPr>
        <w:t>病</w:t>
      </w:r>
      <w:r>
        <w:rPr>
          <w:w w:val="95"/>
        </w:rPr>
        <w:t>引</w:t>
      </w:r>
      <w:r>
        <w:rPr>
          <w:w w:val="95"/>
        </w:rPr>
        <w:t>起</w:t>
      </w:r>
      <w:r>
        <w:rPr>
          <w:w w:val="95"/>
        </w:rPr>
        <w:t>的</w:t>
      </w:r>
      <w:r>
        <w:rPr>
          <w:w w:val="95"/>
        </w:rPr>
        <w:t>肌</w:t>
      </w:r>
      <w:r>
        <w:rPr>
          <w:w w:val="95"/>
        </w:rPr>
        <w:t>钙</w:t>
      </w:r>
      <w:r>
        <w:rPr>
          <w:w w:val="95"/>
        </w:rPr>
        <w:t>蛋</w:t>
      </w:r>
      <w:r>
        <w:rPr>
          <w:w w:val="95"/>
        </w:rPr>
        <w:t>白</w:t>
      </w:r>
      <w:r>
        <w:rPr>
          <w:w w:val="95"/>
        </w:rPr>
        <w:t>（cTn）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line="194" w:lineRule="auto" w:before="15"/>
        <w:ind w:left="142" w:right="672"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本公司对该种轻症疾病理赔后，不再对“微创冠状动脉介入手术”、“激光</w:t>
      </w:r>
      <w:r>
        <w:rPr>
          <w:rFonts w:ascii="微软雅黑" w:hAnsi="微软雅黑" w:eastAsia="微软雅黑"/>
          <w:b/>
          <w:spacing w:val="-2"/>
          <w:sz w:val="21"/>
        </w:rPr>
        <w:t>心肌血运重建”承担给付轻症疾病保险金的责任。</w:t>
      </w:r>
    </w:p>
    <w:p>
      <w:pPr>
        <w:spacing w:after="0" w:line="194" w:lineRule="auto"/>
        <w:jc w:val="left"/>
        <w:rPr>
          <w:rFonts w:ascii="微软雅黑" w:hAnsi="微软雅黑" w:eastAsia="微软雅黑"/>
          <w:sz w:val="21"/>
        </w:rPr>
        <w:sectPr>
          <w:type w:val="continuous"/>
          <w:pgSz w:w="11910" w:h="16840"/>
          <w:pgMar w:header="0" w:footer="406" w:top="600" w:bottom="280" w:left="900" w:right="340"/>
          <w:cols w:num="2" w:equalWidth="0">
            <w:col w:w="2778" w:space="40"/>
            <w:col w:w="7852"/>
          </w:cols>
        </w:sectPr>
      </w:pPr>
    </w:p>
    <w:p>
      <w:pPr>
        <w:pStyle w:val="BodyText"/>
        <w:spacing w:before="13"/>
        <w:rPr>
          <w:rFonts w:ascii="微软雅黑"/>
          <w:b/>
          <w:sz w:val="11"/>
        </w:rPr>
      </w:pPr>
    </w:p>
    <w:p>
      <w:pPr>
        <w:spacing w:after="0"/>
        <w:rPr>
          <w:rFonts w:ascii="微软雅黑"/>
          <w:sz w:val="11"/>
        </w:rPr>
        <w:sectPr>
          <w:type w:val="continuous"/>
          <w:pgSz w:w="11910" w:h="16840"/>
          <w:pgMar w:header="0" w:footer="406" w:top="600" w:bottom="280" w:left="900" w:right="340"/>
        </w:sectPr>
      </w:pPr>
    </w:p>
    <w:p>
      <w:pPr>
        <w:pStyle w:val="ListParagraph"/>
        <w:numPr>
          <w:ilvl w:val="1"/>
          <w:numId w:val="2"/>
        </w:numPr>
        <w:tabs>
          <w:tab w:pos="1323" w:val="left" w:leader="none"/>
        </w:tabs>
        <w:spacing w:line="278" w:lineRule="auto" w:before="71" w:after="0"/>
        <w:ind w:left="1080" w:right="0" w:firstLine="0"/>
        <w:jc w:val="left"/>
        <w:rPr>
          <w:sz w:val="21"/>
        </w:rPr>
      </w:pPr>
      <w:r>
        <w:rPr>
          <w:spacing w:val="24"/>
          <w:sz w:val="21"/>
        </w:rPr>
        <w:t>轻度脑中风后</w:t>
      </w:r>
      <w:r>
        <w:rPr>
          <w:spacing w:val="-6"/>
          <w:sz w:val="21"/>
        </w:rPr>
        <w:t>遗症</w:t>
      </w:r>
    </w:p>
    <w:p>
      <w:pPr>
        <w:pStyle w:val="BodyText"/>
        <w:spacing w:before="71"/>
        <w:ind w:left="142"/>
      </w:pPr>
      <w:r>
        <w:rPr/>
        <w:br w:type="column"/>
      </w:r>
      <w:r>
        <w:rPr>
          <w:spacing w:val="-1"/>
        </w:rPr>
        <w:t>指因脑血管的突发病变引起脑血管出血、栓塞或梗塞，须由头颅断层扫描</w:t>
      </w:r>
    </w:p>
    <w:p>
      <w:pPr>
        <w:pStyle w:val="BodyText"/>
        <w:spacing w:line="278" w:lineRule="auto" w:before="43"/>
        <w:ind w:left="142" w:right="666"/>
        <w:jc w:val="both"/>
      </w:pPr>
      <w:r>
        <w:rPr>
          <w:spacing w:val="-2"/>
        </w:rPr>
        <w:t>（CT）、核磁共振检查（MRI）等影像学检查证实，并导致神经系统永久性的</w:t>
      </w:r>
      <w:r>
        <w:rPr>
          <w:spacing w:val="-1"/>
        </w:rPr>
        <w:t>功能障碍，但未达到“严重脑中风后遗症”的给付标准，在疾病确诊 </w:t>
      </w:r>
      <w:r>
        <w:rPr/>
        <w:t>180</w:t>
      </w:r>
      <w:r>
        <w:rPr>
          <w:spacing w:val="-9"/>
        </w:rPr>
        <w:t> 天</w:t>
      </w:r>
      <w:r>
        <w:rPr>
          <w:spacing w:val="-2"/>
        </w:rPr>
        <w:t>后，仍遗留下列至少一种障碍：</w:t>
      </w:r>
    </w:p>
    <w:p>
      <w:pPr>
        <w:spacing w:line="282" w:lineRule="exact" w:before="0"/>
        <w:ind w:left="142" w:right="0" w:firstLine="0"/>
        <w:jc w:val="both"/>
        <w:rPr>
          <w:sz w:val="21"/>
        </w:rPr>
      </w:pPr>
      <w:r>
        <w:rPr>
          <w:spacing w:val="-2"/>
          <w:sz w:val="21"/>
        </w:rPr>
        <w:t>（1）一肢（含）以上</w:t>
      </w:r>
      <w:r>
        <w:rPr>
          <w:rFonts w:ascii="微软雅黑" w:eastAsia="微软雅黑"/>
          <w:b/>
          <w:spacing w:val="-2"/>
          <w:sz w:val="21"/>
        </w:rPr>
        <w:t>肢体 </w:t>
      </w:r>
      <w:r>
        <w:rPr>
          <w:spacing w:val="-2"/>
          <w:position w:val="11"/>
          <w:sz w:val="11"/>
        </w:rPr>
        <w:t>11.25</w:t>
      </w:r>
      <w:r>
        <w:rPr>
          <w:spacing w:val="-25"/>
          <w:position w:val="11"/>
          <w:sz w:val="11"/>
        </w:rPr>
        <w:t> </w:t>
      </w:r>
      <w:r>
        <w:rPr>
          <w:rFonts w:ascii="微软雅黑" w:eastAsia="微软雅黑"/>
          <w:b/>
          <w:spacing w:val="-3"/>
          <w:sz w:val="21"/>
        </w:rPr>
        <w:t>肌力 </w:t>
      </w:r>
      <w:r>
        <w:rPr>
          <w:spacing w:val="-2"/>
          <w:position w:val="11"/>
          <w:sz w:val="11"/>
        </w:rPr>
        <w:t>11.26</w:t>
      </w:r>
      <w:r>
        <w:rPr>
          <w:spacing w:val="-26"/>
          <w:position w:val="11"/>
          <w:sz w:val="11"/>
        </w:rPr>
        <w:t> </w:t>
      </w:r>
      <w:r>
        <w:rPr>
          <w:spacing w:val="-24"/>
          <w:sz w:val="21"/>
        </w:rPr>
        <w:t>为 </w:t>
      </w:r>
      <w:r>
        <w:rPr>
          <w:spacing w:val="-2"/>
          <w:sz w:val="21"/>
        </w:rPr>
        <w:t>3</w:t>
      </w:r>
      <w:r>
        <w:rPr>
          <w:spacing w:val="-20"/>
          <w:sz w:val="21"/>
        </w:rPr>
        <w:t> 级；</w:t>
      </w:r>
    </w:p>
    <w:p>
      <w:pPr>
        <w:spacing w:line="346" w:lineRule="exact" w:before="0"/>
        <w:ind w:left="142" w:right="0" w:firstLine="0"/>
        <w:jc w:val="both"/>
        <w:rPr>
          <w:sz w:val="21"/>
        </w:rPr>
      </w:pPr>
      <w:r>
        <w:rPr>
          <w:spacing w:val="-2"/>
          <w:sz w:val="21"/>
        </w:rPr>
        <w:t>（2）自主生活能力完全丧失，无法独立完成</w:t>
      </w:r>
      <w:r>
        <w:rPr>
          <w:rFonts w:ascii="微软雅黑" w:eastAsia="微软雅黑"/>
          <w:b/>
          <w:spacing w:val="3"/>
          <w:sz w:val="21"/>
        </w:rPr>
        <w:t>六项基本日常生活活动 </w:t>
      </w:r>
      <w:r>
        <w:rPr>
          <w:spacing w:val="-2"/>
          <w:position w:val="11"/>
          <w:sz w:val="11"/>
        </w:rPr>
        <w:t>11.27</w:t>
      </w:r>
      <w:r>
        <w:rPr>
          <w:spacing w:val="-3"/>
          <w:position w:val="11"/>
          <w:sz w:val="11"/>
        </w:rPr>
        <w:t> </w:t>
      </w:r>
      <w:r>
        <w:rPr>
          <w:spacing w:val="-6"/>
          <w:sz w:val="21"/>
        </w:rPr>
        <w:t>中的</w:t>
      </w:r>
    </w:p>
    <w:p>
      <w:pPr>
        <w:pStyle w:val="BodyText"/>
        <w:spacing w:line="265" w:lineRule="exact"/>
        <w:ind w:left="668"/>
      </w:pPr>
      <w:r>
        <w:rPr>
          <w:spacing w:val="-4"/>
        </w:rPr>
        <w:t>两项。</w:t>
      </w:r>
    </w:p>
    <w:p>
      <w:pPr>
        <w:spacing w:after="0" w:line="265" w:lineRule="exact"/>
        <w:sectPr>
          <w:type w:val="continuous"/>
          <w:pgSz w:w="11910" w:h="16840"/>
          <w:pgMar w:header="0" w:footer="406" w:top="600" w:bottom="280" w:left="900" w:right="340"/>
          <w:cols w:num="2" w:equalWidth="0">
            <w:col w:w="2778" w:space="40"/>
            <w:col w:w="7852"/>
          </w:cols>
        </w:sectPr>
      </w:pPr>
    </w:p>
    <w:p>
      <w:pPr>
        <w:pStyle w:val="BodyText"/>
        <w:spacing w:before="2"/>
        <w:rPr>
          <w:sz w:val="19"/>
        </w:rPr>
      </w:pPr>
    </w:p>
    <w:p>
      <w:pPr>
        <w:pStyle w:val="ListParagraph"/>
        <w:numPr>
          <w:ilvl w:val="1"/>
          <w:numId w:val="2"/>
        </w:numPr>
        <w:tabs>
          <w:tab w:pos="1293" w:val="left" w:leader="none"/>
        </w:tabs>
        <w:spacing w:line="312" w:lineRule="exact" w:before="32" w:after="0"/>
        <w:ind w:left="2960" w:right="666" w:hanging="1880"/>
        <w:jc w:val="both"/>
        <w:rPr>
          <w:rFonts w:ascii="微软雅黑" w:eastAsia="微软雅黑"/>
          <w:b/>
          <w:sz w:val="21"/>
        </w:rPr>
      </w:pPr>
      <w:r>
        <w:rPr>
          <w:sz w:val="21"/>
        </w:rPr>
        <w:t>原位癌</w:t>
      </w:r>
      <w:r>
        <w:rPr>
          <w:spacing w:val="80"/>
          <w:w w:val="150"/>
          <w:sz w:val="21"/>
        </w:rPr>
        <w:t>     </w:t>
      </w:r>
      <w:r>
        <w:rPr>
          <w:sz w:val="21"/>
        </w:rPr>
        <w:t>指恶性细胞局限于上皮内尚未穿破基底膜浸润周围正常组织的癌细胞新生</w:t>
      </w:r>
      <w:r>
        <w:rPr>
          <w:spacing w:val="-2"/>
          <w:sz w:val="21"/>
        </w:rPr>
        <w:t>物。原位癌必须经对固定活组织的组织病理学检查明确诊断，临床诊断属于</w:t>
      </w:r>
      <w:r>
        <w:rPr>
          <w:sz w:val="21"/>
        </w:rPr>
        <w:t>世界卫生组织（WHO</w:t>
      </w:r>
      <w:r>
        <w:rPr>
          <w:spacing w:val="-5"/>
          <w:sz w:val="21"/>
        </w:rPr>
        <w:t>， </w:t>
      </w:r>
      <w:r>
        <w:rPr>
          <w:sz w:val="21"/>
        </w:rPr>
        <w:t>World</w:t>
      </w:r>
      <w:r>
        <w:rPr>
          <w:spacing w:val="-10"/>
          <w:sz w:val="21"/>
        </w:rPr>
        <w:t> </w:t>
      </w:r>
      <w:r>
        <w:rPr>
          <w:sz w:val="21"/>
        </w:rPr>
        <w:t>Health</w:t>
      </w:r>
      <w:r>
        <w:rPr>
          <w:spacing w:val="-12"/>
          <w:sz w:val="21"/>
        </w:rPr>
        <w:t> </w:t>
      </w:r>
      <w:r>
        <w:rPr>
          <w:sz w:val="21"/>
        </w:rPr>
        <w:t>Organization）《疾病和有关健康问题</w:t>
      </w:r>
      <w:r>
        <w:rPr>
          <w:spacing w:val="-2"/>
          <w:sz w:val="21"/>
        </w:rPr>
        <w:t>的国际统计分类》第十次修订版（ICD-10）原位癌范畴。</w:t>
      </w:r>
      <w:r>
        <w:rPr>
          <w:rFonts w:ascii="微软雅黑" w:eastAsia="微软雅黑"/>
          <w:b/>
          <w:spacing w:val="-2"/>
          <w:sz w:val="21"/>
        </w:rPr>
        <w:t>被保险人必须已经</w:t>
      </w:r>
      <w:r>
        <w:rPr>
          <w:rFonts w:ascii="微软雅黑" w:eastAsia="微软雅黑"/>
          <w:b/>
          <w:spacing w:val="-2"/>
          <w:sz w:val="21"/>
        </w:rPr>
        <w:t>接受了针对原位癌病灶的积极治疗。细胞学检查结果不能作为确诊原位癌的</w:t>
      </w:r>
      <w:r>
        <w:rPr>
          <w:rFonts w:ascii="微软雅黑" w:eastAsia="微软雅黑"/>
          <w:b/>
          <w:spacing w:val="-4"/>
          <w:sz w:val="21"/>
        </w:rPr>
        <w:t>证据。</w:t>
      </w:r>
    </w:p>
    <w:p>
      <w:pPr>
        <w:spacing w:after="0" w:line="312" w:lineRule="exact"/>
        <w:jc w:val="both"/>
        <w:rPr>
          <w:rFonts w:ascii="微软雅黑" w:eastAsia="微软雅黑"/>
          <w:sz w:val="21"/>
        </w:rPr>
        <w:sectPr>
          <w:type w:val="continuous"/>
          <w:pgSz w:w="11910" w:h="16840"/>
          <w:pgMar w:header="0" w:footer="406" w:top="600" w:bottom="280" w:left="900" w:right="340"/>
        </w:sectPr>
      </w:pPr>
    </w:p>
    <w:p>
      <w:pPr>
        <w:pStyle w:val="Heading2"/>
        <w:spacing w:line="194" w:lineRule="auto" w:before="42"/>
        <w:ind w:right="667"/>
        <w:jc w:val="both"/>
      </w:pPr>
      <w:r>
        <w:rPr>
          <w:w w:val="95"/>
        </w:rPr>
        <w:t>癌</w:t>
      </w:r>
      <w:r>
        <w:rPr>
          <w:w w:val="95"/>
        </w:rPr>
        <w:t>前</w:t>
      </w:r>
      <w:r>
        <w:rPr>
          <w:w w:val="95"/>
        </w:rPr>
        <w:t>病</w:t>
      </w:r>
      <w:r>
        <w:rPr>
          <w:w w:val="95"/>
        </w:rPr>
        <w:t>变</w:t>
      </w:r>
      <w:r>
        <w:rPr>
          <w:w w:val="95"/>
        </w:rPr>
        <w:t>（</w:t>
      </w:r>
      <w:r>
        <w:rPr>
          <w:w w:val="95"/>
        </w:rPr>
        <w:t>包</w:t>
      </w:r>
      <w:r>
        <w:rPr>
          <w:w w:val="95"/>
        </w:rPr>
        <w:t>括</w:t>
      </w:r>
      <w:r>
        <w:rPr>
          <w:w w:val="95"/>
        </w:rPr>
        <w:t>但</w:t>
      </w:r>
      <w:r>
        <w:rPr>
          <w:w w:val="95"/>
        </w:rPr>
        <w:t>不限于</w:t>
      </w:r>
      <w:r>
        <w:rPr>
          <w:w w:val="95"/>
        </w:rPr>
        <w:t>宫</w:t>
      </w:r>
      <w:r>
        <w:rPr>
          <w:w w:val="95"/>
        </w:rPr>
        <w:t>颈</w:t>
      </w:r>
      <w:r>
        <w:rPr>
          <w:w w:val="95"/>
        </w:rPr>
        <w:t>上</w:t>
      </w:r>
      <w:r>
        <w:rPr>
          <w:w w:val="95"/>
        </w:rPr>
        <w:t>皮</w:t>
      </w:r>
      <w:r>
        <w:rPr>
          <w:w w:val="95"/>
        </w:rPr>
        <w:t>内</w:t>
      </w:r>
      <w:r>
        <w:rPr>
          <w:w w:val="95"/>
        </w:rPr>
        <w:t>瘤</w:t>
      </w:r>
      <w:r>
        <w:rPr>
          <w:w w:val="95"/>
        </w:rPr>
        <w:t>样</w:t>
      </w:r>
      <w:r>
        <w:rPr>
          <w:w w:val="95"/>
        </w:rPr>
        <w:t>病</w:t>
      </w:r>
      <w:r>
        <w:rPr>
          <w:w w:val="95"/>
        </w:rPr>
        <w:t>变</w:t>
      </w:r>
      <w:r>
        <w:rPr>
          <w:spacing w:val="40"/>
        </w:rPr>
        <w:t> </w:t>
      </w:r>
      <w:r>
        <w:rPr>
          <w:w w:val="95"/>
        </w:rPr>
        <w:t>CIN-1，CIN-2，</w:t>
      </w:r>
      <w:r>
        <w:rPr>
          <w:w w:val="95"/>
        </w:rPr>
        <w:t>重</w:t>
      </w:r>
      <w:r>
        <w:rPr>
          <w:w w:val="95"/>
        </w:rPr>
        <w:t>度</w:t>
      </w:r>
      <w:r>
        <w:rPr>
          <w:w w:val="95"/>
        </w:rPr>
        <w:t>不</w:t>
      </w:r>
      <w:r>
        <w:rPr>
          <w:w w:val="95"/>
        </w:rPr>
        <w:t>典</w:t>
      </w:r>
      <w:r>
        <w:rPr>
          <w:w w:val="95"/>
        </w:rPr>
        <w:t>型</w:t>
      </w:r>
      <w:r>
        <w:rPr>
          <w:w w:val="95"/>
        </w:rPr>
        <w:t>增</w:t>
      </w:r>
      <w:r>
        <w:rPr>
          <w:spacing w:val="-2"/>
        </w:rPr>
        <w:t>生但非原位癌）、非浸润性癌、非侵袭性癌、上皮内瘤变、细胞不典型性增</w:t>
      </w:r>
      <w:r>
        <w:rPr>
          <w:spacing w:val="-2"/>
        </w:rPr>
        <w:t>生、交界性肿瘤、交界恶性肿瘤、肿瘤低度恶性潜能、潜在低度恶性肿瘤不</w:t>
      </w:r>
      <w:r>
        <w:rPr>
          <w:spacing w:val="-2"/>
        </w:rPr>
        <w:t>在保障范围内。</w:t>
      </w:r>
    </w:p>
    <w:p>
      <w:pPr>
        <w:pStyle w:val="BodyText"/>
        <w:spacing w:before="11"/>
        <w:rPr>
          <w:rFonts w:ascii="微软雅黑"/>
          <w:b/>
          <w:sz w:val="11"/>
        </w:rPr>
      </w:pPr>
    </w:p>
    <w:p>
      <w:pPr>
        <w:spacing w:after="0"/>
        <w:rPr>
          <w:rFonts w:ascii="微软雅黑"/>
          <w:sz w:val="11"/>
        </w:rPr>
        <w:sectPr>
          <w:pgSz w:w="11910" w:h="16840"/>
          <w:pgMar w:header="0" w:footer="406" w:top="1080" w:bottom="600" w:left="900" w:right="340"/>
        </w:sectPr>
      </w:pPr>
    </w:p>
    <w:p>
      <w:pPr>
        <w:pStyle w:val="ListParagraph"/>
        <w:numPr>
          <w:ilvl w:val="1"/>
          <w:numId w:val="2"/>
        </w:numPr>
        <w:tabs>
          <w:tab w:pos="1323" w:val="left" w:leader="none"/>
        </w:tabs>
        <w:spacing w:line="278" w:lineRule="auto" w:before="71" w:after="0"/>
        <w:ind w:left="1080" w:right="0" w:firstLine="0"/>
        <w:jc w:val="left"/>
        <w:rPr>
          <w:sz w:val="21"/>
        </w:rPr>
      </w:pPr>
      <w:r>
        <w:rPr>
          <w:spacing w:val="24"/>
          <w:sz w:val="21"/>
        </w:rPr>
        <w:t>微创冠状动脉</w:t>
      </w:r>
      <w:r>
        <w:rPr>
          <w:spacing w:val="-4"/>
          <w:sz w:val="21"/>
        </w:rPr>
        <w:t>介入手术</w:t>
      </w:r>
    </w:p>
    <w:p>
      <w:pPr>
        <w:pStyle w:val="BodyText"/>
        <w:spacing w:line="278" w:lineRule="auto" w:before="71"/>
        <w:ind w:left="142" w:right="667"/>
        <w:jc w:val="both"/>
      </w:pPr>
      <w:r>
        <w:rPr/>
        <w:br w:type="column"/>
      </w:r>
      <w:r>
        <w:rPr>
          <w:spacing w:val="-2"/>
        </w:rPr>
        <w:t>指被保险人为了治疗明显的冠状动脉狭窄性疾病，首次实际实施了冠状动脉</w:t>
      </w:r>
      <w:r>
        <w:rPr>
          <w:spacing w:val="-2"/>
        </w:rPr>
        <w:t>球囊扩张成形术、冠状动脉支架植入术、冠状动脉粥样斑块切除术或激光冠</w:t>
      </w:r>
      <w:r>
        <w:rPr>
          <w:spacing w:val="-2"/>
        </w:rPr>
        <w:t>状动脉成形术。手术须在本公司认可的医疗机构内由心脏专科医生进行，并</w:t>
      </w:r>
      <w:r>
        <w:rPr>
          <w:spacing w:val="-2"/>
        </w:rPr>
        <w:t>确认该手术的必要性。</w:t>
      </w:r>
    </w:p>
    <w:p>
      <w:pPr>
        <w:pStyle w:val="Heading2"/>
        <w:spacing w:line="282" w:lineRule="exact"/>
        <w:ind w:left="142"/>
      </w:pPr>
      <w:r>
        <w:rPr>
          <w:spacing w:val="-1"/>
        </w:rPr>
        <w:t>本公司对该种轻症疾病理赔后，不再对“较轻急性心肌梗死”、“激光心肌</w:t>
      </w:r>
    </w:p>
    <w:p>
      <w:pPr>
        <w:spacing w:line="350" w:lineRule="exact" w:before="0"/>
        <w:ind w:left="142" w:right="0" w:firstLine="0"/>
        <w:jc w:val="left"/>
        <w:rPr>
          <w:rFonts w:ascii="微软雅黑" w:hAnsi="微软雅黑" w:eastAsia="微软雅黑"/>
          <w:b/>
          <w:sz w:val="21"/>
        </w:rPr>
      </w:pPr>
      <w:r>
        <w:rPr>
          <w:rFonts w:ascii="微软雅黑" w:hAnsi="微软雅黑" w:eastAsia="微软雅黑"/>
          <w:b/>
          <w:spacing w:val="-3"/>
          <w:sz w:val="21"/>
        </w:rPr>
        <w:t>血运重建”承担给付轻症疾病保险金的责任。</w:t>
      </w:r>
    </w:p>
    <w:p>
      <w:pPr>
        <w:spacing w:after="0" w:line="350" w:lineRule="exact"/>
        <w:jc w:val="left"/>
        <w:rPr>
          <w:rFonts w:ascii="微软雅黑" w:hAnsi="微软雅黑" w:eastAsia="微软雅黑"/>
          <w:sz w:val="21"/>
        </w:rPr>
        <w:sectPr>
          <w:type w:val="continuous"/>
          <w:pgSz w:w="11910" w:h="16840"/>
          <w:pgMar w:header="0" w:footer="406" w:top="600" w:bottom="280" w:left="900" w:right="340"/>
          <w:cols w:num="2" w:equalWidth="0">
            <w:col w:w="2778" w:space="40"/>
            <w:col w:w="7852"/>
          </w:cols>
        </w:sectPr>
      </w:pPr>
    </w:p>
    <w:p>
      <w:pPr>
        <w:pStyle w:val="BodyText"/>
        <w:spacing w:before="12"/>
        <w:rPr>
          <w:rFonts w:ascii="微软雅黑"/>
          <w:b/>
          <w:sz w:val="10"/>
        </w:rPr>
      </w:pPr>
    </w:p>
    <w:p>
      <w:pPr>
        <w:spacing w:after="0"/>
        <w:rPr>
          <w:rFonts w:ascii="微软雅黑"/>
          <w:sz w:val="10"/>
        </w:rPr>
        <w:sectPr>
          <w:type w:val="continuous"/>
          <w:pgSz w:w="11910" w:h="16840"/>
          <w:pgMar w:header="0" w:footer="406" w:top="600" w:bottom="280" w:left="900" w:right="340"/>
        </w:sectPr>
      </w:pPr>
    </w:p>
    <w:p>
      <w:pPr>
        <w:pStyle w:val="ListParagraph"/>
        <w:numPr>
          <w:ilvl w:val="1"/>
          <w:numId w:val="2"/>
        </w:numPr>
        <w:tabs>
          <w:tab w:pos="1323" w:val="left" w:leader="none"/>
        </w:tabs>
        <w:spacing w:line="278" w:lineRule="auto" w:before="72" w:after="0"/>
        <w:ind w:left="1080" w:right="0" w:firstLine="0"/>
        <w:jc w:val="left"/>
        <w:rPr>
          <w:sz w:val="21"/>
        </w:rPr>
      </w:pPr>
      <w:r>
        <w:rPr>
          <w:spacing w:val="24"/>
          <w:sz w:val="21"/>
        </w:rPr>
        <w:t>激光心肌血运</w:t>
      </w:r>
      <w:r>
        <w:rPr>
          <w:spacing w:val="-6"/>
          <w:sz w:val="21"/>
        </w:rPr>
        <w:t>重建</w:t>
      </w:r>
    </w:p>
    <w:p>
      <w:pPr>
        <w:pStyle w:val="BodyText"/>
        <w:spacing w:line="278" w:lineRule="auto" w:before="72"/>
        <w:ind w:left="142" w:right="667"/>
        <w:jc w:val="both"/>
      </w:pPr>
      <w:r>
        <w:rPr/>
        <w:br w:type="column"/>
      </w:r>
      <w:r>
        <w:rPr>
          <w:spacing w:val="-2"/>
        </w:rPr>
        <w:t>指患有顽固性心绞痛，经持续药物治疗后无改善，冠状动脉搭桥手术及经皮</w:t>
      </w:r>
      <w:r>
        <w:rPr>
          <w:spacing w:val="-2"/>
        </w:rPr>
        <w:t>血管成形手术已失败或者被认为不适合，在本公司认可的医疗机构内由心脏</w:t>
      </w:r>
      <w:r>
        <w:rPr>
          <w:spacing w:val="-2"/>
        </w:rPr>
        <w:t>专科医生实际进行了开胸手术下或者胸腔镜下的激光心肌血运重建术。</w:t>
      </w:r>
    </w:p>
    <w:p>
      <w:pPr>
        <w:pStyle w:val="Heading2"/>
        <w:spacing w:line="283" w:lineRule="exact"/>
        <w:ind w:left="142"/>
      </w:pPr>
      <w:r>
        <w:rPr>
          <w:spacing w:val="-1"/>
        </w:rPr>
        <w:t>本公司对该种轻症疾病理赔后，不再对“较轻急性心肌梗死”、“微创冠状</w:t>
      </w:r>
    </w:p>
    <w:p>
      <w:pPr>
        <w:spacing w:line="350" w:lineRule="exact" w:before="0"/>
        <w:ind w:left="142" w:right="0" w:firstLine="0"/>
        <w:jc w:val="left"/>
        <w:rPr>
          <w:rFonts w:ascii="微软雅黑" w:hAnsi="微软雅黑" w:eastAsia="微软雅黑"/>
          <w:b/>
          <w:sz w:val="21"/>
        </w:rPr>
      </w:pPr>
      <w:r>
        <w:rPr>
          <w:rFonts w:ascii="微软雅黑" w:hAnsi="微软雅黑" w:eastAsia="微软雅黑"/>
          <w:b/>
          <w:spacing w:val="-3"/>
          <w:sz w:val="21"/>
        </w:rPr>
        <w:t>动脉介入手术”承担给付轻症疾病保险金的责任。</w:t>
      </w:r>
    </w:p>
    <w:p>
      <w:pPr>
        <w:spacing w:after="0" w:line="350" w:lineRule="exact"/>
        <w:jc w:val="left"/>
        <w:rPr>
          <w:rFonts w:ascii="微软雅黑" w:hAnsi="微软雅黑" w:eastAsia="微软雅黑"/>
          <w:sz w:val="21"/>
        </w:rPr>
        <w:sectPr>
          <w:type w:val="continuous"/>
          <w:pgSz w:w="11910" w:h="16840"/>
          <w:pgMar w:header="0" w:footer="406" w:top="600" w:bottom="280" w:left="900" w:right="340"/>
          <w:cols w:num="2" w:equalWidth="0">
            <w:col w:w="2778" w:space="40"/>
            <w:col w:w="7852"/>
          </w:cols>
        </w:sectPr>
      </w:pPr>
    </w:p>
    <w:p>
      <w:pPr>
        <w:pStyle w:val="BodyText"/>
        <w:spacing w:before="11"/>
        <w:rPr>
          <w:rFonts w:ascii="微软雅黑"/>
          <w:b/>
          <w:sz w:val="12"/>
        </w:rPr>
      </w:pPr>
    </w:p>
    <w:p>
      <w:pPr>
        <w:spacing w:after="0"/>
        <w:rPr>
          <w:rFonts w:ascii="微软雅黑"/>
          <w:sz w:val="12"/>
        </w:rPr>
        <w:sectPr>
          <w:type w:val="continuous"/>
          <w:pgSz w:w="11910" w:h="16840"/>
          <w:pgMar w:header="0" w:footer="406" w:top="600" w:bottom="280" w:left="900" w:right="340"/>
        </w:sectPr>
      </w:pPr>
    </w:p>
    <w:p>
      <w:pPr>
        <w:pStyle w:val="ListParagraph"/>
        <w:numPr>
          <w:ilvl w:val="1"/>
          <w:numId w:val="2"/>
        </w:numPr>
        <w:tabs>
          <w:tab w:pos="1323" w:val="left" w:leader="none"/>
        </w:tabs>
        <w:spacing w:line="278" w:lineRule="auto" w:before="72" w:after="0"/>
        <w:ind w:left="1080" w:right="0" w:firstLine="0"/>
        <w:jc w:val="left"/>
        <w:rPr>
          <w:sz w:val="21"/>
        </w:rPr>
      </w:pPr>
      <w:r>
        <w:rPr>
          <w:spacing w:val="24"/>
          <w:sz w:val="21"/>
        </w:rPr>
        <w:t>心脏瓣膜介入</w:t>
      </w:r>
      <w:r>
        <w:rPr>
          <w:spacing w:val="-6"/>
          <w:sz w:val="21"/>
        </w:rPr>
        <w:t>手术</w:t>
      </w:r>
    </w:p>
    <w:p>
      <w:pPr>
        <w:pStyle w:val="BodyText"/>
        <w:spacing w:line="278" w:lineRule="auto" w:before="72"/>
        <w:ind w:left="142" w:right="560"/>
      </w:pPr>
      <w:r>
        <w:rPr/>
        <w:br w:type="column"/>
      </w:r>
      <w:r>
        <w:rPr>
          <w:spacing w:val="-4"/>
          <w:w w:val="100"/>
        </w:rPr>
        <w:t>为了治疗心脏瓣膜疾病，实际实施了非切开心脏的心脏瓣膜置换或修复手术。</w:t>
      </w:r>
      <w:r>
        <w:rPr>
          <w:w w:val="100"/>
        </w:rPr>
        <w:t>手术须在本公司认可的医疗机构内由心脏专科医生进行，并确认该手术的必要性。</w:t>
      </w:r>
    </w:p>
    <w:p>
      <w:pPr>
        <w:spacing w:after="0" w:line="278" w:lineRule="auto"/>
        <w:sectPr>
          <w:type w:val="continuous"/>
          <w:pgSz w:w="11910" w:h="16840"/>
          <w:pgMar w:header="0" w:footer="406" w:top="600" w:bottom="280" w:left="900" w:right="340"/>
          <w:cols w:num="2" w:equalWidth="0">
            <w:col w:w="2778" w:space="40"/>
            <w:col w:w="7852"/>
          </w:cols>
        </w:sectPr>
      </w:pPr>
    </w:p>
    <w:p>
      <w:pPr>
        <w:pStyle w:val="BodyText"/>
        <w:rPr>
          <w:sz w:val="12"/>
        </w:rPr>
      </w:pPr>
    </w:p>
    <w:p>
      <w:pPr>
        <w:pStyle w:val="ListParagraph"/>
        <w:numPr>
          <w:ilvl w:val="1"/>
          <w:numId w:val="2"/>
        </w:numPr>
        <w:tabs>
          <w:tab w:pos="1293" w:val="left" w:leader="none"/>
          <w:tab w:pos="2960" w:val="left" w:leader="none"/>
        </w:tabs>
        <w:spacing w:line="223" w:lineRule="auto" w:before="86" w:after="0"/>
        <w:ind w:left="2960" w:right="667" w:hanging="1880"/>
        <w:jc w:val="left"/>
        <w:rPr>
          <w:sz w:val="21"/>
        </w:rPr>
      </w:pPr>
      <w:r>
        <w:rPr>
          <w:spacing w:val="-2"/>
          <w:sz w:val="21"/>
        </w:rPr>
        <w:t>主动脉内</w:t>
      </w:r>
      <w:r>
        <w:rPr>
          <w:spacing w:val="-2"/>
          <w:sz w:val="21"/>
        </w:rPr>
        <w:t>手</w:t>
      </w:r>
      <w:r>
        <w:rPr>
          <w:spacing w:val="-2"/>
          <w:sz w:val="21"/>
        </w:rPr>
        <w:t>术</w:t>
      </w:r>
      <w:r>
        <w:rPr>
          <w:sz w:val="21"/>
        </w:rPr>
        <w:tab/>
      </w:r>
      <w:r>
        <w:rPr>
          <w:spacing w:val="-2"/>
          <w:sz w:val="21"/>
        </w:rPr>
        <w:t>为</w:t>
      </w:r>
      <w:r>
        <w:rPr>
          <w:spacing w:val="-2"/>
          <w:sz w:val="21"/>
        </w:rPr>
        <w:t>了</w:t>
      </w:r>
      <w:r>
        <w:rPr>
          <w:spacing w:val="-2"/>
          <w:sz w:val="21"/>
        </w:rPr>
        <w:t>治</w:t>
      </w:r>
      <w:r>
        <w:rPr>
          <w:spacing w:val="-2"/>
          <w:sz w:val="21"/>
        </w:rPr>
        <w:t>疗</w:t>
      </w:r>
      <w:r>
        <w:rPr>
          <w:spacing w:val="-2"/>
          <w:sz w:val="21"/>
        </w:rPr>
        <w:t>主</w:t>
      </w:r>
      <w:r>
        <w:rPr>
          <w:spacing w:val="-2"/>
          <w:sz w:val="21"/>
        </w:rPr>
        <w:t>动</w:t>
      </w:r>
      <w:r>
        <w:rPr>
          <w:spacing w:val="-2"/>
          <w:sz w:val="21"/>
        </w:rPr>
        <w:t>脉</w:t>
      </w:r>
      <w:r>
        <w:rPr>
          <w:spacing w:val="-2"/>
          <w:sz w:val="21"/>
        </w:rPr>
        <w:t>疾</w:t>
      </w:r>
      <w:r>
        <w:rPr>
          <w:spacing w:val="-2"/>
          <w:sz w:val="21"/>
        </w:rPr>
        <w:t>病实际</w:t>
      </w:r>
      <w:r>
        <w:rPr>
          <w:spacing w:val="-2"/>
          <w:sz w:val="21"/>
        </w:rPr>
        <w:t>实</w:t>
      </w:r>
      <w:r>
        <w:rPr>
          <w:spacing w:val="-2"/>
          <w:sz w:val="21"/>
        </w:rPr>
        <w:t>施</w:t>
      </w:r>
      <w:r>
        <w:rPr>
          <w:spacing w:val="-2"/>
          <w:sz w:val="21"/>
        </w:rPr>
        <w:t>了</w:t>
      </w:r>
      <w:r>
        <w:rPr>
          <w:spacing w:val="-2"/>
          <w:sz w:val="21"/>
        </w:rPr>
        <w:t>经</w:t>
      </w:r>
      <w:r>
        <w:rPr>
          <w:spacing w:val="-2"/>
          <w:sz w:val="21"/>
        </w:rPr>
        <w:t>皮</w:t>
      </w:r>
      <w:r>
        <w:rPr>
          <w:spacing w:val="-2"/>
          <w:sz w:val="21"/>
        </w:rPr>
        <w:t>经</w:t>
      </w:r>
      <w:r>
        <w:rPr>
          <w:spacing w:val="-2"/>
          <w:sz w:val="21"/>
        </w:rPr>
        <w:t>导</w:t>
      </w:r>
      <w:r>
        <w:rPr>
          <w:spacing w:val="-2"/>
          <w:sz w:val="21"/>
        </w:rPr>
        <w:t>管</w:t>
      </w:r>
      <w:r>
        <w:rPr>
          <w:spacing w:val="-2"/>
          <w:sz w:val="21"/>
        </w:rPr>
        <w:t>进行的</w:t>
      </w:r>
      <w:r>
        <w:rPr>
          <w:spacing w:val="-2"/>
          <w:sz w:val="21"/>
        </w:rPr>
        <w:t>动</w:t>
      </w:r>
      <w:r>
        <w:rPr>
          <w:spacing w:val="-2"/>
          <w:sz w:val="21"/>
        </w:rPr>
        <w:t>脉</w:t>
      </w:r>
      <w:r>
        <w:rPr>
          <w:spacing w:val="-2"/>
          <w:sz w:val="21"/>
        </w:rPr>
        <w:t>内</w:t>
      </w:r>
      <w:r>
        <w:rPr>
          <w:spacing w:val="-2"/>
          <w:sz w:val="21"/>
        </w:rPr>
        <w:t>手</w:t>
      </w:r>
      <w:r>
        <w:rPr>
          <w:spacing w:val="-2"/>
          <w:sz w:val="21"/>
        </w:rPr>
        <w:t>术</w:t>
      </w:r>
      <w:r>
        <w:rPr>
          <w:spacing w:val="-2"/>
          <w:sz w:val="21"/>
        </w:rPr>
        <w:t>。</w:t>
      </w:r>
      <w:r>
        <w:rPr>
          <w:spacing w:val="-2"/>
          <w:sz w:val="21"/>
        </w:rPr>
        <w:t>主</w:t>
      </w:r>
      <w:r>
        <w:rPr>
          <w:spacing w:val="-2"/>
          <w:sz w:val="21"/>
        </w:rPr>
        <w:t>动</w:t>
      </w:r>
      <w:r>
        <w:rPr>
          <w:spacing w:val="-2"/>
          <w:sz w:val="21"/>
        </w:rPr>
        <w:t>脉</w:t>
      </w:r>
      <w:r>
        <w:rPr>
          <w:spacing w:val="-2"/>
          <w:sz w:val="21"/>
        </w:rPr>
        <w:t>指</w:t>
      </w:r>
      <w:r>
        <w:rPr>
          <w:spacing w:val="-2"/>
          <w:sz w:val="21"/>
        </w:rPr>
        <w:t>胸</w:t>
      </w:r>
      <w:r>
        <w:rPr>
          <w:spacing w:val="-2"/>
          <w:sz w:val="21"/>
        </w:rPr>
        <w:t>主</w:t>
      </w:r>
      <w:r>
        <w:rPr>
          <w:spacing w:val="-2"/>
          <w:sz w:val="21"/>
        </w:rPr>
        <w:t>动</w:t>
      </w:r>
      <w:r>
        <w:rPr>
          <w:spacing w:val="-2"/>
          <w:sz w:val="21"/>
        </w:rPr>
        <w:t>脉和腹主动脉，</w:t>
      </w:r>
      <w:r>
        <w:rPr>
          <w:rFonts w:ascii="微软雅黑" w:eastAsia="微软雅黑"/>
          <w:b/>
          <w:spacing w:val="-2"/>
          <w:sz w:val="21"/>
        </w:rPr>
        <w:t>不包</w:t>
      </w:r>
      <w:r>
        <w:rPr>
          <w:rFonts w:ascii="微软雅黑" w:eastAsia="微软雅黑"/>
          <w:b/>
          <w:spacing w:val="-2"/>
          <w:sz w:val="21"/>
        </w:rPr>
        <w:t>括</w:t>
      </w:r>
      <w:r>
        <w:rPr>
          <w:rFonts w:ascii="微软雅黑" w:eastAsia="微软雅黑"/>
          <w:b/>
          <w:spacing w:val="-2"/>
          <w:sz w:val="21"/>
        </w:rPr>
        <w:t>胸</w:t>
      </w:r>
      <w:r>
        <w:rPr>
          <w:rFonts w:ascii="微软雅黑" w:eastAsia="微软雅黑"/>
          <w:b/>
          <w:spacing w:val="-2"/>
          <w:sz w:val="21"/>
        </w:rPr>
        <w:t>主</w:t>
      </w:r>
      <w:r>
        <w:rPr>
          <w:rFonts w:ascii="微软雅黑" w:eastAsia="微软雅黑"/>
          <w:b/>
          <w:spacing w:val="-2"/>
          <w:sz w:val="21"/>
        </w:rPr>
        <w:t>动</w:t>
      </w:r>
      <w:r>
        <w:rPr>
          <w:rFonts w:ascii="微软雅黑" w:eastAsia="微软雅黑"/>
          <w:b/>
          <w:spacing w:val="-2"/>
          <w:sz w:val="21"/>
        </w:rPr>
        <w:t>脉</w:t>
      </w:r>
      <w:r>
        <w:rPr>
          <w:rFonts w:ascii="微软雅黑" w:eastAsia="微软雅黑"/>
          <w:b/>
          <w:spacing w:val="-2"/>
          <w:sz w:val="21"/>
        </w:rPr>
        <w:t>和</w:t>
      </w:r>
      <w:r>
        <w:rPr>
          <w:rFonts w:ascii="微软雅黑" w:eastAsia="微软雅黑"/>
          <w:b/>
          <w:spacing w:val="-2"/>
          <w:sz w:val="21"/>
        </w:rPr>
        <w:t>腹</w:t>
      </w:r>
      <w:r>
        <w:rPr>
          <w:rFonts w:ascii="微软雅黑" w:eastAsia="微软雅黑"/>
          <w:b/>
          <w:spacing w:val="-2"/>
          <w:sz w:val="21"/>
        </w:rPr>
        <w:t>主</w:t>
      </w:r>
      <w:r>
        <w:rPr>
          <w:rFonts w:ascii="微软雅黑" w:eastAsia="微软雅黑"/>
          <w:b/>
          <w:spacing w:val="-2"/>
          <w:sz w:val="21"/>
        </w:rPr>
        <w:t>动脉的</w:t>
      </w:r>
      <w:r>
        <w:rPr>
          <w:rFonts w:ascii="微软雅黑" w:eastAsia="微软雅黑"/>
          <w:b/>
          <w:spacing w:val="-2"/>
          <w:sz w:val="21"/>
        </w:rPr>
        <w:t>分</w:t>
      </w:r>
      <w:r>
        <w:rPr>
          <w:rFonts w:ascii="微软雅黑" w:eastAsia="微软雅黑"/>
          <w:b/>
          <w:spacing w:val="-2"/>
          <w:sz w:val="21"/>
        </w:rPr>
        <w:t>支</w:t>
      </w:r>
      <w:r>
        <w:rPr>
          <w:rFonts w:ascii="微软雅黑" w:eastAsia="微软雅黑"/>
          <w:b/>
          <w:spacing w:val="-2"/>
          <w:sz w:val="21"/>
        </w:rPr>
        <w:t>血</w:t>
      </w:r>
      <w:r>
        <w:rPr>
          <w:rFonts w:ascii="微软雅黑" w:eastAsia="微软雅黑"/>
          <w:b/>
          <w:spacing w:val="-2"/>
          <w:sz w:val="21"/>
        </w:rPr>
        <w:t>管</w:t>
      </w:r>
      <w:r>
        <w:rPr>
          <w:spacing w:val="-2"/>
          <w:sz w:val="21"/>
        </w:rPr>
        <w:t>。</w:t>
      </w: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1"/>
          <w:numId w:val="2"/>
        </w:numPr>
        <w:tabs>
          <w:tab w:pos="1293" w:val="left" w:leader="none"/>
        </w:tabs>
        <w:spacing w:line="278" w:lineRule="auto" w:before="72" w:after="0"/>
        <w:ind w:left="1080" w:right="0" w:firstLine="0"/>
        <w:jc w:val="both"/>
        <w:rPr>
          <w:sz w:val="21"/>
        </w:rPr>
      </w:pPr>
      <w:r>
        <w:rPr>
          <w:spacing w:val="-4"/>
          <w:sz w:val="21"/>
        </w:rPr>
        <w:t>脑垂体瘤、脑囊</w:t>
      </w:r>
      <w:r>
        <w:rPr>
          <w:spacing w:val="-4"/>
          <w:sz w:val="21"/>
        </w:rPr>
        <w:t>肿、脑动脉瘤及脑</w:t>
      </w:r>
      <w:r>
        <w:rPr>
          <w:spacing w:val="-4"/>
          <w:sz w:val="21"/>
        </w:rPr>
        <w:t>血管瘤</w:t>
      </w:r>
    </w:p>
    <w:p>
      <w:pPr>
        <w:pStyle w:val="BodyText"/>
        <w:spacing w:line="278" w:lineRule="auto" w:before="72"/>
        <w:ind w:left="173" w:right="666"/>
      </w:pPr>
      <w:r>
        <w:rPr/>
        <w:br w:type="column"/>
      </w:r>
      <w:r>
        <w:rPr>
          <w:spacing w:val="-2"/>
        </w:rPr>
        <w:t>指经头颅断层扫描（CT）、核磁共振（MRI）或其他影像学检查被确诊为下列</w:t>
      </w:r>
      <w:r>
        <w:rPr>
          <w:spacing w:val="-2"/>
        </w:rPr>
        <w:t>病变，并实际接受了手术或放射治疗。</w:t>
      </w:r>
    </w:p>
    <w:p>
      <w:pPr>
        <w:pStyle w:val="ListParagraph"/>
        <w:numPr>
          <w:ilvl w:val="0"/>
          <w:numId w:val="21"/>
        </w:numPr>
        <w:tabs>
          <w:tab w:pos="703" w:val="left" w:leader="none"/>
        </w:tabs>
        <w:spacing w:line="240" w:lineRule="auto" w:before="0" w:after="0"/>
        <w:ind w:left="702" w:right="0" w:hanging="530"/>
        <w:jc w:val="left"/>
        <w:rPr>
          <w:sz w:val="21"/>
        </w:rPr>
      </w:pPr>
      <w:r>
        <w:rPr>
          <w:spacing w:val="-4"/>
          <w:sz w:val="21"/>
        </w:rPr>
        <w:t>脑垂体瘤；</w:t>
      </w:r>
    </w:p>
    <w:p>
      <w:pPr>
        <w:pStyle w:val="ListParagraph"/>
        <w:numPr>
          <w:ilvl w:val="0"/>
          <w:numId w:val="21"/>
        </w:numPr>
        <w:tabs>
          <w:tab w:pos="703" w:val="left" w:leader="none"/>
        </w:tabs>
        <w:spacing w:line="240" w:lineRule="auto" w:before="43" w:after="0"/>
        <w:ind w:left="702" w:right="0" w:hanging="530"/>
        <w:jc w:val="left"/>
        <w:rPr>
          <w:sz w:val="21"/>
        </w:rPr>
      </w:pPr>
      <w:r>
        <w:rPr>
          <w:spacing w:val="-4"/>
          <w:sz w:val="21"/>
        </w:rPr>
        <w:t>脑囊肿；</w:t>
      </w:r>
    </w:p>
    <w:p>
      <w:pPr>
        <w:pStyle w:val="ListParagraph"/>
        <w:numPr>
          <w:ilvl w:val="0"/>
          <w:numId w:val="21"/>
        </w:numPr>
        <w:tabs>
          <w:tab w:pos="703" w:val="left" w:leader="none"/>
        </w:tabs>
        <w:spacing w:line="240" w:lineRule="auto" w:before="43" w:after="0"/>
        <w:ind w:left="702" w:right="0" w:hanging="530"/>
        <w:jc w:val="left"/>
        <w:rPr>
          <w:sz w:val="21"/>
        </w:rPr>
      </w:pPr>
      <w:r>
        <w:rPr>
          <w:spacing w:val="-3"/>
          <w:sz w:val="21"/>
        </w:rPr>
        <w:t>脑动脉瘤、脑血管瘤。</w:t>
      </w:r>
    </w:p>
    <w:p>
      <w:pPr>
        <w:spacing w:after="0" w:line="240" w:lineRule="auto"/>
        <w:jc w:val="left"/>
        <w:rPr>
          <w:sz w:val="21"/>
        </w:rPr>
        <w:sectPr>
          <w:type w:val="continuous"/>
          <w:pgSz w:w="11910" w:h="16840"/>
          <w:pgMar w:header="0" w:footer="406" w:top="600" w:bottom="280" w:left="900" w:right="340"/>
          <w:cols w:num="2" w:equalWidth="0">
            <w:col w:w="2747" w:space="40"/>
            <w:col w:w="7883"/>
          </w:cols>
        </w:sectPr>
      </w:pPr>
    </w:p>
    <w:p>
      <w:pPr>
        <w:pStyle w:val="BodyText"/>
        <w:spacing w:before="4"/>
        <w:rPr>
          <w:sz w:val="15"/>
        </w:rPr>
      </w:pPr>
    </w:p>
    <w:p>
      <w:pPr>
        <w:spacing w:after="0"/>
        <w:rPr>
          <w:sz w:val="15"/>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both"/>
        <w:rPr>
          <w:sz w:val="21"/>
        </w:rPr>
      </w:pPr>
      <w:r>
        <w:rPr>
          <w:spacing w:val="8"/>
          <w:sz w:val="21"/>
        </w:rPr>
        <w:t>无颅内压增高</w:t>
      </w:r>
      <w:r>
        <w:rPr>
          <w:spacing w:val="26"/>
          <w:sz w:val="21"/>
        </w:rPr>
        <w:t>的微小良性脑肿</w:t>
      </w:r>
      <w:r>
        <w:rPr>
          <w:spacing w:val="-10"/>
          <w:sz w:val="21"/>
        </w:rPr>
        <w:t>瘤</w:t>
      </w:r>
    </w:p>
    <w:p>
      <w:pPr>
        <w:pStyle w:val="BodyText"/>
        <w:spacing w:line="278" w:lineRule="auto" w:before="72"/>
        <w:ind w:left="142" w:right="666"/>
        <w:jc w:val="both"/>
      </w:pPr>
      <w:r>
        <w:rPr/>
        <w:br w:type="column"/>
      </w:r>
      <w:r>
        <w:rPr>
          <w:spacing w:val="-3"/>
        </w:rPr>
        <w:t>指直径小于 </w:t>
      </w:r>
      <w:r>
        <w:rPr/>
        <w:t>2cm</w:t>
      </w:r>
      <w:r>
        <w:rPr>
          <w:spacing w:val="-4"/>
        </w:rPr>
        <w:t> 的脑的微小良性肿瘤，临床上无颅内压升高表现，无危及生</w:t>
      </w:r>
      <w:r>
        <w:rPr>
          <w:spacing w:val="-2"/>
        </w:rPr>
        <w:t>命征象。微小良性脑肿瘤须由头颅断层扫描（CT）、核磁共振检查（MRI）或</w:t>
      </w:r>
      <w:r>
        <w:rPr>
          <w:spacing w:val="-2"/>
        </w:rPr>
        <w:t>正电子发射断层扫描（PET）等影像学检查证实，并在本公司认可的医疗机构</w:t>
      </w:r>
      <w:r>
        <w:rPr>
          <w:spacing w:val="-2"/>
        </w:rPr>
        <w:t>内实际接受了手术或放射治疗。</w:t>
      </w:r>
    </w:p>
    <w:p>
      <w:pPr>
        <w:pStyle w:val="Heading2"/>
        <w:spacing w:line="319" w:lineRule="exact"/>
        <w:ind w:left="142"/>
      </w:pPr>
      <w:r>
        <w:rPr>
          <w:spacing w:val="-3"/>
        </w:rPr>
        <w:t>脑垂体瘤、脑囊肿、脑动脉瘤及脑血管瘤除外。</w:t>
      </w:r>
    </w:p>
    <w:p>
      <w:pPr>
        <w:spacing w:after="0" w:line="319" w:lineRule="exact"/>
        <w:sectPr>
          <w:type w:val="continuous"/>
          <w:pgSz w:w="11910" w:h="16840"/>
          <w:pgMar w:header="0" w:footer="406" w:top="600" w:bottom="280" w:left="900" w:right="340"/>
          <w:cols w:num="2" w:equalWidth="0">
            <w:col w:w="2778" w:space="40"/>
            <w:col w:w="7852"/>
          </w:cols>
        </w:sectPr>
      </w:pPr>
    </w:p>
    <w:p>
      <w:pPr>
        <w:pStyle w:val="BodyText"/>
        <w:spacing w:before="11"/>
        <w:rPr>
          <w:rFonts w:ascii="微软雅黑"/>
          <w:b/>
          <w:sz w:val="12"/>
        </w:rPr>
      </w:pPr>
    </w:p>
    <w:p>
      <w:pPr>
        <w:pStyle w:val="ListParagraph"/>
        <w:numPr>
          <w:ilvl w:val="1"/>
          <w:numId w:val="2"/>
        </w:numPr>
        <w:tabs>
          <w:tab w:pos="1399" w:val="left" w:leader="none"/>
          <w:tab w:pos="2960" w:val="left" w:leader="none"/>
        </w:tabs>
        <w:spacing w:line="201" w:lineRule="auto" w:before="105" w:after="0"/>
        <w:ind w:left="2960" w:right="669" w:hanging="1880"/>
        <w:jc w:val="left"/>
        <w:rPr>
          <w:rFonts w:ascii="微软雅黑" w:hAnsi="微软雅黑" w:eastAsia="微软雅黑"/>
          <w:b/>
          <w:sz w:val="21"/>
        </w:rPr>
      </w:pPr>
      <w:r>
        <w:rPr>
          <w:spacing w:val="-2"/>
          <w:sz w:val="21"/>
        </w:rPr>
        <w:t>微创颅脑手术</w:t>
      </w:r>
      <w:r>
        <w:rPr>
          <w:sz w:val="21"/>
        </w:rPr>
        <w:tab/>
      </w:r>
      <w:r>
        <w:rPr>
          <w:spacing w:val="-2"/>
          <w:sz w:val="21"/>
        </w:rPr>
        <w:t>因</w:t>
      </w:r>
      <w:r>
        <w:rPr>
          <w:spacing w:val="-2"/>
          <w:sz w:val="21"/>
        </w:rPr>
        <w:t>疾</w:t>
      </w:r>
      <w:r>
        <w:rPr>
          <w:spacing w:val="-2"/>
          <w:sz w:val="21"/>
        </w:rPr>
        <w:t>病被保险人确已实施</w:t>
      </w:r>
      <w:r>
        <w:rPr>
          <w:spacing w:val="-2"/>
          <w:sz w:val="21"/>
        </w:rPr>
        <w:t>全</w:t>
      </w:r>
      <w:r>
        <w:rPr>
          <w:spacing w:val="-2"/>
          <w:sz w:val="21"/>
        </w:rPr>
        <w:t>麻</w:t>
      </w:r>
      <w:r>
        <w:rPr>
          <w:spacing w:val="-2"/>
          <w:sz w:val="21"/>
        </w:rPr>
        <w:t>下的颅骨钻孔手术或</w:t>
      </w:r>
      <w:r>
        <w:rPr>
          <w:spacing w:val="-2"/>
          <w:sz w:val="21"/>
        </w:rPr>
        <w:t>者</w:t>
      </w:r>
      <w:r>
        <w:rPr>
          <w:spacing w:val="-2"/>
          <w:sz w:val="21"/>
        </w:rPr>
        <w:t>经</w:t>
      </w:r>
      <w:r>
        <w:rPr>
          <w:spacing w:val="-2"/>
          <w:sz w:val="21"/>
        </w:rPr>
        <w:t>鼻蝶窦入颅手术。</w:t>
      </w:r>
      <w:r>
        <w:rPr>
          <w:spacing w:val="105"/>
          <w:w w:val="150"/>
          <w:sz w:val="21"/>
        </w:rPr>
        <w:t> </w:t>
      </w:r>
      <w:r>
        <w:rPr>
          <w:rFonts w:ascii="微软雅黑" w:hAnsi="微软雅黑" w:eastAsia="微软雅黑"/>
          <w:b/>
          <w:spacing w:val="-2"/>
          <w:sz w:val="21"/>
        </w:rPr>
        <w:t>因</w:t>
      </w:r>
      <w:r>
        <w:rPr>
          <w:rFonts w:ascii="微软雅黑" w:hAnsi="微软雅黑" w:eastAsia="微软雅黑"/>
          <w:b/>
          <w:spacing w:val="-2"/>
          <w:sz w:val="21"/>
        </w:rPr>
        <w:t>外</w:t>
      </w:r>
      <w:r>
        <w:rPr>
          <w:rFonts w:ascii="微软雅黑" w:hAnsi="微软雅黑" w:eastAsia="微软雅黑"/>
          <w:b/>
          <w:spacing w:val="-2"/>
          <w:sz w:val="21"/>
        </w:rPr>
        <w:t>伤</w:t>
      </w:r>
      <w:r>
        <w:rPr>
          <w:rFonts w:ascii="微软雅黑" w:hAnsi="微软雅黑" w:eastAsia="微软雅黑"/>
          <w:b/>
          <w:spacing w:val="-2"/>
          <w:sz w:val="21"/>
        </w:rPr>
        <w:t>而</w:t>
      </w:r>
      <w:r>
        <w:rPr>
          <w:rFonts w:ascii="微软雅黑" w:hAnsi="微软雅黑" w:eastAsia="微软雅黑"/>
          <w:b/>
          <w:spacing w:val="-2"/>
          <w:sz w:val="21"/>
        </w:rPr>
        <w:t>实</w:t>
      </w:r>
      <w:r>
        <w:rPr>
          <w:rFonts w:ascii="微软雅黑" w:hAnsi="微软雅黑" w:eastAsia="微软雅黑"/>
          <w:b/>
          <w:spacing w:val="-2"/>
          <w:sz w:val="21"/>
        </w:rPr>
        <w:t>施</w:t>
      </w:r>
      <w:r>
        <w:rPr>
          <w:rFonts w:ascii="微软雅黑" w:hAnsi="微软雅黑" w:eastAsia="微软雅黑"/>
          <w:b/>
          <w:spacing w:val="-2"/>
          <w:sz w:val="21"/>
        </w:rPr>
        <w:t>的</w:t>
      </w:r>
      <w:r>
        <w:rPr>
          <w:rFonts w:ascii="微软雅黑" w:hAnsi="微软雅黑" w:eastAsia="微软雅黑"/>
          <w:b/>
          <w:spacing w:val="-2"/>
          <w:sz w:val="21"/>
        </w:rPr>
        <w:t>脑</w:t>
      </w:r>
      <w:r>
        <w:rPr>
          <w:rFonts w:ascii="微软雅黑" w:hAnsi="微软雅黑" w:eastAsia="微软雅黑"/>
          <w:b/>
          <w:spacing w:val="-2"/>
          <w:sz w:val="21"/>
        </w:rPr>
        <w:t>外科手</w:t>
      </w:r>
      <w:r>
        <w:rPr>
          <w:rFonts w:ascii="微软雅黑" w:hAnsi="微软雅黑" w:eastAsia="微软雅黑"/>
          <w:b/>
          <w:spacing w:val="-2"/>
          <w:sz w:val="21"/>
        </w:rPr>
        <w:t>术</w:t>
      </w:r>
      <w:r>
        <w:rPr>
          <w:rFonts w:ascii="微软雅黑" w:hAnsi="微软雅黑" w:eastAsia="微软雅黑"/>
          <w:b/>
          <w:spacing w:val="-2"/>
          <w:sz w:val="21"/>
        </w:rPr>
        <w:t>，</w:t>
      </w:r>
      <w:r>
        <w:rPr>
          <w:rFonts w:ascii="微软雅黑" w:hAnsi="微软雅黑" w:eastAsia="微软雅黑"/>
          <w:b/>
          <w:spacing w:val="-2"/>
          <w:sz w:val="21"/>
        </w:rPr>
        <w:t>或</w:t>
      </w:r>
      <w:r>
        <w:rPr>
          <w:rFonts w:ascii="微软雅黑" w:hAnsi="微软雅黑" w:eastAsia="微软雅黑"/>
          <w:b/>
          <w:spacing w:val="-2"/>
          <w:sz w:val="21"/>
        </w:rPr>
        <w:t>因</w:t>
      </w:r>
      <w:r>
        <w:rPr>
          <w:rFonts w:ascii="微软雅黑" w:hAnsi="微软雅黑" w:eastAsia="微软雅黑"/>
          <w:b/>
          <w:spacing w:val="-2"/>
          <w:sz w:val="21"/>
        </w:rPr>
        <w:t>治疗“脑垂体瘤、脑囊肿、脑动脉瘤及脑</w:t>
      </w:r>
      <w:r>
        <w:rPr>
          <w:rFonts w:ascii="微软雅黑" w:hAnsi="微软雅黑" w:eastAsia="微软雅黑"/>
          <w:b/>
          <w:spacing w:val="-2"/>
          <w:sz w:val="21"/>
        </w:rPr>
        <w:t>血</w:t>
      </w:r>
      <w:r>
        <w:rPr>
          <w:rFonts w:ascii="微软雅黑" w:hAnsi="微软雅黑" w:eastAsia="微软雅黑"/>
          <w:b/>
          <w:spacing w:val="-2"/>
          <w:sz w:val="21"/>
        </w:rPr>
        <w:t>管</w:t>
      </w:r>
      <w:r>
        <w:rPr>
          <w:rFonts w:ascii="微软雅黑" w:hAnsi="微软雅黑" w:eastAsia="微软雅黑"/>
          <w:b/>
          <w:spacing w:val="-2"/>
          <w:sz w:val="21"/>
        </w:rPr>
        <w:t>瘤</w:t>
      </w:r>
      <w:r>
        <w:rPr>
          <w:rFonts w:ascii="微软雅黑" w:hAnsi="微软雅黑" w:eastAsia="微软雅黑"/>
          <w:b/>
          <w:spacing w:val="-2"/>
          <w:sz w:val="21"/>
        </w:rPr>
        <w:t>”</w:t>
      </w:r>
      <w:r>
        <w:rPr>
          <w:rFonts w:ascii="微软雅黑" w:hAnsi="微软雅黑" w:eastAsia="微软雅黑"/>
          <w:b/>
          <w:spacing w:val="-2"/>
          <w:sz w:val="21"/>
        </w:rPr>
        <w:t>、</w:t>
      </w:r>
      <w:r>
        <w:rPr>
          <w:rFonts w:ascii="微软雅黑" w:hAnsi="微软雅黑" w:eastAsia="微软雅黑"/>
          <w:b/>
          <w:spacing w:val="-2"/>
          <w:sz w:val="21"/>
        </w:rPr>
        <w:t>“</w:t>
      </w:r>
      <w:r>
        <w:rPr>
          <w:rFonts w:ascii="微软雅黑" w:hAnsi="微软雅黑" w:eastAsia="微软雅黑"/>
          <w:b/>
          <w:spacing w:val="-2"/>
          <w:sz w:val="21"/>
        </w:rPr>
        <w:t>无</w:t>
      </w:r>
      <w:r>
        <w:rPr>
          <w:rFonts w:ascii="微软雅黑" w:hAnsi="微软雅黑" w:eastAsia="微软雅黑"/>
          <w:b/>
          <w:spacing w:val="-2"/>
          <w:sz w:val="21"/>
        </w:rPr>
        <w:t>颅</w:t>
      </w:r>
      <w:r>
        <w:rPr>
          <w:rFonts w:ascii="微软雅黑" w:hAnsi="微软雅黑" w:eastAsia="微软雅黑"/>
          <w:b/>
          <w:spacing w:val="-2"/>
          <w:sz w:val="21"/>
        </w:rPr>
        <w:t>内压增</w:t>
      </w:r>
      <w:r>
        <w:rPr>
          <w:rFonts w:ascii="微软雅黑" w:hAnsi="微软雅黑" w:eastAsia="微软雅黑"/>
          <w:b/>
          <w:spacing w:val="-2"/>
          <w:sz w:val="21"/>
        </w:rPr>
        <w:t>高</w:t>
      </w:r>
      <w:r>
        <w:rPr>
          <w:rFonts w:ascii="微软雅黑" w:hAnsi="微软雅黑" w:eastAsia="微软雅黑"/>
          <w:b/>
          <w:spacing w:val="-2"/>
          <w:sz w:val="21"/>
        </w:rPr>
        <w:t>的</w:t>
      </w:r>
      <w:r>
        <w:rPr>
          <w:rFonts w:ascii="微软雅黑" w:hAnsi="微软雅黑" w:eastAsia="微软雅黑"/>
          <w:b/>
          <w:spacing w:val="-2"/>
          <w:sz w:val="21"/>
        </w:rPr>
        <w:t>微</w:t>
      </w:r>
      <w:r>
        <w:rPr>
          <w:rFonts w:ascii="微软雅黑" w:hAnsi="微软雅黑" w:eastAsia="微软雅黑"/>
          <w:b/>
          <w:spacing w:val="-2"/>
          <w:sz w:val="21"/>
        </w:rPr>
        <w:t>小</w:t>
      </w:r>
      <w:r>
        <w:rPr>
          <w:rFonts w:ascii="微软雅黑" w:hAnsi="微软雅黑" w:eastAsia="微软雅黑"/>
          <w:b/>
          <w:spacing w:val="-2"/>
          <w:sz w:val="21"/>
        </w:rPr>
        <w:t>良</w:t>
      </w:r>
      <w:r>
        <w:rPr>
          <w:rFonts w:ascii="微软雅黑" w:hAnsi="微软雅黑" w:eastAsia="微软雅黑"/>
          <w:b/>
          <w:spacing w:val="-2"/>
          <w:sz w:val="21"/>
        </w:rPr>
        <w:t>性</w:t>
      </w:r>
      <w:r>
        <w:rPr>
          <w:rFonts w:ascii="微软雅黑" w:hAnsi="微软雅黑" w:eastAsia="微软雅黑"/>
          <w:b/>
          <w:spacing w:val="-2"/>
          <w:sz w:val="21"/>
        </w:rPr>
        <w:t>脑</w:t>
      </w:r>
      <w:r>
        <w:rPr>
          <w:rFonts w:ascii="微软雅黑" w:hAnsi="微软雅黑" w:eastAsia="微软雅黑"/>
          <w:b/>
          <w:spacing w:val="-2"/>
          <w:sz w:val="21"/>
        </w:rPr>
        <w:t>肿</w:t>
      </w:r>
      <w:r>
        <w:rPr>
          <w:rFonts w:ascii="微软雅黑" w:hAnsi="微软雅黑" w:eastAsia="微软雅黑"/>
          <w:b/>
          <w:spacing w:val="-2"/>
          <w:sz w:val="21"/>
        </w:rPr>
        <w:t>瘤”导</w:t>
      </w:r>
      <w:r>
        <w:rPr>
          <w:rFonts w:ascii="微软雅黑" w:hAnsi="微软雅黑" w:eastAsia="微软雅黑"/>
          <w:b/>
          <w:spacing w:val="-2"/>
          <w:sz w:val="21"/>
        </w:rPr>
        <w:t>致</w:t>
      </w:r>
      <w:r>
        <w:rPr>
          <w:rFonts w:ascii="微软雅黑" w:hAnsi="微软雅黑" w:eastAsia="微软雅黑"/>
          <w:b/>
          <w:spacing w:val="-2"/>
          <w:sz w:val="21"/>
        </w:rPr>
        <w:t>的</w:t>
      </w:r>
      <w:r>
        <w:rPr>
          <w:rFonts w:ascii="微软雅黑" w:hAnsi="微软雅黑" w:eastAsia="微软雅黑"/>
          <w:b/>
          <w:spacing w:val="-2"/>
          <w:sz w:val="21"/>
        </w:rPr>
        <w:t>微</w:t>
      </w:r>
      <w:r>
        <w:rPr>
          <w:rFonts w:ascii="微软雅黑" w:hAnsi="微软雅黑" w:eastAsia="微软雅黑"/>
          <w:b/>
          <w:spacing w:val="-2"/>
          <w:sz w:val="21"/>
        </w:rPr>
        <w:t>创</w:t>
      </w:r>
      <w:r>
        <w:rPr>
          <w:rFonts w:ascii="微软雅黑" w:hAnsi="微软雅黑" w:eastAsia="微软雅黑"/>
          <w:b/>
          <w:spacing w:val="-2"/>
          <w:sz w:val="21"/>
        </w:rPr>
        <w:t>颅</w:t>
      </w:r>
      <w:r>
        <w:rPr>
          <w:rFonts w:ascii="微软雅黑" w:hAnsi="微软雅黑" w:eastAsia="微软雅黑"/>
          <w:b/>
          <w:spacing w:val="-2"/>
          <w:sz w:val="21"/>
        </w:rPr>
        <w:t>脑</w:t>
      </w:r>
      <w:r>
        <w:rPr>
          <w:rFonts w:ascii="微软雅黑" w:hAnsi="微软雅黑" w:eastAsia="微软雅黑"/>
          <w:b/>
          <w:spacing w:val="-2"/>
          <w:sz w:val="21"/>
        </w:rPr>
        <w:t>手</w:t>
      </w:r>
      <w:r>
        <w:rPr>
          <w:rFonts w:ascii="微软雅黑" w:hAnsi="微软雅黑" w:eastAsia="微软雅黑"/>
          <w:b/>
          <w:spacing w:val="-2"/>
          <w:sz w:val="21"/>
        </w:rPr>
        <w:t>术不在保</w:t>
      </w:r>
      <w:r>
        <w:rPr>
          <w:rFonts w:ascii="微软雅黑" w:hAnsi="微软雅黑" w:eastAsia="微软雅黑"/>
          <w:b/>
          <w:spacing w:val="-2"/>
          <w:sz w:val="21"/>
        </w:rPr>
        <w:t>障</w:t>
      </w:r>
      <w:r>
        <w:rPr>
          <w:rFonts w:ascii="微软雅黑" w:hAnsi="微软雅黑" w:eastAsia="微软雅黑"/>
          <w:b/>
          <w:spacing w:val="-2"/>
          <w:sz w:val="21"/>
        </w:rPr>
        <w:t>范</w:t>
      </w:r>
      <w:r>
        <w:rPr>
          <w:rFonts w:ascii="微软雅黑" w:hAnsi="微软雅黑" w:eastAsia="微软雅黑"/>
          <w:b/>
          <w:spacing w:val="-2"/>
          <w:sz w:val="21"/>
        </w:rPr>
        <w:t>围</w:t>
      </w:r>
      <w:r>
        <w:rPr>
          <w:rFonts w:ascii="微软雅黑" w:hAnsi="微软雅黑" w:eastAsia="微软雅黑"/>
          <w:b/>
          <w:spacing w:val="-2"/>
          <w:sz w:val="21"/>
        </w:rPr>
        <w:t>内</w:t>
      </w:r>
      <w:r>
        <w:rPr>
          <w:rFonts w:ascii="微软雅黑" w:hAnsi="微软雅黑" w:eastAsia="微软雅黑"/>
          <w:b/>
          <w:spacing w:val="-2"/>
          <w:sz w:val="21"/>
        </w:rPr>
        <w:t>。</w:t>
      </w:r>
    </w:p>
    <w:p>
      <w:pPr>
        <w:pStyle w:val="Heading2"/>
        <w:spacing w:line="194" w:lineRule="auto"/>
        <w:ind w:right="675"/>
      </w:pPr>
      <w:r>
        <w:rPr>
          <w:spacing w:val="-2"/>
        </w:rPr>
        <w:t>本公司对该种轻症疾病理赔后，不再对“植入大脑内分流器”承担给付轻症</w:t>
      </w:r>
      <w:r>
        <w:rPr>
          <w:spacing w:val="-2"/>
        </w:rPr>
        <w:t>疾病保险金的责任。</w:t>
      </w:r>
    </w:p>
    <w:p>
      <w:pPr>
        <w:pStyle w:val="BodyText"/>
        <w:spacing w:before="1"/>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植入大脑内分</w:t>
      </w:r>
      <w:r>
        <w:rPr>
          <w:spacing w:val="-6"/>
          <w:sz w:val="21"/>
        </w:rPr>
        <w:t>流器</w:t>
      </w:r>
    </w:p>
    <w:p>
      <w:pPr>
        <w:pStyle w:val="BodyText"/>
        <w:spacing w:line="278" w:lineRule="auto" w:before="72"/>
        <w:ind w:left="175" w:right="667"/>
        <w:jc w:val="both"/>
      </w:pPr>
      <w:r>
        <w:rPr/>
        <w:br w:type="column"/>
      </w:r>
      <w:r>
        <w:rPr>
          <w:spacing w:val="-2"/>
        </w:rPr>
        <w:t>为缓解已升高的脑脊液压力而确实已在脑室进行分流器植入手术。诊断及治</w:t>
      </w:r>
      <w:r>
        <w:rPr>
          <w:spacing w:val="-2"/>
        </w:rPr>
        <w:t>疗均须在本公司认可的医疗机构内由脑神经科专科医生认为是医疗必需的情</w:t>
      </w:r>
      <w:r>
        <w:rPr>
          <w:spacing w:val="-2"/>
        </w:rPr>
        <w:t>况下进行。</w:t>
      </w:r>
    </w:p>
    <w:p>
      <w:pPr>
        <w:spacing w:line="320" w:lineRule="exact" w:before="0"/>
        <w:ind w:left="175" w:right="0" w:firstLine="0"/>
        <w:jc w:val="left"/>
        <w:rPr>
          <w:rFonts w:ascii="微软雅黑" w:hAnsi="微软雅黑" w:eastAsia="微软雅黑"/>
          <w:b/>
          <w:sz w:val="21"/>
        </w:rPr>
      </w:pPr>
      <w:r>
        <w:rPr>
          <w:rFonts w:ascii="微软雅黑" w:hAnsi="微软雅黑" w:eastAsia="微软雅黑"/>
          <w:b/>
          <w:spacing w:val="-1"/>
          <w:sz w:val="21"/>
        </w:rPr>
        <w:t>因治疗“脑垂体瘤、脑囊肿、脑动脉瘤及脑血管瘤”、“无颅内压增高的微</w:t>
      </w:r>
    </w:p>
    <w:p>
      <w:pPr>
        <w:spacing w:after="0" w:line="320" w:lineRule="exact"/>
        <w:jc w:val="left"/>
        <w:rPr>
          <w:rFonts w:ascii="微软雅黑" w:hAnsi="微软雅黑" w:eastAsia="微软雅黑"/>
          <w:sz w:val="21"/>
        </w:rPr>
        <w:sectPr>
          <w:type w:val="continuous"/>
          <w:pgSz w:w="11910" w:h="16840"/>
          <w:pgMar w:header="0" w:footer="406" w:top="600" w:bottom="280" w:left="900" w:right="340"/>
          <w:cols w:num="2" w:equalWidth="0">
            <w:col w:w="2745" w:space="40"/>
            <w:col w:w="7885"/>
          </w:cols>
        </w:sectPr>
      </w:pPr>
    </w:p>
    <w:p>
      <w:pPr>
        <w:spacing w:line="340" w:lineRule="exact" w:before="0"/>
        <w:ind w:left="2960" w:right="0" w:firstLine="0"/>
        <w:jc w:val="left"/>
        <w:rPr>
          <w:rFonts w:ascii="微软雅黑" w:hAnsi="微软雅黑" w:eastAsia="微软雅黑"/>
          <w:b/>
          <w:sz w:val="21"/>
        </w:rPr>
      </w:pPr>
      <w:r>
        <w:rPr>
          <w:rFonts w:ascii="微软雅黑" w:hAnsi="微软雅黑" w:eastAsia="微软雅黑"/>
          <w:b/>
          <w:spacing w:val="-3"/>
          <w:sz w:val="21"/>
        </w:rPr>
        <w:t>小良性脑肿瘤”导致的植入大脑内分流器不在保障范围内。</w:t>
      </w:r>
    </w:p>
    <w:p>
      <w:pPr>
        <w:spacing w:line="194" w:lineRule="auto" w:before="15"/>
        <w:ind w:left="2960" w:right="667"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本公司对该种轻症疾病理赔后，不再对“微创颅脑手术”承担给付轻症疾病</w:t>
      </w:r>
      <w:r>
        <w:rPr>
          <w:rFonts w:ascii="微软雅黑" w:hAnsi="微软雅黑" w:eastAsia="微软雅黑"/>
          <w:b/>
          <w:spacing w:val="-2"/>
          <w:sz w:val="21"/>
        </w:rPr>
        <w:t>保险金的责任。</w:t>
      </w:r>
    </w:p>
    <w:p>
      <w:pPr>
        <w:pStyle w:val="BodyText"/>
        <w:spacing w:before="4"/>
        <w:rPr>
          <w:rFonts w:ascii="微软雅黑"/>
          <w:b/>
          <w:sz w:val="14"/>
        </w:rPr>
      </w:pPr>
    </w:p>
    <w:p>
      <w:pPr>
        <w:pStyle w:val="ListParagraph"/>
        <w:numPr>
          <w:ilvl w:val="1"/>
          <w:numId w:val="2"/>
        </w:numPr>
        <w:tabs>
          <w:tab w:pos="1399" w:val="left" w:leader="none"/>
          <w:tab w:pos="2960" w:val="left" w:leader="none"/>
        </w:tabs>
        <w:spacing w:line="235" w:lineRule="auto" w:before="0" w:after="0"/>
        <w:ind w:left="2960" w:right="668" w:hanging="1880"/>
        <w:jc w:val="left"/>
        <w:rPr>
          <w:sz w:val="21"/>
        </w:rPr>
      </w:pPr>
      <w:r>
        <w:rPr>
          <w:spacing w:val="-4"/>
          <w:sz w:val="21"/>
        </w:rPr>
        <w:t>单眼失明</w:t>
      </w:r>
      <w:r>
        <w:rPr>
          <w:sz w:val="21"/>
        </w:rPr>
        <w:tab/>
      </w:r>
      <w:r>
        <w:rPr>
          <w:spacing w:val="-2"/>
          <w:sz w:val="21"/>
        </w:rPr>
        <w:t>指</w:t>
      </w:r>
      <w:r>
        <w:rPr>
          <w:spacing w:val="-2"/>
          <w:sz w:val="21"/>
        </w:rPr>
        <w:t>因</w:t>
      </w:r>
      <w:r>
        <w:rPr>
          <w:spacing w:val="-2"/>
          <w:sz w:val="21"/>
        </w:rPr>
        <w:t>疾病或意外伤害导致</w:t>
      </w:r>
      <w:r>
        <w:rPr>
          <w:spacing w:val="-2"/>
          <w:sz w:val="21"/>
        </w:rPr>
        <w:t>单</w:t>
      </w:r>
      <w:r>
        <w:rPr>
          <w:spacing w:val="-2"/>
          <w:sz w:val="21"/>
        </w:rPr>
        <w:t>眼</w:t>
      </w:r>
      <w:r>
        <w:rPr>
          <w:spacing w:val="-2"/>
          <w:sz w:val="21"/>
        </w:rPr>
        <w:t>视力</w:t>
      </w:r>
      <w:r>
        <w:rPr>
          <w:rFonts w:ascii="微软雅黑" w:eastAsia="微软雅黑"/>
          <w:b/>
          <w:spacing w:val="-2"/>
          <w:sz w:val="21"/>
        </w:rPr>
        <w:t>永</w:t>
      </w:r>
      <w:r>
        <w:rPr>
          <w:rFonts w:ascii="微软雅黑" w:eastAsia="微软雅黑"/>
          <w:b/>
          <w:spacing w:val="-2"/>
          <w:sz w:val="21"/>
        </w:rPr>
        <w:t>久</w:t>
      </w:r>
      <w:r>
        <w:rPr>
          <w:rFonts w:ascii="微软雅黑" w:eastAsia="微软雅黑"/>
          <w:b/>
          <w:spacing w:val="-2"/>
          <w:sz w:val="21"/>
        </w:rPr>
        <w:t>不</w:t>
      </w:r>
      <w:r>
        <w:rPr>
          <w:rFonts w:ascii="微软雅黑" w:eastAsia="微软雅黑"/>
          <w:b/>
          <w:spacing w:val="-2"/>
          <w:sz w:val="21"/>
        </w:rPr>
        <w:t>可</w:t>
      </w:r>
      <w:r>
        <w:rPr>
          <w:rFonts w:ascii="微软雅黑" w:eastAsia="微软雅黑"/>
          <w:b/>
          <w:spacing w:val="-2"/>
          <w:sz w:val="21"/>
        </w:rPr>
        <w:t>逆</w:t>
      </w:r>
      <w:r>
        <w:rPr>
          <w:rFonts w:ascii="微软雅黑" w:eastAsia="微软雅黑"/>
          <w:b/>
          <w:spacing w:val="-8"/>
          <w:sz w:val="21"/>
        </w:rPr>
        <w:t> </w:t>
      </w:r>
      <w:r>
        <w:rPr>
          <w:spacing w:val="-2"/>
          <w:position w:val="11"/>
          <w:sz w:val="11"/>
        </w:rPr>
        <w:t>11.28</w:t>
      </w:r>
      <w:r>
        <w:rPr>
          <w:spacing w:val="-30"/>
          <w:position w:val="11"/>
          <w:sz w:val="11"/>
        </w:rPr>
        <w:t> </w:t>
      </w:r>
      <w:r>
        <w:rPr>
          <w:spacing w:val="-2"/>
          <w:sz w:val="21"/>
        </w:rPr>
        <w:t>性</w:t>
      </w:r>
      <w:r>
        <w:rPr>
          <w:spacing w:val="-2"/>
          <w:sz w:val="21"/>
        </w:rPr>
        <w:t>丧</w:t>
      </w:r>
      <w:r>
        <w:rPr>
          <w:spacing w:val="-2"/>
          <w:sz w:val="21"/>
        </w:rPr>
        <w:t>失，须满足下列至少一</w:t>
      </w:r>
      <w:r>
        <w:rPr>
          <w:spacing w:val="-4"/>
          <w:sz w:val="21"/>
        </w:rPr>
        <w:t>项</w:t>
      </w:r>
      <w:r>
        <w:rPr>
          <w:spacing w:val="-4"/>
          <w:sz w:val="21"/>
        </w:rPr>
        <w:t>条</w:t>
      </w:r>
      <w:r>
        <w:rPr>
          <w:spacing w:val="-4"/>
          <w:sz w:val="21"/>
        </w:rPr>
        <w:t>件：</w:t>
      </w:r>
    </w:p>
    <w:p>
      <w:pPr>
        <w:pStyle w:val="ListParagraph"/>
        <w:numPr>
          <w:ilvl w:val="2"/>
          <w:numId w:val="2"/>
        </w:numPr>
        <w:tabs>
          <w:tab w:pos="3490" w:val="left" w:leader="none"/>
        </w:tabs>
        <w:spacing w:line="240" w:lineRule="auto" w:before="43" w:after="0"/>
        <w:ind w:left="3489" w:right="0" w:hanging="530"/>
        <w:jc w:val="left"/>
        <w:rPr>
          <w:sz w:val="21"/>
        </w:rPr>
      </w:pPr>
      <w:r>
        <w:rPr>
          <w:spacing w:val="-4"/>
          <w:sz w:val="21"/>
        </w:rPr>
        <w:t>眼球缺失或摘除；</w:t>
      </w:r>
    </w:p>
    <w:p>
      <w:pPr>
        <w:pStyle w:val="ListParagraph"/>
        <w:numPr>
          <w:ilvl w:val="2"/>
          <w:numId w:val="2"/>
        </w:numPr>
        <w:tabs>
          <w:tab w:pos="3490" w:val="left" w:leader="none"/>
        </w:tabs>
        <w:spacing w:line="278" w:lineRule="auto" w:before="42" w:after="0"/>
        <w:ind w:left="3485"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2"/>
          <w:numId w:val="2"/>
        </w:numPr>
        <w:tabs>
          <w:tab w:pos="3490" w:val="left" w:leader="none"/>
        </w:tabs>
        <w:spacing w:line="257" w:lineRule="exact" w:before="0" w:after="0"/>
        <w:ind w:left="3489" w:right="0" w:hanging="530"/>
        <w:jc w:val="left"/>
        <w:rPr>
          <w:sz w:val="21"/>
        </w:rPr>
      </w:pPr>
      <w:r>
        <w:rPr>
          <w:spacing w:val="-10"/>
          <w:sz w:val="21"/>
        </w:rPr>
        <w:t>视野半径小于 </w:t>
      </w:r>
      <w:r>
        <w:rPr>
          <w:spacing w:val="-2"/>
          <w:sz w:val="21"/>
        </w:rPr>
        <w:t>5</w:t>
      </w:r>
      <w:r>
        <w:rPr>
          <w:spacing w:val="-21"/>
          <w:sz w:val="21"/>
        </w:rPr>
        <w:t> 度。</w:t>
      </w:r>
    </w:p>
    <w:p>
      <w:pPr>
        <w:pStyle w:val="Heading2"/>
        <w:spacing w:line="194" w:lineRule="auto" w:before="41"/>
        <w:ind w:right="668"/>
      </w:pPr>
      <w:r>
        <w:rPr/>
        <w:t>除眼球缺失或摘除情形外，申请理赔时，被保险人年龄必须在 3 周岁以上，</w:t>
      </w:r>
      <w:r>
        <w:rPr>
          <w:spacing w:val="-2"/>
        </w:rPr>
        <w:t>并且须提供理赔当时的视力丧失诊断及检查证据。</w:t>
      </w:r>
    </w:p>
    <w:p>
      <w:pPr>
        <w:spacing w:line="194" w:lineRule="auto" w:before="0"/>
        <w:ind w:left="2960" w:right="667"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本公司对该种轻症疾病理赔后，不再对“轻度视力受损”、“角膜移植”承</w:t>
      </w:r>
      <w:r>
        <w:rPr>
          <w:rFonts w:ascii="微软雅黑" w:hAnsi="微软雅黑" w:eastAsia="微软雅黑"/>
          <w:b/>
          <w:spacing w:val="-2"/>
          <w:sz w:val="21"/>
        </w:rPr>
        <w:t>担给付轻症疾病保险金的责任。</w:t>
      </w:r>
    </w:p>
    <w:p>
      <w:pPr>
        <w:pStyle w:val="BodyText"/>
        <w:spacing w:before="12"/>
        <w:rPr>
          <w:rFonts w:ascii="微软雅黑"/>
          <w:b/>
          <w:sz w:val="13"/>
        </w:rPr>
      </w:pPr>
    </w:p>
    <w:p>
      <w:pPr>
        <w:pStyle w:val="ListParagraph"/>
        <w:numPr>
          <w:ilvl w:val="1"/>
          <w:numId w:val="2"/>
        </w:numPr>
        <w:tabs>
          <w:tab w:pos="1399" w:val="left" w:leader="none"/>
          <w:tab w:pos="2960" w:val="left" w:leader="none"/>
        </w:tabs>
        <w:spacing w:line="223" w:lineRule="auto" w:before="0" w:after="0"/>
        <w:ind w:left="2960" w:right="667" w:hanging="1880"/>
        <w:jc w:val="left"/>
        <w:rPr>
          <w:sz w:val="21"/>
        </w:rPr>
      </w:pPr>
      <w:r>
        <w:rPr>
          <w:spacing w:val="-2"/>
          <w:sz w:val="21"/>
        </w:rPr>
        <w:t>轻度视力受损</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目</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虽</w:t>
      </w:r>
      <w:r>
        <w:rPr>
          <w:spacing w:val="-2"/>
          <w:sz w:val="21"/>
        </w:rPr>
        <w:t>然</w:t>
      </w:r>
      <w:r>
        <w:rPr>
          <w:spacing w:val="-2"/>
          <w:sz w:val="21"/>
        </w:rPr>
        <w:t>未</w:t>
      </w:r>
      <w:r>
        <w:rPr>
          <w:spacing w:val="-2"/>
          <w:sz w:val="21"/>
        </w:rPr>
        <w:t>达</w:t>
      </w:r>
      <w:r>
        <w:rPr>
          <w:spacing w:val="-2"/>
          <w:sz w:val="21"/>
        </w:rPr>
        <w:t>到</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重大疾病“</w:t>
      </w:r>
      <w:r>
        <w:rPr>
          <w:rFonts w:ascii="微软雅黑" w:hAnsi="微软雅黑" w:eastAsia="微软雅黑"/>
          <w:b/>
          <w:spacing w:val="-2"/>
          <w:sz w:val="21"/>
        </w:rPr>
        <w:t>双</w:t>
      </w:r>
      <w:r>
        <w:rPr>
          <w:rFonts w:ascii="微软雅黑" w:hAnsi="微软雅黑" w:eastAsia="微软雅黑"/>
          <w:b/>
          <w:spacing w:val="-2"/>
          <w:sz w:val="21"/>
        </w:rPr>
        <w:t>目</w:t>
      </w:r>
      <w:r>
        <w:rPr>
          <w:rFonts w:ascii="微软雅黑" w:hAnsi="微软雅黑" w:eastAsia="微软雅黑"/>
          <w:b/>
          <w:spacing w:val="-2"/>
          <w:sz w:val="21"/>
        </w:rPr>
        <w:t>失</w:t>
      </w:r>
      <w:r>
        <w:rPr>
          <w:rFonts w:ascii="微软雅黑" w:hAnsi="微软雅黑" w:eastAsia="微软雅黑"/>
          <w:b/>
          <w:spacing w:val="-2"/>
          <w:sz w:val="21"/>
        </w:rPr>
        <w:t>明</w:t>
      </w:r>
      <w:r>
        <w:rPr>
          <w:spacing w:val="-2"/>
          <w:sz w:val="21"/>
        </w:rPr>
        <w:t>”</w:t>
      </w:r>
      <w:r>
        <w:rPr>
          <w:spacing w:val="-2"/>
          <w:sz w:val="21"/>
        </w:rPr>
        <w:t>的</w:t>
      </w:r>
      <w:r>
        <w:rPr>
          <w:spacing w:val="-2"/>
          <w:sz w:val="21"/>
        </w:rPr>
        <w:t>给付标准，但满足下</w:t>
      </w:r>
      <w:r>
        <w:rPr>
          <w:spacing w:val="-2"/>
          <w:sz w:val="21"/>
        </w:rPr>
        <w:t>列</w:t>
      </w:r>
      <w:r>
        <w:rPr>
          <w:spacing w:val="-2"/>
          <w:sz w:val="21"/>
        </w:rPr>
        <w:t>全</w:t>
      </w:r>
      <w:r>
        <w:rPr>
          <w:spacing w:val="-2"/>
          <w:sz w:val="21"/>
        </w:rPr>
        <w:t>部条件：</w:t>
      </w:r>
    </w:p>
    <w:p>
      <w:pPr>
        <w:pStyle w:val="ListParagraph"/>
        <w:numPr>
          <w:ilvl w:val="0"/>
          <w:numId w:val="22"/>
        </w:numPr>
        <w:tabs>
          <w:tab w:pos="3490" w:val="left" w:leader="none"/>
        </w:tabs>
        <w:spacing w:line="278" w:lineRule="auto" w:before="0" w:after="0"/>
        <w:ind w:left="3485" w:right="666" w:hanging="526"/>
        <w:jc w:val="left"/>
        <w:rPr>
          <w:sz w:val="21"/>
        </w:rPr>
      </w:pPr>
      <w:r>
        <w:rPr>
          <w:spacing w:val="-3"/>
          <w:sz w:val="21"/>
        </w:rPr>
        <w:t>双眼中较好眼矫正视力低于 </w:t>
      </w:r>
      <w:r>
        <w:rPr>
          <w:sz w:val="21"/>
        </w:rPr>
        <w:t>0.1（采用国际标准视力表，如果使用其他</w:t>
      </w:r>
      <w:r>
        <w:rPr>
          <w:spacing w:val="-2"/>
          <w:sz w:val="21"/>
        </w:rPr>
        <w:t>视力表应进行换算）；</w:t>
      </w:r>
    </w:p>
    <w:p>
      <w:pPr>
        <w:pStyle w:val="ListParagraph"/>
        <w:numPr>
          <w:ilvl w:val="0"/>
          <w:numId w:val="22"/>
        </w:numPr>
        <w:tabs>
          <w:tab w:pos="3490" w:val="left" w:leader="none"/>
        </w:tabs>
        <w:spacing w:line="257" w:lineRule="exact" w:before="0" w:after="0"/>
        <w:ind w:left="3489" w:right="0" w:hanging="530"/>
        <w:jc w:val="left"/>
        <w:rPr>
          <w:sz w:val="21"/>
        </w:rPr>
      </w:pPr>
      <w:r>
        <w:rPr>
          <w:spacing w:val="-6"/>
          <w:sz w:val="21"/>
        </w:rPr>
        <w:t>双眼中较好眼视野半径小于 </w:t>
      </w:r>
      <w:r>
        <w:rPr>
          <w:spacing w:val="-2"/>
          <w:sz w:val="21"/>
        </w:rPr>
        <w:t>20</w:t>
      </w:r>
      <w:r>
        <w:rPr>
          <w:spacing w:val="-21"/>
          <w:sz w:val="21"/>
        </w:rPr>
        <w:t> 度。</w:t>
      </w:r>
    </w:p>
    <w:p>
      <w:pPr>
        <w:pStyle w:val="Heading2"/>
        <w:spacing w:line="194" w:lineRule="auto" w:before="40"/>
        <w:ind w:right="669"/>
      </w:pPr>
      <w:r>
        <w:rPr/>
        <w:t>申请理赔时，被保险人年龄必须在 3 周岁以上，并且须提供理赔当时的视力</w:t>
      </w:r>
      <w:r>
        <w:rPr>
          <w:spacing w:val="-2"/>
        </w:rPr>
        <w:t>丧失诊断及检查证据。</w:t>
      </w:r>
    </w:p>
    <w:p>
      <w:pPr>
        <w:spacing w:line="194" w:lineRule="auto" w:before="0"/>
        <w:ind w:left="2960" w:right="667"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本公司对该种轻症疾病理赔后，不再对“单眼失明”、“角膜移植”承担给</w:t>
      </w:r>
      <w:r>
        <w:rPr>
          <w:rFonts w:ascii="微软雅黑" w:hAnsi="微软雅黑" w:eastAsia="微软雅黑"/>
          <w:b/>
          <w:spacing w:val="-2"/>
          <w:sz w:val="21"/>
        </w:rPr>
        <w:t>付轻症疾病保险金的责任。</w:t>
      </w:r>
    </w:p>
    <w:p>
      <w:pPr>
        <w:pStyle w:val="BodyText"/>
        <w:spacing w:before="15"/>
        <w:rPr>
          <w:rFonts w:ascii="微软雅黑"/>
          <w:b/>
          <w:sz w:val="12"/>
        </w:rPr>
      </w:pPr>
    </w:p>
    <w:p>
      <w:pPr>
        <w:pStyle w:val="ListParagraph"/>
        <w:numPr>
          <w:ilvl w:val="1"/>
          <w:numId w:val="2"/>
        </w:numPr>
        <w:tabs>
          <w:tab w:pos="1399" w:val="left" w:leader="none"/>
          <w:tab w:pos="2960" w:val="left" w:leader="none"/>
        </w:tabs>
        <w:spacing w:line="240" w:lineRule="auto" w:before="0" w:after="0"/>
        <w:ind w:left="1398" w:right="0" w:hanging="319"/>
        <w:jc w:val="left"/>
        <w:rPr>
          <w:sz w:val="21"/>
        </w:rPr>
      </w:pPr>
      <w:r>
        <w:rPr>
          <w:spacing w:val="-2"/>
          <w:sz w:val="21"/>
        </w:rPr>
        <w:t>角膜移</w:t>
      </w:r>
      <w:r>
        <w:rPr>
          <w:spacing w:val="-10"/>
          <w:sz w:val="21"/>
        </w:rPr>
        <w:t>植</w:t>
      </w:r>
      <w:r>
        <w:rPr>
          <w:sz w:val="21"/>
        </w:rPr>
        <w:tab/>
      </w:r>
      <w:r>
        <w:rPr>
          <w:spacing w:val="-2"/>
          <w:sz w:val="21"/>
        </w:rPr>
        <w:t>指</w:t>
      </w:r>
      <w:r>
        <w:rPr>
          <w:spacing w:val="-2"/>
          <w:sz w:val="21"/>
        </w:rPr>
        <w:t>为</w:t>
      </w:r>
      <w:r>
        <w:rPr>
          <w:spacing w:val="-2"/>
          <w:sz w:val="21"/>
        </w:rPr>
        <w:t>增进视力或治疗某些</w:t>
      </w:r>
      <w:r>
        <w:rPr>
          <w:spacing w:val="-2"/>
          <w:sz w:val="21"/>
        </w:rPr>
        <w:t>角</w:t>
      </w:r>
      <w:r>
        <w:rPr>
          <w:spacing w:val="-2"/>
          <w:sz w:val="21"/>
        </w:rPr>
        <w:t>膜</w:t>
      </w:r>
      <w:r>
        <w:rPr>
          <w:spacing w:val="-2"/>
          <w:sz w:val="21"/>
        </w:rPr>
        <w:t>疾患，已经实施了异</w:t>
      </w:r>
      <w:r>
        <w:rPr>
          <w:spacing w:val="-2"/>
          <w:sz w:val="21"/>
        </w:rPr>
        <w:t>体</w:t>
      </w:r>
      <w:r>
        <w:rPr>
          <w:spacing w:val="-2"/>
          <w:sz w:val="21"/>
        </w:rPr>
        <w:t>的</w:t>
      </w:r>
      <w:r>
        <w:rPr>
          <w:spacing w:val="-2"/>
          <w:sz w:val="21"/>
        </w:rPr>
        <w:t>角膜移植手</w:t>
      </w:r>
      <w:r>
        <w:rPr>
          <w:spacing w:val="-2"/>
          <w:sz w:val="21"/>
        </w:rPr>
        <w:t>术</w:t>
      </w:r>
      <w:r>
        <w:rPr>
          <w:spacing w:val="-10"/>
          <w:sz w:val="21"/>
        </w:rPr>
        <w:t>。</w:t>
      </w:r>
    </w:p>
    <w:p>
      <w:pPr>
        <w:pStyle w:val="BodyText"/>
        <w:spacing w:line="278" w:lineRule="auto" w:before="43"/>
        <w:ind w:left="2960" w:right="667"/>
      </w:pPr>
      <w:r>
        <w:rPr>
          <w:spacing w:val="-2"/>
        </w:rPr>
        <w:t>此手术必须在本公司认可的医疗机构内由专科医生认为是医疗必需的情况下</w:t>
      </w:r>
      <w:r>
        <w:rPr>
          <w:spacing w:val="-4"/>
        </w:rPr>
        <w:t>进行。</w:t>
      </w:r>
    </w:p>
    <w:p>
      <w:pPr>
        <w:pStyle w:val="Heading2"/>
        <w:spacing w:line="282" w:lineRule="exact"/>
      </w:pPr>
      <w:r>
        <w:rPr>
          <w:spacing w:val="-1"/>
        </w:rPr>
        <w:t>本公司对该种轻症疾病理赔后，不再对“单眼失明”、“轻度视力受损”承</w:t>
      </w:r>
    </w:p>
    <w:p>
      <w:pPr>
        <w:spacing w:line="350" w:lineRule="exact" w:before="0"/>
        <w:ind w:left="2960" w:right="0" w:firstLine="0"/>
        <w:jc w:val="left"/>
        <w:rPr>
          <w:rFonts w:ascii="微软雅黑" w:eastAsia="微软雅黑"/>
          <w:b/>
          <w:sz w:val="21"/>
        </w:rPr>
      </w:pPr>
      <w:r>
        <w:rPr>
          <w:rFonts w:ascii="微软雅黑" w:eastAsia="微软雅黑"/>
          <w:b/>
          <w:spacing w:val="-3"/>
          <w:sz w:val="21"/>
        </w:rPr>
        <w:t>担给付轻症疾病保险金的责任。</w:t>
      </w:r>
    </w:p>
    <w:p>
      <w:pPr>
        <w:pStyle w:val="BodyText"/>
        <w:spacing w:before="15"/>
        <w:rPr>
          <w:rFonts w:ascii="微软雅黑"/>
          <w:b/>
          <w:sz w:val="11"/>
        </w:rPr>
      </w:pPr>
    </w:p>
    <w:p>
      <w:pPr>
        <w:pStyle w:val="ListParagraph"/>
        <w:numPr>
          <w:ilvl w:val="1"/>
          <w:numId w:val="2"/>
        </w:numPr>
        <w:tabs>
          <w:tab w:pos="1399" w:val="left" w:leader="none"/>
        </w:tabs>
        <w:spacing w:line="278" w:lineRule="auto" w:before="0" w:after="0"/>
        <w:ind w:left="2960" w:right="666" w:hanging="1880"/>
        <w:jc w:val="both"/>
        <w:rPr>
          <w:sz w:val="21"/>
        </w:rPr>
      </w:pPr>
      <w:r>
        <w:rPr>
          <w:spacing w:val="-1"/>
          <w:sz w:val="21"/>
        </w:rPr>
        <w:t>轻度听力受损 指因疾病或者意外伤害导致双耳听力永久不可逆性丧失，在 </w:t>
      </w:r>
      <w:r>
        <w:rPr>
          <w:sz w:val="21"/>
        </w:rPr>
        <w:t>500</w:t>
      </w:r>
      <w:r>
        <w:rPr>
          <w:spacing w:val="-3"/>
          <w:sz w:val="21"/>
        </w:rPr>
        <w:t> 赫兹、</w:t>
      </w:r>
      <w:r>
        <w:rPr>
          <w:sz w:val="21"/>
        </w:rPr>
        <w:t>1000</w:t>
      </w:r>
      <w:r>
        <w:rPr>
          <w:spacing w:val="-6"/>
          <w:sz w:val="21"/>
        </w:rPr>
        <w:t>赫兹和 </w:t>
      </w:r>
      <w:r>
        <w:rPr>
          <w:spacing w:val="-2"/>
          <w:sz w:val="21"/>
        </w:rPr>
        <w:t>2000</w:t>
      </w:r>
      <w:r>
        <w:rPr>
          <w:spacing w:val="-7"/>
          <w:sz w:val="21"/>
        </w:rPr>
        <w:t> 赫兹语音频率下，平均听阈大于 </w:t>
      </w:r>
      <w:r>
        <w:rPr>
          <w:spacing w:val="-2"/>
          <w:sz w:val="21"/>
        </w:rPr>
        <w:t>80</w:t>
      </w:r>
      <w:r>
        <w:rPr>
          <w:spacing w:val="-6"/>
          <w:sz w:val="21"/>
        </w:rPr>
        <w:t> 分贝，且经纯音听力测试、</w:t>
      </w:r>
      <w:r>
        <w:rPr>
          <w:spacing w:val="-2"/>
          <w:sz w:val="21"/>
        </w:rPr>
        <w:t>声道抗检测或听觉诱发电位检测等证实。</w:t>
      </w:r>
    </w:p>
    <w:p>
      <w:pPr>
        <w:spacing w:line="282" w:lineRule="exact" w:before="0"/>
        <w:ind w:left="2960" w:right="0" w:firstLine="0"/>
        <w:jc w:val="left"/>
        <w:rPr>
          <w:rFonts w:ascii="微软雅黑" w:eastAsia="微软雅黑"/>
          <w:b/>
          <w:sz w:val="21"/>
        </w:rPr>
      </w:pPr>
      <w:r>
        <w:rPr>
          <w:rFonts w:ascii="微软雅黑" w:eastAsia="微软雅黑"/>
          <w:b/>
          <w:sz w:val="21"/>
        </w:rPr>
        <w:t>申请理赔时，被保险人年龄必须在 3</w:t>
      </w:r>
      <w:r>
        <w:rPr>
          <w:rFonts w:ascii="微软雅黑" w:eastAsia="微软雅黑"/>
          <w:b/>
          <w:spacing w:val="-1"/>
          <w:sz w:val="21"/>
        </w:rPr>
        <w:t> 周岁以上，并且须提供理赔当时的听力</w:t>
      </w:r>
    </w:p>
    <w:p>
      <w:pPr>
        <w:spacing w:line="312" w:lineRule="exact" w:before="0"/>
        <w:ind w:left="2960" w:right="0" w:firstLine="0"/>
        <w:jc w:val="left"/>
        <w:rPr>
          <w:rFonts w:ascii="微软雅黑" w:eastAsia="微软雅黑"/>
          <w:b/>
          <w:sz w:val="21"/>
        </w:rPr>
      </w:pPr>
      <w:r>
        <w:rPr>
          <w:rFonts w:ascii="微软雅黑" w:eastAsia="微软雅黑"/>
          <w:b/>
          <w:spacing w:val="-3"/>
          <w:sz w:val="21"/>
        </w:rPr>
        <w:t>丧失诊断及检查证据。</w:t>
      </w:r>
    </w:p>
    <w:p>
      <w:pPr>
        <w:spacing w:line="194" w:lineRule="auto" w:before="15"/>
        <w:ind w:left="2960" w:right="667"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本公司对该种轻症疾病理赔后，不再对“单耳失聪”、“人工耳蜗植入术”</w:t>
      </w:r>
      <w:r>
        <w:rPr>
          <w:rFonts w:ascii="微软雅黑" w:hAnsi="微软雅黑" w:eastAsia="微软雅黑"/>
          <w:b/>
          <w:spacing w:val="-2"/>
          <w:sz w:val="21"/>
        </w:rPr>
        <w:t>承担给付轻症疾病保险金的责任。</w:t>
      </w:r>
    </w:p>
    <w:p>
      <w:pPr>
        <w:pStyle w:val="BodyText"/>
        <w:spacing w:before="11"/>
        <w:rPr>
          <w:rFonts w:ascii="微软雅黑"/>
          <w:b/>
          <w:sz w:val="17"/>
        </w:rPr>
      </w:pPr>
    </w:p>
    <w:p>
      <w:pPr>
        <w:pStyle w:val="ListParagraph"/>
        <w:numPr>
          <w:ilvl w:val="1"/>
          <w:numId w:val="2"/>
        </w:numPr>
        <w:tabs>
          <w:tab w:pos="1399" w:val="left" w:leader="none"/>
        </w:tabs>
        <w:spacing w:line="278" w:lineRule="auto" w:before="0" w:after="0"/>
        <w:ind w:left="2960" w:right="666" w:hanging="1880"/>
        <w:jc w:val="both"/>
        <w:rPr>
          <w:sz w:val="21"/>
        </w:rPr>
      </w:pPr>
      <w:r>
        <w:rPr>
          <w:sz w:val="21"/>
        </w:rPr>
        <w:t>单耳失聪</w:t>
      </w:r>
      <w:r>
        <w:rPr>
          <w:spacing w:val="597"/>
          <w:sz w:val="21"/>
        </w:rPr>
        <w:t> </w:t>
      </w:r>
      <w:r>
        <w:rPr>
          <w:spacing w:val="-1"/>
          <w:sz w:val="21"/>
        </w:rPr>
        <w:t>指因疾病或者意外伤害导致单耳听力永久不可逆性丧失，在 </w:t>
      </w:r>
      <w:r>
        <w:rPr>
          <w:sz w:val="21"/>
        </w:rPr>
        <w:t>500</w:t>
      </w:r>
      <w:r>
        <w:rPr>
          <w:spacing w:val="-3"/>
          <w:sz w:val="21"/>
        </w:rPr>
        <w:t> 赫兹、</w:t>
      </w:r>
      <w:r>
        <w:rPr>
          <w:sz w:val="21"/>
        </w:rPr>
        <w:t>1000</w:t>
      </w:r>
      <w:r>
        <w:rPr>
          <w:spacing w:val="-6"/>
          <w:sz w:val="21"/>
        </w:rPr>
        <w:t>赫兹和 </w:t>
      </w:r>
      <w:r>
        <w:rPr>
          <w:spacing w:val="-2"/>
          <w:sz w:val="21"/>
        </w:rPr>
        <w:t>2000</w:t>
      </w:r>
      <w:r>
        <w:rPr>
          <w:spacing w:val="-7"/>
          <w:sz w:val="21"/>
        </w:rPr>
        <w:t> 赫兹语音频率下，平均听阈大于等于 </w:t>
      </w:r>
      <w:r>
        <w:rPr>
          <w:spacing w:val="-2"/>
          <w:sz w:val="21"/>
        </w:rPr>
        <w:t>91</w:t>
      </w:r>
      <w:r>
        <w:rPr>
          <w:spacing w:val="-6"/>
          <w:sz w:val="21"/>
        </w:rPr>
        <w:t> 分贝，且经纯音听力测</w:t>
      </w:r>
      <w:r>
        <w:rPr>
          <w:spacing w:val="-2"/>
          <w:sz w:val="21"/>
        </w:rPr>
        <w:t>试、声道抗检测或听觉诱发电位检测等证实。</w:t>
      </w:r>
    </w:p>
    <w:p>
      <w:pPr>
        <w:spacing w:line="282" w:lineRule="exact" w:before="0"/>
        <w:ind w:left="2960" w:right="0" w:firstLine="0"/>
        <w:jc w:val="left"/>
        <w:rPr>
          <w:rFonts w:ascii="微软雅黑" w:eastAsia="微软雅黑"/>
          <w:b/>
          <w:sz w:val="21"/>
        </w:rPr>
      </w:pPr>
      <w:r>
        <w:rPr>
          <w:rFonts w:ascii="微软雅黑" w:eastAsia="微软雅黑"/>
          <w:b/>
          <w:sz w:val="21"/>
        </w:rPr>
        <w:t>申请理赔时，被保险人年龄必须在 3</w:t>
      </w:r>
      <w:r>
        <w:rPr>
          <w:rFonts w:ascii="微软雅黑" w:eastAsia="微软雅黑"/>
          <w:b/>
          <w:spacing w:val="-1"/>
          <w:sz w:val="21"/>
        </w:rPr>
        <w:t> 周岁以上，并且须提供理赔当时的听力</w:t>
      </w:r>
    </w:p>
    <w:p>
      <w:pPr>
        <w:spacing w:line="312" w:lineRule="exact" w:before="0"/>
        <w:ind w:left="2960" w:right="0" w:firstLine="0"/>
        <w:jc w:val="left"/>
        <w:rPr>
          <w:rFonts w:ascii="微软雅黑" w:eastAsia="微软雅黑"/>
          <w:b/>
          <w:sz w:val="21"/>
        </w:rPr>
      </w:pPr>
      <w:r>
        <w:rPr>
          <w:rFonts w:ascii="微软雅黑" w:eastAsia="微软雅黑"/>
          <w:b/>
          <w:spacing w:val="-3"/>
          <w:sz w:val="21"/>
        </w:rPr>
        <w:t>丧失诊断及检查证据。</w:t>
      </w:r>
    </w:p>
    <w:p>
      <w:pPr>
        <w:spacing w:line="194" w:lineRule="auto" w:before="15"/>
        <w:ind w:left="2960" w:right="667"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本公司对该种轻症疾病理赔后，不再对“轻度听力受损”、“人工耳蜗植入</w:t>
      </w:r>
      <w:r>
        <w:rPr>
          <w:rFonts w:ascii="微软雅黑" w:hAnsi="微软雅黑" w:eastAsia="微软雅黑"/>
          <w:b/>
          <w:spacing w:val="-2"/>
          <w:sz w:val="21"/>
        </w:rPr>
        <w:t>术”承担给付轻症疾病保险金的责任。</w:t>
      </w:r>
    </w:p>
    <w:p>
      <w:pPr>
        <w:spacing w:after="0" w:line="194" w:lineRule="auto"/>
        <w:jc w:val="left"/>
        <w:rPr>
          <w:rFonts w:ascii="微软雅黑" w:hAnsi="微软雅黑" w:eastAsia="微软雅黑"/>
          <w:sz w:val="21"/>
        </w:rPr>
        <w:sectPr>
          <w:pgSz w:w="11910" w:h="16840"/>
          <w:pgMar w:header="0" w:footer="406" w:top="1080" w:bottom="600" w:left="900" w:right="340"/>
        </w:sectPr>
      </w:pPr>
    </w:p>
    <w:p>
      <w:pPr>
        <w:pStyle w:val="ListParagraph"/>
        <w:numPr>
          <w:ilvl w:val="1"/>
          <w:numId w:val="2"/>
        </w:numPr>
        <w:tabs>
          <w:tab w:pos="1412" w:val="left" w:leader="none"/>
        </w:tabs>
        <w:spacing w:line="278" w:lineRule="auto" w:before="57" w:after="0"/>
        <w:ind w:left="1080" w:right="0" w:firstLine="0"/>
        <w:jc w:val="left"/>
        <w:rPr>
          <w:sz w:val="21"/>
        </w:rPr>
      </w:pPr>
      <w:r>
        <w:rPr>
          <w:spacing w:val="8"/>
          <w:sz w:val="21"/>
        </w:rPr>
        <w:t>人工耳蜗植入</w:t>
      </w:r>
      <w:r>
        <w:rPr>
          <w:spacing w:val="-10"/>
          <w:sz w:val="21"/>
        </w:rPr>
        <w:t>术</w:t>
      </w:r>
    </w:p>
    <w:p>
      <w:pPr>
        <w:pStyle w:val="BodyText"/>
        <w:spacing w:line="278" w:lineRule="auto" w:before="57"/>
        <w:ind w:left="175" w:right="667"/>
      </w:pPr>
      <w:r>
        <w:rPr/>
        <w:br w:type="column"/>
      </w:r>
      <w:r>
        <w:rPr>
          <w:spacing w:val="-2"/>
        </w:rPr>
        <w:t>指由于耳蜗的永久损害而实际实施了人工耳蜗植入手术。诊断须经专科医生</w:t>
      </w:r>
      <w:r>
        <w:rPr>
          <w:spacing w:val="-2"/>
        </w:rPr>
        <w:t>确认在医学上是必要的，且在植入手术之前已经符合下列全部条件：</w:t>
      </w:r>
    </w:p>
    <w:p>
      <w:pPr>
        <w:pStyle w:val="ListParagraph"/>
        <w:numPr>
          <w:ilvl w:val="0"/>
          <w:numId w:val="23"/>
        </w:numPr>
        <w:tabs>
          <w:tab w:pos="705" w:val="left" w:leader="none"/>
        </w:tabs>
        <w:spacing w:line="240" w:lineRule="auto" w:before="0" w:after="0"/>
        <w:ind w:left="704" w:right="0" w:hanging="530"/>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23"/>
        </w:numPr>
        <w:tabs>
          <w:tab w:pos="705" w:val="left" w:leader="none"/>
        </w:tabs>
        <w:spacing w:line="257" w:lineRule="exact" w:before="43" w:after="0"/>
        <w:ind w:left="704" w:right="0" w:hanging="530"/>
        <w:jc w:val="left"/>
        <w:rPr>
          <w:sz w:val="21"/>
        </w:rPr>
      </w:pPr>
      <w:r>
        <w:rPr>
          <w:spacing w:val="-3"/>
          <w:sz w:val="21"/>
        </w:rPr>
        <w:t>使用相应的听力辅助设备效果不佳。</w:t>
      </w:r>
    </w:p>
    <w:p>
      <w:pPr>
        <w:pStyle w:val="Heading2"/>
        <w:spacing w:line="194" w:lineRule="auto" w:before="41"/>
        <w:ind w:left="175" w:right="667"/>
      </w:pPr>
      <w:r>
        <w:rPr>
          <w:spacing w:val="-2"/>
        </w:rPr>
        <w:t>本公司对该种轻症疾病理赔后，不再对“轻度听力受损”、“单耳失聪”承</w:t>
      </w:r>
      <w:r>
        <w:rPr>
          <w:spacing w:val="-2"/>
        </w:rPr>
        <w:t>担给付轻症疾病保险金的责任。</w:t>
      </w:r>
    </w:p>
    <w:p>
      <w:pPr>
        <w:spacing w:after="0" w:line="194" w:lineRule="auto"/>
        <w:sectPr>
          <w:pgSz w:w="11910" w:h="16840"/>
          <w:pgMar w:header="0" w:footer="406" w:top="1080" w:bottom="600" w:left="900" w:right="340"/>
          <w:cols w:num="2" w:equalWidth="0">
            <w:col w:w="2745" w:space="40"/>
            <w:col w:w="7885"/>
          </w:cols>
        </w:sectPr>
      </w:pPr>
    </w:p>
    <w:p>
      <w:pPr>
        <w:pStyle w:val="BodyText"/>
        <w:spacing w:before="12"/>
        <w:rPr>
          <w:rFonts w:ascii="微软雅黑"/>
          <w:b/>
          <w:sz w:val="13"/>
        </w:rPr>
      </w:pPr>
    </w:p>
    <w:p>
      <w:pPr>
        <w:pStyle w:val="ListParagraph"/>
        <w:numPr>
          <w:ilvl w:val="1"/>
          <w:numId w:val="2"/>
        </w:numPr>
        <w:tabs>
          <w:tab w:pos="1399" w:val="left" w:leader="none"/>
        </w:tabs>
        <w:spacing w:line="278" w:lineRule="auto" w:before="71" w:after="0"/>
        <w:ind w:left="2960" w:right="666" w:hanging="1880"/>
        <w:jc w:val="both"/>
        <w:rPr>
          <w:sz w:val="21"/>
        </w:rPr>
      </w:pPr>
      <w:r>
        <w:rPr>
          <w:spacing w:val="-1"/>
          <w:sz w:val="21"/>
        </w:rPr>
        <w:t>轻度Ⅲ度烧伤 指烧伤程度为Ⅲ度，且Ⅲ度烧伤面积达到全身体表面积的 </w:t>
      </w:r>
      <w:r>
        <w:rPr>
          <w:sz w:val="21"/>
        </w:rPr>
        <w:t>10</w:t>
      </w:r>
      <w:r>
        <w:rPr>
          <w:spacing w:val="-6"/>
          <w:sz w:val="21"/>
        </w:rPr>
        <w:t>%但少于 </w:t>
      </w:r>
      <w:r>
        <w:rPr>
          <w:sz w:val="21"/>
        </w:rPr>
        <w:t>15%。体</w:t>
      </w:r>
      <w:r>
        <w:rPr>
          <w:spacing w:val="-2"/>
          <w:sz w:val="21"/>
        </w:rPr>
        <w:t>表面积根据《中国新九分法》计算。</w:t>
      </w:r>
    </w:p>
    <w:p>
      <w:pPr>
        <w:pStyle w:val="BodyText"/>
        <w:spacing w:before="9"/>
        <w:rPr>
          <w:sz w:val="14"/>
        </w:rPr>
      </w:pPr>
    </w:p>
    <w:p>
      <w:pPr>
        <w:pStyle w:val="ListParagraph"/>
        <w:numPr>
          <w:ilvl w:val="1"/>
          <w:numId w:val="2"/>
        </w:numPr>
        <w:tabs>
          <w:tab w:pos="1399" w:val="left" w:leader="none"/>
          <w:tab w:pos="2960" w:val="left" w:leader="none"/>
        </w:tabs>
        <w:spacing w:line="312" w:lineRule="exact" w:before="0" w:after="0"/>
        <w:ind w:left="2960" w:right="560" w:hanging="1880"/>
        <w:jc w:val="left"/>
        <w:rPr>
          <w:sz w:val="21"/>
        </w:rPr>
      </w:pPr>
      <w:r>
        <w:rPr>
          <w:spacing w:val="-3"/>
          <w:w w:val="100"/>
          <w:sz w:val="21"/>
        </w:rPr>
        <w:t>轻</w:t>
      </w:r>
      <w:r>
        <w:rPr>
          <w:w w:val="100"/>
          <w:sz w:val="21"/>
        </w:rPr>
        <w:t>度</w:t>
      </w:r>
      <w:r>
        <w:rPr>
          <w:spacing w:val="-3"/>
          <w:w w:val="100"/>
          <w:sz w:val="21"/>
        </w:rPr>
        <w:t>面</w:t>
      </w:r>
      <w:r>
        <w:rPr>
          <w:w w:val="100"/>
          <w:sz w:val="21"/>
        </w:rPr>
        <w:t>部</w:t>
      </w:r>
      <w:r>
        <w:rPr>
          <w:spacing w:val="-3"/>
          <w:w w:val="100"/>
          <w:sz w:val="21"/>
        </w:rPr>
        <w:t>烧</w:t>
      </w:r>
      <w:r>
        <w:rPr>
          <w:w w:val="100"/>
          <w:sz w:val="21"/>
        </w:rPr>
        <w:t>伤</w:t>
      </w:r>
      <w:r>
        <w:rPr>
          <w:sz w:val="21"/>
        </w:rPr>
        <w:tab/>
      </w:r>
      <w:r>
        <w:rPr>
          <w:w w:val="100"/>
          <w:sz w:val="21"/>
        </w:rPr>
        <w:t>指烧</w:t>
      </w:r>
      <w:r>
        <w:rPr>
          <w:spacing w:val="-3"/>
          <w:w w:val="100"/>
          <w:sz w:val="21"/>
        </w:rPr>
        <w:t>伤</w:t>
      </w:r>
      <w:r>
        <w:rPr>
          <w:w w:val="100"/>
          <w:sz w:val="21"/>
        </w:rPr>
        <w:t>程</w:t>
      </w:r>
      <w:r>
        <w:rPr>
          <w:spacing w:val="-3"/>
          <w:w w:val="100"/>
          <w:sz w:val="21"/>
        </w:rPr>
        <w:t>度</w:t>
      </w:r>
      <w:r>
        <w:rPr>
          <w:w w:val="100"/>
          <w:sz w:val="21"/>
        </w:rPr>
        <w:t>为</w:t>
      </w:r>
      <w:r>
        <w:rPr>
          <w:spacing w:val="-3"/>
          <w:w w:val="100"/>
          <w:sz w:val="21"/>
        </w:rPr>
        <w:t>Ⅲ</w:t>
      </w:r>
      <w:r>
        <w:rPr>
          <w:w w:val="100"/>
          <w:sz w:val="21"/>
        </w:rPr>
        <w:t>度</w:t>
      </w:r>
      <w:r>
        <w:rPr>
          <w:spacing w:val="-108"/>
          <w:w w:val="100"/>
          <w:sz w:val="21"/>
        </w:rPr>
        <w:t>，</w:t>
      </w:r>
      <w:r>
        <w:rPr>
          <w:w w:val="100"/>
          <w:sz w:val="21"/>
        </w:rPr>
        <w:t>且</w:t>
      </w:r>
      <w:r>
        <w:rPr>
          <w:spacing w:val="-3"/>
          <w:w w:val="100"/>
          <w:sz w:val="21"/>
        </w:rPr>
        <w:t>面部</w:t>
      </w:r>
      <w:r>
        <w:rPr>
          <w:w w:val="100"/>
          <w:sz w:val="21"/>
        </w:rPr>
        <w:t>Ⅲ度</w:t>
      </w:r>
      <w:r>
        <w:rPr>
          <w:spacing w:val="-3"/>
          <w:w w:val="100"/>
          <w:sz w:val="21"/>
        </w:rPr>
        <w:t>烧</w:t>
      </w:r>
      <w:r>
        <w:rPr>
          <w:w w:val="100"/>
          <w:sz w:val="21"/>
        </w:rPr>
        <w:t>伤</w:t>
      </w:r>
      <w:r>
        <w:rPr>
          <w:spacing w:val="-3"/>
          <w:w w:val="100"/>
          <w:sz w:val="21"/>
        </w:rPr>
        <w:t>的</w:t>
      </w:r>
      <w:r>
        <w:rPr>
          <w:w w:val="100"/>
          <w:sz w:val="21"/>
        </w:rPr>
        <w:t>面</w:t>
      </w:r>
      <w:r>
        <w:rPr>
          <w:spacing w:val="-3"/>
          <w:w w:val="100"/>
          <w:sz w:val="21"/>
        </w:rPr>
        <w:t>积</w:t>
      </w:r>
      <w:r>
        <w:rPr>
          <w:w w:val="100"/>
          <w:sz w:val="21"/>
        </w:rPr>
        <w:t>达</w:t>
      </w:r>
      <w:r>
        <w:rPr>
          <w:spacing w:val="-3"/>
          <w:w w:val="100"/>
          <w:sz w:val="21"/>
        </w:rPr>
        <w:t>到</w:t>
      </w:r>
      <w:r>
        <w:rPr>
          <w:w w:val="100"/>
          <w:sz w:val="21"/>
        </w:rPr>
        <w:t>面</w:t>
      </w:r>
      <w:r>
        <w:rPr>
          <w:spacing w:val="-3"/>
          <w:w w:val="100"/>
          <w:sz w:val="21"/>
        </w:rPr>
        <w:t>部</w:t>
      </w:r>
      <w:r>
        <w:rPr>
          <w:w w:val="100"/>
          <w:sz w:val="21"/>
        </w:rPr>
        <w:t>表面</w:t>
      </w:r>
      <w:r>
        <w:rPr>
          <w:spacing w:val="-3"/>
          <w:w w:val="100"/>
          <w:sz w:val="21"/>
        </w:rPr>
        <w:t>积</w:t>
      </w:r>
      <w:r>
        <w:rPr>
          <w:w w:val="100"/>
          <w:sz w:val="21"/>
        </w:rPr>
        <w:t>的</w:t>
      </w:r>
      <w:r>
        <w:rPr>
          <w:spacing w:val="-55"/>
          <w:sz w:val="21"/>
        </w:rPr>
        <w:t> </w:t>
      </w:r>
      <w:r>
        <w:rPr>
          <w:w w:val="100"/>
          <w:sz w:val="21"/>
        </w:rPr>
        <w:t>30%或</w:t>
      </w:r>
      <w:r>
        <w:rPr>
          <w:spacing w:val="-57"/>
          <w:sz w:val="21"/>
        </w:rPr>
        <w:t> </w:t>
      </w:r>
      <w:r>
        <w:rPr>
          <w:w w:val="100"/>
          <w:sz w:val="21"/>
        </w:rPr>
        <w:t>30</w:t>
      </w:r>
      <w:r>
        <w:rPr>
          <w:spacing w:val="-3"/>
          <w:w w:val="100"/>
          <w:sz w:val="21"/>
        </w:rPr>
        <w:t>%</w:t>
      </w:r>
      <w:r>
        <w:rPr>
          <w:w w:val="100"/>
          <w:sz w:val="21"/>
        </w:rPr>
        <w:t>以上，</w:t>
      </w:r>
      <w:r>
        <w:rPr>
          <w:spacing w:val="2"/>
          <w:w w:val="100"/>
          <w:sz w:val="21"/>
        </w:rPr>
        <w:t>但未达到</w:t>
      </w:r>
      <w:r>
        <w:rPr>
          <w:w w:val="100"/>
          <w:sz w:val="21"/>
        </w:rPr>
        <w:t>重</w:t>
      </w:r>
      <w:r>
        <w:rPr>
          <w:spacing w:val="2"/>
          <w:w w:val="100"/>
          <w:sz w:val="21"/>
        </w:rPr>
        <w:t>大疾</w:t>
      </w:r>
      <w:r>
        <w:rPr>
          <w:w w:val="100"/>
          <w:sz w:val="21"/>
        </w:rPr>
        <w:t>病</w:t>
      </w:r>
      <w:r>
        <w:rPr>
          <w:spacing w:val="4"/>
          <w:w w:val="100"/>
          <w:sz w:val="21"/>
        </w:rPr>
        <w:t>“</w:t>
      </w:r>
      <w:r>
        <w:rPr>
          <w:rFonts w:ascii="微软雅黑" w:hAnsi="微软雅黑" w:eastAsia="微软雅黑"/>
          <w:b/>
          <w:spacing w:val="2"/>
          <w:w w:val="100"/>
          <w:sz w:val="21"/>
        </w:rPr>
        <w:t>严重面部烧</w:t>
      </w:r>
      <w:r>
        <w:rPr>
          <w:rFonts w:ascii="微软雅黑" w:hAnsi="微软雅黑" w:eastAsia="微软雅黑"/>
          <w:b/>
          <w:spacing w:val="5"/>
          <w:w w:val="100"/>
          <w:sz w:val="21"/>
        </w:rPr>
        <w:t>伤</w:t>
      </w:r>
      <w:r>
        <w:rPr>
          <w:spacing w:val="2"/>
          <w:w w:val="100"/>
          <w:sz w:val="21"/>
        </w:rPr>
        <w:t>”</w:t>
      </w:r>
      <w:r>
        <w:rPr>
          <w:w w:val="100"/>
          <w:sz w:val="21"/>
        </w:rPr>
        <w:t>或</w:t>
      </w:r>
      <w:r>
        <w:rPr>
          <w:spacing w:val="2"/>
          <w:w w:val="100"/>
          <w:sz w:val="21"/>
        </w:rPr>
        <w:t>中症疾</w:t>
      </w:r>
      <w:r>
        <w:rPr>
          <w:w w:val="100"/>
          <w:sz w:val="21"/>
        </w:rPr>
        <w:t>病</w:t>
      </w:r>
      <w:r>
        <w:rPr>
          <w:spacing w:val="1"/>
          <w:w w:val="100"/>
          <w:sz w:val="21"/>
        </w:rPr>
        <w:t>“</w:t>
      </w:r>
      <w:r>
        <w:rPr>
          <w:rFonts w:ascii="微软雅黑" w:hAnsi="微软雅黑" w:eastAsia="微软雅黑"/>
          <w:b/>
          <w:spacing w:val="2"/>
          <w:w w:val="100"/>
          <w:sz w:val="21"/>
        </w:rPr>
        <w:t>中度面部烧</w:t>
      </w:r>
      <w:r>
        <w:rPr>
          <w:rFonts w:ascii="微软雅黑" w:hAnsi="微软雅黑" w:eastAsia="微软雅黑"/>
          <w:b/>
          <w:spacing w:val="5"/>
          <w:w w:val="100"/>
          <w:sz w:val="21"/>
        </w:rPr>
        <w:t>伤</w:t>
      </w:r>
      <w:r>
        <w:rPr>
          <w:spacing w:val="2"/>
          <w:w w:val="100"/>
          <w:sz w:val="21"/>
        </w:rPr>
        <w:t>”的</w:t>
      </w:r>
      <w:r>
        <w:rPr>
          <w:w w:val="100"/>
          <w:sz w:val="21"/>
        </w:rPr>
        <w:t>给</w:t>
      </w:r>
      <w:r>
        <w:rPr>
          <w:spacing w:val="2"/>
          <w:w w:val="100"/>
          <w:sz w:val="21"/>
        </w:rPr>
        <w:t>付</w:t>
      </w:r>
      <w:r>
        <w:rPr>
          <w:w w:val="100"/>
          <w:sz w:val="21"/>
        </w:rPr>
        <w:t>标准</w:t>
      </w:r>
      <w:r>
        <w:rPr>
          <w:spacing w:val="-3"/>
          <w:w w:val="100"/>
          <w:sz w:val="21"/>
        </w:rPr>
        <w:t>。</w:t>
      </w:r>
      <w:r>
        <w:rPr>
          <w:w w:val="100"/>
          <w:sz w:val="21"/>
        </w:rPr>
        <w:t>面</w:t>
      </w:r>
      <w:r>
        <w:rPr>
          <w:spacing w:val="-3"/>
          <w:w w:val="100"/>
          <w:sz w:val="21"/>
        </w:rPr>
        <w:t>部</w:t>
      </w:r>
      <w:r>
        <w:rPr>
          <w:w w:val="100"/>
          <w:sz w:val="21"/>
        </w:rPr>
        <w:t>的</w:t>
      </w:r>
      <w:r>
        <w:rPr>
          <w:spacing w:val="-3"/>
          <w:w w:val="100"/>
          <w:sz w:val="21"/>
        </w:rPr>
        <w:t>范</w:t>
      </w:r>
      <w:r>
        <w:rPr>
          <w:w w:val="100"/>
          <w:sz w:val="21"/>
        </w:rPr>
        <w:t>围</w:t>
      </w:r>
      <w:r>
        <w:rPr>
          <w:spacing w:val="-3"/>
          <w:w w:val="100"/>
          <w:sz w:val="21"/>
        </w:rPr>
        <w:t>指</w:t>
      </w:r>
      <w:r>
        <w:rPr>
          <w:w w:val="100"/>
          <w:sz w:val="21"/>
        </w:rPr>
        <w:t>上</w:t>
      </w:r>
      <w:r>
        <w:rPr>
          <w:spacing w:val="-3"/>
          <w:w w:val="100"/>
          <w:sz w:val="21"/>
        </w:rPr>
        <w:t>至发</w:t>
      </w:r>
      <w:r>
        <w:rPr>
          <w:w w:val="100"/>
          <w:sz w:val="21"/>
        </w:rPr>
        <w:t>际</w:t>
      </w:r>
      <w:r>
        <w:rPr>
          <w:spacing w:val="-3"/>
          <w:w w:val="100"/>
          <w:sz w:val="21"/>
        </w:rPr>
        <w:t>、</w:t>
      </w:r>
      <w:r>
        <w:rPr>
          <w:w w:val="100"/>
          <w:sz w:val="21"/>
        </w:rPr>
        <w:t>下</w:t>
      </w:r>
      <w:r>
        <w:rPr>
          <w:spacing w:val="-3"/>
          <w:w w:val="100"/>
          <w:sz w:val="21"/>
        </w:rPr>
        <w:t>至</w:t>
      </w:r>
      <w:r>
        <w:rPr>
          <w:w w:val="100"/>
          <w:sz w:val="21"/>
        </w:rPr>
        <w:t>下</w:t>
      </w:r>
      <w:r>
        <w:rPr>
          <w:spacing w:val="-3"/>
          <w:w w:val="100"/>
          <w:sz w:val="21"/>
        </w:rPr>
        <w:t>颌</w:t>
      </w:r>
      <w:r>
        <w:rPr>
          <w:w w:val="100"/>
          <w:sz w:val="21"/>
        </w:rPr>
        <w:t>下</w:t>
      </w:r>
      <w:r>
        <w:rPr>
          <w:spacing w:val="-3"/>
          <w:w w:val="100"/>
          <w:sz w:val="21"/>
        </w:rPr>
        <w:t>缘</w:t>
      </w:r>
      <w:r>
        <w:rPr>
          <w:w w:val="100"/>
          <w:sz w:val="21"/>
        </w:rPr>
        <w:t>、</w:t>
      </w:r>
      <w:r>
        <w:rPr>
          <w:spacing w:val="-3"/>
          <w:w w:val="100"/>
          <w:sz w:val="21"/>
        </w:rPr>
        <w:t>两侧</w:t>
      </w:r>
      <w:r>
        <w:rPr>
          <w:w w:val="100"/>
          <w:sz w:val="21"/>
        </w:rPr>
        <w:t>至下</w:t>
      </w:r>
      <w:r>
        <w:rPr>
          <w:spacing w:val="-3"/>
          <w:w w:val="100"/>
          <w:sz w:val="21"/>
        </w:rPr>
        <w:t>颌</w:t>
      </w:r>
      <w:r>
        <w:rPr>
          <w:w w:val="100"/>
          <w:sz w:val="21"/>
        </w:rPr>
        <w:t>支</w:t>
      </w:r>
      <w:r>
        <w:rPr>
          <w:spacing w:val="-3"/>
          <w:w w:val="100"/>
          <w:sz w:val="21"/>
        </w:rPr>
        <w:t>后</w:t>
      </w:r>
      <w:r>
        <w:rPr>
          <w:w w:val="100"/>
          <w:sz w:val="21"/>
        </w:rPr>
        <w:t>缘</w:t>
      </w:r>
      <w:r>
        <w:rPr>
          <w:spacing w:val="-3"/>
          <w:w w:val="100"/>
          <w:sz w:val="21"/>
        </w:rPr>
        <w:t>之</w:t>
      </w:r>
      <w:r>
        <w:rPr>
          <w:w w:val="100"/>
          <w:sz w:val="21"/>
        </w:rPr>
        <w:t>间</w:t>
      </w:r>
      <w:r>
        <w:rPr>
          <w:spacing w:val="-3"/>
          <w:w w:val="100"/>
          <w:sz w:val="21"/>
        </w:rPr>
        <w:t>的</w:t>
      </w:r>
      <w:r>
        <w:rPr>
          <w:w w:val="100"/>
          <w:sz w:val="21"/>
        </w:rPr>
        <w:t>区</w:t>
      </w:r>
      <w:r>
        <w:rPr>
          <w:spacing w:val="-3"/>
          <w:w w:val="100"/>
          <w:sz w:val="21"/>
        </w:rPr>
        <w:t>域</w:t>
      </w:r>
      <w:r>
        <w:rPr>
          <w:w w:val="100"/>
          <w:sz w:val="21"/>
        </w:rPr>
        <w:t>，包括</w:t>
      </w:r>
      <w:r>
        <w:rPr>
          <w:spacing w:val="-3"/>
          <w:w w:val="100"/>
          <w:sz w:val="21"/>
        </w:rPr>
        <w:t>额</w:t>
      </w:r>
      <w:r>
        <w:rPr>
          <w:w w:val="100"/>
          <w:sz w:val="21"/>
        </w:rPr>
        <w:t>部</w:t>
      </w:r>
      <w:r>
        <w:rPr>
          <w:spacing w:val="-3"/>
          <w:w w:val="100"/>
          <w:sz w:val="21"/>
        </w:rPr>
        <w:t>、</w:t>
      </w:r>
      <w:r>
        <w:rPr>
          <w:w w:val="100"/>
          <w:sz w:val="21"/>
        </w:rPr>
        <w:t>眼</w:t>
      </w:r>
      <w:r>
        <w:rPr>
          <w:spacing w:val="-3"/>
          <w:w w:val="100"/>
          <w:sz w:val="21"/>
        </w:rPr>
        <w:t>部</w:t>
      </w:r>
      <w:r>
        <w:rPr>
          <w:w w:val="100"/>
          <w:sz w:val="21"/>
        </w:rPr>
        <w:t>、</w:t>
      </w:r>
      <w:r>
        <w:rPr>
          <w:spacing w:val="-3"/>
          <w:w w:val="100"/>
          <w:sz w:val="21"/>
        </w:rPr>
        <w:t>眶</w:t>
      </w:r>
      <w:r>
        <w:rPr>
          <w:w w:val="100"/>
          <w:sz w:val="21"/>
        </w:rPr>
        <w:t>部</w:t>
      </w:r>
      <w:r>
        <w:rPr>
          <w:spacing w:val="-3"/>
          <w:w w:val="100"/>
          <w:sz w:val="21"/>
        </w:rPr>
        <w:t>、</w:t>
      </w:r>
      <w:r>
        <w:rPr>
          <w:w w:val="100"/>
          <w:sz w:val="21"/>
        </w:rPr>
        <w:t>鼻部</w:t>
      </w:r>
      <w:r>
        <w:rPr>
          <w:spacing w:val="-3"/>
          <w:w w:val="100"/>
          <w:sz w:val="21"/>
        </w:rPr>
        <w:t>、</w:t>
      </w:r>
      <w:r>
        <w:rPr>
          <w:w w:val="100"/>
          <w:sz w:val="21"/>
        </w:rPr>
        <w:t>口</w:t>
      </w:r>
      <w:r>
        <w:rPr>
          <w:spacing w:val="-3"/>
          <w:w w:val="100"/>
          <w:sz w:val="21"/>
        </w:rPr>
        <w:t>唇</w:t>
      </w:r>
      <w:r>
        <w:rPr>
          <w:w w:val="100"/>
          <w:sz w:val="21"/>
        </w:rPr>
        <w:t>部</w:t>
      </w:r>
      <w:r>
        <w:rPr>
          <w:spacing w:val="-3"/>
          <w:w w:val="100"/>
          <w:sz w:val="21"/>
        </w:rPr>
        <w:t>、</w:t>
      </w:r>
      <w:r>
        <w:rPr>
          <w:w w:val="100"/>
          <w:sz w:val="21"/>
        </w:rPr>
        <w:t>颏</w:t>
      </w:r>
      <w:r>
        <w:rPr>
          <w:spacing w:val="-3"/>
          <w:w w:val="100"/>
          <w:sz w:val="21"/>
        </w:rPr>
        <w:t>部</w:t>
      </w:r>
      <w:r>
        <w:rPr>
          <w:w w:val="100"/>
          <w:sz w:val="21"/>
        </w:rPr>
        <w:t>、</w:t>
      </w:r>
      <w:r>
        <w:rPr>
          <w:spacing w:val="-3"/>
          <w:w w:val="100"/>
          <w:sz w:val="21"/>
        </w:rPr>
        <w:t>颧</w:t>
      </w:r>
      <w:r>
        <w:rPr>
          <w:w w:val="100"/>
          <w:sz w:val="21"/>
        </w:rPr>
        <w:t>部、</w:t>
      </w:r>
      <w:r>
        <w:rPr>
          <w:spacing w:val="-3"/>
          <w:w w:val="100"/>
          <w:sz w:val="21"/>
        </w:rPr>
        <w:t>颊</w:t>
      </w:r>
      <w:r>
        <w:rPr>
          <w:w w:val="100"/>
          <w:sz w:val="21"/>
        </w:rPr>
        <w:t>部</w:t>
      </w:r>
      <w:r>
        <w:rPr>
          <w:spacing w:val="-3"/>
          <w:w w:val="100"/>
          <w:sz w:val="21"/>
        </w:rPr>
        <w:t>和</w:t>
      </w:r>
      <w:r>
        <w:rPr>
          <w:w w:val="100"/>
          <w:sz w:val="21"/>
        </w:rPr>
        <w:t>腮</w:t>
      </w:r>
      <w:r>
        <w:rPr>
          <w:spacing w:val="-3"/>
          <w:w w:val="100"/>
          <w:sz w:val="21"/>
        </w:rPr>
        <w:t>腺</w:t>
      </w:r>
      <w:r>
        <w:rPr>
          <w:w w:val="100"/>
          <w:sz w:val="21"/>
        </w:rPr>
        <w:t>咬</w:t>
      </w:r>
      <w:r>
        <w:rPr>
          <w:spacing w:val="-3"/>
          <w:w w:val="100"/>
          <w:sz w:val="21"/>
        </w:rPr>
        <w:t>肌</w:t>
      </w:r>
      <w:r>
        <w:rPr>
          <w:w w:val="100"/>
          <w:sz w:val="21"/>
        </w:rPr>
        <w:t>部。</w:t>
      </w:r>
    </w:p>
    <w:p>
      <w:pPr>
        <w:pStyle w:val="Heading2"/>
        <w:spacing w:line="360" w:lineRule="exact"/>
      </w:pPr>
      <w:r>
        <w:rPr>
          <w:spacing w:val="-3"/>
        </w:rPr>
        <w:t>因酸碱化学品导致的面部烧伤不在保障范围内。</w:t>
      </w:r>
    </w:p>
    <w:p>
      <w:pPr>
        <w:pStyle w:val="BodyText"/>
        <w:spacing w:before="9"/>
        <w:rPr>
          <w:rFonts w:ascii="微软雅黑"/>
          <w:b/>
          <w:sz w:val="16"/>
        </w:rPr>
      </w:pPr>
    </w:p>
    <w:p>
      <w:pPr>
        <w:pStyle w:val="ListParagraph"/>
        <w:numPr>
          <w:ilvl w:val="1"/>
          <w:numId w:val="2"/>
        </w:numPr>
        <w:tabs>
          <w:tab w:pos="1399" w:val="left" w:leader="none"/>
        </w:tabs>
        <w:spacing w:line="278" w:lineRule="auto" w:before="0" w:after="0"/>
        <w:ind w:left="2960" w:right="663" w:hanging="1880"/>
        <w:jc w:val="both"/>
        <w:rPr>
          <w:sz w:val="21"/>
        </w:rPr>
      </w:pPr>
      <w:r>
        <w:rPr>
          <w:sz w:val="21"/>
        </w:rPr>
        <w:t>肝叶切除术 指为治疗肝脏肿瘤、肝内胆管结石、肝脓肿、肝包虫病等疾病或因意外而实</w:t>
      </w:r>
      <w:r>
        <w:rPr>
          <w:spacing w:val="-2"/>
          <w:sz w:val="21"/>
        </w:rPr>
        <w:t>际实施的肝脏部分切除术,手术须有至少切除一整叶左肝叶或一整叶右肝叶。</w:t>
      </w:r>
      <w:r>
        <w:rPr>
          <w:spacing w:val="-2"/>
          <w:sz w:val="21"/>
        </w:rPr>
        <w:t>此手术必须在本公司认可的医疗机构内由专科医生认为是医疗必需的情况下</w:t>
      </w:r>
      <w:r>
        <w:rPr>
          <w:spacing w:val="-4"/>
          <w:sz w:val="21"/>
        </w:rPr>
        <w:t>进行。</w:t>
      </w:r>
    </w:p>
    <w:p>
      <w:pPr>
        <w:pStyle w:val="Heading2"/>
        <w:spacing w:line="282" w:lineRule="exact"/>
      </w:pPr>
      <w:r>
        <w:rPr>
          <w:spacing w:val="-1"/>
        </w:rPr>
        <w:t>因酒精或者滥用药物导致的肝脏疾病或者肝脏紊乱，或者因捐赠肝脏而所需</w:t>
      </w:r>
    </w:p>
    <w:p>
      <w:pPr>
        <w:spacing w:line="350" w:lineRule="exact" w:before="0"/>
        <w:ind w:left="2960" w:right="0" w:firstLine="0"/>
        <w:jc w:val="left"/>
        <w:rPr>
          <w:rFonts w:ascii="微软雅黑" w:eastAsia="微软雅黑"/>
          <w:b/>
          <w:sz w:val="21"/>
        </w:rPr>
      </w:pPr>
      <w:r>
        <w:rPr>
          <w:rFonts w:ascii="微软雅黑" w:eastAsia="微软雅黑"/>
          <w:b/>
          <w:spacing w:val="-3"/>
          <w:sz w:val="21"/>
        </w:rPr>
        <w:t>的肝脏手术均不在保障范围内。</w:t>
      </w:r>
    </w:p>
    <w:p>
      <w:pPr>
        <w:pStyle w:val="BodyText"/>
        <w:spacing w:before="17"/>
        <w:rPr>
          <w:rFonts w:ascii="微软雅黑"/>
          <w:b/>
          <w:sz w:val="11"/>
        </w:rPr>
      </w:pPr>
    </w:p>
    <w:p>
      <w:pPr>
        <w:pStyle w:val="ListParagraph"/>
        <w:numPr>
          <w:ilvl w:val="1"/>
          <w:numId w:val="2"/>
        </w:numPr>
        <w:tabs>
          <w:tab w:pos="1399" w:val="left" w:leader="none"/>
          <w:tab w:pos="2960" w:val="left" w:leader="none"/>
        </w:tabs>
        <w:spacing w:line="257" w:lineRule="exact" w:before="1" w:after="0"/>
        <w:ind w:left="1398" w:right="0" w:hanging="319"/>
        <w:jc w:val="left"/>
        <w:rPr>
          <w:sz w:val="21"/>
        </w:rPr>
      </w:pPr>
      <w:r>
        <w:rPr>
          <w:spacing w:val="-2"/>
          <w:sz w:val="21"/>
        </w:rPr>
        <w:t>单侧肾脏切</w:t>
      </w:r>
      <w:r>
        <w:rPr>
          <w:spacing w:val="-10"/>
          <w:sz w:val="21"/>
        </w:rPr>
        <w:t>除</w:t>
      </w:r>
      <w:r>
        <w:rPr>
          <w:sz w:val="21"/>
        </w:rPr>
        <w:tab/>
      </w:r>
      <w:r>
        <w:rPr>
          <w:spacing w:val="-2"/>
          <w:sz w:val="21"/>
        </w:rPr>
        <w:t>指</w:t>
      </w:r>
      <w:r>
        <w:rPr>
          <w:spacing w:val="-2"/>
          <w:sz w:val="21"/>
        </w:rPr>
        <w:t>因</w:t>
      </w:r>
      <w:r>
        <w:rPr>
          <w:spacing w:val="-2"/>
          <w:sz w:val="21"/>
        </w:rPr>
        <w:t>疾病或意外事故实际</w:t>
      </w:r>
      <w:r>
        <w:rPr>
          <w:spacing w:val="-2"/>
          <w:sz w:val="21"/>
        </w:rPr>
        <w:t>实</w:t>
      </w:r>
      <w:r>
        <w:rPr>
          <w:spacing w:val="-2"/>
          <w:sz w:val="21"/>
        </w:rPr>
        <w:t>施</w:t>
      </w:r>
      <w:r>
        <w:rPr>
          <w:spacing w:val="-2"/>
          <w:sz w:val="21"/>
        </w:rPr>
        <w:t>的一侧肾脏切除</w:t>
      </w:r>
      <w:r>
        <w:rPr>
          <w:spacing w:val="-2"/>
          <w:sz w:val="21"/>
        </w:rPr>
        <w:t>术</w:t>
      </w:r>
      <w:r>
        <w:rPr>
          <w:spacing w:val="-10"/>
          <w:sz w:val="21"/>
        </w:rPr>
        <w:t>。</w:t>
      </w:r>
    </w:p>
    <w:p>
      <w:pPr>
        <w:pStyle w:val="Heading2"/>
        <w:spacing w:line="194" w:lineRule="auto" w:before="40"/>
        <w:ind w:right="667"/>
      </w:pPr>
      <w:r>
        <w:rPr>
          <w:spacing w:val="-2"/>
        </w:rPr>
        <w:t>肾脏部分切除手术、因肾脏捐献引起的手术、因恶性肿瘤进行的肾脏切除手</w:t>
      </w:r>
      <w:r>
        <w:rPr>
          <w:spacing w:val="-2"/>
        </w:rPr>
        <w:t>术不在保障范围内。</w:t>
      </w:r>
    </w:p>
    <w:p>
      <w:pPr>
        <w:pStyle w:val="BodyText"/>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双侧睾丸切除</w:t>
      </w:r>
      <w:r>
        <w:rPr>
          <w:spacing w:val="-10"/>
          <w:sz w:val="21"/>
        </w:rPr>
        <w:t>术</w:t>
      </w:r>
    </w:p>
    <w:p>
      <w:pPr>
        <w:spacing w:line="194" w:lineRule="auto" w:before="57"/>
        <w:ind w:left="175" w:right="672" w:firstLine="0"/>
        <w:jc w:val="left"/>
        <w:rPr>
          <w:rFonts w:ascii="微软雅黑" w:eastAsia="微软雅黑"/>
          <w:b/>
          <w:sz w:val="21"/>
        </w:rPr>
      </w:pPr>
      <w:r>
        <w:rPr/>
        <w:br w:type="column"/>
      </w:r>
      <w:r>
        <w:rPr>
          <w:spacing w:val="-2"/>
          <w:sz w:val="21"/>
        </w:rPr>
        <w:t>指为治疗疾病实际接受了双侧睾丸完全切除手术。</w:t>
      </w:r>
      <w:r>
        <w:rPr>
          <w:rFonts w:ascii="微软雅黑" w:eastAsia="微软雅黑"/>
          <w:b/>
          <w:spacing w:val="-2"/>
          <w:sz w:val="21"/>
        </w:rPr>
        <w:t>部分睾丸切除、预防性睾</w:t>
      </w:r>
      <w:r>
        <w:rPr>
          <w:rFonts w:ascii="微软雅黑" w:eastAsia="微软雅黑"/>
          <w:b/>
          <w:spacing w:val="-2"/>
          <w:sz w:val="21"/>
        </w:rPr>
        <w:t>丸切除、因恶性肿瘤进行的睾丸切除手术不在保障范围内。</w:t>
      </w:r>
    </w:p>
    <w:p>
      <w:pPr>
        <w:spacing w:after="0" w:line="194" w:lineRule="auto"/>
        <w:jc w:val="left"/>
        <w:rPr>
          <w:rFonts w:asci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8"/>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双侧卵巢切除</w:t>
      </w:r>
      <w:r>
        <w:rPr>
          <w:spacing w:val="-10"/>
          <w:sz w:val="21"/>
        </w:rPr>
        <w:t>术</w:t>
      </w:r>
    </w:p>
    <w:p>
      <w:pPr>
        <w:spacing w:line="206" w:lineRule="auto" w:before="101"/>
        <w:ind w:left="175" w:right="667" w:firstLine="0"/>
        <w:jc w:val="left"/>
        <w:rPr>
          <w:rFonts w:ascii="微软雅黑" w:eastAsia="微软雅黑"/>
          <w:b/>
          <w:sz w:val="21"/>
        </w:rPr>
      </w:pPr>
      <w:r>
        <w:rPr/>
        <w:br w:type="column"/>
      </w:r>
      <w:r>
        <w:rPr>
          <w:spacing w:val="-2"/>
          <w:sz w:val="21"/>
        </w:rPr>
        <w:t>指为治疗疾病实际接受了经腹部切开或腹腔镜进行的双侧卵巢完全切除术。</w:t>
      </w:r>
      <w:r>
        <w:rPr>
          <w:rFonts w:ascii="微软雅黑" w:eastAsia="微软雅黑"/>
          <w:b/>
          <w:spacing w:val="-2"/>
          <w:sz w:val="21"/>
        </w:rPr>
        <w:t>部分卵巢切除、预防性卵巢切除、因恶性肿瘤进行的卵巢切除手术不在保障</w:t>
      </w:r>
      <w:r>
        <w:rPr>
          <w:rFonts w:ascii="微软雅黑" w:eastAsia="微软雅黑"/>
          <w:b/>
          <w:spacing w:val="-4"/>
          <w:sz w:val="21"/>
        </w:rPr>
        <w:t>范围内。</w:t>
      </w:r>
    </w:p>
    <w:p>
      <w:pPr>
        <w:spacing w:after="0" w:line="206" w:lineRule="auto"/>
        <w:jc w:val="left"/>
        <w:rPr>
          <w:rFonts w:asci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6"/>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both"/>
        <w:rPr>
          <w:sz w:val="21"/>
        </w:rPr>
      </w:pPr>
      <w:r>
        <w:rPr>
          <w:spacing w:val="8"/>
          <w:sz w:val="21"/>
        </w:rPr>
        <w:t>于颈动脉进行</w:t>
      </w:r>
      <w:r>
        <w:rPr>
          <w:spacing w:val="26"/>
          <w:sz w:val="21"/>
        </w:rPr>
        <w:t>血管成形术或内</w:t>
      </w:r>
      <w:r>
        <w:rPr>
          <w:spacing w:val="-4"/>
          <w:sz w:val="21"/>
        </w:rPr>
        <w:t>膜切除术</w:t>
      </w:r>
    </w:p>
    <w:p>
      <w:pPr>
        <w:pStyle w:val="BodyText"/>
        <w:spacing w:line="278" w:lineRule="auto" w:before="72"/>
        <w:ind w:left="142" w:right="666"/>
        <w:jc w:val="both"/>
      </w:pPr>
      <w:r>
        <w:rPr/>
        <w:br w:type="column"/>
      </w:r>
      <w:r>
        <w:rPr>
          <w:spacing w:val="-9"/>
        </w:rPr>
        <w:t>指根据颈动脉造影检查结果，确诊一条或以上颈动脉存在严重狭窄性病变</w:t>
      </w:r>
      <w:r>
        <w:rPr>
          <w:spacing w:val="-2"/>
        </w:rPr>
        <w:t>（至</w:t>
      </w:r>
      <w:r>
        <w:rPr>
          <w:spacing w:val="-4"/>
        </w:rPr>
        <w:t>少一支血管管腔直径减少 50%以上）。该病须经本公司认可的医疗机构的专科</w:t>
      </w:r>
      <w:r>
        <w:rPr>
          <w:spacing w:val="-2"/>
        </w:rPr>
        <w:t>医生明确诊断，同时必须已经采取以下手术以减轻症状：</w:t>
      </w:r>
    </w:p>
    <w:p>
      <w:pPr>
        <w:pStyle w:val="ListParagraph"/>
        <w:numPr>
          <w:ilvl w:val="0"/>
          <w:numId w:val="24"/>
        </w:numPr>
        <w:tabs>
          <w:tab w:pos="672" w:val="left" w:leader="none"/>
        </w:tabs>
        <w:spacing w:line="269" w:lineRule="exact" w:before="0" w:after="0"/>
        <w:ind w:left="671" w:right="0" w:hanging="530"/>
        <w:jc w:val="left"/>
        <w:rPr>
          <w:sz w:val="21"/>
        </w:rPr>
      </w:pPr>
      <w:r>
        <w:rPr>
          <w:spacing w:val="-3"/>
          <w:sz w:val="21"/>
        </w:rPr>
        <w:t>确实进行动脉内膜切除术；</w:t>
      </w:r>
    </w:p>
    <w:p>
      <w:pPr>
        <w:pStyle w:val="ListParagraph"/>
        <w:numPr>
          <w:ilvl w:val="0"/>
          <w:numId w:val="24"/>
        </w:numPr>
        <w:tabs>
          <w:tab w:pos="678" w:val="left" w:leader="none"/>
        </w:tabs>
        <w:spacing w:line="278" w:lineRule="auto" w:before="43" w:after="0"/>
        <w:ind w:left="668" w:right="669" w:hanging="526"/>
        <w:jc w:val="left"/>
        <w:rPr>
          <w:sz w:val="21"/>
        </w:rPr>
      </w:pPr>
      <w:r>
        <w:rPr>
          <w:spacing w:val="-2"/>
          <w:sz w:val="21"/>
        </w:rPr>
        <w:t>确实进行血管介入治疗，例如血管成形术及/或进行植入支架或动脉粥</w:t>
      </w:r>
      <w:r>
        <w:rPr>
          <w:spacing w:val="-2"/>
          <w:sz w:val="21"/>
        </w:rPr>
        <w:t>样瘤清除手术。</w:t>
      </w:r>
    </w:p>
    <w:p>
      <w:pPr>
        <w:spacing w:after="0" w:line="278" w:lineRule="auto"/>
        <w:jc w:val="left"/>
        <w:rPr>
          <w:sz w:val="21"/>
        </w:rPr>
        <w:sectPr>
          <w:type w:val="continuous"/>
          <w:pgSz w:w="11910" w:h="16840"/>
          <w:pgMar w:header="0" w:footer="406" w:top="600" w:bottom="280" w:left="900" w:right="340"/>
          <w:cols w:num="2" w:equalWidth="0">
            <w:col w:w="2778" w:space="40"/>
            <w:col w:w="7852"/>
          </w:cols>
        </w:sectPr>
      </w:pPr>
    </w:p>
    <w:p>
      <w:pPr>
        <w:pStyle w:val="BodyText"/>
        <w:spacing w:before="3"/>
        <w:rPr>
          <w:sz w:val="12"/>
        </w:rPr>
      </w:pPr>
    </w:p>
    <w:p>
      <w:pPr>
        <w:pStyle w:val="ListParagraph"/>
        <w:numPr>
          <w:ilvl w:val="1"/>
          <w:numId w:val="2"/>
        </w:numPr>
        <w:tabs>
          <w:tab w:pos="1399" w:val="left" w:leader="none"/>
        </w:tabs>
        <w:spacing w:line="206" w:lineRule="auto" w:before="101" w:after="0"/>
        <w:ind w:left="2960" w:right="666" w:hanging="1880"/>
        <w:jc w:val="both"/>
        <w:rPr>
          <w:rFonts w:ascii="微软雅黑" w:eastAsia="微软雅黑"/>
          <w:b/>
          <w:sz w:val="21"/>
        </w:rPr>
      </w:pPr>
      <w:r>
        <w:rPr>
          <w:sz w:val="21"/>
        </w:rPr>
        <w:t>心包膜切除术 因心包膜疾病导致已接受心包膜切除术或已进行任何需要心脏小切口技术的</w:t>
      </w:r>
      <w:r>
        <w:rPr>
          <w:spacing w:val="-2"/>
          <w:sz w:val="21"/>
        </w:rPr>
        <w:t>手术。</w:t>
      </w:r>
      <w:r>
        <w:rPr>
          <w:rFonts w:ascii="微软雅黑" w:eastAsia="微软雅黑"/>
          <w:b/>
          <w:spacing w:val="-2"/>
          <w:sz w:val="21"/>
        </w:rPr>
        <w:t>此手术必须在本公司认可的医疗机构内由心脏专科医生认为是医疗必</w:t>
      </w:r>
      <w:r>
        <w:rPr>
          <w:rFonts w:ascii="微软雅黑" w:eastAsia="微软雅黑"/>
          <w:b/>
          <w:spacing w:val="-2"/>
          <w:sz w:val="21"/>
        </w:rPr>
        <w:t>需的情况下进行。</w:t>
      </w:r>
    </w:p>
    <w:p>
      <w:pPr>
        <w:pStyle w:val="BodyText"/>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1" w:after="0"/>
        <w:ind w:left="1080" w:right="0" w:firstLine="0"/>
        <w:jc w:val="left"/>
        <w:rPr>
          <w:sz w:val="21"/>
        </w:rPr>
      </w:pPr>
      <w:r>
        <w:rPr>
          <w:spacing w:val="8"/>
          <w:sz w:val="21"/>
        </w:rPr>
        <w:t>硬脑膜下血肿</w:t>
      </w:r>
      <w:r>
        <w:rPr>
          <w:spacing w:val="-6"/>
          <w:sz w:val="21"/>
        </w:rPr>
        <w:t>手术</w:t>
      </w:r>
    </w:p>
    <w:p>
      <w:pPr>
        <w:pStyle w:val="BodyText"/>
        <w:spacing w:before="71"/>
        <w:ind w:left="175"/>
      </w:pPr>
      <w:r>
        <w:rPr/>
        <w:br w:type="column"/>
      </w:r>
      <w:r>
        <w:rPr>
          <w:spacing w:val="-3"/>
        </w:rPr>
        <w:t>为清除或引流因意外导致的血肿，实际实施了头部开颅或钻孔手术。</w:t>
      </w:r>
    </w:p>
    <w:p>
      <w:pPr>
        <w:pStyle w:val="BodyText"/>
        <w:spacing w:line="278" w:lineRule="auto" w:before="43"/>
        <w:ind w:left="175" w:right="667"/>
      </w:pPr>
      <w:r>
        <w:rPr>
          <w:spacing w:val="-2"/>
        </w:rPr>
        <w:t>开颅或钻孔手术必须在本公司认可的医疗机构内由专科医生认为是医疗必需</w:t>
      </w:r>
      <w:r>
        <w:rPr>
          <w:spacing w:val="-2"/>
        </w:rPr>
        <w:t>的情况下进行。</w:t>
      </w:r>
    </w:p>
    <w:p>
      <w:pPr>
        <w:spacing w:after="0" w:line="278" w:lineRule="auto"/>
        <w:sectPr>
          <w:type w:val="continuous"/>
          <w:pgSz w:w="11910" w:h="16840"/>
          <w:pgMar w:header="0" w:footer="406" w:top="600" w:bottom="280" w:left="900" w:right="340"/>
          <w:cols w:num="2" w:equalWidth="0">
            <w:col w:w="2745" w:space="40"/>
            <w:col w:w="7885"/>
          </w:cols>
        </w:sectPr>
      </w:pPr>
    </w:p>
    <w:p>
      <w:pPr>
        <w:pStyle w:val="ListParagraph"/>
        <w:numPr>
          <w:ilvl w:val="1"/>
          <w:numId w:val="2"/>
        </w:numPr>
        <w:tabs>
          <w:tab w:pos="1412" w:val="left" w:leader="none"/>
        </w:tabs>
        <w:spacing w:line="278" w:lineRule="auto" w:before="45" w:after="0"/>
        <w:ind w:left="1080" w:right="0" w:firstLine="0"/>
        <w:jc w:val="both"/>
        <w:rPr>
          <w:sz w:val="21"/>
        </w:rPr>
      </w:pPr>
      <w:r>
        <w:rPr>
          <w:spacing w:val="8"/>
          <w:sz w:val="21"/>
        </w:rPr>
        <w:t>特定周围动脉</w:t>
      </w:r>
      <w:r>
        <w:rPr>
          <w:spacing w:val="26"/>
          <w:sz w:val="21"/>
        </w:rPr>
        <w:t>疾病的血管介入</w:t>
      </w:r>
      <w:r>
        <w:rPr>
          <w:spacing w:val="-6"/>
          <w:sz w:val="21"/>
        </w:rPr>
        <w:t>治疗</w:t>
      </w:r>
    </w:p>
    <w:p>
      <w:pPr>
        <w:pStyle w:val="BodyText"/>
        <w:spacing w:before="45"/>
        <w:ind w:left="142"/>
      </w:pPr>
      <w:r>
        <w:rPr/>
        <w:br w:type="column"/>
      </w:r>
      <w:r>
        <w:rPr>
          <w:spacing w:val="-3"/>
        </w:rPr>
        <w:t>指为治疗一条或者一条以上的下列动脉狭窄而实施的血管介入治疗：</w:t>
      </w:r>
    </w:p>
    <w:p>
      <w:pPr>
        <w:pStyle w:val="ListParagraph"/>
        <w:numPr>
          <w:ilvl w:val="0"/>
          <w:numId w:val="25"/>
        </w:numPr>
        <w:tabs>
          <w:tab w:pos="672" w:val="left" w:leader="none"/>
        </w:tabs>
        <w:spacing w:line="240" w:lineRule="auto" w:before="43" w:after="0"/>
        <w:ind w:left="671" w:right="0" w:hanging="530"/>
        <w:jc w:val="left"/>
        <w:rPr>
          <w:sz w:val="21"/>
        </w:rPr>
      </w:pPr>
      <w:r>
        <w:rPr>
          <w:spacing w:val="-3"/>
          <w:sz w:val="21"/>
        </w:rPr>
        <w:t>为下肢或者上肢供血的动脉；</w:t>
      </w:r>
    </w:p>
    <w:p>
      <w:pPr>
        <w:pStyle w:val="ListParagraph"/>
        <w:numPr>
          <w:ilvl w:val="0"/>
          <w:numId w:val="25"/>
        </w:numPr>
        <w:tabs>
          <w:tab w:pos="672" w:val="left" w:leader="none"/>
        </w:tabs>
        <w:spacing w:line="240" w:lineRule="auto" w:before="43" w:after="0"/>
        <w:ind w:left="671" w:right="0" w:hanging="530"/>
        <w:jc w:val="left"/>
        <w:rPr>
          <w:sz w:val="21"/>
        </w:rPr>
      </w:pPr>
      <w:r>
        <w:rPr>
          <w:spacing w:val="-4"/>
          <w:sz w:val="21"/>
        </w:rPr>
        <w:t>肾动脉；</w:t>
      </w:r>
    </w:p>
    <w:p>
      <w:pPr>
        <w:pStyle w:val="ListParagraph"/>
        <w:numPr>
          <w:ilvl w:val="0"/>
          <w:numId w:val="25"/>
        </w:numPr>
        <w:tabs>
          <w:tab w:pos="672" w:val="left" w:leader="none"/>
        </w:tabs>
        <w:spacing w:line="278" w:lineRule="auto" w:before="43" w:after="0"/>
        <w:ind w:left="142" w:right="5601" w:firstLine="0"/>
        <w:jc w:val="left"/>
        <w:rPr>
          <w:sz w:val="21"/>
        </w:rPr>
      </w:pPr>
      <w:r>
        <w:rPr>
          <w:spacing w:val="-2"/>
          <w:sz w:val="21"/>
        </w:rPr>
        <w:t>肠系膜动脉。</w:t>
      </w:r>
      <w:r>
        <w:rPr>
          <w:spacing w:val="105"/>
          <w:sz w:val="21"/>
        </w:rPr>
        <w:t> </w:t>
      </w:r>
      <w:r>
        <w:rPr>
          <w:spacing w:val="-2"/>
          <w:sz w:val="21"/>
        </w:rPr>
        <w:t>须满足下列全部条件：</w:t>
      </w:r>
    </w:p>
    <w:p>
      <w:pPr>
        <w:pStyle w:val="ListParagraph"/>
        <w:numPr>
          <w:ilvl w:val="0"/>
          <w:numId w:val="26"/>
        </w:numPr>
        <w:tabs>
          <w:tab w:pos="672" w:val="left" w:leader="none"/>
        </w:tabs>
        <w:spacing w:line="269" w:lineRule="exact" w:before="0" w:after="0"/>
        <w:ind w:left="671" w:right="0" w:hanging="530"/>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0"/>
          <w:numId w:val="26"/>
        </w:numPr>
        <w:tabs>
          <w:tab w:pos="670" w:val="left" w:leader="none"/>
        </w:tabs>
        <w:spacing w:line="240" w:lineRule="auto" w:before="43" w:after="0"/>
        <w:ind w:left="669" w:right="0" w:hanging="528"/>
        <w:jc w:val="left"/>
        <w:rPr>
          <w:sz w:val="21"/>
        </w:rPr>
      </w:pPr>
      <w:r>
        <w:rPr>
          <w:spacing w:val="-3"/>
          <w:sz w:val="21"/>
        </w:rPr>
        <w:t>对一条或者一条以上的上述动脉施行了血管介入治疗，如血管成形术及</w:t>
      </w:r>
    </w:p>
    <w:p>
      <w:pPr>
        <w:pStyle w:val="BodyText"/>
        <w:spacing w:before="43"/>
        <w:ind w:left="668"/>
      </w:pPr>
      <w:r>
        <w:rPr>
          <w:spacing w:val="-3"/>
        </w:rPr>
        <w:t>/或者进行植入支架或者动脉粥样瘤清除手术。</w:t>
      </w:r>
    </w:p>
    <w:p>
      <w:pPr>
        <w:pStyle w:val="BodyText"/>
        <w:spacing w:line="278" w:lineRule="auto" w:before="43"/>
        <w:ind w:left="142" w:right="667"/>
      </w:pPr>
      <w:r>
        <w:rPr>
          <w:spacing w:val="-2"/>
        </w:rPr>
        <w:t>诊断及治疗均须在本公司认可的医疗机构内由血管疾病的专科医生认为是医</w:t>
      </w:r>
      <w:r>
        <w:rPr>
          <w:spacing w:val="-2"/>
        </w:rPr>
        <w:t>疗必需的情况下进行。</w:t>
      </w:r>
    </w:p>
    <w:p>
      <w:pPr>
        <w:spacing w:after="0" w:line="278" w:lineRule="auto"/>
        <w:sectPr>
          <w:pgSz w:w="11910" w:h="16840"/>
          <w:pgMar w:header="0" w:footer="406" w:top="1320" w:bottom="600" w:left="900" w:right="340"/>
          <w:cols w:num="2" w:equalWidth="0">
            <w:col w:w="2778" w:space="40"/>
            <w:col w:w="7852"/>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植入腔静脉过</w:t>
      </w:r>
      <w:r>
        <w:rPr>
          <w:spacing w:val="-6"/>
          <w:sz w:val="21"/>
        </w:rPr>
        <w:t>滤器</w:t>
      </w:r>
    </w:p>
    <w:p>
      <w:pPr>
        <w:pStyle w:val="BodyText"/>
        <w:spacing w:line="278" w:lineRule="auto" w:before="72"/>
        <w:ind w:left="175" w:right="667"/>
      </w:pPr>
      <w:r>
        <w:rPr/>
        <w:br w:type="column"/>
      </w:r>
      <w:r>
        <w:rPr>
          <w:spacing w:val="-2"/>
        </w:rPr>
        <w:t>指患者因反复肺栓塞发作，抗凝血疗法无效而接受手术植入腔静脉过滤器。</w:t>
      </w:r>
      <w:r>
        <w:rPr>
          <w:spacing w:val="-2"/>
        </w:rPr>
        <w:t>此手术须在本公司认可的医疗机构内由专科医生认为是医疗必需的情况下进</w:t>
      </w:r>
      <w:r>
        <w:rPr>
          <w:spacing w:val="-6"/>
        </w:rPr>
        <w:t>行。</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rPr>
          <w:sz w:val="12"/>
        </w:rPr>
      </w:pPr>
    </w:p>
    <w:p>
      <w:pPr>
        <w:pStyle w:val="ListParagraph"/>
        <w:numPr>
          <w:ilvl w:val="1"/>
          <w:numId w:val="2"/>
        </w:numPr>
        <w:tabs>
          <w:tab w:pos="1399" w:val="left" w:leader="none"/>
        </w:tabs>
        <w:spacing w:line="278" w:lineRule="auto" w:before="72" w:after="0"/>
        <w:ind w:left="2960" w:right="666" w:hanging="1880"/>
        <w:jc w:val="both"/>
        <w:rPr>
          <w:sz w:val="21"/>
        </w:rPr>
      </w:pPr>
      <w:r>
        <w:rPr>
          <w:sz w:val="21"/>
        </w:rPr>
        <w:t>早期象皮病 指因丝虫感染导致淋巴管阻塞而造成身体组织出现严重淋巴水肿，达到国际</w:t>
      </w:r>
      <w:r>
        <w:rPr>
          <w:spacing w:val="-2"/>
          <w:sz w:val="21"/>
        </w:rPr>
        <w:t>淋巴学会淋巴水肿分期第Ⅱ期，临床表现为肢体象皮肿，夜间卧床休息后不</w:t>
      </w:r>
      <w:r>
        <w:rPr>
          <w:spacing w:val="-4"/>
          <w:sz w:val="21"/>
        </w:rPr>
        <w:t>能消退，患肢较健肢增粗 20%以上。该病须在本公司认可的医疗机构内经专科</w:t>
      </w:r>
      <w:r>
        <w:rPr>
          <w:spacing w:val="-2"/>
          <w:sz w:val="21"/>
        </w:rPr>
        <w:t>医生根据临床表现和微丝蚴的化验结果确诊。</w:t>
      </w:r>
    </w:p>
    <w:p>
      <w:pPr>
        <w:pStyle w:val="Heading2"/>
        <w:spacing w:line="319" w:lineRule="exact"/>
      </w:pPr>
      <w:r>
        <w:rPr>
          <w:spacing w:val="-3"/>
        </w:rPr>
        <w:t>急性淋巴管炎或其他原因引起的淋巴水肿不在保障范围內。</w:t>
      </w: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心脏起搏器植</w:t>
      </w:r>
      <w:r>
        <w:rPr>
          <w:spacing w:val="-10"/>
          <w:sz w:val="21"/>
        </w:rPr>
        <w:t>入</w:t>
      </w:r>
    </w:p>
    <w:p>
      <w:pPr>
        <w:pStyle w:val="BodyText"/>
        <w:spacing w:line="278" w:lineRule="auto" w:before="72"/>
        <w:ind w:left="175" w:right="667"/>
      </w:pPr>
      <w:r>
        <w:rPr/>
        <w:br w:type="column"/>
      </w:r>
      <w:r>
        <w:rPr>
          <w:spacing w:val="-2"/>
        </w:rPr>
        <w:t>因严重心律失常而实际实施了植入永久性心脏起搏器的手术。理赔时须提供</w:t>
      </w:r>
      <w:r>
        <w:rPr>
          <w:spacing w:val="-2"/>
        </w:rPr>
        <w:t>完整病历资料及手术记录以证实此严重心律失常并不能以其他方法治疗。</w:t>
      </w:r>
      <w:r>
        <w:rPr>
          <w:spacing w:val="80"/>
          <w:w w:val="150"/>
        </w:rPr>
        <w:t> </w:t>
      </w:r>
      <w:r>
        <w:rPr>
          <w:spacing w:val="-2"/>
        </w:rPr>
        <w:t>诊断及治疗均须在本公司认可的医疗机构内由专科医生认为是医疗必需的情</w:t>
      </w:r>
      <w:r>
        <w:rPr>
          <w:spacing w:val="-2"/>
        </w:rPr>
        <w:t>况下进行。</w:t>
      </w:r>
    </w:p>
    <w:p>
      <w:pPr>
        <w:pStyle w:val="Heading2"/>
        <w:spacing w:line="319" w:lineRule="exact"/>
        <w:ind w:left="175"/>
      </w:pPr>
      <w:r>
        <w:rPr>
          <w:spacing w:val="-3"/>
        </w:rPr>
        <w:t>临时性心脏起搏器安装不在保障范围内。</w:t>
      </w:r>
    </w:p>
    <w:p>
      <w:pPr>
        <w:spacing w:after="0" w:line="319" w:lineRule="exact"/>
        <w:sectPr>
          <w:type w:val="continuous"/>
          <w:pgSz w:w="11910" w:h="16840"/>
          <w:pgMar w:header="0" w:footer="406" w:top="600" w:bottom="280" w:left="900" w:right="340"/>
          <w:cols w:num="2" w:equalWidth="0">
            <w:col w:w="2745" w:space="40"/>
            <w:col w:w="7885"/>
          </w:cols>
        </w:sectPr>
      </w:pPr>
    </w:p>
    <w:p>
      <w:pPr>
        <w:pStyle w:val="BodyText"/>
        <w:spacing w:before="17"/>
        <w:rPr>
          <w:rFonts w:ascii="微软雅黑"/>
          <w:b/>
          <w:sz w:val="7"/>
        </w:rPr>
      </w:pPr>
    </w:p>
    <w:p>
      <w:pPr>
        <w:spacing w:after="0"/>
        <w:rPr>
          <w:rFonts w:ascii="微软雅黑"/>
          <w:sz w:val="7"/>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心脏除颤器植</w:t>
      </w:r>
      <w:r>
        <w:rPr>
          <w:spacing w:val="-10"/>
          <w:sz w:val="21"/>
        </w:rPr>
        <w:t>入</w:t>
      </w:r>
    </w:p>
    <w:p>
      <w:pPr>
        <w:pStyle w:val="BodyText"/>
        <w:spacing w:line="278" w:lineRule="auto" w:before="72"/>
        <w:ind w:left="175" w:right="667"/>
      </w:pPr>
      <w:r>
        <w:rPr/>
        <w:br w:type="column"/>
      </w:r>
      <w:r>
        <w:rPr>
          <w:spacing w:val="-2"/>
        </w:rPr>
        <w:t>因严重心律失常而实际实施了植入永久性心脏除颤器的手术。理赔时须提供</w:t>
      </w:r>
      <w:r>
        <w:rPr>
          <w:spacing w:val="-2"/>
        </w:rPr>
        <w:t>完整病历资料及手术记录以证实此严重心律失常并不能以其他方法治疗。</w:t>
      </w:r>
      <w:r>
        <w:rPr>
          <w:spacing w:val="80"/>
          <w:w w:val="150"/>
        </w:rPr>
        <w:t> </w:t>
      </w:r>
      <w:r>
        <w:rPr>
          <w:spacing w:val="-2"/>
        </w:rPr>
        <w:t>诊断及治疗均须在本公司认可的医疗机构内由专科医生认为是医疗必需的情</w:t>
      </w:r>
      <w:r>
        <w:rPr>
          <w:spacing w:val="-2"/>
        </w:rPr>
        <w:t>况下进行。</w:t>
      </w:r>
    </w:p>
    <w:p>
      <w:pPr>
        <w:pStyle w:val="Heading2"/>
        <w:spacing w:line="282" w:lineRule="exact"/>
        <w:ind w:left="175"/>
      </w:pPr>
      <w:r>
        <w:rPr>
          <w:spacing w:val="-2"/>
        </w:rPr>
        <w:t>体外心脏电复律（</w:t>
      </w:r>
      <w:r>
        <w:rPr>
          <w:spacing w:val="-3"/>
        </w:rPr>
        <w:t>心脏电除颤)、临时性埋藏式心脏复律除颤器安装不在保障</w:t>
      </w:r>
    </w:p>
    <w:p>
      <w:pPr>
        <w:spacing w:line="350" w:lineRule="exact" w:before="0"/>
        <w:ind w:left="175" w:right="0" w:firstLine="0"/>
        <w:jc w:val="left"/>
        <w:rPr>
          <w:rFonts w:ascii="微软雅黑" w:eastAsia="微软雅黑"/>
          <w:b/>
          <w:sz w:val="21"/>
        </w:rPr>
      </w:pPr>
      <w:r>
        <w:rPr>
          <w:rFonts w:ascii="微软雅黑" w:eastAsia="微软雅黑"/>
          <w:b/>
          <w:spacing w:val="-3"/>
          <w:sz w:val="21"/>
        </w:rPr>
        <w:t>范围内。</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1"/>
        <w:rPr>
          <w:rFonts w:ascii="微软雅黑"/>
          <w:b/>
          <w:sz w:val="12"/>
        </w:rPr>
      </w:pPr>
    </w:p>
    <w:p>
      <w:pPr>
        <w:spacing w:after="0"/>
        <w:rPr>
          <w:rFonts w:ascii="微软雅黑"/>
          <w:sz w:val="12"/>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严重阻塞性睡</w:t>
      </w:r>
      <w:r>
        <w:rPr>
          <w:spacing w:val="-4"/>
          <w:sz w:val="21"/>
        </w:rPr>
        <w:t>眠窒息症</w:t>
      </w:r>
    </w:p>
    <w:p>
      <w:pPr>
        <w:pStyle w:val="BodyText"/>
        <w:spacing w:line="278" w:lineRule="auto" w:before="72"/>
        <w:ind w:left="175" w:right="667"/>
      </w:pPr>
      <w:r>
        <w:rPr/>
        <w:br w:type="column"/>
      </w:r>
      <w:r>
        <w:rPr>
          <w:spacing w:val="-2"/>
        </w:rPr>
        <w:t>须由相关医学范畴的专科医生，经多导睡眠监测仪检查明确诊断为严重阻塞</w:t>
      </w:r>
      <w:r>
        <w:rPr>
          <w:spacing w:val="-2"/>
        </w:rPr>
        <w:t>性睡眠呼吸暂停综合征（OSA），并必须符合以下两项条件：</w:t>
      </w:r>
    </w:p>
    <w:p>
      <w:pPr>
        <w:pStyle w:val="ListParagraph"/>
        <w:numPr>
          <w:ilvl w:val="0"/>
          <w:numId w:val="27"/>
        </w:numPr>
        <w:tabs>
          <w:tab w:pos="705" w:val="left" w:leader="none"/>
        </w:tabs>
        <w:spacing w:line="269" w:lineRule="exact" w:before="0" w:after="0"/>
        <w:ind w:left="704" w:right="0" w:hanging="530"/>
        <w:jc w:val="left"/>
        <w:rPr>
          <w:sz w:val="21"/>
        </w:rPr>
      </w:pPr>
      <w:r>
        <w:rPr>
          <w:spacing w:val="-2"/>
          <w:sz w:val="21"/>
        </w:rPr>
        <w:t>被保险人必须现正接受持续气道正压呼吸器（CPAP）</w:t>
      </w:r>
      <w:r>
        <w:rPr>
          <w:spacing w:val="-4"/>
          <w:sz w:val="21"/>
        </w:rPr>
        <w:t>之夜间治疗；</w:t>
      </w:r>
    </w:p>
    <w:p>
      <w:pPr>
        <w:pStyle w:val="ListParagraph"/>
        <w:numPr>
          <w:ilvl w:val="0"/>
          <w:numId w:val="27"/>
        </w:numPr>
        <w:tabs>
          <w:tab w:pos="705" w:val="left" w:leader="none"/>
        </w:tabs>
        <w:spacing w:line="240" w:lineRule="auto" w:before="43" w:after="0"/>
        <w:ind w:left="704" w:right="0" w:hanging="530"/>
        <w:jc w:val="left"/>
        <w:rPr>
          <w:sz w:val="21"/>
        </w:rPr>
      </w:pPr>
      <w:r>
        <w:rPr>
          <w:spacing w:val="-1"/>
          <w:sz w:val="21"/>
        </w:rPr>
        <w:t>必须提供睡眠测试的文件证明，显示 </w:t>
      </w:r>
      <w:r>
        <w:rPr>
          <w:sz w:val="21"/>
        </w:rPr>
        <w:t>AHI</w:t>
      </w:r>
      <w:r>
        <w:rPr>
          <w:spacing w:val="-8"/>
          <w:sz w:val="21"/>
        </w:rPr>
        <w:t> &gt; </w:t>
      </w:r>
      <w:r>
        <w:rPr>
          <w:sz w:val="21"/>
        </w:rPr>
        <w:t>30</w:t>
      </w:r>
      <w:r>
        <w:rPr>
          <w:spacing w:val="-4"/>
          <w:sz w:val="21"/>
        </w:rPr>
        <w:t> 及夜间血氧饱和平均值</w:t>
      </w:r>
    </w:p>
    <w:p>
      <w:pPr>
        <w:pStyle w:val="BodyText"/>
        <w:spacing w:before="43"/>
        <w:ind w:left="700"/>
      </w:pPr>
      <w:r>
        <w:rPr>
          <w:spacing w:val="-2"/>
        </w:rPr>
        <w:t>&lt; </w:t>
      </w:r>
      <w:r>
        <w:rPr/>
        <w:t>85</w:t>
      </w:r>
      <w:r>
        <w:rPr>
          <w:spacing w:val="-5"/>
        </w:rPr>
        <w:t>%。</w:t>
      </w:r>
    </w:p>
    <w:p>
      <w:pPr>
        <w:spacing w:after="0"/>
        <w:sectPr>
          <w:type w:val="continuous"/>
          <w:pgSz w:w="11910" w:h="16840"/>
          <w:pgMar w:header="0" w:footer="406" w:top="600" w:bottom="280" w:left="900" w:right="340"/>
          <w:cols w:num="2" w:equalWidth="0">
            <w:col w:w="2745" w:space="40"/>
            <w:col w:w="7885"/>
          </w:cols>
        </w:sectPr>
      </w:pPr>
    </w:p>
    <w:p>
      <w:pPr>
        <w:pStyle w:val="BodyText"/>
        <w:spacing w:before="7"/>
        <w:rPr>
          <w:sz w:val="15"/>
        </w:rPr>
      </w:pPr>
    </w:p>
    <w:p>
      <w:pPr>
        <w:pStyle w:val="ListParagraph"/>
        <w:numPr>
          <w:ilvl w:val="1"/>
          <w:numId w:val="2"/>
        </w:numPr>
        <w:tabs>
          <w:tab w:pos="1399" w:val="left" w:leader="none"/>
        </w:tabs>
        <w:spacing w:line="278" w:lineRule="auto" w:before="72" w:after="0"/>
        <w:ind w:left="2960" w:right="667" w:hanging="1880"/>
        <w:jc w:val="both"/>
        <w:rPr>
          <w:sz w:val="21"/>
        </w:rPr>
      </w:pPr>
      <w:r>
        <w:rPr>
          <w:spacing w:val="5"/>
          <w:sz w:val="21"/>
        </w:rPr>
        <w:t>面部重建手术 实际实施了整形或者重建手术</w:t>
      </w:r>
      <w:r>
        <w:rPr>
          <w:sz w:val="21"/>
        </w:rPr>
        <w:t>（颈部以上的面部构造不完整、缺失或者受损</w:t>
      </w:r>
      <w:r>
        <w:rPr>
          <w:spacing w:val="-2"/>
          <w:sz w:val="21"/>
        </w:rPr>
        <w:t>而对其形态及外观进行修复或者重建），同时必须由专科医生认为该面部毁</w:t>
      </w:r>
      <w:r>
        <w:rPr>
          <w:spacing w:val="-2"/>
          <w:sz w:val="21"/>
        </w:rPr>
        <w:t>容是需要接受住院治疗，及其后接受该手术，而对该面部毁容所进行的治疗</w:t>
      </w:r>
      <w:r>
        <w:rPr>
          <w:spacing w:val="-2"/>
          <w:sz w:val="21"/>
        </w:rPr>
        <w:t>亦是医疗所需。</w:t>
      </w:r>
    </w:p>
    <w:p>
      <w:pPr>
        <w:pStyle w:val="Heading2"/>
        <w:spacing w:line="282" w:lineRule="exact"/>
      </w:pPr>
      <w:r>
        <w:rPr>
          <w:spacing w:val="-1"/>
        </w:rPr>
        <w:t>因纯粹整容原因、独立的牙齿修复、独立的鼻骨骨折或者独立的皮肤伤口所</w:t>
      </w:r>
    </w:p>
    <w:p>
      <w:pPr>
        <w:spacing w:line="346" w:lineRule="exact" w:before="0"/>
        <w:ind w:left="2960" w:right="0" w:firstLine="0"/>
        <w:jc w:val="left"/>
        <w:rPr>
          <w:rFonts w:ascii="微软雅黑" w:eastAsia="微软雅黑"/>
          <w:b/>
          <w:sz w:val="21"/>
        </w:rPr>
      </w:pPr>
      <w:r>
        <w:rPr>
          <w:rFonts w:ascii="微软雅黑" w:eastAsia="微软雅黑"/>
          <w:b/>
          <w:spacing w:val="-3"/>
          <w:sz w:val="21"/>
        </w:rPr>
        <w:t>进行的手术均不在保障范围内。</w:t>
      </w:r>
    </w:p>
    <w:p>
      <w:pPr>
        <w:pStyle w:val="BodyText"/>
        <w:spacing w:line="265" w:lineRule="exact"/>
        <w:ind w:left="2960"/>
      </w:pPr>
      <w:r>
        <w:rPr>
          <w:spacing w:val="-1"/>
        </w:rPr>
        <w:t>此手术必须在本公司认可的医疗机构内由专科医生认为是医疗上必需的情况</w:t>
      </w:r>
    </w:p>
    <w:p>
      <w:pPr>
        <w:spacing w:after="0" w:line="265" w:lineRule="exact"/>
        <w:sectPr>
          <w:type w:val="continuous"/>
          <w:pgSz w:w="11910" w:h="16840"/>
          <w:pgMar w:header="0" w:footer="406" w:top="600" w:bottom="280" w:left="900" w:right="340"/>
        </w:sectPr>
      </w:pPr>
    </w:p>
    <w:p>
      <w:pPr>
        <w:pStyle w:val="BodyText"/>
        <w:spacing w:before="57"/>
        <w:ind w:left="2960"/>
      </w:pPr>
      <w:r>
        <w:rPr>
          <w:spacing w:val="-3"/>
        </w:rPr>
        <w:t>下进行，并出具诊断证明。</w:t>
      </w:r>
    </w:p>
    <w:p>
      <w:pPr>
        <w:pStyle w:val="BodyText"/>
        <w:spacing w:before="7"/>
        <w:rPr>
          <w:sz w:val="15"/>
        </w:rPr>
      </w:pPr>
    </w:p>
    <w:p>
      <w:pPr>
        <w:spacing w:after="0"/>
        <w:rPr>
          <w:sz w:val="15"/>
        </w:rPr>
        <w:sectPr>
          <w:pgSz w:w="11910" w:h="16840"/>
          <w:pgMar w:header="0" w:footer="406" w:top="1080" w:bottom="600" w:left="900" w:right="340"/>
        </w:sectPr>
      </w:pPr>
    </w:p>
    <w:p>
      <w:pPr>
        <w:pStyle w:val="ListParagraph"/>
        <w:numPr>
          <w:ilvl w:val="1"/>
          <w:numId w:val="2"/>
        </w:numPr>
        <w:tabs>
          <w:tab w:pos="1412" w:val="left" w:leader="none"/>
        </w:tabs>
        <w:spacing w:line="278" w:lineRule="auto" w:before="72" w:after="0"/>
        <w:ind w:left="1080" w:right="0" w:firstLine="0"/>
        <w:jc w:val="both"/>
        <w:rPr>
          <w:sz w:val="21"/>
        </w:rPr>
      </w:pPr>
      <w:r>
        <w:rPr>
          <w:spacing w:val="8"/>
          <w:sz w:val="21"/>
        </w:rPr>
        <w:t>因意外毁容而</w:t>
      </w:r>
      <w:r>
        <w:rPr>
          <w:spacing w:val="26"/>
          <w:sz w:val="21"/>
        </w:rPr>
        <w:t>施行的面部整形</w:t>
      </w:r>
      <w:r>
        <w:rPr>
          <w:spacing w:val="-6"/>
          <w:sz w:val="21"/>
        </w:rPr>
        <w:t>手术</w:t>
      </w:r>
    </w:p>
    <w:p>
      <w:pPr>
        <w:pStyle w:val="BodyText"/>
        <w:spacing w:line="312" w:lineRule="exact" w:before="32"/>
        <w:ind w:left="142" w:right="666"/>
        <w:jc w:val="both"/>
      </w:pPr>
      <w:r>
        <w:rPr/>
        <w:br w:type="column"/>
      </w:r>
      <w:r>
        <w:rPr>
          <w:spacing w:val="-2"/>
        </w:rPr>
        <w:t>指为修复意外伤害或暴力袭击造成的面部毁损，实际接受了在全身麻醉的情</w:t>
      </w:r>
      <w:r>
        <w:rPr>
          <w:spacing w:val="-2"/>
        </w:rPr>
        <w:t>况下，由整形外科医生实施的对严重损害或变形的面部形态和结构进行修复</w:t>
      </w:r>
      <w:r>
        <w:rPr>
          <w:spacing w:val="-2"/>
        </w:rPr>
        <w:t>或重建的面部整形手术，但未达到本合同所指的重大疾病“</w:t>
      </w:r>
      <w:r>
        <w:rPr>
          <w:rFonts w:ascii="微软雅黑" w:hAnsi="微软雅黑" w:eastAsia="微软雅黑"/>
          <w:b/>
          <w:spacing w:val="-2"/>
        </w:rPr>
        <w:t>严重面部烧伤</w:t>
      </w:r>
      <w:r>
        <w:rPr>
          <w:spacing w:val="-2"/>
        </w:rPr>
        <w:t>”</w:t>
      </w:r>
      <w:r>
        <w:rPr>
          <w:spacing w:val="-2"/>
        </w:rPr>
        <w:t>的给付标准。</w:t>
      </w:r>
    </w:p>
    <w:p>
      <w:pPr>
        <w:pStyle w:val="BodyText"/>
        <w:spacing w:line="257" w:lineRule="exact" w:before="40"/>
        <w:ind w:left="142"/>
        <w:jc w:val="both"/>
      </w:pPr>
      <w:r>
        <w:rPr>
          <w:spacing w:val="-5"/>
        </w:rPr>
        <w:t>面部整形手术必须在意外伤害后的 </w:t>
      </w:r>
      <w:r>
        <w:rPr>
          <w:spacing w:val="-2"/>
        </w:rPr>
        <w:t>180</w:t>
      </w:r>
      <w:r>
        <w:rPr>
          <w:spacing w:val="-11"/>
        </w:rPr>
        <w:t> 天内实施。</w:t>
      </w:r>
    </w:p>
    <w:p>
      <w:pPr>
        <w:spacing w:line="235" w:lineRule="auto" w:before="0"/>
        <w:ind w:left="142" w:right="746" w:firstLine="0"/>
        <w:jc w:val="left"/>
        <w:rPr>
          <w:sz w:val="21"/>
        </w:rPr>
      </w:pPr>
      <w:r>
        <w:rPr>
          <w:rFonts w:ascii="微软雅黑" w:eastAsia="微软雅黑"/>
          <w:b/>
          <w:spacing w:val="-2"/>
          <w:sz w:val="21"/>
        </w:rPr>
        <w:t>因面部外伤后遗留的线条状瘢痕及色素沉着而施行的手术不在保障范围内。</w:t>
      </w:r>
      <w:r>
        <w:rPr>
          <w:spacing w:val="-2"/>
          <w:sz w:val="21"/>
        </w:rPr>
        <w:t>意外伤害必须满足下列全部条件：</w:t>
      </w:r>
    </w:p>
    <w:p>
      <w:pPr>
        <w:pStyle w:val="ListParagraph"/>
        <w:numPr>
          <w:ilvl w:val="0"/>
          <w:numId w:val="28"/>
        </w:numPr>
        <w:tabs>
          <w:tab w:pos="670" w:val="left" w:leader="none"/>
        </w:tabs>
        <w:spacing w:line="278" w:lineRule="auto" w:before="36" w:after="0"/>
        <w:ind w:left="668" w:right="666" w:hanging="526"/>
        <w:jc w:val="left"/>
        <w:rPr>
          <w:sz w:val="21"/>
        </w:rPr>
      </w:pPr>
      <w:r>
        <w:rPr>
          <w:spacing w:val="-2"/>
          <w:sz w:val="21"/>
        </w:rPr>
        <w:t>由外在暴力引起并且造成表面可视性伤口和面部骨结构损害的，或面部</w:t>
      </w:r>
      <w:r>
        <w:rPr>
          <w:spacing w:val="-2"/>
          <w:sz w:val="21"/>
        </w:rPr>
        <w:t>皮肤三度或全层意外烧伤；</w:t>
      </w:r>
    </w:p>
    <w:p>
      <w:pPr>
        <w:pStyle w:val="ListParagraph"/>
        <w:numPr>
          <w:ilvl w:val="0"/>
          <w:numId w:val="28"/>
        </w:numPr>
        <w:tabs>
          <w:tab w:pos="672" w:val="left" w:leader="none"/>
        </w:tabs>
        <w:spacing w:line="257" w:lineRule="exact" w:before="0" w:after="0"/>
        <w:ind w:left="671" w:right="0" w:hanging="530"/>
        <w:jc w:val="left"/>
        <w:rPr>
          <w:sz w:val="21"/>
        </w:rPr>
      </w:pPr>
      <w:r>
        <w:rPr>
          <w:spacing w:val="-3"/>
          <w:sz w:val="21"/>
        </w:rPr>
        <w:t>是造成面部毁损的直接和独立的原因。</w:t>
      </w:r>
    </w:p>
    <w:p>
      <w:pPr>
        <w:pStyle w:val="Heading2"/>
        <w:spacing w:line="194" w:lineRule="auto" w:before="41"/>
        <w:ind w:left="142" w:right="561"/>
      </w:pPr>
      <w:r>
        <w:rPr>
          <w:spacing w:val="-3"/>
          <w:w w:val="100"/>
        </w:rPr>
        <w:t>因面部外伤后遗留的线条状瘢痕及色素沉着而施行的手术不在保障范围内。</w:t>
      </w:r>
      <w:r>
        <w:rPr>
          <w:w w:val="100"/>
        </w:rPr>
        <w:t>因烧伤达到本合同所指的轻症疾病“轻度Ⅲ度烧伤”、“轻度面部烧伤”，</w:t>
      </w:r>
      <w:r>
        <w:rPr>
          <w:spacing w:val="-7"/>
          <w:w w:val="100"/>
        </w:rPr>
        <w:t>或本合同所指的中症疾病“中度Ⅲ度烧伤”、“中度面部烧伤”给付条件的，</w:t>
      </w:r>
      <w:r>
        <w:rPr>
          <w:spacing w:val="-3"/>
          <w:w w:val="100"/>
        </w:rPr>
        <w:t>本公司不再承担对该种轻症疾病保险金的责任。</w:t>
      </w:r>
    </w:p>
    <w:p>
      <w:pPr>
        <w:spacing w:after="0" w:line="194" w:lineRule="auto"/>
        <w:sectPr>
          <w:type w:val="continuous"/>
          <w:pgSz w:w="11910" w:h="16840"/>
          <w:pgMar w:header="0" w:footer="406" w:top="600" w:bottom="280" w:left="900" w:right="340"/>
          <w:cols w:num="2" w:equalWidth="0">
            <w:col w:w="2778" w:space="40"/>
            <w:col w:w="7852"/>
          </w:cols>
        </w:sectPr>
      </w:pPr>
    </w:p>
    <w:p>
      <w:pPr>
        <w:pStyle w:val="BodyText"/>
        <w:spacing w:before="17"/>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系统性红斑狼</w:t>
      </w:r>
      <w:r>
        <w:rPr>
          <w:spacing w:val="-10"/>
          <w:sz w:val="21"/>
        </w:rPr>
        <w:t>疮</w:t>
      </w:r>
    </w:p>
    <w:p>
      <w:pPr>
        <w:pStyle w:val="BodyText"/>
        <w:spacing w:line="278" w:lineRule="auto" w:before="72"/>
        <w:ind w:left="175" w:right="667"/>
      </w:pPr>
      <w:r>
        <w:rPr/>
        <w:br w:type="column"/>
      </w:r>
      <w:r>
        <w:rPr>
          <w:spacing w:val="-2"/>
        </w:rPr>
        <w:t>是一种累及多脏器的自身免疫性的炎症性结缔组织病。其诊断须满足下列两</w:t>
      </w:r>
      <w:r>
        <w:rPr>
          <w:spacing w:val="-4"/>
        </w:rPr>
        <w:t>个条件：</w:t>
      </w:r>
    </w:p>
    <w:p>
      <w:pPr>
        <w:pStyle w:val="ListParagraph"/>
        <w:numPr>
          <w:ilvl w:val="0"/>
          <w:numId w:val="29"/>
        </w:numPr>
        <w:tabs>
          <w:tab w:pos="705" w:val="left" w:leader="none"/>
        </w:tabs>
        <w:spacing w:line="269" w:lineRule="exact" w:before="0" w:after="0"/>
        <w:ind w:left="704" w:right="0" w:hanging="530"/>
        <w:jc w:val="left"/>
        <w:rPr>
          <w:sz w:val="21"/>
        </w:rPr>
      </w:pPr>
      <w:r>
        <w:rPr>
          <w:spacing w:val="-3"/>
          <w:sz w:val="21"/>
        </w:rPr>
        <w:t>临床表现至少具备如下条件的四个：</w:t>
      </w:r>
    </w:p>
    <w:p>
      <w:pPr>
        <w:pStyle w:val="BodyText"/>
        <w:spacing w:before="43"/>
        <w:ind w:left="700"/>
      </w:pPr>
      <w:r>
        <w:rPr>
          <w:spacing w:val="-5"/>
        </w:rPr>
        <w:t>① 蝶形红斑或盘形红斑；</w:t>
      </w:r>
    </w:p>
    <w:p>
      <w:pPr>
        <w:pStyle w:val="BodyText"/>
        <w:spacing w:before="43"/>
        <w:ind w:left="700"/>
      </w:pPr>
      <w:r>
        <w:rPr>
          <w:spacing w:val="-4"/>
        </w:rPr>
        <w:t>② 光敏感；</w:t>
      </w:r>
    </w:p>
    <w:p>
      <w:pPr>
        <w:pStyle w:val="BodyText"/>
        <w:spacing w:before="43"/>
        <w:ind w:left="700"/>
      </w:pPr>
      <w:r>
        <w:rPr>
          <w:spacing w:val="-4"/>
        </w:rPr>
        <w:t>③ 口腔溃疡；</w:t>
      </w:r>
    </w:p>
    <w:p>
      <w:pPr>
        <w:pStyle w:val="BodyText"/>
        <w:spacing w:before="43"/>
        <w:ind w:left="700"/>
      </w:pPr>
      <w:r>
        <w:rPr>
          <w:spacing w:val="-6"/>
        </w:rPr>
        <w:t>④ 非畸形关节炎或多关节痛；</w:t>
      </w:r>
    </w:p>
    <w:p>
      <w:pPr>
        <w:pStyle w:val="BodyText"/>
        <w:spacing w:before="43"/>
        <w:ind w:left="700"/>
      </w:pPr>
      <w:r>
        <w:rPr>
          <w:spacing w:val="-6"/>
        </w:rPr>
        <w:t>⑤ 浆膜炎、胸膜炎或心包炎；</w:t>
      </w:r>
    </w:p>
    <w:p>
      <w:pPr>
        <w:pStyle w:val="BodyText"/>
        <w:spacing w:before="43"/>
        <w:ind w:left="700"/>
      </w:pPr>
      <w:r>
        <w:rPr>
          <w:spacing w:val="-5"/>
        </w:rPr>
        <w:t>⑥ 神经系统损伤</w:t>
      </w:r>
      <w:r>
        <w:rPr/>
        <w:t>（癫痫或精神症状</w:t>
      </w:r>
      <w:r>
        <w:rPr>
          <w:spacing w:val="-5"/>
        </w:rPr>
        <w:t>）；</w:t>
      </w:r>
    </w:p>
    <w:p>
      <w:pPr>
        <w:pStyle w:val="BodyText"/>
        <w:spacing w:before="33"/>
        <w:ind w:left="700"/>
      </w:pPr>
      <w:r>
        <w:rPr>
          <w:spacing w:val="-1"/>
        </w:rPr>
        <w:t>⑦ 血象异常</w:t>
      </w:r>
      <w:r>
        <w:rPr>
          <w:spacing w:val="-2"/>
        </w:rPr>
        <w:t>（WBC&lt;4×10</w:t>
      </w:r>
      <w:r>
        <w:rPr>
          <w:spacing w:val="-2"/>
          <w:position w:val="11"/>
          <w:sz w:val="11"/>
        </w:rPr>
        <w:t>9</w:t>
      </w:r>
      <w:r>
        <w:rPr>
          <w:spacing w:val="-2"/>
        </w:rPr>
        <w:t>／L</w:t>
      </w:r>
      <w:r>
        <w:rPr>
          <w:spacing w:val="-11"/>
        </w:rPr>
        <w:t> 或血小板&lt;</w:t>
      </w:r>
      <w:r>
        <w:rPr>
          <w:spacing w:val="-2"/>
        </w:rPr>
        <w:t>100×10</w:t>
      </w:r>
      <w:r>
        <w:rPr>
          <w:spacing w:val="-2"/>
          <w:position w:val="11"/>
          <w:sz w:val="11"/>
        </w:rPr>
        <w:t>9</w:t>
      </w:r>
      <w:r>
        <w:rPr>
          <w:spacing w:val="-2"/>
        </w:rPr>
        <w:t>／L</w:t>
      </w:r>
      <w:r>
        <w:rPr>
          <w:spacing w:val="-10"/>
        </w:rPr>
        <w:t> 或溶血性贫血</w:t>
      </w:r>
      <w:r>
        <w:rPr>
          <w:spacing w:val="-2"/>
        </w:rPr>
        <w:t>）</w:t>
      </w:r>
      <w:r>
        <w:rPr>
          <w:spacing w:val="-10"/>
        </w:rPr>
        <w:t>。</w:t>
      </w:r>
    </w:p>
    <w:p>
      <w:pPr>
        <w:pStyle w:val="ListParagraph"/>
        <w:numPr>
          <w:ilvl w:val="0"/>
          <w:numId w:val="29"/>
        </w:numPr>
        <w:tabs>
          <w:tab w:pos="705" w:val="left" w:leader="none"/>
        </w:tabs>
        <w:spacing w:line="240" w:lineRule="auto" w:before="43" w:after="0"/>
        <w:ind w:left="704" w:right="0" w:hanging="530"/>
        <w:jc w:val="left"/>
        <w:rPr>
          <w:sz w:val="21"/>
        </w:rPr>
      </w:pPr>
      <w:r>
        <w:rPr>
          <w:spacing w:val="-3"/>
          <w:sz w:val="21"/>
        </w:rPr>
        <w:t>检测结果至少具备如下条件的两个：</w:t>
      </w:r>
    </w:p>
    <w:p>
      <w:pPr>
        <w:pStyle w:val="BodyText"/>
        <w:spacing w:before="43"/>
        <w:ind w:left="700"/>
      </w:pPr>
      <w:r>
        <w:rPr>
          <w:spacing w:val="-10"/>
        </w:rPr>
        <w:t>① 狼疮细胞或抗双链 </w:t>
      </w:r>
      <w:r>
        <w:rPr/>
        <w:t>DNA</w:t>
      </w:r>
      <w:r>
        <w:rPr>
          <w:spacing w:val="-12"/>
        </w:rPr>
        <w:t> 抗体阳性；</w:t>
      </w:r>
    </w:p>
    <w:p>
      <w:pPr>
        <w:pStyle w:val="BodyText"/>
        <w:spacing w:before="43"/>
        <w:ind w:left="700"/>
      </w:pPr>
      <w:r>
        <w:rPr>
          <w:spacing w:val="-16"/>
        </w:rPr>
        <w:t>② 抗 </w:t>
      </w:r>
      <w:r>
        <w:rPr/>
        <w:t>Sm</w:t>
      </w:r>
      <w:r>
        <w:rPr>
          <w:spacing w:val="-12"/>
        </w:rPr>
        <w:t> 抗体阳性；</w:t>
      </w:r>
    </w:p>
    <w:p>
      <w:pPr>
        <w:pStyle w:val="BodyText"/>
        <w:spacing w:before="43"/>
        <w:ind w:left="700"/>
      </w:pPr>
      <w:r>
        <w:rPr>
          <w:spacing w:val="-4"/>
        </w:rPr>
        <w:t>③ 抗核抗体阳性；</w:t>
      </w:r>
    </w:p>
    <w:p>
      <w:pPr>
        <w:pStyle w:val="BodyText"/>
        <w:spacing w:before="43"/>
        <w:ind w:left="700"/>
      </w:pPr>
      <w:r>
        <w:rPr>
          <w:spacing w:val="-5"/>
        </w:rPr>
        <w:t>④ 狼疮带试验阳性；</w:t>
      </w:r>
    </w:p>
    <w:p>
      <w:pPr>
        <w:pStyle w:val="BodyText"/>
        <w:spacing w:before="43"/>
        <w:ind w:left="700"/>
      </w:pPr>
      <w:r>
        <w:rPr>
          <w:spacing w:val="-5"/>
        </w:rPr>
        <w:t>⑤ </w:t>
      </w:r>
      <w:r>
        <w:rPr/>
        <w:t>C3</w:t>
      </w:r>
      <w:r>
        <w:rPr>
          <w:spacing w:val="-10"/>
        </w:rPr>
        <w:t> 补体低于正常。</w:t>
      </w:r>
    </w:p>
    <w:p>
      <w:pPr>
        <w:spacing w:after="0"/>
        <w:sectPr>
          <w:type w:val="continuous"/>
          <w:pgSz w:w="11910" w:h="16840"/>
          <w:pgMar w:header="0" w:footer="406" w:top="600" w:bottom="280" w:left="900" w:right="340"/>
          <w:cols w:num="2" w:equalWidth="0">
            <w:col w:w="2745" w:space="40"/>
            <w:col w:w="7885"/>
          </w:cols>
        </w:sectPr>
      </w:pPr>
    </w:p>
    <w:p>
      <w:pPr>
        <w:pStyle w:val="BodyText"/>
        <w:spacing w:before="4"/>
        <w:rPr>
          <w:sz w:val="15"/>
        </w:rPr>
      </w:pPr>
    </w:p>
    <w:p>
      <w:pPr>
        <w:spacing w:after="0"/>
        <w:rPr>
          <w:sz w:val="15"/>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轻度特发性肺</w:t>
      </w:r>
      <w:r>
        <w:rPr>
          <w:spacing w:val="-4"/>
          <w:sz w:val="21"/>
        </w:rPr>
        <w:t>动脉高压</w:t>
      </w:r>
    </w:p>
    <w:p>
      <w:pPr>
        <w:spacing w:line="312" w:lineRule="exact" w:before="32"/>
        <w:ind w:left="175" w:right="666" w:firstLine="0"/>
        <w:jc w:val="both"/>
        <w:rPr>
          <w:sz w:val="21"/>
        </w:rPr>
      </w:pPr>
      <w:r>
        <w:rPr/>
        <w:br w:type="column"/>
      </w:r>
      <w:r>
        <w:rPr>
          <w:spacing w:val="-2"/>
          <w:sz w:val="21"/>
        </w:rPr>
        <w:t>指由于原发性肺动脉高压进行性发展而导致右心室肥厚，已经造成永久不可</w:t>
      </w:r>
      <w:r>
        <w:rPr>
          <w:spacing w:val="19"/>
          <w:w w:val="95"/>
          <w:sz w:val="21"/>
        </w:rPr>
        <w:t>逆</w:t>
      </w:r>
      <w:r>
        <w:rPr>
          <w:spacing w:val="19"/>
          <w:w w:val="95"/>
          <w:sz w:val="21"/>
        </w:rPr>
        <w:t>性</w:t>
      </w:r>
      <w:r>
        <w:rPr>
          <w:spacing w:val="16"/>
          <w:w w:val="95"/>
          <w:sz w:val="21"/>
        </w:rPr>
        <w:t>的体力</w:t>
      </w:r>
      <w:r>
        <w:rPr>
          <w:spacing w:val="19"/>
          <w:w w:val="95"/>
          <w:sz w:val="21"/>
        </w:rPr>
        <w:t>活</w:t>
      </w:r>
      <w:r>
        <w:rPr>
          <w:spacing w:val="19"/>
          <w:w w:val="95"/>
          <w:sz w:val="21"/>
        </w:rPr>
        <w:t>动</w:t>
      </w:r>
      <w:r>
        <w:rPr>
          <w:spacing w:val="8"/>
          <w:w w:val="95"/>
          <w:sz w:val="21"/>
        </w:rPr>
        <w:t>能力受限， 达到</w:t>
      </w:r>
      <w:r>
        <w:rPr>
          <w:rFonts w:ascii="微软雅黑" w:hAnsi="微软雅黑" w:eastAsia="微软雅黑"/>
          <w:b/>
          <w:spacing w:val="19"/>
          <w:w w:val="95"/>
          <w:sz w:val="21"/>
        </w:rPr>
        <w:t>美</w:t>
      </w:r>
      <w:r>
        <w:rPr>
          <w:rFonts w:ascii="微软雅黑" w:hAnsi="微软雅黑" w:eastAsia="微软雅黑"/>
          <w:b/>
          <w:spacing w:val="19"/>
          <w:w w:val="95"/>
          <w:sz w:val="21"/>
        </w:rPr>
        <w:t>国</w:t>
      </w:r>
      <w:r>
        <w:rPr>
          <w:rFonts w:ascii="微软雅黑" w:hAnsi="微软雅黑" w:eastAsia="微软雅黑"/>
          <w:b/>
          <w:spacing w:val="19"/>
          <w:w w:val="95"/>
          <w:sz w:val="21"/>
        </w:rPr>
        <w:t>纽</w:t>
      </w:r>
      <w:r>
        <w:rPr>
          <w:rFonts w:ascii="微软雅黑" w:hAnsi="微软雅黑" w:eastAsia="微软雅黑"/>
          <w:b/>
          <w:spacing w:val="19"/>
          <w:w w:val="95"/>
          <w:sz w:val="21"/>
        </w:rPr>
        <w:t>约</w:t>
      </w:r>
      <w:r>
        <w:rPr>
          <w:rFonts w:ascii="微软雅黑" w:hAnsi="微软雅黑" w:eastAsia="微软雅黑"/>
          <w:b/>
          <w:spacing w:val="19"/>
          <w:w w:val="95"/>
          <w:sz w:val="21"/>
        </w:rPr>
        <w:t>心</w:t>
      </w:r>
      <w:r>
        <w:rPr>
          <w:rFonts w:ascii="微软雅黑" w:hAnsi="微软雅黑" w:eastAsia="微软雅黑"/>
          <w:b/>
          <w:spacing w:val="19"/>
          <w:w w:val="95"/>
          <w:sz w:val="21"/>
        </w:rPr>
        <w:t>脏</w:t>
      </w:r>
      <w:r>
        <w:rPr>
          <w:rFonts w:ascii="微软雅黑" w:hAnsi="微软雅黑" w:eastAsia="微软雅黑"/>
          <w:b/>
          <w:spacing w:val="19"/>
          <w:w w:val="95"/>
          <w:sz w:val="21"/>
        </w:rPr>
        <w:t>病</w:t>
      </w:r>
      <w:r>
        <w:rPr>
          <w:rFonts w:ascii="微软雅黑" w:hAnsi="微软雅黑" w:eastAsia="微软雅黑"/>
          <w:b/>
          <w:spacing w:val="19"/>
          <w:w w:val="95"/>
          <w:sz w:val="21"/>
        </w:rPr>
        <w:t>学</w:t>
      </w:r>
      <w:r>
        <w:rPr>
          <w:rFonts w:ascii="微软雅黑" w:hAnsi="微软雅黑" w:eastAsia="微软雅黑"/>
          <w:b/>
          <w:spacing w:val="19"/>
          <w:w w:val="95"/>
          <w:sz w:val="21"/>
        </w:rPr>
        <w:t>会</w:t>
      </w:r>
      <w:r>
        <w:rPr>
          <w:rFonts w:ascii="微软雅黑" w:hAnsi="微软雅黑" w:eastAsia="微软雅黑"/>
          <w:b/>
          <w:w w:val="95"/>
          <w:sz w:val="21"/>
        </w:rPr>
        <w:t>（</w:t>
      </w:r>
      <w:r>
        <w:rPr>
          <w:rFonts w:ascii="微软雅黑" w:hAnsi="微软雅黑" w:eastAsia="微软雅黑"/>
          <w:b/>
          <w:spacing w:val="-13"/>
          <w:w w:val="95"/>
          <w:sz w:val="21"/>
        </w:rPr>
        <w:t> </w:t>
      </w:r>
      <w:r>
        <w:rPr>
          <w:rFonts w:ascii="微软雅黑" w:hAnsi="微软雅黑" w:eastAsia="微软雅黑"/>
          <w:b/>
          <w:w w:val="95"/>
          <w:sz w:val="21"/>
        </w:rPr>
        <w:t>New</w:t>
      </w:r>
      <w:r>
        <w:rPr>
          <w:rFonts w:ascii="微软雅黑" w:hAnsi="微软雅黑" w:eastAsia="微软雅黑"/>
          <w:b/>
          <w:spacing w:val="-2"/>
          <w:sz w:val="21"/>
        </w:rPr>
        <w:t> </w:t>
      </w:r>
      <w:r>
        <w:rPr>
          <w:rFonts w:ascii="微软雅黑" w:hAnsi="微软雅黑" w:eastAsia="微软雅黑"/>
          <w:b/>
          <w:w w:val="95"/>
          <w:sz w:val="21"/>
        </w:rPr>
        <w:t>York</w:t>
      </w:r>
      <w:r>
        <w:rPr>
          <w:rFonts w:ascii="微软雅黑" w:hAnsi="微软雅黑" w:eastAsia="微软雅黑"/>
          <w:b/>
          <w:spacing w:val="40"/>
          <w:sz w:val="21"/>
        </w:rPr>
        <w:t> </w:t>
      </w:r>
      <w:r>
        <w:rPr>
          <w:rFonts w:ascii="微软雅黑" w:hAnsi="微软雅黑" w:eastAsia="微软雅黑"/>
          <w:b/>
          <w:w w:val="95"/>
          <w:sz w:val="21"/>
        </w:rPr>
        <w:t>Heart Association，NYHA）心</w:t>
      </w:r>
      <w:r>
        <w:rPr>
          <w:rFonts w:ascii="微软雅黑" w:hAnsi="微软雅黑" w:eastAsia="微软雅黑"/>
          <w:b/>
          <w:w w:val="95"/>
          <w:sz w:val="21"/>
        </w:rPr>
        <w:t>功</w:t>
      </w:r>
      <w:r>
        <w:rPr>
          <w:rFonts w:ascii="微软雅黑" w:hAnsi="微软雅黑" w:eastAsia="微软雅黑"/>
          <w:b/>
          <w:w w:val="95"/>
          <w:sz w:val="21"/>
        </w:rPr>
        <w:t>能</w:t>
      </w:r>
      <w:r>
        <w:rPr>
          <w:rFonts w:ascii="微软雅黑" w:hAnsi="微软雅黑" w:eastAsia="微软雅黑"/>
          <w:b/>
          <w:w w:val="95"/>
          <w:sz w:val="21"/>
        </w:rPr>
        <w:t>状</w:t>
      </w:r>
      <w:r>
        <w:rPr>
          <w:rFonts w:ascii="微软雅黑" w:hAnsi="微软雅黑" w:eastAsia="微软雅黑"/>
          <w:b/>
          <w:w w:val="95"/>
          <w:sz w:val="21"/>
        </w:rPr>
        <w:t>态</w:t>
      </w:r>
      <w:r>
        <w:rPr>
          <w:rFonts w:ascii="微软雅黑" w:hAnsi="微软雅黑" w:eastAsia="微软雅黑"/>
          <w:b/>
          <w:w w:val="95"/>
          <w:sz w:val="21"/>
        </w:rPr>
        <w:t>分</w:t>
      </w:r>
      <w:r>
        <w:rPr>
          <w:rFonts w:ascii="微软雅黑" w:hAnsi="微软雅黑" w:eastAsia="微软雅黑"/>
          <w:b/>
          <w:w w:val="95"/>
          <w:sz w:val="21"/>
        </w:rPr>
        <w:t>级</w:t>
      </w:r>
      <w:r>
        <w:rPr>
          <w:rFonts w:ascii="微软雅黑" w:hAnsi="微软雅黑" w:eastAsia="微软雅黑"/>
          <w:b/>
          <w:w w:val="95"/>
          <w:sz w:val="21"/>
        </w:rPr>
        <w:t> </w:t>
      </w:r>
      <w:r>
        <w:rPr>
          <w:w w:val="95"/>
          <w:position w:val="11"/>
          <w:sz w:val="11"/>
        </w:rPr>
        <w:t>11.29</w:t>
      </w:r>
      <w:r>
        <w:rPr>
          <w:w w:val="95"/>
          <w:sz w:val="21"/>
        </w:rPr>
        <w:t>Ⅲ</w:t>
      </w:r>
      <w:r>
        <w:rPr>
          <w:w w:val="95"/>
          <w:sz w:val="21"/>
        </w:rPr>
        <w:t>级</w:t>
      </w:r>
      <w:r>
        <w:rPr>
          <w:w w:val="95"/>
          <w:sz w:val="21"/>
        </w:rPr>
        <w:t>，在</w:t>
      </w:r>
      <w:r>
        <w:rPr>
          <w:w w:val="95"/>
          <w:sz w:val="21"/>
        </w:rPr>
        <w:t>本</w:t>
      </w:r>
      <w:r>
        <w:rPr>
          <w:w w:val="95"/>
          <w:sz w:val="21"/>
        </w:rPr>
        <w:t>公</w:t>
      </w:r>
      <w:r>
        <w:rPr>
          <w:w w:val="95"/>
          <w:sz w:val="21"/>
        </w:rPr>
        <w:t>司</w:t>
      </w:r>
      <w:r>
        <w:rPr>
          <w:w w:val="95"/>
          <w:sz w:val="21"/>
        </w:rPr>
        <w:t>认</w:t>
      </w:r>
      <w:r>
        <w:rPr>
          <w:w w:val="95"/>
          <w:sz w:val="21"/>
        </w:rPr>
        <w:t>可</w:t>
      </w:r>
      <w:r>
        <w:rPr>
          <w:w w:val="95"/>
          <w:sz w:val="21"/>
        </w:rPr>
        <w:t>的</w:t>
      </w:r>
      <w:r>
        <w:rPr>
          <w:w w:val="95"/>
          <w:sz w:val="21"/>
        </w:rPr>
        <w:t>医</w:t>
      </w:r>
      <w:r>
        <w:rPr>
          <w:w w:val="95"/>
          <w:sz w:val="21"/>
        </w:rPr>
        <w:t>疗</w:t>
      </w:r>
      <w:r>
        <w:rPr>
          <w:w w:val="95"/>
          <w:sz w:val="21"/>
        </w:rPr>
        <w:t>机</w:t>
      </w:r>
      <w:r>
        <w:rPr>
          <w:w w:val="95"/>
          <w:sz w:val="21"/>
        </w:rPr>
        <w:t>构内</w:t>
      </w:r>
      <w:r>
        <w:rPr>
          <w:spacing w:val="-2"/>
          <w:sz w:val="21"/>
        </w:rPr>
        <w:t>由心脏科专科医生确诊，且静息状态下肺动脉平均压超过 </w:t>
      </w:r>
      <w:r>
        <w:rPr>
          <w:sz w:val="21"/>
        </w:rPr>
        <w:t>25mmHg，但未达到</w:t>
      </w:r>
      <w:r>
        <w:rPr>
          <w:spacing w:val="-2"/>
          <w:sz w:val="21"/>
        </w:rPr>
        <w:t>本合同所指的重大疾病“</w:t>
      </w:r>
      <w:r>
        <w:rPr>
          <w:rFonts w:ascii="微软雅黑" w:hAnsi="微软雅黑" w:eastAsia="微软雅黑"/>
          <w:b/>
          <w:spacing w:val="-2"/>
          <w:sz w:val="21"/>
        </w:rPr>
        <w:t>严重特发性肺动脉高压</w:t>
      </w:r>
      <w:r>
        <w:rPr>
          <w:spacing w:val="-2"/>
          <w:sz w:val="21"/>
        </w:rPr>
        <w:t>”的标准。</w:t>
      </w:r>
    </w:p>
    <w:p>
      <w:pPr>
        <w:spacing w:after="0" w:line="312" w:lineRule="exact"/>
        <w:jc w:val="both"/>
        <w:rPr>
          <w:sz w:val="21"/>
        </w:rPr>
        <w:sectPr>
          <w:type w:val="continuous"/>
          <w:pgSz w:w="11910" w:h="16840"/>
          <w:pgMar w:header="0" w:footer="406" w:top="600" w:bottom="280" w:left="900" w:right="340"/>
          <w:cols w:num="2" w:equalWidth="0">
            <w:col w:w="2745" w:space="40"/>
            <w:col w:w="7885"/>
          </w:cols>
        </w:sectPr>
      </w:pPr>
    </w:p>
    <w:p>
      <w:pPr>
        <w:pStyle w:val="BodyText"/>
        <w:spacing w:before="5"/>
        <w:rPr>
          <w:sz w:val="15"/>
        </w:rPr>
      </w:pPr>
    </w:p>
    <w:p>
      <w:pPr>
        <w:spacing w:after="0"/>
        <w:rPr>
          <w:sz w:val="15"/>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1" w:after="0"/>
        <w:ind w:left="1080" w:right="0" w:firstLine="0"/>
        <w:jc w:val="left"/>
        <w:rPr>
          <w:sz w:val="21"/>
        </w:rPr>
      </w:pPr>
      <w:r>
        <w:rPr>
          <w:spacing w:val="8"/>
          <w:sz w:val="21"/>
        </w:rPr>
        <w:t>轻度继发性肺</w:t>
      </w:r>
      <w:r>
        <w:rPr>
          <w:spacing w:val="-4"/>
          <w:sz w:val="21"/>
        </w:rPr>
        <w:t>动脉高压</w:t>
      </w:r>
    </w:p>
    <w:p>
      <w:pPr>
        <w:pStyle w:val="BodyText"/>
        <w:spacing w:line="312" w:lineRule="exact" w:before="32"/>
        <w:ind w:left="175" w:right="560"/>
      </w:pPr>
      <w:r>
        <w:rPr/>
        <w:br w:type="column"/>
      </w:r>
      <w:r>
        <w:rPr>
          <w:w w:val="100"/>
        </w:rPr>
        <w:t>指继发性肺动脉压力持续增高而导致右心室肥厚，已经造成永久不可逆性的</w:t>
      </w:r>
      <w:r>
        <w:rPr>
          <w:spacing w:val="-8"/>
          <w:w w:val="100"/>
        </w:rPr>
        <w:t>体力活动能力受限，达到美国纽约心脏病学会</w:t>
      </w:r>
      <w:r>
        <w:rPr>
          <w:spacing w:val="-3"/>
          <w:w w:val="100"/>
        </w:rPr>
        <w:t>（</w:t>
      </w:r>
      <w:r>
        <w:rPr>
          <w:w w:val="100"/>
        </w:rPr>
        <w:t>New</w:t>
      </w:r>
      <w:r>
        <w:rPr>
          <w:spacing w:val="-55"/>
        </w:rPr>
        <w:t> </w:t>
      </w:r>
      <w:r>
        <w:rPr>
          <w:w w:val="100"/>
        </w:rPr>
        <w:t>York</w:t>
      </w:r>
      <w:r>
        <w:rPr>
          <w:spacing w:val="-53"/>
        </w:rPr>
        <w:t> </w:t>
      </w:r>
      <w:r>
        <w:rPr>
          <w:spacing w:val="-3"/>
          <w:w w:val="100"/>
        </w:rPr>
        <w:t>H</w:t>
      </w:r>
      <w:r>
        <w:rPr>
          <w:w w:val="100"/>
        </w:rPr>
        <w:t>eart</w:t>
      </w:r>
      <w:r>
        <w:rPr>
          <w:spacing w:val="-55"/>
        </w:rPr>
        <w:t> </w:t>
      </w:r>
      <w:r>
        <w:rPr>
          <w:w w:val="100"/>
        </w:rPr>
        <w:t>Ass</w:t>
      </w:r>
      <w:r>
        <w:rPr>
          <w:spacing w:val="-3"/>
          <w:w w:val="100"/>
        </w:rPr>
        <w:t>o</w:t>
      </w:r>
      <w:r>
        <w:rPr>
          <w:w w:val="100"/>
        </w:rPr>
        <w:t>cia</w:t>
      </w:r>
      <w:r>
        <w:rPr>
          <w:spacing w:val="-3"/>
          <w:w w:val="100"/>
        </w:rPr>
        <w:t>t</w:t>
      </w:r>
      <w:r>
        <w:rPr>
          <w:w w:val="100"/>
        </w:rPr>
        <w:t>ion， NYH</w:t>
      </w:r>
      <w:r>
        <w:rPr>
          <w:spacing w:val="2"/>
          <w:w w:val="100"/>
        </w:rPr>
        <w:t>A）</w:t>
      </w:r>
      <w:r>
        <w:rPr>
          <w:w w:val="100"/>
        </w:rPr>
        <w:t>心功能状态分级Ⅲ级，在本公司认可的医疗机构内由心脏科专科医生</w:t>
      </w:r>
      <w:r>
        <w:rPr>
          <w:spacing w:val="-3"/>
          <w:w w:val="100"/>
        </w:rPr>
        <w:t>确诊，且静息状态下肺动脉平均压超过</w:t>
      </w:r>
      <w:r>
        <w:rPr>
          <w:spacing w:val="-2"/>
        </w:rPr>
        <w:t> </w:t>
      </w:r>
      <w:r>
        <w:rPr>
          <w:spacing w:val="-3"/>
          <w:w w:val="100"/>
        </w:rPr>
        <w:t>2</w:t>
      </w:r>
      <w:r>
        <w:rPr>
          <w:w w:val="100"/>
        </w:rPr>
        <w:t>5mm</w:t>
      </w:r>
      <w:r>
        <w:rPr>
          <w:spacing w:val="-3"/>
          <w:w w:val="100"/>
        </w:rPr>
        <w:t>H</w:t>
      </w:r>
      <w:r>
        <w:rPr>
          <w:spacing w:val="-1"/>
          <w:w w:val="100"/>
        </w:rPr>
        <w:t>g</w:t>
      </w:r>
      <w:r>
        <w:rPr>
          <w:spacing w:val="-3"/>
          <w:w w:val="100"/>
        </w:rPr>
        <w:t>，但未达到本合同所指的重大疾病“</w:t>
      </w:r>
      <w:r>
        <w:rPr>
          <w:rFonts w:ascii="微软雅黑" w:hAnsi="微软雅黑" w:eastAsia="微软雅黑"/>
          <w:b/>
          <w:spacing w:val="-2"/>
          <w:w w:val="100"/>
        </w:rPr>
        <w:t>严重继发性肺动脉高压</w:t>
      </w:r>
      <w:r>
        <w:rPr>
          <w:spacing w:val="-3"/>
          <w:w w:val="100"/>
        </w:rPr>
        <w:t>”的标准。</w:t>
      </w:r>
    </w:p>
    <w:p>
      <w:pPr>
        <w:spacing w:after="0" w:line="312" w:lineRule="exact"/>
        <w:sectPr>
          <w:type w:val="continuous"/>
          <w:pgSz w:w="11910" w:h="16840"/>
          <w:pgMar w:header="0" w:footer="406" w:top="600" w:bottom="280" w:left="900" w:right="340"/>
          <w:cols w:num="2" w:equalWidth="0">
            <w:col w:w="2745" w:space="40"/>
            <w:col w:w="7885"/>
          </w:cols>
        </w:sectPr>
      </w:pPr>
    </w:p>
    <w:p>
      <w:pPr>
        <w:pStyle w:val="BodyText"/>
        <w:spacing w:before="11"/>
      </w:pPr>
    </w:p>
    <w:p>
      <w:pPr>
        <w:pStyle w:val="ListParagraph"/>
        <w:numPr>
          <w:ilvl w:val="1"/>
          <w:numId w:val="2"/>
        </w:numPr>
        <w:tabs>
          <w:tab w:pos="1412" w:val="left" w:leader="none"/>
        </w:tabs>
        <w:spacing w:line="240" w:lineRule="auto" w:before="71" w:after="0"/>
        <w:ind w:left="1411" w:right="0" w:hanging="332"/>
        <w:jc w:val="left"/>
        <w:rPr>
          <w:sz w:val="21"/>
        </w:rPr>
      </w:pPr>
      <w:r>
        <w:rPr>
          <w:spacing w:val="-1"/>
          <w:sz w:val="21"/>
        </w:rPr>
        <w:t>早期原发性心 被诊断为原发性心肌病，并符合下列所有条件：</w:t>
      </w:r>
    </w:p>
    <w:p>
      <w:pPr>
        <w:spacing w:after="0" w:line="240" w:lineRule="auto"/>
        <w:jc w:val="left"/>
        <w:rPr>
          <w:sz w:val="21"/>
        </w:rPr>
        <w:sectPr>
          <w:type w:val="continuous"/>
          <w:pgSz w:w="11910" w:h="16840"/>
          <w:pgMar w:header="0" w:footer="406" w:top="600" w:bottom="280" w:left="900" w:right="340"/>
        </w:sectPr>
      </w:pPr>
    </w:p>
    <w:p>
      <w:pPr>
        <w:pStyle w:val="BodyText"/>
        <w:tabs>
          <w:tab w:pos="2960" w:val="left" w:leader="none"/>
        </w:tabs>
        <w:spacing w:line="278" w:lineRule="auto" w:before="57"/>
        <w:ind w:left="3485" w:right="666" w:hanging="2406"/>
        <w:jc w:val="both"/>
      </w:pPr>
      <w:r>
        <w:rPr>
          <w:spacing w:val="-6"/>
        </w:rPr>
        <w:t>肌</w:t>
      </w:r>
      <w:r>
        <w:rPr>
          <w:spacing w:val="-6"/>
        </w:rPr>
        <w:t>病</w:t>
      </w:r>
      <w:r>
        <w:rPr/>
        <w:tab/>
        <w:t>（1）导致</w:t>
      </w:r>
      <w:r>
        <w:rPr/>
        <w:t>心</w:t>
      </w:r>
      <w:r>
        <w:rPr/>
        <w:t>室</w:t>
      </w:r>
      <w:r>
        <w:rPr/>
        <w:t>功能受损，其受</w:t>
      </w:r>
      <w:r>
        <w:rPr/>
        <w:t>损</w:t>
      </w:r>
      <w:r>
        <w:rPr/>
        <w:t>程</w:t>
      </w:r>
      <w:r>
        <w:rPr/>
        <w:t>度达到</w:t>
      </w:r>
      <w:r>
        <w:rPr/>
        <w:t>美</w:t>
      </w:r>
      <w:r>
        <w:rPr/>
        <w:t>国</w:t>
      </w:r>
      <w:r>
        <w:rPr/>
        <w:t>纽</w:t>
      </w:r>
      <w:r>
        <w:rPr/>
        <w:t>约心脏</w:t>
      </w:r>
      <w:r>
        <w:rPr/>
        <w:t>病</w:t>
      </w:r>
      <w:r>
        <w:rPr/>
        <w:t>学</w:t>
      </w:r>
      <w:r>
        <w:rPr/>
        <w:t>会（New York Heart Association，NYHA）心功能状态分级Ⅲ级或其同等级別，即：</w:t>
      </w:r>
      <w:r>
        <w:rPr>
          <w:spacing w:val="-2"/>
        </w:rPr>
        <w:t>体</w:t>
      </w:r>
      <w:r>
        <w:rPr>
          <w:spacing w:val="-2"/>
        </w:rPr>
        <w:t>力</w:t>
      </w:r>
      <w:r>
        <w:rPr>
          <w:spacing w:val="-2"/>
        </w:rPr>
        <w:t>活动明显</w:t>
      </w:r>
      <w:r>
        <w:rPr>
          <w:spacing w:val="-2"/>
        </w:rPr>
        <w:t>受</w:t>
      </w:r>
      <w:r>
        <w:rPr>
          <w:spacing w:val="-2"/>
        </w:rPr>
        <w:t>限</w:t>
      </w:r>
      <w:r>
        <w:rPr>
          <w:spacing w:val="-2"/>
        </w:rPr>
        <w:t>，</w:t>
      </w:r>
      <w:r>
        <w:rPr>
          <w:spacing w:val="-2"/>
        </w:rPr>
        <w:t>休</w:t>
      </w:r>
      <w:r>
        <w:rPr>
          <w:spacing w:val="-2"/>
        </w:rPr>
        <w:t>息</w:t>
      </w:r>
      <w:r>
        <w:rPr>
          <w:spacing w:val="-2"/>
        </w:rPr>
        <w:t>时</w:t>
      </w:r>
      <w:r>
        <w:rPr>
          <w:spacing w:val="-2"/>
        </w:rPr>
        <w:t>无</w:t>
      </w:r>
      <w:r>
        <w:rPr>
          <w:spacing w:val="-2"/>
        </w:rPr>
        <w:t>症</w:t>
      </w:r>
      <w:r>
        <w:rPr>
          <w:spacing w:val="-2"/>
        </w:rPr>
        <w:t>状</w:t>
      </w:r>
      <w:r>
        <w:rPr>
          <w:spacing w:val="-2"/>
        </w:rPr>
        <w:t>，轻于日常</w:t>
      </w:r>
      <w:r>
        <w:rPr>
          <w:spacing w:val="-2"/>
        </w:rPr>
        <w:t>的</w:t>
      </w:r>
      <w:r>
        <w:rPr>
          <w:spacing w:val="-2"/>
        </w:rPr>
        <w:t>活</w:t>
      </w:r>
      <w:r>
        <w:rPr>
          <w:spacing w:val="-2"/>
        </w:rPr>
        <w:t>动</w:t>
      </w:r>
      <w:r>
        <w:rPr>
          <w:spacing w:val="-2"/>
        </w:rPr>
        <w:t>即</w:t>
      </w:r>
      <w:r>
        <w:rPr>
          <w:spacing w:val="-2"/>
        </w:rPr>
        <w:t>可引起充血</w:t>
      </w:r>
      <w:r>
        <w:rPr>
          <w:spacing w:val="-2"/>
        </w:rPr>
        <w:t>性</w:t>
      </w:r>
      <w:r>
        <w:rPr>
          <w:spacing w:val="-2"/>
        </w:rPr>
        <w:t>心</w:t>
      </w:r>
      <w:r>
        <w:rPr>
          <w:spacing w:val="-2"/>
        </w:rPr>
        <w:t>力</w:t>
      </w:r>
      <w:r>
        <w:rPr>
          <w:spacing w:val="-2"/>
        </w:rPr>
        <w:t>衰</w:t>
      </w:r>
      <w:r>
        <w:rPr>
          <w:spacing w:val="-2"/>
        </w:rPr>
        <w:t>竭的症</w:t>
      </w:r>
      <w:r>
        <w:rPr>
          <w:spacing w:val="-2"/>
        </w:rPr>
        <w:t>状</w:t>
      </w:r>
      <w:r>
        <w:rPr>
          <w:spacing w:val="-2"/>
        </w:rPr>
        <w:t>；</w:t>
      </w:r>
    </w:p>
    <w:p>
      <w:pPr>
        <w:pStyle w:val="ListParagraph"/>
        <w:numPr>
          <w:ilvl w:val="1"/>
          <w:numId w:val="29"/>
        </w:numPr>
        <w:tabs>
          <w:tab w:pos="3490" w:val="left" w:leader="none"/>
        </w:tabs>
        <w:spacing w:line="240" w:lineRule="auto" w:before="0" w:after="0"/>
        <w:ind w:left="3489" w:right="0" w:hanging="530"/>
        <w:jc w:val="left"/>
        <w:rPr>
          <w:sz w:val="21"/>
        </w:rPr>
      </w:pPr>
      <w:r>
        <w:rPr>
          <w:spacing w:val="-2"/>
          <w:sz w:val="21"/>
        </w:rPr>
        <w:t>左室射血分数 </w:t>
      </w:r>
      <w:r>
        <w:rPr>
          <w:sz w:val="21"/>
        </w:rPr>
        <w:t>LVEF</w:t>
      </w:r>
      <w:r>
        <w:rPr>
          <w:spacing w:val="-7"/>
          <w:sz w:val="21"/>
        </w:rPr>
        <w:t> </w:t>
      </w:r>
      <w:r>
        <w:rPr>
          <w:spacing w:val="-4"/>
          <w:sz w:val="21"/>
        </w:rPr>
        <w:t>&lt;35%；</w:t>
      </w:r>
    </w:p>
    <w:p>
      <w:pPr>
        <w:pStyle w:val="ListParagraph"/>
        <w:numPr>
          <w:ilvl w:val="1"/>
          <w:numId w:val="29"/>
        </w:numPr>
        <w:tabs>
          <w:tab w:pos="3490" w:val="left" w:leader="none"/>
        </w:tabs>
        <w:spacing w:line="278" w:lineRule="auto" w:before="43" w:after="0"/>
        <w:ind w:left="3485" w:right="666" w:hanging="526"/>
        <w:jc w:val="left"/>
        <w:rPr>
          <w:sz w:val="21"/>
        </w:rPr>
      </w:pPr>
      <w:r>
        <w:rPr>
          <w:spacing w:val="-2"/>
          <w:sz w:val="21"/>
        </w:rPr>
        <w:t>原发性心肌病的诊断必须在本公司认可的医疗机构内由心脏专科医生确</w:t>
      </w:r>
      <w:r>
        <w:rPr>
          <w:spacing w:val="-2"/>
          <w:sz w:val="21"/>
        </w:rPr>
        <w:t>认，并提供心脏超声检查结果报告。</w:t>
      </w:r>
    </w:p>
    <w:p>
      <w:pPr>
        <w:pStyle w:val="Heading2"/>
        <w:spacing w:line="320" w:lineRule="exact"/>
      </w:pPr>
      <w:r>
        <w:rPr>
          <w:spacing w:val="-3"/>
        </w:rPr>
        <w:t>本保障范围内的心肌病包括扩张型心肌病、肥厚型心肌病及限制型心肌病。</w:t>
      </w:r>
    </w:p>
    <w:p>
      <w:pPr>
        <w:pStyle w:val="BodyText"/>
        <w:spacing w:before="11"/>
        <w:rPr>
          <w:rFonts w:ascii="微软雅黑"/>
          <w:b/>
          <w:sz w:val="12"/>
        </w:rPr>
      </w:pPr>
    </w:p>
    <w:p>
      <w:pPr>
        <w:spacing w:after="0"/>
        <w:rPr>
          <w:rFonts w:ascii="微软雅黑"/>
          <w:sz w:val="12"/>
        </w:rPr>
        <w:sectPr>
          <w:pgSz w:w="11910" w:h="16840"/>
          <w:pgMar w:header="0" w:footer="406" w:top="1080" w:bottom="60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轻度慢性肾衰</w:t>
      </w:r>
      <w:r>
        <w:rPr>
          <w:spacing w:val="-10"/>
          <w:sz w:val="21"/>
        </w:rPr>
        <w:t>竭</w:t>
      </w:r>
    </w:p>
    <w:p>
      <w:pPr>
        <w:pStyle w:val="BodyText"/>
        <w:spacing w:before="72"/>
        <w:ind w:left="175"/>
      </w:pPr>
      <w:r>
        <w:rPr/>
        <w:br w:type="column"/>
      </w:r>
      <w:r>
        <w:rPr>
          <w:spacing w:val="-3"/>
        </w:rPr>
        <w:t>指肾功能慢性不可逆性损害达到肾功能衰竭期。必须满足下列全部条件：</w:t>
      </w:r>
    </w:p>
    <w:p>
      <w:pPr>
        <w:pStyle w:val="ListParagraph"/>
        <w:numPr>
          <w:ilvl w:val="0"/>
          <w:numId w:val="30"/>
        </w:numPr>
        <w:tabs>
          <w:tab w:pos="702" w:val="left" w:leader="none"/>
        </w:tabs>
        <w:spacing w:line="278" w:lineRule="auto" w:before="43" w:after="0"/>
        <w:ind w:left="700" w:right="565" w:hanging="526"/>
        <w:jc w:val="left"/>
        <w:rPr>
          <w:sz w:val="21"/>
        </w:rPr>
      </w:pPr>
      <w:r>
        <w:rPr>
          <w:spacing w:val="-2"/>
          <w:sz w:val="21"/>
        </w:rPr>
        <w:t>肾小球滤过率（</w:t>
      </w:r>
      <w:r>
        <w:rPr>
          <w:spacing w:val="-15"/>
          <w:sz w:val="21"/>
        </w:rPr>
        <w:t>使用 </w:t>
      </w:r>
      <w:r>
        <w:rPr>
          <w:spacing w:val="-2"/>
          <w:sz w:val="21"/>
        </w:rPr>
        <w:t>MDRD</w:t>
      </w:r>
      <w:r>
        <w:rPr>
          <w:spacing w:val="-20"/>
          <w:sz w:val="21"/>
        </w:rPr>
        <w:t> 公式或 </w:t>
      </w:r>
      <w:r>
        <w:rPr>
          <w:spacing w:val="-2"/>
          <w:sz w:val="21"/>
        </w:rPr>
        <w:t>Cockcroft-Gault</w:t>
      </w:r>
      <w:r>
        <w:rPr>
          <w:spacing w:val="-8"/>
          <w:sz w:val="21"/>
        </w:rPr>
        <w:t> 公式计算的结果</w:t>
      </w:r>
      <w:r>
        <w:rPr>
          <w:spacing w:val="-2"/>
          <w:sz w:val="21"/>
        </w:rPr>
        <w:t>），</w:t>
      </w:r>
      <w:r>
        <w:rPr>
          <w:spacing w:val="-5"/>
          <w:sz w:val="21"/>
        </w:rPr>
        <w:t>低于 </w:t>
      </w:r>
      <w:r>
        <w:rPr>
          <w:sz w:val="21"/>
        </w:rPr>
        <w:t>30ml/min/1.73</w:t>
      </w:r>
      <w:r>
        <w:rPr>
          <w:spacing w:val="-5"/>
          <w:sz w:val="21"/>
        </w:rPr>
        <w:t> 平方米，且此状态须持续至少 </w:t>
      </w:r>
      <w:r>
        <w:rPr>
          <w:sz w:val="21"/>
        </w:rPr>
        <w:t>90</w:t>
      </w:r>
      <w:r>
        <w:rPr>
          <w:spacing w:val="-5"/>
          <w:sz w:val="21"/>
        </w:rPr>
        <w:t> 天；</w:t>
      </w:r>
    </w:p>
    <w:p>
      <w:pPr>
        <w:pStyle w:val="ListParagraph"/>
        <w:numPr>
          <w:ilvl w:val="0"/>
          <w:numId w:val="30"/>
        </w:numPr>
        <w:tabs>
          <w:tab w:pos="705" w:val="left" w:leader="none"/>
        </w:tabs>
        <w:spacing w:line="278" w:lineRule="auto" w:before="0" w:after="0"/>
        <w:ind w:left="700" w:right="666" w:hanging="526"/>
        <w:jc w:val="left"/>
        <w:rPr>
          <w:sz w:val="21"/>
        </w:rPr>
      </w:pPr>
      <w:r>
        <w:rPr>
          <w:spacing w:val="-2"/>
          <w:sz w:val="21"/>
        </w:rPr>
        <w:t>轻度慢性肾衰竭的诊断必须在本公司认可的医疗机构内由泌尿科或肾脏</w:t>
      </w:r>
      <w:r>
        <w:rPr>
          <w:spacing w:val="-2"/>
          <w:sz w:val="21"/>
        </w:rPr>
        <w:t>科医生确诊。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9"/>
        <w:rPr>
          <w:sz w:val="18"/>
        </w:rPr>
      </w:pPr>
    </w:p>
    <w:p>
      <w:pPr>
        <w:spacing w:after="0"/>
        <w:rPr>
          <w:sz w:val="1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both"/>
        <w:rPr>
          <w:sz w:val="21"/>
        </w:rPr>
      </w:pPr>
      <w:r>
        <w:rPr>
          <w:spacing w:val="8"/>
          <w:sz w:val="21"/>
        </w:rPr>
        <w:t>因肾上腺皮质</w:t>
      </w:r>
      <w:r>
        <w:rPr>
          <w:spacing w:val="26"/>
          <w:sz w:val="21"/>
        </w:rPr>
        <w:t>腺瘤所致的肾上</w:t>
      </w:r>
      <w:r>
        <w:rPr>
          <w:spacing w:val="-4"/>
          <w:sz w:val="21"/>
        </w:rPr>
        <w:t>腺切除术</w:t>
      </w:r>
    </w:p>
    <w:p>
      <w:pPr>
        <w:pStyle w:val="BodyText"/>
        <w:spacing w:line="278" w:lineRule="auto" w:before="72"/>
        <w:ind w:left="142" w:right="675"/>
      </w:pPr>
      <w:r>
        <w:rPr/>
        <w:br w:type="column"/>
      </w:r>
      <w:r>
        <w:rPr>
          <w:spacing w:val="-2"/>
        </w:rPr>
        <w:t>因肾上腺皮质腺瘤所导致的醛固酮分泌过多而产生的继发性恶性高血压而实</w:t>
      </w:r>
      <w:r>
        <w:rPr>
          <w:spacing w:val="-2"/>
        </w:rPr>
        <w:t>际接受了肾上腺切除术治疗。</w:t>
      </w:r>
    </w:p>
    <w:p>
      <w:pPr>
        <w:pStyle w:val="BodyText"/>
        <w:spacing w:line="278" w:lineRule="auto"/>
        <w:ind w:left="142" w:right="667"/>
      </w:pPr>
      <w:r>
        <w:rPr>
          <w:spacing w:val="-2"/>
        </w:rPr>
        <w:t>诊断及治疗均须在本公司认可的医疗机构内由专科医生认为是医疗必需的情</w:t>
      </w:r>
      <w:r>
        <w:rPr>
          <w:spacing w:val="-2"/>
        </w:rPr>
        <w:t>况下进行。</w:t>
      </w:r>
    </w:p>
    <w:p>
      <w:pPr>
        <w:spacing w:after="0" w:line="278" w:lineRule="auto"/>
        <w:sectPr>
          <w:type w:val="continuous"/>
          <w:pgSz w:w="11910" w:h="16840"/>
          <w:pgMar w:header="0" w:footer="406" w:top="600" w:bottom="280" w:left="900" w:right="340"/>
          <w:cols w:num="2" w:equalWidth="0">
            <w:col w:w="2778" w:space="40"/>
            <w:col w:w="7852"/>
          </w:cols>
        </w:sectPr>
      </w:pPr>
    </w:p>
    <w:p>
      <w:pPr>
        <w:pStyle w:val="BodyText"/>
        <w:spacing w:before="9"/>
        <w:rPr>
          <w:sz w:val="18"/>
        </w:rPr>
      </w:pPr>
    </w:p>
    <w:p>
      <w:pPr>
        <w:spacing w:after="0"/>
        <w:rPr>
          <w:sz w:val="1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胆道系统重建</w:t>
      </w:r>
      <w:r>
        <w:rPr>
          <w:spacing w:val="-6"/>
          <w:sz w:val="21"/>
        </w:rPr>
        <w:t>手术</w:t>
      </w:r>
    </w:p>
    <w:p>
      <w:pPr>
        <w:pStyle w:val="BodyText"/>
        <w:spacing w:line="278" w:lineRule="auto" w:before="72"/>
        <w:ind w:left="175" w:right="667"/>
      </w:pPr>
      <w:r>
        <w:rPr/>
        <w:br w:type="column"/>
      </w:r>
      <w:r>
        <w:rPr>
          <w:spacing w:val="-2"/>
        </w:rPr>
        <w:t>因疾病或胆道创伤导致包含胆道肠道人工造管术的胆道重建手术。此手术须</w:t>
      </w:r>
      <w:r>
        <w:rPr>
          <w:spacing w:val="-2"/>
        </w:rPr>
        <w:t>在本公司认可的医疗机构内由专科医生认为是医疗必需的情况下进行。</w:t>
      </w:r>
    </w:p>
    <w:p>
      <w:pPr>
        <w:pStyle w:val="Heading2"/>
        <w:spacing w:line="320" w:lineRule="exact"/>
        <w:ind w:left="175"/>
      </w:pPr>
      <w:r>
        <w:rPr>
          <w:spacing w:val="-3"/>
        </w:rPr>
        <w:t>胆道闭锁不在保障范围内。</w:t>
      </w:r>
    </w:p>
    <w:p>
      <w:pPr>
        <w:spacing w:after="0" w:line="320" w:lineRule="exact"/>
        <w:sectPr>
          <w:type w:val="continuous"/>
          <w:pgSz w:w="11910" w:h="16840"/>
          <w:pgMar w:header="0" w:footer="406" w:top="600" w:bottom="280" w:left="900" w:right="340"/>
          <w:cols w:num="2" w:equalWidth="0">
            <w:col w:w="2745" w:space="40"/>
            <w:col w:w="7885"/>
          </w:cols>
        </w:sectPr>
      </w:pPr>
    </w:p>
    <w:p>
      <w:pPr>
        <w:pStyle w:val="BodyText"/>
        <w:spacing w:before="11"/>
        <w:rPr>
          <w:rFonts w:ascii="微软雅黑"/>
          <w:b/>
          <w:sz w:val="12"/>
        </w:rPr>
      </w:pPr>
    </w:p>
    <w:p>
      <w:pPr>
        <w:pStyle w:val="ListParagraph"/>
        <w:numPr>
          <w:ilvl w:val="1"/>
          <w:numId w:val="2"/>
        </w:numPr>
        <w:tabs>
          <w:tab w:pos="1399" w:val="left" w:leader="none"/>
        </w:tabs>
        <w:spacing w:line="278" w:lineRule="auto" w:before="72" w:after="0"/>
        <w:ind w:left="2960" w:right="667" w:hanging="1880"/>
        <w:jc w:val="both"/>
        <w:rPr>
          <w:sz w:val="21"/>
        </w:rPr>
      </w:pPr>
      <w:r>
        <w:rPr>
          <w:sz w:val="21"/>
        </w:rPr>
        <w:t>早期肝硬化 肝硬化必须在本公司认可的医疗机构内由专科医生明确诊断，必须由活检证</w:t>
      </w:r>
      <w:r>
        <w:rPr>
          <w:spacing w:val="-2"/>
          <w:sz w:val="21"/>
        </w:rPr>
        <w:t>实有再生的肝细胞结节和典型的肝组织纤维化，下列条件必须全部满足并至</w:t>
      </w:r>
      <w:r>
        <w:rPr>
          <w:spacing w:val="-2"/>
          <w:sz w:val="21"/>
        </w:rPr>
        <w:t>少持续一年：</w:t>
      </w:r>
    </w:p>
    <w:p>
      <w:pPr>
        <w:pStyle w:val="ListParagraph"/>
        <w:numPr>
          <w:ilvl w:val="0"/>
          <w:numId w:val="31"/>
        </w:numPr>
        <w:tabs>
          <w:tab w:pos="3490" w:val="left" w:leader="none"/>
        </w:tabs>
        <w:spacing w:line="240" w:lineRule="auto" w:before="0" w:after="0"/>
        <w:ind w:left="3489" w:right="0" w:hanging="530"/>
        <w:jc w:val="left"/>
        <w:rPr>
          <w:sz w:val="21"/>
        </w:rPr>
      </w:pPr>
      <w:r>
        <w:rPr>
          <w:spacing w:val="-5"/>
          <w:sz w:val="21"/>
        </w:rPr>
        <w:t>持续性黄疸，胆红素水平升高超过 </w:t>
      </w:r>
      <w:r>
        <w:rPr>
          <w:spacing w:val="-2"/>
          <w:sz w:val="21"/>
        </w:rPr>
        <w:t>50μmol/L；</w:t>
      </w:r>
    </w:p>
    <w:p>
      <w:pPr>
        <w:pStyle w:val="ListParagraph"/>
        <w:numPr>
          <w:ilvl w:val="0"/>
          <w:numId w:val="31"/>
        </w:numPr>
        <w:tabs>
          <w:tab w:pos="3490" w:val="left" w:leader="none"/>
        </w:tabs>
        <w:spacing w:line="240" w:lineRule="auto" w:before="43" w:after="0"/>
        <w:ind w:left="3489" w:right="0" w:hanging="530"/>
        <w:jc w:val="left"/>
        <w:rPr>
          <w:sz w:val="21"/>
        </w:rPr>
      </w:pPr>
      <w:r>
        <w:rPr>
          <w:spacing w:val="-5"/>
          <w:sz w:val="21"/>
        </w:rPr>
        <w:t>蛋白质合成异常，白蛋白水平低于 </w:t>
      </w:r>
      <w:r>
        <w:rPr>
          <w:spacing w:val="-2"/>
          <w:sz w:val="21"/>
        </w:rPr>
        <w:t>27g/L；</w:t>
      </w:r>
    </w:p>
    <w:p>
      <w:pPr>
        <w:pStyle w:val="ListParagraph"/>
        <w:numPr>
          <w:ilvl w:val="0"/>
          <w:numId w:val="31"/>
        </w:numPr>
        <w:tabs>
          <w:tab w:pos="3487" w:val="left" w:leader="none"/>
        </w:tabs>
        <w:spacing w:line="240" w:lineRule="auto" w:before="43" w:after="0"/>
        <w:ind w:left="3486" w:right="0" w:hanging="527"/>
        <w:jc w:val="left"/>
        <w:rPr>
          <w:sz w:val="21"/>
        </w:rPr>
      </w:pPr>
      <w:r>
        <w:rPr>
          <w:spacing w:val="-5"/>
          <w:sz w:val="21"/>
        </w:rPr>
        <w:t>异常凝血功能，凝血酶原时间超过正常上限的 </w:t>
      </w:r>
      <w:r>
        <w:rPr>
          <w:spacing w:val="-2"/>
          <w:sz w:val="21"/>
        </w:rPr>
        <w:t>2</w:t>
      </w:r>
      <w:r>
        <w:rPr>
          <w:spacing w:val="-10"/>
          <w:sz w:val="21"/>
        </w:rPr>
        <w:t> 倍或以上，或者国际正</w:t>
      </w:r>
    </w:p>
    <w:p>
      <w:pPr>
        <w:pStyle w:val="BodyText"/>
        <w:spacing w:before="43"/>
        <w:ind w:left="2960"/>
      </w:pPr>
      <w:r>
        <w:rPr>
          <w:spacing w:val="-2"/>
        </w:rPr>
        <w:t>常化比率（INR）</w:t>
      </w:r>
      <w:r>
        <w:rPr>
          <w:spacing w:val="-25"/>
        </w:rPr>
        <w:t>在 </w:t>
      </w:r>
      <w:r>
        <w:rPr>
          <w:spacing w:val="-2"/>
        </w:rPr>
        <w:t>2.0</w:t>
      </w:r>
      <w:r>
        <w:rPr>
          <w:spacing w:val="-16"/>
        </w:rPr>
        <w:t> 以上。</w:t>
      </w:r>
    </w:p>
    <w:p>
      <w:pPr>
        <w:pStyle w:val="BodyText"/>
        <w:spacing w:before="1"/>
        <w:rPr>
          <w:sz w:val="22"/>
        </w:rPr>
      </w:pPr>
    </w:p>
    <w:p>
      <w:pPr>
        <w:spacing w:after="0"/>
        <w:rPr>
          <w:sz w:val="22"/>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轻度慢性肝衰</w:t>
      </w:r>
      <w:r>
        <w:rPr>
          <w:spacing w:val="-10"/>
          <w:sz w:val="21"/>
        </w:rPr>
        <w:t>竭</w:t>
      </w:r>
    </w:p>
    <w:p>
      <w:pPr>
        <w:pStyle w:val="BodyText"/>
        <w:spacing w:before="72"/>
        <w:ind w:left="175"/>
      </w:pPr>
      <w:r>
        <w:rPr/>
        <w:br w:type="column"/>
      </w:r>
      <w:r>
        <w:rPr>
          <w:spacing w:val="-5"/>
        </w:rPr>
        <w:t>指因慢性肝脏疾病导致持续 </w:t>
      </w:r>
      <w:r>
        <w:rPr>
          <w:spacing w:val="-2"/>
        </w:rPr>
        <w:t>180</w:t>
      </w:r>
      <w:r>
        <w:rPr>
          <w:spacing w:val="-10"/>
        </w:rPr>
        <w:t> 天肝功能衰竭，须满足下列全部条件：</w:t>
      </w:r>
    </w:p>
    <w:p>
      <w:pPr>
        <w:pStyle w:val="ListParagraph"/>
        <w:numPr>
          <w:ilvl w:val="0"/>
          <w:numId w:val="32"/>
        </w:numPr>
        <w:tabs>
          <w:tab w:pos="705" w:val="left" w:leader="none"/>
        </w:tabs>
        <w:spacing w:line="240" w:lineRule="auto" w:before="43" w:after="0"/>
        <w:ind w:left="704" w:right="0" w:hanging="530"/>
        <w:jc w:val="left"/>
        <w:rPr>
          <w:sz w:val="21"/>
        </w:rPr>
      </w:pPr>
      <w:r>
        <w:rPr>
          <w:spacing w:val="-2"/>
          <w:sz w:val="21"/>
        </w:rPr>
        <w:t>持续性黄疸，胆红素&gt;50μmol/L；</w:t>
      </w:r>
    </w:p>
    <w:p>
      <w:pPr>
        <w:pStyle w:val="ListParagraph"/>
        <w:numPr>
          <w:ilvl w:val="0"/>
          <w:numId w:val="32"/>
        </w:numPr>
        <w:tabs>
          <w:tab w:pos="705" w:val="left" w:leader="none"/>
        </w:tabs>
        <w:spacing w:line="240" w:lineRule="auto" w:before="43" w:after="0"/>
        <w:ind w:left="704" w:right="0" w:hanging="530"/>
        <w:jc w:val="left"/>
        <w:rPr>
          <w:sz w:val="21"/>
        </w:rPr>
      </w:pPr>
      <w:r>
        <w:rPr>
          <w:spacing w:val="-2"/>
          <w:sz w:val="21"/>
        </w:rPr>
        <w:t>白蛋白&lt;27g/L；</w:t>
      </w:r>
    </w:p>
    <w:p>
      <w:pPr>
        <w:pStyle w:val="ListParagraph"/>
        <w:numPr>
          <w:ilvl w:val="0"/>
          <w:numId w:val="32"/>
        </w:numPr>
        <w:tabs>
          <w:tab w:pos="705" w:val="left" w:leader="none"/>
        </w:tabs>
        <w:spacing w:line="257" w:lineRule="exact" w:before="43" w:after="0"/>
        <w:ind w:left="704" w:right="0" w:hanging="530"/>
        <w:jc w:val="left"/>
        <w:rPr>
          <w:sz w:val="21"/>
        </w:rPr>
      </w:pPr>
      <w:r>
        <w:rPr>
          <w:spacing w:val="-2"/>
          <w:sz w:val="21"/>
        </w:rPr>
        <w:t>凝血酶原时间延长&gt;4</w:t>
      </w:r>
      <w:r>
        <w:rPr>
          <w:spacing w:val="-19"/>
          <w:sz w:val="21"/>
        </w:rPr>
        <w:t> 秒。</w:t>
      </w:r>
    </w:p>
    <w:p>
      <w:pPr>
        <w:pStyle w:val="Heading2"/>
        <w:spacing w:line="375" w:lineRule="exact"/>
        <w:ind w:left="175"/>
      </w:pPr>
      <w:r>
        <w:rPr>
          <w:spacing w:val="-3"/>
        </w:rPr>
        <w:t>因酗酒、药物滥用或肝硬化导致的肝功能衰竭不在保障范围内。</w:t>
      </w:r>
    </w:p>
    <w:p>
      <w:pPr>
        <w:spacing w:after="0" w:line="375" w:lineRule="exact"/>
        <w:sectPr>
          <w:type w:val="continuous"/>
          <w:pgSz w:w="11910" w:h="16840"/>
          <w:pgMar w:header="0" w:footer="406" w:top="600" w:bottom="280" w:left="900" w:right="340"/>
          <w:cols w:num="2" w:equalWidth="0">
            <w:col w:w="2745" w:space="40"/>
            <w:col w:w="7885"/>
          </w:cols>
        </w:sectPr>
      </w:pPr>
    </w:p>
    <w:p>
      <w:pPr>
        <w:pStyle w:val="BodyText"/>
        <w:spacing w:before="11"/>
        <w:rPr>
          <w:rFonts w:ascii="微软雅黑"/>
          <w:b/>
          <w:sz w:val="12"/>
        </w:rPr>
      </w:pPr>
    </w:p>
    <w:p>
      <w:pPr>
        <w:spacing w:after="0"/>
        <w:rPr>
          <w:rFonts w:ascii="微软雅黑"/>
          <w:sz w:val="12"/>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both"/>
        <w:rPr>
          <w:sz w:val="21"/>
        </w:rPr>
      </w:pPr>
      <w:r>
        <w:rPr>
          <w:spacing w:val="8"/>
          <w:sz w:val="21"/>
        </w:rPr>
        <w:t>急性出血坏死</w:t>
      </w:r>
      <w:r>
        <w:rPr>
          <w:spacing w:val="26"/>
          <w:sz w:val="21"/>
        </w:rPr>
        <w:t>性胰腺炎腹腔镜</w:t>
      </w:r>
      <w:r>
        <w:rPr>
          <w:spacing w:val="-6"/>
          <w:sz w:val="21"/>
        </w:rPr>
        <w:t>手术</w:t>
      </w:r>
    </w:p>
    <w:p>
      <w:pPr>
        <w:pStyle w:val="BodyText"/>
        <w:spacing w:line="278" w:lineRule="auto" w:before="72"/>
        <w:ind w:left="142" w:right="667"/>
      </w:pPr>
      <w:r>
        <w:rPr/>
        <w:br w:type="column"/>
      </w:r>
      <w:r>
        <w:rPr>
          <w:spacing w:val="-2"/>
        </w:rPr>
        <w:t>指确诊为急性出血性坏死性胰腺炎，并在本公司认可的医疗机构内实际接受</w:t>
      </w:r>
      <w:r>
        <w:rPr>
          <w:spacing w:val="-2"/>
        </w:rPr>
        <w:t>了腹腔镜手术治疗，以进行坏死组织清除、坏死病灶切除或胰腺切除。</w:t>
      </w:r>
    </w:p>
    <w:p>
      <w:pPr>
        <w:pStyle w:val="Heading2"/>
        <w:spacing w:line="320" w:lineRule="exact"/>
        <w:ind w:left="142"/>
      </w:pPr>
      <w:r>
        <w:rPr>
          <w:spacing w:val="-3"/>
        </w:rPr>
        <w:t>因酗酒或饮酒过量导致的急性坏死胰腺炎不在保障范围内。</w:t>
      </w:r>
    </w:p>
    <w:p>
      <w:pPr>
        <w:spacing w:after="0" w:line="320" w:lineRule="exact"/>
        <w:sectPr>
          <w:type w:val="continuous"/>
          <w:pgSz w:w="11910" w:h="16840"/>
          <w:pgMar w:header="0" w:footer="406" w:top="600" w:bottom="280" w:left="900" w:right="340"/>
          <w:cols w:num="2" w:equalWidth="0">
            <w:col w:w="2778" w:space="40"/>
            <w:col w:w="7852"/>
          </w:cols>
        </w:sectPr>
      </w:pPr>
    </w:p>
    <w:p>
      <w:pPr>
        <w:pStyle w:val="BodyText"/>
        <w:spacing w:before="11"/>
        <w:rPr>
          <w:rFonts w:ascii="微软雅黑"/>
          <w:b/>
          <w:sz w:val="12"/>
        </w:rPr>
      </w:pPr>
    </w:p>
    <w:p>
      <w:pPr>
        <w:spacing w:after="0"/>
        <w:rPr>
          <w:rFonts w:ascii="微软雅黑"/>
          <w:sz w:val="12"/>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慢性阻塞性肺</w:t>
      </w:r>
      <w:r>
        <w:rPr>
          <w:spacing w:val="-10"/>
          <w:sz w:val="21"/>
        </w:rPr>
        <w:t>病</w:t>
      </w:r>
    </w:p>
    <w:p>
      <w:pPr>
        <w:pStyle w:val="BodyText"/>
        <w:spacing w:line="278" w:lineRule="auto" w:before="72"/>
        <w:ind w:left="175" w:right="667"/>
        <w:jc w:val="both"/>
      </w:pPr>
      <w:r>
        <w:rPr/>
        <w:br w:type="column"/>
      </w:r>
      <w:r>
        <w:rPr>
          <w:spacing w:val="-2"/>
        </w:rPr>
        <w:t>指因一种具有气流阻塞特征的慢性支气管炎和（或）肺气肿，该病必须在本</w:t>
      </w:r>
      <w:r>
        <w:rPr>
          <w:spacing w:val="-2"/>
        </w:rPr>
        <w:t>公司认可的医疗机构内由呼吸系统科的医生确诊，且诊断必须满足以下所有</w:t>
      </w:r>
      <w:r>
        <w:rPr>
          <w:spacing w:val="-4"/>
        </w:rPr>
        <w:t>条件：</w:t>
      </w:r>
    </w:p>
    <w:p>
      <w:pPr>
        <w:pStyle w:val="ListParagraph"/>
        <w:numPr>
          <w:ilvl w:val="0"/>
          <w:numId w:val="33"/>
        </w:numPr>
        <w:tabs>
          <w:tab w:pos="807" w:val="left" w:leader="none"/>
        </w:tabs>
        <w:spacing w:line="269" w:lineRule="exact" w:before="0" w:after="0"/>
        <w:ind w:left="806" w:right="0" w:hanging="632"/>
        <w:jc w:val="both"/>
        <w:rPr>
          <w:sz w:val="21"/>
        </w:rPr>
      </w:pPr>
      <w:r>
        <w:rPr>
          <w:spacing w:val="-2"/>
          <w:sz w:val="21"/>
        </w:rPr>
        <w:t>第一秒末用力呼吸量（FEV1）</w:t>
      </w:r>
      <w:r>
        <w:rPr>
          <w:spacing w:val="-18"/>
          <w:sz w:val="21"/>
        </w:rPr>
        <w:t>小于 </w:t>
      </w:r>
      <w:r>
        <w:rPr>
          <w:spacing w:val="-2"/>
          <w:sz w:val="21"/>
        </w:rPr>
        <w:t>1</w:t>
      </w:r>
      <w:r>
        <w:rPr>
          <w:spacing w:val="-20"/>
          <w:sz w:val="21"/>
        </w:rPr>
        <w:t> 升；</w:t>
      </w:r>
    </w:p>
    <w:p>
      <w:pPr>
        <w:spacing w:after="0" w:line="269" w:lineRule="exact"/>
        <w:jc w:val="both"/>
        <w:rPr>
          <w:sz w:val="21"/>
        </w:rPr>
        <w:sectPr>
          <w:type w:val="continuous"/>
          <w:pgSz w:w="11910" w:h="16840"/>
          <w:pgMar w:header="0" w:footer="406" w:top="600" w:bottom="280" w:left="900" w:right="340"/>
          <w:cols w:num="2" w:equalWidth="0">
            <w:col w:w="2745" w:space="40"/>
            <w:col w:w="7885"/>
          </w:cols>
        </w:sectPr>
      </w:pPr>
    </w:p>
    <w:p>
      <w:pPr>
        <w:pStyle w:val="ListParagraph"/>
        <w:numPr>
          <w:ilvl w:val="1"/>
          <w:numId w:val="33"/>
        </w:numPr>
        <w:tabs>
          <w:tab w:pos="3592" w:val="left" w:leader="none"/>
        </w:tabs>
        <w:spacing w:line="240" w:lineRule="auto" w:before="57" w:after="0"/>
        <w:ind w:left="3591" w:right="0" w:hanging="632"/>
        <w:jc w:val="left"/>
        <w:rPr>
          <w:sz w:val="21"/>
        </w:rPr>
      </w:pPr>
      <w:r>
        <w:rPr>
          <w:sz w:val="21"/>
        </w:rPr>
        <w:t>COPD</w:t>
      </w:r>
      <w:r>
        <w:rPr>
          <w:spacing w:val="-13"/>
          <w:sz w:val="21"/>
        </w:rPr>
        <w:t> 肺功能分级 Ⅲ级，即 </w:t>
      </w:r>
      <w:r>
        <w:rPr>
          <w:spacing w:val="-2"/>
          <w:sz w:val="21"/>
        </w:rPr>
        <w:t>30%&lt;EFV1&lt;50%；</w:t>
      </w:r>
    </w:p>
    <w:p>
      <w:pPr>
        <w:pStyle w:val="ListParagraph"/>
        <w:numPr>
          <w:ilvl w:val="1"/>
          <w:numId w:val="33"/>
        </w:numPr>
        <w:tabs>
          <w:tab w:pos="3592" w:val="left" w:leader="none"/>
        </w:tabs>
        <w:spacing w:line="240" w:lineRule="auto" w:before="43" w:after="0"/>
        <w:ind w:left="3591" w:right="0" w:hanging="632"/>
        <w:jc w:val="left"/>
        <w:rPr>
          <w:sz w:val="21"/>
        </w:rPr>
      </w:pPr>
      <w:r>
        <w:rPr>
          <w:spacing w:val="-2"/>
          <w:sz w:val="21"/>
        </w:rPr>
        <w:t>残气容积占肺总量（TLC）</w:t>
      </w:r>
      <w:r>
        <w:rPr>
          <w:spacing w:val="-20"/>
          <w:sz w:val="21"/>
        </w:rPr>
        <w:t>的 </w:t>
      </w:r>
      <w:r>
        <w:rPr>
          <w:spacing w:val="-2"/>
          <w:sz w:val="21"/>
        </w:rPr>
        <w:t>50</w:t>
      </w:r>
      <w:r>
        <w:rPr>
          <w:spacing w:val="-4"/>
          <w:sz w:val="21"/>
        </w:rPr>
        <w:t>%以上；</w:t>
      </w:r>
    </w:p>
    <w:p>
      <w:pPr>
        <w:pStyle w:val="ListParagraph"/>
        <w:numPr>
          <w:ilvl w:val="1"/>
          <w:numId w:val="33"/>
        </w:numPr>
        <w:tabs>
          <w:tab w:pos="3592" w:val="left" w:leader="none"/>
        </w:tabs>
        <w:spacing w:line="240" w:lineRule="auto" w:before="43" w:after="0"/>
        <w:ind w:left="3591" w:right="0" w:hanging="632"/>
        <w:jc w:val="left"/>
        <w:rPr>
          <w:sz w:val="21"/>
        </w:rPr>
      </w:pPr>
      <w:r>
        <w:rPr>
          <w:position w:val="1"/>
          <w:sz w:val="21"/>
        </w:rPr>
        <w:t>PaO</w:t>
      </w:r>
      <w:r>
        <w:rPr>
          <w:sz w:val="11"/>
        </w:rPr>
        <w:t>2</w:t>
      </w:r>
      <w:r>
        <w:rPr>
          <w:position w:val="1"/>
          <w:sz w:val="21"/>
        </w:rPr>
        <w:t>&lt;60mmHg,</w:t>
      </w:r>
      <w:r>
        <w:rPr>
          <w:spacing w:val="-18"/>
          <w:position w:val="1"/>
          <w:sz w:val="21"/>
        </w:rPr>
        <w:t> </w:t>
      </w:r>
      <w:r>
        <w:rPr>
          <w:position w:val="1"/>
          <w:sz w:val="21"/>
        </w:rPr>
        <w:t>PaCO</w:t>
      </w:r>
      <w:r>
        <w:rPr>
          <w:sz w:val="11"/>
        </w:rPr>
        <w:t>2</w:t>
      </w:r>
      <w:r>
        <w:rPr>
          <w:position w:val="1"/>
          <w:sz w:val="21"/>
        </w:rPr>
        <w:t>&gt;50mmHg</w:t>
      </w:r>
      <w:r>
        <w:rPr>
          <w:spacing w:val="-10"/>
          <w:position w:val="1"/>
          <w:sz w:val="21"/>
        </w:rPr>
        <w:t>。</w:t>
      </w:r>
    </w:p>
    <w:p>
      <w:pPr>
        <w:pStyle w:val="BodyText"/>
        <w:spacing w:before="2"/>
        <w:rPr>
          <w:sz w:val="22"/>
        </w:rPr>
      </w:pPr>
    </w:p>
    <w:p>
      <w:pPr>
        <w:spacing w:after="0"/>
        <w:rPr>
          <w:sz w:val="22"/>
        </w:rPr>
        <w:sectPr>
          <w:pgSz w:w="11910" w:h="16840"/>
          <w:pgMar w:header="0" w:footer="406" w:top="1080" w:bottom="600" w:left="900" w:right="340"/>
        </w:sectPr>
      </w:pPr>
    </w:p>
    <w:p>
      <w:pPr>
        <w:pStyle w:val="ListParagraph"/>
        <w:numPr>
          <w:ilvl w:val="1"/>
          <w:numId w:val="2"/>
        </w:numPr>
        <w:tabs>
          <w:tab w:pos="1412" w:val="left" w:leader="none"/>
        </w:tabs>
        <w:spacing w:line="278" w:lineRule="auto" w:before="71" w:after="0"/>
        <w:ind w:left="1080" w:right="0" w:firstLine="0"/>
        <w:jc w:val="left"/>
        <w:rPr>
          <w:sz w:val="21"/>
        </w:rPr>
      </w:pPr>
      <w:r>
        <w:rPr>
          <w:spacing w:val="8"/>
          <w:sz w:val="21"/>
        </w:rPr>
        <w:t>早期系统性硬</w:t>
      </w:r>
      <w:r>
        <w:rPr>
          <w:spacing w:val="-6"/>
          <w:sz w:val="21"/>
        </w:rPr>
        <w:t>皮病</w:t>
      </w:r>
    </w:p>
    <w:p>
      <w:pPr>
        <w:pStyle w:val="BodyText"/>
        <w:spacing w:line="312" w:lineRule="exact" w:before="32"/>
        <w:ind w:left="175" w:right="560"/>
      </w:pPr>
      <w:r>
        <w:rPr/>
        <w:br w:type="column"/>
      </w:r>
      <w:r>
        <w:rPr>
          <w:w w:val="100"/>
        </w:rPr>
        <w:t>指一种以局限性或弥漫性皮肤增厚和皮肤、血管、内脏器官异常纤维化为特</w:t>
      </w:r>
      <w:r>
        <w:rPr>
          <w:spacing w:val="-3"/>
          <w:w w:val="100"/>
        </w:rPr>
        <w:t>征的结缔组织病，该病必须在本公司认可的医疗机构内由专科医生明确诊断，</w:t>
      </w:r>
      <w:r>
        <w:rPr>
          <w:w w:val="100"/>
        </w:rPr>
        <w:t>并须满足下列所有条件，但未达到本合同重大疾病“</w:t>
      </w:r>
      <w:r>
        <w:rPr>
          <w:rFonts w:ascii="微软雅黑" w:hAnsi="微软雅黑" w:eastAsia="微软雅黑"/>
          <w:b/>
          <w:spacing w:val="2"/>
          <w:w w:val="100"/>
        </w:rPr>
        <w:t>系统性硬皮病</w:t>
      </w:r>
      <w:r>
        <w:rPr>
          <w:w w:val="100"/>
        </w:rPr>
        <w:t>”的给付标准：</w:t>
      </w:r>
    </w:p>
    <w:p>
      <w:pPr>
        <w:pStyle w:val="ListParagraph"/>
        <w:numPr>
          <w:ilvl w:val="0"/>
          <w:numId w:val="34"/>
        </w:numPr>
        <w:tabs>
          <w:tab w:pos="742" w:val="left" w:leader="none"/>
        </w:tabs>
        <w:spacing w:line="240" w:lineRule="auto" w:before="39" w:after="0"/>
        <w:ind w:left="741" w:right="0" w:hanging="567"/>
        <w:jc w:val="left"/>
        <w:rPr>
          <w:sz w:val="21"/>
        </w:rPr>
      </w:pPr>
      <w:r>
        <w:rPr>
          <w:spacing w:val="10"/>
          <w:sz w:val="21"/>
        </w:rPr>
        <w:t>在本公司认可的医疗机构内由风湿学专科医生根据美国风湿病学会</w:t>
      </w:r>
    </w:p>
    <w:p>
      <w:pPr>
        <w:pStyle w:val="BodyText"/>
        <w:spacing w:line="278" w:lineRule="auto" w:before="43"/>
        <w:ind w:left="700" w:right="664"/>
        <w:jc w:val="both"/>
      </w:pPr>
      <w:r>
        <w:rPr/>
        <w:t>（ACR）及欧洲抗风湿病联盟(EULAR</w:t>
      </w:r>
      <w:r>
        <w:rPr>
          <w:spacing w:val="-5"/>
        </w:rPr>
        <w:t>)在 </w:t>
      </w:r>
      <w:r>
        <w:rPr/>
        <w:t>2013</w:t>
      </w:r>
      <w:r>
        <w:rPr>
          <w:spacing w:val="-4"/>
        </w:rPr>
        <w:t> 年发布的系统性硬皮病诊</w:t>
      </w:r>
      <w:r>
        <w:rPr>
          <w:spacing w:val="-2"/>
        </w:rPr>
        <w:t>断标准确认达到确诊标准（总分值由每一个分类中的最高比重（分值）</w:t>
      </w:r>
      <w:r>
        <w:rPr/>
        <w:t>相加而成，总分≥9</w:t>
      </w:r>
      <w:r>
        <w:rPr>
          <w:spacing w:val="-7"/>
        </w:rPr>
        <w:t> 分的患者被分类为系统性硬皮病</w:t>
      </w:r>
      <w:r>
        <w:rPr/>
        <w:t>）；</w:t>
      </w:r>
    </w:p>
    <w:p>
      <w:pPr>
        <w:pStyle w:val="ListParagraph"/>
        <w:numPr>
          <w:ilvl w:val="0"/>
          <w:numId w:val="34"/>
        </w:numPr>
        <w:tabs>
          <w:tab w:pos="705" w:val="left" w:leader="none"/>
        </w:tabs>
        <w:spacing w:line="223" w:lineRule="auto" w:before="15" w:after="0"/>
        <w:ind w:left="175" w:right="1924" w:firstLine="0"/>
        <w:jc w:val="left"/>
        <w:rPr>
          <w:rFonts w:ascii="微软雅黑" w:eastAsia="微软雅黑"/>
          <w:b/>
          <w:sz w:val="21"/>
        </w:rPr>
      </w:pPr>
      <w:r>
        <w:rPr>
          <w:spacing w:val="-2"/>
          <w:sz w:val="21"/>
        </w:rPr>
        <w:t>须提供明确的病理活检及自身抗体免疫血清学证据支持。</w:t>
      </w:r>
      <w:r>
        <w:rPr>
          <w:rFonts w:ascii="微软雅黑" w:eastAsia="微软雅黑"/>
          <w:b/>
          <w:spacing w:val="-2"/>
          <w:sz w:val="21"/>
        </w:rPr>
        <w:t>以下情况不在保障范围内：</w:t>
      </w:r>
    </w:p>
    <w:p>
      <w:pPr>
        <w:pStyle w:val="ListParagraph"/>
        <w:numPr>
          <w:ilvl w:val="0"/>
          <w:numId w:val="35"/>
        </w:numPr>
        <w:tabs>
          <w:tab w:pos="705" w:val="left" w:leader="none"/>
        </w:tabs>
        <w:spacing w:line="282" w:lineRule="exact" w:before="0" w:after="0"/>
        <w:ind w:left="704" w:right="0" w:hanging="530"/>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5"/>
          <w:sz w:val="21"/>
        </w:rPr>
        <w:t>）；</w:t>
      </w:r>
    </w:p>
    <w:p>
      <w:pPr>
        <w:pStyle w:val="ListParagraph"/>
        <w:numPr>
          <w:ilvl w:val="0"/>
          <w:numId w:val="35"/>
        </w:numPr>
        <w:tabs>
          <w:tab w:pos="705" w:val="left" w:leader="none"/>
        </w:tabs>
        <w:spacing w:line="312" w:lineRule="exact" w:before="0" w:after="0"/>
        <w:ind w:left="704" w:right="0" w:hanging="530"/>
        <w:jc w:val="left"/>
        <w:rPr>
          <w:rFonts w:ascii="微软雅黑" w:eastAsia="微软雅黑"/>
          <w:b/>
          <w:sz w:val="21"/>
        </w:rPr>
      </w:pPr>
      <w:r>
        <w:rPr>
          <w:rFonts w:ascii="微软雅黑" w:eastAsia="微软雅黑"/>
          <w:b/>
          <w:spacing w:val="-2"/>
          <w:sz w:val="21"/>
        </w:rPr>
        <w:t>嗜酸性筋膜炎；</w:t>
      </w:r>
    </w:p>
    <w:p>
      <w:pPr>
        <w:pStyle w:val="ListParagraph"/>
        <w:numPr>
          <w:ilvl w:val="0"/>
          <w:numId w:val="35"/>
        </w:numPr>
        <w:tabs>
          <w:tab w:pos="705" w:val="left" w:leader="none"/>
        </w:tabs>
        <w:spacing w:line="350" w:lineRule="exact" w:before="0" w:after="0"/>
        <w:ind w:left="704" w:right="0" w:hanging="530"/>
        <w:jc w:val="left"/>
        <w:rPr>
          <w:rFonts w:ascii="微软雅黑" w:eastAsia="微软雅黑"/>
          <w:b/>
          <w:sz w:val="21"/>
        </w:rPr>
      </w:pPr>
      <w:r>
        <w:rPr>
          <w:rFonts w:ascii="微软雅黑" w:eastAsia="微软雅黑"/>
          <w:b/>
          <w:w w:val="90"/>
          <w:sz w:val="21"/>
        </w:rPr>
        <w:t>CREST</w:t>
      </w:r>
      <w:r>
        <w:rPr>
          <w:rFonts w:ascii="微软雅黑" w:eastAsia="微软雅黑"/>
          <w:b/>
          <w:spacing w:val="38"/>
          <w:w w:val="90"/>
          <w:sz w:val="21"/>
        </w:rPr>
        <w:t> </w:t>
      </w:r>
      <w:r>
        <w:rPr>
          <w:rFonts w:ascii="微软雅黑" w:eastAsia="微软雅黑"/>
          <w:b/>
          <w:w w:val="90"/>
          <w:sz w:val="21"/>
        </w:rPr>
        <w:t>综</w:t>
      </w:r>
      <w:r>
        <w:rPr>
          <w:rFonts w:ascii="微软雅黑" w:eastAsia="微软雅黑"/>
          <w:b/>
          <w:w w:val="90"/>
          <w:sz w:val="21"/>
        </w:rPr>
        <w:t>合</w:t>
      </w:r>
      <w:r>
        <w:rPr>
          <w:rFonts w:ascii="微软雅黑" w:eastAsia="微软雅黑"/>
          <w:b/>
          <w:w w:val="90"/>
          <w:sz w:val="21"/>
        </w:rPr>
        <w:t>征</w:t>
      </w:r>
      <w:r>
        <w:rPr>
          <w:rFonts w:ascii="微软雅黑" w:eastAsia="微软雅黑"/>
          <w:b/>
          <w:spacing w:val="-10"/>
          <w:w w:val="90"/>
          <w:sz w:val="21"/>
        </w:rPr>
        <w:t>。</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1"/>
        <w:rPr>
          <w:rFonts w:ascii="微软雅黑"/>
          <w:b/>
          <w:sz w:val="12"/>
        </w:rPr>
      </w:pPr>
    </w:p>
    <w:p>
      <w:pPr>
        <w:pStyle w:val="ListParagraph"/>
        <w:numPr>
          <w:ilvl w:val="1"/>
          <w:numId w:val="2"/>
        </w:numPr>
        <w:tabs>
          <w:tab w:pos="1399" w:val="left" w:leader="none"/>
        </w:tabs>
        <w:spacing w:line="312" w:lineRule="exact" w:before="32" w:after="0"/>
        <w:ind w:left="2960" w:right="666" w:hanging="1880"/>
        <w:jc w:val="both"/>
        <w:rPr>
          <w:rFonts w:ascii="微软雅黑" w:hAnsi="微软雅黑" w:eastAsia="微软雅黑"/>
          <w:b/>
          <w:sz w:val="21"/>
        </w:rPr>
      </w:pPr>
      <w:r>
        <w:rPr>
          <w:sz w:val="21"/>
        </w:rPr>
        <w:t>中度昏迷</w:t>
      </w:r>
      <w:r>
        <w:rPr>
          <w:spacing w:val="532"/>
          <w:sz w:val="21"/>
        </w:rPr>
        <w:t> </w:t>
      </w:r>
      <w:r>
        <w:rPr>
          <w:spacing w:val="-1"/>
          <w:sz w:val="21"/>
        </w:rPr>
        <w:t>处于昏迷的状态，对外界刺激或内在需要毫无反应。昏迷必须持续至少 </w:t>
      </w:r>
      <w:r>
        <w:rPr>
          <w:sz w:val="21"/>
        </w:rPr>
        <w:t>48</w:t>
      </w:r>
      <w:r>
        <w:rPr>
          <w:spacing w:val="-13"/>
          <w:sz w:val="21"/>
        </w:rPr>
        <w:t> 个</w:t>
      </w:r>
      <w:r>
        <w:rPr>
          <w:spacing w:val="-2"/>
          <w:sz w:val="21"/>
        </w:rPr>
        <w:t>小时，并需要使用插管和机械性呼吸的方法来维持生命，但未达到重大疾病 “</w:t>
      </w:r>
      <w:r>
        <w:rPr>
          <w:rFonts w:ascii="微软雅黑" w:hAnsi="微软雅黑" w:eastAsia="微软雅黑"/>
          <w:b/>
          <w:spacing w:val="-2"/>
          <w:sz w:val="21"/>
        </w:rPr>
        <w:t>深度昏迷</w:t>
      </w:r>
      <w:r>
        <w:rPr>
          <w:spacing w:val="-2"/>
          <w:sz w:val="21"/>
        </w:rPr>
        <w:t>”或中症疾病“</w:t>
      </w:r>
      <w:r>
        <w:rPr>
          <w:rFonts w:ascii="微软雅黑" w:hAnsi="微软雅黑" w:eastAsia="微软雅黑"/>
          <w:b/>
          <w:spacing w:val="-2"/>
          <w:sz w:val="21"/>
        </w:rPr>
        <w:t>严重昏迷</w:t>
      </w:r>
      <w:r>
        <w:rPr>
          <w:spacing w:val="-2"/>
          <w:sz w:val="21"/>
        </w:rPr>
        <w:t>”的给付标准。昏迷的诊断及有关证明</w:t>
      </w:r>
      <w:r>
        <w:rPr>
          <w:spacing w:val="-2"/>
          <w:sz w:val="21"/>
        </w:rPr>
        <w:t>必须在本公司认可的医疗机构内由神经专科医生确定。</w:t>
      </w:r>
      <w:r>
        <w:rPr>
          <w:rFonts w:ascii="微软雅黑" w:hAnsi="微软雅黑" w:eastAsia="微软雅黑"/>
          <w:b/>
          <w:spacing w:val="-2"/>
          <w:sz w:val="21"/>
        </w:rPr>
        <w:t>酗酒或滥用药物直接</w:t>
      </w:r>
      <w:r>
        <w:rPr>
          <w:rFonts w:ascii="微软雅黑" w:hAnsi="微软雅黑" w:eastAsia="微软雅黑"/>
          <w:b/>
          <w:spacing w:val="-2"/>
          <w:sz w:val="21"/>
        </w:rPr>
        <w:t>引起的昏迷不在保障范围内。</w:t>
      </w:r>
    </w:p>
    <w:p>
      <w:pPr>
        <w:pStyle w:val="BodyText"/>
        <w:spacing w:before="3"/>
        <w:rPr>
          <w:rFonts w:ascii="微软雅黑"/>
          <w:b/>
          <w:sz w:val="15"/>
        </w:rPr>
      </w:pPr>
    </w:p>
    <w:p>
      <w:pPr>
        <w:spacing w:after="0"/>
        <w:rPr>
          <w:rFonts w:ascii="微软雅黑"/>
          <w:sz w:val="15"/>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风湿热导致的</w:t>
      </w:r>
      <w:r>
        <w:rPr>
          <w:spacing w:val="-2"/>
          <w:sz w:val="21"/>
        </w:rPr>
        <w:t>心脏瓣膜疾病</w:t>
      </w:r>
    </w:p>
    <w:p>
      <w:pPr>
        <w:pStyle w:val="BodyText"/>
        <w:spacing w:before="72"/>
        <w:ind w:left="175"/>
      </w:pPr>
      <w:r>
        <w:rPr/>
        <w:br w:type="column"/>
      </w:r>
      <w:r>
        <w:rPr>
          <w:spacing w:val="-3"/>
        </w:rPr>
        <w:t>风湿热导致的心脏瓣膜疾病诊断须同时符合下列要求：</w:t>
      </w:r>
    </w:p>
    <w:p>
      <w:pPr>
        <w:pStyle w:val="ListParagraph"/>
        <w:numPr>
          <w:ilvl w:val="0"/>
          <w:numId w:val="36"/>
        </w:numPr>
        <w:tabs>
          <w:tab w:pos="705" w:val="left" w:leader="none"/>
        </w:tabs>
        <w:spacing w:line="278" w:lineRule="auto" w:before="43" w:after="0"/>
        <w:ind w:left="700" w:right="666" w:hanging="526"/>
        <w:jc w:val="left"/>
        <w:rPr>
          <w:sz w:val="21"/>
        </w:rPr>
      </w:pPr>
      <w:r>
        <w:rPr>
          <w:spacing w:val="-2"/>
          <w:sz w:val="21"/>
        </w:rPr>
        <w:t>须在本公司认可的医疗机构内由儿科专科医生根据已修订的 </w:t>
      </w:r>
      <w:r>
        <w:rPr>
          <w:sz w:val="21"/>
        </w:rPr>
        <w:t>Jones</w:t>
      </w:r>
      <w:r>
        <w:rPr>
          <w:spacing w:val="-19"/>
          <w:sz w:val="21"/>
        </w:rPr>
        <w:t> 标准</w:t>
      </w:r>
      <w:r>
        <w:rPr>
          <w:spacing w:val="-2"/>
          <w:sz w:val="21"/>
        </w:rPr>
        <w:t>诊断证实罹患急性风湿热；</w:t>
      </w:r>
    </w:p>
    <w:p>
      <w:pPr>
        <w:pStyle w:val="ListParagraph"/>
        <w:numPr>
          <w:ilvl w:val="0"/>
          <w:numId w:val="36"/>
        </w:numPr>
        <w:tabs>
          <w:tab w:pos="702" w:val="left" w:leader="none"/>
        </w:tabs>
        <w:spacing w:line="278" w:lineRule="auto" w:before="0" w:after="0"/>
        <w:ind w:left="700" w:right="563" w:hanging="526"/>
        <w:jc w:val="left"/>
        <w:rPr>
          <w:sz w:val="21"/>
        </w:rPr>
      </w:pPr>
      <w:r>
        <w:rPr>
          <w:spacing w:val="-3"/>
          <w:w w:val="100"/>
          <w:sz w:val="21"/>
        </w:rPr>
        <w:t>因风湿热所导致一个或以上最少轻度心脏瓣膜关闭不全</w:t>
      </w:r>
      <w:r>
        <w:rPr>
          <w:w w:val="100"/>
          <w:sz w:val="21"/>
        </w:rPr>
        <w:t>（</w:t>
      </w:r>
      <w:r>
        <w:rPr>
          <w:spacing w:val="-3"/>
          <w:w w:val="100"/>
          <w:sz w:val="21"/>
        </w:rPr>
        <w:t>即返流部份达 20%或以上</w:t>
      </w:r>
      <w:r>
        <w:rPr>
          <w:spacing w:val="-53"/>
          <w:w w:val="100"/>
          <w:sz w:val="21"/>
        </w:rPr>
        <w:t>）</w:t>
      </w:r>
      <w:r>
        <w:rPr>
          <w:spacing w:val="-10"/>
          <w:w w:val="100"/>
          <w:sz w:val="21"/>
        </w:rPr>
        <w:t>或狭窄的心瓣损伤</w:t>
      </w:r>
      <w:r>
        <w:rPr>
          <w:w w:val="100"/>
          <w:sz w:val="21"/>
        </w:rPr>
        <w:t>（</w:t>
      </w:r>
      <w:r>
        <w:rPr>
          <w:spacing w:val="-3"/>
          <w:w w:val="100"/>
          <w:sz w:val="21"/>
        </w:rPr>
        <w:t>即心脏瓣面积为正常值的</w:t>
      </w:r>
      <w:r>
        <w:rPr>
          <w:spacing w:val="-53"/>
          <w:sz w:val="21"/>
        </w:rPr>
        <w:t> </w:t>
      </w:r>
      <w:r>
        <w:rPr>
          <w:w w:val="100"/>
          <w:sz w:val="21"/>
        </w:rPr>
        <w:t>30</w:t>
      </w:r>
      <w:r>
        <w:rPr>
          <w:spacing w:val="-3"/>
          <w:w w:val="100"/>
          <w:sz w:val="21"/>
        </w:rPr>
        <w:t>%或以下</w:t>
      </w:r>
      <w:r>
        <w:rPr>
          <w:spacing w:val="-56"/>
          <w:w w:val="100"/>
          <w:sz w:val="21"/>
        </w:rPr>
        <w:t>）</w:t>
      </w:r>
      <w:r>
        <w:rPr>
          <w:w w:val="100"/>
          <w:sz w:val="21"/>
        </w:rPr>
        <w:t>，</w:t>
      </w:r>
      <w:r>
        <w:rPr>
          <w:spacing w:val="3"/>
          <w:w w:val="100"/>
          <w:sz w:val="21"/>
        </w:rPr>
        <w:t>该诊断须在本公司认可的医疗机构内由心脏专科医生根据心瓣功能的</w:t>
      </w:r>
      <w:r>
        <w:rPr>
          <w:spacing w:val="-1"/>
          <w:w w:val="100"/>
          <w:sz w:val="21"/>
        </w:rPr>
        <w:t>定量检查证实。</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9"/>
        <w:rPr>
          <w:sz w:val="18"/>
        </w:rPr>
      </w:pPr>
    </w:p>
    <w:p>
      <w:pPr>
        <w:spacing w:after="0"/>
        <w:rPr>
          <w:sz w:val="1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骨质疏松骨折</w:t>
      </w:r>
      <w:r>
        <w:rPr>
          <w:spacing w:val="-2"/>
          <w:sz w:val="21"/>
        </w:rPr>
        <w:t>髋关节置换手术</w:t>
      </w:r>
    </w:p>
    <w:p>
      <w:pPr>
        <w:pStyle w:val="BodyText"/>
        <w:spacing w:line="278" w:lineRule="auto" w:before="72"/>
        <w:ind w:left="175" w:right="664"/>
        <w:jc w:val="both"/>
      </w:pPr>
      <w:r>
        <w:rPr/>
        <w:br w:type="column"/>
      </w:r>
      <w:r>
        <w:rPr>
          <w:spacing w:val="-2"/>
        </w:rPr>
        <w:t>骨质疏松是一种系统性疾病，其特征为骨质量减少，骨小梁数目减少、变细</w:t>
      </w:r>
      <w:r>
        <w:rPr>
          <w:spacing w:val="-2"/>
        </w:rPr>
        <w:t>和骨皮质变薄，导致骨脆性增加，骨折危险增加。根据世界卫生组织（WHO， </w:t>
      </w:r>
      <w:r>
        <w:rPr/>
        <w:t>World Health Organization）建议，骨密度（BMD）较正常成人骨密度平均</w:t>
      </w:r>
      <w:r>
        <w:rPr>
          <w:spacing w:val="-6"/>
        </w:rPr>
        <w:t>值降低 </w:t>
      </w:r>
      <w:r>
        <w:rPr/>
        <w:t>2.5</w:t>
      </w:r>
      <w:r>
        <w:rPr>
          <w:spacing w:val="-5"/>
        </w:rPr>
        <w:t> 个标准差为骨质疏松症。必须满足下列所有条件：</w:t>
      </w:r>
    </w:p>
    <w:p>
      <w:pPr>
        <w:pStyle w:val="ListParagraph"/>
        <w:numPr>
          <w:ilvl w:val="0"/>
          <w:numId w:val="37"/>
        </w:numPr>
        <w:tabs>
          <w:tab w:pos="705" w:val="left" w:leader="none"/>
        </w:tabs>
        <w:spacing w:line="269" w:lineRule="exact" w:before="0" w:after="0"/>
        <w:ind w:left="704" w:right="0" w:hanging="530"/>
        <w:jc w:val="left"/>
        <w:rPr>
          <w:sz w:val="21"/>
        </w:rPr>
      </w:pPr>
      <w:r>
        <w:rPr>
          <w:spacing w:val="-3"/>
          <w:sz w:val="21"/>
        </w:rPr>
        <w:t>依照诊断标准确诊为骨质疏松症；</w:t>
      </w:r>
    </w:p>
    <w:p>
      <w:pPr>
        <w:pStyle w:val="ListParagraph"/>
        <w:numPr>
          <w:ilvl w:val="0"/>
          <w:numId w:val="37"/>
        </w:numPr>
        <w:tabs>
          <w:tab w:pos="702" w:val="left" w:leader="none"/>
        </w:tabs>
        <w:spacing w:line="278" w:lineRule="auto" w:before="43" w:after="0"/>
        <w:ind w:left="700" w:right="666" w:hanging="526"/>
        <w:jc w:val="left"/>
        <w:rPr>
          <w:sz w:val="21"/>
        </w:rPr>
      </w:pPr>
      <w:r>
        <w:rPr>
          <w:spacing w:val="-2"/>
          <w:sz w:val="21"/>
        </w:rPr>
        <w:t>实际发生了股骨颈骨折并接受了髋关节置换手术。此手术须在本公司认</w:t>
      </w:r>
      <w:r>
        <w:rPr>
          <w:spacing w:val="-2"/>
          <w:sz w:val="21"/>
        </w:rPr>
        <w:t>可的医疗机构内由专科医生认为是医疗必需的情况下进行。</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10"/>
        <w:rPr>
          <w:sz w:val="18"/>
        </w:rPr>
      </w:pPr>
    </w:p>
    <w:p>
      <w:pPr>
        <w:pStyle w:val="ListParagraph"/>
        <w:numPr>
          <w:ilvl w:val="1"/>
          <w:numId w:val="2"/>
        </w:numPr>
        <w:tabs>
          <w:tab w:pos="1399" w:val="left" w:leader="none"/>
          <w:tab w:pos="2960" w:val="left" w:leader="none"/>
        </w:tabs>
        <w:spacing w:line="223" w:lineRule="auto" w:before="86" w:after="0"/>
        <w:ind w:left="2960" w:right="1715" w:hanging="1880"/>
        <w:jc w:val="left"/>
        <w:rPr>
          <w:rFonts w:ascii="微软雅黑" w:eastAsia="微软雅黑"/>
          <w:b/>
          <w:sz w:val="21"/>
        </w:rPr>
      </w:pPr>
      <w:r>
        <w:rPr>
          <w:spacing w:val="-2"/>
          <w:sz w:val="21"/>
        </w:rPr>
        <w:t>多发肋骨骨折</w:t>
      </w:r>
      <w:r>
        <w:rPr>
          <w:sz w:val="21"/>
        </w:rPr>
        <w:tab/>
        <w:t>因一次意外伤害事故导致</w:t>
      </w:r>
      <w:r>
        <w:rPr>
          <w:sz w:val="21"/>
        </w:rPr>
        <w:t>胸部损伤同时大于等于</w:t>
      </w:r>
      <w:r>
        <w:rPr>
          <w:spacing w:val="-53"/>
          <w:sz w:val="21"/>
        </w:rPr>
        <w:t> </w:t>
      </w:r>
      <w:r>
        <w:rPr>
          <w:sz w:val="21"/>
        </w:rPr>
        <w:t>12</w:t>
      </w:r>
      <w:r>
        <w:rPr>
          <w:spacing w:val="-55"/>
          <w:sz w:val="21"/>
        </w:rPr>
        <w:t> </w:t>
      </w:r>
      <w:r>
        <w:rPr>
          <w:sz w:val="21"/>
        </w:rPr>
        <w:t>根肋骨骨折。</w:t>
      </w:r>
      <w:r>
        <w:rPr>
          <w:rFonts w:ascii="微软雅黑" w:eastAsia="微软雅黑"/>
          <w:b/>
          <w:spacing w:val="-2"/>
          <w:sz w:val="21"/>
        </w:rPr>
        <w:t>陈</w:t>
      </w:r>
      <w:r>
        <w:rPr>
          <w:rFonts w:ascii="微软雅黑" w:eastAsia="微软雅黑"/>
          <w:b/>
          <w:spacing w:val="-2"/>
          <w:sz w:val="21"/>
        </w:rPr>
        <w:t>旧</w:t>
      </w:r>
      <w:r>
        <w:rPr>
          <w:rFonts w:ascii="微软雅黑" w:eastAsia="微软雅黑"/>
          <w:b/>
          <w:spacing w:val="-2"/>
          <w:sz w:val="21"/>
        </w:rPr>
        <w:t>性</w:t>
      </w:r>
      <w:r>
        <w:rPr>
          <w:rFonts w:ascii="微软雅黑" w:eastAsia="微软雅黑"/>
          <w:b/>
          <w:spacing w:val="-2"/>
          <w:sz w:val="21"/>
        </w:rPr>
        <w:t>骨</w:t>
      </w:r>
      <w:r>
        <w:rPr>
          <w:rFonts w:ascii="微软雅黑" w:eastAsia="微软雅黑"/>
          <w:b/>
          <w:spacing w:val="-2"/>
          <w:sz w:val="21"/>
        </w:rPr>
        <w:t>折</w:t>
      </w:r>
      <w:r>
        <w:rPr>
          <w:rFonts w:ascii="微软雅黑" w:eastAsia="微软雅黑"/>
          <w:b/>
          <w:spacing w:val="-2"/>
          <w:sz w:val="21"/>
        </w:rPr>
        <w:t>不</w:t>
      </w:r>
      <w:r>
        <w:rPr>
          <w:rFonts w:ascii="微软雅黑" w:eastAsia="微软雅黑"/>
          <w:b/>
          <w:spacing w:val="-2"/>
          <w:sz w:val="21"/>
        </w:rPr>
        <w:t>在</w:t>
      </w:r>
      <w:r>
        <w:rPr>
          <w:rFonts w:ascii="微软雅黑" w:eastAsia="微软雅黑"/>
          <w:b/>
          <w:spacing w:val="-2"/>
          <w:sz w:val="21"/>
        </w:rPr>
        <w:t>保</w:t>
      </w:r>
      <w:r>
        <w:rPr>
          <w:rFonts w:ascii="微软雅黑" w:eastAsia="微软雅黑"/>
          <w:b/>
          <w:spacing w:val="-2"/>
          <w:sz w:val="21"/>
        </w:rPr>
        <w:t>障范围</w:t>
      </w:r>
      <w:r>
        <w:rPr>
          <w:rFonts w:ascii="微软雅黑" w:eastAsia="微软雅黑"/>
          <w:b/>
          <w:spacing w:val="-2"/>
          <w:sz w:val="21"/>
        </w:rPr>
        <w:t>之</w:t>
      </w:r>
      <w:r>
        <w:rPr>
          <w:rFonts w:ascii="微软雅黑" w:eastAsia="微软雅黑"/>
          <w:b/>
          <w:spacing w:val="-2"/>
          <w:sz w:val="21"/>
        </w:rPr>
        <w:t>内</w:t>
      </w:r>
      <w:r>
        <w:rPr>
          <w:rFonts w:ascii="微软雅黑" w:eastAsia="微软雅黑"/>
          <w:b/>
          <w:spacing w:val="-2"/>
          <w:sz w:val="21"/>
        </w:rPr>
        <w:t>。</w:t>
      </w:r>
    </w:p>
    <w:p>
      <w:pPr>
        <w:pStyle w:val="BodyText"/>
        <w:rPr>
          <w:rFonts w:ascii="微软雅黑"/>
          <w:b/>
          <w:sz w:val="13"/>
        </w:rPr>
      </w:pPr>
    </w:p>
    <w:p>
      <w:pPr>
        <w:spacing w:after="0"/>
        <w:rPr>
          <w:rFonts w:ascii="微软雅黑"/>
          <w:sz w:val="13"/>
        </w:rPr>
        <w:sectPr>
          <w:type w:val="continuous"/>
          <w:pgSz w:w="11910" w:h="16840"/>
          <w:pgMar w:header="0" w:footer="406" w:top="600" w:bottom="280" w:left="900" w:right="340"/>
        </w:sectPr>
      </w:pPr>
    </w:p>
    <w:p>
      <w:pPr>
        <w:pStyle w:val="ListParagraph"/>
        <w:numPr>
          <w:ilvl w:val="1"/>
          <w:numId w:val="2"/>
        </w:numPr>
        <w:tabs>
          <w:tab w:pos="1399" w:val="left" w:leader="none"/>
        </w:tabs>
        <w:spacing w:line="278" w:lineRule="auto" w:before="72" w:after="0"/>
        <w:ind w:left="1080" w:right="0" w:firstLine="0"/>
        <w:jc w:val="left"/>
        <w:rPr>
          <w:sz w:val="21"/>
        </w:rPr>
      </w:pPr>
      <w:r>
        <w:rPr>
          <w:spacing w:val="-2"/>
          <w:sz w:val="21"/>
        </w:rPr>
        <w:t>糖尿病并发症</w:t>
      </w:r>
      <w:r>
        <w:rPr>
          <w:spacing w:val="-2"/>
          <w:sz w:val="21"/>
        </w:rPr>
        <w:t>导致的单足截除</w:t>
      </w:r>
    </w:p>
    <w:p>
      <w:pPr>
        <w:pStyle w:val="BodyText"/>
        <w:spacing w:line="278" w:lineRule="auto" w:before="72"/>
        <w:ind w:left="262" w:right="767"/>
        <w:jc w:val="both"/>
      </w:pPr>
      <w:r>
        <w:rPr/>
        <w:br w:type="column"/>
      </w:r>
      <w:r>
        <w:rPr>
          <w:spacing w:val="-2"/>
        </w:rPr>
        <w:t>指因糖尿病引起的神经及血管病变累及足部，为了维持生命已经实际进行由</w:t>
      </w:r>
      <w:r>
        <w:rPr>
          <w:spacing w:val="-2"/>
        </w:rPr>
        <w:t>足踝或者以上位置的单足截除手术。此手术必须在本公司认可的医疗机构内</w:t>
      </w:r>
      <w:r>
        <w:rPr>
          <w:spacing w:val="-2"/>
        </w:rPr>
        <w:t>由专科医生认为是医疗必需的情况下进行。</w:t>
      </w:r>
    </w:p>
    <w:p>
      <w:pPr>
        <w:spacing w:after="0" w:line="278" w:lineRule="auto"/>
        <w:jc w:val="both"/>
        <w:sectPr>
          <w:type w:val="continuous"/>
          <w:pgSz w:w="11910" w:h="16840"/>
          <w:pgMar w:header="0" w:footer="406" w:top="600" w:bottom="280" w:left="900" w:right="340"/>
          <w:cols w:num="2" w:equalWidth="0">
            <w:col w:w="2658" w:space="40"/>
            <w:col w:w="7972"/>
          </w:cols>
        </w:sectPr>
      </w:pPr>
    </w:p>
    <w:p>
      <w:pPr>
        <w:pStyle w:val="Heading2"/>
        <w:spacing w:line="340" w:lineRule="exact"/>
      </w:pPr>
      <w:r>
        <w:rPr>
          <w:spacing w:val="-3"/>
        </w:rPr>
        <w:t>切除多只脚趾或者因其他原因引起的截除术不在保障范围内。</w:t>
      </w:r>
    </w:p>
    <w:p>
      <w:pPr>
        <w:spacing w:line="194" w:lineRule="auto" w:before="15"/>
        <w:ind w:left="2960" w:right="745" w:firstLine="0"/>
        <w:jc w:val="left"/>
        <w:rPr>
          <w:rFonts w:ascii="微软雅黑" w:hAnsi="微软雅黑" w:eastAsia="微软雅黑"/>
          <w:b/>
          <w:sz w:val="21"/>
        </w:rPr>
      </w:pPr>
      <w:r>
        <w:rPr>
          <w:rFonts w:ascii="微软雅黑" w:hAnsi="微软雅黑" w:eastAsia="微软雅黑"/>
          <w:b/>
          <w:spacing w:val="-2"/>
          <w:sz w:val="21"/>
        </w:rPr>
        <w:t>本公司对该种轻症疾病理赔后，不再对“糖尿病视网膜晚期增生性病变”承</w:t>
      </w:r>
      <w:r>
        <w:rPr>
          <w:rFonts w:ascii="微软雅黑" w:hAnsi="微软雅黑" w:eastAsia="微软雅黑"/>
          <w:b/>
          <w:spacing w:val="-2"/>
          <w:sz w:val="21"/>
        </w:rPr>
        <w:t>担给付轻症疾病保险金的责任。</w:t>
      </w:r>
    </w:p>
    <w:p>
      <w:pPr>
        <w:pStyle w:val="BodyText"/>
        <w:spacing w:before="2"/>
        <w:rPr>
          <w:rFonts w:ascii="微软雅黑"/>
          <w:b/>
          <w:sz w:val="9"/>
        </w:rPr>
      </w:pPr>
    </w:p>
    <w:p>
      <w:pPr>
        <w:spacing w:after="0"/>
        <w:rPr>
          <w:rFonts w:ascii="微软雅黑"/>
          <w:sz w:val="9"/>
        </w:rPr>
        <w:sectPr>
          <w:pgSz w:w="11910" w:h="16840"/>
          <w:pgMar w:header="0" w:footer="406" w:top="1080" w:bottom="600" w:left="900" w:right="340"/>
        </w:sectPr>
      </w:pPr>
    </w:p>
    <w:p>
      <w:pPr>
        <w:pStyle w:val="ListParagraph"/>
        <w:numPr>
          <w:ilvl w:val="1"/>
          <w:numId w:val="2"/>
        </w:numPr>
        <w:tabs>
          <w:tab w:pos="1542" w:val="left" w:leader="none"/>
        </w:tabs>
        <w:spacing w:line="278" w:lineRule="auto" w:before="72" w:after="0"/>
        <w:ind w:left="1080" w:right="0" w:firstLine="0"/>
        <w:jc w:val="both"/>
        <w:rPr>
          <w:sz w:val="21"/>
        </w:rPr>
      </w:pPr>
      <w:r>
        <w:rPr>
          <w:spacing w:val="27"/>
          <w:sz w:val="21"/>
        </w:rPr>
        <w:t>糖尿病视网</w:t>
      </w:r>
      <w:r>
        <w:rPr>
          <w:spacing w:val="26"/>
          <w:sz w:val="21"/>
        </w:rPr>
        <w:t>膜晚期增生性病</w:t>
      </w:r>
      <w:r>
        <w:rPr>
          <w:spacing w:val="-10"/>
          <w:sz w:val="21"/>
        </w:rPr>
        <w:t>变</w:t>
      </w:r>
    </w:p>
    <w:p>
      <w:pPr>
        <w:pStyle w:val="BodyText"/>
        <w:spacing w:before="72"/>
        <w:ind w:left="142"/>
      </w:pPr>
      <w:r>
        <w:rPr/>
        <w:br w:type="column"/>
      </w:r>
      <w:r>
        <w:rPr>
          <w:spacing w:val="-3"/>
        </w:rPr>
        <w:t>因糖尿病而并发视网膜晚期增生性血管病变，并必须符合下列所有理赔条件：</w:t>
      </w:r>
    </w:p>
    <w:p>
      <w:pPr>
        <w:pStyle w:val="ListParagraph"/>
        <w:numPr>
          <w:ilvl w:val="0"/>
          <w:numId w:val="38"/>
        </w:numPr>
        <w:tabs>
          <w:tab w:pos="672" w:val="left" w:leader="none"/>
        </w:tabs>
        <w:spacing w:line="240" w:lineRule="auto" w:before="43" w:after="0"/>
        <w:ind w:left="671" w:right="0" w:hanging="530"/>
        <w:jc w:val="left"/>
        <w:rPr>
          <w:sz w:val="21"/>
        </w:rPr>
      </w:pPr>
      <w:r>
        <w:rPr>
          <w:spacing w:val="-3"/>
          <w:sz w:val="21"/>
        </w:rPr>
        <w:t>确诊糖尿病视网膜病变时被保险人已患有糖尿病；</w:t>
      </w:r>
    </w:p>
    <w:p>
      <w:pPr>
        <w:pStyle w:val="ListParagraph"/>
        <w:numPr>
          <w:ilvl w:val="0"/>
          <w:numId w:val="38"/>
        </w:numPr>
        <w:tabs>
          <w:tab w:pos="672" w:val="left" w:leader="none"/>
        </w:tabs>
        <w:spacing w:line="278" w:lineRule="auto" w:before="43" w:after="0"/>
        <w:ind w:left="668" w:right="666" w:hanging="526"/>
        <w:jc w:val="left"/>
        <w:rPr>
          <w:sz w:val="21"/>
        </w:rPr>
      </w:pPr>
      <w:r>
        <w:rPr>
          <w:spacing w:val="-3"/>
          <w:sz w:val="21"/>
        </w:rPr>
        <w:t>双眼最佳矫正视力低于 </w:t>
      </w:r>
      <w:r>
        <w:rPr>
          <w:sz w:val="21"/>
        </w:rPr>
        <w:t>0.3（采用国际标准视力表，如果使用其他视力</w:t>
      </w:r>
      <w:r>
        <w:rPr>
          <w:spacing w:val="-2"/>
          <w:sz w:val="21"/>
        </w:rPr>
        <w:t>表应进行换算）；</w:t>
      </w:r>
    </w:p>
    <w:p>
      <w:pPr>
        <w:pStyle w:val="ListParagraph"/>
        <w:numPr>
          <w:ilvl w:val="0"/>
          <w:numId w:val="38"/>
        </w:numPr>
        <w:tabs>
          <w:tab w:pos="672" w:val="left" w:leader="none"/>
        </w:tabs>
        <w:spacing w:line="269" w:lineRule="exact" w:before="0" w:after="0"/>
        <w:ind w:left="671" w:right="0" w:hanging="530"/>
        <w:jc w:val="left"/>
        <w:rPr>
          <w:sz w:val="21"/>
        </w:rPr>
      </w:pPr>
      <w:r>
        <w:rPr>
          <w:spacing w:val="-3"/>
          <w:sz w:val="21"/>
        </w:rPr>
        <w:t>被保险人已确实进行了激光治疗等以改善视力障碍；</w:t>
      </w:r>
    </w:p>
    <w:p>
      <w:pPr>
        <w:pStyle w:val="ListParagraph"/>
        <w:numPr>
          <w:ilvl w:val="0"/>
          <w:numId w:val="38"/>
        </w:numPr>
        <w:tabs>
          <w:tab w:pos="670" w:val="left" w:leader="none"/>
        </w:tabs>
        <w:spacing w:line="278" w:lineRule="auto" w:before="43" w:after="0"/>
        <w:ind w:left="668" w:right="666" w:hanging="526"/>
        <w:jc w:val="left"/>
        <w:rPr>
          <w:sz w:val="21"/>
        </w:rPr>
      </w:pPr>
      <w:r>
        <w:rPr>
          <w:spacing w:val="-2"/>
          <w:sz w:val="21"/>
        </w:rPr>
        <w:t>糖尿病视网膜病变的诊断、视力障碍的程度及治疗的医疗必需性须在本</w:t>
      </w:r>
      <w:r>
        <w:rPr>
          <w:spacing w:val="-2"/>
          <w:sz w:val="21"/>
        </w:rPr>
        <w:t>公司认可的医疗机构内由专科医生确定。</w:t>
      </w:r>
    </w:p>
    <w:p>
      <w:pPr>
        <w:pStyle w:val="Heading2"/>
        <w:spacing w:line="282" w:lineRule="exact"/>
        <w:ind w:left="142"/>
      </w:pPr>
      <w:r>
        <w:rPr>
          <w:spacing w:val="-3"/>
        </w:rPr>
        <w:t>本公司对该种轻症疾病理赔后，不再对“糖尿病并发症导致的单足截除”承</w:t>
      </w:r>
    </w:p>
    <w:p>
      <w:pPr>
        <w:spacing w:line="350" w:lineRule="exact" w:before="0"/>
        <w:ind w:left="142" w:right="0" w:firstLine="0"/>
        <w:jc w:val="left"/>
        <w:rPr>
          <w:rFonts w:ascii="微软雅黑" w:eastAsia="微软雅黑"/>
          <w:b/>
          <w:sz w:val="21"/>
        </w:rPr>
      </w:pPr>
      <w:r>
        <w:rPr>
          <w:rFonts w:ascii="微软雅黑" w:eastAsia="微软雅黑"/>
          <w:b/>
          <w:spacing w:val="-3"/>
          <w:sz w:val="21"/>
        </w:rPr>
        <w:t>担给付轻症疾病保险金的责任。</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78" w:space="40"/>
            <w:col w:w="7852"/>
          </w:cols>
        </w:sectPr>
      </w:pPr>
    </w:p>
    <w:p>
      <w:pPr>
        <w:pStyle w:val="BodyText"/>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1"/>
          <w:numId w:val="2"/>
        </w:numPr>
        <w:tabs>
          <w:tab w:pos="1412" w:val="left" w:leader="none"/>
        </w:tabs>
        <w:spacing w:line="278" w:lineRule="auto" w:before="72" w:after="0"/>
        <w:ind w:left="1080" w:right="0" w:firstLine="0"/>
        <w:jc w:val="left"/>
        <w:rPr>
          <w:sz w:val="21"/>
        </w:rPr>
      </w:pPr>
      <w:r>
        <w:rPr>
          <w:spacing w:val="8"/>
          <w:sz w:val="21"/>
        </w:rPr>
        <w:t>轻度坏死性筋</w:t>
      </w:r>
      <w:r>
        <w:rPr>
          <w:spacing w:val="-6"/>
          <w:sz w:val="21"/>
        </w:rPr>
        <w:t>膜炎</w:t>
      </w:r>
    </w:p>
    <w:p>
      <w:pPr>
        <w:pStyle w:val="BodyText"/>
        <w:spacing w:line="278" w:lineRule="auto" w:before="72"/>
        <w:ind w:left="175" w:right="669"/>
        <w:jc w:val="both"/>
      </w:pPr>
      <w:r>
        <w:rPr/>
        <w:br w:type="column"/>
      </w:r>
      <w:r>
        <w:rPr>
          <w:spacing w:val="-2"/>
        </w:rPr>
        <w:t>是一种由细菌侵入皮下组织和筋膜引起的急性坏死性软组织感染，可伴有毒</w:t>
      </w:r>
      <w:r>
        <w:rPr>
          <w:spacing w:val="-2"/>
        </w:rPr>
        <w:t>血症、败血症、中毒性休克、弥漫性血管内凝血及多器官衰竭，但未达到重</w:t>
      </w:r>
      <w:r>
        <w:rPr>
          <w:spacing w:val="-2"/>
        </w:rPr>
        <w:t>大疾病“重症急性坏死性筋膜炎”的给付标准。坏死性筋膜炎的诊断须同时</w:t>
      </w:r>
      <w:r>
        <w:rPr>
          <w:spacing w:val="-2"/>
        </w:rPr>
        <w:t>符合下列要求：</w:t>
      </w:r>
    </w:p>
    <w:p>
      <w:pPr>
        <w:pStyle w:val="ListParagraph"/>
        <w:numPr>
          <w:ilvl w:val="0"/>
          <w:numId w:val="39"/>
        </w:numPr>
        <w:tabs>
          <w:tab w:pos="705" w:val="left" w:leader="none"/>
        </w:tabs>
        <w:spacing w:line="240" w:lineRule="auto" w:before="0" w:after="0"/>
        <w:ind w:left="704" w:right="0" w:hanging="530"/>
        <w:jc w:val="left"/>
        <w:rPr>
          <w:sz w:val="21"/>
        </w:rPr>
      </w:pPr>
      <w:r>
        <w:rPr>
          <w:spacing w:val="-3"/>
          <w:sz w:val="21"/>
        </w:rPr>
        <w:t>符合坏死性筋膜炎的一般临床表现；</w:t>
      </w:r>
    </w:p>
    <w:p>
      <w:pPr>
        <w:pStyle w:val="ListParagraph"/>
        <w:numPr>
          <w:ilvl w:val="0"/>
          <w:numId w:val="39"/>
        </w:numPr>
        <w:tabs>
          <w:tab w:pos="705" w:val="left" w:leader="none"/>
        </w:tabs>
        <w:spacing w:line="240" w:lineRule="auto" w:before="43" w:after="0"/>
        <w:ind w:left="704" w:right="0" w:hanging="530"/>
        <w:jc w:val="left"/>
        <w:rPr>
          <w:sz w:val="21"/>
        </w:rPr>
      </w:pPr>
      <w:r>
        <w:rPr>
          <w:spacing w:val="-3"/>
          <w:sz w:val="21"/>
        </w:rPr>
        <w:t>细菌培养检出致病菌；</w:t>
      </w:r>
    </w:p>
    <w:p>
      <w:pPr>
        <w:pStyle w:val="ListParagraph"/>
        <w:numPr>
          <w:ilvl w:val="0"/>
          <w:numId w:val="39"/>
        </w:numPr>
        <w:tabs>
          <w:tab w:pos="705" w:val="left" w:leader="none"/>
        </w:tabs>
        <w:spacing w:line="240" w:lineRule="auto" w:before="43" w:after="0"/>
        <w:ind w:left="704" w:right="0" w:hanging="530"/>
        <w:jc w:val="left"/>
        <w:rPr>
          <w:sz w:val="21"/>
        </w:rPr>
      </w:pPr>
      <w:r>
        <w:rPr>
          <w:spacing w:val="-3"/>
          <w:sz w:val="21"/>
        </w:rPr>
        <w:t>出现广泛性肌肉及软组织坏死。</w:t>
      </w:r>
    </w:p>
    <w:p>
      <w:pPr>
        <w:spacing w:after="0" w:line="240"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5"/>
        <w:rPr>
          <w:sz w:val="15"/>
        </w:rPr>
      </w:pPr>
    </w:p>
    <w:p>
      <w:pPr>
        <w:spacing w:after="0"/>
        <w:rPr>
          <w:sz w:val="15"/>
        </w:rPr>
        <w:sectPr>
          <w:type w:val="continuous"/>
          <w:pgSz w:w="11910" w:h="16840"/>
          <w:pgMar w:header="0" w:footer="406" w:top="600" w:bottom="280" w:left="900" w:right="340"/>
        </w:sectPr>
      </w:pPr>
    </w:p>
    <w:p>
      <w:pPr>
        <w:pStyle w:val="ListParagraph"/>
        <w:numPr>
          <w:ilvl w:val="1"/>
          <w:numId w:val="2"/>
        </w:numPr>
        <w:tabs>
          <w:tab w:pos="1399" w:val="left" w:leader="none"/>
        </w:tabs>
        <w:spacing w:line="278" w:lineRule="auto" w:before="72" w:after="0"/>
        <w:ind w:left="1080" w:right="0" w:firstLine="0"/>
        <w:jc w:val="left"/>
        <w:rPr>
          <w:sz w:val="21"/>
        </w:rPr>
      </w:pPr>
      <w:r>
        <w:rPr>
          <w:spacing w:val="-2"/>
          <w:sz w:val="21"/>
        </w:rPr>
        <w:t>肺泡蛋白沉积</w:t>
      </w:r>
      <w:r>
        <w:rPr>
          <w:spacing w:val="-2"/>
          <w:sz w:val="21"/>
        </w:rPr>
        <w:t>症肺灌流治疗</w:t>
      </w:r>
    </w:p>
    <w:p>
      <w:pPr>
        <w:pStyle w:val="BodyText"/>
        <w:spacing w:line="278" w:lineRule="auto" w:before="72"/>
        <w:ind w:left="262" w:right="767"/>
        <w:jc w:val="both"/>
      </w:pPr>
      <w:r>
        <w:rPr/>
        <w:br w:type="column"/>
      </w:r>
      <w:r>
        <w:rPr>
          <w:spacing w:val="-2"/>
        </w:rPr>
        <w:t>因获得性或继发性原因导致双肺肺泡和细支气管腔内充满不可溶性富磷脂蛋</w:t>
      </w:r>
      <w:r>
        <w:rPr>
          <w:spacing w:val="-2"/>
        </w:rPr>
        <w:t>白的疾病，但未达到重大疾病“严重获得性或继发性肺泡蛋白质沉积症”的</w:t>
      </w:r>
      <w:r>
        <w:rPr>
          <w:spacing w:val="-2"/>
        </w:rPr>
        <w:t>给付标准。必须满足下列所有条件：</w:t>
      </w:r>
    </w:p>
    <w:p>
      <w:pPr>
        <w:pStyle w:val="ListParagraph"/>
        <w:numPr>
          <w:ilvl w:val="1"/>
          <w:numId w:val="39"/>
        </w:numPr>
        <w:tabs>
          <w:tab w:pos="792" w:val="left" w:leader="none"/>
        </w:tabs>
        <w:spacing w:line="269" w:lineRule="exact" w:before="0" w:after="0"/>
        <w:ind w:left="791" w:right="0" w:hanging="530"/>
        <w:jc w:val="left"/>
        <w:rPr>
          <w:sz w:val="21"/>
        </w:rPr>
      </w:pPr>
      <w:r>
        <w:rPr>
          <w:spacing w:val="-3"/>
          <w:sz w:val="21"/>
        </w:rPr>
        <w:t>经组织病理学检查明确诊断；</w:t>
      </w:r>
    </w:p>
    <w:p>
      <w:pPr>
        <w:pStyle w:val="ListParagraph"/>
        <w:numPr>
          <w:ilvl w:val="1"/>
          <w:numId w:val="39"/>
        </w:numPr>
        <w:tabs>
          <w:tab w:pos="792" w:val="left" w:leader="none"/>
        </w:tabs>
        <w:spacing w:line="240" w:lineRule="auto" w:before="42" w:after="0"/>
        <w:ind w:left="791" w:right="0" w:hanging="530"/>
        <w:jc w:val="left"/>
        <w:rPr>
          <w:sz w:val="21"/>
        </w:rPr>
      </w:pPr>
      <w:r>
        <w:rPr>
          <w:spacing w:val="-8"/>
          <w:sz w:val="21"/>
        </w:rPr>
        <w:t>实际接受了至少 </w:t>
      </w:r>
      <w:r>
        <w:rPr>
          <w:spacing w:val="-2"/>
          <w:sz w:val="21"/>
        </w:rPr>
        <w:t>2</w:t>
      </w:r>
      <w:r>
        <w:rPr>
          <w:spacing w:val="-10"/>
          <w:sz w:val="21"/>
        </w:rPr>
        <w:t> 次支气管肺泡灌洗治疗。</w:t>
      </w:r>
    </w:p>
    <w:p>
      <w:pPr>
        <w:spacing w:after="0" w:line="240" w:lineRule="auto"/>
        <w:jc w:val="left"/>
        <w:rPr>
          <w:sz w:val="21"/>
        </w:rPr>
        <w:sectPr>
          <w:type w:val="continuous"/>
          <w:pgSz w:w="11910" w:h="16840"/>
          <w:pgMar w:header="0" w:footer="406" w:top="600" w:bottom="280" w:left="900" w:right="340"/>
          <w:cols w:num="2" w:equalWidth="0">
            <w:col w:w="2658" w:space="40"/>
            <w:col w:w="7972"/>
          </w:cols>
        </w:sectPr>
      </w:pPr>
    </w:p>
    <w:p>
      <w:pPr>
        <w:pStyle w:val="BodyText"/>
        <w:spacing w:before="8"/>
        <w:rPr>
          <w:sz w:val="15"/>
        </w:rPr>
      </w:pPr>
    </w:p>
    <w:p>
      <w:pPr>
        <w:pStyle w:val="Heading2"/>
        <w:numPr>
          <w:ilvl w:val="1"/>
          <w:numId w:val="40"/>
        </w:numPr>
        <w:tabs>
          <w:tab w:pos="1080" w:val="left" w:leader="none"/>
          <w:tab w:pos="1081" w:val="left" w:leader="none"/>
          <w:tab w:pos="2960" w:val="left" w:leader="none"/>
        </w:tabs>
        <w:spacing w:line="194" w:lineRule="auto" w:before="57" w:after="0"/>
        <w:ind w:left="2960" w:right="669" w:hanging="2733"/>
        <w:jc w:val="left"/>
      </w:pPr>
      <w:r>
        <w:rPr>
          <w:spacing w:val="-2"/>
        </w:rPr>
        <w:t>中</w:t>
      </w:r>
      <w:r>
        <w:rPr>
          <w:spacing w:val="-2"/>
        </w:rPr>
        <w:t>症</w:t>
      </w:r>
      <w:r>
        <w:rPr>
          <w:spacing w:val="-2"/>
        </w:rPr>
        <w:t>疾</w:t>
      </w:r>
      <w:r>
        <w:rPr>
          <w:spacing w:val="-2"/>
        </w:rPr>
        <w:t>病</w:t>
      </w:r>
      <w:r>
        <w:rPr>
          <w:spacing w:val="-2"/>
        </w:rPr>
        <w:t>定</w:t>
      </w:r>
      <w:r>
        <w:rPr>
          <w:spacing w:val="-2"/>
        </w:rPr>
        <w:t>义</w:t>
      </w:r>
      <w:r>
        <w:rPr/>
        <w:tab/>
      </w:r>
      <w:r>
        <w:rPr>
          <w:spacing w:val="-2"/>
        </w:rPr>
        <w:t>本</w:t>
      </w:r>
      <w:r>
        <w:rPr>
          <w:spacing w:val="-2"/>
        </w:rPr>
        <w:t>合</w:t>
      </w:r>
      <w:r>
        <w:rPr>
          <w:spacing w:val="-2"/>
        </w:rPr>
        <w:t>同</w:t>
      </w:r>
      <w:r>
        <w:rPr>
          <w:spacing w:val="-2"/>
        </w:rPr>
        <w:t>所</w:t>
      </w:r>
      <w:r>
        <w:rPr>
          <w:spacing w:val="-2"/>
        </w:rPr>
        <w:t>保</w:t>
      </w:r>
      <w:r>
        <w:rPr>
          <w:spacing w:val="-2"/>
        </w:rPr>
        <w:t>障</w:t>
      </w:r>
      <w:r>
        <w:rPr>
          <w:spacing w:val="-2"/>
        </w:rPr>
        <w:t>的</w:t>
      </w:r>
      <w:r>
        <w:rPr>
          <w:spacing w:val="-2"/>
        </w:rPr>
        <w:t>中</w:t>
      </w:r>
      <w:r>
        <w:rPr>
          <w:spacing w:val="-2"/>
        </w:rPr>
        <w:t>症疾病共</w:t>
      </w:r>
      <w:r>
        <w:rPr>
          <w:spacing w:val="-14"/>
        </w:rPr>
        <w:t> </w:t>
      </w:r>
      <w:r>
        <w:rPr>
          <w:spacing w:val="-2"/>
        </w:rPr>
        <w:t>25</w:t>
      </w:r>
      <w:r>
        <w:rPr>
          <w:spacing w:val="-14"/>
        </w:rPr>
        <w:t> </w:t>
      </w:r>
      <w:r>
        <w:rPr>
          <w:spacing w:val="-2"/>
        </w:rPr>
        <w:t>种，</w:t>
      </w:r>
      <w:r>
        <w:rPr>
          <w:spacing w:val="-2"/>
        </w:rPr>
        <w:t>是</w:t>
      </w:r>
      <w:r>
        <w:rPr>
          <w:spacing w:val="-2"/>
        </w:rPr>
        <w:t>指</w:t>
      </w:r>
      <w:r>
        <w:rPr>
          <w:spacing w:val="-2"/>
        </w:rPr>
        <w:t>被</w:t>
      </w:r>
      <w:r>
        <w:rPr>
          <w:spacing w:val="-2"/>
        </w:rPr>
        <w:t>保</w:t>
      </w:r>
      <w:r>
        <w:rPr>
          <w:spacing w:val="-2"/>
        </w:rPr>
        <w:t>险</w:t>
      </w:r>
      <w:r>
        <w:rPr>
          <w:spacing w:val="-2"/>
        </w:rPr>
        <w:t>人</w:t>
      </w:r>
      <w:r>
        <w:rPr>
          <w:spacing w:val="-2"/>
        </w:rPr>
        <w:t>在</w:t>
      </w:r>
      <w:r>
        <w:rPr>
          <w:spacing w:val="-2"/>
        </w:rPr>
        <w:t>本</w:t>
      </w:r>
      <w:r>
        <w:rPr>
          <w:spacing w:val="-2"/>
        </w:rPr>
        <w:t>公</w:t>
      </w:r>
      <w:r>
        <w:rPr>
          <w:spacing w:val="-2"/>
        </w:rPr>
        <w:t>司</w:t>
      </w:r>
      <w:r>
        <w:rPr>
          <w:spacing w:val="-2"/>
        </w:rPr>
        <w:t>认</w:t>
      </w:r>
      <w:r>
        <w:rPr>
          <w:spacing w:val="-2"/>
        </w:rPr>
        <w:t>可</w:t>
      </w:r>
      <w:r>
        <w:rPr>
          <w:spacing w:val="-2"/>
        </w:rPr>
        <w:t>的</w:t>
      </w:r>
      <w:r>
        <w:rPr>
          <w:spacing w:val="-2"/>
        </w:rPr>
        <w:t>医</w:t>
      </w:r>
      <w:r>
        <w:rPr>
          <w:spacing w:val="-2"/>
        </w:rPr>
        <w:t>疗</w:t>
      </w:r>
      <w:r>
        <w:rPr>
          <w:spacing w:val="-2"/>
        </w:rPr>
        <w:t>机构</w:t>
      </w:r>
      <w:r>
        <w:rPr>
          <w:spacing w:val="-2"/>
        </w:rPr>
        <w:t>内</w:t>
      </w:r>
      <w:r>
        <w:rPr>
          <w:spacing w:val="-2"/>
        </w:rPr>
        <w:t>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断的符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w:t>
      </w:r>
      <w:r>
        <w:rPr>
          <w:spacing w:val="-2"/>
        </w:rPr>
        <w:t>、疾病</w:t>
      </w:r>
      <w:r>
        <w:rPr>
          <w:spacing w:val="-2"/>
        </w:rPr>
        <w:t>状</w:t>
      </w:r>
      <w:r>
        <w:rPr>
          <w:spacing w:val="-2"/>
        </w:rPr>
        <w:t>态</w:t>
      </w:r>
      <w:r>
        <w:rPr>
          <w:spacing w:val="-2"/>
        </w:rPr>
        <w:t>或</w:t>
      </w:r>
      <w:r>
        <w:rPr>
          <w:spacing w:val="-2"/>
        </w:rPr>
        <w:t>手</w:t>
      </w:r>
      <w:r>
        <w:rPr>
          <w:spacing w:val="-2"/>
        </w:rPr>
        <w:t>术</w:t>
      </w:r>
      <w:r>
        <w:rPr>
          <w:spacing w:val="-2"/>
        </w:rPr>
        <w:t>：</w:t>
      </w:r>
    </w:p>
    <w:p>
      <w:pPr>
        <w:pStyle w:val="BodyText"/>
        <w:rPr>
          <w:rFonts w:ascii="微软雅黑"/>
          <w:b/>
          <w:sz w:val="16"/>
        </w:rPr>
      </w:pPr>
    </w:p>
    <w:p>
      <w:pPr>
        <w:pStyle w:val="ListParagraph"/>
        <w:numPr>
          <w:ilvl w:val="2"/>
          <w:numId w:val="40"/>
        </w:numPr>
        <w:tabs>
          <w:tab w:pos="1293" w:val="left" w:leader="none"/>
          <w:tab w:pos="2960" w:val="left" w:leader="none"/>
        </w:tabs>
        <w:spacing w:line="257" w:lineRule="exact" w:before="0" w:after="0"/>
        <w:ind w:left="1292" w:right="0" w:hanging="213"/>
        <w:jc w:val="left"/>
        <w:rPr>
          <w:sz w:val="21"/>
        </w:rPr>
      </w:pPr>
      <w:r>
        <w:rPr>
          <w:spacing w:val="-2"/>
          <w:sz w:val="21"/>
        </w:rPr>
        <w:t>单侧肺脏</w:t>
      </w:r>
      <w:r>
        <w:rPr>
          <w:spacing w:val="-2"/>
          <w:sz w:val="21"/>
        </w:rPr>
        <w:t>切</w:t>
      </w:r>
      <w:r>
        <w:rPr>
          <w:spacing w:val="-10"/>
          <w:sz w:val="21"/>
        </w:rPr>
        <w:t>除</w:t>
      </w:r>
      <w:r>
        <w:rPr>
          <w:sz w:val="21"/>
        </w:rPr>
        <w:tab/>
      </w:r>
      <w:r>
        <w:rPr>
          <w:spacing w:val="-2"/>
          <w:sz w:val="21"/>
        </w:rPr>
        <w:t>因</w:t>
      </w:r>
      <w:r>
        <w:rPr>
          <w:spacing w:val="-2"/>
          <w:sz w:val="21"/>
        </w:rPr>
        <w:t>疾</w:t>
      </w:r>
      <w:r>
        <w:rPr>
          <w:spacing w:val="-2"/>
          <w:sz w:val="21"/>
        </w:rPr>
        <w:t>病或意外事故实际实</w:t>
      </w:r>
      <w:r>
        <w:rPr>
          <w:spacing w:val="-2"/>
          <w:sz w:val="21"/>
        </w:rPr>
        <w:t>施</w:t>
      </w:r>
      <w:r>
        <w:rPr>
          <w:spacing w:val="-2"/>
          <w:sz w:val="21"/>
        </w:rPr>
        <w:t>的</w:t>
      </w:r>
      <w:r>
        <w:rPr>
          <w:spacing w:val="-2"/>
          <w:sz w:val="21"/>
        </w:rPr>
        <w:t>一侧肺脏切除术</w:t>
      </w:r>
      <w:r>
        <w:rPr>
          <w:spacing w:val="-10"/>
          <w:sz w:val="21"/>
        </w:rPr>
        <w:t>。</w:t>
      </w:r>
    </w:p>
    <w:p>
      <w:pPr>
        <w:pStyle w:val="Heading2"/>
        <w:spacing w:line="194" w:lineRule="auto" w:before="40"/>
        <w:ind w:right="667"/>
      </w:pPr>
      <w:r>
        <w:rPr>
          <w:spacing w:val="-2"/>
        </w:rPr>
        <w:t>肺脏部分切除手术、肺脏捐献引起的手术、因恶性肿瘤进行的肺脏切除手术</w:t>
      </w:r>
      <w:r>
        <w:rPr>
          <w:spacing w:val="-2"/>
        </w:rPr>
        <w:t>不在保障范围内。</w:t>
      </w:r>
    </w:p>
    <w:p>
      <w:pPr>
        <w:pStyle w:val="BodyText"/>
        <w:spacing w:before="15"/>
        <w:rPr>
          <w:rFonts w:ascii="微软雅黑"/>
          <w:b/>
          <w:sz w:val="14"/>
        </w:rPr>
      </w:pPr>
    </w:p>
    <w:p>
      <w:pPr>
        <w:pStyle w:val="ListParagraph"/>
        <w:numPr>
          <w:ilvl w:val="2"/>
          <w:numId w:val="40"/>
        </w:numPr>
        <w:tabs>
          <w:tab w:pos="1293" w:val="left" w:leader="none"/>
        </w:tabs>
        <w:spacing w:line="199" w:lineRule="auto" w:before="0" w:after="0"/>
        <w:ind w:left="2960" w:right="664" w:hanging="1880"/>
        <w:jc w:val="both"/>
        <w:rPr>
          <w:rFonts w:ascii="微软雅黑" w:hAnsi="微软雅黑" w:eastAsia="微软雅黑"/>
          <w:b/>
          <w:sz w:val="21"/>
        </w:rPr>
      </w:pPr>
      <w:r>
        <w:rPr>
          <w:sz w:val="21"/>
        </w:rPr>
        <w:t>严重昏迷</w:t>
      </w:r>
      <w:r>
        <w:rPr>
          <w:spacing w:val="640"/>
          <w:sz w:val="21"/>
        </w:rPr>
        <w:t> </w:t>
      </w:r>
      <w:r>
        <w:rPr>
          <w:spacing w:val="-1"/>
          <w:sz w:val="21"/>
        </w:rPr>
        <w:t>处于昏迷的状态，对外界刺激或内在需要毫无反应。昏迷必须持续至少 </w:t>
      </w:r>
      <w:r>
        <w:rPr>
          <w:sz w:val="21"/>
        </w:rPr>
        <w:t>72</w:t>
      </w:r>
      <w:r>
        <w:rPr>
          <w:spacing w:val="-13"/>
          <w:sz w:val="21"/>
        </w:rPr>
        <w:t> 个</w:t>
      </w:r>
      <w:r>
        <w:rPr>
          <w:spacing w:val="-2"/>
          <w:sz w:val="21"/>
        </w:rPr>
        <w:t>小时，并需要使用插管和机械性呼吸的方法来维持生命</w:t>
      </w:r>
      <w:r>
        <w:rPr>
          <w:rFonts w:ascii="微软雅黑" w:hAnsi="微软雅黑" w:eastAsia="微软雅黑"/>
          <w:b/>
          <w:spacing w:val="-2"/>
          <w:sz w:val="21"/>
        </w:rPr>
        <w:t>，</w:t>
      </w:r>
      <w:r>
        <w:rPr>
          <w:spacing w:val="-2"/>
          <w:sz w:val="21"/>
        </w:rPr>
        <w:t>但未达到重大疾病</w:t>
      </w:r>
      <w:r>
        <w:rPr>
          <w:spacing w:val="-2"/>
          <w:sz w:val="21"/>
        </w:rPr>
        <w:t> “</w:t>
      </w:r>
      <w:r>
        <w:rPr>
          <w:rFonts w:ascii="微软雅黑" w:hAnsi="微软雅黑" w:eastAsia="微软雅黑"/>
          <w:b/>
          <w:spacing w:val="-2"/>
          <w:sz w:val="21"/>
        </w:rPr>
        <w:t>深度昏迷</w:t>
      </w:r>
      <w:r>
        <w:rPr>
          <w:spacing w:val="-2"/>
          <w:sz w:val="21"/>
        </w:rPr>
        <w:t>”的给付标准。昏迷的诊断及有关证明必须在本公司认可的医疗</w:t>
      </w:r>
      <w:r>
        <w:rPr>
          <w:spacing w:val="-2"/>
          <w:sz w:val="21"/>
        </w:rPr>
        <w:t>机构内由神经专科医生确定。</w:t>
      </w:r>
      <w:r>
        <w:rPr>
          <w:rFonts w:ascii="微软雅黑" w:hAnsi="微软雅黑" w:eastAsia="微软雅黑"/>
          <w:b/>
          <w:spacing w:val="-2"/>
          <w:sz w:val="21"/>
        </w:rPr>
        <w:t>酗酒或滥用药物直接引起的昏迷不在保障范围</w:t>
      </w:r>
      <w:r>
        <w:rPr>
          <w:rFonts w:ascii="微软雅黑" w:hAnsi="微软雅黑" w:eastAsia="微软雅黑"/>
          <w:b/>
          <w:spacing w:val="-6"/>
          <w:sz w:val="21"/>
        </w:rPr>
        <w:t>内。</w:t>
      </w:r>
    </w:p>
    <w:p>
      <w:pPr>
        <w:pStyle w:val="BodyText"/>
        <w:spacing w:before="7"/>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left"/>
        <w:rPr>
          <w:sz w:val="21"/>
        </w:rPr>
      </w:pPr>
      <w:r>
        <w:rPr>
          <w:spacing w:val="24"/>
          <w:sz w:val="21"/>
        </w:rPr>
        <w:t>中度严重克罗</w:t>
      </w:r>
      <w:r>
        <w:rPr>
          <w:spacing w:val="-6"/>
          <w:sz w:val="21"/>
        </w:rPr>
        <w:t>恩病</w:t>
      </w:r>
    </w:p>
    <w:p>
      <w:pPr>
        <w:pStyle w:val="BodyText"/>
        <w:spacing w:line="312" w:lineRule="exact" w:before="32"/>
        <w:ind w:left="142" w:right="666"/>
        <w:jc w:val="both"/>
      </w:pPr>
      <w:r>
        <w:rPr/>
        <w:br w:type="column"/>
      </w:r>
      <w:r>
        <w:rPr>
          <w:spacing w:val="-4"/>
        </w:rPr>
        <w:t>指一种慢性肉芽肿性肠炎，具有特征性的克罗恩病（Crohn 病）病理组织学变</w:t>
      </w:r>
      <w:r>
        <w:rPr>
          <w:spacing w:val="-2"/>
        </w:rPr>
        <w:t>化。须根据组织病理学特点诊断，同时经专科医生以类固醇或免疫抑制剂连</w:t>
      </w:r>
      <w:r>
        <w:rPr>
          <w:spacing w:val="-3"/>
        </w:rPr>
        <w:t>续治疗至少 </w:t>
      </w:r>
      <w:r>
        <w:rPr/>
        <w:t>180</w:t>
      </w:r>
      <w:r>
        <w:rPr>
          <w:spacing w:val="-4"/>
        </w:rPr>
        <w:t> 天，但未达到重大疾病“</w:t>
      </w:r>
      <w:r>
        <w:rPr>
          <w:rFonts w:ascii="微软雅黑" w:hAnsi="微软雅黑" w:eastAsia="微软雅黑"/>
          <w:b/>
        </w:rPr>
        <w:t>严重克罗恩病</w:t>
      </w:r>
      <w:r>
        <w:rPr/>
        <w:t>”的给付标准，方符</w:t>
      </w:r>
      <w:r>
        <w:rPr>
          <w:spacing w:val="-2"/>
        </w:rPr>
        <w:t>合理赔条件。</w:t>
      </w:r>
    </w:p>
    <w:p>
      <w:pPr>
        <w:spacing w:after="0" w:line="312" w:lineRule="exact"/>
        <w:jc w:val="both"/>
        <w:sectPr>
          <w:type w:val="continuous"/>
          <w:pgSz w:w="11910" w:h="16840"/>
          <w:pgMar w:header="0" w:footer="406" w:top="600" w:bottom="280" w:left="900" w:right="340"/>
          <w:cols w:num="2" w:equalWidth="0">
            <w:col w:w="2778" w:space="40"/>
            <w:col w:w="7852"/>
          </w:cols>
        </w:sectPr>
      </w:pPr>
    </w:p>
    <w:p>
      <w:pPr>
        <w:pStyle w:val="BodyText"/>
        <w:spacing w:before="1"/>
        <w:rPr>
          <w:sz w:val="15"/>
        </w:rPr>
      </w:pPr>
    </w:p>
    <w:p>
      <w:pPr>
        <w:pStyle w:val="ListParagraph"/>
        <w:numPr>
          <w:ilvl w:val="2"/>
          <w:numId w:val="40"/>
        </w:numPr>
        <w:tabs>
          <w:tab w:pos="1293" w:val="left" w:leader="none"/>
          <w:tab w:pos="2960" w:val="left" w:leader="none"/>
        </w:tabs>
        <w:spacing w:line="278" w:lineRule="auto" w:before="72" w:after="0"/>
        <w:ind w:left="2960" w:right="667" w:hanging="1880"/>
        <w:jc w:val="left"/>
        <w:rPr>
          <w:sz w:val="21"/>
        </w:rPr>
      </w:pPr>
      <w:r>
        <w:rPr>
          <w:spacing w:val="-2"/>
          <w:sz w:val="21"/>
        </w:rPr>
        <w:t>中度脑损伤</w:t>
      </w:r>
      <w:r>
        <w:rPr>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w:t>
      </w:r>
      <w:r>
        <w:rPr>
          <w:spacing w:val="-2"/>
          <w:sz w:val="21"/>
        </w:rPr>
        <w:t>机</w:t>
      </w:r>
      <w:r>
        <w:rPr>
          <w:spacing w:val="-2"/>
          <w:sz w:val="21"/>
        </w:rPr>
        <w:t>械</w:t>
      </w:r>
      <w:r>
        <w:rPr>
          <w:spacing w:val="-2"/>
          <w:sz w:val="21"/>
        </w:rPr>
        <w:t>性外力，</w:t>
      </w:r>
      <w:r>
        <w:rPr>
          <w:spacing w:val="-2"/>
          <w:sz w:val="21"/>
        </w:rPr>
        <w:t>引</w:t>
      </w:r>
      <w:r>
        <w:rPr>
          <w:spacing w:val="-2"/>
          <w:sz w:val="21"/>
        </w:rPr>
        <w:t>起</w:t>
      </w:r>
      <w:r>
        <w:rPr>
          <w:spacing w:val="-2"/>
          <w:sz w:val="21"/>
        </w:rPr>
        <w:t>脑</w:t>
      </w:r>
      <w:r>
        <w:rPr>
          <w:spacing w:val="-2"/>
          <w:sz w:val="21"/>
        </w:rPr>
        <w:t>重</w:t>
      </w:r>
      <w:r>
        <w:rPr>
          <w:spacing w:val="-2"/>
          <w:sz w:val="21"/>
        </w:rPr>
        <w:t>要</w:t>
      </w:r>
      <w:r>
        <w:rPr>
          <w:spacing w:val="-2"/>
          <w:sz w:val="21"/>
        </w:rPr>
        <w:t>部</w:t>
      </w:r>
      <w:r>
        <w:rPr>
          <w:spacing w:val="-2"/>
          <w:sz w:val="21"/>
        </w:rPr>
        <w:t>位</w:t>
      </w:r>
      <w:r>
        <w:rPr>
          <w:spacing w:val="-2"/>
          <w:sz w:val="21"/>
        </w:rPr>
        <w:t>损伤，</w:t>
      </w:r>
      <w:r>
        <w:rPr>
          <w:spacing w:val="-2"/>
          <w:sz w:val="21"/>
        </w:rPr>
        <w:t>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2"/>
          <w:sz w:val="21"/>
        </w:rPr>
        <w:t>永</w:t>
      </w:r>
      <w:r>
        <w:rPr>
          <w:spacing w:val="-2"/>
          <w:sz w:val="21"/>
        </w:rPr>
        <w:t>久</w:t>
      </w:r>
      <w:r>
        <w:rPr>
          <w:spacing w:val="-2"/>
          <w:sz w:val="21"/>
        </w:rPr>
        <w:t>性</w:t>
      </w:r>
      <w:r>
        <w:rPr>
          <w:spacing w:val="-2"/>
          <w:sz w:val="21"/>
        </w:rPr>
        <w:t>的</w:t>
      </w:r>
      <w:r>
        <w:rPr>
          <w:spacing w:val="-2"/>
          <w:sz w:val="21"/>
        </w:rPr>
        <w:t>功</w:t>
      </w:r>
      <w:r>
        <w:rPr>
          <w:spacing w:val="-2"/>
          <w:sz w:val="21"/>
        </w:rPr>
        <w:t>能</w:t>
      </w:r>
      <w:r>
        <w:rPr>
          <w:spacing w:val="-2"/>
          <w:sz w:val="21"/>
        </w:rPr>
        <w:t>障</w:t>
      </w:r>
      <w:r>
        <w:rPr>
          <w:spacing w:val="-2"/>
          <w:sz w:val="21"/>
        </w:rPr>
        <w:t>碍。须由头颅断层扫描（CT）、核磁共振检查（MRI）或正电子发射断层</w:t>
      </w:r>
    </w:p>
    <w:p>
      <w:pPr>
        <w:spacing w:after="0" w:line="278" w:lineRule="auto"/>
        <w:jc w:val="left"/>
        <w:rPr>
          <w:sz w:val="21"/>
        </w:rPr>
        <w:sectPr>
          <w:type w:val="continuous"/>
          <w:pgSz w:w="11910" w:h="16840"/>
          <w:pgMar w:header="0" w:footer="406" w:top="600" w:bottom="280" w:left="900" w:right="340"/>
        </w:sectPr>
      </w:pPr>
    </w:p>
    <w:p>
      <w:pPr>
        <w:pStyle w:val="BodyText"/>
        <w:spacing w:line="278" w:lineRule="auto" w:before="57"/>
        <w:ind w:left="2960" w:right="666"/>
        <w:jc w:val="both"/>
      </w:pPr>
      <w:r>
        <w:rPr/>
        <w:t>扫描（PET）</w:t>
      </w:r>
      <w:r>
        <w:rPr>
          <w:spacing w:val="-1"/>
        </w:rPr>
        <w:t>等影像学检查证实。神经系统永久性的功能障碍，指脑损伤 </w:t>
      </w:r>
      <w:r>
        <w:rPr/>
        <w:t>180</w:t>
      </w:r>
      <w:r>
        <w:rPr>
          <w:spacing w:val="-2"/>
        </w:rPr>
        <w:t>天后，仍完全丧失自主生活能力，无法独立完成六项基本日常生活活动中的</w:t>
      </w:r>
      <w:r>
        <w:rPr>
          <w:spacing w:val="-2"/>
        </w:rPr>
        <w:t>两项或两项以上。</w:t>
      </w:r>
    </w:p>
    <w:p>
      <w:pPr>
        <w:pStyle w:val="BodyText"/>
        <w:spacing w:before="3"/>
        <w:rPr>
          <w:sz w:val="12"/>
        </w:rPr>
      </w:pPr>
    </w:p>
    <w:p>
      <w:pPr>
        <w:spacing w:after="0"/>
        <w:rPr>
          <w:sz w:val="12"/>
        </w:rPr>
        <w:sectPr>
          <w:pgSz w:w="11910" w:h="16840"/>
          <w:pgMar w:header="0" w:footer="406" w:top="1080" w:bottom="600" w:left="900" w:right="340"/>
        </w:sectPr>
      </w:pPr>
    </w:p>
    <w:p>
      <w:pPr>
        <w:pStyle w:val="ListParagraph"/>
        <w:numPr>
          <w:ilvl w:val="2"/>
          <w:numId w:val="40"/>
        </w:numPr>
        <w:tabs>
          <w:tab w:pos="1323" w:val="left" w:leader="none"/>
        </w:tabs>
        <w:spacing w:line="278" w:lineRule="auto" w:before="71" w:after="0"/>
        <w:ind w:left="1080" w:right="0" w:firstLine="0"/>
        <w:jc w:val="left"/>
        <w:rPr>
          <w:sz w:val="21"/>
        </w:rPr>
      </w:pPr>
      <w:r>
        <w:rPr>
          <w:spacing w:val="24"/>
          <w:sz w:val="21"/>
        </w:rPr>
        <w:t>中度运动神经</w:t>
      </w:r>
      <w:r>
        <w:rPr>
          <w:spacing w:val="-4"/>
          <w:sz w:val="21"/>
        </w:rPr>
        <w:t>元疾病</w:t>
      </w:r>
    </w:p>
    <w:p>
      <w:pPr>
        <w:pStyle w:val="BodyText"/>
        <w:spacing w:line="278" w:lineRule="auto" w:before="71"/>
        <w:ind w:left="142" w:right="560"/>
      </w:pPr>
      <w:r>
        <w:rPr/>
        <w:br w:type="column"/>
      </w:r>
      <w:r>
        <w:rPr>
          <w:spacing w:val="-3"/>
          <w:w w:val="100"/>
        </w:rPr>
        <w:t>是一组中枢神经系统运动神经元的进行性变性疾病，包括进行性脊肌萎缩症、</w:t>
      </w:r>
      <w:r>
        <w:rPr>
          <w:w w:val="100"/>
        </w:rPr>
        <w:t>进行性延髓麻痹症、原发性侧索硬化症、肌萎缩性侧索硬化症，须经相关专科医生确诊，满足完全丧失自主生活能力，无法独立完成六项基本日常生活</w:t>
      </w:r>
      <w:r>
        <w:rPr>
          <w:spacing w:val="-3"/>
          <w:w w:val="100"/>
        </w:rPr>
        <w:t>活动中的两项或两项以上的条件。</w:t>
      </w:r>
    </w:p>
    <w:p>
      <w:pPr>
        <w:spacing w:after="0" w:line="278" w:lineRule="auto"/>
        <w:sectPr>
          <w:type w:val="continuous"/>
          <w:pgSz w:w="11910" w:h="16840"/>
          <w:pgMar w:header="0" w:footer="406" w:top="600" w:bottom="280" w:left="900" w:right="340"/>
          <w:cols w:num="2" w:equalWidth="0">
            <w:col w:w="2778" w:space="40"/>
            <w:col w:w="7852"/>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both"/>
        <w:rPr>
          <w:sz w:val="21"/>
        </w:rPr>
      </w:pPr>
      <w:r>
        <w:rPr>
          <w:spacing w:val="24"/>
          <w:sz w:val="21"/>
        </w:rPr>
        <w:t>中度脑炎后遗</w:t>
      </w:r>
      <w:r>
        <w:rPr>
          <w:spacing w:val="26"/>
          <w:sz w:val="21"/>
        </w:rPr>
        <w:t>症或中度脑膜炎</w:t>
      </w:r>
      <w:r>
        <w:rPr>
          <w:spacing w:val="-4"/>
          <w:sz w:val="21"/>
        </w:rPr>
        <w:t>后遗症</w:t>
      </w:r>
    </w:p>
    <w:p>
      <w:pPr>
        <w:pStyle w:val="BodyText"/>
        <w:spacing w:line="278" w:lineRule="auto" w:before="72"/>
        <w:ind w:left="142" w:right="666"/>
        <w:jc w:val="both"/>
      </w:pPr>
      <w:r>
        <w:rPr/>
        <w:br w:type="column"/>
      </w:r>
      <w:r>
        <w:rPr>
          <w:spacing w:val="-2"/>
        </w:rPr>
        <w:t>指因患脑炎或脑膜炎导致的神经系统的永久功能障碍。神经系统永久性的功</w:t>
      </w:r>
      <w:r>
        <w:rPr>
          <w:spacing w:val="-2"/>
        </w:rPr>
        <w:t>能障碍，指疾病确诊 </w:t>
      </w:r>
      <w:r>
        <w:rPr/>
        <w:t>180</w:t>
      </w:r>
      <w:r>
        <w:rPr>
          <w:spacing w:val="-4"/>
        </w:rPr>
        <w:t> 天后，仍存在自主生活能力完全丧失，无法独立完</w:t>
      </w:r>
      <w:r>
        <w:rPr>
          <w:spacing w:val="-2"/>
        </w:rPr>
        <w:t>成六项基本日常生活活动中的两项或两项以上。</w:t>
      </w:r>
    </w:p>
    <w:p>
      <w:pPr>
        <w:pStyle w:val="Heading2"/>
        <w:spacing w:line="282" w:lineRule="exact"/>
        <w:ind w:left="142"/>
      </w:pPr>
      <w:r>
        <w:rPr>
          <w:w w:val="95"/>
        </w:rPr>
        <w:t>由</w:t>
      </w:r>
      <w:r>
        <w:rPr>
          <w:w w:val="95"/>
        </w:rPr>
        <w:t>人</w:t>
      </w:r>
      <w:r>
        <w:rPr>
          <w:w w:val="95"/>
        </w:rPr>
        <w:t>类</w:t>
      </w:r>
      <w:r>
        <w:rPr>
          <w:w w:val="95"/>
        </w:rPr>
        <w:t>免</w:t>
      </w:r>
      <w:r>
        <w:rPr>
          <w:w w:val="95"/>
        </w:rPr>
        <w:t>疫</w:t>
      </w:r>
      <w:r>
        <w:rPr>
          <w:w w:val="95"/>
        </w:rPr>
        <w:t>缺</w:t>
      </w:r>
      <w:r>
        <w:rPr>
          <w:w w:val="95"/>
        </w:rPr>
        <w:t>陷</w:t>
      </w:r>
      <w:r>
        <w:rPr>
          <w:w w:val="95"/>
        </w:rPr>
        <w:t>病</w:t>
      </w:r>
      <w:r>
        <w:rPr>
          <w:w w:val="95"/>
        </w:rPr>
        <w:t>毒（HIV）</w:t>
      </w:r>
      <w:r>
        <w:rPr>
          <w:w w:val="95"/>
        </w:rPr>
        <w:t>感</w:t>
      </w:r>
      <w:r>
        <w:rPr>
          <w:w w:val="95"/>
        </w:rPr>
        <w:t>染</w:t>
      </w:r>
      <w:r>
        <w:rPr>
          <w:w w:val="95"/>
        </w:rPr>
        <w:t>导</w:t>
      </w:r>
      <w:r>
        <w:rPr>
          <w:w w:val="95"/>
        </w:rPr>
        <w:t>致</w:t>
      </w:r>
      <w:r>
        <w:rPr>
          <w:w w:val="95"/>
        </w:rPr>
        <w:t>的</w:t>
      </w:r>
      <w:r>
        <w:rPr>
          <w:w w:val="95"/>
        </w:rPr>
        <w:t>中</w:t>
      </w:r>
      <w:r>
        <w:rPr>
          <w:w w:val="95"/>
        </w:rPr>
        <w:t>度</w:t>
      </w:r>
      <w:r>
        <w:rPr>
          <w:w w:val="95"/>
        </w:rPr>
        <w:t>脑</w:t>
      </w:r>
      <w:r>
        <w:rPr>
          <w:w w:val="95"/>
        </w:rPr>
        <w:t>炎</w:t>
      </w:r>
      <w:r>
        <w:rPr>
          <w:w w:val="95"/>
        </w:rPr>
        <w:t>后</w:t>
      </w:r>
      <w:r>
        <w:rPr>
          <w:w w:val="95"/>
        </w:rPr>
        <w:t>遗</w:t>
      </w:r>
      <w:r>
        <w:rPr>
          <w:w w:val="95"/>
        </w:rPr>
        <w:t>症</w:t>
      </w:r>
      <w:r>
        <w:rPr>
          <w:w w:val="95"/>
        </w:rPr>
        <w:t>或</w:t>
      </w:r>
      <w:r>
        <w:rPr>
          <w:w w:val="95"/>
        </w:rPr>
        <w:t>中</w:t>
      </w:r>
      <w:r>
        <w:rPr>
          <w:w w:val="95"/>
        </w:rPr>
        <w:t>度</w:t>
      </w:r>
      <w:r>
        <w:rPr>
          <w:w w:val="95"/>
        </w:rPr>
        <w:t>脑</w:t>
      </w:r>
      <w:r>
        <w:rPr>
          <w:w w:val="95"/>
        </w:rPr>
        <w:t>膜</w:t>
      </w:r>
      <w:r>
        <w:rPr>
          <w:w w:val="95"/>
        </w:rPr>
        <w:t>炎</w:t>
      </w:r>
      <w:r>
        <w:rPr>
          <w:w w:val="95"/>
        </w:rPr>
        <w:t>后</w:t>
      </w:r>
      <w:r>
        <w:rPr>
          <w:w w:val="95"/>
        </w:rPr>
        <w:t>遗</w:t>
      </w:r>
      <w:r>
        <w:rPr>
          <w:spacing w:val="-10"/>
          <w:w w:val="95"/>
        </w:rPr>
        <w:t>症</w:t>
      </w:r>
    </w:p>
    <w:p>
      <w:pPr>
        <w:spacing w:line="350" w:lineRule="exact" w:before="0"/>
        <w:ind w:left="142" w:right="0" w:firstLine="0"/>
        <w:jc w:val="left"/>
        <w:rPr>
          <w:rFonts w:ascii="微软雅黑" w:eastAsia="微软雅黑"/>
          <w:b/>
          <w:sz w:val="21"/>
        </w:rPr>
      </w:pPr>
      <w:r>
        <w:rPr>
          <w:rFonts w:ascii="微软雅黑" w:eastAsia="微软雅黑"/>
          <w:b/>
          <w:spacing w:val="-2"/>
          <w:sz w:val="21"/>
        </w:rPr>
        <w:t>不在保障范围内。</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78" w:space="40"/>
            <w:col w:w="7852"/>
          </w:cols>
        </w:sectPr>
      </w:pPr>
    </w:p>
    <w:p>
      <w:pPr>
        <w:pStyle w:val="BodyText"/>
        <w:spacing w:before="18"/>
        <w:rPr>
          <w:rFonts w:ascii="微软雅黑"/>
          <w:b/>
          <w:sz w:val="7"/>
        </w:rPr>
      </w:pPr>
    </w:p>
    <w:p>
      <w:pPr>
        <w:spacing w:after="0"/>
        <w:rPr>
          <w:rFonts w:ascii="微软雅黑"/>
          <w:sz w:val="7"/>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1" w:after="0"/>
        <w:ind w:left="1080" w:right="0" w:firstLine="0"/>
        <w:jc w:val="left"/>
        <w:rPr>
          <w:sz w:val="21"/>
        </w:rPr>
      </w:pPr>
      <w:r>
        <w:rPr>
          <w:spacing w:val="24"/>
          <w:sz w:val="21"/>
        </w:rPr>
        <w:t>中度原发性帕</w:t>
      </w:r>
      <w:r>
        <w:rPr>
          <w:spacing w:val="-4"/>
          <w:sz w:val="21"/>
        </w:rPr>
        <w:t>金森病</w:t>
      </w:r>
    </w:p>
    <w:p>
      <w:pPr>
        <w:pStyle w:val="BodyText"/>
        <w:spacing w:line="278" w:lineRule="auto" w:before="71"/>
        <w:ind w:left="142" w:right="667"/>
      </w:pPr>
      <w:r>
        <w:rPr/>
        <w:br w:type="column"/>
      </w:r>
      <w:r>
        <w:rPr>
          <w:spacing w:val="-2"/>
        </w:rPr>
        <w:t>是一种中枢神经系统的退行性疾病，临床表现为震颤麻痹、共济失调等。必</w:t>
      </w:r>
      <w:r>
        <w:rPr>
          <w:spacing w:val="-2"/>
        </w:rPr>
        <w:t>须满足下列全部条件：</w:t>
      </w:r>
    </w:p>
    <w:p>
      <w:pPr>
        <w:pStyle w:val="ListParagraph"/>
        <w:numPr>
          <w:ilvl w:val="0"/>
          <w:numId w:val="41"/>
        </w:numPr>
        <w:tabs>
          <w:tab w:pos="672" w:val="left" w:leader="none"/>
        </w:tabs>
        <w:spacing w:line="269" w:lineRule="exact" w:before="0" w:after="0"/>
        <w:ind w:left="672" w:right="0" w:hanging="530"/>
        <w:jc w:val="left"/>
        <w:rPr>
          <w:sz w:val="21"/>
        </w:rPr>
      </w:pPr>
      <w:r>
        <w:rPr>
          <w:spacing w:val="-3"/>
          <w:sz w:val="21"/>
        </w:rPr>
        <w:t>药物治疗无法控制病情；</w:t>
      </w:r>
    </w:p>
    <w:p>
      <w:pPr>
        <w:pStyle w:val="ListParagraph"/>
        <w:numPr>
          <w:ilvl w:val="0"/>
          <w:numId w:val="41"/>
        </w:numPr>
        <w:tabs>
          <w:tab w:pos="670" w:val="left" w:leader="none"/>
        </w:tabs>
        <w:spacing w:line="278" w:lineRule="auto" w:before="43" w:after="0"/>
        <w:ind w:left="668" w:right="666" w:hanging="526"/>
        <w:jc w:val="left"/>
        <w:rPr>
          <w:sz w:val="21"/>
        </w:rPr>
      </w:pPr>
      <w:r>
        <w:rPr>
          <w:spacing w:val="-2"/>
          <w:sz w:val="21"/>
        </w:rPr>
        <w:t>自主生活能力完全丧失，无法独立完成六项基本日常生活活动中的两项</w:t>
      </w:r>
      <w:r>
        <w:rPr>
          <w:spacing w:val="-2"/>
          <w:sz w:val="21"/>
        </w:rPr>
        <w:t>或两项以上。</w:t>
      </w:r>
    </w:p>
    <w:p>
      <w:pPr>
        <w:pStyle w:val="Heading2"/>
        <w:spacing w:line="320" w:lineRule="exact"/>
        <w:ind w:left="142"/>
      </w:pPr>
      <w:r>
        <w:rPr>
          <w:spacing w:val="-3"/>
        </w:rPr>
        <w:t>继发性帕金森综合征、帕金森叠加综合征不在保障范围内。</w:t>
      </w:r>
    </w:p>
    <w:p>
      <w:pPr>
        <w:spacing w:after="0" w:line="320" w:lineRule="exact"/>
        <w:sectPr>
          <w:type w:val="continuous"/>
          <w:pgSz w:w="11910" w:h="16840"/>
          <w:pgMar w:header="0" w:footer="406" w:top="600" w:bottom="280" w:left="900" w:right="340"/>
          <w:cols w:num="2" w:equalWidth="0">
            <w:col w:w="2778" w:space="40"/>
            <w:col w:w="7852"/>
          </w:cols>
        </w:sectPr>
      </w:pP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left"/>
        <w:rPr>
          <w:sz w:val="21"/>
        </w:rPr>
      </w:pPr>
      <w:r>
        <w:rPr>
          <w:spacing w:val="24"/>
          <w:sz w:val="21"/>
        </w:rPr>
        <w:t>中度阿尔茨海</w:t>
      </w:r>
      <w:r>
        <w:rPr>
          <w:spacing w:val="-6"/>
          <w:sz w:val="21"/>
        </w:rPr>
        <w:t>默病</w:t>
      </w:r>
    </w:p>
    <w:p>
      <w:pPr>
        <w:pStyle w:val="BodyText"/>
        <w:spacing w:line="278" w:lineRule="auto" w:before="72"/>
        <w:ind w:left="142" w:right="666"/>
        <w:jc w:val="both"/>
      </w:pPr>
      <w:r>
        <w:rPr/>
        <w:br w:type="column"/>
      </w:r>
      <w:r>
        <w:rPr>
          <w:spacing w:val="-2"/>
        </w:rPr>
        <w:t>指因大脑进行性、不可逆性改变导致智能严重衰退或丧失，临床表现为明显</w:t>
      </w:r>
      <w:r>
        <w:rPr>
          <w:spacing w:val="-2"/>
        </w:rPr>
        <w:t>的认知功能障碍、精神行为异常和社交能力减退等，其日常生活必须持续受</w:t>
      </w:r>
      <w:r>
        <w:rPr>
          <w:spacing w:val="-2"/>
        </w:rPr>
        <w:t>到他人监护。须由头颅断层扫描（CT）、核磁共振检查（MRI）或正电子发射</w:t>
      </w:r>
      <w:r>
        <w:rPr>
          <w:spacing w:val="-2"/>
        </w:rPr>
        <w:t>断层扫描（PET）等影像学检查证实，并经相关专科医生确诊，且自主生活能</w:t>
      </w:r>
      <w:r>
        <w:rPr>
          <w:spacing w:val="-2"/>
        </w:rPr>
        <w:t>力严重丧失，无法独立完成六项基本日常生活活动中的两项或两项以上。</w:t>
      </w:r>
    </w:p>
    <w:p>
      <w:pPr>
        <w:pStyle w:val="Heading2"/>
        <w:spacing w:line="320" w:lineRule="exact"/>
        <w:ind w:left="142"/>
      </w:pPr>
      <w:r>
        <w:rPr>
          <w:spacing w:val="-3"/>
        </w:rPr>
        <w:t>阿尔茨海默病之外的其他类型痴呆不在保障范围内。</w:t>
      </w:r>
    </w:p>
    <w:p>
      <w:pPr>
        <w:spacing w:after="0" w:line="320" w:lineRule="exact"/>
        <w:sectPr>
          <w:type w:val="continuous"/>
          <w:pgSz w:w="11910" w:h="16840"/>
          <w:pgMar w:header="0" w:footer="406" w:top="600" w:bottom="280" w:left="900" w:right="340"/>
          <w:cols w:num="2" w:equalWidth="0">
            <w:col w:w="2778" w:space="40"/>
            <w:col w:w="7852"/>
          </w:cols>
        </w:sectPr>
      </w:pPr>
    </w:p>
    <w:p>
      <w:pPr>
        <w:pStyle w:val="BodyText"/>
        <w:spacing w:before="17"/>
        <w:rPr>
          <w:rFonts w:ascii="微软雅黑"/>
          <w:b/>
          <w:sz w:val="7"/>
        </w:rPr>
      </w:pPr>
    </w:p>
    <w:p>
      <w:pPr>
        <w:spacing w:after="0"/>
        <w:rPr>
          <w:rFonts w:ascii="微软雅黑"/>
          <w:sz w:val="7"/>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1" w:after="0"/>
        <w:ind w:left="1080" w:right="0" w:firstLine="0"/>
        <w:jc w:val="left"/>
        <w:rPr>
          <w:sz w:val="21"/>
        </w:rPr>
      </w:pPr>
      <w:r>
        <w:rPr>
          <w:spacing w:val="24"/>
          <w:sz w:val="21"/>
        </w:rPr>
        <w:t>可逆性再生障</w:t>
      </w:r>
      <w:r>
        <w:rPr>
          <w:spacing w:val="-4"/>
          <w:sz w:val="21"/>
        </w:rPr>
        <w:t>碍性贫血</w:t>
      </w:r>
    </w:p>
    <w:p>
      <w:pPr>
        <w:pStyle w:val="BodyText"/>
        <w:spacing w:line="278" w:lineRule="auto" w:before="71"/>
        <w:ind w:left="142" w:right="667"/>
      </w:pPr>
      <w:r>
        <w:rPr/>
        <w:br w:type="column"/>
      </w:r>
      <w:r>
        <w:rPr>
          <w:spacing w:val="-2"/>
        </w:rPr>
        <w:t>指因急性可逆性的骨髓造血功能衰竭而导致贫血、中性粒细胞减少和血小板</w:t>
      </w:r>
      <w:r>
        <w:rPr>
          <w:spacing w:val="-2"/>
        </w:rPr>
        <w:t>减少，必须由血液科医生诊断，且病历资料显示接受了下列任一治疗：</w:t>
      </w:r>
    </w:p>
    <w:p>
      <w:pPr>
        <w:pStyle w:val="ListParagraph"/>
        <w:numPr>
          <w:ilvl w:val="0"/>
          <w:numId w:val="42"/>
        </w:numPr>
        <w:tabs>
          <w:tab w:pos="672" w:val="left" w:leader="none"/>
        </w:tabs>
        <w:spacing w:line="269" w:lineRule="exact" w:before="0" w:after="0"/>
        <w:ind w:left="672" w:right="0" w:hanging="530"/>
        <w:jc w:val="left"/>
        <w:rPr>
          <w:sz w:val="21"/>
        </w:rPr>
      </w:pPr>
      <w:r>
        <w:rPr>
          <w:spacing w:val="-3"/>
          <w:sz w:val="21"/>
        </w:rPr>
        <w:t>骨髓刺激疗法至少一个月；</w:t>
      </w:r>
    </w:p>
    <w:p>
      <w:pPr>
        <w:pStyle w:val="ListParagraph"/>
        <w:numPr>
          <w:ilvl w:val="0"/>
          <w:numId w:val="42"/>
        </w:numPr>
        <w:tabs>
          <w:tab w:pos="672" w:val="left" w:leader="none"/>
        </w:tabs>
        <w:spacing w:line="240" w:lineRule="auto" w:before="43" w:after="0"/>
        <w:ind w:left="672" w:right="0" w:hanging="530"/>
        <w:jc w:val="left"/>
        <w:rPr>
          <w:sz w:val="21"/>
        </w:rPr>
      </w:pPr>
      <w:r>
        <w:rPr>
          <w:spacing w:val="-3"/>
          <w:sz w:val="21"/>
        </w:rPr>
        <w:t>免疫抑制剂治疗至少一个月；</w:t>
      </w:r>
    </w:p>
    <w:p>
      <w:pPr>
        <w:pStyle w:val="ListParagraph"/>
        <w:numPr>
          <w:ilvl w:val="0"/>
          <w:numId w:val="42"/>
        </w:numPr>
        <w:tabs>
          <w:tab w:pos="672" w:val="left" w:leader="none"/>
        </w:tabs>
        <w:spacing w:line="240" w:lineRule="auto" w:before="43" w:after="0"/>
        <w:ind w:left="672" w:right="0" w:hanging="530"/>
        <w:jc w:val="left"/>
        <w:rPr>
          <w:sz w:val="21"/>
        </w:rPr>
      </w:pPr>
      <w:r>
        <w:rPr>
          <w:spacing w:val="-4"/>
          <w:sz w:val="21"/>
        </w:rPr>
        <w:t>接受了骨髓移植。</w:t>
      </w:r>
    </w:p>
    <w:p>
      <w:pPr>
        <w:spacing w:after="0" w:line="240" w:lineRule="auto"/>
        <w:jc w:val="left"/>
        <w:rPr>
          <w:sz w:val="21"/>
        </w:rPr>
        <w:sectPr>
          <w:type w:val="continuous"/>
          <w:pgSz w:w="11910" w:h="16840"/>
          <w:pgMar w:header="0" w:footer="406" w:top="600" w:bottom="280" w:left="900" w:right="340"/>
          <w:cols w:num="2" w:equalWidth="0">
            <w:col w:w="2778" w:space="40"/>
            <w:col w:w="7852"/>
          </w:cols>
        </w:sectPr>
      </w:pPr>
    </w:p>
    <w:p>
      <w:pPr>
        <w:pStyle w:val="BodyText"/>
        <w:spacing w:before="7"/>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中度严重溃疡</w:t>
      </w:r>
      <w:r>
        <w:rPr>
          <w:spacing w:val="-4"/>
          <w:sz w:val="21"/>
        </w:rPr>
        <w:t>性结肠炎</w:t>
      </w:r>
    </w:p>
    <w:p>
      <w:pPr>
        <w:pStyle w:val="BodyText"/>
        <w:spacing w:before="72"/>
        <w:ind w:left="175"/>
      </w:pPr>
      <w:r>
        <w:rPr/>
        <w:br w:type="column"/>
      </w:r>
      <w:r>
        <w:rPr>
          <w:spacing w:val="-3"/>
        </w:rPr>
        <w:t>指伴有致命性电解质紊乱的急性暴发性溃疡性结肠炎。须满足下列所有条件：</w:t>
      </w:r>
    </w:p>
    <w:p>
      <w:pPr>
        <w:pStyle w:val="ListParagraph"/>
        <w:numPr>
          <w:ilvl w:val="0"/>
          <w:numId w:val="43"/>
        </w:numPr>
        <w:tabs>
          <w:tab w:pos="702" w:val="left" w:leader="none"/>
        </w:tabs>
        <w:spacing w:line="278" w:lineRule="auto" w:before="43" w:after="0"/>
        <w:ind w:left="700" w:right="666" w:hanging="526"/>
        <w:jc w:val="left"/>
        <w:rPr>
          <w:sz w:val="21"/>
        </w:rPr>
      </w:pPr>
      <w:r>
        <w:rPr>
          <w:spacing w:val="-2"/>
          <w:sz w:val="21"/>
        </w:rPr>
        <w:t>须经由内窥镜检查证实该疾病侵犯全部结肠及直肠，并经病理学组织切</w:t>
      </w:r>
      <w:r>
        <w:rPr>
          <w:spacing w:val="-2"/>
          <w:sz w:val="21"/>
        </w:rPr>
        <w:t>片检查证实为溃疡性结肠炎；</w:t>
      </w:r>
    </w:p>
    <w:p>
      <w:pPr>
        <w:pStyle w:val="ListParagraph"/>
        <w:numPr>
          <w:ilvl w:val="0"/>
          <w:numId w:val="43"/>
        </w:numPr>
        <w:tabs>
          <w:tab w:pos="705" w:val="left" w:leader="none"/>
        </w:tabs>
        <w:spacing w:line="269" w:lineRule="exact" w:before="0" w:after="0"/>
        <w:ind w:left="704" w:right="0" w:hanging="530"/>
        <w:jc w:val="left"/>
        <w:rPr>
          <w:sz w:val="21"/>
        </w:rPr>
      </w:pPr>
      <w:r>
        <w:rPr>
          <w:spacing w:val="-5"/>
          <w:sz w:val="21"/>
        </w:rPr>
        <w:t>经专科医生以类固醇或免疫抑制剂连续治疗 </w:t>
      </w:r>
      <w:r>
        <w:rPr>
          <w:spacing w:val="-2"/>
          <w:sz w:val="21"/>
        </w:rPr>
        <w:t>6</w:t>
      </w:r>
      <w:r>
        <w:rPr>
          <w:spacing w:val="-16"/>
          <w:sz w:val="21"/>
        </w:rPr>
        <w:t> 个月。</w:t>
      </w:r>
    </w:p>
    <w:p>
      <w:pPr>
        <w:pStyle w:val="BodyText"/>
        <w:spacing w:line="278" w:lineRule="auto" w:before="44"/>
        <w:ind w:left="175" w:right="676"/>
      </w:pPr>
      <w:r>
        <w:rPr>
          <w:spacing w:val="-2"/>
        </w:rPr>
        <w:t>诊断及治疗均须在本公司认可的医疗机构内由专科医生认为是医疗必需的情</w:t>
      </w:r>
      <w:r>
        <w:rPr>
          <w:spacing w:val="-2"/>
        </w:rPr>
        <w:t>况下进行。</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中度肌营养不</w:t>
      </w:r>
      <w:r>
        <w:rPr>
          <w:spacing w:val="-6"/>
          <w:sz w:val="21"/>
        </w:rPr>
        <w:t>良症</w:t>
      </w:r>
    </w:p>
    <w:p>
      <w:pPr>
        <w:pStyle w:val="BodyText"/>
        <w:spacing w:line="278" w:lineRule="auto" w:before="72"/>
        <w:ind w:left="175"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44"/>
        </w:numPr>
        <w:tabs>
          <w:tab w:pos="702" w:val="left" w:leader="none"/>
        </w:tabs>
        <w:spacing w:line="269" w:lineRule="exact" w:before="0" w:after="0"/>
        <w:ind w:left="701" w:right="0" w:hanging="527"/>
        <w:jc w:val="left"/>
        <w:rPr>
          <w:sz w:val="21"/>
        </w:rPr>
      </w:pPr>
      <w:r>
        <w:rPr>
          <w:spacing w:val="-6"/>
          <w:sz w:val="21"/>
        </w:rPr>
        <w:t>肌肉组织活检结果满足肌营养不良症的肌肉细胞变性、坏死等阳性改变；</w:t>
      </w:r>
    </w:p>
    <w:p>
      <w:pPr>
        <w:pStyle w:val="ListParagraph"/>
        <w:numPr>
          <w:ilvl w:val="0"/>
          <w:numId w:val="44"/>
        </w:numPr>
        <w:tabs>
          <w:tab w:pos="702" w:val="left" w:leader="none"/>
        </w:tabs>
        <w:spacing w:line="278" w:lineRule="auto" w:before="43" w:after="0"/>
        <w:ind w:left="700" w:right="666" w:hanging="526"/>
        <w:jc w:val="left"/>
        <w:rPr>
          <w:sz w:val="21"/>
        </w:rPr>
      </w:pPr>
      <w:r>
        <w:rPr>
          <w:spacing w:val="-2"/>
          <w:sz w:val="21"/>
        </w:rPr>
        <w:t>自主生活能力严重丧失，无法独立完成六项基本日常生活活动中的两项</w:t>
      </w:r>
      <w:r>
        <w:rPr>
          <w:spacing w:val="-2"/>
          <w:sz w:val="21"/>
        </w:rPr>
        <w:t>或两项以上。</w:t>
      </w:r>
    </w:p>
    <w:p>
      <w:pPr>
        <w:pStyle w:val="Heading2"/>
        <w:spacing w:line="320" w:lineRule="exact"/>
        <w:ind w:left="175"/>
      </w:pPr>
      <w:r>
        <w:rPr>
          <w:spacing w:val="-3"/>
        </w:rPr>
        <w:t>本公司承担本项疾病责任不受本合同责任免除中“遗传性疾病，先天性畸形、</w:t>
      </w:r>
    </w:p>
    <w:p>
      <w:pPr>
        <w:spacing w:after="0" w:line="320" w:lineRule="exact"/>
        <w:sectPr>
          <w:type w:val="continuous"/>
          <w:pgSz w:w="11910" w:h="16840"/>
          <w:pgMar w:header="0" w:footer="406" w:top="600" w:bottom="280" w:left="900" w:right="340"/>
          <w:cols w:num="2" w:equalWidth="0">
            <w:col w:w="2745" w:space="40"/>
            <w:col w:w="7885"/>
          </w:cols>
        </w:sectPr>
      </w:pPr>
    </w:p>
    <w:p>
      <w:pPr>
        <w:spacing w:line="377" w:lineRule="exact" w:before="0"/>
        <w:ind w:left="2960" w:right="0" w:firstLine="0"/>
        <w:jc w:val="left"/>
        <w:rPr>
          <w:rFonts w:ascii="微软雅黑" w:hAnsi="微软雅黑" w:eastAsia="微软雅黑"/>
          <w:b/>
          <w:sz w:val="21"/>
        </w:rPr>
      </w:pPr>
      <w:r>
        <w:rPr>
          <w:rFonts w:ascii="微软雅黑" w:hAnsi="微软雅黑" w:eastAsia="微软雅黑"/>
          <w:b/>
          <w:spacing w:val="-3"/>
          <w:sz w:val="21"/>
        </w:rPr>
        <w:t>变形或染色体异常”的限制。</w:t>
      </w:r>
    </w:p>
    <w:p>
      <w:pPr>
        <w:pStyle w:val="BodyText"/>
        <w:spacing w:before="1"/>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中度严重脊髓</w:t>
      </w:r>
      <w:r>
        <w:rPr>
          <w:spacing w:val="-4"/>
          <w:sz w:val="21"/>
        </w:rPr>
        <w:t>灰质炎</w:t>
      </w:r>
    </w:p>
    <w:p>
      <w:pPr>
        <w:spacing w:line="312" w:lineRule="exact" w:before="32"/>
        <w:ind w:left="175" w:right="664" w:firstLine="0"/>
        <w:jc w:val="both"/>
        <w:rPr>
          <w:rFonts w:ascii="微软雅黑" w:eastAsia="微软雅黑"/>
          <w:b/>
          <w:sz w:val="21"/>
        </w:rPr>
      </w:pPr>
      <w:r>
        <w:rPr/>
        <w:br w:type="column"/>
      </w:r>
      <w:r>
        <w:rPr>
          <w:spacing w:val="-2"/>
          <w:sz w:val="21"/>
        </w:rPr>
        <w:t>脊髓灰质炎是由于脊髓灰质炎病毒感染所致的瘫痪性疾病，临床表现为运动</w:t>
      </w:r>
      <w:r>
        <w:rPr>
          <w:spacing w:val="-2"/>
          <w:sz w:val="21"/>
        </w:rPr>
        <w:t>功能损害或呼吸无力。脊髓灰质炎必须在本公司认可的医疗机构内由专科医</w:t>
      </w:r>
      <w:r>
        <w:rPr>
          <w:spacing w:val="-2"/>
          <w:sz w:val="21"/>
        </w:rPr>
        <w:t>生明确诊断。</w:t>
      </w:r>
      <w:r>
        <w:rPr>
          <w:rFonts w:ascii="微软雅黑" w:eastAsia="微软雅黑"/>
          <w:b/>
          <w:spacing w:val="-2"/>
          <w:sz w:val="21"/>
        </w:rPr>
        <w:t>本合同仅对脊髓灰质炎造成的神经系统功能损害导致被保险人</w:t>
      </w:r>
      <w:r>
        <w:rPr>
          <w:rFonts w:ascii="微软雅黑" w:eastAsia="微软雅黑"/>
          <w:b/>
          <w:spacing w:val="-2"/>
          <w:sz w:val="21"/>
        </w:rPr>
        <w:t>一肢或一肢以上肢体随意运动功能永久完全丧失的情况予以理赔。</w:t>
      </w:r>
    </w:p>
    <w:p>
      <w:pPr>
        <w:pStyle w:val="BodyText"/>
        <w:spacing w:before="40"/>
        <w:ind w:left="175"/>
        <w:jc w:val="both"/>
      </w:pPr>
      <w:r>
        <w:rPr>
          <w:spacing w:val="-2"/>
        </w:rPr>
        <w:t>肢体随意运动功能永久完全丧失，指疾病确诊 </w:t>
      </w:r>
      <w:r>
        <w:rPr/>
        <w:t>180</w:t>
      </w:r>
      <w:r>
        <w:rPr>
          <w:spacing w:val="-6"/>
        </w:rPr>
        <w:t> 天后，该肢三大关节中的</w:t>
      </w:r>
    </w:p>
    <w:p>
      <w:pPr>
        <w:pStyle w:val="BodyText"/>
        <w:spacing w:line="278" w:lineRule="auto" w:before="43"/>
        <w:ind w:left="175" w:right="666"/>
        <w:jc w:val="both"/>
      </w:pPr>
      <w:r>
        <w:rPr>
          <w:spacing w:val="-1"/>
        </w:rPr>
        <w:t>至少一个大关节仍然完全僵硬，或肢体肌力在 </w:t>
      </w:r>
      <w:r>
        <w:rPr/>
        <w:t>3</w:t>
      </w:r>
      <w:r>
        <w:rPr>
          <w:spacing w:val="-9"/>
        </w:rPr>
        <w:t> 级</w:t>
      </w:r>
      <w:r>
        <w:rPr/>
        <w:t>（含）以下不能随意识活</w:t>
      </w:r>
      <w:r>
        <w:rPr>
          <w:spacing w:val="-6"/>
        </w:rPr>
        <w:t>动。</w:t>
      </w:r>
    </w:p>
    <w:p>
      <w:pPr>
        <w:spacing w:after="0" w:line="278" w:lineRule="auto"/>
        <w:jc w:val="both"/>
        <w:sectPr>
          <w:type w:val="continuous"/>
          <w:pgSz w:w="11910" w:h="16840"/>
          <w:pgMar w:header="0" w:footer="406" w:top="600" w:bottom="280" w:left="900" w:right="340"/>
          <w:cols w:num="2" w:equalWidth="0">
            <w:col w:w="2745" w:space="40"/>
            <w:col w:w="7885"/>
          </w:cols>
        </w:sectPr>
      </w:pPr>
    </w:p>
    <w:p>
      <w:pPr>
        <w:pStyle w:val="BodyText"/>
        <w:spacing w:before="2"/>
        <w:rPr>
          <w:sz w:val="12"/>
        </w:rPr>
      </w:pPr>
    </w:p>
    <w:p>
      <w:pPr>
        <w:pStyle w:val="ListParagraph"/>
        <w:numPr>
          <w:ilvl w:val="2"/>
          <w:numId w:val="40"/>
        </w:numPr>
        <w:tabs>
          <w:tab w:pos="1399" w:val="left" w:leader="none"/>
        </w:tabs>
        <w:spacing w:line="278" w:lineRule="auto" w:before="72" w:after="0"/>
        <w:ind w:left="2960" w:right="667" w:hanging="1880"/>
        <w:jc w:val="both"/>
        <w:rPr>
          <w:sz w:val="21"/>
        </w:rPr>
      </w:pPr>
      <w:r>
        <w:rPr>
          <w:sz w:val="21"/>
        </w:rPr>
        <w:t>出血性登革热 出血性登革热须出现全部四种症状，包括发高烧、出血现象、肝肿大和循环</w:t>
      </w:r>
      <w:r>
        <w:rPr>
          <w:spacing w:val="28"/>
          <w:sz w:val="21"/>
        </w:rPr>
        <w:t>衰竭</w:t>
      </w:r>
      <w:r>
        <w:rPr>
          <w:sz w:val="21"/>
        </w:rPr>
        <w:t>（</w:t>
      </w:r>
      <w:r>
        <w:rPr>
          <w:spacing w:val="20"/>
          <w:sz w:val="21"/>
        </w:rPr>
        <w:t> 登革热休克综合症即符合世界卫生组织</w:t>
      </w:r>
      <w:r>
        <w:rPr>
          <w:sz w:val="21"/>
        </w:rPr>
        <w:t>（</w:t>
      </w:r>
      <w:r>
        <w:rPr>
          <w:spacing w:val="-26"/>
          <w:sz w:val="21"/>
        </w:rPr>
        <w:t> </w:t>
      </w:r>
      <w:r>
        <w:rPr>
          <w:sz w:val="21"/>
        </w:rPr>
        <w:t>WHO</w:t>
      </w:r>
      <w:r>
        <w:rPr>
          <w:spacing w:val="-18"/>
          <w:sz w:val="21"/>
        </w:rPr>
        <w:t> ， </w:t>
      </w:r>
      <w:r>
        <w:rPr>
          <w:sz w:val="21"/>
        </w:rPr>
        <w:t>World</w:t>
      </w:r>
      <w:r>
        <w:rPr>
          <w:spacing w:val="-27"/>
          <w:sz w:val="21"/>
        </w:rPr>
        <w:t> </w:t>
      </w:r>
      <w:r>
        <w:rPr>
          <w:sz w:val="21"/>
        </w:rPr>
        <w:t>Health </w:t>
      </w:r>
      <w:r>
        <w:rPr>
          <w:spacing w:val="-2"/>
          <w:sz w:val="21"/>
        </w:rPr>
        <w:t>Organization）登革热第Ⅲ级及第Ⅳ级）。出血性登革热的诊断必须在本公</w:t>
      </w:r>
      <w:r>
        <w:rPr>
          <w:spacing w:val="-2"/>
          <w:sz w:val="21"/>
        </w:rPr>
        <w:t>司认可的医疗机构内由专科医生证实。</w:t>
      </w:r>
    </w:p>
    <w:p>
      <w:pPr>
        <w:pStyle w:val="Heading2"/>
        <w:spacing w:line="319" w:lineRule="exact"/>
      </w:pPr>
      <w:r>
        <w:rPr>
          <w:spacing w:val="-3"/>
        </w:rPr>
        <w:t>非出血性登革热不在保障范围内。</w:t>
      </w:r>
    </w:p>
    <w:p>
      <w:pPr>
        <w:pStyle w:val="BodyText"/>
        <w:spacing w:before="15"/>
        <w:rPr>
          <w:rFonts w:ascii="微软雅黑"/>
          <w:b/>
          <w:sz w:val="11"/>
        </w:rPr>
      </w:pPr>
    </w:p>
    <w:p>
      <w:pPr>
        <w:pStyle w:val="ListParagraph"/>
        <w:numPr>
          <w:ilvl w:val="2"/>
          <w:numId w:val="40"/>
        </w:numPr>
        <w:tabs>
          <w:tab w:pos="1399" w:val="left" w:leader="none"/>
          <w:tab w:pos="2960" w:val="left" w:leader="none"/>
        </w:tabs>
        <w:spacing w:line="278" w:lineRule="auto" w:before="0" w:after="0"/>
        <w:ind w:left="2960" w:right="667" w:hanging="1880"/>
        <w:jc w:val="left"/>
        <w:rPr>
          <w:sz w:val="21"/>
        </w:rPr>
      </w:pPr>
      <w:r>
        <w:rPr>
          <w:spacing w:val="-2"/>
          <w:sz w:val="21"/>
        </w:rPr>
        <w:t>结核性脊髓炎</w:t>
      </w:r>
      <w:r>
        <w:rPr>
          <w:sz w:val="21"/>
        </w:rPr>
        <w:tab/>
      </w:r>
      <w:r>
        <w:rPr>
          <w:spacing w:val="-2"/>
          <w:sz w:val="21"/>
        </w:rPr>
        <w:t>因</w:t>
      </w:r>
      <w:r>
        <w:rPr>
          <w:spacing w:val="-2"/>
          <w:sz w:val="21"/>
        </w:rPr>
        <w:t>结</w:t>
      </w:r>
      <w:r>
        <w:rPr>
          <w:spacing w:val="-2"/>
          <w:sz w:val="21"/>
        </w:rPr>
        <w:t>核</w:t>
      </w:r>
      <w:r>
        <w:rPr>
          <w:spacing w:val="-2"/>
          <w:sz w:val="21"/>
        </w:rPr>
        <w:t>杆</w:t>
      </w:r>
      <w:r>
        <w:rPr>
          <w:spacing w:val="-2"/>
          <w:sz w:val="21"/>
        </w:rPr>
        <w:t>菌</w:t>
      </w:r>
      <w:r>
        <w:rPr>
          <w:spacing w:val="-2"/>
          <w:sz w:val="21"/>
        </w:rPr>
        <w:t>引</w:t>
      </w:r>
      <w:r>
        <w:rPr>
          <w:spacing w:val="-2"/>
          <w:sz w:val="21"/>
        </w:rPr>
        <w:t>起</w:t>
      </w:r>
      <w:r>
        <w:rPr>
          <w:spacing w:val="-2"/>
          <w:sz w:val="21"/>
        </w:rPr>
        <w:t>的</w:t>
      </w:r>
      <w:r>
        <w:rPr>
          <w:spacing w:val="-2"/>
          <w:sz w:val="21"/>
        </w:rPr>
        <w:t>脊髓炎，</w:t>
      </w:r>
      <w:r>
        <w:rPr>
          <w:spacing w:val="-2"/>
          <w:sz w:val="21"/>
        </w:rPr>
        <w:t>导</w:t>
      </w:r>
      <w:r>
        <w:rPr>
          <w:spacing w:val="-2"/>
          <w:sz w:val="21"/>
        </w:rPr>
        <w:t>致</w:t>
      </w:r>
      <w:r>
        <w:rPr>
          <w:spacing w:val="-2"/>
          <w:sz w:val="21"/>
        </w:rPr>
        <w:t>永</w:t>
      </w:r>
      <w:r>
        <w:rPr>
          <w:spacing w:val="-2"/>
          <w:sz w:val="21"/>
        </w:rPr>
        <w:t>久</w:t>
      </w:r>
      <w:r>
        <w:rPr>
          <w:spacing w:val="-2"/>
          <w:sz w:val="21"/>
        </w:rPr>
        <w:t>性</w:t>
      </w:r>
      <w:r>
        <w:rPr>
          <w:spacing w:val="-2"/>
          <w:sz w:val="21"/>
        </w:rPr>
        <w:t>神</w:t>
      </w:r>
      <w:r>
        <w:rPr>
          <w:spacing w:val="-2"/>
          <w:sz w:val="21"/>
        </w:rPr>
        <w:t>经</w:t>
      </w:r>
      <w:r>
        <w:rPr>
          <w:spacing w:val="-2"/>
          <w:sz w:val="21"/>
        </w:rPr>
        <w:t>系统功</w:t>
      </w:r>
      <w:r>
        <w:rPr>
          <w:spacing w:val="-2"/>
          <w:sz w:val="21"/>
        </w:rPr>
        <w:t>能</w:t>
      </w:r>
      <w:r>
        <w:rPr>
          <w:spacing w:val="-2"/>
          <w:sz w:val="21"/>
        </w:rPr>
        <w:t>中</w:t>
      </w:r>
      <w:r>
        <w:rPr>
          <w:spacing w:val="-2"/>
          <w:sz w:val="21"/>
        </w:rPr>
        <w:t>度</w:t>
      </w:r>
      <w:r>
        <w:rPr>
          <w:spacing w:val="-2"/>
          <w:sz w:val="21"/>
        </w:rPr>
        <w:t>障</w:t>
      </w:r>
      <w:r>
        <w:rPr>
          <w:spacing w:val="-2"/>
          <w:sz w:val="21"/>
        </w:rPr>
        <w:t>碍</w:t>
      </w:r>
      <w:r>
        <w:rPr>
          <w:spacing w:val="-2"/>
          <w:sz w:val="21"/>
        </w:rPr>
        <w:t>，</w:t>
      </w:r>
      <w:r>
        <w:rPr>
          <w:spacing w:val="-2"/>
          <w:sz w:val="21"/>
        </w:rPr>
        <w:t>即</w:t>
      </w:r>
      <w:r>
        <w:rPr>
          <w:spacing w:val="-2"/>
          <w:sz w:val="21"/>
        </w:rPr>
        <w:t>疾</w:t>
      </w:r>
      <w:r>
        <w:rPr>
          <w:spacing w:val="-2"/>
          <w:sz w:val="21"/>
        </w:rPr>
        <w:t>病</w:t>
      </w:r>
      <w:r>
        <w:rPr>
          <w:spacing w:val="-2"/>
          <w:sz w:val="21"/>
        </w:rPr>
        <w:t>首</w:t>
      </w:r>
      <w:r>
        <w:rPr>
          <w:spacing w:val="-2"/>
          <w:sz w:val="21"/>
        </w:rPr>
        <w:t>次</w:t>
      </w:r>
      <w:r>
        <w:rPr>
          <w:sz w:val="21"/>
        </w:rPr>
        <w:t>确诊</w:t>
      </w:r>
      <w:r>
        <w:rPr>
          <w:spacing w:val="-22"/>
          <w:sz w:val="21"/>
        </w:rPr>
        <w:t> </w:t>
      </w:r>
      <w:r>
        <w:rPr>
          <w:sz w:val="21"/>
        </w:rPr>
        <w:t>180</w:t>
      </w:r>
      <w:r>
        <w:rPr>
          <w:spacing w:val="-22"/>
          <w:sz w:val="21"/>
        </w:rPr>
        <w:t> </w:t>
      </w:r>
      <w:r>
        <w:rPr>
          <w:sz w:val="21"/>
        </w:rPr>
        <w:t>天后，仍遗留下</w:t>
      </w:r>
      <w:r>
        <w:rPr>
          <w:sz w:val="21"/>
        </w:rPr>
        <w:t>列一种或一种以上障</w:t>
      </w:r>
      <w:r>
        <w:rPr>
          <w:sz w:val="21"/>
        </w:rPr>
        <w:t>碍：</w:t>
      </w:r>
    </w:p>
    <w:p>
      <w:pPr>
        <w:pStyle w:val="ListParagraph"/>
        <w:numPr>
          <w:ilvl w:val="3"/>
          <w:numId w:val="40"/>
        </w:numPr>
        <w:tabs>
          <w:tab w:pos="3490" w:val="left" w:leader="none"/>
        </w:tabs>
        <w:spacing w:line="269" w:lineRule="exact" w:before="0" w:after="0"/>
        <w:ind w:left="3489" w:right="0" w:hanging="530"/>
        <w:jc w:val="left"/>
        <w:rPr>
          <w:sz w:val="21"/>
        </w:rPr>
      </w:pPr>
      <w:r>
        <w:rPr>
          <w:spacing w:val="-2"/>
          <w:sz w:val="21"/>
        </w:rPr>
        <w:t>一肢（含）</w:t>
      </w:r>
      <w:r>
        <w:rPr>
          <w:spacing w:val="-8"/>
          <w:sz w:val="21"/>
        </w:rPr>
        <w:t>以上肢体肌力在 </w:t>
      </w:r>
      <w:r>
        <w:rPr>
          <w:spacing w:val="-2"/>
          <w:sz w:val="21"/>
        </w:rPr>
        <w:t>3</w:t>
      </w:r>
      <w:r>
        <w:rPr>
          <w:spacing w:val="-24"/>
          <w:sz w:val="21"/>
        </w:rPr>
        <w:t> 级</w:t>
      </w:r>
      <w:r>
        <w:rPr>
          <w:spacing w:val="-2"/>
          <w:sz w:val="21"/>
        </w:rPr>
        <w:t>（含）</w:t>
      </w:r>
      <w:r>
        <w:rPr>
          <w:spacing w:val="-3"/>
          <w:sz w:val="21"/>
        </w:rPr>
        <w:t>以下的运动功能障碍；</w:t>
      </w:r>
    </w:p>
    <w:p>
      <w:pPr>
        <w:pStyle w:val="ListParagraph"/>
        <w:numPr>
          <w:ilvl w:val="3"/>
          <w:numId w:val="40"/>
        </w:numPr>
        <w:tabs>
          <w:tab w:pos="3487" w:val="left" w:leader="none"/>
        </w:tabs>
        <w:spacing w:line="278" w:lineRule="auto" w:before="43" w:after="0"/>
        <w:ind w:left="3485" w:right="666" w:hanging="526"/>
        <w:jc w:val="left"/>
        <w:rPr>
          <w:sz w:val="21"/>
        </w:rPr>
      </w:pPr>
      <w:r>
        <w:rPr>
          <w:spacing w:val="-2"/>
          <w:sz w:val="21"/>
        </w:rPr>
        <w:t>自主生活能力部分丧失，无法独立完成六项基本日常生活活动中的两项</w:t>
      </w:r>
      <w:r>
        <w:rPr>
          <w:spacing w:val="-2"/>
          <w:sz w:val="21"/>
        </w:rPr>
        <w:t>或两项以上。</w:t>
      </w:r>
    </w:p>
    <w:p>
      <w:pPr>
        <w:pStyle w:val="BodyText"/>
        <w:spacing w:line="278" w:lineRule="auto"/>
        <w:ind w:left="2960" w:right="667"/>
      </w:pPr>
      <w:r>
        <w:rPr>
          <w:spacing w:val="-2"/>
        </w:rPr>
        <w:t>该诊断必须在本公司认可的医疗机构内由神经专科医生证实，并必须由适当</w:t>
      </w:r>
      <w:r>
        <w:rPr>
          <w:spacing w:val="-2"/>
        </w:rPr>
        <w:t>的检查证明为结核性脊髓炎。</w:t>
      </w:r>
    </w:p>
    <w:p>
      <w:pPr>
        <w:pStyle w:val="BodyText"/>
        <w:spacing w:before="4"/>
        <w:rPr>
          <w:sz w:val="24"/>
        </w:rPr>
      </w:pPr>
    </w:p>
    <w:p>
      <w:pPr>
        <w:pStyle w:val="ListParagraph"/>
        <w:numPr>
          <w:ilvl w:val="2"/>
          <w:numId w:val="40"/>
        </w:numPr>
        <w:tabs>
          <w:tab w:pos="1399" w:val="left" w:leader="none"/>
          <w:tab w:pos="2960" w:val="left" w:leader="none"/>
        </w:tabs>
        <w:spacing w:line="278" w:lineRule="auto" w:before="0" w:after="0"/>
        <w:ind w:left="2960" w:right="667" w:hanging="1880"/>
        <w:jc w:val="left"/>
        <w:rPr>
          <w:sz w:val="21"/>
        </w:rPr>
      </w:pPr>
      <w:r>
        <w:rPr>
          <w:spacing w:val="-2"/>
          <w:sz w:val="21"/>
        </w:rPr>
        <w:t>单个肢体缺失</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一</w:t>
      </w:r>
      <w:r>
        <w:rPr>
          <w:spacing w:val="-2"/>
          <w:sz w:val="21"/>
        </w:rPr>
        <w:t>个</w:t>
      </w:r>
      <w:r>
        <w:rPr>
          <w:spacing w:val="-2"/>
          <w:sz w:val="21"/>
        </w:rPr>
        <w:t>肢</w:t>
      </w:r>
      <w:r>
        <w:rPr>
          <w:spacing w:val="-2"/>
          <w:sz w:val="21"/>
        </w:rPr>
        <w:t>体</w:t>
      </w:r>
      <w:r>
        <w:rPr>
          <w:spacing w:val="-2"/>
          <w:sz w:val="21"/>
        </w:rPr>
        <w:t>自</w:t>
      </w:r>
      <w:r>
        <w:rPr>
          <w:spacing w:val="-2"/>
          <w:sz w:val="21"/>
        </w:rPr>
        <w:t>腕</w:t>
      </w:r>
      <w:r>
        <w:rPr>
          <w:spacing w:val="-2"/>
          <w:sz w:val="21"/>
        </w:rPr>
        <w:t>关</w:t>
      </w:r>
      <w:r>
        <w:rPr>
          <w:spacing w:val="-2"/>
          <w:sz w:val="21"/>
        </w:rPr>
        <w:t>节</w:t>
      </w:r>
      <w:r>
        <w:rPr>
          <w:spacing w:val="-2"/>
          <w:sz w:val="21"/>
        </w:rPr>
        <w:t>或踝关</w:t>
      </w:r>
      <w:r>
        <w:rPr>
          <w:spacing w:val="-2"/>
          <w:sz w:val="21"/>
        </w:rPr>
        <w:t>节</w:t>
      </w:r>
      <w:r>
        <w:rPr>
          <w:spacing w:val="-2"/>
          <w:sz w:val="21"/>
        </w:rPr>
        <w:t>近</w:t>
      </w:r>
      <w:r>
        <w:rPr>
          <w:spacing w:val="-2"/>
          <w:sz w:val="21"/>
        </w:rPr>
        <w:t>端</w:t>
      </w:r>
      <w:r>
        <w:rPr>
          <w:spacing w:val="-2"/>
          <w:sz w:val="21"/>
        </w:rPr>
        <w:t>（</w:t>
      </w:r>
      <w:r>
        <w:rPr>
          <w:spacing w:val="-2"/>
          <w:sz w:val="21"/>
        </w:rPr>
        <w:t>靠</w:t>
      </w:r>
      <w:r>
        <w:rPr>
          <w:spacing w:val="-2"/>
          <w:sz w:val="21"/>
        </w:rPr>
        <w:t>近</w:t>
      </w:r>
      <w:r>
        <w:rPr>
          <w:spacing w:val="-2"/>
          <w:sz w:val="21"/>
        </w:rPr>
        <w:t>躯</w:t>
      </w:r>
      <w:r>
        <w:rPr>
          <w:spacing w:val="-2"/>
          <w:sz w:val="21"/>
        </w:rPr>
        <w:t>干</w:t>
      </w:r>
      <w:r>
        <w:rPr>
          <w:spacing w:val="-2"/>
          <w:sz w:val="21"/>
        </w:rPr>
        <w:t>端）</w:t>
      </w:r>
      <w:r>
        <w:rPr>
          <w:spacing w:val="-2"/>
          <w:sz w:val="21"/>
        </w:rPr>
        <w:t>以</w:t>
      </w:r>
      <w:r>
        <w:rPr>
          <w:spacing w:val="-2"/>
          <w:sz w:val="21"/>
        </w:rPr>
        <w:t>上</w:t>
      </w:r>
      <w:r>
        <w:rPr>
          <w:spacing w:val="-2"/>
          <w:sz w:val="21"/>
        </w:rPr>
        <w:t>完</w:t>
      </w:r>
      <w:r>
        <w:rPr>
          <w:spacing w:val="-2"/>
          <w:sz w:val="21"/>
        </w:rPr>
        <w:t>全断离。</w:t>
      </w:r>
    </w:p>
    <w:p>
      <w:pPr>
        <w:pStyle w:val="Heading2"/>
        <w:spacing w:line="320" w:lineRule="exact"/>
      </w:pPr>
      <w:r>
        <w:rPr>
          <w:spacing w:val="-3"/>
        </w:rPr>
        <w:t>因糖尿病并发症导致的单个肢体缺失不在保障范围内。</w:t>
      </w:r>
    </w:p>
    <w:p>
      <w:pPr>
        <w:pStyle w:val="BodyText"/>
        <w:spacing w:before="2"/>
        <w:rPr>
          <w:rFonts w:ascii="微软雅黑"/>
          <w:b/>
          <w:sz w:val="17"/>
        </w:rPr>
      </w:pPr>
    </w:p>
    <w:p>
      <w:pPr>
        <w:pStyle w:val="ListParagraph"/>
        <w:numPr>
          <w:ilvl w:val="2"/>
          <w:numId w:val="40"/>
        </w:numPr>
        <w:tabs>
          <w:tab w:pos="1399" w:val="left" w:leader="none"/>
        </w:tabs>
        <w:spacing w:line="228" w:lineRule="auto" w:before="0" w:after="0"/>
        <w:ind w:left="2960" w:right="663" w:hanging="1880"/>
        <w:jc w:val="both"/>
        <w:rPr>
          <w:sz w:val="21"/>
        </w:rPr>
      </w:pPr>
      <w:r>
        <w:rPr>
          <w:spacing w:val="-1"/>
          <w:sz w:val="21"/>
        </w:rPr>
        <w:t>中度Ⅲ度烧伤 指烧伤程度为Ⅲ度，且Ⅲ度烧伤的面积达到全身体表面积的 </w:t>
      </w:r>
      <w:r>
        <w:rPr>
          <w:sz w:val="21"/>
        </w:rPr>
        <w:t>15%</w:t>
      </w:r>
      <w:r>
        <w:rPr>
          <w:spacing w:val="-13"/>
          <w:sz w:val="21"/>
        </w:rPr>
        <w:t>或 </w:t>
      </w:r>
      <w:r>
        <w:rPr>
          <w:sz w:val="21"/>
        </w:rPr>
        <w:t>15%以上，</w:t>
      </w:r>
      <w:r>
        <w:rPr>
          <w:spacing w:val="-2"/>
          <w:sz w:val="21"/>
        </w:rPr>
        <w:t>且未达到重大疾病“</w:t>
      </w:r>
      <w:r>
        <w:rPr>
          <w:rFonts w:ascii="微软雅黑" w:hAnsi="微软雅黑" w:eastAsia="微软雅黑"/>
          <w:b/>
          <w:spacing w:val="-2"/>
          <w:sz w:val="21"/>
        </w:rPr>
        <w:t>严重Ⅲ度烧伤</w:t>
      </w:r>
      <w:r>
        <w:rPr>
          <w:spacing w:val="-2"/>
          <w:sz w:val="21"/>
        </w:rPr>
        <w:t>”的给付标准。体表面积根据《中国新九</w:t>
      </w:r>
      <w:r>
        <w:rPr>
          <w:spacing w:val="-2"/>
          <w:sz w:val="21"/>
        </w:rPr>
        <w:t>分法》计算。</w:t>
      </w:r>
    </w:p>
    <w:p>
      <w:pPr>
        <w:pStyle w:val="BodyText"/>
        <w:spacing w:before="11"/>
        <w:rPr>
          <w:sz w:val="24"/>
        </w:rPr>
      </w:pPr>
    </w:p>
    <w:p>
      <w:pPr>
        <w:pStyle w:val="ListParagraph"/>
        <w:numPr>
          <w:ilvl w:val="2"/>
          <w:numId w:val="40"/>
        </w:numPr>
        <w:tabs>
          <w:tab w:pos="1399" w:val="left" w:leader="none"/>
          <w:tab w:pos="2960" w:val="left" w:leader="none"/>
        </w:tabs>
        <w:spacing w:line="312" w:lineRule="exact" w:before="0" w:after="0"/>
        <w:ind w:left="2960" w:right="560" w:hanging="1880"/>
        <w:jc w:val="left"/>
        <w:rPr>
          <w:sz w:val="21"/>
        </w:rPr>
      </w:pPr>
      <w:r>
        <w:rPr>
          <w:spacing w:val="-3"/>
          <w:w w:val="100"/>
          <w:sz w:val="21"/>
        </w:rPr>
        <w:t>中</w:t>
      </w:r>
      <w:r>
        <w:rPr>
          <w:w w:val="100"/>
          <w:sz w:val="21"/>
        </w:rPr>
        <w:t>度</w:t>
      </w:r>
      <w:r>
        <w:rPr>
          <w:spacing w:val="-3"/>
          <w:w w:val="100"/>
          <w:sz w:val="21"/>
        </w:rPr>
        <w:t>面</w:t>
      </w:r>
      <w:r>
        <w:rPr>
          <w:w w:val="100"/>
          <w:sz w:val="21"/>
        </w:rPr>
        <w:t>部</w:t>
      </w:r>
      <w:r>
        <w:rPr>
          <w:spacing w:val="-3"/>
          <w:w w:val="100"/>
          <w:sz w:val="21"/>
        </w:rPr>
        <w:t>烧</w:t>
      </w:r>
      <w:r>
        <w:rPr>
          <w:w w:val="100"/>
          <w:sz w:val="21"/>
        </w:rPr>
        <w:t>伤</w:t>
      </w:r>
      <w:r>
        <w:rPr>
          <w:sz w:val="21"/>
        </w:rPr>
        <w:tab/>
      </w:r>
      <w:r>
        <w:rPr>
          <w:w w:val="100"/>
          <w:sz w:val="21"/>
        </w:rPr>
        <w:t>指烧</w:t>
      </w:r>
      <w:r>
        <w:rPr>
          <w:spacing w:val="-3"/>
          <w:w w:val="100"/>
          <w:sz w:val="21"/>
        </w:rPr>
        <w:t>伤</w:t>
      </w:r>
      <w:r>
        <w:rPr>
          <w:w w:val="100"/>
          <w:sz w:val="21"/>
        </w:rPr>
        <w:t>程</w:t>
      </w:r>
      <w:r>
        <w:rPr>
          <w:spacing w:val="-3"/>
          <w:w w:val="100"/>
          <w:sz w:val="21"/>
        </w:rPr>
        <w:t>度</w:t>
      </w:r>
      <w:r>
        <w:rPr>
          <w:w w:val="100"/>
          <w:sz w:val="21"/>
        </w:rPr>
        <w:t>为</w:t>
      </w:r>
      <w:r>
        <w:rPr>
          <w:spacing w:val="-3"/>
          <w:w w:val="100"/>
          <w:sz w:val="21"/>
        </w:rPr>
        <w:t>Ⅲ</w:t>
      </w:r>
      <w:r>
        <w:rPr>
          <w:w w:val="100"/>
          <w:sz w:val="21"/>
        </w:rPr>
        <w:t>度</w:t>
      </w:r>
      <w:r>
        <w:rPr>
          <w:spacing w:val="-108"/>
          <w:w w:val="100"/>
          <w:sz w:val="21"/>
        </w:rPr>
        <w:t>，</w:t>
      </w:r>
      <w:r>
        <w:rPr>
          <w:w w:val="100"/>
          <w:sz w:val="21"/>
        </w:rPr>
        <w:t>且</w:t>
      </w:r>
      <w:r>
        <w:rPr>
          <w:spacing w:val="-3"/>
          <w:w w:val="100"/>
          <w:sz w:val="21"/>
        </w:rPr>
        <w:t>面部</w:t>
      </w:r>
      <w:r>
        <w:rPr>
          <w:w w:val="100"/>
          <w:sz w:val="21"/>
        </w:rPr>
        <w:t>Ⅲ度</w:t>
      </w:r>
      <w:r>
        <w:rPr>
          <w:spacing w:val="-3"/>
          <w:w w:val="100"/>
          <w:sz w:val="21"/>
        </w:rPr>
        <w:t>烧</w:t>
      </w:r>
      <w:r>
        <w:rPr>
          <w:w w:val="100"/>
          <w:sz w:val="21"/>
        </w:rPr>
        <w:t>伤</w:t>
      </w:r>
      <w:r>
        <w:rPr>
          <w:spacing w:val="-3"/>
          <w:w w:val="100"/>
          <w:sz w:val="21"/>
        </w:rPr>
        <w:t>的</w:t>
      </w:r>
      <w:r>
        <w:rPr>
          <w:w w:val="100"/>
          <w:sz w:val="21"/>
        </w:rPr>
        <w:t>面</w:t>
      </w:r>
      <w:r>
        <w:rPr>
          <w:spacing w:val="-3"/>
          <w:w w:val="100"/>
          <w:sz w:val="21"/>
        </w:rPr>
        <w:t>积</w:t>
      </w:r>
      <w:r>
        <w:rPr>
          <w:spacing w:val="-1"/>
          <w:w w:val="100"/>
          <w:sz w:val="21"/>
        </w:rPr>
        <w:t>达</w:t>
      </w:r>
      <w:r>
        <w:rPr>
          <w:spacing w:val="-3"/>
          <w:w w:val="100"/>
          <w:sz w:val="21"/>
        </w:rPr>
        <w:t>到</w:t>
      </w:r>
      <w:r>
        <w:rPr>
          <w:w w:val="100"/>
          <w:sz w:val="21"/>
        </w:rPr>
        <w:t>面</w:t>
      </w:r>
      <w:r>
        <w:rPr>
          <w:spacing w:val="-3"/>
          <w:w w:val="100"/>
          <w:sz w:val="21"/>
        </w:rPr>
        <w:t>部</w:t>
      </w:r>
      <w:r>
        <w:rPr>
          <w:w w:val="100"/>
          <w:sz w:val="21"/>
        </w:rPr>
        <w:t>表面</w:t>
      </w:r>
      <w:r>
        <w:rPr>
          <w:spacing w:val="-3"/>
          <w:w w:val="100"/>
          <w:sz w:val="21"/>
        </w:rPr>
        <w:t>积</w:t>
      </w:r>
      <w:r>
        <w:rPr>
          <w:w w:val="100"/>
          <w:sz w:val="21"/>
        </w:rPr>
        <w:t>的</w:t>
      </w:r>
      <w:r>
        <w:rPr>
          <w:spacing w:val="-55"/>
          <w:sz w:val="21"/>
        </w:rPr>
        <w:t> </w:t>
      </w:r>
      <w:r>
        <w:rPr>
          <w:w w:val="100"/>
          <w:sz w:val="21"/>
        </w:rPr>
        <w:t>60%或</w:t>
      </w:r>
      <w:r>
        <w:rPr>
          <w:spacing w:val="-57"/>
          <w:sz w:val="21"/>
        </w:rPr>
        <w:t> </w:t>
      </w:r>
      <w:r>
        <w:rPr>
          <w:w w:val="100"/>
          <w:sz w:val="21"/>
        </w:rPr>
        <w:t>60</w:t>
      </w:r>
      <w:r>
        <w:rPr>
          <w:spacing w:val="-3"/>
          <w:w w:val="100"/>
          <w:sz w:val="21"/>
        </w:rPr>
        <w:t>%</w:t>
      </w:r>
      <w:r>
        <w:rPr>
          <w:w w:val="100"/>
          <w:sz w:val="21"/>
        </w:rPr>
        <w:t>以上，</w:t>
      </w:r>
      <w:r>
        <w:rPr>
          <w:spacing w:val="2"/>
          <w:w w:val="100"/>
          <w:sz w:val="21"/>
        </w:rPr>
        <w:t>但未达到重</w:t>
      </w:r>
      <w:r>
        <w:rPr>
          <w:w w:val="100"/>
          <w:sz w:val="21"/>
        </w:rPr>
        <w:t>大</w:t>
      </w:r>
      <w:r>
        <w:rPr>
          <w:spacing w:val="2"/>
          <w:w w:val="100"/>
          <w:sz w:val="21"/>
        </w:rPr>
        <w:t>疾病“</w:t>
      </w:r>
      <w:r>
        <w:rPr>
          <w:rFonts w:ascii="微软雅黑" w:hAnsi="微软雅黑" w:eastAsia="微软雅黑"/>
          <w:b/>
          <w:spacing w:val="2"/>
          <w:w w:val="100"/>
          <w:sz w:val="21"/>
        </w:rPr>
        <w:t>严重面部</w:t>
      </w:r>
      <w:r>
        <w:rPr>
          <w:rFonts w:ascii="微软雅黑" w:hAnsi="微软雅黑" w:eastAsia="微软雅黑"/>
          <w:b/>
          <w:spacing w:val="4"/>
          <w:w w:val="100"/>
          <w:sz w:val="21"/>
        </w:rPr>
        <w:t>烧伤</w:t>
      </w:r>
      <w:r>
        <w:rPr>
          <w:spacing w:val="2"/>
          <w:w w:val="100"/>
          <w:sz w:val="21"/>
        </w:rPr>
        <w:t>”的给</w:t>
      </w:r>
      <w:r>
        <w:rPr>
          <w:w w:val="100"/>
          <w:sz w:val="21"/>
        </w:rPr>
        <w:t>付</w:t>
      </w:r>
      <w:r>
        <w:rPr>
          <w:spacing w:val="2"/>
          <w:w w:val="100"/>
          <w:sz w:val="21"/>
        </w:rPr>
        <w:t>标准</w:t>
      </w:r>
      <w:r>
        <w:rPr>
          <w:w w:val="100"/>
          <w:sz w:val="21"/>
        </w:rPr>
        <w:t>。</w:t>
      </w:r>
      <w:r>
        <w:rPr>
          <w:spacing w:val="2"/>
          <w:w w:val="100"/>
          <w:sz w:val="21"/>
        </w:rPr>
        <w:t>面部的范围</w:t>
      </w:r>
      <w:r>
        <w:rPr>
          <w:w w:val="100"/>
          <w:sz w:val="21"/>
        </w:rPr>
        <w:t>指</w:t>
      </w:r>
      <w:r>
        <w:rPr>
          <w:spacing w:val="2"/>
          <w:w w:val="100"/>
          <w:sz w:val="21"/>
        </w:rPr>
        <w:t>上至发</w:t>
      </w:r>
      <w:r>
        <w:rPr>
          <w:w w:val="100"/>
          <w:sz w:val="21"/>
        </w:rPr>
        <w:t>际、</w:t>
      </w:r>
      <w:r>
        <w:rPr>
          <w:spacing w:val="2"/>
          <w:w w:val="100"/>
          <w:sz w:val="21"/>
        </w:rPr>
        <w:t>下至下颌下缘、两</w:t>
      </w:r>
      <w:r>
        <w:rPr>
          <w:w w:val="100"/>
          <w:sz w:val="21"/>
        </w:rPr>
        <w:t>侧</w:t>
      </w:r>
      <w:r>
        <w:rPr>
          <w:spacing w:val="2"/>
          <w:w w:val="100"/>
          <w:sz w:val="21"/>
        </w:rPr>
        <w:t>至</w:t>
      </w:r>
      <w:r>
        <w:rPr>
          <w:w w:val="100"/>
          <w:sz w:val="21"/>
        </w:rPr>
        <w:t>下</w:t>
      </w:r>
      <w:r>
        <w:rPr>
          <w:spacing w:val="2"/>
          <w:w w:val="100"/>
          <w:sz w:val="21"/>
        </w:rPr>
        <w:t>颌支后缘之间的区</w:t>
      </w:r>
      <w:r>
        <w:rPr>
          <w:w w:val="100"/>
          <w:sz w:val="21"/>
        </w:rPr>
        <w:t>域</w:t>
      </w:r>
      <w:r>
        <w:rPr>
          <w:spacing w:val="2"/>
          <w:w w:val="100"/>
          <w:sz w:val="21"/>
        </w:rPr>
        <w:t>，</w:t>
      </w:r>
      <w:r>
        <w:rPr>
          <w:w w:val="100"/>
          <w:sz w:val="21"/>
        </w:rPr>
        <w:t>包</w:t>
      </w:r>
      <w:r>
        <w:rPr>
          <w:spacing w:val="2"/>
          <w:w w:val="100"/>
          <w:sz w:val="21"/>
        </w:rPr>
        <w:t>括额部、眼部、眶</w:t>
      </w:r>
      <w:r>
        <w:rPr>
          <w:w w:val="100"/>
          <w:sz w:val="21"/>
        </w:rPr>
        <w:t>部</w:t>
      </w:r>
      <w:r>
        <w:rPr>
          <w:spacing w:val="2"/>
          <w:w w:val="100"/>
          <w:sz w:val="21"/>
        </w:rPr>
        <w:t>、鼻</w:t>
      </w:r>
      <w:r>
        <w:rPr>
          <w:w w:val="100"/>
          <w:sz w:val="21"/>
        </w:rPr>
        <w:t>部、</w:t>
      </w:r>
      <w:r>
        <w:rPr>
          <w:spacing w:val="-3"/>
          <w:w w:val="100"/>
          <w:sz w:val="21"/>
        </w:rPr>
        <w:t>口</w:t>
      </w:r>
      <w:r>
        <w:rPr>
          <w:w w:val="100"/>
          <w:sz w:val="21"/>
        </w:rPr>
        <w:t>唇</w:t>
      </w:r>
      <w:r>
        <w:rPr>
          <w:spacing w:val="-3"/>
          <w:w w:val="100"/>
          <w:sz w:val="21"/>
        </w:rPr>
        <w:t>部</w:t>
      </w:r>
      <w:r>
        <w:rPr>
          <w:w w:val="100"/>
          <w:sz w:val="21"/>
        </w:rPr>
        <w:t>、</w:t>
      </w:r>
      <w:r>
        <w:rPr>
          <w:spacing w:val="-3"/>
          <w:w w:val="100"/>
          <w:sz w:val="21"/>
        </w:rPr>
        <w:t>颏</w:t>
      </w:r>
      <w:r>
        <w:rPr>
          <w:w w:val="100"/>
          <w:sz w:val="21"/>
        </w:rPr>
        <w:t>部</w:t>
      </w:r>
      <w:r>
        <w:rPr>
          <w:spacing w:val="-3"/>
          <w:w w:val="100"/>
          <w:sz w:val="21"/>
        </w:rPr>
        <w:t>、</w:t>
      </w:r>
      <w:r>
        <w:rPr>
          <w:w w:val="100"/>
          <w:sz w:val="21"/>
        </w:rPr>
        <w:t>颧</w:t>
      </w:r>
      <w:r>
        <w:rPr>
          <w:spacing w:val="-3"/>
          <w:w w:val="100"/>
          <w:sz w:val="21"/>
        </w:rPr>
        <w:t>部</w:t>
      </w:r>
      <w:r>
        <w:rPr>
          <w:w w:val="100"/>
          <w:sz w:val="21"/>
        </w:rPr>
        <w:t>、颊</w:t>
      </w:r>
      <w:r>
        <w:rPr>
          <w:spacing w:val="-3"/>
          <w:w w:val="100"/>
          <w:sz w:val="21"/>
        </w:rPr>
        <w:t>部</w:t>
      </w:r>
      <w:r>
        <w:rPr>
          <w:w w:val="100"/>
          <w:sz w:val="21"/>
        </w:rPr>
        <w:t>和</w:t>
      </w:r>
      <w:r>
        <w:rPr>
          <w:spacing w:val="-3"/>
          <w:w w:val="100"/>
          <w:sz w:val="21"/>
        </w:rPr>
        <w:t>腮</w:t>
      </w:r>
      <w:r>
        <w:rPr>
          <w:w w:val="100"/>
          <w:sz w:val="21"/>
        </w:rPr>
        <w:t>腺</w:t>
      </w:r>
      <w:r>
        <w:rPr>
          <w:spacing w:val="-3"/>
          <w:w w:val="100"/>
          <w:sz w:val="21"/>
        </w:rPr>
        <w:t>咬</w:t>
      </w:r>
      <w:r>
        <w:rPr>
          <w:w w:val="100"/>
          <w:sz w:val="21"/>
        </w:rPr>
        <w:t>肌</w:t>
      </w:r>
      <w:r>
        <w:rPr>
          <w:spacing w:val="-3"/>
          <w:w w:val="100"/>
          <w:sz w:val="21"/>
        </w:rPr>
        <w:t>部</w:t>
      </w:r>
      <w:r>
        <w:rPr>
          <w:w w:val="100"/>
          <w:sz w:val="21"/>
        </w:rPr>
        <w:t>。</w:t>
      </w:r>
    </w:p>
    <w:p>
      <w:pPr>
        <w:pStyle w:val="Heading2"/>
        <w:spacing w:line="360" w:lineRule="exact"/>
      </w:pPr>
      <w:r>
        <w:rPr>
          <w:spacing w:val="-3"/>
        </w:rPr>
        <w:t>因酸碱化学品导致的面部烧伤不在保障范围内。</w:t>
      </w:r>
    </w:p>
    <w:p>
      <w:pPr>
        <w:pStyle w:val="BodyText"/>
        <w:spacing w:before="11"/>
        <w:rPr>
          <w:rFonts w:ascii="微软雅黑"/>
          <w:b/>
          <w:sz w:val="12"/>
        </w:rPr>
      </w:pPr>
    </w:p>
    <w:p>
      <w:pPr>
        <w:spacing w:after="0"/>
        <w:rPr>
          <w:rFonts w:ascii="微软雅黑"/>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中度类风湿性</w:t>
      </w:r>
      <w:r>
        <w:rPr>
          <w:spacing w:val="-4"/>
          <w:sz w:val="21"/>
        </w:rPr>
        <w:t>关节炎</w:t>
      </w:r>
    </w:p>
    <w:p>
      <w:pPr>
        <w:pStyle w:val="BodyText"/>
        <w:spacing w:line="278" w:lineRule="auto" w:before="72"/>
        <w:ind w:left="175" w:right="560"/>
      </w:pPr>
      <w:r>
        <w:rPr/>
        <w:br w:type="column"/>
      </w:r>
      <w:r>
        <w:rPr>
          <w:spacing w:val="-3"/>
          <w:w w:val="100"/>
        </w:rPr>
        <w:t>类风湿性关节炎为广泛分布的慢性进行性多关节病变，表现为关节严重变形，</w:t>
      </w:r>
      <w:r>
        <w:rPr>
          <w:w w:val="100"/>
        </w:rPr>
        <w:t>侵犯两个主要关节或关节组</w:t>
      </w:r>
      <w:r>
        <w:rPr>
          <w:spacing w:val="2"/>
          <w:w w:val="100"/>
        </w:rPr>
        <w:t>（如：双手（</w:t>
      </w:r>
      <w:r>
        <w:rPr>
          <w:spacing w:val="1"/>
          <w:w w:val="100"/>
        </w:rPr>
        <w:t>多手指</w:t>
      </w:r>
      <w:r>
        <w:rPr>
          <w:w w:val="100"/>
        </w:rPr>
        <w:t>）</w:t>
      </w:r>
      <w:r>
        <w:rPr>
          <w:spacing w:val="2"/>
          <w:w w:val="100"/>
        </w:rPr>
        <w:t>关节、双足（</w:t>
      </w:r>
      <w:r>
        <w:rPr>
          <w:spacing w:val="1"/>
          <w:w w:val="100"/>
        </w:rPr>
        <w:t>多足趾</w:t>
      </w:r>
      <w:r>
        <w:rPr>
          <w:spacing w:val="2"/>
          <w:w w:val="100"/>
        </w:rPr>
        <w:t>）关</w:t>
      </w:r>
      <w:r>
        <w:rPr>
          <w:spacing w:val="-3"/>
          <w:w w:val="100"/>
        </w:rPr>
        <w:t>节、双腕关节、双膝关节和双髋关节</w:t>
      </w:r>
      <w:r>
        <w:rPr>
          <w:w w:val="100"/>
        </w:rPr>
        <w:t>）</w:t>
      </w:r>
      <w:r>
        <w:rPr>
          <w:spacing w:val="-3"/>
          <w:w w:val="100"/>
        </w:rPr>
        <w:t>，且被保险人满足至少</w:t>
      </w:r>
      <w:r>
        <w:rPr>
          <w:spacing w:val="-2"/>
        </w:rPr>
        <w:t> </w:t>
      </w:r>
      <w:r>
        <w:rPr>
          <w:spacing w:val="-3"/>
          <w:w w:val="100"/>
        </w:rPr>
        <w:t>1</w:t>
      </w:r>
      <w:r>
        <w:rPr>
          <w:w w:val="100"/>
        </w:rPr>
        <w:t>80</w:t>
      </w:r>
      <w:r>
        <w:rPr>
          <w:spacing w:val="-2"/>
        </w:rPr>
        <w:t> </w:t>
      </w:r>
      <w:r>
        <w:rPr>
          <w:spacing w:val="-3"/>
          <w:w w:val="100"/>
        </w:rPr>
        <w:t>天无法独立完成六项基本日常生活活动中的两项或两项以上。</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spacing w:before="10"/>
        <w:rPr>
          <w:sz w:val="18"/>
        </w:rPr>
      </w:pPr>
    </w:p>
    <w:p>
      <w:pPr>
        <w:spacing w:after="0"/>
        <w:rPr>
          <w:sz w:val="1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中度肠道疾病</w:t>
      </w:r>
      <w:r>
        <w:rPr>
          <w:spacing w:val="-4"/>
          <w:sz w:val="21"/>
        </w:rPr>
        <w:t>并发症</w:t>
      </w:r>
    </w:p>
    <w:p>
      <w:pPr>
        <w:pStyle w:val="BodyText"/>
        <w:spacing w:before="72"/>
        <w:ind w:left="175"/>
      </w:pPr>
      <w:r>
        <w:rPr/>
        <w:br w:type="column"/>
      </w:r>
      <w:r>
        <w:rPr>
          <w:spacing w:val="-3"/>
        </w:rPr>
        <w:t>严重肠道疾病或外伤导致小肠损害并发症，本疾病须满足以下所有条件：</w:t>
      </w:r>
    </w:p>
    <w:p>
      <w:pPr>
        <w:pStyle w:val="ListParagraph"/>
        <w:numPr>
          <w:ilvl w:val="0"/>
          <w:numId w:val="45"/>
        </w:numPr>
        <w:tabs>
          <w:tab w:pos="705" w:val="left" w:leader="none"/>
        </w:tabs>
        <w:spacing w:line="240" w:lineRule="auto" w:before="43" w:after="0"/>
        <w:ind w:left="704" w:right="0" w:hanging="530"/>
        <w:jc w:val="left"/>
        <w:rPr>
          <w:sz w:val="21"/>
        </w:rPr>
      </w:pPr>
      <w:r>
        <w:rPr>
          <w:spacing w:val="-3"/>
          <w:sz w:val="21"/>
        </w:rPr>
        <w:t>至少切除了二分之一小肠；</w:t>
      </w:r>
    </w:p>
    <w:p>
      <w:pPr>
        <w:pStyle w:val="ListParagraph"/>
        <w:numPr>
          <w:ilvl w:val="0"/>
          <w:numId w:val="45"/>
        </w:numPr>
        <w:tabs>
          <w:tab w:pos="705" w:val="left" w:leader="none"/>
        </w:tabs>
        <w:spacing w:line="257" w:lineRule="exact" w:before="42" w:after="0"/>
        <w:ind w:left="704" w:right="0" w:hanging="530"/>
        <w:jc w:val="left"/>
        <w:rPr>
          <w:sz w:val="21"/>
        </w:rPr>
      </w:pPr>
      <w:r>
        <w:rPr>
          <w:spacing w:val="-3"/>
          <w:sz w:val="21"/>
        </w:rPr>
        <w:t>完全肠外营养支持二个月以上。</w:t>
      </w:r>
    </w:p>
    <w:p>
      <w:pPr>
        <w:pStyle w:val="Heading2"/>
        <w:spacing w:line="375" w:lineRule="exact"/>
        <w:ind w:left="175"/>
      </w:pPr>
      <w:r>
        <w:rPr>
          <w:spacing w:val="-3"/>
        </w:rPr>
        <w:t>因克隆病导致的中度肠道疾病并发症不在保障范围内。</w:t>
      </w:r>
    </w:p>
    <w:p>
      <w:pPr>
        <w:spacing w:after="0" w:line="375" w:lineRule="exact"/>
        <w:sectPr>
          <w:type w:val="continuous"/>
          <w:pgSz w:w="11910" w:h="16840"/>
          <w:pgMar w:header="0" w:footer="406" w:top="600" w:bottom="280" w:left="900" w:right="340"/>
          <w:cols w:num="2" w:equalWidth="0">
            <w:col w:w="2745" w:space="40"/>
            <w:col w:w="7885"/>
          </w:cols>
        </w:sectPr>
      </w:pPr>
    </w:p>
    <w:p>
      <w:pPr>
        <w:pStyle w:val="ListParagraph"/>
        <w:numPr>
          <w:ilvl w:val="2"/>
          <w:numId w:val="40"/>
        </w:numPr>
        <w:tabs>
          <w:tab w:pos="1412" w:val="left" w:leader="none"/>
        </w:tabs>
        <w:spacing w:line="278" w:lineRule="auto" w:before="49" w:after="0"/>
        <w:ind w:left="1080" w:right="0" w:firstLine="0"/>
        <w:jc w:val="left"/>
        <w:rPr>
          <w:sz w:val="21"/>
        </w:rPr>
      </w:pPr>
      <w:r>
        <w:rPr>
          <w:spacing w:val="8"/>
          <w:sz w:val="21"/>
        </w:rPr>
        <w:t>中度进行性核</w:t>
      </w:r>
      <w:r>
        <w:rPr>
          <w:spacing w:val="-4"/>
          <w:sz w:val="21"/>
        </w:rPr>
        <w:t>上性麻痹</w:t>
      </w:r>
    </w:p>
    <w:p>
      <w:pPr>
        <w:pStyle w:val="BodyText"/>
        <w:spacing w:line="278" w:lineRule="auto" w:before="49"/>
        <w:ind w:left="175" w:right="667"/>
      </w:pPr>
      <w:r>
        <w:rPr/>
        <w:br w:type="column"/>
      </w:r>
      <w:r>
        <w:rPr>
          <w:spacing w:val="-2"/>
        </w:rPr>
        <w:t>指一种隐袭起病、逐渐加重的神经系统变性疾病。该病必须在本公司认可的</w:t>
      </w:r>
      <w:r>
        <w:rPr>
          <w:spacing w:val="-2"/>
        </w:rPr>
        <w:t>医疗机构内由神经科专科医生确诊，并须满足下列所有条件：</w:t>
      </w:r>
    </w:p>
    <w:p>
      <w:pPr>
        <w:pStyle w:val="ListParagraph"/>
        <w:numPr>
          <w:ilvl w:val="0"/>
          <w:numId w:val="46"/>
        </w:numPr>
        <w:tabs>
          <w:tab w:pos="705" w:val="left" w:leader="none"/>
        </w:tabs>
        <w:spacing w:line="240" w:lineRule="auto" w:before="0" w:after="0"/>
        <w:ind w:left="704" w:right="0" w:hanging="530"/>
        <w:jc w:val="left"/>
        <w:rPr>
          <w:sz w:val="21"/>
        </w:rPr>
      </w:pPr>
      <w:r>
        <w:rPr>
          <w:spacing w:val="-4"/>
          <w:sz w:val="21"/>
        </w:rPr>
        <w:t>步态共济失调；</w:t>
      </w:r>
    </w:p>
    <w:p>
      <w:pPr>
        <w:pStyle w:val="ListParagraph"/>
        <w:numPr>
          <w:ilvl w:val="0"/>
          <w:numId w:val="46"/>
        </w:numPr>
        <w:tabs>
          <w:tab w:pos="705" w:val="left" w:leader="none"/>
        </w:tabs>
        <w:spacing w:line="240" w:lineRule="auto" w:before="43" w:after="0"/>
        <w:ind w:left="704" w:right="0" w:hanging="530"/>
        <w:jc w:val="left"/>
        <w:rPr>
          <w:sz w:val="21"/>
        </w:rPr>
      </w:pPr>
      <w:r>
        <w:rPr>
          <w:spacing w:val="-3"/>
          <w:sz w:val="21"/>
        </w:rPr>
        <w:t>对称性眼球垂直运动障碍；</w:t>
      </w:r>
    </w:p>
    <w:p>
      <w:pPr>
        <w:pStyle w:val="ListParagraph"/>
        <w:numPr>
          <w:ilvl w:val="0"/>
          <w:numId w:val="46"/>
        </w:numPr>
        <w:tabs>
          <w:tab w:pos="705" w:val="left" w:leader="none"/>
        </w:tabs>
        <w:spacing w:line="240" w:lineRule="auto" w:before="43" w:after="0"/>
        <w:ind w:left="704" w:right="0" w:hanging="530"/>
        <w:jc w:val="left"/>
        <w:rPr>
          <w:sz w:val="21"/>
        </w:rPr>
      </w:pPr>
      <w:r>
        <w:rPr>
          <w:spacing w:val="-3"/>
          <w:sz w:val="21"/>
        </w:rPr>
        <w:t>假性球麻痹，表现为构音障碍和吞咽困难；</w:t>
      </w:r>
    </w:p>
    <w:p>
      <w:pPr>
        <w:pStyle w:val="ListParagraph"/>
        <w:numPr>
          <w:ilvl w:val="0"/>
          <w:numId w:val="46"/>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after="0" w:line="278" w:lineRule="auto"/>
        <w:jc w:val="left"/>
        <w:rPr>
          <w:sz w:val="21"/>
        </w:rPr>
        <w:sectPr>
          <w:pgSz w:w="11910" w:h="16840"/>
          <w:pgMar w:header="0" w:footer="406" w:top="1400" w:bottom="600" w:left="900" w:right="340"/>
          <w:cols w:num="2" w:equalWidth="0">
            <w:col w:w="2745" w:space="40"/>
            <w:col w:w="7885"/>
          </w:cols>
        </w:sectPr>
      </w:pPr>
    </w:p>
    <w:p>
      <w:pPr>
        <w:pStyle w:val="BodyText"/>
        <w:spacing w:before="9"/>
        <w:rPr>
          <w:sz w:val="18"/>
        </w:rPr>
      </w:pPr>
    </w:p>
    <w:p>
      <w:pPr>
        <w:pStyle w:val="ListParagraph"/>
        <w:numPr>
          <w:ilvl w:val="2"/>
          <w:numId w:val="40"/>
        </w:numPr>
        <w:tabs>
          <w:tab w:pos="1399" w:val="left" w:leader="none"/>
        </w:tabs>
        <w:spacing w:line="278" w:lineRule="auto" w:before="72" w:after="0"/>
        <w:ind w:left="2960" w:right="666" w:hanging="1880"/>
        <w:jc w:val="both"/>
        <w:rPr>
          <w:sz w:val="21"/>
        </w:rPr>
      </w:pPr>
      <w:r>
        <w:rPr>
          <w:sz w:val="21"/>
        </w:rPr>
        <w:t>中度克雅氏症 指一种传染性海绵状脑病，临床表现为快速进行性痴呆、肌阵挛和特征性脑</w:t>
      </w:r>
      <w:r>
        <w:rPr>
          <w:spacing w:val="-2"/>
          <w:sz w:val="21"/>
        </w:rPr>
        <w:t>电图变化。该病必须在本公司认可的医疗机构内由专科医生根据世界卫生组</w:t>
      </w:r>
      <w:r>
        <w:rPr>
          <w:sz w:val="21"/>
        </w:rPr>
        <w:t>织（WHO</w:t>
      </w:r>
      <w:r>
        <w:rPr>
          <w:spacing w:val="-5"/>
          <w:sz w:val="21"/>
        </w:rPr>
        <w:t>， </w:t>
      </w:r>
      <w:r>
        <w:rPr>
          <w:sz w:val="21"/>
        </w:rPr>
        <w:t>World</w:t>
      </w:r>
      <w:r>
        <w:rPr>
          <w:spacing w:val="-10"/>
          <w:sz w:val="21"/>
        </w:rPr>
        <w:t> </w:t>
      </w:r>
      <w:r>
        <w:rPr>
          <w:sz w:val="21"/>
        </w:rPr>
        <w:t>Health</w:t>
      </w:r>
      <w:r>
        <w:rPr>
          <w:spacing w:val="-13"/>
          <w:sz w:val="21"/>
        </w:rPr>
        <w:t> </w:t>
      </w:r>
      <w:r>
        <w:rPr>
          <w:sz w:val="21"/>
        </w:rPr>
        <w:t>Organization）诊断标准明确诊断，且被保险人自</w:t>
      </w:r>
      <w:r>
        <w:rPr>
          <w:spacing w:val="-2"/>
          <w:sz w:val="21"/>
        </w:rPr>
        <w:t>主生活能力完全丧失，无法独立完成六项基本日常生活活动中的两项或两项</w:t>
      </w:r>
      <w:r>
        <w:rPr>
          <w:spacing w:val="-4"/>
          <w:sz w:val="21"/>
        </w:rPr>
        <w:t>以上。</w:t>
      </w:r>
    </w:p>
    <w:p>
      <w:pPr>
        <w:pStyle w:val="BodyText"/>
        <w:spacing w:before="10"/>
        <w:rPr>
          <w:sz w:val="18"/>
        </w:rPr>
      </w:pPr>
    </w:p>
    <w:p>
      <w:pPr>
        <w:spacing w:after="0"/>
        <w:rPr>
          <w:sz w:val="1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中度脊髓小脑</w:t>
      </w:r>
      <w:r>
        <w:rPr>
          <w:spacing w:val="-4"/>
          <w:sz w:val="21"/>
        </w:rPr>
        <w:t>变性症</w:t>
      </w:r>
    </w:p>
    <w:p>
      <w:pPr>
        <w:pStyle w:val="BodyText"/>
        <w:spacing w:line="278" w:lineRule="auto" w:before="71"/>
        <w:ind w:left="175" w:right="767"/>
      </w:pPr>
      <w:r>
        <w:rPr/>
        <w:br w:type="column"/>
      </w:r>
      <w:r>
        <w:rPr>
          <w:spacing w:val="-2"/>
        </w:rPr>
        <w:t>中度脊髓小脑变性症为一组以小脑萎缩和共济失调为主要临床特点的疾病。</w:t>
      </w:r>
      <w:r>
        <w:rPr>
          <w:spacing w:val="-2"/>
        </w:rPr>
        <w:t>必须符合所有以下条件：</w:t>
      </w:r>
    </w:p>
    <w:p>
      <w:pPr>
        <w:pStyle w:val="ListParagraph"/>
        <w:numPr>
          <w:ilvl w:val="0"/>
          <w:numId w:val="47"/>
        </w:numPr>
        <w:tabs>
          <w:tab w:pos="705" w:val="left" w:leader="none"/>
        </w:tabs>
        <w:spacing w:line="269" w:lineRule="exact" w:before="0" w:after="0"/>
        <w:ind w:left="704" w:right="0" w:hanging="530"/>
        <w:jc w:val="left"/>
        <w:rPr>
          <w:sz w:val="21"/>
        </w:rPr>
      </w:pPr>
      <w:r>
        <w:rPr>
          <w:spacing w:val="-3"/>
          <w:sz w:val="21"/>
        </w:rPr>
        <w:t>脊髓小脑变性症必须由医院诊断，并有以下证据支持：</w:t>
      </w:r>
    </w:p>
    <w:p>
      <w:pPr>
        <w:pStyle w:val="BodyText"/>
        <w:spacing w:before="43"/>
        <w:ind w:left="700"/>
      </w:pPr>
      <w:r>
        <w:rPr>
          <w:spacing w:val="-6"/>
        </w:rPr>
        <w:t>① 影像学检查证实存在小脑萎缩；</w:t>
      </w:r>
    </w:p>
    <w:p>
      <w:pPr>
        <w:pStyle w:val="BodyText"/>
        <w:spacing w:before="43"/>
        <w:ind w:left="700"/>
      </w:pPr>
      <w:r>
        <w:rPr>
          <w:spacing w:val="-3"/>
        </w:rPr>
        <w:t>② 临床表现存在共济失调、语言障碍和肌张力异常。</w:t>
      </w:r>
    </w:p>
    <w:p>
      <w:pPr>
        <w:pStyle w:val="ListParagraph"/>
        <w:numPr>
          <w:ilvl w:val="0"/>
          <w:numId w:val="47"/>
        </w:numPr>
        <w:tabs>
          <w:tab w:pos="702" w:val="left" w:leader="none"/>
        </w:tabs>
        <w:spacing w:line="278" w:lineRule="auto" w:before="43" w:after="0"/>
        <w:ind w:left="700" w:right="668" w:hanging="526"/>
        <w:jc w:val="left"/>
        <w:rPr>
          <w:sz w:val="21"/>
        </w:rPr>
      </w:pPr>
      <w:r>
        <w:rPr>
          <w:spacing w:val="-2"/>
          <w:sz w:val="21"/>
        </w:rPr>
        <w:t>被保险人运动功能严重障碍，自主生活能力完全丧失，无法独立完成六</w:t>
      </w:r>
      <w:r>
        <w:rPr>
          <w:spacing w:val="-2"/>
          <w:sz w:val="21"/>
        </w:rPr>
        <w:t>项基本日常生活活动中的两项项或两项项以上。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10"/>
        <w:rPr>
          <w:sz w:val="18"/>
        </w:rPr>
      </w:pPr>
    </w:p>
    <w:p>
      <w:pPr>
        <w:spacing w:after="0"/>
        <w:rPr>
          <w:sz w:val="1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中度强直性脊</w:t>
      </w:r>
      <w:r>
        <w:rPr>
          <w:spacing w:val="-6"/>
          <w:sz w:val="21"/>
        </w:rPr>
        <w:t>柱炎</w:t>
      </w:r>
    </w:p>
    <w:p>
      <w:pPr>
        <w:pStyle w:val="BodyText"/>
        <w:spacing w:line="312" w:lineRule="exact" w:before="32"/>
        <w:ind w:left="175" w:right="667"/>
        <w:jc w:val="both"/>
      </w:pPr>
      <w:r>
        <w:rPr/>
        <w:br w:type="column"/>
      </w:r>
      <w:r>
        <w:rPr>
          <w:spacing w:val="-2"/>
        </w:rPr>
        <w:t>是一种慢性全身性炎性疾病，主要侵犯脊柱导致脊柱畸形。强直性脊柱炎必</w:t>
      </w:r>
      <w:r>
        <w:rPr>
          <w:spacing w:val="-2"/>
        </w:rPr>
        <w:t>须在本公司认可的医疗机构内由专科医生明确诊断，并且满足下列所有条件</w:t>
      </w:r>
      <w:r>
        <w:rPr>
          <w:spacing w:val="-2"/>
        </w:rPr>
        <w:t>且未达到重大疾病“</w:t>
      </w:r>
      <w:r>
        <w:rPr>
          <w:rFonts w:ascii="微软雅黑" w:hAnsi="微软雅黑" w:eastAsia="微软雅黑"/>
          <w:b/>
          <w:spacing w:val="-2"/>
        </w:rPr>
        <w:t>严重强直性脊柱炎</w:t>
      </w:r>
      <w:r>
        <w:rPr>
          <w:spacing w:val="-2"/>
        </w:rPr>
        <w:t>”的给付标准：</w:t>
      </w:r>
    </w:p>
    <w:p>
      <w:pPr>
        <w:pStyle w:val="ListParagraph"/>
        <w:numPr>
          <w:ilvl w:val="0"/>
          <w:numId w:val="48"/>
        </w:numPr>
        <w:tabs>
          <w:tab w:pos="705" w:val="left" w:leader="none"/>
        </w:tabs>
        <w:spacing w:line="240" w:lineRule="auto" w:before="40" w:after="0"/>
        <w:ind w:left="704" w:right="0" w:hanging="530"/>
        <w:jc w:val="left"/>
        <w:rPr>
          <w:sz w:val="21"/>
        </w:rPr>
      </w:pPr>
      <w:r>
        <w:rPr>
          <w:spacing w:val="-4"/>
          <w:sz w:val="21"/>
        </w:rPr>
        <w:t>严重脊柱畸形；</w:t>
      </w:r>
    </w:p>
    <w:p>
      <w:pPr>
        <w:pStyle w:val="ListParagraph"/>
        <w:numPr>
          <w:ilvl w:val="0"/>
          <w:numId w:val="48"/>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9"/>
        <w:rPr>
          <w:sz w:val="18"/>
        </w:rPr>
      </w:pPr>
    </w:p>
    <w:p>
      <w:pPr>
        <w:spacing w:after="0"/>
        <w:rPr>
          <w:sz w:val="1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中度多发性硬</w:t>
      </w:r>
      <w:r>
        <w:rPr>
          <w:spacing w:val="-10"/>
          <w:sz w:val="21"/>
        </w:rPr>
        <w:t>化</w:t>
      </w:r>
    </w:p>
    <w:p>
      <w:pPr>
        <w:pStyle w:val="BodyText"/>
        <w:spacing w:line="312" w:lineRule="exact" w:before="32"/>
        <w:ind w:left="175" w:right="666"/>
        <w:jc w:val="both"/>
      </w:pPr>
      <w:r>
        <w:rPr/>
        <w:br w:type="column"/>
      </w:r>
      <w:r>
        <w:rPr>
          <w:spacing w:val="-2"/>
        </w:rPr>
        <w:t>被保险人因脑及脊髓内的脱髓鞘病变而出现神经系统多灶性（多发性）多时</w:t>
      </w:r>
      <w:r>
        <w:rPr/>
        <w:t>相（</w:t>
      </w:r>
      <w:r>
        <w:rPr>
          <w:spacing w:val="-6"/>
        </w:rPr>
        <w:t>至少 </w:t>
      </w:r>
      <w:r>
        <w:rPr/>
        <w:t>6</w:t>
      </w:r>
      <w:r>
        <w:rPr>
          <w:spacing w:val="-4"/>
        </w:rPr>
        <w:t> 个月以内有一次以上</w:t>
      </w:r>
      <w:r>
        <w:rPr/>
        <w:t>（不包含一次）的发作）的病变，须由计算</w:t>
      </w:r>
      <w:r>
        <w:rPr>
          <w:spacing w:val="-2"/>
        </w:rPr>
        <w:t>机断层扫描（CT）、核磁共振检查（MRI）或正电子发射断层扫描（PET）</w:t>
      </w:r>
      <w:r>
        <w:rPr>
          <w:spacing w:val="-2"/>
        </w:rPr>
        <w:t>等</w:t>
      </w:r>
      <w:r>
        <w:rPr>
          <w:spacing w:val="-2"/>
        </w:rPr>
        <w:t>影像学检查证实，已经造成自主生活能力完全丧失，且未达到重大疾病“</w:t>
      </w:r>
      <w:r>
        <w:rPr>
          <w:rFonts w:ascii="微软雅黑" w:hAnsi="微软雅黑" w:eastAsia="微软雅黑"/>
          <w:b/>
          <w:spacing w:val="-2"/>
        </w:rPr>
        <w:t>严</w:t>
      </w:r>
      <w:r>
        <w:rPr>
          <w:rFonts w:ascii="微软雅黑" w:hAnsi="微软雅黑" w:eastAsia="微软雅黑"/>
          <w:b/>
          <w:spacing w:val="-2"/>
        </w:rPr>
        <w:t>重多发性硬化</w:t>
      </w:r>
      <w:r>
        <w:rPr>
          <w:spacing w:val="-2"/>
        </w:rPr>
        <w:t>”的给付标准，无法独立完成六项基本日常生活活动中的两项</w:t>
      </w:r>
      <w:r>
        <w:rPr>
          <w:spacing w:val="-2"/>
        </w:rPr>
        <w:t>或两项以上，持续至少 </w:t>
      </w:r>
      <w:r>
        <w:rPr/>
        <w:t>180</w:t>
      </w:r>
      <w:r>
        <w:rPr>
          <w:spacing w:val="-7"/>
        </w:rPr>
        <w:t> 天。</w:t>
      </w:r>
    </w:p>
    <w:p>
      <w:pPr>
        <w:spacing w:after="0" w:line="312" w:lineRule="exact"/>
        <w:jc w:val="both"/>
        <w:sectPr>
          <w:type w:val="continuous"/>
          <w:pgSz w:w="11910" w:h="16840"/>
          <w:pgMar w:header="0" w:footer="406" w:top="600" w:bottom="280" w:left="900" w:right="340"/>
          <w:cols w:num="2" w:equalWidth="0">
            <w:col w:w="2745" w:space="40"/>
            <w:col w:w="7885"/>
          </w:cols>
        </w:sectPr>
      </w:pPr>
    </w:p>
    <w:p>
      <w:pPr>
        <w:pStyle w:val="BodyText"/>
        <w:spacing w:before="11"/>
      </w:pPr>
    </w:p>
    <w:p>
      <w:pPr>
        <w:spacing w:after="0"/>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中度重症肌无</w:t>
      </w:r>
      <w:r>
        <w:rPr>
          <w:spacing w:val="-10"/>
          <w:sz w:val="21"/>
        </w:rPr>
        <w:t>力</w:t>
      </w:r>
    </w:p>
    <w:p>
      <w:pPr>
        <w:pStyle w:val="BodyText"/>
        <w:spacing w:line="278" w:lineRule="auto" w:before="72"/>
        <w:ind w:left="175" w:right="666"/>
        <w:jc w:val="both"/>
      </w:pPr>
      <w:r>
        <w:rPr/>
        <w:br w:type="column"/>
      </w:r>
      <w:r>
        <w:rPr>
          <w:spacing w:val="-2"/>
        </w:rPr>
        <w:t>是一种神经与肌肉接头部位传递障碍的自身免疫性疾病，临床特征是局部或</w:t>
      </w:r>
      <w:r>
        <w:rPr>
          <w:spacing w:val="-2"/>
        </w:rPr>
        <w:t>全身横纹肌于活动时易于疲劳无力，颅神经眼外肌最易累及，也可涉及呼吸</w:t>
      </w:r>
      <w:r>
        <w:rPr>
          <w:spacing w:val="-1"/>
        </w:rPr>
        <w:t>肌、下肢近端肌群以至全身肌肉。该病必须在本公司认可医院内由专科医生</w:t>
      </w:r>
    </w:p>
    <w:p>
      <w:pPr>
        <w:pStyle w:val="BodyText"/>
        <w:spacing w:line="228" w:lineRule="auto" w:before="11"/>
        <w:ind w:left="175" w:right="666"/>
        <w:jc w:val="both"/>
      </w:pPr>
      <w:r>
        <w:rPr>
          <w:spacing w:val="-2"/>
        </w:rPr>
        <w:t>明确诊断，且疾病确诊 </w:t>
      </w:r>
      <w:r>
        <w:rPr/>
        <w:t>180</w:t>
      </w:r>
      <w:r>
        <w:rPr>
          <w:spacing w:val="-4"/>
        </w:rPr>
        <w:t> 天后，仍然存在自主生活能力部分丧失，且未达</w:t>
      </w:r>
      <w:r>
        <w:rPr>
          <w:spacing w:val="-2"/>
        </w:rPr>
        <w:t>到重大疾病“</w:t>
      </w:r>
      <w:r>
        <w:rPr>
          <w:rFonts w:ascii="微软雅黑" w:hAnsi="微软雅黑" w:eastAsia="微软雅黑"/>
          <w:b/>
          <w:spacing w:val="-2"/>
        </w:rPr>
        <w:t>严重全身性重症肌无力</w:t>
      </w:r>
      <w:r>
        <w:rPr>
          <w:spacing w:val="-2"/>
        </w:rPr>
        <w:t>”的给付标准，无法独立完成六项基本</w:t>
      </w:r>
      <w:r>
        <w:rPr>
          <w:spacing w:val="-2"/>
        </w:rPr>
        <w:t>日常生活活动中的两项或两项以上。</w:t>
      </w:r>
    </w:p>
    <w:p>
      <w:pPr>
        <w:spacing w:after="0" w:line="228" w:lineRule="auto"/>
        <w:jc w:val="both"/>
        <w:sectPr>
          <w:type w:val="continuous"/>
          <w:pgSz w:w="11910" w:h="16840"/>
          <w:pgMar w:header="0" w:footer="406" w:top="600" w:bottom="280" w:left="900" w:right="340"/>
          <w:cols w:num="2" w:equalWidth="0">
            <w:col w:w="2745" w:space="40"/>
            <w:col w:w="7885"/>
          </w:cols>
        </w:sectPr>
      </w:pPr>
    </w:p>
    <w:p>
      <w:pPr>
        <w:pStyle w:val="BodyText"/>
        <w:spacing w:before="10"/>
        <w:rPr>
          <w:sz w:val="15"/>
        </w:rPr>
      </w:pPr>
    </w:p>
    <w:p>
      <w:pPr>
        <w:pStyle w:val="Heading2"/>
        <w:numPr>
          <w:ilvl w:val="1"/>
          <w:numId w:val="40"/>
        </w:numPr>
        <w:tabs>
          <w:tab w:pos="1080" w:val="left" w:leader="none"/>
          <w:tab w:pos="1081" w:val="left" w:leader="none"/>
          <w:tab w:pos="2960" w:val="left" w:leader="none"/>
        </w:tabs>
        <w:spacing w:line="194" w:lineRule="auto" w:before="57" w:after="0"/>
        <w:ind w:left="2960" w:right="668" w:hanging="2733"/>
        <w:jc w:val="left"/>
      </w:pPr>
      <w:r>
        <w:rPr>
          <w:spacing w:val="-2"/>
        </w:rPr>
        <w:t>重</w:t>
      </w:r>
      <w:r>
        <w:rPr>
          <w:spacing w:val="-2"/>
        </w:rPr>
        <w:t>大</w:t>
      </w:r>
      <w:r>
        <w:rPr>
          <w:spacing w:val="-2"/>
        </w:rPr>
        <w:t>疾</w:t>
      </w:r>
      <w:r>
        <w:rPr>
          <w:spacing w:val="-2"/>
        </w:rPr>
        <w:t>病</w:t>
      </w:r>
      <w:r>
        <w:rPr>
          <w:spacing w:val="-2"/>
        </w:rPr>
        <w:t>定</w:t>
      </w:r>
      <w:r>
        <w:rPr>
          <w:spacing w:val="-2"/>
        </w:rPr>
        <w:t>义</w:t>
      </w:r>
      <w:r>
        <w:rPr/>
        <w:tab/>
        <w:t>本合同保障的重大疾</w:t>
      </w:r>
      <w:r>
        <w:rPr/>
        <w:t>病共</w:t>
      </w:r>
      <w:r>
        <w:rPr>
          <w:spacing w:val="-5"/>
        </w:rPr>
        <w:t> </w:t>
      </w:r>
      <w:r>
        <w:rPr/>
        <w:t>110</w:t>
      </w:r>
      <w:r>
        <w:rPr>
          <w:spacing w:val="-4"/>
        </w:rPr>
        <w:t> </w:t>
      </w:r>
      <w:r>
        <w:rPr/>
        <w:t>种，是指被保险人在</w:t>
      </w:r>
      <w:r>
        <w:rPr/>
        <w:t>本公司认可的医疗机构</w:t>
      </w:r>
      <w:r>
        <w:rPr/>
        <w:t>内</w:t>
      </w:r>
      <w:r>
        <w:rPr>
          <w:spacing w:val="-2"/>
        </w:rPr>
        <w:t>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断的符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病、疾病</w:t>
      </w:r>
      <w:r>
        <w:rPr>
          <w:spacing w:val="-2"/>
        </w:rPr>
        <w:t>状</w:t>
      </w:r>
      <w:r>
        <w:rPr>
          <w:spacing w:val="-2"/>
        </w:rPr>
        <w:t>态</w:t>
      </w:r>
      <w:r>
        <w:rPr>
          <w:spacing w:val="-2"/>
        </w:rPr>
        <w:t>或</w:t>
      </w:r>
      <w:r>
        <w:rPr>
          <w:spacing w:val="-2"/>
        </w:rPr>
        <w:t>手</w:t>
      </w:r>
      <w:r>
        <w:rPr>
          <w:spacing w:val="-2"/>
        </w:rPr>
        <w:t>术</w:t>
      </w:r>
      <w:r>
        <w:rPr>
          <w:spacing w:val="-2"/>
        </w:rPr>
        <w:t>：其</w:t>
      </w:r>
      <w:r>
        <w:rPr>
          <w:spacing w:val="-2"/>
        </w:rPr>
        <w:t>中</w:t>
      </w:r>
      <w:r>
        <w:rPr>
          <w:spacing w:val="-2"/>
        </w:rPr>
        <w:t>前</w:t>
      </w:r>
      <w:r>
        <w:rPr>
          <w:spacing w:val="-14"/>
        </w:rPr>
        <w:t> </w:t>
      </w:r>
      <w:r>
        <w:rPr>
          <w:spacing w:val="-2"/>
        </w:rPr>
        <w:t>28</w:t>
      </w:r>
      <w:r>
        <w:rPr>
          <w:spacing w:val="-14"/>
        </w:rPr>
        <w:t> </w:t>
      </w:r>
      <w:r>
        <w:rPr>
          <w:spacing w:val="-2"/>
        </w:rPr>
        <w:t>种</w:t>
      </w:r>
    </w:p>
    <w:p>
      <w:pPr>
        <w:spacing w:after="0" w:line="194" w:lineRule="auto"/>
        <w:jc w:val="left"/>
        <w:sectPr>
          <w:type w:val="continuous"/>
          <w:pgSz w:w="11910" w:h="16840"/>
          <w:pgMar w:header="0" w:footer="406" w:top="600" w:bottom="280" w:left="900" w:right="340"/>
        </w:sectPr>
      </w:pPr>
    </w:p>
    <w:p>
      <w:pPr>
        <w:spacing w:line="194" w:lineRule="auto" w:before="42"/>
        <w:ind w:left="2960" w:right="668" w:firstLine="0"/>
        <w:jc w:val="both"/>
        <w:rPr>
          <w:rFonts w:ascii="微软雅黑" w:eastAsia="微软雅黑"/>
          <w:b/>
          <w:sz w:val="21"/>
        </w:rPr>
      </w:pPr>
      <w:r>
        <w:rPr>
          <w:rFonts w:ascii="微软雅黑" w:eastAsia="微软雅黑"/>
          <w:b/>
          <w:spacing w:val="-3"/>
          <w:w w:val="100"/>
          <w:sz w:val="21"/>
        </w:rPr>
        <w:t>重大疾病与《重大疾病保险的疾病定义使用规范</w:t>
      </w:r>
      <w:r>
        <w:rPr>
          <w:rFonts w:ascii="微软雅黑" w:eastAsia="微软雅黑"/>
          <w:b/>
          <w:w w:val="100"/>
          <w:sz w:val="21"/>
        </w:rPr>
        <w:t>（</w:t>
      </w:r>
      <w:r>
        <w:rPr>
          <w:rFonts w:ascii="微软雅黑" w:eastAsia="微软雅黑"/>
          <w:b/>
          <w:spacing w:val="-3"/>
          <w:w w:val="81"/>
          <w:sz w:val="21"/>
        </w:rPr>
        <w:t>2</w:t>
      </w:r>
      <w:r>
        <w:rPr>
          <w:rFonts w:ascii="微软雅黑" w:eastAsia="微软雅黑"/>
          <w:b/>
          <w:w w:val="81"/>
          <w:sz w:val="21"/>
        </w:rPr>
        <w:t>020</w:t>
      </w:r>
      <w:r>
        <w:rPr>
          <w:rFonts w:ascii="微软雅黑" w:eastAsia="微软雅黑"/>
          <w:b/>
          <w:spacing w:val="12"/>
          <w:sz w:val="21"/>
        </w:rPr>
        <w:t> </w:t>
      </w:r>
      <w:r>
        <w:rPr>
          <w:rFonts w:ascii="微软雅黑" w:eastAsia="微软雅黑"/>
          <w:b/>
          <w:w w:val="100"/>
          <w:sz w:val="21"/>
        </w:rPr>
        <w:t>年修订版）</w:t>
      </w:r>
      <w:r>
        <w:rPr>
          <w:rFonts w:ascii="微软雅黑" w:eastAsia="微软雅黑"/>
          <w:b/>
          <w:spacing w:val="-4"/>
          <w:w w:val="100"/>
          <w:sz w:val="21"/>
        </w:rPr>
        <w:t>》中重大</w:t>
      </w:r>
      <w:r>
        <w:rPr>
          <w:rFonts w:ascii="微软雅黑" w:eastAsia="微软雅黑"/>
          <w:b/>
          <w:w w:val="100"/>
          <w:sz w:val="21"/>
        </w:rPr>
        <w:t>疾病的疾病名称和疾病定义保持一致，其他重大疾病为本公司增加的重大疾病。</w:t>
      </w:r>
    </w:p>
    <w:p>
      <w:pPr>
        <w:pStyle w:val="BodyText"/>
        <w:spacing w:before="1"/>
        <w:rPr>
          <w:rFonts w:ascii="微软雅黑"/>
          <w:b/>
          <w:sz w:val="9"/>
        </w:rPr>
      </w:pPr>
    </w:p>
    <w:p>
      <w:pPr>
        <w:spacing w:after="0"/>
        <w:rPr>
          <w:rFonts w:ascii="微软雅黑"/>
          <w:sz w:val="9"/>
        </w:rPr>
        <w:sectPr>
          <w:pgSz w:w="11910" w:h="16840"/>
          <w:pgMar w:header="0" w:footer="406" w:top="1080" w:bottom="600" w:left="900" w:right="340"/>
        </w:sectPr>
      </w:pPr>
    </w:p>
    <w:p>
      <w:pPr>
        <w:pStyle w:val="ListParagraph"/>
        <w:numPr>
          <w:ilvl w:val="2"/>
          <w:numId w:val="40"/>
        </w:numPr>
        <w:tabs>
          <w:tab w:pos="1330" w:val="left" w:leader="none"/>
        </w:tabs>
        <w:spacing w:line="278" w:lineRule="auto" w:before="72" w:after="0"/>
        <w:ind w:left="1080" w:right="0" w:firstLine="0"/>
        <w:jc w:val="left"/>
        <w:rPr>
          <w:sz w:val="21"/>
        </w:rPr>
      </w:pPr>
      <w:r>
        <w:rPr>
          <w:spacing w:val="22"/>
          <w:sz w:val="21"/>
        </w:rPr>
        <w:t>恶性肿瘤——</w:t>
      </w:r>
      <w:r>
        <w:rPr>
          <w:spacing w:val="-6"/>
          <w:sz w:val="21"/>
        </w:rPr>
        <w:t>重度</w:t>
      </w:r>
    </w:p>
    <w:p>
      <w:pPr>
        <w:pStyle w:val="BodyText"/>
        <w:spacing w:line="278" w:lineRule="auto" w:before="72"/>
        <w:ind w:left="174" w:right="563"/>
      </w:pPr>
      <w:r>
        <w:rPr/>
        <w:br w:type="column"/>
      </w:r>
      <w:r>
        <w:rPr>
          <w:w w:val="100"/>
        </w:rPr>
        <w:t>指恶性细胞不受控制的进行性增长和扩散，浸润和破坏周围正常组织，可以</w:t>
      </w:r>
      <w:r>
        <w:rPr>
          <w:spacing w:val="-10"/>
          <w:w w:val="100"/>
        </w:rPr>
        <w:t>经血管、淋巴管和体腔扩散转移到身体其他部位，病灶经组织病理学检查</w:t>
      </w:r>
      <w:r>
        <w:rPr>
          <w:spacing w:val="-5"/>
          <w:w w:val="100"/>
        </w:rPr>
        <w:t>（</w:t>
      </w:r>
      <w:r>
        <w:rPr>
          <w:w w:val="100"/>
        </w:rPr>
        <w:t>涵</w:t>
      </w:r>
      <w:r>
        <w:rPr>
          <w:spacing w:val="-3"/>
          <w:w w:val="100"/>
        </w:rPr>
        <w:t>盖骨髓病理学检查</w:t>
      </w:r>
      <w:r>
        <w:rPr>
          <w:spacing w:val="-53"/>
          <w:w w:val="100"/>
        </w:rPr>
        <w:t>）</w:t>
      </w:r>
      <w:r>
        <w:rPr>
          <w:spacing w:val="-12"/>
          <w:w w:val="100"/>
        </w:rPr>
        <w:t>结果明确诊断，临床诊断属于世界卫生组织</w:t>
      </w:r>
      <w:r>
        <w:rPr>
          <w:spacing w:val="-1"/>
          <w:w w:val="100"/>
        </w:rPr>
        <w:t>（</w:t>
      </w:r>
      <w:r>
        <w:rPr>
          <w:w w:val="100"/>
        </w:rPr>
        <w:t>WH</w:t>
      </w:r>
      <w:r>
        <w:rPr>
          <w:spacing w:val="-3"/>
          <w:w w:val="100"/>
        </w:rPr>
        <w:t>O</w:t>
      </w:r>
      <w:r>
        <w:rPr>
          <w:w w:val="100"/>
        </w:rPr>
        <w:t>，</w:t>
      </w:r>
      <w:r>
        <w:rPr>
          <w:spacing w:val="-53"/>
        </w:rPr>
        <w:t> </w:t>
      </w:r>
      <w:r>
        <w:rPr>
          <w:spacing w:val="-3"/>
          <w:w w:val="100"/>
        </w:rPr>
        <w:t>W</w:t>
      </w:r>
      <w:r>
        <w:rPr>
          <w:w w:val="100"/>
        </w:rPr>
        <w:t>or</w:t>
      </w:r>
      <w:r>
        <w:rPr>
          <w:spacing w:val="-3"/>
          <w:w w:val="100"/>
        </w:rPr>
        <w:t>l</w:t>
      </w:r>
      <w:r>
        <w:rPr>
          <w:w w:val="100"/>
        </w:rPr>
        <w:t>d Health</w:t>
      </w:r>
      <w:r>
        <w:rPr>
          <w:spacing w:val="-5"/>
        </w:rPr>
        <w:t> </w:t>
      </w:r>
      <w:r>
        <w:rPr>
          <w:w w:val="100"/>
        </w:rPr>
        <w:t>Or</w:t>
      </w:r>
      <w:r>
        <w:rPr>
          <w:spacing w:val="-3"/>
          <w:w w:val="100"/>
        </w:rPr>
        <w:t>g</w:t>
      </w:r>
      <w:r>
        <w:rPr>
          <w:w w:val="100"/>
        </w:rPr>
        <w:t>ani</w:t>
      </w:r>
      <w:r>
        <w:rPr>
          <w:spacing w:val="-3"/>
          <w:w w:val="100"/>
        </w:rPr>
        <w:t>z</w:t>
      </w:r>
      <w:r>
        <w:rPr>
          <w:w w:val="100"/>
        </w:rPr>
        <w:t>ati</w:t>
      </w:r>
      <w:r>
        <w:rPr>
          <w:spacing w:val="-3"/>
          <w:w w:val="100"/>
        </w:rPr>
        <w:t>o</w:t>
      </w:r>
      <w:r>
        <w:rPr>
          <w:spacing w:val="-1"/>
          <w:w w:val="100"/>
        </w:rPr>
        <w:t>n</w:t>
      </w:r>
      <w:r>
        <w:rPr>
          <w:spacing w:val="-3"/>
          <w:w w:val="100"/>
        </w:rPr>
        <w:t>）《疾病和有关健康问题的国际统计分类》第十次修订</w:t>
      </w:r>
      <w:r>
        <w:rPr>
          <w:spacing w:val="-63"/>
          <w:w w:val="100"/>
        </w:rPr>
        <w:t>版</w:t>
      </w:r>
      <w:r>
        <w:rPr>
          <w:spacing w:val="-3"/>
          <w:w w:val="100"/>
        </w:rPr>
        <w:t>（</w:t>
      </w:r>
      <w:r>
        <w:rPr>
          <w:w w:val="100"/>
        </w:rPr>
        <w:t>ICD</w:t>
      </w:r>
      <w:r>
        <w:rPr>
          <w:spacing w:val="-3"/>
          <w:w w:val="100"/>
        </w:rPr>
        <w:t>-</w:t>
      </w:r>
      <w:r>
        <w:rPr>
          <w:w w:val="100"/>
        </w:rPr>
        <w:t>1</w:t>
      </w:r>
      <w:r>
        <w:rPr>
          <w:spacing w:val="-3"/>
          <w:w w:val="100"/>
        </w:rPr>
        <w:t>0</w:t>
      </w:r>
      <w:r>
        <w:rPr>
          <w:spacing w:val="-63"/>
          <w:w w:val="100"/>
        </w:rPr>
        <w:t>）</w:t>
      </w:r>
      <w:r>
        <w:rPr>
          <w:spacing w:val="-16"/>
          <w:w w:val="100"/>
        </w:rPr>
        <w:t>的恶性肿瘤类别及《国际疾病分类肿瘤学专辑》第三版</w:t>
      </w:r>
      <w:r>
        <w:rPr>
          <w:w w:val="100"/>
        </w:rPr>
        <w:t>（I</w:t>
      </w:r>
      <w:r>
        <w:rPr>
          <w:spacing w:val="-3"/>
          <w:w w:val="100"/>
        </w:rPr>
        <w:t>C</w:t>
      </w:r>
      <w:r>
        <w:rPr>
          <w:spacing w:val="-1"/>
          <w:w w:val="100"/>
        </w:rPr>
        <w:t>D</w:t>
      </w:r>
      <w:r>
        <w:rPr>
          <w:w w:val="100"/>
        </w:rPr>
        <w:t>-O</w:t>
      </w:r>
      <w:r>
        <w:rPr>
          <w:spacing w:val="-3"/>
          <w:w w:val="100"/>
        </w:rPr>
        <w:t>-</w:t>
      </w:r>
      <w:r>
        <w:rPr>
          <w:w w:val="100"/>
        </w:rPr>
        <w:t>3）</w:t>
      </w:r>
      <w:r>
        <w:rPr>
          <w:spacing w:val="-3"/>
          <w:w w:val="100"/>
        </w:rPr>
        <w:t>的肿瘤形态学编码属于</w:t>
      </w:r>
      <w:r>
        <w:rPr>
          <w:spacing w:val="-53"/>
        </w:rPr>
        <w:t> </w:t>
      </w:r>
      <w:r>
        <w:rPr>
          <w:spacing w:val="-3"/>
          <w:w w:val="100"/>
        </w:rPr>
        <w:t>3</w:t>
      </w:r>
      <w:r>
        <w:rPr>
          <w:w w:val="100"/>
        </w:rPr>
        <w:t>、6、</w:t>
      </w:r>
      <w:r>
        <w:rPr>
          <w:spacing w:val="-3"/>
          <w:w w:val="100"/>
        </w:rPr>
        <w:t>9</w:t>
      </w:r>
      <w:r>
        <w:rPr>
          <w:w w:val="100"/>
        </w:rPr>
        <w:t>（</w:t>
      </w:r>
      <w:r>
        <w:rPr>
          <w:spacing w:val="-3"/>
          <w:w w:val="100"/>
        </w:rPr>
        <w:t>恶性肿瘤）范畴的疾病。</w:t>
      </w:r>
    </w:p>
    <w:p>
      <w:pPr>
        <w:spacing w:line="282" w:lineRule="exact" w:before="0"/>
        <w:ind w:left="174"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不</w:t>
      </w:r>
      <w:r>
        <w:rPr>
          <w:rFonts w:ascii="微软雅黑" w:hAnsi="微软雅黑" w:eastAsia="微软雅黑"/>
          <w:b/>
          <w:w w:val="95"/>
          <w:sz w:val="21"/>
        </w:rPr>
        <w:t>在保障</w:t>
      </w:r>
      <w:r>
        <w:rPr>
          <w:rFonts w:ascii="微软雅黑" w:hAnsi="微软雅黑" w:eastAsia="微软雅黑"/>
          <w:b/>
          <w:w w:val="95"/>
          <w:sz w:val="21"/>
        </w:rPr>
        <w:t>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pStyle w:val="ListParagraph"/>
        <w:numPr>
          <w:ilvl w:val="0"/>
          <w:numId w:val="49"/>
        </w:numPr>
        <w:tabs>
          <w:tab w:pos="704" w:val="left" w:leader="none"/>
        </w:tabs>
        <w:spacing w:line="194" w:lineRule="auto" w:before="15" w:after="0"/>
        <w:ind w:left="702" w:right="632" w:hanging="528"/>
        <w:jc w:val="left"/>
        <w:rPr>
          <w:rFonts w:ascii="微软雅黑" w:eastAsia="微软雅黑"/>
          <w:b/>
          <w:sz w:val="21"/>
        </w:rPr>
      </w:pPr>
      <w:r>
        <w:rPr>
          <w:rFonts w:ascii="微软雅黑" w:eastAsia="微软雅黑"/>
          <w:b/>
          <w:w w:val="95"/>
          <w:sz w:val="21"/>
        </w:rPr>
        <w:t>ICD-O-3 </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形</w:t>
      </w:r>
      <w:r>
        <w:rPr>
          <w:rFonts w:ascii="微软雅黑" w:eastAsia="微软雅黑"/>
          <w:b/>
          <w:w w:val="95"/>
          <w:sz w:val="21"/>
        </w:rPr>
        <w:t>态</w:t>
      </w:r>
      <w:r>
        <w:rPr>
          <w:rFonts w:ascii="微软雅黑" w:eastAsia="微软雅黑"/>
          <w:b/>
          <w:w w:val="95"/>
          <w:sz w:val="21"/>
        </w:rPr>
        <w:t>学</w:t>
      </w:r>
      <w:r>
        <w:rPr>
          <w:rFonts w:ascii="微软雅黑" w:eastAsia="微软雅黑"/>
          <w:b/>
          <w:w w:val="95"/>
          <w:sz w:val="21"/>
        </w:rPr>
        <w:t>编</w:t>
      </w:r>
      <w:r>
        <w:rPr>
          <w:rFonts w:ascii="微软雅黑" w:eastAsia="微软雅黑"/>
          <w:b/>
          <w:w w:val="95"/>
          <w:sz w:val="21"/>
        </w:rPr>
        <w:t>码</w:t>
      </w:r>
      <w:r>
        <w:rPr>
          <w:rFonts w:ascii="微软雅黑" w:eastAsia="微软雅黑"/>
          <w:b/>
          <w:w w:val="95"/>
          <w:sz w:val="21"/>
        </w:rPr>
        <w:t>属</w:t>
      </w:r>
      <w:r>
        <w:rPr>
          <w:rFonts w:ascii="微软雅黑" w:eastAsia="微软雅黑"/>
          <w:b/>
          <w:w w:val="95"/>
          <w:sz w:val="21"/>
        </w:rPr>
        <w:t>于</w:t>
      </w:r>
      <w:r>
        <w:rPr>
          <w:rFonts w:ascii="微软雅黑" w:eastAsia="微软雅黑"/>
          <w:b/>
          <w:w w:val="95"/>
          <w:sz w:val="21"/>
        </w:rPr>
        <w:t> 0（</w:t>
      </w:r>
      <w:r>
        <w:rPr>
          <w:rFonts w:ascii="微软雅黑" w:eastAsia="微软雅黑"/>
          <w:b/>
          <w:w w:val="95"/>
          <w:sz w:val="21"/>
        </w:rPr>
        <w:t>良</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）、1（</w:t>
      </w:r>
      <w:r>
        <w:rPr>
          <w:rFonts w:ascii="微软雅黑" w:eastAsia="微软雅黑"/>
          <w:b/>
          <w:w w:val="95"/>
          <w:sz w:val="21"/>
        </w:rPr>
        <w:t>动</w:t>
      </w:r>
      <w:r>
        <w:rPr>
          <w:rFonts w:ascii="微软雅黑" w:eastAsia="微软雅黑"/>
          <w:b/>
          <w:w w:val="95"/>
          <w:sz w:val="21"/>
        </w:rPr>
        <w:t>态</w:t>
      </w:r>
      <w:r>
        <w:rPr>
          <w:rFonts w:ascii="微软雅黑" w:eastAsia="微软雅黑"/>
          <w:b/>
          <w:w w:val="95"/>
          <w:sz w:val="21"/>
        </w:rPr>
        <w:t>未</w:t>
      </w:r>
      <w:r>
        <w:rPr>
          <w:rFonts w:ascii="微软雅黑" w:eastAsia="微软雅黑"/>
          <w:b/>
          <w:w w:val="95"/>
          <w:sz w:val="21"/>
        </w:rPr>
        <w:t>定</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w:t>
      </w:r>
      <w:r>
        <w:rPr>
          <w:rFonts w:ascii="微软雅黑" w:eastAsia="微软雅黑"/>
          <w:b/>
          <w:w w:val="95"/>
          <w:sz w:val="21"/>
        </w:rPr>
        <w:t>、</w:t>
      </w:r>
      <w:r>
        <w:rPr>
          <w:rFonts w:ascii="微软雅黑" w:eastAsia="微软雅黑"/>
          <w:b/>
          <w:w w:val="95"/>
          <w:sz w:val="21"/>
        </w:rPr>
        <w:t> </w:t>
      </w:r>
      <w:r>
        <w:rPr>
          <w:rFonts w:ascii="微软雅黑" w:eastAsia="微软雅黑"/>
          <w:b/>
          <w:spacing w:val="-2"/>
          <w:sz w:val="21"/>
        </w:rPr>
        <w:t>2（原位癌和非侵袭性癌）范畴的疾病，如：</w:t>
      </w:r>
    </w:p>
    <w:p>
      <w:pPr>
        <w:pStyle w:val="ListParagraph"/>
        <w:numPr>
          <w:ilvl w:val="1"/>
          <w:numId w:val="49"/>
        </w:numPr>
        <w:tabs>
          <w:tab w:pos="912" w:val="left" w:leader="none"/>
        </w:tabs>
        <w:spacing w:line="194" w:lineRule="auto" w:before="0" w:after="0"/>
        <w:ind w:left="699" w:right="667" w:firstLine="0"/>
        <w:jc w:val="left"/>
        <w:rPr>
          <w:rFonts w:ascii="微软雅黑" w:eastAsia="微软雅黑"/>
          <w:b/>
          <w:sz w:val="21"/>
        </w:rPr>
      </w:pPr>
      <w:r>
        <w:rPr>
          <w:rFonts w:ascii="微软雅黑" w:eastAsia="微软雅黑"/>
          <w:b/>
          <w:spacing w:val="-2"/>
          <w:sz w:val="21"/>
        </w:rPr>
        <w:t>原位癌，癌前病变，非浸润性癌，非侵袭性癌，肿瘤细胞未侵犯基底</w:t>
      </w:r>
      <w:r>
        <w:rPr>
          <w:rFonts w:ascii="微软雅黑" w:eastAsia="微软雅黑"/>
          <w:b/>
          <w:spacing w:val="-2"/>
          <w:sz w:val="21"/>
        </w:rPr>
        <w:t>层，上皮内瘤变，细胞不典型性增生等；</w:t>
      </w:r>
    </w:p>
    <w:p>
      <w:pPr>
        <w:pStyle w:val="ListParagraph"/>
        <w:numPr>
          <w:ilvl w:val="1"/>
          <w:numId w:val="49"/>
        </w:numPr>
        <w:tabs>
          <w:tab w:pos="912" w:val="left" w:leader="none"/>
        </w:tabs>
        <w:spacing w:line="194" w:lineRule="auto" w:before="0" w:after="0"/>
        <w:ind w:left="699" w:right="666" w:firstLine="0"/>
        <w:jc w:val="left"/>
        <w:rPr>
          <w:rFonts w:ascii="微软雅黑" w:eastAsia="微软雅黑"/>
          <w:b/>
          <w:sz w:val="21"/>
        </w:rPr>
      </w:pPr>
      <w:r>
        <w:rPr>
          <w:rFonts w:ascii="微软雅黑" w:eastAsia="微软雅黑"/>
          <w:b/>
          <w:spacing w:val="-2"/>
          <w:sz w:val="21"/>
        </w:rPr>
        <w:t>交界性肿瘤，交界恶性肿瘤，肿瘤低度恶性潜能，潜在低度恶性肿瘤</w:t>
      </w:r>
      <w:r>
        <w:rPr>
          <w:rFonts w:ascii="微软雅黑" w:eastAsia="微软雅黑"/>
          <w:b/>
          <w:spacing w:val="-6"/>
          <w:sz w:val="21"/>
        </w:rPr>
        <w:t>等；</w:t>
      </w:r>
    </w:p>
    <w:p>
      <w:pPr>
        <w:pStyle w:val="ListParagraph"/>
        <w:numPr>
          <w:ilvl w:val="0"/>
          <w:numId w:val="49"/>
        </w:numPr>
        <w:tabs>
          <w:tab w:pos="704" w:val="left" w:leader="none"/>
        </w:tabs>
        <w:spacing w:line="294" w:lineRule="exact" w:before="0" w:after="0"/>
        <w:ind w:left="703" w:right="0" w:hanging="530"/>
        <w:jc w:val="left"/>
        <w:rPr>
          <w:rFonts w:ascii="微软雅黑" w:hAnsi="微软雅黑" w:eastAsia="微软雅黑"/>
          <w:b/>
          <w:sz w:val="21"/>
        </w:rPr>
      </w:pPr>
      <w:r>
        <w:rPr>
          <w:rFonts w:ascii="微软雅黑" w:hAnsi="微软雅黑" w:eastAsia="微软雅黑"/>
          <w:b/>
          <w:w w:val="90"/>
          <w:sz w:val="21"/>
        </w:rPr>
        <w:t>TNM</w:t>
      </w:r>
      <w:r>
        <w:rPr>
          <w:rFonts w:ascii="微软雅黑" w:hAnsi="微软雅黑" w:eastAsia="微软雅黑"/>
          <w:b/>
          <w:spacing w:val="-7"/>
          <w:w w:val="90"/>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为</w:t>
      </w:r>
      <w:r>
        <w:rPr>
          <w:rFonts w:ascii="微软雅黑" w:hAnsi="微软雅黑" w:eastAsia="微软雅黑"/>
          <w:b/>
          <w:w w:val="95"/>
          <w:sz w:val="21"/>
        </w:rPr>
        <w:t>Ⅰ</w:t>
      </w:r>
      <w:r>
        <w:rPr>
          <w:rFonts w:ascii="微软雅黑" w:hAnsi="微软雅黑" w:eastAsia="微软雅黑"/>
          <w:b/>
          <w:w w:val="95"/>
          <w:sz w:val="21"/>
        </w:rPr>
        <w:t>期</w:t>
      </w:r>
      <w:r>
        <w:rPr>
          <w:rFonts w:ascii="微软雅黑" w:hAnsi="微软雅黑" w:eastAsia="微软雅黑"/>
          <w:b/>
          <w:w w:val="95"/>
          <w:sz w:val="21"/>
        </w:rPr>
        <w:t>或</w:t>
      </w:r>
      <w:r>
        <w:rPr>
          <w:rFonts w:ascii="微软雅黑" w:hAnsi="微软雅黑" w:eastAsia="微软雅黑"/>
          <w:b/>
          <w:w w:val="95"/>
          <w:sz w:val="21"/>
        </w:rPr>
        <w:t>更</w:t>
      </w:r>
      <w:r>
        <w:rPr>
          <w:rFonts w:ascii="微软雅黑" w:hAnsi="微软雅黑" w:eastAsia="微软雅黑"/>
          <w:b/>
          <w:w w:val="95"/>
          <w:sz w:val="21"/>
        </w:rPr>
        <w:t>轻</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的</w:t>
      </w:r>
      <w:r>
        <w:rPr>
          <w:rFonts w:ascii="微软雅黑" w:hAnsi="微软雅黑" w:eastAsia="微软雅黑"/>
          <w:b/>
          <w:w w:val="95"/>
          <w:sz w:val="21"/>
        </w:rPr>
        <w:t>甲</w:t>
      </w:r>
      <w:r>
        <w:rPr>
          <w:rFonts w:ascii="微软雅黑" w:hAnsi="微软雅黑" w:eastAsia="微软雅黑"/>
          <w:b/>
          <w:w w:val="95"/>
          <w:sz w:val="21"/>
        </w:rPr>
        <w:t>状</w:t>
      </w:r>
      <w:r>
        <w:rPr>
          <w:rFonts w:ascii="微软雅黑" w:hAnsi="微软雅黑" w:eastAsia="微软雅黑"/>
          <w:b/>
          <w:w w:val="95"/>
          <w:sz w:val="21"/>
        </w:rPr>
        <w:t>腺</w:t>
      </w:r>
      <w:r>
        <w:rPr>
          <w:rFonts w:ascii="微软雅黑" w:hAnsi="微软雅黑" w:eastAsia="微软雅黑"/>
          <w:b/>
          <w:w w:val="95"/>
          <w:sz w:val="21"/>
        </w:rPr>
        <w:t>癌</w:t>
      </w:r>
      <w:r>
        <w:rPr>
          <w:rFonts w:ascii="微软雅黑" w:hAnsi="微软雅黑" w:eastAsia="微软雅黑"/>
          <w:b/>
          <w:spacing w:val="-10"/>
          <w:w w:val="95"/>
          <w:sz w:val="21"/>
        </w:rPr>
        <w:t>；</w:t>
      </w:r>
    </w:p>
    <w:p>
      <w:pPr>
        <w:pStyle w:val="ListParagraph"/>
        <w:numPr>
          <w:ilvl w:val="0"/>
          <w:numId w:val="49"/>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w w:val="85"/>
          <w:position w:val="1"/>
          <w:sz w:val="21"/>
        </w:rPr>
        <w:t>TNM</w:t>
      </w:r>
      <w:r>
        <w:rPr>
          <w:rFonts w:ascii="微软雅黑" w:eastAsia="微软雅黑"/>
          <w:b/>
          <w:spacing w:val="53"/>
          <w:position w:val="1"/>
          <w:sz w:val="21"/>
        </w:rPr>
        <w:t> </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为</w:t>
      </w:r>
      <w:r>
        <w:rPr>
          <w:rFonts w:ascii="微软雅黑" w:eastAsia="微软雅黑"/>
          <w:b/>
          <w:spacing w:val="54"/>
          <w:position w:val="1"/>
          <w:sz w:val="21"/>
        </w:rPr>
        <w:t> </w:t>
      </w:r>
      <w:r>
        <w:rPr>
          <w:rFonts w:ascii="微软雅黑" w:eastAsia="微软雅黑"/>
          <w:b/>
          <w:w w:val="85"/>
          <w:position w:val="1"/>
          <w:sz w:val="21"/>
        </w:rPr>
        <w:t>T</w:t>
      </w:r>
      <w:r>
        <w:rPr>
          <w:rFonts w:ascii="微软雅黑" w:eastAsia="微软雅黑"/>
          <w:b/>
          <w:w w:val="85"/>
          <w:sz w:val="11"/>
        </w:rPr>
        <w:t>1</w:t>
      </w:r>
      <w:r>
        <w:rPr>
          <w:rFonts w:ascii="微软雅黑" w:eastAsia="微软雅黑"/>
          <w:b/>
          <w:w w:val="85"/>
          <w:position w:val="1"/>
          <w:sz w:val="21"/>
        </w:rPr>
        <w:t>N</w:t>
      </w:r>
      <w:r>
        <w:rPr>
          <w:rFonts w:ascii="微软雅黑" w:eastAsia="微软雅黑"/>
          <w:b/>
          <w:w w:val="85"/>
          <w:sz w:val="11"/>
        </w:rPr>
        <w:t>0</w:t>
      </w:r>
      <w:r>
        <w:rPr>
          <w:rFonts w:ascii="微软雅黑" w:eastAsia="微软雅黑"/>
          <w:b/>
          <w:w w:val="85"/>
          <w:position w:val="1"/>
          <w:sz w:val="21"/>
        </w:rPr>
        <w:t>M</w:t>
      </w:r>
      <w:r>
        <w:rPr>
          <w:rFonts w:ascii="微软雅黑" w:eastAsia="微软雅黑"/>
          <w:b/>
          <w:w w:val="85"/>
          <w:sz w:val="11"/>
        </w:rPr>
        <w:t>0</w:t>
      </w:r>
      <w:r>
        <w:rPr>
          <w:rFonts w:ascii="微软雅黑" w:eastAsia="微软雅黑"/>
          <w:b/>
          <w:spacing w:val="31"/>
          <w:sz w:val="11"/>
        </w:rPr>
        <w:t> </w:t>
      </w:r>
      <w:r>
        <w:rPr>
          <w:rFonts w:ascii="微软雅黑" w:eastAsia="微软雅黑"/>
          <w:b/>
          <w:w w:val="85"/>
          <w:position w:val="1"/>
          <w:sz w:val="21"/>
        </w:rPr>
        <w:t>期</w:t>
      </w:r>
      <w:r>
        <w:rPr>
          <w:rFonts w:ascii="微软雅黑" w:eastAsia="微软雅黑"/>
          <w:b/>
          <w:w w:val="85"/>
          <w:position w:val="1"/>
          <w:sz w:val="21"/>
        </w:rPr>
        <w:t>或</w:t>
      </w:r>
      <w:r>
        <w:rPr>
          <w:rFonts w:ascii="微软雅黑" w:eastAsia="微软雅黑"/>
          <w:b/>
          <w:w w:val="85"/>
          <w:position w:val="1"/>
          <w:sz w:val="21"/>
        </w:rPr>
        <w:t>更</w:t>
      </w:r>
      <w:r>
        <w:rPr>
          <w:rFonts w:ascii="微软雅黑" w:eastAsia="微软雅黑"/>
          <w:b/>
          <w:w w:val="85"/>
          <w:position w:val="1"/>
          <w:sz w:val="21"/>
        </w:rPr>
        <w:t>轻</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的</w:t>
      </w:r>
      <w:r>
        <w:rPr>
          <w:rFonts w:ascii="微软雅黑" w:eastAsia="微软雅黑"/>
          <w:b/>
          <w:w w:val="85"/>
          <w:position w:val="1"/>
          <w:sz w:val="21"/>
        </w:rPr>
        <w:t>前</w:t>
      </w:r>
      <w:r>
        <w:rPr>
          <w:rFonts w:ascii="微软雅黑" w:eastAsia="微软雅黑"/>
          <w:b/>
          <w:w w:val="85"/>
          <w:position w:val="1"/>
          <w:sz w:val="21"/>
        </w:rPr>
        <w:t>列</w:t>
      </w:r>
      <w:r>
        <w:rPr>
          <w:rFonts w:ascii="微软雅黑" w:eastAsia="微软雅黑"/>
          <w:b/>
          <w:w w:val="85"/>
          <w:position w:val="1"/>
          <w:sz w:val="21"/>
        </w:rPr>
        <w:t>腺</w:t>
      </w:r>
      <w:r>
        <w:rPr>
          <w:rFonts w:ascii="微软雅黑" w:eastAsia="微软雅黑"/>
          <w:b/>
          <w:w w:val="85"/>
          <w:position w:val="1"/>
          <w:sz w:val="21"/>
        </w:rPr>
        <w:t>癌</w:t>
      </w:r>
      <w:r>
        <w:rPr>
          <w:rFonts w:ascii="微软雅黑" w:eastAsia="微软雅黑"/>
          <w:b/>
          <w:spacing w:val="-10"/>
          <w:w w:val="85"/>
          <w:position w:val="1"/>
          <w:sz w:val="21"/>
        </w:rPr>
        <w:t>；</w:t>
      </w:r>
    </w:p>
    <w:p>
      <w:pPr>
        <w:pStyle w:val="ListParagraph"/>
        <w:numPr>
          <w:ilvl w:val="0"/>
          <w:numId w:val="49"/>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49"/>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w w:val="95"/>
          <w:sz w:val="21"/>
        </w:rPr>
        <w:t>相</w:t>
      </w:r>
      <w:r>
        <w:rPr>
          <w:rFonts w:ascii="微软雅黑" w:eastAsia="微软雅黑"/>
          <w:b/>
          <w:w w:val="95"/>
          <w:sz w:val="21"/>
        </w:rPr>
        <w:t>当</w:t>
      </w:r>
      <w:r>
        <w:rPr>
          <w:rFonts w:ascii="微软雅黑" w:eastAsia="微软雅黑"/>
          <w:b/>
          <w:w w:val="95"/>
          <w:sz w:val="21"/>
        </w:rPr>
        <w:t>于</w:t>
      </w:r>
      <w:r>
        <w:rPr>
          <w:rFonts w:ascii="微软雅黑" w:eastAsia="微软雅黑"/>
          <w:b/>
          <w:spacing w:val="29"/>
          <w:sz w:val="21"/>
        </w:rPr>
        <w:t> </w:t>
      </w:r>
      <w:r>
        <w:rPr>
          <w:rFonts w:ascii="微软雅黑" w:eastAsia="微软雅黑"/>
          <w:b/>
          <w:w w:val="95"/>
          <w:sz w:val="21"/>
        </w:rPr>
        <w:t>Binet</w:t>
      </w:r>
      <w:r>
        <w:rPr>
          <w:rFonts w:ascii="微软雅黑" w:eastAsia="微软雅黑"/>
          <w:b/>
          <w:spacing w:val="30"/>
          <w:sz w:val="21"/>
        </w:rPr>
        <w:t> </w:t>
      </w:r>
      <w:r>
        <w:rPr>
          <w:rFonts w:ascii="微软雅黑" w:eastAsia="微软雅黑"/>
          <w:b/>
          <w:w w:val="95"/>
          <w:sz w:val="21"/>
        </w:rPr>
        <w:t>分</w:t>
      </w:r>
      <w:r>
        <w:rPr>
          <w:rFonts w:ascii="微软雅黑" w:eastAsia="微软雅黑"/>
          <w:b/>
          <w:w w:val="95"/>
          <w:sz w:val="21"/>
        </w:rPr>
        <w:t>期</w:t>
      </w:r>
      <w:r>
        <w:rPr>
          <w:rFonts w:ascii="微软雅黑" w:eastAsia="微软雅黑"/>
          <w:b/>
          <w:w w:val="95"/>
          <w:sz w:val="21"/>
        </w:rPr>
        <w:t>方案</w:t>
      </w:r>
      <w:r>
        <w:rPr>
          <w:rFonts w:ascii="微软雅黑" w:eastAsia="微软雅黑"/>
          <w:b/>
          <w:spacing w:val="29"/>
          <w:sz w:val="21"/>
        </w:rPr>
        <w:t> </w:t>
      </w:r>
      <w:r>
        <w:rPr>
          <w:rFonts w:ascii="微软雅黑" w:eastAsia="微软雅黑"/>
          <w:b/>
          <w:w w:val="95"/>
          <w:sz w:val="21"/>
        </w:rPr>
        <w:t>A</w:t>
      </w:r>
      <w:r>
        <w:rPr>
          <w:rFonts w:ascii="微软雅黑" w:eastAsia="微软雅黑"/>
          <w:b/>
          <w:spacing w:val="30"/>
          <w:sz w:val="21"/>
        </w:rPr>
        <w:t> </w:t>
      </w:r>
      <w:r>
        <w:rPr>
          <w:rFonts w:ascii="微软雅黑" w:eastAsia="微软雅黑"/>
          <w:b/>
          <w:w w:val="95"/>
          <w:sz w:val="21"/>
        </w:rPr>
        <w:t>期</w:t>
      </w:r>
      <w:r>
        <w:rPr>
          <w:rFonts w:ascii="微软雅黑" w:eastAsia="微软雅黑"/>
          <w:b/>
          <w:w w:val="95"/>
          <w:sz w:val="21"/>
        </w:rPr>
        <w:t>程</w:t>
      </w:r>
      <w:r>
        <w:rPr>
          <w:rFonts w:ascii="微软雅黑" w:eastAsia="微软雅黑"/>
          <w:b/>
          <w:w w:val="95"/>
          <w:sz w:val="21"/>
        </w:rPr>
        <w:t>度</w:t>
      </w:r>
      <w:r>
        <w:rPr>
          <w:rFonts w:ascii="微软雅黑" w:eastAsia="微软雅黑"/>
          <w:b/>
          <w:w w:val="95"/>
          <w:sz w:val="21"/>
        </w:rPr>
        <w:t>的</w:t>
      </w:r>
      <w:r>
        <w:rPr>
          <w:rFonts w:ascii="微软雅黑" w:eastAsia="微软雅黑"/>
          <w:b/>
          <w:w w:val="95"/>
          <w:sz w:val="21"/>
        </w:rPr>
        <w:t>慢</w:t>
      </w:r>
      <w:r>
        <w:rPr>
          <w:rFonts w:ascii="微软雅黑" w:eastAsia="微软雅黑"/>
          <w:b/>
          <w:w w:val="95"/>
          <w:sz w:val="21"/>
        </w:rPr>
        <w:t>性</w:t>
      </w:r>
      <w:r>
        <w:rPr>
          <w:rFonts w:ascii="微软雅黑" w:eastAsia="微软雅黑"/>
          <w:b/>
          <w:w w:val="95"/>
          <w:sz w:val="21"/>
        </w:rPr>
        <w:t>淋</w:t>
      </w:r>
      <w:r>
        <w:rPr>
          <w:rFonts w:ascii="微软雅黑" w:eastAsia="微软雅黑"/>
          <w:b/>
          <w:w w:val="95"/>
          <w:sz w:val="21"/>
        </w:rPr>
        <w:t>巴</w:t>
      </w:r>
      <w:r>
        <w:rPr>
          <w:rFonts w:ascii="微软雅黑" w:eastAsia="微软雅黑"/>
          <w:b/>
          <w:w w:val="95"/>
          <w:sz w:val="21"/>
        </w:rPr>
        <w:t>细</w:t>
      </w:r>
      <w:r>
        <w:rPr>
          <w:rFonts w:ascii="微软雅黑" w:eastAsia="微软雅黑"/>
          <w:b/>
          <w:w w:val="95"/>
          <w:sz w:val="21"/>
        </w:rPr>
        <w:t>胞</w:t>
      </w:r>
      <w:r>
        <w:rPr>
          <w:rFonts w:ascii="微软雅黑" w:eastAsia="微软雅黑"/>
          <w:b/>
          <w:w w:val="95"/>
          <w:sz w:val="21"/>
        </w:rPr>
        <w:t>白</w:t>
      </w:r>
      <w:r>
        <w:rPr>
          <w:rFonts w:ascii="微软雅黑" w:eastAsia="微软雅黑"/>
          <w:b/>
          <w:w w:val="95"/>
          <w:sz w:val="21"/>
        </w:rPr>
        <w:t>血</w:t>
      </w:r>
      <w:r>
        <w:rPr>
          <w:rFonts w:ascii="微软雅黑" w:eastAsia="微软雅黑"/>
          <w:b/>
          <w:w w:val="95"/>
          <w:sz w:val="21"/>
        </w:rPr>
        <w:t>病</w:t>
      </w:r>
      <w:r>
        <w:rPr>
          <w:rFonts w:ascii="微软雅黑" w:eastAsia="微软雅黑"/>
          <w:b/>
          <w:spacing w:val="-10"/>
          <w:w w:val="95"/>
          <w:sz w:val="21"/>
        </w:rPr>
        <w:t>；</w:t>
      </w:r>
    </w:p>
    <w:p>
      <w:pPr>
        <w:pStyle w:val="ListParagraph"/>
        <w:numPr>
          <w:ilvl w:val="0"/>
          <w:numId w:val="49"/>
        </w:numPr>
        <w:tabs>
          <w:tab w:pos="704" w:val="left" w:leader="none"/>
        </w:tabs>
        <w:spacing w:line="312" w:lineRule="exact" w:before="0" w:after="0"/>
        <w:ind w:left="703" w:right="0" w:hanging="530"/>
        <w:jc w:val="left"/>
        <w:rPr>
          <w:rFonts w:ascii="微软雅黑" w:hAnsi="微软雅黑" w:eastAsia="微软雅黑"/>
          <w:b/>
          <w:sz w:val="21"/>
        </w:rPr>
      </w:pPr>
      <w:r>
        <w:rPr>
          <w:rFonts w:ascii="微软雅黑" w:hAnsi="微软雅黑" w:eastAsia="微软雅黑"/>
          <w:b/>
          <w:w w:val="95"/>
          <w:sz w:val="21"/>
        </w:rPr>
        <w:t>相</w:t>
      </w:r>
      <w:r>
        <w:rPr>
          <w:rFonts w:ascii="微软雅黑" w:hAnsi="微软雅黑" w:eastAsia="微软雅黑"/>
          <w:b/>
          <w:w w:val="95"/>
          <w:sz w:val="21"/>
        </w:rPr>
        <w:t>当</w:t>
      </w:r>
      <w:r>
        <w:rPr>
          <w:rFonts w:ascii="微软雅黑" w:hAnsi="微软雅黑" w:eastAsia="微软雅黑"/>
          <w:b/>
          <w:w w:val="95"/>
          <w:sz w:val="21"/>
        </w:rPr>
        <w:t>于</w:t>
      </w:r>
      <w:r>
        <w:rPr>
          <w:rFonts w:ascii="微软雅黑" w:hAnsi="微软雅黑" w:eastAsia="微软雅黑"/>
          <w:b/>
          <w:spacing w:val="-2"/>
          <w:w w:val="95"/>
          <w:sz w:val="21"/>
        </w:rPr>
        <w:t> </w:t>
      </w:r>
      <w:r>
        <w:rPr>
          <w:rFonts w:ascii="微软雅黑" w:hAnsi="微软雅黑" w:eastAsia="微软雅黑"/>
          <w:b/>
          <w:w w:val="95"/>
          <w:sz w:val="21"/>
        </w:rPr>
        <w:t>Ann</w:t>
      </w:r>
      <w:r>
        <w:rPr>
          <w:rFonts w:ascii="微软雅黑" w:hAnsi="微软雅黑" w:eastAsia="微软雅黑"/>
          <w:b/>
          <w:spacing w:val="54"/>
          <w:sz w:val="21"/>
        </w:rPr>
        <w:t> </w:t>
      </w:r>
      <w:r>
        <w:rPr>
          <w:rFonts w:ascii="微软雅黑" w:hAnsi="微软雅黑" w:eastAsia="微软雅黑"/>
          <w:b/>
          <w:w w:val="95"/>
          <w:sz w:val="21"/>
        </w:rPr>
        <w:t>Arbor</w:t>
      </w:r>
      <w:r>
        <w:rPr>
          <w:rFonts w:ascii="微软雅黑" w:hAnsi="微软雅黑" w:eastAsia="微软雅黑"/>
          <w:b/>
          <w:spacing w:val="-2"/>
          <w:w w:val="95"/>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方</w:t>
      </w:r>
      <w:r>
        <w:rPr>
          <w:rFonts w:ascii="微软雅黑" w:hAnsi="微软雅黑" w:eastAsia="微软雅黑"/>
          <w:b/>
          <w:w w:val="95"/>
          <w:sz w:val="21"/>
        </w:rPr>
        <w:t>案</w:t>
      </w:r>
      <w:r>
        <w:rPr>
          <w:rFonts w:ascii="微软雅黑" w:hAnsi="微软雅黑" w:eastAsia="微软雅黑"/>
          <w:b/>
          <w:w w:val="95"/>
          <w:sz w:val="21"/>
        </w:rPr>
        <w:t>Ⅰ</w:t>
      </w:r>
      <w:r>
        <w:rPr>
          <w:rFonts w:ascii="微软雅黑" w:hAnsi="微软雅黑" w:eastAsia="微软雅黑"/>
          <w:b/>
          <w:w w:val="95"/>
          <w:sz w:val="21"/>
        </w:rPr>
        <w:t>期</w:t>
      </w:r>
      <w:r>
        <w:rPr>
          <w:rFonts w:ascii="微软雅黑" w:hAnsi="微软雅黑" w:eastAsia="微软雅黑"/>
          <w:b/>
          <w:w w:val="95"/>
          <w:sz w:val="21"/>
        </w:rPr>
        <w:t>程</w:t>
      </w:r>
      <w:r>
        <w:rPr>
          <w:rFonts w:ascii="微软雅黑" w:hAnsi="微软雅黑" w:eastAsia="微软雅黑"/>
          <w:b/>
          <w:w w:val="95"/>
          <w:sz w:val="21"/>
        </w:rPr>
        <w:t>度</w:t>
      </w:r>
      <w:r>
        <w:rPr>
          <w:rFonts w:ascii="微软雅黑" w:hAnsi="微软雅黑" w:eastAsia="微软雅黑"/>
          <w:b/>
          <w:w w:val="95"/>
          <w:sz w:val="21"/>
        </w:rPr>
        <w:t>的</w:t>
      </w:r>
      <w:r>
        <w:rPr>
          <w:rFonts w:ascii="微软雅黑" w:hAnsi="微软雅黑" w:eastAsia="微软雅黑"/>
          <w:b/>
          <w:w w:val="95"/>
          <w:sz w:val="21"/>
        </w:rPr>
        <w:t>何杰金</w:t>
      </w:r>
      <w:r>
        <w:rPr>
          <w:rFonts w:ascii="微软雅黑" w:hAnsi="微软雅黑" w:eastAsia="微软雅黑"/>
          <w:b/>
          <w:w w:val="95"/>
          <w:sz w:val="21"/>
        </w:rPr>
        <w:t>氏</w:t>
      </w:r>
      <w:r>
        <w:rPr>
          <w:rFonts w:ascii="微软雅黑" w:hAnsi="微软雅黑" w:eastAsia="微软雅黑"/>
          <w:b/>
          <w:w w:val="95"/>
          <w:sz w:val="21"/>
        </w:rPr>
        <w:t>病</w:t>
      </w:r>
      <w:r>
        <w:rPr>
          <w:rFonts w:ascii="微软雅黑" w:hAnsi="微软雅黑" w:eastAsia="微软雅黑"/>
          <w:b/>
          <w:spacing w:val="-10"/>
          <w:w w:val="95"/>
          <w:sz w:val="21"/>
        </w:rPr>
        <w:t>；</w:t>
      </w:r>
    </w:p>
    <w:p>
      <w:pPr>
        <w:pStyle w:val="ListParagraph"/>
        <w:numPr>
          <w:ilvl w:val="0"/>
          <w:numId w:val="49"/>
        </w:numPr>
        <w:tabs>
          <w:tab w:pos="704" w:val="left" w:leader="none"/>
        </w:tabs>
        <w:spacing w:line="194" w:lineRule="auto" w:before="9" w:after="0"/>
        <w:ind w:left="702" w:right="671" w:hanging="528"/>
        <w:jc w:val="left"/>
        <w:rPr>
          <w:rFonts w:ascii="微软雅黑" w:hAnsi="微软雅黑" w:eastAsia="微软雅黑"/>
          <w:b/>
          <w:sz w:val="21"/>
        </w:rPr>
      </w:pPr>
      <w:r>
        <w:rPr>
          <w:rFonts w:ascii="微软雅黑" w:hAnsi="微软雅黑" w:eastAsia="微软雅黑"/>
          <w:b/>
          <w:w w:val="90"/>
          <w:sz w:val="21"/>
        </w:rPr>
        <w:t>未</w:t>
      </w:r>
      <w:r>
        <w:rPr>
          <w:rFonts w:ascii="微软雅黑" w:hAnsi="微软雅黑" w:eastAsia="微软雅黑"/>
          <w:b/>
          <w:w w:val="90"/>
          <w:sz w:val="21"/>
        </w:rPr>
        <w:t>发</w:t>
      </w:r>
      <w:r>
        <w:rPr>
          <w:rFonts w:ascii="微软雅黑" w:hAnsi="微软雅黑" w:eastAsia="微软雅黑"/>
          <w:b/>
          <w:w w:val="90"/>
          <w:sz w:val="21"/>
        </w:rPr>
        <w:t>生</w:t>
      </w:r>
      <w:r>
        <w:rPr>
          <w:rFonts w:ascii="微软雅黑" w:hAnsi="微软雅黑" w:eastAsia="微软雅黑"/>
          <w:b/>
          <w:w w:val="90"/>
          <w:sz w:val="21"/>
        </w:rPr>
        <w:t>淋</w:t>
      </w:r>
      <w:r>
        <w:rPr>
          <w:rFonts w:ascii="微软雅黑" w:hAnsi="微软雅黑" w:eastAsia="微软雅黑"/>
          <w:b/>
          <w:w w:val="90"/>
          <w:sz w:val="21"/>
        </w:rPr>
        <w:t>巴</w:t>
      </w:r>
      <w:r>
        <w:rPr>
          <w:rFonts w:ascii="微软雅黑" w:hAnsi="微软雅黑" w:eastAsia="微软雅黑"/>
          <w:b/>
          <w:w w:val="90"/>
          <w:sz w:val="21"/>
        </w:rPr>
        <w:t>结</w:t>
      </w:r>
      <w:r>
        <w:rPr>
          <w:rFonts w:ascii="微软雅黑" w:hAnsi="微软雅黑" w:eastAsia="微软雅黑"/>
          <w:b/>
          <w:w w:val="90"/>
          <w:sz w:val="21"/>
        </w:rPr>
        <w:t>和</w:t>
      </w:r>
      <w:r>
        <w:rPr>
          <w:rFonts w:ascii="微软雅黑" w:hAnsi="微软雅黑" w:eastAsia="微软雅黑"/>
          <w:b/>
          <w:w w:val="90"/>
          <w:sz w:val="21"/>
        </w:rPr>
        <w:t>远处</w:t>
      </w:r>
      <w:r>
        <w:rPr>
          <w:rFonts w:ascii="微软雅黑" w:hAnsi="微软雅黑" w:eastAsia="微软雅黑"/>
          <w:b/>
          <w:w w:val="90"/>
          <w:sz w:val="21"/>
        </w:rPr>
        <w:t>转</w:t>
      </w:r>
      <w:r>
        <w:rPr>
          <w:rFonts w:ascii="微软雅黑" w:hAnsi="微软雅黑" w:eastAsia="微软雅黑"/>
          <w:b/>
          <w:w w:val="90"/>
          <w:sz w:val="21"/>
        </w:rPr>
        <w:t>移</w:t>
      </w:r>
      <w:r>
        <w:rPr>
          <w:rFonts w:ascii="微软雅黑" w:hAnsi="微软雅黑" w:eastAsia="微软雅黑"/>
          <w:b/>
          <w:w w:val="90"/>
          <w:sz w:val="21"/>
        </w:rPr>
        <w:t>且</w:t>
      </w:r>
      <w:r>
        <w:rPr>
          <w:rFonts w:ascii="微软雅黑" w:hAnsi="微软雅黑" w:eastAsia="微软雅黑"/>
          <w:b/>
          <w:sz w:val="21"/>
        </w:rPr>
        <w:t> </w:t>
      </w:r>
      <w:r>
        <w:rPr>
          <w:rFonts w:ascii="微软雅黑" w:hAnsi="微软雅黑" w:eastAsia="微软雅黑"/>
          <w:b/>
          <w:w w:val="85"/>
          <w:sz w:val="21"/>
        </w:rPr>
        <w:t>WHO</w:t>
      </w:r>
      <w:r>
        <w:rPr>
          <w:rFonts w:ascii="微软雅黑" w:hAnsi="微软雅黑" w:eastAsia="微软雅黑"/>
          <w:b/>
          <w:spacing w:val="7"/>
          <w:w w:val="85"/>
          <w:sz w:val="21"/>
        </w:rPr>
        <w:t> </w:t>
      </w:r>
      <w:r>
        <w:rPr>
          <w:rFonts w:ascii="微软雅黑" w:hAnsi="微软雅黑" w:eastAsia="微软雅黑"/>
          <w:b/>
          <w:w w:val="90"/>
          <w:sz w:val="21"/>
        </w:rPr>
        <w:t>分</w:t>
      </w:r>
      <w:r>
        <w:rPr>
          <w:rFonts w:ascii="微软雅黑" w:hAnsi="微软雅黑" w:eastAsia="微软雅黑"/>
          <w:b/>
          <w:w w:val="90"/>
          <w:sz w:val="21"/>
        </w:rPr>
        <w:t>级</w:t>
      </w:r>
      <w:r>
        <w:rPr>
          <w:rFonts w:ascii="微软雅黑" w:hAnsi="微软雅黑" w:eastAsia="微软雅黑"/>
          <w:b/>
          <w:w w:val="90"/>
          <w:sz w:val="21"/>
        </w:rPr>
        <w:t>为</w:t>
      </w:r>
      <w:r>
        <w:rPr>
          <w:rFonts w:ascii="微软雅黑" w:hAnsi="微软雅黑" w:eastAsia="微软雅黑"/>
          <w:b/>
          <w:sz w:val="21"/>
        </w:rPr>
        <w:t> </w:t>
      </w:r>
      <w:r>
        <w:rPr>
          <w:rFonts w:ascii="微软雅黑" w:hAnsi="微软雅黑" w:eastAsia="微软雅黑"/>
          <w:b/>
          <w:w w:val="90"/>
          <w:sz w:val="21"/>
        </w:rPr>
        <w:t>G1</w:t>
      </w:r>
      <w:r>
        <w:rPr>
          <w:rFonts w:ascii="微软雅黑" w:hAnsi="微软雅黑" w:eastAsia="微软雅黑"/>
          <w:b/>
          <w:spacing w:val="7"/>
          <w:w w:val="90"/>
          <w:sz w:val="21"/>
        </w:rPr>
        <w:t> </w:t>
      </w:r>
      <w:r>
        <w:rPr>
          <w:rFonts w:ascii="微软雅黑" w:hAnsi="微软雅黑" w:eastAsia="微软雅黑"/>
          <w:b/>
          <w:w w:val="90"/>
          <w:sz w:val="21"/>
        </w:rPr>
        <w:t>级</w:t>
      </w:r>
      <w:r>
        <w:rPr>
          <w:rFonts w:ascii="微软雅黑" w:hAnsi="微软雅黑" w:eastAsia="微软雅黑"/>
          <w:b/>
          <w:w w:val="90"/>
          <w:sz w:val="21"/>
        </w:rPr>
        <w:t>别</w:t>
      </w:r>
      <w:r>
        <w:rPr>
          <w:rFonts w:ascii="微软雅黑" w:hAnsi="微软雅黑" w:eastAsia="微软雅黑"/>
          <w:b/>
          <w:w w:val="90"/>
          <w:sz w:val="21"/>
        </w:rPr>
        <w:t>（</w:t>
      </w:r>
      <w:r>
        <w:rPr>
          <w:rFonts w:ascii="微软雅黑" w:hAnsi="微软雅黑" w:eastAsia="微软雅黑"/>
          <w:b/>
          <w:w w:val="90"/>
          <w:sz w:val="21"/>
        </w:rPr>
        <w:t>核</w:t>
      </w:r>
      <w:r>
        <w:rPr>
          <w:rFonts w:ascii="微软雅黑" w:hAnsi="微软雅黑" w:eastAsia="微软雅黑"/>
          <w:b/>
          <w:w w:val="90"/>
          <w:sz w:val="21"/>
        </w:rPr>
        <w:t>分</w:t>
      </w:r>
      <w:r>
        <w:rPr>
          <w:rFonts w:ascii="微软雅黑" w:hAnsi="微软雅黑" w:eastAsia="微软雅黑"/>
          <w:b/>
          <w:w w:val="90"/>
          <w:sz w:val="21"/>
        </w:rPr>
        <w:t>裂</w:t>
      </w:r>
      <w:r>
        <w:rPr>
          <w:rFonts w:ascii="微软雅黑" w:hAnsi="微软雅黑" w:eastAsia="微软雅黑"/>
          <w:b/>
          <w:w w:val="90"/>
          <w:sz w:val="21"/>
        </w:rPr>
        <w:t>像</w:t>
      </w:r>
      <w:r>
        <w:rPr>
          <w:rFonts w:ascii="微软雅黑" w:hAnsi="微软雅黑" w:eastAsia="微软雅黑"/>
          <w:b/>
          <w:w w:val="90"/>
          <w:sz w:val="21"/>
        </w:rPr>
        <w:t>&lt;10/50</w:t>
      </w:r>
      <w:r>
        <w:rPr>
          <w:rFonts w:ascii="微软雅黑" w:hAnsi="微软雅黑" w:eastAsia="微软雅黑"/>
          <w:b/>
          <w:spacing w:val="42"/>
          <w:w w:val="90"/>
          <w:sz w:val="21"/>
        </w:rPr>
        <w:t> </w:t>
      </w:r>
      <w:r>
        <w:rPr>
          <w:rFonts w:ascii="微软雅黑" w:hAnsi="微软雅黑" w:eastAsia="微软雅黑"/>
          <w:b/>
          <w:w w:val="90"/>
          <w:sz w:val="21"/>
        </w:rPr>
        <w:t>HPF</w:t>
      </w:r>
      <w:r>
        <w:rPr>
          <w:rFonts w:ascii="微软雅黑" w:hAnsi="微软雅黑" w:eastAsia="微软雅黑"/>
          <w:b/>
          <w:sz w:val="21"/>
        </w:rPr>
        <w:t>和 ki-67≤2%）或更轻分级的神经内分泌肿瘤。</w:t>
      </w:r>
    </w:p>
    <w:p>
      <w:pPr>
        <w:spacing w:after="0" w:line="194" w:lineRule="auto"/>
        <w:jc w:val="left"/>
        <w:rPr>
          <w:rFonts w:ascii="微软雅黑" w:hAnsi="微软雅黑" w:eastAsia="微软雅黑"/>
          <w:sz w:val="21"/>
        </w:rPr>
        <w:sectPr>
          <w:type w:val="continuous"/>
          <w:pgSz w:w="11910" w:h="16840"/>
          <w:pgMar w:header="0" w:footer="406" w:top="600" w:bottom="280" w:left="900" w:right="340"/>
          <w:cols w:num="2" w:equalWidth="0">
            <w:col w:w="2747" w:space="40"/>
            <w:col w:w="7883"/>
          </w:cols>
        </w:sectPr>
      </w:pPr>
    </w:p>
    <w:p>
      <w:pPr>
        <w:pStyle w:val="BodyText"/>
        <w:spacing w:before="14"/>
        <w:rPr>
          <w:rFonts w:ascii="微软雅黑"/>
          <w:b/>
          <w:sz w:val="18"/>
        </w:rPr>
      </w:pPr>
    </w:p>
    <w:p>
      <w:pPr>
        <w:spacing w:after="0"/>
        <w:rPr>
          <w:rFonts w:ascii="微软雅黑"/>
          <w:sz w:val="18"/>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left"/>
        <w:rPr>
          <w:sz w:val="21"/>
        </w:rPr>
      </w:pPr>
      <w:r>
        <w:rPr>
          <w:spacing w:val="24"/>
          <w:sz w:val="21"/>
        </w:rPr>
        <w:t>较重急性心肌</w:t>
      </w:r>
      <w:r>
        <w:rPr>
          <w:spacing w:val="-6"/>
          <w:sz w:val="21"/>
        </w:rPr>
        <w:t>梗死</w:t>
      </w:r>
    </w:p>
    <w:p>
      <w:pPr>
        <w:pStyle w:val="BodyText"/>
        <w:spacing w:line="278" w:lineRule="auto" w:before="72"/>
        <w:ind w:left="142" w:right="560"/>
      </w:pPr>
      <w:r>
        <w:rPr/>
        <w:br w:type="column"/>
      </w:r>
      <w:r>
        <w:rPr>
          <w:w w:val="100"/>
        </w:rPr>
        <w:t>急性心肌梗死指由于冠状动脉闭塞或梗阻引起部分心肌严重的持久性缺血造</w:t>
      </w:r>
      <w:r>
        <w:rPr>
          <w:spacing w:val="-10"/>
          <w:w w:val="100"/>
        </w:rPr>
        <w:t>成急性心肌坏死。急性心肌梗死的诊断必须依据国际国内诊断标准，符合</w:t>
      </w:r>
      <w:r>
        <w:rPr>
          <w:spacing w:val="-1"/>
          <w:w w:val="100"/>
        </w:rPr>
        <w:t>（</w:t>
      </w:r>
      <w:r>
        <w:rPr>
          <w:spacing w:val="-3"/>
          <w:w w:val="100"/>
        </w:rPr>
        <w:t>1</w:t>
      </w:r>
      <w:r>
        <w:rPr>
          <w:w w:val="100"/>
        </w:rPr>
        <w:t>）</w:t>
      </w:r>
      <w:r>
        <w:rPr>
          <w:spacing w:val="-3"/>
          <w:w w:val="100"/>
        </w:rPr>
        <w:t>检测到肌酸激酶同工酶</w:t>
      </w:r>
      <w:r>
        <w:rPr>
          <w:spacing w:val="-1"/>
          <w:w w:val="100"/>
        </w:rPr>
        <w:t>（</w:t>
      </w:r>
      <w:r>
        <w:rPr>
          <w:spacing w:val="-3"/>
          <w:w w:val="100"/>
        </w:rPr>
        <w:t>C</w:t>
      </w:r>
      <w:r>
        <w:rPr>
          <w:w w:val="100"/>
        </w:rPr>
        <w:t>K-M</w:t>
      </w:r>
      <w:r>
        <w:rPr>
          <w:spacing w:val="-3"/>
          <w:w w:val="100"/>
        </w:rPr>
        <w:t>B</w:t>
      </w:r>
      <w:r>
        <w:rPr>
          <w:w w:val="100"/>
        </w:rPr>
        <w:t>）</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w:t>
      </w:r>
      <w:r>
        <w:rPr>
          <w:w w:val="100"/>
        </w:rPr>
        <w:t>的证据，包括：缺血性胸痛症状、新发生的缺血性心电图改变、新生成的病理性</w:t>
      </w:r>
      <w:r>
        <w:rPr>
          <w:spacing w:val="-2"/>
        </w:rPr>
        <w:t> </w:t>
      </w:r>
      <w:r>
        <w:rPr>
          <w:w w:val="100"/>
        </w:rPr>
        <w:t>Q</w:t>
      </w:r>
      <w:r>
        <w:rPr>
          <w:spacing w:val="-2"/>
        </w:rPr>
        <w:t> </w:t>
      </w:r>
      <w:r>
        <w:rPr>
          <w:spacing w:val="-3"/>
          <w:w w:val="100"/>
        </w:rPr>
        <w:t>波、影像学证据显示有新出现的心肌活性丧失或新出现局部室壁运动异常、冠脉造影证实存在冠状动脉血栓。</w:t>
      </w:r>
    </w:p>
    <w:p>
      <w:pPr>
        <w:pStyle w:val="BodyText"/>
        <w:spacing w:line="278" w:lineRule="auto"/>
        <w:ind w:left="142" w:right="667"/>
      </w:pPr>
      <w:r>
        <w:rPr>
          <w:spacing w:val="-2"/>
        </w:rPr>
        <w:t>较重急性心肌梗死指依照上述标准被明确诊断为急性心肌梗死，并且必须同</w:t>
      </w:r>
      <w:r>
        <w:rPr>
          <w:spacing w:val="-2"/>
        </w:rPr>
        <w:t>时满足下列至少一项条件：</w:t>
      </w:r>
    </w:p>
    <w:p>
      <w:pPr>
        <w:pStyle w:val="ListParagraph"/>
        <w:numPr>
          <w:ilvl w:val="0"/>
          <w:numId w:val="50"/>
        </w:numPr>
        <w:tabs>
          <w:tab w:pos="679" w:val="left" w:leader="none"/>
        </w:tabs>
        <w:spacing w:line="278" w:lineRule="auto" w:before="0" w:after="0"/>
        <w:ind w:left="668" w:right="672" w:hanging="526"/>
        <w:jc w:val="left"/>
        <w:rPr>
          <w:sz w:val="21"/>
        </w:rPr>
      </w:pPr>
      <w:r>
        <w:rPr>
          <w:spacing w:val="-2"/>
          <w:sz w:val="21"/>
        </w:rPr>
        <w:t>心肌损伤标志物肌钙蛋白（cTn）升高，至少一次检测结果达到该检验</w:t>
      </w:r>
      <w:r>
        <w:rPr>
          <w:spacing w:val="-3"/>
          <w:sz w:val="21"/>
        </w:rPr>
        <w:t>正常参考值上限的 </w:t>
      </w:r>
      <w:r>
        <w:rPr>
          <w:sz w:val="21"/>
        </w:rPr>
        <w:t>15</w:t>
      </w:r>
      <w:r>
        <w:rPr>
          <w:spacing w:val="-10"/>
          <w:sz w:val="21"/>
        </w:rPr>
        <w:t> 倍</w:t>
      </w:r>
      <w:r>
        <w:rPr>
          <w:sz w:val="21"/>
        </w:rPr>
        <w:t>（含）以上；</w:t>
      </w:r>
    </w:p>
    <w:p>
      <w:pPr>
        <w:pStyle w:val="ListParagraph"/>
        <w:numPr>
          <w:ilvl w:val="0"/>
          <w:numId w:val="50"/>
        </w:numPr>
        <w:tabs>
          <w:tab w:pos="679" w:val="left" w:leader="none"/>
        </w:tabs>
        <w:spacing w:line="278" w:lineRule="auto" w:before="0" w:after="0"/>
        <w:ind w:left="668" w:right="666" w:hanging="526"/>
        <w:jc w:val="left"/>
        <w:rPr>
          <w:sz w:val="21"/>
        </w:rPr>
      </w:pPr>
      <w:r>
        <w:rPr>
          <w:spacing w:val="-2"/>
          <w:sz w:val="21"/>
        </w:rPr>
        <w:t>肌酸激酶同工酶（CK-MB）升高，至少一次检测结果达到该检验正常参</w:t>
      </w:r>
      <w:r>
        <w:rPr>
          <w:spacing w:val="-4"/>
          <w:sz w:val="21"/>
        </w:rPr>
        <w:t>考值上限的 </w:t>
      </w:r>
      <w:r>
        <w:rPr>
          <w:sz w:val="21"/>
        </w:rPr>
        <w:t>2</w:t>
      </w:r>
      <w:r>
        <w:rPr>
          <w:spacing w:val="-11"/>
          <w:sz w:val="21"/>
        </w:rPr>
        <w:t> 倍</w:t>
      </w:r>
      <w:r>
        <w:rPr>
          <w:sz w:val="21"/>
        </w:rPr>
        <w:t>（含）以上；</w:t>
      </w:r>
    </w:p>
    <w:p>
      <w:pPr>
        <w:pStyle w:val="ListParagraph"/>
        <w:numPr>
          <w:ilvl w:val="0"/>
          <w:numId w:val="50"/>
        </w:numPr>
        <w:tabs>
          <w:tab w:pos="672" w:val="left" w:leader="none"/>
        </w:tabs>
        <w:spacing w:line="278" w:lineRule="auto" w:before="0" w:after="0"/>
        <w:ind w:left="668" w:right="563" w:hanging="526"/>
        <w:jc w:val="left"/>
        <w:rPr>
          <w:sz w:val="21"/>
        </w:rPr>
      </w:pPr>
      <w:r>
        <w:rPr>
          <w:spacing w:val="-2"/>
          <w:sz w:val="21"/>
        </w:rPr>
        <w:t>出现左心室收缩功能下降，在确诊 </w:t>
      </w:r>
      <w:r>
        <w:rPr>
          <w:sz w:val="21"/>
        </w:rPr>
        <w:t>6</w:t>
      </w:r>
      <w:r>
        <w:rPr>
          <w:spacing w:val="-5"/>
          <w:sz w:val="21"/>
        </w:rPr>
        <w:t> 周以后，检测左室射血分数</w:t>
      </w:r>
      <w:r>
        <w:rPr>
          <w:sz w:val="21"/>
        </w:rPr>
        <w:t>（LVEF）</w:t>
      </w:r>
      <w:r>
        <w:rPr>
          <w:spacing w:val="-15"/>
          <w:sz w:val="21"/>
        </w:rPr>
        <w:t>低于 </w:t>
      </w:r>
      <w:r>
        <w:rPr>
          <w:sz w:val="21"/>
        </w:rPr>
        <w:t>50%（不含）；</w:t>
      </w:r>
    </w:p>
    <w:p>
      <w:pPr>
        <w:pStyle w:val="ListParagraph"/>
        <w:numPr>
          <w:ilvl w:val="0"/>
          <w:numId w:val="50"/>
        </w:numPr>
        <w:tabs>
          <w:tab w:pos="670" w:val="left" w:leader="none"/>
        </w:tabs>
        <w:spacing w:line="278" w:lineRule="auto" w:before="0" w:after="0"/>
        <w:ind w:left="668" w:right="666" w:hanging="526"/>
        <w:jc w:val="left"/>
        <w:rPr>
          <w:sz w:val="21"/>
        </w:rPr>
      </w:pPr>
      <w:r>
        <w:rPr>
          <w:spacing w:val="-2"/>
          <w:sz w:val="21"/>
        </w:rPr>
        <w:t>影像学检查证实存在新发的乳头肌功能失调或断裂引起的中度（含）以</w:t>
      </w:r>
      <w:r>
        <w:rPr>
          <w:spacing w:val="-2"/>
          <w:sz w:val="21"/>
        </w:rPr>
        <w:t>上的二尖瓣反流；</w:t>
      </w:r>
    </w:p>
    <w:p>
      <w:pPr>
        <w:pStyle w:val="ListParagraph"/>
        <w:numPr>
          <w:ilvl w:val="0"/>
          <w:numId w:val="50"/>
        </w:numPr>
        <w:tabs>
          <w:tab w:pos="672" w:val="left" w:leader="none"/>
        </w:tabs>
        <w:spacing w:line="269" w:lineRule="exact" w:before="0" w:after="0"/>
        <w:ind w:left="672" w:right="0" w:hanging="530"/>
        <w:jc w:val="left"/>
        <w:rPr>
          <w:sz w:val="21"/>
        </w:rPr>
      </w:pPr>
      <w:r>
        <w:rPr>
          <w:spacing w:val="-3"/>
          <w:sz w:val="21"/>
        </w:rPr>
        <w:t>影像学检查证实存在新出现的室壁瘤；</w:t>
      </w:r>
    </w:p>
    <w:p>
      <w:pPr>
        <w:pStyle w:val="ListParagraph"/>
        <w:numPr>
          <w:ilvl w:val="0"/>
          <w:numId w:val="50"/>
        </w:numPr>
        <w:tabs>
          <w:tab w:pos="672" w:val="left" w:leader="none"/>
        </w:tabs>
        <w:spacing w:line="257" w:lineRule="exact" w:before="42" w:after="0"/>
        <w:ind w:left="672" w:right="0" w:hanging="530"/>
        <w:jc w:val="left"/>
        <w:rPr>
          <w:sz w:val="21"/>
        </w:rPr>
      </w:pPr>
      <w:r>
        <w:rPr>
          <w:spacing w:val="-3"/>
          <w:sz w:val="21"/>
        </w:rPr>
        <w:t>出现室性心动过速、心室颤动或心源性休克。</w:t>
      </w:r>
    </w:p>
    <w:p>
      <w:pPr>
        <w:pStyle w:val="Heading2"/>
        <w:spacing w:line="375" w:lineRule="exact"/>
        <w:ind w:left="142"/>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塞性疾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375" w:lineRule="exact"/>
        <w:sectPr>
          <w:type w:val="continuous"/>
          <w:pgSz w:w="11910" w:h="16840"/>
          <w:pgMar w:header="0" w:footer="406" w:top="600" w:bottom="280" w:left="900" w:right="340"/>
          <w:cols w:num="2" w:equalWidth="0">
            <w:col w:w="2778" w:space="40"/>
            <w:col w:w="7852"/>
          </w:cols>
        </w:sectPr>
      </w:pPr>
    </w:p>
    <w:p>
      <w:pPr>
        <w:pStyle w:val="ListParagraph"/>
        <w:numPr>
          <w:ilvl w:val="2"/>
          <w:numId w:val="40"/>
        </w:numPr>
        <w:tabs>
          <w:tab w:pos="1323" w:val="left" w:leader="none"/>
        </w:tabs>
        <w:spacing w:line="278" w:lineRule="auto" w:before="57" w:after="0"/>
        <w:ind w:left="1080" w:right="0" w:firstLine="0"/>
        <w:jc w:val="left"/>
        <w:rPr>
          <w:sz w:val="21"/>
        </w:rPr>
      </w:pPr>
      <w:r>
        <w:rPr>
          <w:spacing w:val="24"/>
          <w:sz w:val="21"/>
        </w:rPr>
        <w:t>严重脑中风后</w:t>
      </w:r>
      <w:r>
        <w:rPr>
          <w:spacing w:val="-6"/>
          <w:sz w:val="21"/>
        </w:rPr>
        <w:t>遗症</w:t>
      </w:r>
    </w:p>
    <w:p>
      <w:pPr>
        <w:pStyle w:val="BodyText"/>
        <w:spacing w:before="57"/>
        <w:ind w:left="142"/>
      </w:pPr>
      <w:r>
        <w:rPr/>
        <w:br w:type="column"/>
      </w:r>
      <w:r>
        <w:rPr>
          <w:spacing w:val="-1"/>
        </w:rPr>
        <w:t>指因脑血管的突发病变引起脑血管出血、栓塞或梗塞，须由头颅断层扫描</w:t>
      </w:r>
    </w:p>
    <w:p>
      <w:pPr>
        <w:pStyle w:val="BodyText"/>
        <w:spacing w:line="278" w:lineRule="auto" w:before="43"/>
        <w:ind w:left="142" w:right="666"/>
        <w:jc w:val="both"/>
      </w:pPr>
      <w:r>
        <w:rPr>
          <w:spacing w:val="-2"/>
        </w:rPr>
        <w:t>（CT）、核磁共振检查（MRI）等影像学检查证实，并导致神经系统永久性的</w:t>
      </w:r>
      <w:r>
        <w:rPr>
          <w:spacing w:val="-1"/>
        </w:rPr>
        <w:t>功能障碍。神经系统永久性的功能障碍，指疾病确诊 </w:t>
      </w:r>
      <w:r>
        <w:rPr/>
        <w:t>180</w:t>
      </w:r>
      <w:r>
        <w:rPr>
          <w:spacing w:val="-4"/>
        </w:rPr>
        <w:t> 天后，仍遗留下列</w:t>
      </w:r>
      <w:r>
        <w:rPr>
          <w:spacing w:val="-2"/>
        </w:rPr>
        <w:t>至少一种障碍：</w:t>
      </w:r>
    </w:p>
    <w:p>
      <w:pPr>
        <w:pStyle w:val="ListParagraph"/>
        <w:numPr>
          <w:ilvl w:val="0"/>
          <w:numId w:val="51"/>
        </w:numPr>
        <w:tabs>
          <w:tab w:pos="672" w:val="left" w:leader="none"/>
        </w:tabs>
        <w:spacing w:line="257" w:lineRule="exact" w:before="0" w:after="0"/>
        <w:ind w:left="672" w:right="0" w:hanging="530"/>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1"/>
        </w:numPr>
        <w:tabs>
          <w:tab w:pos="672" w:val="left" w:leader="none"/>
        </w:tabs>
        <w:spacing w:line="371" w:lineRule="exact" w:before="0" w:after="0"/>
        <w:ind w:left="672" w:right="0" w:hanging="530"/>
        <w:jc w:val="both"/>
        <w:rPr>
          <w:sz w:val="21"/>
        </w:rPr>
      </w:pPr>
      <w:r>
        <w:rPr>
          <w:rFonts w:ascii="微软雅黑" w:eastAsia="微软雅黑"/>
          <w:b/>
          <w:spacing w:val="-1"/>
          <w:sz w:val="21"/>
        </w:rPr>
        <w:t>语言能力完全丧失，或严重咀嚼吞咽功能障碍 </w:t>
      </w:r>
      <w:r>
        <w:rPr>
          <w:spacing w:val="-2"/>
          <w:position w:val="11"/>
          <w:sz w:val="11"/>
        </w:rPr>
        <w:t>11.30</w:t>
      </w:r>
      <w:r>
        <w:rPr>
          <w:spacing w:val="-2"/>
          <w:sz w:val="21"/>
        </w:rPr>
        <w:t>；</w:t>
      </w:r>
    </w:p>
    <w:p>
      <w:pPr>
        <w:pStyle w:val="ListParagraph"/>
        <w:numPr>
          <w:ilvl w:val="0"/>
          <w:numId w:val="51"/>
        </w:numPr>
        <w:tabs>
          <w:tab w:pos="670" w:val="left" w:leader="none"/>
        </w:tabs>
        <w:spacing w:line="278" w:lineRule="auto" w:before="0" w:after="0"/>
        <w:ind w:left="66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pgSz w:w="11910" w:h="16840"/>
          <w:pgMar w:header="0" w:footer="406" w:top="1080" w:bottom="600" w:left="900" w:right="340"/>
          <w:cols w:num="2" w:equalWidth="0">
            <w:col w:w="2778" w:space="40"/>
            <w:col w:w="7852"/>
          </w:cols>
        </w:sectPr>
      </w:pPr>
    </w:p>
    <w:p>
      <w:pPr>
        <w:pStyle w:val="BodyText"/>
        <w:spacing w:before="11"/>
        <w:rPr>
          <w:sz w:val="11"/>
        </w:rPr>
      </w:pPr>
    </w:p>
    <w:p>
      <w:pPr>
        <w:spacing w:after="0"/>
        <w:rPr>
          <w:sz w:val="11"/>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both"/>
        <w:rPr>
          <w:sz w:val="21"/>
        </w:rPr>
      </w:pPr>
      <w:r>
        <w:rPr>
          <w:spacing w:val="24"/>
          <w:sz w:val="21"/>
        </w:rPr>
        <w:t>重大器官移植</w:t>
      </w:r>
      <w:r>
        <w:rPr>
          <w:spacing w:val="26"/>
          <w:sz w:val="21"/>
        </w:rPr>
        <w:t>术或造血干细胞</w:t>
      </w:r>
      <w:r>
        <w:rPr>
          <w:spacing w:val="-4"/>
          <w:sz w:val="21"/>
        </w:rPr>
        <w:t>移植术</w:t>
      </w:r>
    </w:p>
    <w:p>
      <w:pPr>
        <w:pStyle w:val="BodyText"/>
        <w:spacing w:line="278" w:lineRule="auto" w:before="72"/>
        <w:ind w:left="142" w:right="674"/>
      </w:pPr>
      <w:r>
        <w:rPr/>
        <w:br w:type="column"/>
      </w:r>
      <w:r>
        <w:rPr>
          <w:spacing w:val="-2"/>
        </w:rPr>
        <w:t>重大器官移植术，指因相应器官功能衰竭，已经实施了肾脏、肝脏、心脏、</w:t>
      </w:r>
      <w:r>
        <w:rPr>
          <w:spacing w:val="-2"/>
        </w:rPr>
        <w:t>肺脏或小肠的异体移植手术。</w:t>
      </w:r>
    </w:p>
    <w:p>
      <w:pPr>
        <w:pStyle w:val="BodyText"/>
        <w:spacing w:line="278" w:lineRule="auto"/>
        <w:ind w:left="142" w:right="667"/>
        <w:jc w:val="both"/>
      </w:pPr>
      <w:r>
        <w:rPr>
          <w:spacing w:val="-2"/>
        </w:rPr>
        <w:t>造血干细胞移植术，指因造血功能损害或造血系统恶性肿瘤，已经实施了造</w:t>
      </w:r>
      <w:r>
        <w:rPr>
          <w:spacing w:val="-2"/>
        </w:rPr>
        <w:t>血干细胞（包括骨髓造血干细胞、外周血造血干细胞和脐血造血干细胞）的</w:t>
      </w:r>
      <w:r>
        <w:rPr>
          <w:spacing w:val="-2"/>
        </w:rPr>
        <w:t>移植手术。</w:t>
      </w:r>
    </w:p>
    <w:p>
      <w:pPr>
        <w:spacing w:after="0" w:line="278" w:lineRule="auto"/>
        <w:jc w:val="both"/>
        <w:sectPr>
          <w:type w:val="continuous"/>
          <w:pgSz w:w="11910" w:h="16840"/>
          <w:pgMar w:header="0" w:footer="406" w:top="600" w:bottom="280" w:left="900" w:right="340"/>
          <w:cols w:num="2" w:equalWidth="0">
            <w:col w:w="2778" w:space="40"/>
            <w:col w:w="7852"/>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both"/>
        <w:rPr>
          <w:sz w:val="21"/>
        </w:rPr>
      </w:pPr>
      <w:r>
        <w:rPr>
          <w:spacing w:val="24"/>
          <w:sz w:val="21"/>
        </w:rPr>
        <w:t>冠状动脉搭桥</w:t>
      </w:r>
      <w:r>
        <w:rPr>
          <w:spacing w:val="-2"/>
          <w:sz w:val="21"/>
        </w:rPr>
        <w:t>术（或称冠状动脉</w:t>
      </w:r>
      <w:r>
        <w:rPr>
          <w:spacing w:val="-2"/>
          <w:sz w:val="21"/>
        </w:rPr>
        <w:t>旁路移植术）</w:t>
      </w:r>
    </w:p>
    <w:p>
      <w:pPr>
        <w:pStyle w:val="BodyText"/>
        <w:spacing w:line="278" w:lineRule="auto" w:before="72"/>
        <w:ind w:left="142" w:right="667"/>
      </w:pPr>
      <w:r>
        <w:rPr/>
        <w:br w:type="column"/>
      </w:r>
      <w:r>
        <w:rPr>
          <w:spacing w:val="-2"/>
        </w:rPr>
        <w:t>指为治疗严重的冠心病，已经实施了切开心包进行的冠状动脉血管旁路移植</w:t>
      </w:r>
      <w:r>
        <w:rPr>
          <w:spacing w:val="-4"/>
        </w:rPr>
        <w:t>的手术。</w:t>
      </w:r>
    </w:p>
    <w:p>
      <w:pPr>
        <w:pStyle w:val="Heading2"/>
        <w:spacing w:line="320" w:lineRule="exact"/>
        <w:ind w:left="142"/>
      </w:pPr>
      <w:r>
        <w:rPr>
          <w:spacing w:val="-3"/>
        </w:rPr>
        <w:t>所有未切开心包的冠状动脉介入治疗不在保障范围内。</w:t>
      </w:r>
    </w:p>
    <w:p>
      <w:pPr>
        <w:spacing w:after="0" w:line="320" w:lineRule="exact"/>
        <w:sectPr>
          <w:type w:val="continuous"/>
          <w:pgSz w:w="11910" w:h="16840"/>
          <w:pgMar w:header="0" w:footer="406" w:top="600" w:bottom="280" w:left="900" w:right="340"/>
          <w:cols w:num="2" w:equalWidth="0">
            <w:col w:w="2778" w:space="40"/>
            <w:col w:w="7852"/>
          </w:cols>
        </w:sectPr>
      </w:pPr>
    </w:p>
    <w:p>
      <w:pPr>
        <w:pStyle w:val="BodyText"/>
        <w:rPr>
          <w:rFonts w:ascii="微软雅黑"/>
          <w:b/>
          <w:sz w:val="13"/>
        </w:rPr>
      </w:pPr>
    </w:p>
    <w:p>
      <w:pPr>
        <w:spacing w:after="0"/>
        <w:rPr>
          <w:rFonts w:ascii="微软雅黑"/>
          <w:sz w:val="13"/>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left"/>
        <w:rPr>
          <w:sz w:val="21"/>
        </w:rPr>
      </w:pPr>
      <w:r>
        <w:rPr>
          <w:spacing w:val="24"/>
          <w:sz w:val="21"/>
        </w:rPr>
        <w:t>严重慢性肾衰</w:t>
      </w:r>
      <w:r>
        <w:rPr>
          <w:spacing w:val="-10"/>
          <w:sz w:val="21"/>
        </w:rPr>
        <w:t>竭</w:t>
      </w:r>
    </w:p>
    <w:p>
      <w:pPr>
        <w:pStyle w:val="BodyText"/>
        <w:spacing w:line="278" w:lineRule="auto" w:before="72"/>
        <w:ind w:left="142" w:right="668"/>
        <w:jc w:val="both"/>
      </w:pPr>
      <w:r>
        <w:rPr/>
        <w:br w:type="column"/>
      </w:r>
      <w:r>
        <w:rPr>
          <w:spacing w:val="-2"/>
        </w:rPr>
        <w:t>指双肾功能慢性不可逆性衰竭，依据肾脏病预后质量倡议（K/DOQI）制定的</w:t>
      </w:r>
      <w:r>
        <w:rPr>
          <w:w w:val="95"/>
        </w:rPr>
        <w:t>指</w:t>
      </w:r>
      <w:r>
        <w:rPr>
          <w:w w:val="95"/>
        </w:rPr>
        <w:t>南，分期达到慢性</w:t>
      </w:r>
      <w:r>
        <w:rPr>
          <w:w w:val="95"/>
        </w:rPr>
        <w:t>肾</w:t>
      </w:r>
      <w:r>
        <w:rPr>
          <w:w w:val="95"/>
        </w:rPr>
        <w:t>脏</w:t>
      </w:r>
      <w:r>
        <w:rPr>
          <w:w w:val="95"/>
        </w:rPr>
        <w:t>病 5 </w:t>
      </w:r>
      <w:r>
        <w:rPr>
          <w:w w:val="95"/>
        </w:rPr>
        <w:t>期</w:t>
      </w:r>
      <w:r>
        <w:rPr>
          <w:w w:val="95"/>
        </w:rPr>
        <w:t>，且经诊断后</w:t>
      </w:r>
      <w:r>
        <w:rPr>
          <w:w w:val="95"/>
        </w:rPr>
        <w:t>已</w:t>
      </w:r>
      <w:r>
        <w:rPr>
          <w:w w:val="95"/>
        </w:rPr>
        <w:t>经</w:t>
      </w:r>
      <w:r>
        <w:rPr>
          <w:w w:val="95"/>
        </w:rPr>
        <w:t>进</w:t>
      </w:r>
      <w:r>
        <w:rPr>
          <w:w w:val="95"/>
        </w:rPr>
        <w:t>行</w:t>
      </w:r>
      <w:r>
        <w:rPr>
          <w:w w:val="95"/>
        </w:rPr>
        <w:t>了</w:t>
      </w:r>
      <w:r>
        <w:rPr>
          <w:w w:val="95"/>
        </w:rPr>
        <w:t>至</w:t>
      </w:r>
      <w:r>
        <w:rPr>
          <w:w w:val="95"/>
        </w:rPr>
        <w:t>少 90 天的规律</w:t>
      </w:r>
      <w:r>
        <w:rPr>
          <w:w w:val="95"/>
        </w:rPr>
        <w:t>性</w:t>
      </w:r>
      <w:r>
        <w:rPr>
          <w:spacing w:val="-2"/>
        </w:rPr>
        <w:t>透析治疗。规律性透析是指每周进行血液透析或每天进行腹膜透析。</w:t>
      </w:r>
    </w:p>
    <w:p>
      <w:pPr>
        <w:spacing w:after="0" w:line="278" w:lineRule="auto"/>
        <w:jc w:val="both"/>
        <w:sectPr>
          <w:type w:val="continuous"/>
          <w:pgSz w:w="11910" w:h="16840"/>
          <w:pgMar w:header="0" w:footer="406" w:top="600" w:bottom="280" w:left="900" w:right="340"/>
          <w:cols w:num="2" w:equalWidth="0">
            <w:col w:w="2778" w:space="40"/>
            <w:col w:w="7852"/>
          </w:cols>
        </w:sectPr>
      </w:pPr>
    </w:p>
    <w:p>
      <w:pPr>
        <w:pStyle w:val="BodyText"/>
        <w:spacing w:before="2"/>
        <w:rPr>
          <w:sz w:val="12"/>
        </w:rPr>
      </w:pPr>
    </w:p>
    <w:p>
      <w:pPr>
        <w:pStyle w:val="ListParagraph"/>
        <w:numPr>
          <w:ilvl w:val="2"/>
          <w:numId w:val="40"/>
        </w:numPr>
        <w:tabs>
          <w:tab w:pos="1293" w:val="left" w:leader="none"/>
          <w:tab w:pos="2960" w:val="left" w:leader="none"/>
        </w:tabs>
        <w:spacing w:line="278" w:lineRule="auto" w:before="72" w:after="0"/>
        <w:ind w:left="2960" w:right="667" w:hanging="1880"/>
        <w:jc w:val="left"/>
        <w:rPr>
          <w:sz w:val="21"/>
        </w:rPr>
      </w:pPr>
      <w:r>
        <w:rPr>
          <w:spacing w:val="-2"/>
          <w:sz w:val="21"/>
        </w:rPr>
        <w:t>多个肢体</w:t>
      </w:r>
      <w:r>
        <w:rPr>
          <w:spacing w:val="-2"/>
          <w:sz w:val="21"/>
        </w:rPr>
        <w:t>缺</w:t>
      </w:r>
      <w:r>
        <w:rPr>
          <w:spacing w:val="-2"/>
          <w:sz w:val="21"/>
        </w:rPr>
        <w:t>失</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两</w:t>
      </w:r>
      <w:r>
        <w:rPr>
          <w:spacing w:val="-2"/>
          <w:sz w:val="21"/>
        </w:rPr>
        <w:t>个</w:t>
      </w:r>
      <w:r>
        <w:rPr>
          <w:spacing w:val="-2"/>
          <w:sz w:val="21"/>
        </w:rPr>
        <w:t>或</w:t>
      </w:r>
      <w:r>
        <w:rPr>
          <w:spacing w:val="-2"/>
          <w:sz w:val="21"/>
        </w:rPr>
        <w:t>两</w:t>
      </w:r>
      <w:r>
        <w:rPr>
          <w:spacing w:val="-2"/>
          <w:sz w:val="21"/>
        </w:rPr>
        <w:t>个</w:t>
      </w:r>
      <w:r>
        <w:rPr>
          <w:spacing w:val="-2"/>
          <w:sz w:val="21"/>
        </w:rPr>
        <w:t>以</w:t>
      </w:r>
      <w:r>
        <w:rPr>
          <w:spacing w:val="-2"/>
          <w:sz w:val="21"/>
        </w:rPr>
        <w:t>上</w:t>
      </w:r>
      <w:r>
        <w:rPr>
          <w:spacing w:val="-2"/>
          <w:sz w:val="21"/>
        </w:rPr>
        <w:t>肢</w:t>
      </w:r>
      <w:r>
        <w:rPr>
          <w:spacing w:val="-2"/>
          <w:sz w:val="21"/>
        </w:rPr>
        <w:t>体自腕</w:t>
      </w:r>
      <w:r>
        <w:rPr>
          <w:spacing w:val="-2"/>
          <w:sz w:val="21"/>
        </w:rPr>
        <w:t>关</w:t>
      </w:r>
      <w:r>
        <w:rPr>
          <w:spacing w:val="-2"/>
          <w:sz w:val="21"/>
        </w:rPr>
        <w:t>节</w:t>
      </w:r>
      <w:r>
        <w:rPr>
          <w:spacing w:val="-2"/>
          <w:sz w:val="21"/>
        </w:rPr>
        <w:t>或</w:t>
      </w:r>
      <w:r>
        <w:rPr>
          <w:spacing w:val="-2"/>
          <w:sz w:val="21"/>
        </w:rPr>
        <w:t>踝</w:t>
      </w:r>
      <w:r>
        <w:rPr>
          <w:spacing w:val="-2"/>
          <w:sz w:val="21"/>
        </w:rPr>
        <w:t>关</w:t>
      </w:r>
      <w:r>
        <w:rPr>
          <w:spacing w:val="-2"/>
          <w:sz w:val="21"/>
        </w:rPr>
        <w:t>节</w:t>
      </w:r>
      <w:r>
        <w:rPr>
          <w:spacing w:val="-2"/>
          <w:sz w:val="21"/>
        </w:rPr>
        <w:t>近</w:t>
      </w:r>
      <w:r>
        <w:rPr>
          <w:spacing w:val="-2"/>
          <w:sz w:val="21"/>
        </w:rPr>
        <w:t>端</w:t>
      </w:r>
      <w:r>
        <w:rPr>
          <w:spacing w:val="-2"/>
          <w:sz w:val="21"/>
        </w:rPr>
        <w:t>（</w:t>
      </w:r>
      <w:r>
        <w:rPr>
          <w:spacing w:val="-2"/>
          <w:sz w:val="21"/>
        </w:rPr>
        <w:t>靠</w:t>
      </w:r>
      <w:r>
        <w:rPr>
          <w:spacing w:val="-2"/>
          <w:sz w:val="21"/>
        </w:rPr>
        <w:t>近</w:t>
      </w:r>
      <w:r>
        <w:rPr>
          <w:spacing w:val="-2"/>
          <w:sz w:val="21"/>
        </w:rPr>
        <w:t>躯</w:t>
      </w:r>
      <w:r>
        <w:rPr>
          <w:spacing w:val="-2"/>
          <w:sz w:val="21"/>
        </w:rPr>
        <w:t>干</w:t>
      </w:r>
      <w:r>
        <w:rPr>
          <w:spacing w:val="-2"/>
          <w:sz w:val="21"/>
        </w:rPr>
        <w:t>端）以上完全性断离。</w:t>
      </w: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1" w:after="0"/>
        <w:ind w:left="1080" w:right="0" w:firstLine="0"/>
        <w:jc w:val="both"/>
        <w:rPr>
          <w:sz w:val="21"/>
        </w:rPr>
      </w:pPr>
      <w:r>
        <w:rPr>
          <w:spacing w:val="24"/>
          <w:sz w:val="21"/>
        </w:rPr>
        <w:t>急性重症肝炎</w:t>
      </w:r>
      <w:r>
        <w:rPr>
          <w:spacing w:val="26"/>
          <w:sz w:val="21"/>
        </w:rPr>
        <w:t>或亚急性重症肝</w:t>
      </w:r>
      <w:r>
        <w:rPr>
          <w:spacing w:val="-10"/>
          <w:sz w:val="21"/>
        </w:rPr>
        <w:t>炎</w:t>
      </w:r>
    </w:p>
    <w:p>
      <w:pPr>
        <w:pStyle w:val="BodyText"/>
        <w:spacing w:line="278" w:lineRule="auto" w:before="71"/>
        <w:ind w:left="142" w:right="667"/>
      </w:pPr>
      <w:r>
        <w:rPr/>
        <w:br w:type="column"/>
      </w:r>
      <w:r>
        <w:rPr>
          <w:spacing w:val="-2"/>
        </w:rPr>
        <w:t>指因肝炎病毒感染引起肝脏组织弥漫性坏死，导致急性肝功能衰竭，且经血</w:t>
      </w:r>
      <w:r>
        <w:rPr>
          <w:spacing w:val="-2"/>
        </w:rPr>
        <w:t>清学或病毒学检查证实，并须满足下列全部条件：</w:t>
      </w:r>
    </w:p>
    <w:p>
      <w:pPr>
        <w:pStyle w:val="ListParagraph"/>
        <w:numPr>
          <w:ilvl w:val="0"/>
          <w:numId w:val="52"/>
        </w:numPr>
        <w:tabs>
          <w:tab w:pos="672" w:val="left" w:leader="none"/>
        </w:tabs>
        <w:spacing w:line="240" w:lineRule="auto" w:before="0" w:after="0"/>
        <w:ind w:left="671" w:right="0" w:hanging="530"/>
        <w:jc w:val="left"/>
        <w:rPr>
          <w:sz w:val="21"/>
        </w:rPr>
      </w:pPr>
      <w:r>
        <w:rPr>
          <w:spacing w:val="-3"/>
          <w:sz w:val="21"/>
        </w:rPr>
        <w:t>重度黄疸或黄疸迅速加重；</w:t>
      </w:r>
    </w:p>
    <w:p>
      <w:pPr>
        <w:pStyle w:val="ListParagraph"/>
        <w:numPr>
          <w:ilvl w:val="0"/>
          <w:numId w:val="52"/>
        </w:numPr>
        <w:tabs>
          <w:tab w:pos="672" w:val="left" w:leader="none"/>
        </w:tabs>
        <w:spacing w:line="240" w:lineRule="auto" w:before="43" w:after="0"/>
        <w:ind w:left="671" w:right="0" w:hanging="530"/>
        <w:jc w:val="left"/>
        <w:rPr>
          <w:sz w:val="21"/>
        </w:rPr>
      </w:pPr>
      <w:r>
        <w:rPr>
          <w:spacing w:val="-4"/>
          <w:sz w:val="21"/>
        </w:rPr>
        <w:t>肝性脑病；</w:t>
      </w:r>
    </w:p>
    <w:p>
      <w:pPr>
        <w:pStyle w:val="BodyText"/>
        <w:spacing w:before="43"/>
        <w:ind w:left="142"/>
      </w:pPr>
      <w:r>
        <w:rPr>
          <w:spacing w:val="-2"/>
        </w:rPr>
        <w:t>（3）B</w:t>
      </w:r>
      <w:r>
        <w:rPr>
          <w:spacing w:val="-10"/>
        </w:rPr>
        <w:t> 超或其他影像学检查显示肝脏体积急速萎缩；</w:t>
      </w:r>
    </w:p>
    <w:p>
      <w:pPr>
        <w:pStyle w:val="BodyText"/>
        <w:spacing w:before="43"/>
        <w:ind w:left="142"/>
      </w:pPr>
      <w:r>
        <w:rPr>
          <w:spacing w:val="-2"/>
        </w:rPr>
        <w:t>（4）</w:t>
      </w:r>
      <w:r>
        <w:rPr>
          <w:spacing w:val="-3"/>
        </w:rPr>
        <w:t>肝功能指标进行性恶化。</w:t>
      </w:r>
    </w:p>
    <w:p>
      <w:pPr>
        <w:spacing w:after="0"/>
        <w:sectPr>
          <w:type w:val="continuous"/>
          <w:pgSz w:w="11910" w:h="16840"/>
          <w:pgMar w:header="0" w:footer="406" w:top="600" w:bottom="280" w:left="900" w:right="340"/>
          <w:cols w:num="2" w:equalWidth="0">
            <w:col w:w="2778" w:space="40"/>
            <w:col w:w="7852"/>
          </w:cols>
        </w:sectPr>
      </w:pPr>
    </w:p>
    <w:p>
      <w:pPr>
        <w:pStyle w:val="BodyText"/>
        <w:spacing w:before="7"/>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323" w:val="left" w:leader="none"/>
        </w:tabs>
        <w:spacing w:line="278" w:lineRule="auto" w:before="72" w:after="0"/>
        <w:ind w:left="1080" w:right="0" w:firstLine="0"/>
        <w:jc w:val="left"/>
        <w:rPr>
          <w:sz w:val="21"/>
        </w:rPr>
      </w:pPr>
      <w:r>
        <w:rPr>
          <w:spacing w:val="24"/>
          <w:sz w:val="21"/>
        </w:rPr>
        <w:t>严重非恶性颅</w:t>
      </w:r>
      <w:r>
        <w:rPr>
          <w:spacing w:val="-4"/>
          <w:sz w:val="21"/>
        </w:rPr>
        <w:t>内脑肿瘤</w:t>
      </w:r>
    </w:p>
    <w:p>
      <w:pPr>
        <w:pStyle w:val="BodyText"/>
        <w:spacing w:before="72"/>
        <w:ind w:left="142"/>
        <w:jc w:val="both"/>
      </w:pPr>
      <w:r>
        <w:rPr/>
        <w:br w:type="column"/>
      </w:r>
      <w:r>
        <w:rPr>
          <w:spacing w:val="-2"/>
        </w:rPr>
        <w:t>指起源于脑、脑神经、脑被膜的非恶性肿瘤，ICD-O-3</w:t>
      </w:r>
      <w:r>
        <w:rPr>
          <w:spacing w:val="-12"/>
        </w:rPr>
        <w:t> 肿瘤形态学编码属于 </w:t>
      </w:r>
      <w:r>
        <w:rPr>
          <w:spacing w:val="-10"/>
        </w:rPr>
        <w:t>0</w:t>
      </w:r>
    </w:p>
    <w:p>
      <w:pPr>
        <w:pStyle w:val="BodyText"/>
        <w:spacing w:line="278" w:lineRule="auto" w:before="43"/>
        <w:ind w:left="142" w:right="666"/>
        <w:jc w:val="both"/>
      </w:pPr>
      <w:r>
        <w:rPr>
          <w:spacing w:val="-2"/>
        </w:rPr>
        <w:t>（良性肿瘤）、1（动态未定性肿瘤）范畴，并已经引起颅内压升高或神经系</w:t>
      </w:r>
      <w:r>
        <w:rPr>
          <w:spacing w:val="-2"/>
        </w:rPr>
        <w:t>统功能损害，出现视乳头水肿或视觉受损、听觉受损、面部或肢体瘫痪、癫</w:t>
      </w:r>
      <w:r>
        <w:rPr>
          <w:spacing w:val="-2"/>
        </w:rPr>
        <w:t>痫等，须由头颅断层扫描（CT）、核磁共振检查（MRI）或正电子发射断层扫</w:t>
      </w:r>
      <w:r>
        <w:rPr>
          <w:spacing w:val="-2"/>
        </w:rPr>
        <w:t>描（PET）等影像学检查证实，且须满足下列至少一项条件：</w:t>
      </w:r>
    </w:p>
    <w:p>
      <w:pPr>
        <w:pStyle w:val="ListParagraph"/>
        <w:numPr>
          <w:ilvl w:val="0"/>
          <w:numId w:val="53"/>
        </w:numPr>
        <w:tabs>
          <w:tab w:pos="672" w:val="left" w:leader="none"/>
        </w:tabs>
        <w:spacing w:line="269" w:lineRule="exact" w:before="0" w:after="0"/>
        <w:ind w:left="672" w:right="0" w:hanging="530"/>
        <w:jc w:val="left"/>
        <w:rPr>
          <w:sz w:val="21"/>
        </w:rPr>
      </w:pPr>
      <w:r>
        <w:rPr>
          <w:spacing w:val="-3"/>
          <w:sz w:val="21"/>
        </w:rPr>
        <w:t>已经实施了开颅进行的颅内肿瘤完全或部分切除手术；</w:t>
      </w:r>
    </w:p>
    <w:p>
      <w:pPr>
        <w:pStyle w:val="ListParagraph"/>
        <w:numPr>
          <w:ilvl w:val="0"/>
          <w:numId w:val="53"/>
        </w:numPr>
        <w:tabs>
          <w:tab w:pos="672" w:val="left" w:leader="none"/>
        </w:tabs>
        <w:spacing w:line="223" w:lineRule="auto" w:before="58" w:after="0"/>
        <w:ind w:left="142" w:right="774" w:firstLine="0"/>
        <w:jc w:val="left"/>
        <w:rPr>
          <w:rFonts w:ascii="微软雅黑" w:hAnsi="微软雅黑" w:eastAsia="微软雅黑"/>
          <w:b/>
          <w:sz w:val="21"/>
        </w:rPr>
      </w:pPr>
      <w:r>
        <w:rPr>
          <w:spacing w:val="2"/>
          <w:sz w:val="21"/>
        </w:rPr>
        <w:t>已经实施了针对颅内肿瘤的放射治疗，如</w:t>
      </w:r>
      <w:r>
        <w:rPr>
          <w:sz w:val="21"/>
        </w:rPr>
        <w:t>γ</w:t>
      </w:r>
      <w:r>
        <w:rPr>
          <w:spacing w:val="-8"/>
          <w:sz w:val="21"/>
        </w:rPr>
        <w:t> 刀、质子重离子治疗等。</w:t>
      </w:r>
      <w:r>
        <w:rPr>
          <w:rFonts w:ascii="微软雅黑" w:hAnsi="微软雅黑" w:eastAsia="微软雅黑"/>
          <w:b/>
          <w:spacing w:val="-2"/>
          <w:sz w:val="21"/>
        </w:rPr>
        <w:t>下列疾病不在保障范围内：</w:t>
      </w:r>
    </w:p>
    <w:p>
      <w:pPr>
        <w:pStyle w:val="ListParagraph"/>
        <w:numPr>
          <w:ilvl w:val="0"/>
          <w:numId w:val="54"/>
        </w:numPr>
        <w:tabs>
          <w:tab w:pos="672" w:val="left" w:leader="none"/>
        </w:tabs>
        <w:spacing w:line="281" w:lineRule="exact" w:before="0" w:after="0"/>
        <w:ind w:left="672" w:right="0" w:hanging="530"/>
        <w:jc w:val="left"/>
        <w:rPr>
          <w:rFonts w:ascii="微软雅黑" w:eastAsia="微软雅黑"/>
          <w:b/>
          <w:sz w:val="21"/>
        </w:rPr>
      </w:pPr>
      <w:r>
        <w:rPr>
          <w:rFonts w:ascii="微软雅黑" w:eastAsia="微软雅黑"/>
          <w:b/>
          <w:spacing w:val="-2"/>
          <w:sz w:val="21"/>
        </w:rPr>
        <w:t>脑垂体瘤；</w:t>
      </w:r>
    </w:p>
    <w:p>
      <w:pPr>
        <w:pStyle w:val="ListParagraph"/>
        <w:numPr>
          <w:ilvl w:val="0"/>
          <w:numId w:val="54"/>
        </w:numPr>
        <w:tabs>
          <w:tab w:pos="672" w:val="left" w:leader="none"/>
        </w:tabs>
        <w:spacing w:line="312" w:lineRule="exact" w:before="0" w:after="0"/>
        <w:ind w:left="672" w:right="0" w:hanging="530"/>
        <w:jc w:val="left"/>
        <w:rPr>
          <w:rFonts w:ascii="微软雅黑" w:eastAsia="微软雅黑"/>
          <w:b/>
          <w:sz w:val="21"/>
        </w:rPr>
      </w:pPr>
      <w:r>
        <w:rPr>
          <w:rFonts w:ascii="微软雅黑" w:eastAsia="微软雅黑"/>
          <w:b/>
          <w:spacing w:val="-3"/>
          <w:sz w:val="21"/>
        </w:rPr>
        <w:t>脑囊肿；</w:t>
      </w:r>
    </w:p>
    <w:p>
      <w:pPr>
        <w:pStyle w:val="ListParagraph"/>
        <w:numPr>
          <w:ilvl w:val="0"/>
          <w:numId w:val="54"/>
        </w:numPr>
        <w:tabs>
          <w:tab w:pos="672" w:val="left" w:leader="none"/>
        </w:tabs>
        <w:spacing w:line="194" w:lineRule="auto" w:before="15" w:after="0"/>
        <w:ind w:left="142" w:right="669" w:firstLine="0"/>
        <w:jc w:val="left"/>
        <w:rPr>
          <w:rFonts w:ascii="微软雅黑" w:eastAsia="微软雅黑"/>
          <w:b/>
          <w:sz w:val="21"/>
        </w:rPr>
      </w:pPr>
      <w:r>
        <w:rPr>
          <w:rFonts w:ascii="微软雅黑" w:eastAsia="微软雅黑"/>
          <w:b/>
          <w:spacing w:val="-2"/>
          <w:sz w:val="21"/>
        </w:rPr>
        <w:t>颅内血管性疾病（如脑动脉瘤、脑动静脉畸形、海绵状血管瘤、毛细血</w:t>
      </w:r>
      <w:r>
        <w:rPr>
          <w:rFonts w:ascii="微软雅黑" w:eastAsia="微软雅黑"/>
          <w:b/>
          <w:spacing w:val="-2"/>
          <w:sz w:val="21"/>
        </w:rPr>
        <w:t>管扩张症等）。</w:t>
      </w:r>
    </w:p>
    <w:p>
      <w:pPr>
        <w:spacing w:after="0" w:line="194" w:lineRule="auto"/>
        <w:jc w:val="left"/>
        <w:rPr>
          <w:rFonts w:ascii="微软雅黑" w:eastAsia="微软雅黑"/>
          <w:sz w:val="21"/>
        </w:rPr>
        <w:sectPr>
          <w:type w:val="continuous"/>
          <w:pgSz w:w="11910" w:h="16840"/>
          <w:pgMar w:header="0" w:footer="406" w:top="600" w:bottom="280" w:left="900" w:right="340"/>
          <w:cols w:num="2" w:equalWidth="0">
            <w:col w:w="2778" w:space="40"/>
            <w:col w:w="7852"/>
          </w:cols>
        </w:sectPr>
      </w:pPr>
    </w:p>
    <w:p>
      <w:pPr>
        <w:pStyle w:val="BodyText"/>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严重慢性肝衰</w:t>
      </w:r>
      <w:r>
        <w:rPr>
          <w:spacing w:val="-10"/>
          <w:sz w:val="21"/>
        </w:rPr>
        <w:t>竭</w:t>
      </w:r>
    </w:p>
    <w:p>
      <w:pPr>
        <w:pStyle w:val="BodyText"/>
        <w:spacing w:before="71"/>
        <w:ind w:left="175"/>
      </w:pPr>
      <w:r>
        <w:rPr/>
        <w:br w:type="column"/>
      </w:r>
      <w:r>
        <w:rPr>
          <w:spacing w:val="-3"/>
        </w:rPr>
        <w:t>指因慢性肝脏疾病导致的肝衰竭，且须满足下列全部条件：</w:t>
      </w:r>
    </w:p>
    <w:p>
      <w:pPr>
        <w:pStyle w:val="ListParagraph"/>
        <w:numPr>
          <w:ilvl w:val="0"/>
          <w:numId w:val="55"/>
        </w:numPr>
        <w:tabs>
          <w:tab w:pos="705" w:val="left" w:leader="none"/>
        </w:tabs>
        <w:spacing w:line="240" w:lineRule="auto" w:before="43" w:after="0"/>
        <w:ind w:left="704" w:right="0" w:hanging="530"/>
        <w:jc w:val="left"/>
        <w:rPr>
          <w:sz w:val="21"/>
        </w:rPr>
      </w:pPr>
      <w:r>
        <w:rPr>
          <w:spacing w:val="-4"/>
          <w:sz w:val="21"/>
        </w:rPr>
        <w:t>持续性黄疸；</w:t>
      </w:r>
    </w:p>
    <w:p>
      <w:pPr>
        <w:spacing w:after="0" w:line="240"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57"/>
        <w:ind w:left="2960"/>
      </w:pPr>
      <w:r>
        <w:rPr>
          <w:spacing w:val="-2"/>
        </w:rPr>
        <w:t>（2）</w:t>
      </w:r>
      <w:r>
        <w:rPr>
          <w:spacing w:val="-5"/>
        </w:rPr>
        <w:t>腹水；</w:t>
      </w:r>
    </w:p>
    <w:p>
      <w:pPr>
        <w:pStyle w:val="ListParagraph"/>
        <w:numPr>
          <w:ilvl w:val="1"/>
          <w:numId w:val="55"/>
        </w:numPr>
        <w:tabs>
          <w:tab w:pos="3490" w:val="left" w:leader="none"/>
        </w:tabs>
        <w:spacing w:line="240" w:lineRule="auto" w:before="43" w:after="0"/>
        <w:ind w:left="3489" w:right="0" w:hanging="530"/>
        <w:jc w:val="left"/>
        <w:rPr>
          <w:sz w:val="21"/>
        </w:rPr>
      </w:pPr>
      <w:r>
        <w:rPr>
          <w:spacing w:val="-4"/>
          <w:sz w:val="21"/>
        </w:rPr>
        <w:t>肝性脑病；</w:t>
      </w:r>
    </w:p>
    <w:p>
      <w:pPr>
        <w:pStyle w:val="ListParagraph"/>
        <w:numPr>
          <w:ilvl w:val="1"/>
          <w:numId w:val="55"/>
        </w:numPr>
        <w:tabs>
          <w:tab w:pos="3490" w:val="left" w:leader="none"/>
        </w:tabs>
        <w:spacing w:line="223" w:lineRule="auto" w:before="58" w:after="0"/>
        <w:ind w:left="2960" w:right="2555" w:firstLine="0"/>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p>
      <w:pPr>
        <w:pStyle w:val="BodyText"/>
        <w:spacing w:before="8"/>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412" w:val="left" w:leader="none"/>
        </w:tabs>
        <w:spacing w:line="278" w:lineRule="auto" w:before="71" w:after="0"/>
        <w:ind w:left="1080" w:right="0" w:firstLine="0"/>
        <w:jc w:val="both"/>
        <w:rPr>
          <w:sz w:val="21"/>
        </w:rPr>
      </w:pPr>
      <w:r>
        <w:rPr>
          <w:spacing w:val="8"/>
          <w:sz w:val="21"/>
        </w:rPr>
        <w:t>严重脑炎后遗</w:t>
      </w:r>
      <w:r>
        <w:rPr>
          <w:spacing w:val="26"/>
          <w:sz w:val="21"/>
        </w:rPr>
        <w:t>症或严重脑膜炎</w:t>
      </w:r>
      <w:r>
        <w:rPr>
          <w:spacing w:val="-4"/>
          <w:sz w:val="21"/>
        </w:rPr>
        <w:t>后遗症</w:t>
      </w:r>
    </w:p>
    <w:p>
      <w:pPr>
        <w:pStyle w:val="BodyText"/>
        <w:spacing w:line="278" w:lineRule="auto" w:before="71"/>
        <w:ind w:left="142" w:right="563"/>
      </w:pPr>
      <w:r>
        <w:rPr/>
        <w:br w:type="column"/>
      </w:r>
      <w:r>
        <w:rPr>
          <w:w w:val="100"/>
        </w:rPr>
        <w:t>指因患脑炎或脑膜炎导致的神经系统永久性的功能障碍。神经系统永久性的</w:t>
      </w:r>
      <w:r>
        <w:rPr>
          <w:spacing w:val="-3"/>
          <w:w w:val="100"/>
        </w:rPr>
        <w:t>功能障碍，指经相关专科医生确诊疾病</w:t>
      </w:r>
      <w:r>
        <w:rPr>
          <w:spacing w:val="-53"/>
        </w:rPr>
        <w:t> </w:t>
      </w:r>
      <w:r>
        <w:rPr>
          <w:spacing w:val="-3"/>
          <w:w w:val="100"/>
        </w:rPr>
        <w:t>1</w:t>
      </w:r>
      <w:r>
        <w:rPr>
          <w:w w:val="100"/>
        </w:rPr>
        <w:t>80</w:t>
      </w:r>
      <w:r>
        <w:rPr>
          <w:spacing w:val="-53"/>
        </w:rPr>
        <w:t> </w:t>
      </w:r>
      <w:r>
        <w:rPr>
          <w:spacing w:val="-3"/>
          <w:w w:val="100"/>
        </w:rPr>
        <w:t>天后，仍遗留下列至少一种障碍：</w:t>
      </w:r>
    </w:p>
    <w:p>
      <w:pPr>
        <w:pStyle w:val="ListParagraph"/>
        <w:numPr>
          <w:ilvl w:val="0"/>
          <w:numId w:val="56"/>
        </w:numPr>
        <w:tabs>
          <w:tab w:pos="672" w:val="left" w:leader="none"/>
        </w:tabs>
        <w:spacing w:line="269" w:lineRule="exact" w:before="0" w:after="0"/>
        <w:ind w:left="671"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6"/>
        </w:numPr>
        <w:tabs>
          <w:tab w:pos="672" w:val="left" w:leader="none"/>
        </w:tabs>
        <w:spacing w:line="240" w:lineRule="auto" w:before="43" w:after="0"/>
        <w:ind w:left="671" w:right="0" w:hanging="530"/>
        <w:jc w:val="left"/>
        <w:rPr>
          <w:sz w:val="21"/>
        </w:rPr>
      </w:pPr>
      <w:r>
        <w:rPr>
          <w:spacing w:val="-3"/>
          <w:sz w:val="21"/>
        </w:rPr>
        <w:t>语言能力完全丧失，或严重咀嚼吞咽功能障碍；</w:t>
      </w:r>
    </w:p>
    <w:p>
      <w:pPr>
        <w:pStyle w:val="ListParagraph"/>
        <w:numPr>
          <w:ilvl w:val="0"/>
          <w:numId w:val="56"/>
        </w:numPr>
        <w:tabs>
          <w:tab w:pos="702" w:val="left" w:leader="none"/>
        </w:tabs>
        <w:spacing w:line="278" w:lineRule="auto" w:before="43" w:after="0"/>
        <w:ind w:left="668" w:right="668" w:hanging="526"/>
        <w:jc w:val="left"/>
        <w:rPr>
          <w:sz w:val="21"/>
        </w:rPr>
      </w:pPr>
      <w:r>
        <w:rPr>
          <w:sz w:val="21"/>
        </w:rPr>
        <w:t>由具有评估资格的专科医生根据临床痴呆评定量表（CDR，Clinical Dementia Rating）</w:t>
      </w:r>
      <w:r>
        <w:rPr>
          <w:spacing w:val="-3"/>
          <w:sz w:val="21"/>
        </w:rPr>
        <w:t>评估结果为 </w:t>
      </w:r>
      <w:r>
        <w:rPr>
          <w:sz w:val="21"/>
        </w:rPr>
        <w:t>3</w:t>
      </w:r>
      <w:r>
        <w:rPr>
          <w:spacing w:val="-6"/>
          <w:sz w:val="21"/>
        </w:rPr>
        <w:t> 分；</w:t>
      </w:r>
    </w:p>
    <w:p>
      <w:pPr>
        <w:pStyle w:val="ListParagraph"/>
        <w:numPr>
          <w:ilvl w:val="0"/>
          <w:numId w:val="56"/>
        </w:numPr>
        <w:tabs>
          <w:tab w:pos="670" w:val="left" w:leader="none"/>
        </w:tabs>
        <w:spacing w:line="278" w:lineRule="auto" w:before="0" w:after="0"/>
        <w:ind w:left="66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00" w:right="340"/>
          <w:cols w:num="2" w:equalWidth="0">
            <w:col w:w="2778" w:space="40"/>
            <w:col w:w="7852"/>
          </w:cols>
        </w:sectPr>
      </w:pPr>
    </w:p>
    <w:p>
      <w:pPr>
        <w:pStyle w:val="BodyText"/>
        <w:spacing w:before="2"/>
        <w:rPr>
          <w:sz w:val="12"/>
        </w:rPr>
      </w:pPr>
    </w:p>
    <w:p>
      <w:pPr>
        <w:pStyle w:val="ListParagraph"/>
        <w:numPr>
          <w:ilvl w:val="2"/>
          <w:numId w:val="40"/>
        </w:numPr>
        <w:tabs>
          <w:tab w:pos="1399" w:val="left" w:leader="none"/>
        </w:tabs>
        <w:spacing w:line="278" w:lineRule="auto" w:before="72" w:after="0"/>
        <w:ind w:left="2960" w:right="666" w:hanging="1880"/>
        <w:jc w:val="both"/>
        <w:rPr>
          <w:sz w:val="21"/>
        </w:rPr>
      </w:pPr>
      <w:r>
        <w:rPr>
          <w:sz w:val="21"/>
        </w:rPr>
        <w:t>深度昏迷</w:t>
      </w:r>
      <w:r>
        <w:rPr>
          <w:spacing w:val="617"/>
          <w:sz w:val="21"/>
        </w:rPr>
        <w:t> </w:t>
      </w:r>
      <w:r>
        <w:rPr>
          <w:sz w:val="21"/>
        </w:rPr>
        <w:t>指因疾病或意外伤害导致意识丧失，对外界刺激和体内需求均无反应，昏迷</w:t>
      </w:r>
      <w:r>
        <w:rPr>
          <w:w w:val="95"/>
          <w:sz w:val="21"/>
        </w:rPr>
        <w:t>程</w:t>
      </w:r>
      <w:r>
        <w:rPr>
          <w:w w:val="95"/>
          <w:sz w:val="21"/>
        </w:rPr>
        <w:t>度</w:t>
      </w:r>
      <w:r>
        <w:rPr>
          <w:w w:val="95"/>
          <w:sz w:val="21"/>
        </w:rPr>
        <w:t>按照格拉斯哥昏迷分</w:t>
      </w:r>
      <w:r>
        <w:rPr>
          <w:w w:val="95"/>
          <w:sz w:val="21"/>
        </w:rPr>
        <w:t>级</w:t>
      </w:r>
      <w:r>
        <w:rPr>
          <w:w w:val="95"/>
          <w:sz w:val="21"/>
        </w:rPr>
        <w:t>（GCS，Glasgow</w:t>
      </w:r>
      <w:r>
        <w:rPr>
          <w:spacing w:val="40"/>
          <w:sz w:val="21"/>
        </w:rPr>
        <w:t> </w:t>
      </w:r>
      <w:r>
        <w:rPr>
          <w:w w:val="95"/>
          <w:sz w:val="21"/>
        </w:rPr>
        <w:t>Coma</w:t>
      </w:r>
      <w:r>
        <w:rPr>
          <w:spacing w:val="40"/>
          <w:sz w:val="21"/>
        </w:rPr>
        <w:t> </w:t>
      </w:r>
      <w:r>
        <w:rPr>
          <w:w w:val="95"/>
          <w:sz w:val="21"/>
        </w:rPr>
        <w:t>Scale）</w:t>
      </w:r>
      <w:r>
        <w:rPr>
          <w:spacing w:val="-3"/>
          <w:w w:val="95"/>
          <w:sz w:val="21"/>
        </w:rPr>
        <w:t>结果为 </w:t>
      </w:r>
      <w:r>
        <w:rPr>
          <w:w w:val="95"/>
          <w:sz w:val="21"/>
        </w:rPr>
        <w:t>5</w:t>
      </w:r>
      <w:r>
        <w:rPr>
          <w:spacing w:val="-6"/>
          <w:w w:val="95"/>
          <w:sz w:val="21"/>
        </w:rPr>
        <w:t> 分或 </w:t>
      </w:r>
      <w:r>
        <w:rPr>
          <w:w w:val="95"/>
          <w:sz w:val="21"/>
        </w:rPr>
        <w:t>5</w:t>
      </w:r>
      <w:r>
        <w:rPr>
          <w:spacing w:val="-5"/>
          <w:w w:val="95"/>
          <w:sz w:val="21"/>
        </w:rPr>
        <w:t> 分</w:t>
      </w:r>
      <w:r>
        <w:rPr>
          <w:spacing w:val="-2"/>
          <w:sz w:val="21"/>
        </w:rPr>
        <w:t>以下，且已经持续使用呼吸机及其他生命维持系统 </w:t>
      </w:r>
      <w:r>
        <w:rPr>
          <w:sz w:val="21"/>
        </w:rPr>
        <w:t>96</w:t>
      </w:r>
      <w:r>
        <w:rPr>
          <w:spacing w:val="-5"/>
          <w:sz w:val="21"/>
        </w:rPr>
        <w:t> 小时以上。</w:t>
      </w:r>
    </w:p>
    <w:p>
      <w:pPr>
        <w:pStyle w:val="Heading2"/>
        <w:spacing w:line="320" w:lineRule="exact"/>
      </w:pPr>
      <w:r>
        <w:rPr>
          <w:spacing w:val="-3"/>
        </w:rPr>
        <w:t>因酗酒或药物滥用导致的深度昏迷不在保障范围内。</w:t>
      </w:r>
    </w:p>
    <w:p>
      <w:pPr>
        <w:pStyle w:val="BodyText"/>
        <w:spacing w:before="15"/>
        <w:rPr>
          <w:rFonts w:ascii="微软雅黑"/>
          <w:b/>
          <w:sz w:val="11"/>
        </w:rPr>
      </w:pPr>
    </w:p>
    <w:p>
      <w:pPr>
        <w:pStyle w:val="ListParagraph"/>
        <w:numPr>
          <w:ilvl w:val="2"/>
          <w:numId w:val="40"/>
        </w:numPr>
        <w:tabs>
          <w:tab w:pos="1399" w:val="left" w:leader="none"/>
          <w:tab w:pos="2960" w:val="left" w:leader="none"/>
        </w:tabs>
        <w:spacing w:line="278" w:lineRule="auto" w:before="0" w:after="0"/>
        <w:ind w:left="2960" w:right="563" w:hanging="1880"/>
        <w:jc w:val="left"/>
        <w:rPr>
          <w:sz w:val="21"/>
        </w:rPr>
      </w:pPr>
      <w:r>
        <w:rPr>
          <w:spacing w:val="-4"/>
          <w:sz w:val="21"/>
        </w:rPr>
        <w:t>双耳失聪</w:t>
      </w:r>
      <w:r>
        <w:rPr>
          <w:sz w:val="21"/>
        </w:rPr>
        <w:tab/>
        <w:t>指因疾病或意外伤害导致</w:t>
      </w:r>
      <w:r>
        <w:rPr>
          <w:sz w:val="21"/>
        </w:rPr>
        <w:t>双耳听力永久不可逆性丧失，在</w:t>
      </w:r>
      <w:r>
        <w:rPr>
          <w:spacing w:val="-10"/>
          <w:sz w:val="21"/>
        </w:rPr>
        <w:t> </w:t>
      </w:r>
      <w:r>
        <w:rPr>
          <w:sz w:val="21"/>
        </w:rPr>
        <w:t>500</w:t>
      </w:r>
      <w:r>
        <w:rPr>
          <w:spacing w:val="-12"/>
          <w:sz w:val="21"/>
        </w:rPr>
        <w:t> </w:t>
      </w:r>
      <w:r>
        <w:rPr>
          <w:sz w:val="21"/>
        </w:rPr>
        <w:t>赫兹、1000</w:t>
      </w:r>
      <w:r>
        <w:rPr>
          <w:spacing w:val="-12"/>
          <w:sz w:val="21"/>
        </w:rPr>
        <w:t> </w:t>
      </w:r>
      <w:r>
        <w:rPr>
          <w:sz w:val="21"/>
        </w:rPr>
        <w:t>赫兹和</w:t>
      </w:r>
      <w:r>
        <w:rPr>
          <w:spacing w:val="-53"/>
          <w:sz w:val="21"/>
        </w:rPr>
        <w:t> </w:t>
      </w:r>
      <w:r>
        <w:rPr>
          <w:sz w:val="21"/>
        </w:rPr>
        <w:t>2000</w:t>
      </w:r>
      <w:r>
        <w:rPr>
          <w:spacing w:val="-55"/>
          <w:sz w:val="21"/>
        </w:rPr>
        <w:t> </w:t>
      </w:r>
      <w:r>
        <w:rPr>
          <w:sz w:val="21"/>
        </w:rPr>
        <w:t>赫兹语音频率下，平均听阈大于等于</w:t>
      </w:r>
      <w:r>
        <w:rPr>
          <w:spacing w:val="-53"/>
          <w:sz w:val="21"/>
        </w:rPr>
        <w:t> </w:t>
      </w:r>
      <w:r>
        <w:rPr>
          <w:sz w:val="21"/>
        </w:rPr>
        <w:t>91</w:t>
      </w:r>
      <w:r>
        <w:rPr>
          <w:spacing w:val="-53"/>
          <w:sz w:val="21"/>
        </w:rPr>
        <w:t> </w:t>
      </w:r>
      <w:r>
        <w:rPr>
          <w:sz w:val="21"/>
        </w:rPr>
        <w:t>分贝，且经纯音听力测试、</w:t>
      </w:r>
      <w:r>
        <w:rPr>
          <w:spacing w:val="-2"/>
          <w:sz w:val="21"/>
        </w:rPr>
        <w:t>声</w:t>
      </w:r>
      <w:r>
        <w:rPr>
          <w:spacing w:val="-2"/>
          <w:sz w:val="21"/>
        </w:rPr>
        <w:t>导</w:t>
      </w:r>
      <w:r>
        <w:rPr>
          <w:spacing w:val="-2"/>
          <w:sz w:val="21"/>
        </w:rPr>
        <w:t>抗检测或听觉诱发电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pStyle w:val="Heading2"/>
        <w:spacing w:line="282" w:lineRule="exact"/>
      </w:pPr>
      <w:r>
        <w:rPr/>
        <w:t>申请理赔时，被保险人年龄必须在 3</w:t>
      </w:r>
      <w:r>
        <w:rPr>
          <w:spacing w:val="-1"/>
        </w:rPr>
        <w:t> 周岁以上，并且须提供理赔当时的听力</w:t>
      </w:r>
    </w:p>
    <w:p>
      <w:pPr>
        <w:spacing w:line="350" w:lineRule="exact" w:before="0"/>
        <w:ind w:left="2960" w:right="0" w:firstLine="0"/>
        <w:jc w:val="left"/>
        <w:rPr>
          <w:rFonts w:ascii="微软雅黑" w:eastAsia="微软雅黑"/>
          <w:b/>
          <w:sz w:val="21"/>
        </w:rPr>
      </w:pPr>
      <w:r>
        <w:rPr>
          <w:rFonts w:ascii="微软雅黑" w:eastAsia="微软雅黑"/>
          <w:b/>
          <w:spacing w:val="-3"/>
          <w:sz w:val="21"/>
        </w:rPr>
        <w:t>丧失诊断及检查证据。</w:t>
      </w:r>
    </w:p>
    <w:p>
      <w:pPr>
        <w:pStyle w:val="BodyText"/>
        <w:spacing w:before="17"/>
        <w:rPr>
          <w:rFonts w:ascii="微软雅黑"/>
          <w:b/>
          <w:sz w:val="11"/>
        </w:rPr>
      </w:pPr>
    </w:p>
    <w:p>
      <w:pPr>
        <w:pStyle w:val="ListParagraph"/>
        <w:numPr>
          <w:ilvl w:val="2"/>
          <w:numId w:val="40"/>
        </w:numPr>
        <w:tabs>
          <w:tab w:pos="1399" w:val="left" w:leader="none"/>
          <w:tab w:pos="2960" w:val="left" w:leader="none"/>
        </w:tabs>
        <w:spacing w:line="278" w:lineRule="auto" w:before="0" w:after="0"/>
        <w:ind w:left="2960" w:right="672" w:hanging="1880"/>
        <w:jc w:val="left"/>
        <w:rPr>
          <w:sz w:val="21"/>
        </w:rPr>
      </w:pPr>
      <w:r>
        <w:rPr>
          <w:spacing w:val="-4"/>
          <w:sz w:val="21"/>
        </w:rPr>
        <w:t>双目失明</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可逆性丧失，双眼中较好眼须满足</w:t>
      </w:r>
      <w:r>
        <w:rPr>
          <w:spacing w:val="-2"/>
          <w:sz w:val="21"/>
        </w:rPr>
        <w:t>下</w:t>
      </w:r>
      <w:r>
        <w:rPr>
          <w:spacing w:val="-2"/>
          <w:sz w:val="21"/>
        </w:rPr>
        <w:t>列</w:t>
      </w:r>
      <w:r>
        <w:rPr>
          <w:spacing w:val="-2"/>
          <w:sz w:val="21"/>
        </w:rPr>
        <w:t>至少一项条</w:t>
      </w:r>
      <w:r>
        <w:rPr>
          <w:spacing w:val="-2"/>
          <w:sz w:val="21"/>
        </w:rPr>
        <w:t>件</w:t>
      </w:r>
      <w:r>
        <w:rPr>
          <w:spacing w:val="-2"/>
          <w:sz w:val="21"/>
        </w:rPr>
        <w:t>：</w:t>
      </w:r>
    </w:p>
    <w:p>
      <w:pPr>
        <w:pStyle w:val="ListParagraph"/>
        <w:numPr>
          <w:ilvl w:val="0"/>
          <w:numId w:val="57"/>
        </w:numPr>
        <w:tabs>
          <w:tab w:pos="3490" w:val="left" w:leader="none"/>
        </w:tabs>
        <w:spacing w:line="240" w:lineRule="auto" w:before="1" w:after="0"/>
        <w:ind w:left="3489" w:right="0" w:hanging="530"/>
        <w:jc w:val="left"/>
        <w:rPr>
          <w:sz w:val="21"/>
        </w:rPr>
      </w:pPr>
      <w:r>
        <w:rPr>
          <w:spacing w:val="-4"/>
          <w:sz w:val="21"/>
        </w:rPr>
        <w:t>眼球缺失或摘除；</w:t>
      </w:r>
    </w:p>
    <w:p>
      <w:pPr>
        <w:pStyle w:val="ListParagraph"/>
        <w:numPr>
          <w:ilvl w:val="0"/>
          <w:numId w:val="57"/>
        </w:numPr>
        <w:tabs>
          <w:tab w:pos="3490" w:val="left" w:leader="none"/>
        </w:tabs>
        <w:spacing w:line="278" w:lineRule="auto" w:before="43" w:after="0"/>
        <w:ind w:left="3485"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57"/>
        </w:numPr>
        <w:tabs>
          <w:tab w:pos="3490" w:val="left" w:leader="none"/>
        </w:tabs>
        <w:spacing w:line="257" w:lineRule="exact" w:before="0" w:after="0"/>
        <w:ind w:left="3489" w:right="0" w:hanging="530"/>
        <w:jc w:val="left"/>
        <w:rPr>
          <w:sz w:val="21"/>
        </w:rPr>
      </w:pPr>
      <w:r>
        <w:rPr>
          <w:spacing w:val="-10"/>
          <w:sz w:val="21"/>
        </w:rPr>
        <w:t>视野半径小于 </w:t>
      </w:r>
      <w:r>
        <w:rPr>
          <w:spacing w:val="-2"/>
          <w:sz w:val="21"/>
        </w:rPr>
        <w:t>5</w:t>
      </w:r>
      <w:r>
        <w:rPr>
          <w:spacing w:val="-21"/>
          <w:sz w:val="21"/>
        </w:rPr>
        <w:t> 度。</w:t>
      </w:r>
    </w:p>
    <w:p>
      <w:pPr>
        <w:pStyle w:val="Heading2"/>
        <w:spacing w:line="194" w:lineRule="auto" w:before="40"/>
        <w:ind w:right="668"/>
      </w:pPr>
      <w:r>
        <w:rPr/>
        <w:t>除眼球缺失或摘除情形外，申请理赔时，被保险人年龄必须在 3 周岁以上，</w:t>
      </w:r>
      <w:r>
        <w:rPr>
          <w:spacing w:val="-2"/>
        </w:rPr>
        <w:t>并且须提供理赔当时的视力丧失诊断及检查证据。</w:t>
      </w:r>
    </w:p>
    <w:p>
      <w:pPr>
        <w:pStyle w:val="BodyText"/>
        <w:spacing w:before="16"/>
        <w:rPr>
          <w:rFonts w:ascii="微软雅黑"/>
          <w:b/>
          <w:sz w:val="12"/>
        </w:rPr>
      </w:pPr>
    </w:p>
    <w:p>
      <w:pPr>
        <w:pStyle w:val="ListParagraph"/>
        <w:numPr>
          <w:ilvl w:val="2"/>
          <w:numId w:val="40"/>
        </w:numPr>
        <w:tabs>
          <w:tab w:pos="1399" w:val="left" w:leader="none"/>
          <w:tab w:pos="2960" w:val="left" w:leader="none"/>
        </w:tabs>
        <w:spacing w:line="278" w:lineRule="auto" w:before="0" w:after="0"/>
        <w:ind w:left="2960" w:right="666" w:hanging="1880"/>
        <w:jc w:val="left"/>
        <w:rPr>
          <w:sz w:val="21"/>
        </w:rPr>
      </w:pPr>
      <w:r>
        <w:rPr>
          <w:spacing w:val="-6"/>
          <w:sz w:val="21"/>
        </w:rPr>
        <w:t>瘫痪</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两</w:t>
      </w:r>
      <w:r>
        <w:rPr>
          <w:spacing w:val="-2"/>
          <w:sz w:val="21"/>
        </w:rPr>
        <w:t>肢</w:t>
      </w:r>
      <w:r>
        <w:rPr>
          <w:spacing w:val="-2"/>
          <w:sz w:val="21"/>
        </w:rPr>
        <w:t>或</w:t>
      </w:r>
      <w:r>
        <w:rPr>
          <w:spacing w:val="-2"/>
          <w:sz w:val="21"/>
        </w:rPr>
        <w:t>两</w:t>
      </w:r>
      <w:r>
        <w:rPr>
          <w:spacing w:val="-2"/>
          <w:sz w:val="21"/>
        </w:rPr>
        <w:t>肢</w:t>
      </w:r>
      <w:r>
        <w:rPr>
          <w:spacing w:val="-2"/>
          <w:sz w:val="21"/>
        </w:rPr>
        <w:t>以</w:t>
      </w:r>
      <w:r>
        <w:rPr>
          <w:spacing w:val="-2"/>
          <w:sz w:val="21"/>
        </w:rPr>
        <w:t>上</w:t>
      </w:r>
      <w:r>
        <w:rPr>
          <w:spacing w:val="-2"/>
          <w:sz w:val="21"/>
        </w:rPr>
        <w:t>肢</w:t>
      </w:r>
      <w:r>
        <w:rPr>
          <w:spacing w:val="-2"/>
          <w:sz w:val="21"/>
        </w:rPr>
        <w:t>体随意</w:t>
      </w:r>
      <w:r>
        <w:rPr>
          <w:spacing w:val="-2"/>
          <w:sz w:val="21"/>
        </w:rPr>
        <w:t>运</w:t>
      </w:r>
      <w:r>
        <w:rPr>
          <w:spacing w:val="-2"/>
          <w:sz w:val="21"/>
        </w:rPr>
        <w:t>动</w:t>
      </w:r>
      <w:r>
        <w:rPr>
          <w:spacing w:val="-2"/>
          <w:sz w:val="21"/>
        </w:rPr>
        <w:t>功</w:t>
      </w:r>
      <w:r>
        <w:rPr>
          <w:spacing w:val="-2"/>
          <w:sz w:val="21"/>
        </w:rPr>
        <w:t>能</w:t>
      </w:r>
      <w:r>
        <w:rPr>
          <w:spacing w:val="-2"/>
          <w:sz w:val="21"/>
        </w:rPr>
        <w:t>永</w:t>
      </w:r>
      <w:r>
        <w:rPr>
          <w:spacing w:val="-2"/>
          <w:sz w:val="21"/>
        </w:rPr>
        <w:t>久</w:t>
      </w:r>
      <w:r>
        <w:rPr>
          <w:spacing w:val="-2"/>
          <w:sz w:val="21"/>
        </w:rPr>
        <w:t>完</w:t>
      </w:r>
      <w:r>
        <w:rPr>
          <w:spacing w:val="-2"/>
          <w:sz w:val="21"/>
        </w:rPr>
        <w:t>全</w:t>
      </w:r>
      <w:r>
        <w:rPr>
          <w:spacing w:val="-2"/>
          <w:sz w:val="21"/>
        </w:rPr>
        <w:t>丧</w:t>
      </w:r>
      <w:r>
        <w:rPr>
          <w:spacing w:val="-2"/>
          <w:sz w:val="21"/>
        </w:rPr>
        <w:t>失</w:t>
      </w:r>
      <w:r>
        <w:rPr>
          <w:spacing w:val="-2"/>
          <w:sz w:val="21"/>
        </w:rPr>
        <w:t>。</w:t>
      </w:r>
      <w:r>
        <w:rPr>
          <w:sz w:val="21"/>
        </w:rPr>
        <w:t>肢体随意运动功能永久完</w:t>
      </w:r>
      <w:r>
        <w:rPr>
          <w:sz w:val="21"/>
        </w:rPr>
        <w:t>全丧失，指疾病</w:t>
      </w:r>
      <w:r>
        <w:rPr>
          <w:sz w:val="21"/>
        </w:rPr>
        <w:t>确诊</w:t>
      </w:r>
      <w:r>
        <w:rPr>
          <w:spacing w:val="-11"/>
          <w:sz w:val="21"/>
        </w:rPr>
        <w:t> </w:t>
      </w:r>
      <w:r>
        <w:rPr>
          <w:sz w:val="21"/>
        </w:rPr>
        <w:t>180</w:t>
      </w:r>
      <w:r>
        <w:rPr>
          <w:spacing w:val="-12"/>
          <w:sz w:val="21"/>
        </w:rPr>
        <w:t> </w:t>
      </w:r>
      <w:r>
        <w:rPr>
          <w:sz w:val="21"/>
        </w:rPr>
        <w:t>天后或意外伤害</w:t>
      </w:r>
      <w:r>
        <w:rPr>
          <w:sz w:val="21"/>
        </w:rPr>
        <w:t>发生</w:t>
      </w:r>
      <w:r>
        <w:rPr>
          <w:spacing w:val="-10"/>
          <w:sz w:val="21"/>
        </w:rPr>
        <w:t> </w:t>
      </w:r>
      <w:r>
        <w:rPr>
          <w:sz w:val="21"/>
        </w:rPr>
        <w:t>180</w:t>
      </w:r>
    </w:p>
    <w:p>
      <w:pPr>
        <w:pStyle w:val="BodyText"/>
        <w:spacing w:line="278" w:lineRule="auto"/>
        <w:ind w:left="2960" w:right="666"/>
      </w:pPr>
      <w:r>
        <w:rPr>
          <w:spacing w:val="-1"/>
        </w:rPr>
        <w:t>天后，每肢三大关节中的两大关节仍然完全僵硬，或肢体肌力在 </w:t>
      </w:r>
      <w:r>
        <w:rPr/>
        <w:t>2</w:t>
      </w:r>
      <w:r>
        <w:rPr>
          <w:spacing w:val="-8"/>
        </w:rPr>
        <w:t> 级</w:t>
      </w:r>
      <w:r>
        <w:rPr/>
        <w:t>（含）</w:t>
      </w:r>
      <w:r>
        <w:rPr>
          <w:spacing w:val="-4"/>
        </w:rPr>
        <w:t>以下。</w:t>
      </w:r>
    </w:p>
    <w:p>
      <w:pPr>
        <w:pStyle w:val="BodyText"/>
        <w:spacing w:before="10"/>
        <w:rPr>
          <w:sz w:val="17"/>
        </w:rPr>
      </w:pPr>
    </w:p>
    <w:p>
      <w:pPr>
        <w:pStyle w:val="ListParagraph"/>
        <w:numPr>
          <w:ilvl w:val="2"/>
          <w:numId w:val="40"/>
        </w:numPr>
        <w:tabs>
          <w:tab w:pos="1399" w:val="left" w:leader="none"/>
          <w:tab w:pos="2960" w:val="left" w:leader="none"/>
        </w:tabs>
        <w:spacing w:line="278" w:lineRule="auto" w:before="0" w:after="0"/>
        <w:ind w:left="2960" w:right="667" w:hanging="1880"/>
        <w:jc w:val="left"/>
        <w:rPr>
          <w:sz w:val="21"/>
        </w:rPr>
      </w:pPr>
      <w:r>
        <w:rPr>
          <w:spacing w:val="-2"/>
          <w:sz w:val="21"/>
        </w:rPr>
        <w:t>心脏瓣膜手术</w:t>
      </w:r>
      <w:r>
        <w:rPr>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脏</w:t>
      </w:r>
      <w:r>
        <w:rPr>
          <w:spacing w:val="-2"/>
          <w:sz w:val="21"/>
        </w:rPr>
        <w:t>瓣</w:t>
      </w:r>
      <w:r>
        <w:rPr>
          <w:spacing w:val="-2"/>
          <w:sz w:val="21"/>
        </w:rPr>
        <w:t>膜</w:t>
      </w:r>
      <w:r>
        <w:rPr>
          <w:spacing w:val="-2"/>
          <w:sz w:val="21"/>
        </w:rPr>
        <w:t>疾病，</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切</w:t>
      </w:r>
      <w:r>
        <w:rPr>
          <w:spacing w:val="-2"/>
          <w:sz w:val="21"/>
        </w:rPr>
        <w:t>开</w:t>
      </w:r>
      <w:r>
        <w:rPr>
          <w:spacing w:val="-2"/>
          <w:sz w:val="21"/>
        </w:rPr>
        <w:t>心</w:t>
      </w:r>
      <w:r>
        <w:rPr>
          <w:spacing w:val="-2"/>
          <w:sz w:val="21"/>
        </w:rPr>
        <w:t>脏进行</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置</w:t>
      </w:r>
      <w:r>
        <w:rPr>
          <w:spacing w:val="-2"/>
          <w:sz w:val="21"/>
        </w:rPr>
        <w:t>换</w:t>
      </w:r>
      <w:r>
        <w:rPr>
          <w:spacing w:val="-2"/>
          <w:sz w:val="21"/>
        </w:rPr>
        <w:t>或</w:t>
      </w:r>
      <w:r>
        <w:rPr>
          <w:spacing w:val="-2"/>
          <w:sz w:val="21"/>
        </w:rPr>
        <w:t>修</w:t>
      </w:r>
      <w:r>
        <w:rPr>
          <w:spacing w:val="-2"/>
          <w:sz w:val="21"/>
        </w:rPr>
        <w:t>复</w:t>
      </w:r>
      <w:r>
        <w:rPr>
          <w:spacing w:val="-2"/>
          <w:sz w:val="21"/>
        </w:rPr>
        <w:t>的</w:t>
      </w:r>
      <w:r>
        <w:rPr>
          <w:spacing w:val="-4"/>
          <w:sz w:val="21"/>
        </w:rPr>
        <w:t>手</w:t>
      </w:r>
      <w:r>
        <w:rPr>
          <w:spacing w:val="-4"/>
          <w:sz w:val="21"/>
        </w:rPr>
        <w:t>术</w:t>
      </w:r>
      <w:r>
        <w:rPr>
          <w:spacing w:val="-4"/>
          <w:sz w:val="21"/>
        </w:rPr>
        <w:t>。</w:t>
      </w:r>
    </w:p>
    <w:p>
      <w:pPr>
        <w:pStyle w:val="Heading2"/>
        <w:spacing w:line="320" w:lineRule="exact"/>
      </w:pPr>
      <w:r>
        <w:rPr>
          <w:spacing w:val="-3"/>
        </w:rPr>
        <w:t>所有未切开心脏的心脏瓣膜介入手术不在保障范围内。</w:t>
      </w: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严重阿尔茨海</w:t>
      </w:r>
      <w:r>
        <w:rPr>
          <w:spacing w:val="-6"/>
          <w:sz w:val="21"/>
        </w:rPr>
        <w:t>默病</w:t>
      </w:r>
    </w:p>
    <w:p>
      <w:pPr>
        <w:pStyle w:val="BodyText"/>
        <w:spacing w:line="278" w:lineRule="auto" w:before="72"/>
        <w:ind w:left="175" w:right="667"/>
        <w:jc w:val="both"/>
      </w:pPr>
      <w:r>
        <w:rPr/>
        <w:br w:type="column"/>
      </w:r>
      <w:r>
        <w:rPr>
          <w:spacing w:val="-2"/>
        </w:rPr>
        <w:t>指因大脑进行性、不可逆性改变导致智能严重衰退或丧失，临床表现为严重</w:t>
      </w:r>
      <w:r>
        <w:rPr>
          <w:spacing w:val="-2"/>
        </w:rPr>
        <w:t>的认知功能障碍、精神行为异常和社交能力减退等，其日常生活必须持续受</w:t>
      </w:r>
      <w:r>
        <w:rPr>
          <w:spacing w:val="-2"/>
        </w:rPr>
        <w:t>到他人监护。须由头颅断层扫描（CT）、核磁共振检查（MRI）或正电子发射</w:t>
      </w:r>
      <w:r>
        <w:rPr>
          <w:spacing w:val="-2"/>
        </w:rPr>
        <w:t>断层扫描（PET）等影像学检查证实，并经相关专科医生确诊，且须满足下列</w:t>
      </w:r>
      <w:r>
        <w:rPr>
          <w:spacing w:val="-2"/>
        </w:rPr>
        <w:t>至少一项条件：</w:t>
      </w:r>
    </w:p>
    <w:p>
      <w:pPr>
        <w:spacing w:after="0" w:line="278" w:lineRule="auto"/>
        <w:jc w:val="both"/>
        <w:sectPr>
          <w:type w:val="continuous"/>
          <w:pgSz w:w="11910" w:h="16840"/>
          <w:pgMar w:header="0" w:footer="406" w:top="600" w:bottom="280" w:left="900" w:right="340"/>
          <w:cols w:num="2" w:equalWidth="0">
            <w:col w:w="2745" w:space="40"/>
            <w:col w:w="7885"/>
          </w:cols>
        </w:sectPr>
      </w:pPr>
    </w:p>
    <w:p>
      <w:pPr>
        <w:pStyle w:val="ListParagraph"/>
        <w:numPr>
          <w:ilvl w:val="0"/>
          <w:numId w:val="58"/>
        </w:numPr>
        <w:tabs>
          <w:tab w:pos="3520" w:val="left" w:leader="none"/>
        </w:tabs>
        <w:spacing w:line="278" w:lineRule="auto" w:before="57" w:after="0"/>
        <w:ind w:left="3485" w:right="668" w:hanging="526"/>
        <w:jc w:val="left"/>
        <w:rPr>
          <w:sz w:val="21"/>
        </w:rPr>
      </w:pPr>
      <w:r>
        <w:rPr>
          <w:sz w:val="21"/>
        </w:rPr>
        <w:t>由具有评估资格的专科医生根据临床痴呆评定量表（CDR，Clinical Dementia Rating）</w:t>
      </w:r>
      <w:r>
        <w:rPr>
          <w:spacing w:val="-3"/>
          <w:sz w:val="21"/>
        </w:rPr>
        <w:t>评估结果为 </w:t>
      </w:r>
      <w:r>
        <w:rPr>
          <w:sz w:val="21"/>
        </w:rPr>
        <w:t>3</w:t>
      </w:r>
      <w:r>
        <w:rPr>
          <w:spacing w:val="-6"/>
          <w:sz w:val="21"/>
        </w:rPr>
        <w:t> 分；</w:t>
      </w:r>
    </w:p>
    <w:p>
      <w:pPr>
        <w:pStyle w:val="ListParagraph"/>
        <w:numPr>
          <w:ilvl w:val="0"/>
          <w:numId w:val="58"/>
        </w:numPr>
        <w:tabs>
          <w:tab w:pos="3487" w:val="left" w:leader="none"/>
        </w:tabs>
        <w:spacing w:line="278" w:lineRule="auto" w:before="0" w:after="0"/>
        <w:ind w:left="348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Heading2"/>
        <w:spacing w:line="320" w:lineRule="exact"/>
      </w:pPr>
      <w:r>
        <w:rPr>
          <w:spacing w:val="-3"/>
        </w:rPr>
        <w:t>阿尔茨海默病之外的其他类型痴呆不在保障范围内。</w:t>
      </w:r>
    </w:p>
    <w:p>
      <w:pPr>
        <w:pStyle w:val="BodyText"/>
        <w:spacing w:before="17"/>
        <w:rPr>
          <w:rFonts w:ascii="微软雅黑"/>
          <w:b/>
          <w:sz w:val="11"/>
        </w:rPr>
      </w:pPr>
    </w:p>
    <w:p>
      <w:pPr>
        <w:pStyle w:val="ListParagraph"/>
        <w:numPr>
          <w:ilvl w:val="2"/>
          <w:numId w:val="40"/>
        </w:numPr>
        <w:tabs>
          <w:tab w:pos="1399" w:val="left" w:leader="none"/>
        </w:tabs>
        <w:spacing w:line="278" w:lineRule="auto" w:before="0" w:after="0"/>
        <w:ind w:left="2960" w:right="666" w:hanging="1880"/>
        <w:jc w:val="both"/>
        <w:rPr>
          <w:sz w:val="21"/>
        </w:rPr>
      </w:pPr>
      <w:r>
        <w:rPr>
          <w:sz w:val="21"/>
        </w:rPr>
        <w:t>严重脑损伤 指因头部遭受机械性外力，引起脑重要部位损伤，导致神经系统永久性的功</w:t>
      </w:r>
      <w:r>
        <w:rPr>
          <w:spacing w:val="-2"/>
          <w:sz w:val="21"/>
        </w:rPr>
        <w:t>能障碍。须由头颅断层扫描（CT）、核磁共振检查（MRI）或正电子发射断层</w:t>
      </w:r>
      <w:r>
        <w:rPr>
          <w:sz w:val="21"/>
        </w:rPr>
        <w:t>扫描（PET）</w:t>
      </w:r>
      <w:r>
        <w:rPr>
          <w:spacing w:val="-1"/>
          <w:sz w:val="21"/>
        </w:rPr>
        <w:t>等影像学检查证实。神经系统永久性的功能障碍，指脑损伤 </w:t>
      </w:r>
      <w:r>
        <w:rPr>
          <w:sz w:val="21"/>
        </w:rPr>
        <w:t>180</w:t>
      </w:r>
      <w:r>
        <w:rPr>
          <w:spacing w:val="-2"/>
          <w:sz w:val="21"/>
        </w:rPr>
        <w:t>天后，仍遗留下列至少一种障碍：</w:t>
      </w:r>
    </w:p>
    <w:p>
      <w:pPr>
        <w:pStyle w:val="ListParagraph"/>
        <w:numPr>
          <w:ilvl w:val="0"/>
          <w:numId w:val="59"/>
        </w:numPr>
        <w:tabs>
          <w:tab w:pos="3490" w:val="left" w:leader="none"/>
        </w:tabs>
        <w:spacing w:line="269" w:lineRule="exact" w:before="0" w:after="0"/>
        <w:ind w:left="3489"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9"/>
        </w:numPr>
        <w:tabs>
          <w:tab w:pos="3490" w:val="left" w:leader="none"/>
        </w:tabs>
        <w:spacing w:line="240" w:lineRule="auto" w:before="43" w:after="0"/>
        <w:ind w:left="3489" w:right="0" w:hanging="530"/>
        <w:jc w:val="left"/>
        <w:rPr>
          <w:sz w:val="21"/>
        </w:rPr>
      </w:pPr>
      <w:r>
        <w:rPr>
          <w:spacing w:val="-3"/>
          <w:sz w:val="21"/>
        </w:rPr>
        <w:t>语言能力完全丧失，或严重咀嚼吞咽功能障碍；</w:t>
      </w:r>
    </w:p>
    <w:p>
      <w:pPr>
        <w:pStyle w:val="ListParagraph"/>
        <w:numPr>
          <w:ilvl w:val="0"/>
          <w:numId w:val="59"/>
        </w:numPr>
        <w:tabs>
          <w:tab w:pos="3487" w:val="left" w:leader="none"/>
        </w:tabs>
        <w:spacing w:line="278" w:lineRule="auto" w:before="43" w:after="0"/>
        <w:ind w:left="348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BodyText"/>
        <w:spacing w:before="3"/>
        <w:rPr>
          <w:sz w:val="12"/>
        </w:rPr>
      </w:pPr>
    </w:p>
    <w:p>
      <w:pPr>
        <w:spacing w:after="0"/>
        <w:rPr>
          <w:sz w:val="12"/>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严重原发性帕</w:t>
      </w:r>
      <w:r>
        <w:rPr>
          <w:spacing w:val="-4"/>
          <w:sz w:val="21"/>
        </w:rPr>
        <w:t>金森病</w:t>
      </w:r>
    </w:p>
    <w:p>
      <w:pPr>
        <w:pStyle w:val="BodyText"/>
        <w:spacing w:line="278" w:lineRule="auto" w:before="72"/>
        <w:ind w:left="175" w:right="667"/>
        <w:jc w:val="both"/>
      </w:pPr>
      <w:r>
        <w:rPr/>
        <w:br w:type="column"/>
      </w:r>
      <w:r>
        <w:rPr>
          <w:spacing w:val="-2"/>
        </w:rPr>
        <w:t>是一种中枢神经系统的退行性疾病，临床表现为运动迟缓、静止性震颤或肌</w:t>
      </w:r>
      <w:r>
        <w:rPr>
          <w:spacing w:val="-2"/>
        </w:rPr>
        <w:t>强直等，经相关专科医生确诊，且须满足自主生活能力完全丧失，无法独立</w:t>
      </w:r>
      <w:r>
        <w:rPr>
          <w:spacing w:val="-2"/>
        </w:rPr>
        <w:t>完成六项基本日常生活活动中的三项或三项以上。</w:t>
      </w:r>
    </w:p>
    <w:p>
      <w:pPr>
        <w:pStyle w:val="Heading2"/>
        <w:spacing w:line="320" w:lineRule="exact"/>
        <w:ind w:left="175"/>
      </w:pPr>
      <w:r>
        <w:rPr>
          <w:spacing w:val="-3"/>
        </w:rPr>
        <w:t>继发性帕金森综合征、帕金森叠加综合征不在保障范围内。</w:t>
      </w:r>
    </w:p>
    <w:p>
      <w:pPr>
        <w:spacing w:after="0" w:line="320" w:lineRule="exact"/>
        <w:sectPr>
          <w:type w:val="continuous"/>
          <w:pgSz w:w="11910" w:h="16840"/>
          <w:pgMar w:header="0" w:footer="406" w:top="600" w:bottom="280" w:left="900" w:right="340"/>
          <w:cols w:num="2" w:equalWidth="0">
            <w:col w:w="2745" w:space="40"/>
            <w:col w:w="7885"/>
          </w:cols>
        </w:sectPr>
      </w:pPr>
    </w:p>
    <w:p>
      <w:pPr>
        <w:pStyle w:val="BodyText"/>
        <w:spacing w:before="17"/>
        <w:rPr>
          <w:rFonts w:ascii="微软雅黑"/>
          <w:b/>
          <w:sz w:val="7"/>
        </w:rPr>
      </w:pPr>
    </w:p>
    <w:p>
      <w:pPr>
        <w:pStyle w:val="ListParagraph"/>
        <w:numPr>
          <w:ilvl w:val="2"/>
          <w:numId w:val="40"/>
        </w:numPr>
        <w:tabs>
          <w:tab w:pos="1399" w:val="left" w:leader="none"/>
          <w:tab w:pos="2960" w:val="left" w:leader="none"/>
        </w:tabs>
        <w:spacing w:line="278" w:lineRule="auto" w:before="72" w:after="0"/>
        <w:ind w:left="2960" w:right="560" w:hanging="1880"/>
        <w:jc w:val="left"/>
        <w:rPr>
          <w:sz w:val="21"/>
        </w:rPr>
      </w:pPr>
      <w:r>
        <w:rPr>
          <w:spacing w:val="-2"/>
          <w:sz w:val="21"/>
        </w:rPr>
        <w:t>严重Ⅲ度烧伤</w:t>
      </w:r>
      <w:r>
        <w:rPr>
          <w:sz w:val="21"/>
        </w:rPr>
        <w:tab/>
        <w:t>指烧伤程度为Ⅲ度</w:t>
      </w:r>
      <w:r>
        <w:rPr>
          <w:spacing w:val="-108"/>
          <w:sz w:val="21"/>
        </w:rPr>
        <w:t>，</w:t>
      </w:r>
      <w:r>
        <w:rPr>
          <w:sz w:val="21"/>
        </w:rPr>
        <w:t>且Ⅲ度</w:t>
      </w:r>
      <w:r>
        <w:rPr>
          <w:sz w:val="21"/>
        </w:rPr>
        <w:t>烧伤的面积达到全身体表</w:t>
      </w:r>
      <w:r>
        <w:rPr>
          <w:sz w:val="21"/>
        </w:rPr>
        <w:t>面积的</w:t>
      </w:r>
      <w:r>
        <w:rPr>
          <w:spacing w:val="-55"/>
          <w:sz w:val="21"/>
        </w:rPr>
        <w:t> </w:t>
      </w:r>
      <w:r>
        <w:rPr>
          <w:sz w:val="21"/>
        </w:rPr>
        <w:t>20％或</w:t>
      </w:r>
      <w:r>
        <w:rPr>
          <w:spacing w:val="-55"/>
          <w:sz w:val="21"/>
        </w:rPr>
        <w:t> </w:t>
      </w:r>
      <w:r>
        <w:rPr>
          <w:sz w:val="21"/>
        </w:rPr>
        <w:t>20％</w:t>
      </w:r>
      <w:r>
        <w:rPr>
          <w:sz w:val="21"/>
        </w:rPr>
        <w:t>以上。</w:t>
      </w:r>
      <w:r>
        <w:rPr>
          <w:spacing w:val="-2"/>
          <w:sz w:val="21"/>
        </w:rPr>
        <w:t>体</w:t>
      </w:r>
      <w:r>
        <w:rPr>
          <w:spacing w:val="-2"/>
          <w:sz w:val="21"/>
        </w:rPr>
        <w:t>表</w:t>
      </w:r>
      <w:r>
        <w:rPr>
          <w:spacing w:val="-2"/>
          <w:sz w:val="21"/>
        </w:rPr>
        <w:t>面积根据《中国新九</w:t>
      </w:r>
      <w:r>
        <w:rPr>
          <w:spacing w:val="-2"/>
          <w:sz w:val="21"/>
        </w:rPr>
        <w:t>分</w:t>
      </w:r>
      <w:r>
        <w:rPr>
          <w:spacing w:val="-2"/>
          <w:sz w:val="21"/>
        </w:rPr>
        <w:t>法</w:t>
      </w:r>
      <w:r>
        <w:rPr>
          <w:spacing w:val="-2"/>
          <w:sz w:val="21"/>
        </w:rPr>
        <w:t>》计算。</w:t>
      </w: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严重特发性肺</w:t>
      </w:r>
      <w:r>
        <w:rPr>
          <w:spacing w:val="-4"/>
          <w:sz w:val="21"/>
        </w:rPr>
        <w:t>动脉高压</w:t>
      </w:r>
    </w:p>
    <w:p>
      <w:pPr>
        <w:pStyle w:val="BodyText"/>
        <w:spacing w:line="278" w:lineRule="auto" w:before="72"/>
        <w:ind w:left="175" w:right="666"/>
        <w:jc w:val="both"/>
      </w:pPr>
      <w:r>
        <w:rPr/>
        <w:br w:type="column"/>
      </w:r>
      <w:r>
        <w:rPr>
          <w:spacing w:val="-2"/>
        </w:rPr>
        <w:t>指不明原因的肺动脉压力持续性增高，进行性发展而导致的慢性疾病，已经</w:t>
      </w:r>
      <w:r>
        <w:rPr>
          <w:spacing w:val="-4"/>
        </w:rPr>
        <w:t>造成永久不可逆性的体力活动能力受限，达到美国纽约心脏病学会（New York </w:t>
      </w:r>
      <w:r>
        <w:rPr/>
        <w:t>Heart</w:t>
      </w:r>
      <w:r>
        <w:rPr>
          <w:spacing w:val="-11"/>
        </w:rPr>
        <w:t> </w:t>
      </w:r>
      <w:r>
        <w:rPr/>
        <w:t>Association，NYHA）</w:t>
      </w:r>
      <w:r>
        <w:rPr>
          <w:spacing w:val="-2"/>
        </w:rPr>
        <w:t>心功能状态分级 </w:t>
      </w:r>
      <w:r>
        <w:rPr/>
        <w:t>IV</w:t>
      </w:r>
      <w:r>
        <w:rPr>
          <w:spacing w:val="-3"/>
        </w:rPr>
        <w:t> 级，且静息状态下肺动脉平</w:t>
      </w:r>
      <w:r>
        <w:rPr>
          <w:spacing w:val="-11"/>
        </w:rPr>
        <w:t>均压在 </w:t>
      </w:r>
      <w:r>
        <w:rPr/>
        <w:t>36mmHg（含）以上。</w:t>
      </w:r>
    </w:p>
    <w:p>
      <w:pPr>
        <w:spacing w:after="0" w:line="278" w:lineRule="auto"/>
        <w:jc w:val="both"/>
        <w:sectPr>
          <w:type w:val="continuous"/>
          <w:pgSz w:w="11910" w:h="16840"/>
          <w:pgMar w:header="0" w:footer="406" w:top="600" w:bottom="280" w:left="900" w:right="340"/>
          <w:cols w:num="2" w:equalWidth="0">
            <w:col w:w="2745" w:space="40"/>
            <w:col w:w="7885"/>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严重运动神经</w:t>
      </w:r>
      <w:r>
        <w:rPr>
          <w:spacing w:val="-6"/>
          <w:sz w:val="21"/>
        </w:rPr>
        <w:t>元病</w:t>
      </w:r>
    </w:p>
    <w:p>
      <w:pPr>
        <w:pStyle w:val="BodyText"/>
        <w:spacing w:line="278" w:lineRule="auto" w:before="71"/>
        <w:ind w:left="175" w:right="560"/>
      </w:pPr>
      <w:r>
        <w:rPr/>
        <w:br w:type="column"/>
      </w:r>
      <w:r>
        <w:rPr>
          <w:spacing w:val="-3"/>
          <w:w w:val="100"/>
        </w:rPr>
        <w:t>是一组中枢神经系统运动神经元的进行性变性疾病，包括进行性脊肌萎缩症、</w:t>
      </w:r>
      <w:r>
        <w:rPr>
          <w:w w:val="100"/>
        </w:rPr>
        <w:t>进行性延髓麻痹症、原发性侧索硬化症、肌萎缩性侧索硬化症，经相关专科</w:t>
      </w:r>
      <w:r>
        <w:rPr>
          <w:spacing w:val="-3"/>
          <w:w w:val="100"/>
        </w:rPr>
        <w:t>医生确诊，且须满足下列至少一项条件：</w:t>
      </w:r>
    </w:p>
    <w:p>
      <w:pPr>
        <w:pStyle w:val="ListParagraph"/>
        <w:numPr>
          <w:ilvl w:val="0"/>
          <w:numId w:val="60"/>
        </w:numPr>
        <w:tabs>
          <w:tab w:pos="705" w:val="left" w:leader="none"/>
        </w:tabs>
        <w:spacing w:line="269" w:lineRule="exact" w:before="0" w:after="0"/>
        <w:ind w:left="704" w:right="0" w:hanging="530"/>
        <w:jc w:val="left"/>
        <w:rPr>
          <w:sz w:val="21"/>
        </w:rPr>
      </w:pPr>
      <w:r>
        <w:rPr>
          <w:spacing w:val="-3"/>
          <w:sz w:val="21"/>
        </w:rPr>
        <w:t>严重咀嚼吞咽功能障碍；</w:t>
      </w:r>
    </w:p>
    <w:p>
      <w:pPr>
        <w:pStyle w:val="ListParagraph"/>
        <w:numPr>
          <w:ilvl w:val="0"/>
          <w:numId w:val="60"/>
        </w:numPr>
        <w:tabs>
          <w:tab w:pos="705" w:val="left" w:leader="none"/>
        </w:tabs>
        <w:spacing w:line="240" w:lineRule="auto" w:before="43" w:after="0"/>
        <w:ind w:left="704" w:right="0" w:hanging="530"/>
        <w:jc w:val="left"/>
        <w:rPr>
          <w:sz w:val="21"/>
        </w:rPr>
      </w:pPr>
      <w:r>
        <w:rPr>
          <w:spacing w:val="-7"/>
          <w:sz w:val="21"/>
        </w:rPr>
        <w:t>呼吸肌麻痹导致严重呼吸困难，且已经持续使用呼吸机 </w:t>
      </w:r>
      <w:r>
        <w:rPr>
          <w:spacing w:val="-6"/>
          <w:sz w:val="21"/>
        </w:rPr>
        <w:t>7</w:t>
      </w:r>
      <w:r>
        <w:rPr>
          <w:spacing w:val="-16"/>
          <w:sz w:val="21"/>
        </w:rPr>
        <w:t> 天</w:t>
      </w:r>
      <w:r>
        <w:rPr>
          <w:spacing w:val="-6"/>
          <w:sz w:val="21"/>
        </w:rPr>
        <w:t>（含）</w:t>
      </w:r>
      <w:r>
        <w:rPr>
          <w:spacing w:val="-8"/>
          <w:sz w:val="21"/>
        </w:rPr>
        <w:t>以上；</w:t>
      </w:r>
    </w:p>
    <w:p>
      <w:pPr>
        <w:pStyle w:val="ListParagraph"/>
        <w:numPr>
          <w:ilvl w:val="0"/>
          <w:numId w:val="60"/>
        </w:numPr>
        <w:tabs>
          <w:tab w:pos="702" w:val="left" w:leader="none"/>
        </w:tabs>
        <w:spacing w:line="278" w:lineRule="auto" w:before="43" w:after="0"/>
        <w:ind w:left="175" w:right="666" w:firstLine="0"/>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3"/>
        <w:rPr>
          <w:sz w:val="12"/>
        </w:rPr>
      </w:pPr>
    </w:p>
    <w:p>
      <w:pPr>
        <w:pStyle w:val="ListParagraph"/>
        <w:numPr>
          <w:ilvl w:val="2"/>
          <w:numId w:val="40"/>
        </w:numPr>
        <w:tabs>
          <w:tab w:pos="1399" w:val="left" w:leader="none"/>
          <w:tab w:pos="2960" w:val="left" w:leader="none"/>
        </w:tabs>
        <w:spacing w:line="278" w:lineRule="auto" w:before="71" w:after="0"/>
        <w:ind w:left="2960" w:right="666" w:hanging="1880"/>
        <w:jc w:val="left"/>
        <w:rPr>
          <w:sz w:val="21"/>
        </w:rPr>
      </w:pPr>
      <w:r>
        <w:rPr>
          <w:spacing w:val="-2"/>
          <w:sz w:val="21"/>
        </w:rPr>
        <w:t>语言能力丧失</w:t>
      </w:r>
      <w:r>
        <w:rPr>
          <w:sz w:val="21"/>
        </w:rPr>
        <w:tab/>
        <w:t>指因疾病或意外伤害导致</w:t>
      </w:r>
      <w:r>
        <w:rPr>
          <w:sz w:val="21"/>
        </w:rPr>
        <w:t>语言能力完全丧失，经过</w:t>
      </w:r>
      <w:r>
        <w:rPr>
          <w:sz w:val="21"/>
        </w:rPr>
        <w:t>积极治疗至少</w:t>
      </w:r>
      <w:r>
        <w:rPr>
          <w:spacing w:val="-53"/>
          <w:sz w:val="21"/>
        </w:rPr>
        <w:t> </w:t>
      </w:r>
      <w:r>
        <w:rPr>
          <w:sz w:val="21"/>
        </w:rPr>
        <w:t>12</w:t>
      </w:r>
      <w:r>
        <w:rPr>
          <w:spacing w:val="-53"/>
          <w:sz w:val="21"/>
        </w:rPr>
        <w:t> </w:t>
      </w:r>
      <w:r>
        <w:rPr>
          <w:sz w:val="21"/>
        </w:rPr>
        <w:t>个月（声</w:t>
      </w:r>
      <w:r>
        <w:rPr>
          <w:spacing w:val="-2"/>
          <w:sz w:val="21"/>
        </w:rPr>
        <w:t>带</w:t>
      </w:r>
      <w:r>
        <w:rPr>
          <w:spacing w:val="-2"/>
          <w:sz w:val="21"/>
        </w:rPr>
        <w:t>完</w:t>
      </w:r>
      <w:r>
        <w:rPr>
          <w:spacing w:val="-2"/>
          <w:sz w:val="21"/>
        </w:rPr>
        <w:t>全切除不受此时间限</w:t>
      </w:r>
      <w:r>
        <w:rPr>
          <w:spacing w:val="-2"/>
          <w:sz w:val="21"/>
        </w:rPr>
        <w:t>制</w:t>
      </w:r>
      <w:r>
        <w:rPr>
          <w:spacing w:val="-2"/>
          <w:sz w:val="21"/>
        </w:rPr>
        <w:t>），仍无法通过现有医</w:t>
      </w:r>
      <w:r>
        <w:rPr>
          <w:spacing w:val="-2"/>
          <w:sz w:val="21"/>
        </w:rPr>
        <w:t>疗</w:t>
      </w:r>
      <w:r>
        <w:rPr>
          <w:spacing w:val="-2"/>
          <w:sz w:val="21"/>
        </w:rPr>
        <w:t>手</w:t>
      </w:r>
      <w:r>
        <w:rPr>
          <w:spacing w:val="-2"/>
          <w:sz w:val="21"/>
        </w:rPr>
        <w:t>段恢复。</w:t>
      </w:r>
    </w:p>
    <w:p>
      <w:pPr>
        <w:pStyle w:val="Heading2"/>
        <w:spacing w:line="282" w:lineRule="exact"/>
      </w:pPr>
      <w:r>
        <w:rPr>
          <w:spacing w:val="-3"/>
        </w:rPr>
        <w:t>精神心理因素所致的语言能力丧失不在保障范围内。</w:t>
      </w:r>
    </w:p>
    <w:p>
      <w:pPr>
        <w:spacing w:line="194" w:lineRule="auto" w:before="16"/>
        <w:ind w:left="2960" w:right="669" w:firstLine="0"/>
        <w:jc w:val="left"/>
        <w:rPr>
          <w:rFonts w:ascii="微软雅黑" w:eastAsia="微软雅黑"/>
          <w:b/>
          <w:sz w:val="21"/>
        </w:rPr>
      </w:pPr>
      <w:r>
        <w:rPr>
          <w:rFonts w:ascii="微软雅黑" w:eastAsia="微软雅黑"/>
          <w:b/>
          <w:sz w:val="21"/>
        </w:rPr>
        <w:t>申请理赔时，被保险人年龄必须在 3 周岁以上，并且须提供理赔当时的语言</w:t>
      </w:r>
      <w:r>
        <w:rPr>
          <w:rFonts w:ascii="微软雅黑" w:eastAsia="微软雅黑"/>
          <w:b/>
          <w:spacing w:val="-2"/>
          <w:sz w:val="21"/>
        </w:rPr>
        <w:t>能力丧失诊断及检查证据。</w:t>
      </w:r>
    </w:p>
    <w:p>
      <w:pPr>
        <w:pStyle w:val="BodyText"/>
        <w:spacing w:before="2"/>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重型再生障碍</w:t>
      </w:r>
      <w:r>
        <w:rPr>
          <w:spacing w:val="-4"/>
          <w:sz w:val="21"/>
        </w:rPr>
        <w:t>性贫血</w:t>
      </w:r>
    </w:p>
    <w:p>
      <w:pPr>
        <w:pStyle w:val="BodyText"/>
        <w:spacing w:line="278" w:lineRule="auto" w:before="71"/>
        <w:ind w:left="175" w:right="667"/>
      </w:pPr>
      <w:r>
        <w:rPr/>
        <w:br w:type="column"/>
      </w:r>
      <w:r>
        <w:rPr>
          <w:spacing w:val="-2"/>
        </w:rPr>
        <w:t>指因骨髓造血功能慢性持续性衰竭导致的贫血、中性粒细胞减少及血小板减</w:t>
      </w:r>
      <w:r>
        <w:rPr>
          <w:spacing w:val="-2"/>
        </w:rPr>
        <w:t>少。须满足下列全部条件：</w:t>
      </w:r>
    </w:p>
    <w:p>
      <w:pPr>
        <w:pStyle w:val="ListParagraph"/>
        <w:numPr>
          <w:ilvl w:val="0"/>
          <w:numId w:val="61"/>
        </w:numPr>
        <w:tabs>
          <w:tab w:pos="705" w:val="left" w:leader="none"/>
        </w:tabs>
        <w:spacing w:line="278" w:lineRule="auto" w:before="0" w:after="0"/>
        <w:ind w:left="700" w:right="560" w:hanging="526"/>
        <w:jc w:val="left"/>
        <w:rPr>
          <w:sz w:val="21"/>
        </w:rPr>
      </w:pPr>
      <w:r>
        <w:rPr>
          <w:spacing w:val="-7"/>
          <w:sz w:val="21"/>
        </w:rPr>
        <w:t>骨髓穿刺检查或骨髓活检结果支持诊断：骨髓细胞增生程度&lt;正常的</w:t>
      </w:r>
      <w:r>
        <w:rPr>
          <w:spacing w:val="-2"/>
          <w:sz w:val="21"/>
        </w:rPr>
        <w:t> </w:t>
      </w:r>
      <w:r>
        <w:rPr>
          <w:sz w:val="21"/>
        </w:rPr>
        <w:t>25%；</w:t>
      </w:r>
      <w:r>
        <w:rPr>
          <w:spacing w:val="-8"/>
          <w:sz w:val="21"/>
        </w:rPr>
        <w:t>如≥正常的 </w:t>
      </w:r>
      <w:r>
        <w:rPr>
          <w:sz w:val="21"/>
        </w:rPr>
        <w:t>25%但&lt;50%，则残存的造血细胞应&lt;30%；</w:t>
      </w:r>
    </w:p>
    <w:p>
      <w:pPr>
        <w:pStyle w:val="ListParagraph"/>
        <w:numPr>
          <w:ilvl w:val="0"/>
          <w:numId w:val="61"/>
        </w:numPr>
        <w:tabs>
          <w:tab w:pos="705" w:val="left" w:leader="none"/>
        </w:tabs>
        <w:spacing w:line="269" w:lineRule="exact" w:before="0" w:after="0"/>
        <w:ind w:left="704" w:right="3220" w:hanging="705"/>
        <w:jc w:val="left"/>
        <w:rPr>
          <w:sz w:val="21"/>
        </w:rPr>
      </w:pPr>
      <w:r>
        <w:rPr>
          <w:spacing w:val="-3"/>
          <w:sz w:val="21"/>
        </w:rPr>
        <w:t>外周血象须具备以下三项条件中的两项：</w:t>
      </w:r>
    </w:p>
    <w:p>
      <w:pPr>
        <w:pStyle w:val="BodyText"/>
        <w:spacing w:before="33"/>
        <w:ind w:left="706" w:right="3974"/>
        <w:jc w:val="center"/>
      </w:pPr>
      <w:r>
        <w:rPr>
          <w:spacing w:val="-2"/>
        </w:rPr>
        <w:t>①中性粒细胞绝对值&lt;0.5×10</w:t>
      </w:r>
      <w:r>
        <w:rPr>
          <w:spacing w:val="-2"/>
          <w:position w:val="11"/>
          <w:sz w:val="11"/>
        </w:rPr>
        <w:t>9</w:t>
      </w:r>
      <w:r>
        <w:rPr>
          <w:spacing w:val="-2"/>
        </w:rPr>
        <w:t>/L；</w:t>
      </w:r>
    </w:p>
    <w:p>
      <w:pPr>
        <w:spacing w:after="0"/>
        <w:jc w:val="center"/>
        <w:sectPr>
          <w:type w:val="continuous"/>
          <w:pgSz w:w="11910" w:h="16840"/>
          <w:pgMar w:header="0" w:footer="406" w:top="600" w:bottom="280" w:left="900" w:right="340"/>
          <w:cols w:num="2" w:equalWidth="0">
            <w:col w:w="2745" w:space="40"/>
            <w:col w:w="7885"/>
          </w:cols>
        </w:sectPr>
      </w:pPr>
    </w:p>
    <w:p>
      <w:pPr>
        <w:pStyle w:val="BodyText"/>
        <w:spacing w:before="67"/>
        <w:ind w:left="3485"/>
      </w:pPr>
      <w:r>
        <w:rPr>
          <w:spacing w:val="-2"/>
        </w:rPr>
        <w:t>②网织红细胞计数&lt;20×10</w:t>
      </w:r>
      <w:r>
        <w:rPr>
          <w:spacing w:val="-2"/>
          <w:position w:val="11"/>
          <w:sz w:val="11"/>
        </w:rPr>
        <w:t>9</w:t>
      </w:r>
      <w:r>
        <w:rPr>
          <w:spacing w:val="-2"/>
        </w:rPr>
        <w:t>/L；</w:t>
      </w:r>
    </w:p>
    <w:p>
      <w:pPr>
        <w:pStyle w:val="BodyText"/>
        <w:spacing w:before="33"/>
        <w:ind w:left="3485"/>
      </w:pPr>
      <w:r>
        <w:rPr>
          <w:spacing w:val="-2"/>
        </w:rPr>
        <w:t>③血小板绝对值&lt;20×10</w:t>
      </w:r>
      <w:r>
        <w:rPr>
          <w:spacing w:val="-2"/>
          <w:position w:val="11"/>
          <w:sz w:val="11"/>
        </w:rPr>
        <w:t>9</w:t>
      </w:r>
      <w:r>
        <w:rPr>
          <w:spacing w:val="-2"/>
        </w:rPr>
        <w:t>/L</w:t>
      </w:r>
      <w:r>
        <w:rPr>
          <w:spacing w:val="-12"/>
        </w:rPr>
        <w:t>。</w:t>
      </w:r>
    </w:p>
    <w:p>
      <w:pPr>
        <w:pStyle w:val="BodyText"/>
        <w:spacing w:before="2"/>
      </w:pPr>
    </w:p>
    <w:p>
      <w:pPr>
        <w:pStyle w:val="ListParagraph"/>
        <w:numPr>
          <w:ilvl w:val="2"/>
          <w:numId w:val="40"/>
        </w:numPr>
        <w:tabs>
          <w:tab w:pos="1399" w:val="left" w:leader="none"/>
        </w:tabs>
        <w:spacing w:line="240" w:lineRule="auto" w:before="0" w:after="0"/>
        <w:ind w:left="1398" w:right="0" w:hanging="319"/>
        <w:jc w:val="both"/>
        <w:rPr>
          <w:sz w:val="21"/>
        </w:rPr>
      </w:pPr>
      <w:r>
        <w:rPr>
          <w:sz w:val="21"/>
        </w:rPr>
        <w:t>主动脉手术</w:t>
      </w:r>
      <w:r>
        <w:rPr>
          <w:spacing w:val="401"/>
          <w:w w:val="150"/>
          <w:sz w:val="21"/>
        </w:rPr>
        <w:t> </w:t>
      </w:r>
      <w:r>
        <w:rPr>
          <w:sz w:val="21"/>
        </w:rPr>
        <w:t>指为治疗主动脉疾病或主动脉创伤，已经实施了开胸（含胸腔镜下）</w:t>
      </w:r>
      <w:r>
        <w:rPr>
          <w:spacing w:val="-4"/>
          <w:sz w:val="21"/>
        </w:rPr>
        <w:t>或开腹</w:t>
      </w:r>
    </w:p>
    <w:p>
      <w:pPr>
        <w:pStyle w:val="BodyText"/>
        <w:spacing w:line="278" w:lineRule="auto" w:before="43"/>
        <w:ind w:left="2960" w:right="667"/>
        <w:jc w:val="both"/>
      </w:pPr>
      <w:r>
        <w:rPr>
          <w:spacing w:val="-2"/>
        </w:rPr>
        <w:t>（含腹腔镜下）进行的切除、置换、修补病损主动脉血管、主动脉创伤后修</w:t>
      </w:r>
      <w:r>
        <w:rPr>
          <w:spacing w:val="-2"/>
        </w:rPr>
        <w:t>复的手术。主动脉指升主动脉、主动脉弓和降主动脉（含胸主动脉和腹主动</w:t>
      </w:r>
      <w:r>
        <w:rPr>
          <w:spacing w:val="-2"/>
        </w:rPr>
        <w:t>脉），不包括升主动脉、主动脉弓和降主动脉的分支血管。</w:t>
      </w:r>
    </w:p>
    <w:p>
      <w:pPr>
        <w:pStyle w:val="Heading2"/>
        <w:spacing w:line="320" w:lineRule="exact"/>
      </w:pPr>
      <w:r>
        <w:rPr>
          <w:spacing w:val="-3"/>
        </w:rPr>
        <w:t>所有未实施开胸或开腹的动脉内介入治疗不在保障范围内。</w:t>
      </w:r>
    </w:p>
    <w:p>
      <w:pPr>
        <w:pStyle w:val="BodyText"/>
        <w:spacing w:before="1"/>
        <w:rPr>
          <w:rFonts w:ascii="微软雅黑"/>
          <w:b/>
          <w:sz w:val="8"/>
        </w:rPr>
      </w:pPr>
    </w:p>
    <w:p>
      <w:pPr>
        <w:spacing w:after="0"/>
        <w:rPr>
          <w:rFonts w:ascii="微软雅黑"/>
          <w:sz w:val="8"/>
        </w:rPr>
        <w:sectPr>
          <w:pgSz w:w="11910" w:h="16840"/>
          <w:pgMar w:header="0" w:footer="406" w:top="106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严重慢性呼吸</w:t>
      </w:r>
      <w:r>
        <w:rPr>
          <w:spacing w:val="-6"/>
          <w:sz w:val="21"/>
        </w:rPr>
        <w:t>衰竭</w:t>
      </w:r>
    </w:p>
    <w:p>
      <w:pPr>
        <w:pStyle w:val="BodyText"/>
        <w:spacing w:line="278" w:lineRule="auto" w:before="72"/>
        <w:ind w:left="175" w:right="666"/>
      </w:pPr>
      <w:r>
        <w:rPr/>
        <w:br w:type="column"/>
      </w:r>
      <w:r>
        <w:rPr>
          <w:spacing w:val="-1"/>
        </w:rPr>
        <w:t>指因慢性呼吸系统疾病导致永久不可逆性的呼吸衰竭，经过积极治疗 </w:t>
      </w:r>
      <w:r>
        <w:rPr/>
        <w:t>180</w:t>
      </w:r>
      <w:r>
        <w:rPr>
          <w:spacing w:val="-9"/>
        </w:rPr>
        <w:t> 天</w:t>
      </w:r>
      <w:r>
        <w:rPr>
          <w:spacing w:val="-2"/>
        </w:rPr>
        <w:t>后满足以下所有条件：</w:t>
      </w:r>
    </w:p>
    <w:p>
      <w:pPr>
        <w:pStyle w:val="ListParagraph"/>
        <w:numPr>
          <w:ilvl w:val="0"/>
          <w:numId w:val="62"/>
        </w:numPr>
        <w:tabs>
          <w:tab w:pos="705" w:val="left" w:leader="none"/>
        </w:tabs>
        <w:spacing w:line="269" w:lineRule="exact" w:before="0" w:after="0"/>
        <w:ind w:left="704" w:right="0" w:hanging="530"/>
        <w:jc w:val="left"/>
        <w:rPr>
          <w:sz w:val="21"/>
        </w:rPr>
      </w:pPr>
      <w:r>
        <w:rPr>
          <w:spacing w:val="-3"/>
          <w:sz w:val="21"/>
        </w:rPr>
        <w:t>静息时出现呼吸困难；</w:t>
      </w:r>
    </w:p>
    <w:p>
      <w:pPr>
        <w:pStyle w:val="ListParagraph"/>
        <w:numPr>
          <w:ilvl w:val="0"/>
          <w:numId w:val="62"/>
        </w:numPr>
        <w:tabs>
          <w:tab w:pos="705" w:val="left" w:leader="none"/>
        </w:tabs>
        <w:spacing w:line="240" w:lineRule="auto" w:before="42" w:after="0"/>
        <w:ind w:left="704"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62"/>
        </w:numPr>
        <w:tabs>
          <w:tab w:pos="705" w:val="left" w:leader="none"/>
        </w:tabs>
        <w:spacing w:line="240" w:lineRule="auto" w:before="43" w:after="0"/>
        <w:ind w:left="704"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6"/>
        <w:rPr>
          <w:sz w:val="15"/>
        </w:rPr>
      </w:pPr>
    </w:p>
    <w:p>
      <w:pPr>
        <w:pStyle w:val="ListParagraph"/>
        <w:numPr>
          <w:ilvl w:val="2"/>
          <w:numId w:val="40"/>
        </w:numPr>
        <w:tabs>
          <w:tab w:pos="1399" w:val="left" w:leader="none"/>
        </w:tabs>
        <w:spacing w:line="278" w:lineRule="auto" w:before="71" w:after="0"/>
        <w:ind w:left="2960" w:right="666" w:hanging="1880"/>
        <w:jc w:val="both"/>
        <w:rPr>
          <w:sz w:val="21"/>
        </w:rPr>
      </w:pPr>
      <w:r>
        <w:rPr>
          <w:sz w:val="21"/>
        </w:rPr>
        <w:t>严重克罗恩病 指一种慢性肉芽肿性肠炎，具有特征性的克罗恩病（Crohn</w:t>
      </w:r>
      <w:r>
        <w:rPr>
          <w:spacing w:val="-14"/>
          <w:sz w:val="21"/>
        </w:rPr>
        <w:t> 病</w:t>
      </w:r>
      <w:r>
        <w:rPr>
          <w:sz w:val="21"/>
        </w:rPr>
        <w:t>）病理组织学变</w:t>
      </w:r>
      <w:r>
        <w:rPr>
          <w:spacing w:val="-2"/>
          <w:sz w:val="21"/>
        </w:rPr>
        <w:t>化，须根据组织病理学特点诊断，且已经造成瘘管形成并伴有肠梗阻或肠穿</w:t>
      </w:r>
      <w:r>
        <w:rPr>
          <w:spacing w:val="-6"/>
          <w:sz w:val="21"/>
        </w:rPr>
        <w:t>孔。</w:t>
      </w:r>
    </w:p>
    <w:p>
      <w:pPr>
        <w:pStyle w:val="BodyText"/>
        <w:spacing w:before="3"/>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严重溃疡性结</w:t>
      </w:r>
      <w:r>
        <w:rPr>
          <w:spacing w:val="-6"/>
          <w:sz w:val="21"/>
        </w:rPr>
        <w:t>肠炎</w:t>
      </w:r>
    </w:p>
    <w:p>
      <w:pPr>
        <w:pStyle w:val="BodyText"/>
        <w:spacing w:line="278" w:lineRule="auto" w:before="71"/>
        <w:ind w:left="175" w:right="560"/>
      </w:pPr>
      <w:r>
        <w:rPr/>
        <w:br w:type="column"/>
      </w:r>
      <w:r>
        <w:rPr>
          <w:spacing w:val="-3"/>
          <w:w w:val="100"/>
        </w:rPr>
        <w:t>指伴有致命性电解质紊乱的急性暴发性溃疡性结肠炎，病变已经累及全结肠，</w:t>
      </w:r>
      <w:r>
        <w:rPr>
          <w:w w:val="100"/>
        </w:rPr>
        <w:t>表现为严重的血便和系统性症状体征，须根据组织病理学特点诊断，且已经</w:t>
      </w:r>
      <w:r>
        <w:rPr>
          <w:spacing w:val="-3"/>
          <w:w w:val="100"/>
        </w:rPr>
        <w:t>实施了结肠切除或回肠造瘘术。</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both"/>
        <w:rPr>
          <w:sz w:val="21"/>
        </w:rPr>
      </w:pPr>
      <w:r>
        <w:rPr>
          <w:spacing w:val="8"/>
          <w:sz w:val="21"/>
        </w:rPr>
        <w:t>严重冠状动脉</w:t>
      </w:r>
      <w:r>
        <w:rPr>
          <w:spacing w:val="26"/>
          <w:sz w:val="21"/>
        </w:rPr>
        <w:t>粥样硬化性心脏</w:t>
      </w:r>
      <w:r>
        <w:rPr>
          <w:spacing w:val="-10"/>
          <w:sz w:val="21"/>
        </w:rPr>
        <w:t>病</w:t>
      </w:r>
    </w:p>
    <w:p>
      <w:pPr>
        <w:pStyle w:val="BodyText"/>
        <w:spacing w:line="278" w:lineRule="auto" w:before="72"/>
        <w:ind w:left="142" w:right="678"/>
      </w:pPr>
      <w:r>
        <w:rPr/>
        <w:br w:type="column"/>
      </w:r>
      <w:r>
        <w:rPr>
          <w:spacing w:val="-2"/>
        </w:rPr>
        <w:t>指经冠状动脉造影检查明确诊断为主要血管严重狭窄性病变，须满足下列至</w:t>
      </w:r>
      <w:r>
        <w:rPr>
          <w:spacing w:val="-2"/>
        </w:rPr>
        <w:t>少一项条件：</w:t>
      </w:r>
    </w:p>
    <w:p>
      <w:pPr>
        <w:pStyle w:val="ListParagraph"/>
        <w:numPr>
          <w:ilvl w:val="0"/>
          <w:numId w:val="63"/>
        </w:numPr>
        <w:tabs>
          <w:tab w:pos="672" w:val="left" w:leader="none"/>
        </w:tabs>
        <w:spacing w:line="278" w:lineRule="auto" w:before="0" w:after="0"/>
        <w:ind w:left="668" w:right="666" w:hanging="526"/>
        <w:jc w:val="left"/>
        <w:rPr>
          <w:sz w:val="21"/>
        </w:rPr>
      </w:pPr>
      <w:r>
        <w:rPr>
          <w:spacing w:val="-2"/>
          <w:sz w:val="21"/>
        </w:rPr>
        <w:t>左冠状动脉主干和右冠状动脉中，一支血管管腔堵塞 </w:t>
      </w:r>
      <w:r>
        <w:rPr>
          <w:sz w:val="21"/>
        </w:rPr>
        <w:t>75%以上，另一支</w:t>
      </w:r>
      <w:r>
        <w:rPr>
          <w:spacing w:val="-6"/>
          <w:sz w:val="21"/>
        </w:rPr>
        <w:t>血管管腔堵塞 </w:t>
      </w:r>
      <w:r>
        <w:rPr>
          <w:sz w:val="21"/>
        </w:rPr>
        <w:t>60%以上；</w:t>
      </w:r>
    </w:p>
    <w:p>
      <w:pPr>
        <w:pStyle w:val="ListParagraph"/>
        <w:numPr>
          <w:ilvl w:val="0"/>
          <w:numId w:val="63"/>
        </w:numPr>
        <w:tabs>
          <w:tab w:pos="672" w:val="left" w:leader="none"/>
        </w:tabs>
        <w:spacing w:line="278" w:lineRule="auto" w:before="0" w:after="0"/>
        <w:ind w:left="668" w:right="666" w:hanging="526"/>
        <w:jc w:val="left"/>
        <w:rPr>
          <w:sz w:val="21"/>
        </w:rPr>
      </w:pPr>
      <w:r>
        <w:rPr>
          <w:spacing w:val="-1"/>
          <w:sz w:val="21"/>
        </w:rPr>
        <w:t>左前降支、左旋支和右冠状动脉中，至少一支血管管腔堵塞 </w:t>
      </w:r>
      <w:r>
        <w:rPr>
          <w:sz w:val="21"/>
        </w:rPr>
        <w:t>75%以上，</w:t>
      </w:r>
      <w:r>
        <w:rPr>
          <w:spacing w:val="-4"/>
          <w:sz w:val="21"/>
        </w:rPr>
        <w:t>其他两支血管管腔堵塞 </w:t>
      </w:r>
      <w:r>
        <w:rPr>
          <w:sz w:val="21"/>
        </w:rPr>
        <w:t>60%以上。</w:t>
      </w:r>
    </w:p>
    <w:p>
      <w:pPr>
        <w:pStyle w:val="Heading2"/>
        <w:spacing w:line="282" w:lineRule="exact"/>
        <w:ind w:left="142"/>
      </w:pPr>
      <w:r>
        <w:rPr>
          <w:spacing w:val="-1"/>
        </w:rPr>
        <w:t>左前降支的分支血管、左旋支的分支血管及右冠状动脉的分支血管的狭窄不</w:t>
      </w:r>
    </w:p>
    <w:p>
      <w:pPr>
        <w:spacing w:line="350" w:lineRule="exact" w:before="0"/>
        <w:ind w:left="142" w:right="0" w:firstLine="0"/>
        <w:jc w:val="left"/>
        <w:rPr>
          <w:rFonts w:ascii="微软雅黑" w:eastAsia="微软雅黑"/>
          <w:b/>
          <w:sz w:val="21"/>
        </w:rPr>
      </w:pPr>
      <w:r>
        <w:rPr>
          <w:rFonts w:ascii="微软雅黑" w:eastAsia="微软雅黑"/>
          <w:b/>
          <w:spacing w:val="-3"/>
          <w:sz w:val="21"/>
        </w:rPr>
        <w:t>作为本保障的衡量指标。</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78" w:space="40"/>
            <w:col w:w="7852"/>
          </w:cols>
        </w:sectPr>
      </w:pPr>
    </w:p>
    <w:p>
      <w:pPr>
        <w:pStyle w:val="BodyText"/>
        <w:spacing w:before="1"/>
        <w:rPr>
          <w:rFonts w:ascii="微软雅黑"/>
          <w:b/>
          <w:sz w:val="8"/>
        </w:rPr>
      </w:pPr>
    </w:p>
    <w:p>
      <w:pPr>
        <w:pStyle w:val="ListParagraph"/>
        <w:numPr>
          <w:ilvl w:val="2"/>
          <w:numId w:val="40"/>
        </w:numPr>
        <w:tabs>
          <w:tab w:pos="1399" w:val="left" w:leader="none"/>
        </w:tabs>
        <w:spacing w:line="278" w:lineRule="auto" w:before="71" w:after="0"/>
        <w:ind w:left="2960" w:right="666" w:hanging="1880"/>
        <w:jc w:val="both"/>
        <w:rPr>
          <w:sz w:val="21"/>
        </w:rPr>
      </w:pPr>
      <w:r>
        <w:rPr>
          <w:sz w:val="21"/>
        </w:rPr>
        <w:t>严重心肌病 指不明原因引起的一类心肌病变，包括原发性扩张型心肌病、原发性肥厚型</w:t>
      </w:r>
      <w:r>
        <w:rPr>
          <w:spacing w:val="-2"/>
          <w:sz w:val="21"/>
        </w:rPr>
        <w:t>心肌病及原发性限制型心肌病三种，病变必须已造成事实上心室功能障碍而</w:t>
      </w:r>
      <w:r>
        <w:rPr>
          <w:spacing w:val="26"/>
          <w:sz w:val="21"/>
        </w:rPr>
        <w:t>出现明显的心功能衰竭</w:t>
      </w:r>
      <w:r>
        <w:rPr>
          <w:sz w:val="21"/>
        </w:rPr>
        <w:t>（</w:t>
      </w:r>
      <w:r>
        <w:rPr>
          <w:spacing w:val="20"/>
          <w:sz w:val="21"/>
        </w:rPr>
        <w:t> 达到美国纽约心脏病学会</w:t>
      </w:r>
      <w:r>
        <w:rPr>
          <w:sz w:val="21"/>
        </w:rPr>
        <w:t>（</w:t>
      </w:r>
      <w:r>
        <w:rPr>
          <w:spacing w:val="-26"/>
          <w:sz w:val="21"/>
        </w:rPr>
        <w:t> </w:t>
      </w:r>
      <w:r>
        <w:rPr>
          <w:sz w:val="21"/>
        </w:rPr>
        <w:t>New</w:t>
      </w:r>
      <w:r>
        <w:rPr>
          <w:spacing w:val="-26"/>
          <w:sz w:val="21"/>
        </w:rPr>
        <w:t> </w:t>
      </w:r>
      <w:r>
        <w:rPr>
          <w:sz w:val="21"/>
        </w:rPr>
        <w:t>York</w:t>
      </w:r>
      <w:r>
        <w:rPr>
          <w:spacing w:val="-8"/>
          <w:sz w:val="21"/>
        </w:rPr>
        <w:t> </w:t>
      </w:r>
      <w:r>
        <w:rPr>
          <w:sz w:val="21"/>
        </w:rPr>
        <w:t>Heart </w:t>
      </w:r>
      <w:r>
        <w:rPr>
          <w:spacing w:val="-2"/>
          <w:sz w:val="21"/>
        </w:rPr>
        <w:t>Association，NYHA）心功能状态分级Ⅳ级），且有相关住院医疗记录显示Ⅳ</w:t>
      </w:r>
      <w:r>
        <w:rPr>
          <w:spacing w:val="-2"/>
          <w:sz w:val="21"/>
        </w:rPr>
        <w:t>级心功能衰竭状态持续至少 </w:t>
      </w:r>
      <w:r>
        <w:rPr>
          <w:sz w:val="21"/>
        </w:rPr>
        <w:t>180</w:t>
      </w:r>
      <w:r>
        <w:rPr>
          <w:spacing w:val="-9"/>
          <w:sz w:val="21"/>
        </w:rPr>
        <w:t> 天。</w:t>
      </w:r>
    </w:p>
    <w:p>
      <w:pPr>
        <w:spacing w:line="282" w:lineRule="exact" w:before="0"/>
        <w:ind w:left="2960" w:right="0" w:firstLine="0"/>
        <w:jc w:val="left"/>
        <w:rPr>
          <w:rFonts w:ascii="微软雅黑" w:eastAsia="微软雅黑"/>
          <w:b/>
          <w:sz w:val="21"/>
        </w:rPr>
      </w:pPr>
      <w:r>
        <w:rPr>
          <w:sz w:val="21"/>
        </w:rPr>
        <w:t>该病必须在本公司认可的医疗机构内由专科医生明确诊断。</w:t>
      </w:r>
      <w:r>
        <w:rPr>
          <w:rFonts w:ascii="微软雅黑" w:eastAsia="微软雅黑"/>
          <w:b/>
          <w:spacing w:val="-2"/>
          <w:sz w:val="21"/>
        </w:rPr>
        <w:t>继发于全身性疾</w:t>
      </w:r>
    </w:p>
    <w:p>
      <w:pPr>
        <w:pStyle w:val="Heading2"/>
        <w:spacing w:line="350" w:lineRule="exact"/>
      </w:pPr>
      <w:r>
        <w:rPr>
          <w:spacing w:val="-3"/>
        </w:rPr>
        <w:t>病或其他器官系统疾病造成的心肌病变除外。</w:t>
      </w:r>
    </w:p>
    <w:p>
      <w:pPr>
        <w:pStyle w:val="BodyText"/>
        <w:rPr>
          <w:rFonts w:ascii="微软雅黑"/>
          <w:b/>
          <w:sz w:val="12"/>
        </w:rPr>
      </w:pPr>
    </w:p>
    <w:p>
      <w:pPr>
        <w:pStyle w:val="ListParagraph"/>
        <w:numPr>
          <w:ilvl w:val="2"/>
          <w:numId w:val="40"/>
        </w:numPr>
        <w:tabs>
          <w:tab w:pos="1399" w:val="left" w:leader="none"/>
          <w:tab w:pos="2960" w:val="left" w:leader="none"/>
        </w:tabs>
        <w:spacing w:line="278" w:lineRule="auto" w:before="0" w:after="0"/>
        <w:ind w:left="2960" w:right="667" w:hanging="1880"/>
        <w:jc w:val="left"/>
        <w:rPr>
          <w:sz w:val="21"/>
        </w:rPr>
      </w:pPr>
      <w:r>
        <w:rPr>
          <w:spacing w:val="-2"/>
          <w:sz w:val="21"/>
        </w:rPr>
        <w:t>严重心</w:t>
      </w:r>
      <w:r>
        <w:rPr>
          <w:spacing w:val="-2"/>
          <w:sz w:val="21"/>
        </w:rPr>
        <w:t>肌</w:t>
      </w:r>
      <w:r>
        <w:rPr>
          <w:spacing w:val="-2"/>
          <w:sz w:val="21"/>
        </w:rPr>
        <w:t>炎</w:t>
      </w:r>
      <w:r>
        <w:rPr>
          <w:sz w:val="21"/>
        </w:rPr>
        <w:tab/>
      </w:r>
      <w:r>
        <w:rPr>
          <w:spacing w:val="-2"/>
          <w:sz w:val="21"/>
        </w:rPr>
        <w:t>指</w:t>
      </w:r>
      <w:r>
        <w:rPr>
          <w:spacing w:val="-2"/>
          <w:sz w:val="21"/>
        </w:rPr>
        <w:t>因</w:t>
      </w:r>
      <w:r>
        <w:rPr>
          <w:spacing w:val="-2"/>
          <w:sz w:val="21"/>
        </w:rPr>
        <w:t>严</w:t>
      </w:r>
      <w:r>
        <w:rPr>
          <w:spacing w:val="-2"/>
          <w:sz w:val="21"/>
        </w:rPr>
        <w:t>重</w:t>
      </w:r>
      <w:r>
        <w:rPr>
          <w:spacing w:val="-2"/>
          <w:sz w:val="21"/>
        </w:rPr>
        <w:t>心</w:t>
      </w:r>
      <w:r>
        <w:rPr>
          <w:spacing w:val="-2"/>
          <w:sz w:val="21"/>
        </w:rPr>
        <w:t>肌</w:t>
      </w:r>
      <w:r>
        <w:rPr>
          <w:spacing w:val="-2"/>
          <w:sz w:val="21"/>
        </w:rPr>
        <w:t>炎</w:t>
      </w:r>
      <w:r>
        <w:rPr>
          <w:spacing w:val="-2"/>
          <w:sz w:val="21"/>
        </w:rPr>
        <w:t>性</w:t>
      </w:r>
      <w:r>
        <w:rPr>
          <w:spacing w:val="-2"/>
          <w:sz w:val="21"/>
        </w:rPr>
        <w:t>病变导</w:t>
      </w:r>
      <w:r>
        <w:rPr>
          <w:spacing w:val="-2"/>
          <w:sz w:val="21"/>
        </w:rPr>
        <w:t>致</w:t>
      </w:r>
      <w:r>
        <w:rPr>
          <w:spacing w:val="-2"/>
          <w:sz w:val="21"/>
        </w:rPr>
        <w:t>心</w:t>
      </w:r>
      <w:r>
        <w:rPr>
          <w:spacing w:val="-2"/>
          <w:sz w:val="21"/>
        </w:rPr>
        <w:t>功</w:t>
      </w:r>
      <w:r>
        <w:rPr>
          <w:spacing w:val="-2"/>
          <w:sz w:val="21"/>
        </w:rPr>
        <w:t>能</w:t>
      </w:r>
      <w:r>
        <w:rPr>
          <w:spacing w:val="-2"/>
          <w:sz w:val="21"/>
        </w:rPr>
        <w:t>损</w:t>
      </w:r>
      <w:r>
        <w:rPr>
          <w:spacing w:val="-2"/>
          <w:sz w:val="21"/>
        </w:rPr>
        <w:t>害</w:t>
      </w:r>
      <w:r>
        <w:rPr>
          <w:spacing w:val="-2"/>
          <w:sz w:val="21"/>
        </w:rPr>
        <w:t>造</w:t>
      </w:r>
      <w:r>
        <w:rPr>
          <w:spacing w:val="-2"/>
          <w:sz w:val="21"/>
        </w:rPr>
        <w:t>成</w:t>
      </w:r>
      <w:r>
        <w:rPr>
          <w:spacing w:val="-2"/>
          <w:sz w:val="21"/>
        </w:rPr>
        <w:t>持续的</w:t>
      </w:r>
      <w:r>
        <w:rPr>
          <w:spacing w:val="-2"/>
          <w:sz w:val="21"/>
        </w:rPr>
        <w:t>永</w:t>
      </w:r>
      <w:r>
        <w:rPr>
          <w:spacing w:val="-2"/>
          <w:sz w:val="21"/>
        </w:rPr>
        <w:t>久</w:t>
      </w:r>
      <w:r>
        <w:rPr>
          <w:spacing w:val="-2"/>
          <w:sz w:val="21"/>
        </w:rPr>
        <w:t>不</w:t>
      </w:r>
      <w:r>
        <w:rPr>
          <w:spacing w:val="-2"/>
          <w:sz w:val="21"/>
        </w:rPr>
        <w:t>可</w:t>
      </w:r>
      <w:r>
        <w:rPr>
          <w:spacing w:val="-2"/>
          <w:sz w:val="21"/>
        </w:rPr>
        <w:t>逆</w:t>
      </w:r>
      <w:r>
        <w:rPr>
          <w:spacing w:val="-2"/>
          <w:sz w:val="21"/>
        </w:rPr>
        <w:t>性</w:t>
      </w:r>
      <w:r>
        <w:rPr>
          <w:spacing w:val="-2"/>
          <w:sz w:val="21"/>
        </w:rPr>
        <w:t>的</w:t>
      </w:r>
      <w:r>
        <w:rPr>
          <w:spacing w:val="-2"/>
          <w:sz w:val="21"/>
        </w:rPr>
        <w:t>心</w:t>
      </w:r>
      <w:r>
        <w:rPr>
          <w:spacing w:val="-2"/>
          <w:sz w:val="21"/>
        </w:rPr>
        <w:t>功</w:t>
      </w:r>
      <w:r>
        <w:rPr>
          <w:spacing w:val="-2"/>
          <w:sz w:val="21"/>
        </w:rPr>
        <w:t>能</w:t>
      </w:r>
      <w:r>
        <w:rPr>
          <w:spacing w:val="-2"/>
          <w:sz w:val="21"/>
        </w:rPr>
        <w:t>衰</w:t>
      </w:r>
      <w:r>
        <w:rPr>
          <w:spacing w:val="-2"/>
          <w:sz w:val="21"/>
        </w:rPr>
        <w:t>竭</w:t>
      </w:r>
      <w:r>
        <w:rPr>
          <w:spacing w:val="-2"/>
          <w:sz w:val="21"/>
        </w:rPr>
        <w:t>。</w:t>
      </w:r>
      <w:r>
        <w:rPr>
          <w:spacing w:val="-2"/>
          <w:sz w:val="21"/>
        </w:rPr>
        <w:t>必须满足所有以下条</w:t>
      </w:r>
      <w:r>
        <w:rPr>
          <w:spacing w:val="-2"/>
          <w:sz w:val="21"/>
        </w:rPr>
        <w:t>件</w:t>
      </w:r>
      <w:r>
        <w:rPr>
          <w:spacing w:val="-2"/>
          <w:sz w:val="21"/>
        </w:rPr>
        <w:t>：</w:t>
      </w:r>
    </w:p>
    <w:p>
      <w:pPr>
        <w:pStyle w:val="ListParagraph"/>
        <w:numPr>
          <w:ilvl w:val="0"/>
          <w:numId w:val="64"/>
        </w:numPr>
        <w:tabs>
          <w:tab w:pos="3490" w:val="left" w:leader="none"/>
        </w:tabs>
        <w:spacing w:line="278" w:lineRule="auto" w:before="0" w:after="0"/>
        <w:ind w:left="3485" w:right="560" w:hanging="526"/>
        <w:jc w:val="left"/>
        <w:rPr>
          <w:sz w:val="21"/>
        </w:rPr>
      </w:pPr>
      <w:r>
        <w:rPr>
          <w:spacing w:val="-5"/>
          <w:sz w:val="21"/>
        </w:rPr>
        <w:t>心功能衰竭程度达到美国纽约心脏病学会</w:t>
      </w:r>
      <w:r>
        <w:rPr>
          <w:sz w:val="21"/>
        </w:rPr>
        <w:t>（New</w:t>
      </w:r>
      <w:r>
        <w:rPr>
          <w:spacing w:val="-25"/>
          <w:sz w:val="21"/>
        </w:rPr>
        <w:t> </w:t>
      </w:r>
      <w:r>
        <w:rPr>
          <w:sz w:val="21"/>
        </w:rPr>
        <w:t>York</w:t>
      </w:r>
      <w:r>
        <w:rPr>
          <w:spacing w:val="-22"/>
          <w:sz w:val="21"/>
        </w:rPr>
        <w:t> </w:t>
      </w:r>
      <w:r>
        <w:rPr>
          <w:sz w:val="21"/>
        </w:rPr>
        <w:t>Heart Association， NYHA）心功能状态分级Ⅳ级，或左室射血分数低于 </w:t>
      </w:r>
      <w:r>
        <w:rPr>
          <w:spacing w:val="-4"/>
          <w:sz w:val="21"/>
        </w:rPr>
        <w:t>30%；</w:t>
      </w:r>
    </w:p>
    <w:p>
      <w:pPr>
        <w:pStyle w:val="ListParagraph"/>
        <w:numPr>
          <w:ilvl w:val="0"/>
          <w:numId w:val="64"/>
        </w:numPr>
        <w:tabs>
          <w:tab w:pos="3490" w:val="left" w:leader="none"/>
        </w:tabs>
        <w:spacing w:line="269" w:lineRule="exact" w:before="0" w:after="0"/>
        <w:ind w:left="3489" w:right="0" w:hanging="530"/>
        <w:jc w:val="left"/>
        <w:rPr>
          <w:sz w:val="21"/>
        </w:rPr>
      </w:pPr>
      <w:r>
        <w:rPr>
          <w:spacing w:val="-11"/>
          <w:sz w:val="21"/>
        </w:rPr>
        <w:t>持续不间断 </w:t>
      </w:r>
      <w:r>
        <w:rPr>
          <w:spacing w:val="-2"/>
          <w:sz w:val="21"/>
        </w:rPr>
        <w:t>180</w:t>
      </w:r>
      <w:r>
        <w:rPr>
          <w:spacing w:val="-14"/>
          <w:sz w:val="21"/>
        </w:rPr>
        <w:t> 天以上；</w:t>
      </w:r>
    </w:p>
    <w:p>
      <w:pPr>
        <w:pStyle w:val="ListParagraph"/>
        <w:numPr>
          <w:ilvl w:val="0"/>
          <w:numId w:val="64"/>
        </w:numPr>
        <w:tabs>
          <w:tab w:pos="3490" w:val="left" w:leader="none"/>
        </w:tabs>
        <w:spacing w:line="240" w:lineRule="auto" w:before="43" w:after="0"/>
        <w:ind w:left="3489" w:right="0" w:hanging="530"/>
        <w:jc w:val="left"/>
        <w:rPr>
          <w:sz w:val="21"/>
        </w:rPr>
      </w:pPr>
      <w:r>
        <w:rPr>
          <w:spacing w:val="-3"/>
          <w:sz w:val="21"/>
        </w:rPr>
        <w:t>被保险人永久不可逆性的体力活动能力受限，不能从事任何体力活动。</w:t>
      </w:r>
    </w:p>
    <w:p>
      <w:pPr>
        <w:pStyle w:val="BodyText"/>
        <w:spacing w:before="12"/>
        <w:rPr>
          <w:sz w:val="20"/>
        </w:rPr>
      </w:pPr>
    </w:p>
    <w:p>
      <w:pPr>
        <w:pStyle w:val="ListParagraph"/>
        <w:numPr>
          <w:ilvl w:val="2"/>
          <w:numId w:val="40"/>
        </w:numPr>
        <w:tabs>
          <w:tab w:pos="1412" w:val="left" w:leader="none"/>
        </w:tabs>
        <w:spacing w:line="240" w:lineRule="auto" w:before="0" w:after="0"/>
        <w:ind w:left="1411" w:right="0" w:hanging="332"/>
        <w:jc w:val="left"/>
        <w:rPr>
          <w:sz w:val="21"/>
        </w:rPr>
      </w:pPr>
      <w:r>
        <w:rPr>
          <w:spacing w:val="-1"/>
          <w:sz w:val="21"/>
        </w:rPr>
        <w:t>Ⅲ度房室传导  指心房激动在房室交界区、房室束及其分支内发生阻滞，不能正常地传到心</w:t>
      </w:r>
    </w:p>
    <w:p>
      <w:pPr>
        <w:spacing w:after="0" w:line="240" w:lineRule="auto"/>
        <w:jc w:val="left"/>
        <w:rPr>
          <w:sz w:val="21"/>
        </w:rPr>
        <w:sectPr>
          <w:type w:val="continuous"/>
          <w:pgSz w:w="11910" w:h="16840"/>
          <w:pgMar w:header="0" w:footer="406" w:top="600" w:bottom="280" w:left="900" w:right="340"/>
        </w:sectPr>
      </w:pPr>
    </w:p>
    <w:p>
      <w:pPr>
        <w:pStyle w:val="BodyText"/>
        <w:tabs>
          <w:tab w:pos="2960" w:val="left" w:leader="none"/>
        </w:tabs>
        <w:spacing w:before="57"/>
        <w:ind w:left="1080"/>
      </w:pPr>
      <w:r>
        <w:rPr/>
        <w:t>阻</w:t>
      </w:r>
      <w:r>
        <w:rPr>
          <w:spacing w:val="-10"/>
        </w:rPr>
        <w:t>滞</w:t>
      </w:r>
      <w:r>
        <w:rPr/>
        <w:tab/>
      </w:r>
      <w:r>
        <w:rPr>
          <w:spacing w:val="-2"/>
        </w:rPr>
        <w:t>室</w:t>
      </w:r>
      <w:r>
        <w:rPr>
          <w:spacing w:val="-2"/>
        </w:rPr>
        <w:t>的</w:t>
      </w:r>
      <w:r>
        <w:rPr>
          <w:spacing w:val="-2"/>
        </w:rPr>
        <w:t>心脏传导性疾病，须</w:t>
      </w:r>
      <w:r>
        <w:rPr>
          <w:spacing w:val="-2"/>
        </w:rPr>
        <w:t>满</w:t>
      </w:r>
      <w:r>
        <w:rPr>
          <w:spacing w:val="-2"/>
        </w:rPr>
        <w:t>足</w:t>
      </w:r>
      <w:r>
        <w:rPr>
          <w:spacing w:val="-2"/>
        </w:rPr>
        <w:t>下列所有条</w:t>
      </w:r>
      <w:r>
        <w:rPr>
          <w:spacing w:val="-2"/>
        </w:rPr>
        <w:t>件</w:t>
      </w:r>
      <w:r>
        <w:rPr>
          <w:spacing w:val="-10"/>
        </w:rPr>
        <w:t>：</w:t>
      </w:r>
    </w:p>
    <w:p>
      <w:pPr>
        <w:pStyle w:val="ListParagraph"/>
        <w:numPr>
          <w:ilvl w:val="0"/>
          <w:numId w:val="65"/>
        </w:numPr>
        <w:tabs>
          <w:tab w:pos="3490" w:val="left" w:leader="none"/>
        </w:tabs>
        <w:spacing w:line="240" w:lineRule="auto" w:before="43" w:after="0"/>
        <w:ind w:left="3489" w:right="0" w:hanging="530"/>
        <w:jc w:val="left"/>
        <w:rPr>
          <w:sz w:val="21"/>
        </w:rPr>
      </w:pPr>
      <w:r>
        <w:rPr>
          <w:spacing w:val="-2"/>
          <w:sz w:val="21"/>
        </w:rPr>
        <w:t>心电图显示房室搏动彼此独立，心室率&lt;50</w:t>
      </w:r>
      <w:r>
        <w:rPr>
          <w:spacing w:val="-11"/>
          <w:sz w:val="21"/>
        </w:rPr>
        <w:t> 次/分钟；</w:t>
      </w:r>
    </w:p>
    <w:p>
      <w:pPr>
        <w:pStyle w:val="ListParagraph"/>
        <w:numPr>
          <w:ilvl w:val="0"/>
          <w:numId w:val="65"/>
        </w:numPr>
        <w:tabs>
          <w:tab w:pos="3490" w:val="left" w:leader="none"/>
        </w:tabs>
        <w:spacing w:line="240" w:lineRule="auto" w:before="43" w:after="0"/>
        <w:ind w:left="3489" w:right="0" w:hanging="530"/>
        <w:jc w:val="left"/>
        <w:rPr>
          <w:sz w:val="21"/>
        </w:rPr>
      </w:pPr>
      <w:r>
        <w:rPr>
          <w:spacing w:val="-3"/>
          <w:sz w:val="21"/>
        </w:rPr>
        <w:t>出现阿-斯综合征或心力衰竭的表现；</w:t>
      </w:r>
    </w:p>
    <w:p>
      <w:pPr>
        <w:pStyle w:val="ListParagraph"/>
        <w:numPr>
          <w:ilvl w:val="0"/>
          <w:numId w:val="65"/>
        </w:numPr>
        <w:tabs>
          <w:tab w:pos="3487" w:val="left" w:leader="none"/>
        </w:tabs>
        <w:spacing w:line="240" w:lineRule="auto" w:before="43" w:after="0"/>
        <w:ind w:left="3486" w:right="0" w:hanging="527"/>
        <w:jc w:val="left"/>
        <w:rPr>
          <w:sz w:val="21"/>
        </w:rPr>
      </w:pPr>
      <w:r>
        <w:rPr>
          <w:spacing w:val="-6"/>
          <w:sz w:val="21"/>
        </w:rPr>
        <w:t>必须持续性依赖心脏起搏器维持心脏正常功能，且已经放置心脏起搏器。</w:t>
      </w:r>
    </w:p>
    <w:p>
      <w:pPr>
        <w:pStyle w:val="BodyText"/>
        <w:spacing w:before="7"/>
        <w:rPr>
          <w:sz w:val="15"/>
        </w:rPr>
      </w:pPr>
    </w:p>
    <w:p>
      <w:pPr>
        <w:spacing w:after="0"/>
        <w:rPr>
          <w:sz w:val="15"/>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感染性心内膜</w:t>
      </w:r>
      <w:r>
        <w:rPr>
          <w:spacing w:val="-10"/>
          <w:sz w:val="21"/>
        </w:rPr>
        <w:t>炎</w:t>
      </w:r>
    </w:p>
    <w:p>
      <w:pPr>
        <w:pStyle w:val="BodyText"/>
        <w:spacing w:line="278" w:lineRule="auto" w:before="72"/>
        <w:ind w:left="175" w:right="667"/>
        <w:jc w:val="both"/>
      </w:pPr>
      <w:r>
        <w:rPr/>
        <w:br w:type="column"/>
      </w:r>
      <w:r>
        <w:rPr>
          <w:spacing w:val="-2"/>
        </w:rPr>
        <w:t>指因细菌、真菌和其他微生物（如病毒、立克次体、衣原体、螺旋体等）直</w:t>
      </w:r>
      <w:r>
        <w:rPr>
          <w:spacing w:val="-2"/>
        </w:rPr>
        <w:t>接感染而产生心瓣膜或心室壁内膜的炎症，须经心脏专科医生确诊，并符合</w:t>
      </w:r>
      <w:r>
        <w:rPr>
          <w:spacing w:val="-2"/>
        </w:rPr>
        <w:t>以下所有条件：</w:t>
      </w:r>
    </w:p>
    <w:p>
      <w:pPr>
        <w:pStyle w:val="ListParagraph"/>
        <w:numPr>
          <w:ilvl w:val="0"/>
          <w:numId w:val="66"/>
        </w:numPr>
        <w:tabs>
          <w:tab w:pos="705" w:val="left" w:leader="none"/>
        </w:tabs>
        <w:spacing w:line="269" w:lineRule="exact" w:before="0" w:after="0"/>
        <w:ind w:left="704" w:right="0" w:hanging="530"/>
        <w:jc w:val="left"/>
        <w:rPr>
          <w:sz w:val="21"/>
        </w:rPr>
      </w:pPr>
      <w:r>
        <w:rPr>
          <w:spacing w:val="-3"/>
          <w:sz w:val="21"/>
        </w:rPr>
        <w:t>血液培养测试结果为阳性，并至少符合以下条件之一：</w:t>
      </w:r>
    </w:p>
    <w:p>
      <w:pPr>
        <w:pStyle w:val="BodyText"/>
        <w:spacing w:line="278" w:lineRule="auto" w:before="43"/>
        <w:ind w:left="1015" w:right="664" w:hanging="315"/>
      </w:pPr>
      <w:r>
        <w:rPr/>
        <w:t>① 微生物：在赘生物，栓塞的赘生物或心脏内脓肿培养或组织检查证</w:t>
      </w:r>
      <w:r>
        <w:rPr>
          <w:spacing w:val="-2"/>
        </w:rPr>
        <w:t>实有微生物；</w:t>
      </w:r>
    </w:p>
    <w:p>
      <w:pPr>
        <w:pStyle w:val="BodyText"/>
        <w:spacing w:line="269" w:lineRule="exact"/>
        <w:ind w:left="700"/>
      </w:pPr>
      <w:r>
        <w:rPr>
          <w:spacing w:val="-3"/>
        </w:rPr>
        <w:t>② 病理性病灶：组织检查证实赘生物或心脏内脓肿有活动性心内膜炎；</w:t>
      </w:r>
    </w:p>
    <w:p>
      <w:pPr>
        <w:pStyle w:val="BodyText"/>
        <w:spacing w:before="43"/>
        <w:ind w:left="700"/>
      </w:pPr>
      <w:r>
        <w:rPr>
          <w:spacing w:val="-3"/>
        </w:rPr>
        <w:t>③ 分别两次血液培养证实有典型的微生物且与心内膜炎符合；</w:t>
      </w:r>
    </w:p>
    <w:p>
      <w:pPr>
        <w:pStyle w:val="BodyText"/>
        <w:spacing w:before="43"/>
        <w:ind w:left="700"/>
      </w:pPr>
      <w:r>
        <w:rPr>
          <w:spacing w:val="-3"/>
        </w:rPr>
        <w:t>④ 持续血液培养证实有微生物阳性反应，且与心内膜炎符合。</w:t>
      </w:r>
    </w:p>
    <w:p>
      <w:pPr>
        <w:pStyle w:val="ListParagraph"/>
        <w:numPr>
          <w:ilvl w:val="0"/>
          <w:numId w:val="66"/>
        </w:numPr>
        <w:tabs>
          <w:tab w:pos="705" w:val="left" w:leader="none"/>
        </w:tabs>
        <w:spacing w:line="278" w:lineRule="auto" w:before="43" w:after="0"/>
        <w:ind w:left="700" w:right="666" w:hanging="526"/>
        <w:jc w:val="left"/>
        <w:rPr>
          <w:sz w:val="21"/>
        </w:rPr>
      </w:pPr>
      <w:r>
        <w:rPr>
          <w:sz w:val="21"/>
        </w:rPr>
        <w:t>心内膜炎引起中度心瓣膜关闭不全（</w:t>
      </w:r>
      <w:r>
        <w:rPr>
          <w:spacing w:val="-5"/>
          <w:sz w:val="21"/>
        </w:rPr>
        <w:t>指返流指数 </w:t>
      </w:r>
      <w:r>
        <w:rPr>
          <w:sz w:val="21"/>
        </w:rPr>
        <w:t>20%或以上）或中度心瓣膜狭窄（</w:t>
      </w:r>
      <w:r>
        <w:rPr>
          <w:spacing w:val="-3"/>
          <w:sz w:val="21"/>
        </w:rPr>
        <w:t>指心瓣膜开口范围小于或等于正常的 </w:t>
      </w:r>
      <w:r>
        <w:rPr>
          <w:sz w:val="21"/>
        </w:rPr>
        <w:t>30%）；</w:t>
      </w:r>
    </w:p>
    <w:p>
      <w:pPr>
        <w:pStyle w:val="ListParagraph"/>
        <w:numPr>
          <w:ilvl w:val="0"/>
          <w:numId w:val="66"/>
        </w:numPr>
        <w:tabs>
          <w:tab w:pos="705" w:val="left" w:leader="none"/>
        </w:tabs>
        <w:spacing w:line="269" w:lineRule="exact" w:before="0" w:after="0"/>
        <w:ind w:left="704" w:right="0" w:hanging="530"/>
        <w:jc w:val="left"/>
        <w:rPr>
          <w:sz w:val="21"/>
        </w:rPr>
      </w:pPr>
      <w:r>
        <w:rPr>
          <w:spacing w:val="-3"/>
          <w:sz w:val="21"/>
        </w:rPr>
        <w:t>心内膜炎及心瓣膜损毁程度需经由心脏专科医生确诊。</w:t>
      </w:r>
    </w:p>
    <w:p>
      <w:pPr>
        <w:spacing w:after="0" w:line="269" w:lineRule="exact"/>
        <w:jc w:val="left"/>
        <w:rPr>
          <w:sz w:val="21"/>
        </w:rPr>
        <w:sectPr>
          <w:type w:val="continuous"/>
          <w:pgSz w:w="11910" w:h="16840"/>
          <w:pgMar w:header="0" w:footer="406" w:top="600" w:bottom="280" w:left="900" w:right="340"/>
          <w:cols w:num="2" w:equalWidth="0">
            <w:col w:w="2745" w:space="40"/>
            <w:col w:w="7885"/>
          </w:cols>
        </w:sectPr>
      </w:pPr>
    </w:p>
    <w:p>
      <w:pPr>
        <w:pStyle w:val="BodyText"/>
        <w:spacing w:before="7"/>
        <w:rPr>
          <w:sz w:val="15"/>
        </w:rPr>
      </w:pPr>
    </w:p>
    <w:p>
      <w:pPr>
        <w:pStyle w:val="ListParagraph"/>
        <w:numPr>
          <w:ilvl w:val="2"/>
          <w:numId w:val="40"/>
        </w:numPr>
        <w:tabs>
          <w:tab w:pos="1399" w:val="left" w:leader="none"/>
          <w:tab w:pos="2960" w:val="left" w:leader="none"/>
        </w:tabs>
        <w:spacing w:line="278" w:lineRule="auto" w:before="72" w:after="0"/>
        <w:ind w:left="2960" w:right="667" w:hanging="1880"/>
        <w:jc w:val="left"/>
        <w:rPr>
          <w:sz w:val="21"/>
        </w:rPr>
      </w:pPr>
      <w:r>
        <w:rPr>
          <w:spacing w:val="-2"/>
          <w:sz w:val="21"/>
        </w:rPr>
        <w:t>肺源性心脏病</w:t>
      </w:r>
      <w:r>
        <w:rPr>
          <w:sz w:val="21"/>
        </w:rPr>
        <w:tab/>
      </w:r>
      <w:r>
        <w:rPr>
          <w:spacing w:val="-2"/>
          <w:sz w:val="21"/>
        </w:rPr>
        <w:t>指</w:t>
      </w:r>
      <w:r>
        <w:rPr>
          <w:spacing w:val="-2"/>
          <w:sz w:val="21"/>
        </w:rPr>
        <w:t>由</w:t>
      </w:r>
      <w:r>
        <w:rPr>
          <w:spacing w:val="-2"/>
          <w:sz w:val="21"/>
        </w:rPr>
        <w:t>于</w:t>
      </w:r>
      <w:r>
        <w:rPr>
          <w:spacing w:val="-2"/>
          <w:sz w:val="21"/>
        </w:rPr>
        <w:t>各</w:t>
      </w:r>
      <w:r>
        <w:rPr>
          <w:spacing w:val="-2"/>
          <w:sz w:val="21"/>
        </w:rPr>
        <w:t>种</w:t>
      </w:r>
      <w:r>
        <w:rPr>
          <w:spacing w:val="-2"/>
          <w:sz w:val="21"/>
        </w:rPr>
        <w:t>胸</w:t>
      </w:r>
      <w:r>
        <w:rPr>
          <w:spacing w:val="-2"/>
          <w:sz w:val="21"/>
        </w:rPr>
        <w:t>肺</w:t>
      </w:r>
      <w:r>
        <w:rPr>
          <w:spacing w:val="-2"/>
          <w:sz w:val="21"/>
        </w:rPr>
        <w:t>及</w:t>
      </w:r>
      <w:r>
        <w:rPr>
          <w:spacing w:val="-2"/>
          <w:sz w:val="21"/>
        </w:rPr>
        <w:t>支气管</w:t>
      </w:r>
      <w:r>
        <w:rPr>
          <w:spacing w:val="-2"/>
          <w:sz w:val="21"/>
        </w:rPr>
        <w:t>病</w:t>
      </w:r>
      <w:r>
        <w:rPr>
          <w:spacing w:val="-2"/>
          <w:sz w:val="21"/>
        </w:rPr>
        <w:t>变</w:t>
      </w:r>
      <w:r>
        <w:rPr>
          <w:spacing w:val="-2"/>
          <w:sz w:val="21"/>
        </w:rPr>
        <w:t>而</w:t>
      </w:r>
      <w:r>
        <w:rPr>
          <w:spacing w:val="-2"/>
          <w:sz w:val="21"/>
        </w:rPr>
        <w:t>继</w:t>
      </w:r>
      <w:r>
        <w:rPr>
          <w:spacing w:val="-2"/>
          <w:sz w:val="21"/>
        </w:rPr>
        <w:t>发</w:t>
      </w:r>
      <w:r>
        <w:rPr>
          <w:spacing w:val="-2"/>
          <w:sz w:val="21"/>
        </w:rPr>
        <w:t>的</w:t>
      </w:r>
      <w:r>
        <w:rPr>
          <w:spacing w:val="-2"/>
          <w:sz w:val="21"/>
        </w:rPr>
        <w:t>肺</w:t>
      </w:r>
      <w:r>
        <w:rPr>
          <w:spacing w:val="-2"/>
          <w:sz w:val="21"/>
        </w:rPr>
        <w:t>动</w:t>
      </w:r>
      <w:r>
        <w:rPr>
          <w:spacing w:val="-2"/>
          <w:sz w:val="21"/>
        </w:rPr>
        <w:t>脉高压，</w:t>
      </w:r>
      <w:r>
        <w:rPr>
          <w:spacing w:val="-2"/>
          <w:sz w:val="21"/>
        </w:rPr>
        <w:t>最</w:t>
      </w:r>
      <w:r>
        <w:rPr>
          <w:spacing w:val="-2"/>
          <w:sz w:val="21"/>
        </w:rPr>
        <w:t>后</w:t>
      </w:r>
      <w:r>
        <w:rPr>
          <w:spacing w:val="-2"/>
          <w:sz w:val="21"/>
        </w:rPr>
        <w:t>导</w:t>
      </w:r>
      <w:r>
        <w:rPr>
          <w:spacing w:val="-2"/>
          <w:sz w:val="21"/>
        </w:rPr>
        <w:t>致</w:t>
      </w:r>
      <w:r>
        <w:rPr>
          <w:spacing w:val="-2"/>
          <w:sz w:val="21"/>
        </w:rPr>
        <w:t>以</w:t>
      </w:r>
      <w:r>
        <w:rPr>
          <w:spacing w:val="-2"/>
          <w:sz w:val="21"/>
        </w:rPr>
        <w:t>右</w:t>
      </w:r>
      <w:r>
        <w:rPr>
          <w:spacing w:val="-2"/>
          <w:sz w:val="21"/>
        </w:rPr>
        <w:t>室</w:t>
      </w:r>
      <w:r>
        <w:rPr>
          <w:spacing w:val="-2"/>
          <w:sz w:val="21"/>
        </w:rPr>
        <w:t>肥</w:t>
      </w:r>
      <w:r>
        <w:rPr>
          <w:spacing w:val="-2"/>
          <w:sz w:val="21"/>
        </w:rPr>
        <w:t>大</w:t>
      </w:r>
      <w:r>
        <w:rPr>
          <w:spacing w:val="-2"/>
          <w:sz w:val="21"/>
        </w:rPr>
        <w:t>为</w:t>
      </w:r>
      <w:r>
        <w:rPr>
          <w:spacing w:val="-2"/>
          <w:sz w:val="21"/>
        </w:rPr>
        <w:t>特</w:t>
      </w:r>
      <w:r>
        <w:rPr>
          <w:spacing w:val="-2"/>
          <w:sz w:val="21"/>
        </w:rPr>
        <w:t>征</w:t>
      </w:r>
      <w:r>
        <w:rPr>
          <w:spacing w:val="-2"/>
          <w:sz w:val="21"/>
        </w:rPr>
        <w:t>的心脏病。须经呼吸</w:t>
      </w:r>
      <w:r>
        <w:rPr>
          <w:spacing w:val="-2"/>
          <w:sz w:val="21"/>
        </w:rPr>
        <w:t>专</w:t>
      </w:r>
      <w:r>
        <w:rPr>
          <w:spacing w:val="-2"/>
          <w:sz w:val="21"/>
        </w:rPr>
        <w:t>科</w:t>
      </w:r>
      <w:r>
        <w:rPr>
          <w:spacing w:val="-2"/>
          <w:sz w:val="21"/>
        </w:rPr>
        <w:t>医生确诊，且必须同</w:t>
      </w:r>
      <w:r>
        <w:rPr>
          <w:spacing w:val="-2"/>
          <w:sz w:val="21"/>
        </w:rPr>
        <w:t>时</w:t>
      </w:r>
      <w:r>
        <w:rPr>
          <w:spacing w:val="-2"/>
          <w:sz w:val="21"/>
        </w:rPr>
        <w:t>满</w:t>
      </w:r>
      <w:r>
        <w:rPr>
          <w:spacing w:val="-2"/>
          <w:sz w:val="21"/>
        </w:rPr>
        <w:t>足如下诊断标准：</w:t>
      </w:r>
    </w:p>
    <w:p>
      <w:pPr>
        <w:pStyle w:val="ListParagraph"/>
        <w:numPr>
          <w:ilvl w:val="0"/>
          <w:numId w:val="67"/>
        </w:numPr>
        <w:tabs>
          <w:tab w:pos="3490" w:val="left" w:leader="none"/>
        </w:tabs>
        <w:spacing w:line="269" w:lineRule="exact" w:before="0" w:after="0"/>
        <w:ind w:left="3489" w:right="0" w:hanging="530"/>
        <w:jc w:val="left"/>
        <w:rPr>
          <w:sz w:val="21"/>
        </w:rPr>
      </w:pPr>
      <w:r>
        <w:rPr>
          <w:spacing w:val="-2"/>
          <w:sz w:val="21"/>
        </w:rPr>
        <w:t>左心房压力增高（</w:t>
      </w:r>
      <w:r>
        <w:rPr>
          <w:spacing w:val="-15"/>
          <w:sz w:val="21"/>
        </w:rPr>
        <w:t>不低于 </w:t>
      </w:r>
      <w:r>
        <w:rPr>
          <w:spacing w:val="-2"/>
          <w:sz w:val="21"/>
        </w:rPr>
        <w:t>20</w:t>
      </w:r>
      <w:r>
        <w:rPr>
          <w:spacing w:val="-14"/>
          <w:sz w:val="21"/>
        </w:rPr>
        <w:t> 个单位</w:t>
      </w:r>
      <w:r>
        <w:rPr>
          <w:spacing w:val="-5"/>
          <w:sz w:val="21"/>
        </w:rPr>
        <w:t>）；</w:t>
      </w:r>
    </w:p>
    <w:p>
      <w:pPr>
        <w:pStyle w:val="ListParagraph"/>
        <w:numPr>
          <w:ilvl w:val="0"/>
          <w:numId w:val="67"/>
        </w:numPr>
        <w:tabs>
          <w:tab w:pos="3490" w:val="left" w:leader="none"/>
        </w:tabs>
        <w:spacing w:line="240" w:lineRule="auto" w:before="43" w:after="0"/>
        <w:ind w:left="3489" w:right="0" w:hanging="530"/>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2"/>
          <w:sz w:val="21"/>
        </w:rPr>
        <w:t>Resistance）；</w:t>
      </w:r>
    </w:p>
    <w:p>
      <w:pPr>
        <w:pStyle w:val="ListParagraph"/>
        <w:numPr>
          <w:ilvl w:val="0"/>
          <w:numId w:val="67"/>
        </w:numPr>
        <w:tabs>
          <w:tab w:pos="3490" w:val="left" w:leader="none"/>
        </w:tabs>
        <w:spacing w:line="240" w:lineRule="auto" w:before="43" w:after="0"/>
        <w:ind w:left="3489" w:right="0" w:hanging="530"/>
        <w:jc w:val="left"/>
        <w:rPr>
          <w:sz w:val="21"/>
        </w:rPr>
      </w:pPr>
      <w:r>
        <w:rPr>
          <w:spacing w:val="-8"/>
          <w:sz w:val="21"/>
        </w:rPr>
        <w:t>肺动脉血压不低于 </w:t>
      </w:r>
      <w:r>
        <w:rPr>
          <w:spacing w:val="-2"/>
          <w:sz w:val="21"/>
        </w:rPr>
        <w:t>40mmHg；</w:t>
      </w:r>
    </w:p>
    <w:p>
      <w:pPr>
        <w:pStyle w:val="ListParagraph"/>
        <w:numPr>
          <w:ilvl w:val="0"/>
          <w:numId w:val="67"/>
        </w:numPr>
        <w:tabs>
          <w:tab w:pos="3490" w:val="left" w:leader="none"/>
        </w:tabs>
        <w:spacing w:line="240" w:lineRule="auto" w:before="43" w:after="0"/>
        <w:ind w:left="3489" w:right="0" w:hanging="530"/>
        <w:jc w:val="left"/>
        <w:rPr>
          <w:sz w:val="21"/>
        </w:rPr>
      </w:pPr>
      <w:r>
        <w:rPr>
          <w:spacing w:val="-8"/>
          <w:sz w:val="21"/>
        </w:rPr>
        <w:t>肺动脉楔压不低于 </w:t>
      </w:r>
      <w:r>
        <w:rPr>
          <w:spacing w:val="-2"/>
          <w:sz w:val="21"/>
        </w:rPr>
        <w:t>6mmHg；</w:t>
      </w:r>
    </w:p>
    <w:p>
      <w:pPr>
        <w:pStyle w:val="ListParagraph"/>
        <w:numPr>
          <w:ilvl w:val="0"/>
          <w:numId w:val="67"/>
        </w:numPr>
        <w:tabs>
          <w:tab w:pos="3490" w:val="left" w:leader="none"/>
        </w:tabs>
        <w:spacing w:line="240" w:lineRule="auto" w:before="43" w:after="0"/>
        <w:ind w:left="3489" w:right="0" w:hanging="530"/>
        <w:jc w:val="left"/>
        <w:rPr>
          <w:sz w:val="21"/>
        </w:rPr>
      </w:pPr>
      <w:r>
        <w:rPr>
          <w:spacing w:val="-5"/>
          <w:sz w:val="21"/>
        </w:rPr>
        <w:t>右心室心脏舒张期末压力不低于 </w:t>
      </w:r>
      <w:r>
        <w:rPr>
          <w:spacing w:val="-2"/>
          <w:sz w:val="21"/>
        </w:rPr>
        <w:t>8mmHg；</w:t>
      </w:r>
    </w:p>
    <w:p>
      <w:pPr>
        <w:pStyle w:val="ListParagraph"/>
        <w:numPr>
          <w:ilvl w:val="0"/>
          <w:numId w:val="67"/>
        </w:numPr>
        <w:tabs>
          <w:tab w:pos="3490" w:val="left" w:leader="none"/>
        </w:tabs>
        <w:spacing w:line="240" w:lineRule="auto" w:before="43" w:after="0"/>
        <w:ind w:left="3489" w:right="0" w:hanging="530"/>
        <w:jc w:val="left"/>
        <w:rPr>
          <w:sz w:val="21"/>
        </w:rPr>
      </w:pPr>
      <w:r>
        <w:rPr>
          <w:spacing w:val="-3"/>
          <w:sz w:val="21"/>
        </w:rPr>
        <w:t>右心室过度肥大、扩张，出现右心衰竭和呼吸困难。</w:t>
      </w:r>
    </w:p>
    <w:p>
      <w:pPr>
        <w:pStyle w:val="BodyText"/>
        <w:spacing w:before="12"/>
        <w:rPr>
          <w:sz w:val="20"/>
        </w:rPr>
      </w:pPr>
    </w:p>
    <w:p>
      <w:pPr>
        <w:pStyle w:val="ListParagraph"/>
        <w:numPr>
          <w:ilvl w:val="2"/>
          <w:numId w:val="40"/>
        </w:numPr>
        <w:tabs>
          <w:tab w:pos="1399" w:val="left" w:leader="none"/>
        </w:tabs>
        <w:spacing w:line="278" w:lineRule="auto" w:before="0" w:after="0"/>
        <w:ind w:left="2960" w:right="667" w:hanging="1880"/>
        <w:jc w:val="both"/>
        <w:rPr>
          <w:sz w:val="21"/>
        </w:rPr>
      </w:pPr>
      <w:r>
        <w:rPr>
          <w:sz w:val="21"/>
        </w:rPr>
        <w:t>嗜铬细胞瘤 是指肾上腺或嗜铬外组织出现神经内分泌肿瘤，并分泌过多的儿茶酚胺类，</w:t>
      </w:r>
      <w:r>
        <w:rPr>
          <w:spacing w:val="-2"/>
          <w:sz w:val="21"/>
        </w:rPr>
        <w:t>需要确实进行手术以切除肿瘤。嗜铬细胞瘤的诊断必须在本公司认可的医疗</w:t>
      </w:r>
      <w:r>
        <w:rPr>
          <w:spacing w:val="-2"/>
          <w:sz w:val="21"/>
        </w:rPr>
        <w:t>机构内由内分泌专科医生确定。</w:t>
      </w:r>
    </w:p>
    <w:p>
      <w:pPr>
        <w:pStyle w:val="BodyText"/>
        <w:spacing w:before="3"/>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严重慢性缩窄</w:t>
      </w:r>
      <w:r>
        <w:rPr>
          <w:spacing w:val="-4"/>
          <w:sz w:val="21"/>
        </w:rPr>
        <w:t>性心包炎</w:t>
      </w:r>
    </w:p>
    <w:p>
      <w:pPr>
        <w:pStyle w:val="BodyText"/>
        <w:spacing w:line="278" w:lineRule="auto" w:before="71"/>
        <w:ind w:left="175" w:right="562"/>
      </w:pPr>
      <w:r>
        <w:rPr/>
        <w:br w:type="column"/>
      </w:r>
      <w:r>
        <w:rPr>
          <w:w w:val="100"/>
        </w:rPr>
        <w:t>由于慢性心包炎症导致心包脏层和壁层广泛瘢痕粘连、增厚和钙化，心包腔</w:t>
      </w:r>
      <w:r>
        <w:rPr>
          <w:spacing w:val="-3"/>
          <w:w w:val="100"/>
        </w:rPr>
        <w:t>闭塞，形成一个纤维瘢痕外壳，使心脏和大血管根部受压，阻碍心脏的舒张。被保险人被明确诊断为慢性缩窄性心包炎且必须满足以下所有条件：</w:t>
      </w:r>
    </w:p>
    <w:p>
      <w:pPr>
        <w:pStyle w:val="ListParagraph"/>
        <w:numPr>
          <w:ilvl w:val="0"/>
          <w:numId w:val="68"/>
        </w:numPr>
        <w:tabs>
          <w:tab w:pos="705" w:val="left" w:leader="none"/>
        </w:tabs>
        <w:spacing w:line="278" w:lineRule="auto" w:before="0" w:after="0"/>
        <w:ind w:left="700" w:right="666" w:hanging="526"/>
        <w:jc w:val="left"/>
        <w:rPr>
          <w:sz w:val="21"/>
        </w:rPr>
      </w:pPr>
      <w:r>
        <w:rPr>
          <w:sz w:val="21"/>
        </w:rPr>
        <w:t>心功能衰竭达到美国纽约心脏病学会（New</w:t>
      </w:r>
      <w:r>
        <w:rPr>
          <w:spacing w:val="-11"/>
          <w:sz w:val="21"/>
        </w:rPr>
        <w:t> </w:t>
      </w:r>
      <w:r>
        <w:rPr>
          <w:sz w:val="21"/>
        </w:rPr>
        <w:t>York</w:t>
      </w:r>
      <w:r>
        <w:rPr>
          <w:spacing w:val="-11"/>
          <w:sz w:val="21"/>
        </w:rPr>
        <w:t> </w:t>
      </w:r>
      <w:r>
        <w:rPr>
          <w:sz w:val="21"/>
        </w:rPr>
        <w:t>Heart</w:t>
      </w:r>
      <w:r>
        <w:rPr>
          <w:spacing w:val="-11"/>
          <w:sz w:val="21"/>
        </w:rPr>
        <w:t> </w:t>
      </w:r>
      <w:r>
        <w:rPr>
          <w:sz w:val="21"/>
        </w:rPr>
        <w:t>Association， NYHA）</w:t>
      </w:r>
      <w:r>
        <w:rPr>
          <w:spacing w:val="-2"/>
          <w:sz w:val="21"/>
        </w:rPr>
        <w:t>心功能状态分级Ⅳ级，并持续 </w:t>
      </w:r>
      <w:r>
        <w:rPr>
          <w:sz w:val="21"/>
        </w:rPr>
        <w:t>180</w:t>
      </w:r>
      <w:r>
        <w:rPr>
          <w:spacing w:val="-6"/>
          <w:sz w:val="21"/>
        </w:rPr>
        <w:t> 天以上；</w:t>
      </w:r>
    </w:p>
    <w:p>
      <w:pPr>
        <w:pStyle w:val="ListParagraph"/>
        <w:numPr>
          <w:ilvl w:val="0"/>
          <w:numId w:val="68"/>
        </w:numPr>
        <w:tabs>
          <w:tab w:pos="702" w:val="left" w:leader="none"/>
        </w:tabs>
        <w:spacing w:line="278" w:lineRule="auto" w:before="0" w:after="0"/>
        <w:ind w:left="700" w:right="666" w:hanging="526"/>
        <w:jc w:val="left"/>
        <w:rPr>
          <w:sz w:val="21"/>
        </w:rPr>
      </w:pPr>
      <w:r>
        <w:rPr>
          <w:spacing w:val="-2"/>
          <w:sz w:val="21"/>
        </w:rPr>
        <w:t>实际接收了以下任何一种手术路径的心包剥脱或心包切除手术；手术路</w:t>
      </w:r>
      <w:r>
        <w:rPr>
          <w:spacing w:val="-2"/>
          <w:sz w:val="21"/>
        </w:rPr>
        <w:t>径：胸骨正中切口；双侧前胸切口；左前胸肋间切口。</w:t>
      </w:r>
    </w:p>
    <w:p>
      <w:pPr>
        <w:pStyle w:val="Heading2"/>
        <w:spacing w:line="320" w:lineRule="exact"/>
        <w:ind w:left="175"/>
      </w:pPr>
      <w:r>
        <w:rPr>
          <w:spacing w:val="-3"/>
        </w:rPr>
        <w:t>经胸腔镜、胸壁打孔进行的手术、心包粘连松解手术不在保障范围内。</w:t>
      </w:r>
    </w:p>
    <w:p>
      <w:pPr>
        <w:spacing w:after="0" w:line="320" w:lineRule="exact"/>
        <w:sectPr>
          <w:type w:val="continuous"/>
          <w:pgSz w:w="11910" w:h="16840"/>
          <w:pgMar w:header="0" w:footer="406" w:top="600" w:bottom="280" w:left="900" w:right="340"/>
          <w:cols w:num="2" w:equalWidth="0">
            <w:col w:w="2745" w:space="40"/>
            <w:col w:w="7885"/>
          </w:cols>
        </w:sectPr>
      </w:pPr>
    </w:p>
    <w:p>
      <w:pPr>
        <w:pStyle w:val="BodyText"/>
        <w:spacing w:before="17"/>
        <w:rPr>
          <w:rFonts w:ascii="微软雅黑"/>
          <w:b/>
          <w:sz w:val="7"/>
        </w:rPr>
      </w:pPr>
    </w:p>
    <w:p>
      <w:pPr>
        <w:pStyle w:val="ListParagraph"/>
        <w:numPr>
          <w:ilvl w:val="2"/>
          <w:numId w:val="40"/>
        </w:numPr>
        <w:tabs>
          <w:tab w:pos="1399" w:val="left" w:leader="none"/>
          <w:tab w:pos="2960" w:val="left" w:leader="none"/>
        </w:tabs>
        <w:spacing w:line="278" w:lineRule="auto" w:before="72" w:after="0"/>
        <w:ind w:left="2960" w:right="560" w:hanging="1880"/>
        <w:jc w:val="left"/>
        <w:rPr>
          <w:sz w:val="21"/>
        </w:rPr>
      </w:pPr>
      <w:r>
        <w:rPr>
          <w:spacing w:val="-3"/>
          <w:w w:val="100"/>
          <w:sz w:val="21"/>
        </w:rPr>
        <w:t>主</w:t>
      </w:r>
      <w:r>
        <w:rPr>
          <w:w w:val="100"/>
          <w:sz w:val="21"/>
        </w:rPr>
        <w:t>动</w:t>
      </w:r>
      <w:r>
        <w:rPr>
          <w:spacing w:val="-3"/>
          <w:w w:val="100"/>
          <w:sz w:val="21"/>
        </w:rPr>
        <w:t>脉</w:t>
      </w:r>
      <w:r>
        <w:rPr>
          <w:w w:val="100"/>
          <w:sz w:val="21"/>
        </w:rPr>
        <w:t>夹</w:t>
      </w:r>
      <w:r>
        <w:rPr>
          <w:spacing w:val="-3"/>
          <w:w w:val="100"/>
          <w:sz w:val="21"/>
        </w:rPr>
        <w:t>层</w:t>
      </w:r>
      <w:r>
        <w:rPr>
          <w:w w:val="100"/>
          <w:sz w:val="21"/>
        </w:rPr>
        <w:t>瘤</w:t>
      </w:r>
      <w:r>
        <w:rPr>
          <w:sz w:val="21"/>
        </w:rPr>
        <w:tab/>
      </w:r>
      <w:r>
        <w:rPr>
          <w:w w:val="100"/>
          <w:sz w:val="21"/>
        </w:rPr>
        <w:t>指主</w:t>
      </w:r>
      <w:r>
        <w:rPr>
          <w:spacing w:val="-3"/>
          <w:w w:val="100"/>
          <w:sz w:val="21"/>
        </w:rPr>
        <w:t>动</w:t>
      </w:r>
      <w:r>
        <w:rPr>
          <w:w w:val="100"/>
          <w:sz w:val="21"/>
        </w:rPr>
        <w:t>脉</w:t>
      </w:r>
      <w:r>
        <w:rPr>
          <w:spacing w:val="-3"/>
          <w:w w:val="100"/>
          <w:sz w:val="21"/>
        </w:rPr>
        <w:t>的</w:t>
      </w:r>
      <w:r>
        <w:rPr>
          <w:w w:val="100"/>
          <w:sz w:val="21"/>
        </w:rPr>
        <w:t>内</w:t>
      </w:r>
      <w:r>
        <w:rPr>
          <w:spacing w:val="-3"/>
          <w:w w:val="100"/>
          <w:sz w:val="21"/>
        </w:rPr>
        <w:t>膜</w:t>
      </w:r>
      <w:r>
        <w:rPr>
          <w:w w:val="100"/>
          <w:sz w:val="21"/>
        </w:rPr>
        <w:t>破</w:t>
      </w:r>
      <w:r>
        <w:rPr>
          <w:spacing w:val="-3"/>
          <w:w w:val="100"/>
          <w:sz w:val="21"/>
        </w:rPr>
        <w:t>裂</w:t>
      </w:r>
      <w:r>
        <w:rPr>
          <w:w w:val="100"/>
          <w:sz w:val="21"/>
        </w:rPr>
        <w:t>导</w:t>
      </w:r>
      <w:r>
        <w:rPr>
          <w:spacing w:val="-3"/>
          <w:w w:val="100"/>
          <w:sz w:val="21"/>
        </w:rPr>
        <w:t>致</w:t>
      </w:r>
      <w:r>
        <w:rPr>
          <w:w w:val="100"/>
          <w:sz w:val="21"/>
        </w:rPr>
        <w:t>血液</w:t>
      </w:r>
      <w:r>
        <w:rPr>
          <w:spacing w:val="-3"/>
          <w:w w:val="100"/>
          <w:sz w:val="21"/>
        </w:rPr>
        <w:t>流</w:t>
      </w:r>
      <w:r>
        <w:rPr>
          <w:w w:val="100"/>
          <w:sz w:val="21"/>
        </w:rPr>
        <w:t>入</w:t>
      </w:r>
      <w:r>
        <w:rPr>
          <w:spacing w:val="-3"/>
          <w:w w:val="100"/>
          <w:sz w:val="21"/>
        </w:rPr>
        <w:t>主</w:t>
      </w:r>
      <w:r>
        <w:rPr>
          <w:w w:val="100"/>
          <w:sz w:val="21"/>
        </w:rPr>
        <w:t>动</w:t>
      </w:r>
      <w:r>
        <w:rPr>
          <w:spacing w:val="-3"/>
          <w:w w:val="100"/>
          <w:sz w:val="21"/>
        </w:rPr>
        <w:t>脉</w:t>
      </w:r>
      <w:r>
        <w:rPr>
          <w:w w:val="100"/>
          <w:sz w:val="21"/>
        </w:rPr>
        <w:t>壁</w:t>
      </w:r>
      <w:r>
        <w:rPr>
          <w:spacing w:val="-3"/>
          <w:w w:val="100"/>
          <w:sz w:val="21"/>
        </w:rPr>
        <w:t>中</w:t>
      </w:r>
      <w:r>
        <w:rPr>
          <w:w w:val="100"/>
          <w:sz w:val="21"/>
        </w:rPr>
        <w:t>形</w:t>
      </w:r>
      <w:r>
        <w:rPr>
          <w:spacing w:val="-3"/>
          <w:w w:val="100"/>
          <w:sz w:val="21"/>
        </w:rPr>
        <w:t>成</w:t>
      </w:r>
      <w:r>
        <w:rPr>
          <w:w w:val="100"/>
          <w:sz w:val="21"/>
        </w:rPr>
        <w:t>夹层</w:t>
      </w:r>
      <w:r>
        <w:rPr>
          <w:spacing w:val="-3"/>
          <w:w w:val="100"/>
          <w:sz w:val="21"/>
        </w:rPr>
        <w:t>动</w:t>
      </w:r>
      <w:r>
        <w:rPr>
          <w:w w:val="100"/>
          <w:sz w:val="21"/>
        </w:rPr>
        <w:t>脉</w:t>
      </w:r>
      <w:r>
        <w:rPr>
          <w:spacing w:val="-3"/>
          <w:w w:val="100"/>
          <w:sz w:val="21"/>
        </w:rPr>
        <w:t>瘤。在</w:t>
      </w:r>
      <w:r>
        <w:rPr>
          <w:w w:val="100"/>
          <w:sz w:val="21"/>
        </w:rPr>
        <w:t>本</w:t>
      </w:r>
      <w:r>
        <w:rPr>
          <w:spacing w:val="-3"/>
          <w:w w:val="100"/>
          <w:sz w:val="21"/>
        </w:rPr>
        <w:t>定</w:t>
      </w:r>
      <w:r>
        <w:rPr>
          <w:w w:val="100"/>
          <w:sz w:val="21"/>
        </w:rPr>
        <w:t>义</w:t>
      </w:r>
      <w:r>
        <w:rPr>
          <w:spacing w:val="-3"/>
          <w:w w:val="100"/>
          <w:sz w:val="21"/>
        </w:rPr>
        <w:t>中</w:t>
      </w:r>
      <w:r>
        <w:rPr>
          <w:w w:val="100"/>
          <w:sz w:val="21"/>
        </w:rPr>
        <w:t>，</w:t>
      </w:r>
      <w:r>
        <w:rPr>
          <w:spacing w:val="2"/>
          <w:w w:val="100"/>
          <w:sz w:val="21"/>
        </w:rPr>
        <w:t>主动脉指胸主动脉</w:t>
      </w:r>
      <w:r>
        <w:rPr>
          <w:w w:val="100"/>
          <w:sz w:val="21"/>
        </w:rPr>
        <w:t>及</w:t>
      </w:r>
      <w:r>
        <w:rPr>
          <w:spacing w:val="2"/>
          <w:w w:val="100"/>
          <w:sz w:val="21"/>
        </w:rPr>
        <w:t>腹</w:t>
      </w:r>
      <w:r>
        <w:rPr>
          <w:w w:val="100"/>
          <w:sz w:val="21"/>
        </w:rPr>
        <w:t>主</w:t>
      </w:r>
      <w:r>
        <w:rPr>
          <w:spacing w:val="2"/>
          <w:w w:val="100"/>
          <w:sz w:val="21"/>
        </w:rPr>
        <w:t>动脉而非其旁支。</w:t>
      </w:r>
      <w:r>
        <w:rPr>
          <w:w w:val="100"/>
          <w:sz w:val="21"/>
        </w:rPr>
        <w:t>诊</w:t>
      </w:r>
      <w:r>
        <w:rPr>
          <w:spacing w:val="2"/>
          <w:w w:val="100"/>
          <w:sz w:val="21"/>
        </w:rPr>
        <w:t>断</w:t>
      </w:r>
      <w:r>
        <w:rPr>
          <w:w w:val="100"/>
          <w:sz w:val="21"/>
        </w:rPr>
        <w:t>必</w:t>
      </w:r>
      <w:r>
        <w:rPr>
          <w:spacing w:val="2"/>
          <w:w w:val="100"/>
          <w:sz w:val="21"/>
        </w:rPr>
        <w:t>须由专科</w:t>
      </w:r>
      <w:r>
        <w:rPr>
          <w:spacing w:val="3"/>
          <w:w w:val="100"/>
          <w:sz w:val="21"/>
        </w:rPr>
        <w:t>医</w:t>
      </w:r>
      <w:r>
        <w:rPr>
          <w:spacing w:val="2"/>
          <w:w w:val="100"/>
          <w:sz w:val="21"/>
        </w:rPr>
        <w:t>生及检</w:t>
      </w:r>
      <w:r>
        <w:rPr>
          <w:w w:val="100"/>
          <w:sz w:val="21"/>
        </w:rPr>
        <w:t>验</w:t>
      </w:r>
      <w:r>
        <w:rPr>
          <w:spacing w:val="2"/>
          <w:w w:val="100"/>
          <w:sz w:val="21"/>
        </w:rPr>
        <w:t>结</w:t>
      </w:r>
      <w:r>
        <w:rPr>
          <w:w w:val="100"/>
          <w:sz w:val="21"/>
        </w:rPr>
        <w:t>果</w:t>
      </w:r>
      <w:r>
        <w:rPr>
          <w:spacing w:val="2"/>
          <w:w w:val="100"/>
          <w:sz w:val="21"/>
        </w:rPr>
        <w:t>证实，检验包括电</w:t>
      </w:r>
      <w:r>
        <w:rPr>
          <w:w w:val="100"/>
          <w:sz w:val="21"/>
        </w:rPr>
        <w:t>脑</w:t>
      </w:r>
      <w:r>
        <w:rPr>
          <w:spacing w:val="2"/>
          <w:w w:val="100"/>
          <w:sz w:val="21"/>
        </w:rPr>
        <w:t>断</w:t>
      </w:r>
      <w:r>
        <w:rPr>
          <w:w w:val="100"/>
          <w:sz w:val="21"/>
        </w:rPr>
        <w:t>层</w:t>
      </w:r>
      <w:r>
        <w:rPr>
          <w:spacing w:val="2"/>
          <w:w w:val="100"/>
          <w:sz w:val="21"/>
        </w:rPr>
        <w:t>扫描，磁共振扫描</w:t>
      </w:r>
      <w:r>
        <w:rPr>
          <w:w w:val="100"/>
          <w:sz w:val="21"/>
        </w:rPr>
        <w:t>及</w:t>
      </w:r>
      <w:r>
        <w:rPr>
          <w:spacing w:val="2"/>
          <w:w w:val="100"/>
          <w:sz w:val="21"/>
        </w:rPr>
        <w:t>磁</w:t>
      </w:r>
      <w:r>
        <w:rPr>
          <w:w w:val="100"/>
          <w:sz w:val="21"/>
        </w:rPr>
        <w:t>共</w:t>
      </w:r>
      <w:r>
        <w:rPr>
          <w:spacing w:val="2"/>
          <w:w w:val="100"/>
          <w:sz w:val="21"/>
        </w:rPr>
        <w:t>振血管造影或心导</w:t>
      </w:r>
      <w:r>
        <w:rPr>
          <w:w w:val="100"/>
          <w:sz w:val="21"/>
        </w:rPr>
        <w:t>管</w:t>
      </w:r>
      <w:r>
        <w:rPr>
          <w:spacing w:val="2"/>
          <w:w w:val="100"/>
          <w:sz w:val="21"/>
        </w:rPr>
        <w:t>检查</w:t>
      </w:r>
      <w:r>
        <w:rPr>
          <w:w w:val="100"/>
          <w:sz w:val="21"/>
        </w:rPr>
        <w:t>的证</w:t>
      </w:r>
      <w:r>
        <w:rPr>
          <w:spacing w:val="-3"/>
          <w:w w:val="100"/>
          <w:sz w:val="21"/>
        </w:rPr>
        <w:t>明</w:t>
      </w:r>
      <w:r>
        <w:rPr>
          <w:w w:val="100"/>
          <w:sz w:val="21"/>
        </w:rPr>
        <w:t>，</w:t>
      </w:r>
      <w:r>
        <w:rPr>
          <w:spacing w:val="-3"/>
          <w:w w:val="100"/>
          <w:sz w:val="21"/>
        </w:rPr>
        <w:t>并</w:t>
      </w:r>
      <w:r>
        <w:rPr>
          <w:w w:val="100"/>
          <w:sz w:val="21"/>
        </w:rPr>
        <w:t>有</w:t>
      </w:r>
      <w:r>
        <w:rPr>
          <w:spacing w:val="-3"/>
          <w:w w:val="100"/>
          <w:sz w:val="21"/>
        </w:rPr>
        <w:t>必</w:t>
      </w:r>
      <w:r>
        <w:rPr>
          <w:w w:val="100"/>
          <w:sz w:val="21"/>
        </w:rPr>
        <w:t>要</w:t>
      </w:r>
      <w:r>
        <w:rPr>
          <w:spacing w:val="-3"/>
          <w:w w:val="100"/>
          <w:sz w:val="21"/>
        </w:rPr>
        <w:t>进</w:t>
      </w:r>
      <w:r>
        <w:rPr>
          <w:w w:val="100"/>
          <w:sz w:val="21"/>
        </w:rPr>
        <w:t>行</w:t>
      </w:r>
      <w:r>
        <w:rPr>
          <w:spacing w:val="-3"/>
          <w:w w:val="100"/>
          <w:sz w:val="21"/>
        </w:rPr>
        <w:t>紧</w:t>
      </w:r>
      <w:r>
        <w:rPr>
          <w:w w:val="100"/>
          <w:sz w:val="21"/>
        </w:rPr>
        <w:t>急修</w:t>
      </w:r>
      <w:r>
        <w:rPr>
          <w:spacing w:val="-3"/>
          <w:w w:val="100"/>
          <w:sz w:val="21"/>
        </w:rPr>
        <w:t>补</w:t>
      </w:r>
      <w:r>
        <w:rPr>
          <w:w w:val="100"/>
          <w:sz w:val="21"/>
        </w:rPr>
        <w:t>手</w:t>
      </w:r>
      <w:r>
        <w:rPr>
          <w:spacing w:val="-3"/>
          <w:w w:val="100"/>
          <w:sz w:val="21"/>
        </w:rPr>
        <w:t>术</w:t>
      </w:r>
      <w:r>
        <w:rPr>
          <w:w w:val="100"/>
          <w:sz w:val="21"/>
        </w:rPr>
        <w:t>。</w:t>
      </w: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艾森门格综合</w:t>
      </w:r>
      <w:r>
        <w:rPr>
          <w:spacing w:val="-10"/>
          <w:sz w:val="21"/>
        </w:rPr>
        <w:t>征</w:t>
      </w:r>
    </w:p>
    <w:p>
      <w:pPr>
        <w:pStyle w:val="BodyText"/>
        <w:spacing w:line="278" w:lineRule="auto" w:before="72"/>
        <w:ind w:left="175" w:right="667"/>
      </w:pPr>
      <w:r>
        <w:rPr/>
        <w:br w:type="column"/>
      </w:r>
      <w:r>
        <w:rPr>
          <w:spacing w:val="-2"/>
        </w:rPr>
        <w:t>因心脏病导致的严重肺动脉高压及右向左分流。诊断必须由心脏专科医生经</w:t>
      </w:r>
      <w:r>
        <w:rPr>
          <w:spacing w:val="-2"/>
        </w:rPr>
        <w:t>超声心动图和心导管检查证实及需符合以下所有标准：</w:t>
      </w:r>
    </w:p>
    <w:p>
      <w:pPr>
        <w:pStyle w:val="ListParagraph"/>
        <w:numPr>
          <w:ilvl w:val="0"/>
          <w:numId w:val="69"/>
        </w:numPr>
        <w:tabs>
          <w:tab w:pos="705" w:val="left" w:leader="none"/>
        </w:tabs>
        <w:spacing w:line="269" w:lineRule="exact" w:before="0" w:after="0"/>
        <w:ind w:left="704" w:right="0" w:hanging="530"/>
        <w:jc w:val="left"/>
        <w:rPr>
          <w:sz w:val="21"/>
        </w:rPr>
      </w:pPr>
      <w:r>
        <w:rPr>
          <w:spacing w:val="-8"/>
          <w:sz w:val="21"/>
        </w:rPr>
        <w:t>平均肺动脉压高于 </w:t>
      </w:r>
      <w:r>
        <w:rPr>
          <w:spacing w:val="-2"/>
          <w:sz w:val="21"/>
        </w:rPr>
        <w:t>40mmHg；</w:t>
      </w:r>
    </w:p>
    <w:p>
      <w:pPr>
        <w:spacing w:after="0" w:line="269" w:lineRule="exact"/>
        <w:jc w:val="left"/>
        <w:rPr>
          <w:sz w:val="21"/>
        </w:rPr>
        <w:sectPr>
          <w:type w:val="continuous"/>
          <w:pgSz w:w="11910" w:h="16840"/>
          <w:pgMar w:header="0" w:footer="406" w:top="600" w:bottom="280" w:left="900" w:right="340"/>
          <w:cols w:num="2" w:equalWidth="0">
            <w:col w:w="2745" w:space="40"/>
            <w:col w:w="7885"/>
          </w:cols>
        </w:sectPr>
      </w:pPr>
    </w:p>
    <w:p>
      <w:pPr>
        <w:pStyle w:val="ListParagraph"/>
        <w:numPr>
          <w:ilvl w:val="1"/>
          <w:numId w:val="69"/>
        </w:numPr>
        <w:tabs>
          <w:tab w:pos="3490" w:val="left" w:leader="none"/>
        </w:tabs>
        <w:spacing w:line="240" w:lineRule="auto" w:before="57" w:after="0"/>
        <w:ind w:left="3489" w:right="0" w:hanging="530"/>
        <w:jc w:val="left"/>
        <w:rPr>
          <w:sz w:val="21"/>
        </w:rPr>
      </w:pPr>
      <w:r>
        <w:rPr>
          <w:spacing w:val="-8"/>
          <w:sz w:val="21"/>
        </w:rPr>
        <w:t>肺血管阻力高于 </w:t>
      </w:r>
      <w:r>
        <w:rPr>
          <w:spacing w:val="-2"/>
          <w:sz w:val="21"/>
        </w:rPr>
        <w:t>3mm/L/min（Wood</w:t>
      </w:r>
      <w:r>
        <w:rPr>
          <w:spacing w:val="-16"/>
          <w:sz w:val="21"/>
        </w:rPr>
        <w:t> 单位</w:t>
      </w:r>
      <w:r>
        <w:rPr>
          <w:spacing w:val="-5"/>
          <w:sz w:val="21"/>
        </w:rPr>
        <w:t>）；</w:t>
      </w:r>
    </w:p>
    <w:p>
      <w:pPr>
        <w:pStyle w:val="ListParagraph"/>
        <w:numPr>
          <w:ilvl w:val="1"/>
          <w:numId w:val="69"/>
        </w:numPr>
        <w:tabs>
          <w:tab w:pos="3490" w:val="left" w:leader="none"/>
        </w:tabs>
        <w:spacing w:line="257" w:lineRule="exact" w:before="43" w:after="0"/>
        <w:ind w:left="3489" w:right="0" w:hanging="530"/>
        <w:jc w:val="left"/>
        <w:rPr>
          <w:sz w:val="21"/>
        </w:rPr>
      </w:pPr>
      <w:r>
        <w:rPr>
          <w:spacing w:val="-6"/>
          <w:sz w:val="21"/>
        </w:rPr>
        <w:t>正常肺微血管楔压低于 </w:t>
      </w:r>
      <w:r>
        <w:rPr>
          <w:spacing w:val="-2"/>
          <w:sz w:val="21"/>
        </w:rPr>
        <w:t>15mmHg</w:t>
      </w:r>
      <w:r>
        <w:rPr>
          <w:spacing w:val="-10"/>
          <w:sz w:val="21"/>
        </w:rPr>
        <w:t>。</w:t>
      </w:r>
    </w:p>
    <w:p>
      <w:pPr>
        <w:pStyle w:val="Heading2"/>
        <w:spacing w:line="338" w:lineRule="exact"/>
      </w:pPr>
      <w:r>
        <w:rPr>
          <w:spacing w:val="-3"/>
        </w:rPr>
        <w:t>先天性心脏病所致的艾森门格综合征不在保障范围内。</w:t>
      </w:r>
    </w:p>
    <w:p>
      <w:pPr>
        <w:spacing w:line="194" w:lineRule="auto" w:before="15"/>
        <w:ind w:left="2960" w:right="563"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pStyle w:val="BodyText"/>
        <w:spacing w:before="2"/>
        <w:rPr>
          <w:rFonts w:ascii="微软雅黑"/>
          <w:b/>
          <w:sz w:val="9"/>
        </w:rPr>
      </w:pPr>
    </w:p>
    <w:p>
      <w:pPr>
        <w:spacing w:after="0"/>
        <w:rPr>
          <w:rFonts w:ascii="微软雅黑"/>
          <w:sz w:val="9"/>
        </w:rPr>
        <w:sectPr>
          <w:pgSz w:w="11910" w:h="16840"/>
          <w:pgMar w:header="0" w:footer="406" w:top="1080" w:bottom="60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严重继发性肺</w:t>
      </w:r>
      <w:r>
        <w:rPr>
          <w:spacing w:val="-4"/>
          <w:sz w:val="21"/>
        </w:rPr>
        <w:t>动脉高压</w:t>
      </w:r>
    </w:p>
    <w:p>
      <w:pPr>
        <w:pStyle w:val="BodyText"/>
        <w:spacing w:line="278" w:lineRule="auto" w:before="71"/>
        <w:ind w:left="175" w:right="560"/>
      </w:pPr>
      <w:r>
        <w:rPr/>
        <w:br w:type="column"/>
      </w:r>
      <w:r>
        <w:rPr>
          <w:w w:val="100"/>
        </w:rPr>
        <w:t>继发性肺动脉压力持续增高，导致右心室肥厚，已经造成永久不可逆性的体</w:t>
      </w:r>
      <w:r>
        <w:rPr>
          <w:spacing w:val="-3"/>
          <w:w w:val="100"/>
        </w:rPr>
        <w:t>力活动能力受限，达到美国纽约心脏病学会（</w:t>
      </w:r>
      <w:r>
        <w:rPr>
          <w:w w:val="100"/>
        </w:rPr>
        <w:t>New</w:t>
      </w:r>
      <w:r>
        <w:rPr>
          <w:spacing w:val="-2"/>
        </w:rPr>
        <w:t> </w:t>
      </w:r>
      <w:r>
        <w:rPr>
          <w:spacing w:val="-3"/>
          <w:w w:val="100"/>
        </w:rPr>
        <w:t>Y</w:t>
      </w:r>
      <w:r>
        <w:rPr>
          <w:w w:val="100"/>
        </w:rPr>
        <w:t>ork</w:t>
      </w:r>
      <w:r>
        <w:rPr>
          <w:spacing w:val="-2"/>
        </w:rPr>
        <w:t> </w:t>
      </w:r>
      <w:r>
        <w:rPr>
          <w:w w:val="100"/>
        </w:rPr>
        <w:t>Heart</w:t>
      </w:r>
      <w:r>
        <w:rPr>
          <w:spacing w:val="-2"/>
        </w:rPr>
        <w:t> </w:t>
      </w:r>
      <w:r>
        <w:rPr>
          <w:spacing w:val="-3"/>
          <w:w w:val="100"/>
        </w:rPr>
        <w:t>A</w:t>
      </w:r>
      <w:r>
        <w:rPr>
          <w:w w:val="100"/>
        </w:rPr>
        <w:t>sso</w:t>
      </w:r>
      <w:r>
        <w:rPr>
          <w:spacing w:val="-3"/>
          <w:w w:val="100"/>
        </w:rPr>
        <w:t>c</w:t>
      </w:r>
      <w:r>
        <w:rPr>
          <w:w w:val="100"/>
        </w:rPr>
        <w:t>iati</w:t>
      </w:r>
      <w:r>
        <w:rPr>
          <w:spacing w:val="-3"/>
          <w:w w:val="100"/>
        </w:rPr>
        <w:t>o</w:t>
      </w:r>
      <w:r>
        <w:rPr>
          <w:w w:val="100"/>
        </w:rPr>
        <w:t>n， NYHA</w:t>
      </w:r>
      <w:r>
        <w:rPr>
          <w:spacing w:val="-3"/>
          <w:w w:val="100"/>
        </w:rPr>
        <w:t>）心功能状态分级Ⅳ级，且静息状态下肺动脉平均压在</w:t>
      </w:r>
      <w:r>
        <w:rPr>
          <w:spacing w:val="-2"/>
        </w:rPr>
        <w:t> </w:t>
      </w:r>
      <w:r>
        <w:rPr>
          <w:spacing w:val="-3"/>
          <w:w w:val="100"/>
        </w:rPr>
        <w:t>3</w:t>
      </w:r>
      <w:r>
        <w:rPr>
          <w:w w:val="100"/>
        </w:rPr>
        <w:t>6mm</w:t>
      </w:r>
      <w:r>
        <w:rPr>
          <w:spacing w:val="-3"/>
          <w:w w:val="100"/>
        </w:rPr>
        <w:t>H</w:t>
      </w:r>
      <w:r>
        <w:rPr>
          <w:spacing w:val="-1"/>
          <w:w w:val="100"/>
        </w:rPr>
        <w:t>g</w:t>
      </w:r>
      <w:r>
        <w:rPr>
          <w:spacing w:val="-3"/>
          <w:w w:val="100"/>
        </w:rPr>
        <w:t>（</w:t>
      </w:r>
      <w:r>
        <w:rPr>
          <w:w w:val="100"/>
        </w:rPr>
        <w:t>含</w:t>
      </w:r>
      <w:r>
        <w:rPr>
          <w:spacing w:val="-3"/>
          <w:w w:val="100"/>
        </w:rPr>
        <w:t>）</w:t>
      </w:r>
      <w:r>
        <w:rPr>
          <w:w w:val="100"/>
        </w:rPr>
        <w:t>以上。</w:t>
      </w:r>
    </w:p>
    <w:p>
      <w:pPr>
        <w:pStyle w:val="Heading2"/>
        <w:spacing w:line="319" w:lineRule="exact"/>
        <w:ind w:left="175"/>
      </w:pPr>
      <w:r>
        <w:rPr>
          <w:spacing w:val="-3"/>
        </w:rPr>
        <w:t>所有先天性心脏疾病直接或间接引起的肺动脉高压不在保障范围内。</w:t>
      </w:r>
    </w:p>
    <w:p>
      <w:pPr>
        <w:spacing w:after="0" w:line="319" w:lineRule="exact"/>
        <w:sectPr>
          <w:type w:val="continuous"/>
          <w:pgSz w:w="11910" w:h="16840"/>
          <w:pgMar w:header="0" w:footer="406" w:top="600" w:bottom="280" w:left="900" w:right="340"/>
          <w:cols w:num="2" w:equalWidth="0">
            <w:col w:w="2745" w:space="40"/>
            <w:col w:w="7885"/>
          </w:cols>
        </w:sectPr>
      </w:pP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主动脉夹层血</w:t>
      </w:r>
      <w:r>
        <w:rPr>
          <w:spacing w:val="-10"/>
          <w:sz w:val="21"/>
        </w:rPr>
        <w:t>肿</w:t>
      </w:r>
    </w:p>
    <w:p>
      <w:pPr>
        <w:pStyle w:val="BodyText"/>
        <w:spacing w:line="278" w:lineRule="auto" w:before="72"/>
        <w:ind w:left="175" w:right="666"/>
        <w:jc w:val="both"/>
      </w:pPr>
      <w:r>
        <w:rPr/>
        <w:br w:type="column"/>
      </w:r>
      <w:r>
        <w:rPr>
          <w:spacing w:val="-2"/>
        </w:rPr>
        <w:t>是指主动脉壁在受到某些病理因素的破坏后，高速、高压的主动脉血流将其</w:t>
      </w:r>
      <w:r>
        <w:rPr>
          <w:spacing w:val="-2"/>
        </w:rPr>
        <w:t>内膜撕裂，以致主动脉腔内的血流通过主动脉内膜的破裂口进入主动脉内壁</w:t>
      </w:r>
      <w:r>
        <w:rPr>
          <w:spacing w:val="-4"/>
        </w:rPr>
        <w:t>而形成血肿。被保险人需通过 </w:t>
      </w:r>
      <w:r>
        <w:rPr>
          <w:spacing w:val="-2"/>
        </w:rPr>
        <w:t>X</w:t>
      </w:r>
      <w:r>
        <w:rPr>
          <w:spacing w:val="-7"/>
        </w:rPr>
        <w:t> 线断层扫描</w:t>
      </w:r>
      <w:r>
        <w:rPr>
          <w:spacing w:val="-2"/>
        </w:rPr>
        <w:t>（CT）、磁共振扫描（MRI）、磁</w:t>
      </w:r>
      <w:r>
        <w:rPr>
          <w:spacing w:val="-2"/>
        </w:rPr>
        <w:t>共振血管检验法（MRA）或血管扫描等检查，并且实施了胸腹切开的直视主动</w:t>
      </w:r>
      <w:r>
        <w:rPr>
          <w:spacing w:val="-4"/>
        </w:rPr>
        <w:t>脉手术。</w:t>
      </w:r>
    </w:p>
    <w:p>
      <w:pPr>
        <w:spacing w:after="0" w:line="278" w:lineRule="auto"/>
        <w:jc w:val="both"/>
        <w:sectPr>
          <w:type w:val="continuous"/>
          <w:pgSz w:w="11910" w:h="16840"/>
          <w:pgMar w:header="0" w:footer="406" w:top="600" w:bottom="280" w:left="900" w:right="340"/>
          <w:cols w:num="2" w:equalWidth="0">
            <w:col w:w="2745" w:space="40"/>
            <w:col w:w="7885"/>
          </w:cols>
        </w:sectPr>
      </w:pPr>
    </w:p>
    <w:p>
      <w:pPr>
        <w:pStyle w:val="BodyText"/>
        <w:rPr>
          <w:sz w:val="12"/>
        </w:rPr>
      </w:pPr>
    </w:p>
    <w:p>
      <w:pPr>
        <w:pStyle w:val="ListParagraph"/>
        <w:numPr>
          <w:ilvl w:val="2"/>
          <w:numId w:val="40"/>
        </w:numPr>
        <w:tabs>
          <w:tab w:pos="1399" w:val="left" w:leader="none"/>
          <w:tab w:pos="2960" w:val="left" w:leader="none"/>
        </w:tabs>
        <w:spacing w:line="278" w:lineRule="auto" w:before="72" w:after="0"/>
        <w:ind w:left="2960" w:right="667" w:hanging="1880"/>
        <w:jc w:val="left"/>
        <w:rPr>
          <w:sz w:val="21"/>
        </w:rPr>
      </w:pPr>
      <w:r>
        <w:rPr>
          <w:spacing w:val="-2"/>
          <w:sz w:val="21"/>
        </w:rPr>
        <w:t>严重大动脉炎</w:t>
      </w:r>
      <w:r>
        <w:rPr>
          <w:sz w:val="21"/>
        </w:rPr>
        <w:tab/>
      </w:r>
      <w:r>
        <w:rPr>
          <w:spacing w:val="-2"/>
          <w:sz w:val="21"/>
        </w:rPr>
        <w:t>指</w:t>
      </w:r>
      <w:r>
        <w:rPr>
          <w:spacing w:val="-2"/>
          <w:sz w:val="21"/>
        </w:rPr>
        <w:t>经</w:t>
      </w:r>
      <w:r>
        <w:rPr>
          <w:spacing w:val="-2"/>
          <w:sz w:val="21"/>
        </w:rPr>
        <w:t>本</w:t>
      </w:r>
      <w:r>
        <w:rPr>
          <w:spacing w:val="-2"/>
          <w:sz w:val="21"/>
        </w:rPr>
        <w:t>公</w:t>
      </w:r>
      <w:r>
        <w:rPr>
          <w:spacing w:val="-2"/>
          <w:sz w:val="21"/>
        </w:rPr>
        <w:t>司</w:t>
      </w:r>
      <w:r>
        <w:rPr>
          <w:spacing w:val="-2"/>
          <w:sz w:val="21"/>
        </w:rPr>
        <w:t>认</w:t>
      </w:r>
      <w:r>
        <w:rPr>
          <w:spacing w:val="-2"/>
          <w:sz w:val="21"/>
        </w:rPr>
        <w:t>可</w:t>
      </w:r>
      <w:r>
        <w:rPr>
          <w:spacing w:val="-2"/>
          <w:sz w:val="21"/>
        </w:rPr>
        <w:t>的</w:t>
      </w:r>
      <w:r>
        <w:rPr>
          <w:spacing w:val="-2"/>
          <w:sz w:val="21"/>
        </w:rPr>
        <w:t>医疗机</w:t>
      </w:r>
      <w:r>
        <w:rPr>
          <w:spacing w:val="-2"/>
          <w:sz w:val="21"/>
        </w:rPr>
        <w:t>构</w:t>
      </w:r>
      <w:r>
        <w:rPr>
          <w:spacing w:val="-2"/>
          <w:sz w:val="21"/>
        </w:rPr>
        <w:t>的</w:t>
      </w:r>
      <w:r>
        <w:rPr>
          <w:spacing w:val="-2"/>
          <w:sz w:val="21"/>
        </w:rPr>
        <w:t>心</w:t>
      </w:r>
      <w:r>
        <w:rPr>
          <w:spacing w:val="-2"/>
          <w:sz w:val="21"/>
        </w:rPr>
        <w:t>脏</w:t>
      </w:r>
      <w:r>
        <w:rPr>
          <w:spacing w:val="-2"/>
          <w:sz w:val="21"/>
        </w:rPr>
        <w:t>或</w:t>
      </w:r>
      <w:r>
        <w:rPr>
          <w:spacing w:val="-2"/>
          <w:sz w:val="21"/>
        </w:rPr>
        <w:t>血</w:t>
      </w:r>
      <w:r>
        <w:rPr>
          <w:spacing w:val="-2"/>
          <w:sz w:val="21"/>
        </w:rPr>
        <w:t>管</w:t>
      </w:r>
      <w:r>
        <w:rPr>
          <w:spacing w:val="-2"/>
          <w:sz w:val="21"/>
        </w:rPr>
        <w:t>外</w:t>
      </w:r>
      <w:r>
        <w:rPr>
          <w:spacing w:val="-2"/>
          <w:sz w:val="21"/>
        </w:rPr>
        <w:t>科专科</w:t>
      </w:r>
      <w:r>
        <w:rPr>
          <w:spacing w:val="-2"/>
          <w:sz w:val="21"/>
        </w:rPr>
        <w:t>医</w:t>
      </w:r>
      <w:r>
        <w:rPr>
          <w:spacing w:val="-2"/>
          <w:sz w:val="21"/>
        </w:rPr>
        <w:t>生</w:t>
      </w:r>
      <w:r>
        <w:rPr>
          <w:spacing w:val="-2"/>
          <w:sz w:val="21"/>
        </w:rPr>
        <w:t>确</w:t>
      </w:r>
      <w:r>
        <w:rPr>
          <w:spacing w:val="-2"/>
          <w:sz w:val="21"/>
        </w:rPr>
        <w:t>诊</w:t>
      </w:r>
      <w:r>
        <w:rPr>
          <w:spacing w:val="-2"/>
          <w:sz w:val="21"/>
        </w:rPr>
        <w:t>的</w:t>
      </w:r>
      <w:r>
        <w:rPr>
          <w:spacing w:val="-2"/>
          <w:sz w:val="21"/>
        </w:rPr>
        <w:t>大</w:t>
      </w:r>
      <w:r>
        <w:rPr>
          <w:spacing w:val="-2"/>
          <w:sz w:val="21"/>
        </w:rPr>
        <w:t>动</w:t>
      </w:r>
      <w:r>
        <w:rPr>
          <w:spacing w:val="-2"/>
          <w:sz w:val="21"/>
        </w:rPr>
        <w:t>脉</w:t>
      </w:r>
      <w:r>
        <w:rPr>
          <w:spacing w:val="-2"/>
          <w:sz w:val="21"/>
        </w:rPr>
        <w:t>炎，</w:t>
      </w:r>
      <w:r>
        <w:rPr>
          <w:spacing w:val="-2"/>
          <w:sz w:val="21"/>
        </w:rPr>
        <w:t>须</w:t>
      </w:r>
      <w:r>
        <w:rPr>
          <w:spacing w:val="-2"/>
          <w:sz w:val="21"/>
        </w:rPr>
        <w:t>满</w:t>
      </w:r>
      <w:r>
        <w:rPr>
          <w:spacing w:val="-2"/>
          <w:sz w:val="21"/>
        </w:rPr>
        <w:t>足</w:t>
      </w:r>
      <w:r>
        <w:rPr>
          <w:spacing w:val="-2"/>
          <w:sz w:val="21"/>
        </w:rPr>
        <w:t>下列全部条</w:t>
      </w:r>
      <w:r>
        <w:rPr>
          <w:spacing w:val="-2"/>
          <w:sz w:val="21"/>
        </w:rPr>
        <w:t>件</w:t>
      </w:r>
      <w:r>
        <w:rPr>
          <w:spacing w:val="-2"/>
          <w:sz w:val="21"/>
        </w:rPr>
        <w:t>：</w:t>
      </w:r>
    </w:p>
    <w:p>
      <w:pPr>
        <w:pStyle w:val="ListParagraph"/>
        <w:numPr>
          <w:ilvl w:val="0"/>
          <w:numId w:val="70"/>
        </w:numPr>
        <w:tabs>
          <w:tab w:pos="3490" w:val="left" w:leader="none"/>
        </w:tabs>
        <w:spacing w:line="269" w:lineRule="exact" w:before="0" w:after="0"/>
        <w:ind w:left="3489" w:right="0" w:hanging="530"/>
        <w:jc w:val="left"/>
        <w:rPr>
          <w:sz w:val="21"/>
        </w:rPr>
      </w:pPr>
      <w:r>
        <w:rPr>
          <w:spacing w:val="4"/>
          <w:sz w:val="21"/>
        </w:rPr>
        <w:t>红细胞沉降率及</w:t>
      </w:r>
      <w:r>
        <w:rPr>
          <w:sz w:val="21"/>
        </w:rPr>
        <w:t>C</w:t>
      </w:r>
      <w:r>
        <w:rPr>
          <w:spacing w:val="-9"/>
          <w:sz w:val="21"/>
        </w:rPr>
        <w:t> 反应蛋白高于正常值；</w:t>
      </w:r>
    </w:p>
    <w:p>
      <w:pPr>
        <w:pStyle w:val="ListParagraph"/>
        <w:numPr>
          <w:ilvl w:val="0"/>
          <w:numId w:val="70"/>
        </w:numPr>
        <w:tabs>
          <w:tab w:pos="3487" w:val="left" w:leader="none"/>
        </w:tabs>
        <w:spacing w:line="240" w:lineRule="auto" w:before="43" w:after="0"/>
        <w:ind w:left="3486" w:right="0" w:hanging="527"/>
        <w:jc w:val="left"/>
        <w:rPr>
          <w:sz w:val="21"/>
        </w:rPr>
      </w:pPr>
      <w:r>
        <w:rPr>
          <w:spacing w:val="-4"/>
          <w:sz w:val="21"/>
        </w:rPr>
        <w:t>超声检查、CTA</w:t>
      </w:r>
      <w:r>
        <w:rPr>
          <w:spacing w:val="-5"/>
          <w:sz w:val="21"/>
        </w:rPr>
        <w:t> 检查或血管造影检查证实主动脉及其主要分支存在狭窄；</w:t>
      </w:r>
    </w:p>
    <w:p>
      <w:pPr>
        <w:pStyle w:val="ListParagraph"/>
        <w:numPr>
          <w:ilvl w:val="0"/>
          <w:numId w:val="70"/>
        </w:numPr>
        <w:tabs>
          <w:tab w:pos="3490" w:val="left" w:leader="none"/>
        </w:tabs>
        <w:spacing w:line="240" w:lineRule="auto" w:before="43" w:after="0"/>
        <w:ind w:left="3489" w:right="0" w:hanging="530"/>
        <w:jc w:val="left"/>
        <w:rPr>
          <w:sz w:val="21"/>
        </w:rPr>
      </w:pPr>
      <w:r>
        <w:rPr>
          <w:spacing w:val="-3"/>
          <w:sz w:val="21"/>
        </w:rPr>
        <w:t>已经针对狭窄的动脉进行了手术治疗。</w:t>
      </w:r>
    </w:p>
    <w:p>
      <w:pPr>
        <w:pStyle w:val="BodyText"/>
        <w:spacing w:before="7"/>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皮质基底节变</w:t>
      </w:r>
      <w:r>
        <w:rPr>
          <w:spacing w:val="-10"/>
          <w:sz w:val="21"/>
        </w:rPr>
        <w:t>性</w:t>
      </w:r>
    </w:p>
    <w:p>
      <w:pPr>
        <w:pStyle w:val="BodyText"/>
        <w:spacing w:line="278" w:lineRule="auto" w:before="72"/>
        <w:ind w:left="175" w:right="560"/>
      </w:pPr>
      <w:r>
        <w:rPr/>
        <w:br w:type="column"/>
      </w:r>
      <w:r>
        <w:rPr>
          <w:spacing w:val="-3"/>
          <w:w w:val="100"/>
        </w:rPr>
        <w:t>指一种慢性进展性神经变性疾病，以不对称发作的无动性强直综合征、失用、</w:t>
      </w:r>
      <w:r>
        <w:rPr>
          <w:w w:val="100"/>
        </w:rPr>
        <w:t>肌张力障碍及姿势异常为临床特征，须在本公司认可的医疗机构内经专科医生明确诊断，并且被保险人自主生活能力完全丧失，无法独立完成六项基本</w:t>
      </w:r>
      <w:r>
        <w:rPr>
          <w:spacing w:val="-3"/>
          <w:w w:val="100"/>
        </w:rPr>
        <w:t>日常生活活动中的三项或三项以上。</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破裂脑动脉瘤</w:t>
      </w:r>
      <w:r>
        <w:rPr>
          <w:spacing w:val="-4"/>
          <w:sz w:val="21"/>
        </w:rPr>
        <w:t>夹闭手术</w:t>
      </w:r>
    </w:p>
    <w:p>
      <w:pPr>
        <w:pStyle w:val="BodyText"/>
        <w:spacing w:line="278" w:lineRule="auto" w:before="71"/>
        <w:ind w:left="175" w:right="667"/>
      </w:pPr>
      <w:r>
        <w:rPr/>
        <w:br w:type="column"/>
      </w:r>
      <w:r>
        <w:rPr>
          <w:spacing w:val="-2"/>
        </w:rPr>
        <w:t>指因脑动脉瘤破裂造成蛛网膜下腔出血，被保险人实际接受了在全麻下进行</w:t>
      </w:r>
      <w:r>
        <w:rPr>
          <w:spacing w:val="-2"/>
        </w:rPr>
        <w:t>的开颅动脉夹闭手术。</w:t>
      </w:r>
    </w:p>
    <w:p>
      <w:pPr>
        <w:pStyle w:val="Heading2"/>
        <w:spacing w:line="282" w:lineRule="exact"/>
        <w:ind w:left="175"/>
      </w:pPr>
      <w:r>
        <w:rPr/>
        <w:t>脑动脉瘤（未破裂）</w:t>
      </w:r>
      <w:r>
        <w:rPr>
          <w:spacing w:val="-1"/>
        </w:rPr>
        <w:t>预防性手术、颅骨打孔手术、动脉瘤栓塞手术、血管内</w:t>
      </w:r>
    </w:p>
    <w:p>
      <w:pPr>
        <w:spacing w:line="350" w:lineRule="exact" w:before="0"/>
        <w:ind w:left="175" w:right="0" w:firstLine="0"/>
        <w:jc w:val="left"/>
        <w:rPr>
          <w:rFonts w:ascii="微软雅黑" w:eastAsia="微软雅黑"/>
          <w:b/>
          <w:sz w:val="21"/>
        </w:rPr>
      </w:pPr>
      <w:r>
        <w:rPr>
          <w:rFonts w:ascii="微软雅黑" w:eastAsia="微软雅黑"/>
          <w:b/>
          <w:spacing w:val="-3"/>
          <w:sz w:val="21"/>
        </w:rPr>
        <w:t>手术及其他颅脑手术不在本保障范围内。</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严重肌营养不</w:t>
      </w:r>
      <w:r>
        <w:rPr>
          <w:spacing w:val="-6"/>
          <w:sz w:val="21"/>
        </w:rPr>
        <w:t>良症</w:t>
      </w:r>
    </w:p>
    <w:p>
      <w:pPr>
        <w:pStyle w:val="BodyText"/>
        <w:spacing w:line="278" w:lineRule="auto" w:before="72"/>
        <w:ind w:left="175" w:right="674"/>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71"/>
        </w:numPr>
        <w:tabs>
          <w:tab w:pos="702" w:val="left" w:leader="none"/>
        </w:tabs>
        <w:spacing w:line="269" w:lineRule="exact" w:before="0" w:after="0"/>
        <w:ind w:left="701" w:right="0" w:hanging="527"/>
        <w:jc w:val="left"/>
        <w:rPr>
          <w:sz w:val="21"/>
        </w:rPr>
      </w:pPr>
      <w:r>
        <w:rPr>
          <w:spacing w:val="-6"/>
          <w:sz w:val="21"/>
        </w:rPr>
        <w:t>肌肉组织活检结果满足肌营养不良症的肌肉细胞变性、坏死等阳性改变；</w:t>
      </w:r>
    </w:p>
    <w:p>
      <w:pPr>
        <w:pStyle w:val="ListParagraph"/>
        <w:numPr>
          <w:ilvl w:val="0"/>
          <w:numId w:val="71"/>
        </w:numPr>
        <w:tabs>
          <w:tab w:pos="702" w:val="left" w:leader="none"/>
        </w:tabs>
        <w:spacing w:line="278" w:lineRule="auto" w:before="43" w:after="0"/>
        <w:ind w:left="700" w:right="666" w:hanging="526"/>
        <w:jc w:val="left"/>
        <w:rPr>
          <w:sz w:val="21"/>
        </w:rPr>
      </w:pPr>
      <w:r>
        <w:rPr>
          <w:spacing w:val="-2"/>
          <w:sz w:val="21"/>
        </w:rPr>
        <w:t>自主生活能力严重丧失，无法独立完成六项基本日常生活活动中的三项</w:t>
      </w:r>
      <w:r>
        <w:rPr>
          <w:spacing w:val="-2"/>
          <w:sz w:val="21"/>
        </w:rPr>
        <w:t>或三项以上。</w:t>
      </w:r>
    </w:p>
    <w:p>
      <w:pPr>
        <w:pStyle w:val="Heading2"/>
        <w:spacing w:line="283" w:lineRule="exact"/>
        <w:ind w:left="175"/>
      </w:pPr>
      <w:r>
        <w:rPr>
          <w:spacing w:val="-3"/>
        </w:rPr>
        <w:t>本公司承担本项疾病责任不受本合同责任免除中“遗传性疾病，先天性畸形、</w:t>
      </w:r>
    </w:p>
    <w:p>
      <w:pPr>
        <w:spacing w:line="350" w:lineRule="exact" w:before="0"/>
        <w:ind w:left="175" w:right="0" w:firstLine="0"/>
        <w:jc w:val="left"/>
        <w:rPr>
          <w:rFonts w:ascii="微软雅黑" w:hAnsi="微软雅黑" w:eastAsia="微软雅黑"/>
          <w:b/>
          <w:sz w:val="21"/>
        </w:rPr>
      </w:pPr>
      <w:r>
        <w:rPr>
          <w:rFonts w:ascii="微软雅黑" w:hAnsi="微软雅黑" w:eastAsia="微软雅黑"/>
          <w:b/>
          <w:spacing w:val="-3"/>
          <w:sz w:val="21"/>
        </w:rPr>
        <w:t>变形或染色体异常”的限制。</w:t>
      </w:r>
    </w:p>
    <w:p>
      <w:pPr>
        <w:spacing w:after="0" w:line="350" w:lineRule="exact"/>
        <w:jc w:val="left"/>
        <w:rPr>
          <w:rFonts w:ascii="微软雅黑" w:hAns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
        <w:rPr>
          <w:rFonts w:ascii="微软雅黑"/>
          <w:b/>
          <w:sz w:val="8"/>
        </w:rPr>
      </w:pPr>
    </w:p>
    <w:p>
      <w:pPr>
        <w:pStyle w:val="ListParagraph"/>
        <w:numPr>
          <w:ilvl w:val="2"/>
          <w:numId w:val="40"/>
        </w:numPr>
        <w:tabs>
          <w:tab w:pos="1399" w:val="left" w:leader="none"/>
          <w:tab w:pos="2960" w:val="left" w:leader="none"/>
        </w:tabs>
        <w:spacing w:line="312" w:lineRule="exact" w:before="32" w:after="0"/>
        <w:ind w:left="2960" w:right="560" w:hanging="1880"/>
        <w:jc w:val="left"/>
        <w:rPr>
          <w:rFonts w:ascii="微软雅黑" w:eastAsia="微软雅黑"/>
          <w:b/>
          <w:sz w:val="21"/>
        </w:rPr>
      </w:pPr>
      <w:r>
        <w:rPr>
          <w:spacing w:val="-3"/>
          <w:w w:val="100"/>
          <w:sz w:val="21"/>
        </w:rPr>
        <w:t>脊</w:t>
      </w:r>
      <w:r>
        <w:rPr>
          <w:w w:val="100"/>
          <w:sz w:val="21"/>
        </w:rPr>
        <w:t>髓</w:t>
      </w:r>
      <w:r>
        <w:rPr>
          <w:spacing w:val="-3"/>
          <w:w w:val="100"/>
          <w:sz w:val="21"/>
        </w:rPr>
        <w:t>灰</w:t>
      </w:r>
      <w:r>
        <w:rPr>
          <w:w w:val="100"/>
          <w:sz w:val="21"/>
        </w:rPr>
        <w:t>质炎</w:t>
      </w:r>
      <w:r>
        <w:rPr>
          <w:sz w:val="21"/>
        </w:rPr>
        <w:tab/>
      </w:r>
      <w:r>
        <w:rPr>
          <w:spacing w:val="2"/>
          <w:w w:val="100"/>
          <w:sz w:val="21"/>
        </w:rPr>
        <w:t>指由于脊髓灰质炎</w:t>
      </w:r>
      <w:r>
        <w:rPr>
          <w:w w:val="100"/>
          <w:sz w:val="21"/>
        </w:rPr>
        <w:t>病</w:t>
      </w:r>
      <w:r>
        <w:rPr>
          <w:spacing w:val="2"/>
          <w:w w:val="100"/>
          <w:sz w:val="21"/>
        </w:rPr>
        <w:t>毒</w:t>
      </w:r>
      <w:r>
        <w:rPr>
          <w:w w:val="100"/>
          <w:sz w:val="21"/>
        </w:rPr>
        <w:t>感</w:t>
      </w:r>
      <w:r>
        <w:rPr>
          <w:spacing w:val="2"/>
          <w:w w:val="100"/>
          <w:sz w:val="21"/>
        </w:rPr>
        <w:t>染所致的瘫痪性疾</w:t>
      </w:r>
      <w:r>
        <w:rPr>
          <w:w w:val="100"/>
          <w:sz w:val="21"/>
        </w:rPr>
        <w:t>病</w:t>
      </w:r>
      <w:r>
        <w:rPr>
          <w:spacing w:val="2"/>
          <w:w w:val="100"/>
          <w:sz w:val="21"/>
        </w:rPr>
        <w:t>，</w:t>
      </w:r>
      <w:r>
        <w:rPr>
          <w:w w:val="100"/>
          <w:sz w:val="21"/>
        </w:rPr>
        <w:t>临</w:t>
      </w:r>
      <w:r>
        <w:rPr>
          <w:spacing w:val="2"/>
          <w:w w:val="100"/>
          <w:sz w:val="21"/>
        </w:rPr>
        <w:t>床表现为运动功能</w:t>
      </w:r>
      <w:r>
        <w:rPr>
          <w:w w:val="100"/>
          <w:sz w:val="21"/>
        </w:rPr>
        <w:t>损</w:t>
      </w:r>
      <w:r>
        <w:rPr>
          <w:spacing w:val="2"/>
          <w:w w:val="100"/>
          <w:sz w:val="21"/>
        </w:rPr>
        <w:t>害或</w:t>
      </w:r>
      <w:r>
        <w:rPr>
          <w:w w:val="100"/>
          <w:sz w:val="21"/>
        </w:rPr>
        <w:t>呼吸</w:t>
      </w:r>
      <w:r>
        <w:rPr>
          <w:spacing w:val="-3"/>
          <w:w w:val="100"/>
          <w:sz w:val="21"/>
        </w:rPr>
        <w:t>无</w:t>
      </w:r>
      <w:r>
        <w:rPr>
          <w:w w:val="100"/>
          <w:sz w:val="21"/>
        </w:rPr>
        <w:t>力</w:t>
      </w:r>
      <w:r>
        <w:rPr>
          <w:spacing w:val="-5"/>
          <w:w w:val="100"/>
          <w:sz w:val="21"/>
        </w:rPr>
        <w:t>。</w:t>
      </w:r>
      <w:r>
        <w:rPr>
          <w:w w:val="100"/>
          <w:sz w:val="21"/>
        </w:rPr>
        <w:t>脊</w:t>
      </w:r>
      <w:r>
        <w:rPr>
          <w:spacing w:val="-3"/>
          <w:w w:val="100"/>
          <w:sz w:val="21"/>
        </w:rPr>
        <w:t>髓</w:t>
      </w:r>
      <w:r>
        <w:rPr>
          <w:w w:val="100"/>
          <w:sz w:val="21"/>
        </w:rPr>
        <w:t>灰</w:t>
      </w:r>
      <w:r>
        <w:rPr>
          <w:spacing w:val="-3"/>
          <w:w w:val="100"/>
          <w:sz w:val="21"/>
        </w:rPr>
        <w:t>质</w:t>
      </w:r>
      <w:r>
        <w:rPr>
          <w:w w:val="100"/>
          <w:sz w:val="21"/>
        </w:rPr>
        <w:t>炎</w:t>
      </w:r>
      <w:r>
        <w:rPr>
          <w:spacing w:val="-3"/>
          <w:w w:val="100"/>
          <w:sz w:val="21"/>
        </w:rPr>
        <w:t>必</w:t>
      </w:r>
      <w:r>
        <w:rPr>
          <w:w w:val="100"/>
          <w:sz w:val="21"/>
        </w:rPr>
        <w:t>须在</w:t>
      </w:r>
      <w:r>
        <w:rPr>
          <w:spacing w:val="-3"/>
          <w:w w:val="100"/>
          <w:sz w:val="21"/>
        </w:rPr>
        <w:t>本</w:t>
      </w:r>
      <w:r>
        <w:rPr>
          <w:w w:val="100"/>
          <w:sz w:val="21"/>
        </w:rPr>
        <w:t>公</w:t>
      </w:r>
      <w:r>
        <w:rPr>
          <w:spacing w:val="-3"/>
          <w:w w:val="100"/>
          <w:sz w:val="21"/>
        </w:rPr>
        <w:t>司</w:t>
      </w:r>
      <w:r>
        <w:rPr>
          <w:w w:val="100"/>
          <w:sz w:val="21"/>
        </w:rPr>
        <w:t>认</w:t>
      </w:r>
      <w:r>
        <w:rPr>
          <w:spacing w:val="-3"/>
          <w:w w:val="100"/>
          <w:sz w:val="21"/>
        </w:rPr>
        <w:t>可</w:t>
      </w:r>
      <w:r>
        <w:rPr>
          <w:w w:val="100"/>
          <w:sz w:val="21"/>
        </w:rPr>
        <w:t>的</w:t>
      </w:r>
      <w:r>
        <w:rPr>
          <w:spacing w:val="-3"/>
          <w:w w:val="100"/>
          <w:sz w:val="21"/>
        </w:rPr>
        <w:t>医</w:t>
      </w:r>
      <w:r>
        <w:rPr>
          <w:w w:val="100"/>
          <w:sz w:val="21"/>
        </w:rPr>
        <w:t>疗</w:t>
      </w:r>
      <w:r>
        <w:rPr>
          <w:spacing w:val="-3"/>
          <w:w w:val="100"/>
          <w:sz w:val="21"/>
        </w:rPr>
        <w:t>机</w:t>
      </w:r>
      <w:r>
        <w:rPr>
          <w:w w:val="100"/>
          <w:sz w:val="21"/>
        </w:rPr>
        <w:t>构内</w:t>
      </w:r>
      <w:r>
        <w:rPr>
          <w:spacing w:val="-3"/>
          <w:w w:val="100"/>
          <w:sz w:val="21"/>
        </w:rPr>
        <w:t>由</w:t>
      </w:r>
      <w:r>
        <w:rPr>
          <w:w w:val="100"/>
          <w:sz w:val="21"/>
        </w:rPr>
        <w:t>专</w:t>
      </w:r>
      <w:r>
        <w:rPr>
          <w:spacing w:val="-3"/>
          <w:w w:val="100"/>
          <w:sz w:val="21"/>
        </w:rPr>
        <w:t>科</w:t>
      </w:r>
      <w:r>
        <w:rPr>
          <w:w w:val="100"/>
          <w:sz w:val="21"/>
        </w:rPr>
        <w:t>医</w:t>
      </w:r>
      <w:r>
        <w:rPr>
          <w:spacing w:val="-3"/>
          <w:w w:val="100"/>
          <w:sz w:val="21"/>
        </w:rPr>
        <w:t>生</w:t>
      </w:r>
      <w:r>
        <w:rPr>
          <w:w w:val="100"/>
          <w:sz w:val="21"/>
        </w:rPr>
        <w:t>明</w:t>
      </w:r>
      <w:r>
        <w:rPr>
          <w:spacing w:val="-3"/>
          <w:w w:val="100"/>
          <w:sz w:val="21"/>
        </w:rPr>
        <w:t>确</w:t>
      </w:r>
      <w:r>
        <w:rPr>
          <w:w w:val="100"/>
          <w:sz w:val="21"/>
        </w:rPr>
        <w:t>诊</w:t>
      </w:r>
      <w:r>
        <w:rPr>
          <w:spacing w:val="-3"/>
          <w:w w:val="100"/>
          <w:sz w:val="21"/>
        </w:rPr>
        <w:t>断</w:t>
      </w:r>
      <w:r>
        <w:rPr>
          <w:w w:val="100"/>
          <w:sz w:val="21"/>
        </w:rPr>
        <w:t>。</w:t>
      </w:r>
      <w:r>
        <w:rPr>
          <w:rFonts w:ascii="微软雅黑" w:eastAsia="微软雅黑"/>
          <w:b/>
          <w:spacing w:val="2"/>
          <w:w w:val="100"/>
          <w:sz w:val="21"/>
        </w:rPr>
        <w:t>本合同仅对脊髓灰</w:t>
      </w:r>
      <w:r>
        <w:rPr>
          <w:rFonts w:ascii="微软雅黑" w:eastAsia="微软雅黑"/>
          <w:b/>
          <w:w w:val="100"/>
          <w:sz w:val="21"/>
        </w:rPr>
        <w:t>质</w:t>
      </w:r>
      <w:r>
        <w:rPr>
          <w:rFonts w:ascii="微软雅黑" w:eastAsia="微软雅黑"/>
          <w:b/>
          <w:spacing w:val="2"/>
          <w:w w:val="100"/>
          <w:sz w:val="21"/>
        </w:rPr>
        <w:t>炎</w:t>
      </w:r>
      <w:r>
        <w:rPr>
          <w:rFonts w:ascii="微软雅黑" w:eastAsia="微软雅黑"/>
          <w:b/>
          <w:w w:val="100"/>
          <w:sz w:val="21"/>
        </w:rPr>
        <w:t>造</w:t>
      </w:r>
      <w:r>
        <w:rPr>
          <w:rFonts w:ascii="微软雅黑" w:eastAsia="微软雅黑"/>
          <w:b/>
          <w:spacing w:val="2"/>
          <w:w w:val="100"/>
          <w:sz w:val="21"/>
        </w:rPr>
        <w:t>成的神经系统功能</w:t>
      </w:r>
      <w:r>
        <w:rPr>
          <w:rFonts w:ascii="微软雅黑" w:eastAsia="微软雅黑"/>
          <w:b/>
          <w:w w:val="100"/>
          <w:sz w:val="21"/>
        </w:rPr>
        <w:t>损</w:t>
      </w:r>
      <w:r>
        <w:rPr>
          <w:rFonts w:ascii="微软雅黑" w:eastAsia="微软雅黑"/>
          <w:b/>
          <w:spacing w:val="2"/>
          <w:w w:val="100"/>
          <w:sz w:val="21"/>
        </w:rPr>
        <w:t>害</w:t>
      </w:r>
      <w:r>
        <w:rPr>
          <w:rFonts w:ascii="微软雅黑" w:eastAsia="微软雅黑"/>
          <w:b/>
          <w:w w:val="100"/>
          <w:sz w:val="21"/>
        </w:rPr>
        <w:t>导</w:t>
      </w:r>
      <w:r>
        <w:rPr>
          <w:rFonts w:ascii="微软雅黑" w:eastAsia="微软雅黑"/>
          <w:b/>
          <w:spacing w:val="2"/>
          <w:w w:val="100"/>
          <w:sz w:val="21"/>
        </w:rPr>
        <w:t>致被保险人一肢或</w:t>
      </w:r>
      <w:r>
        <w:rPr>
          <w:rFonts w:ascii="微软雅黑" w:eastAsia="微软雅黑"/>
          <w:b/>
          <w:w w:val="100"/>
          <w:sz w:val="21"/>
        </w:rPr>
        <w:t>一</w:t>
      </w:r>
      <w:r>
        <w:rPr>
          <w:rFonts w:ascii="微软雅黑" w:eastAsia="微软雅黑"/>
          <w:b/>
          <w:spacing w:val="2"/>
          <w:w w:val="100"/>
          <w:sz w:val="21"/>
        </w:rPr>
        <w:t>肢</w:t>
      </w:r>
      <w:r>
        <w:rPr>
          <w:rFonts w:ascii="微软雅黑" w:eastAsia="微软雅黑"/>
          <w:b/>
          <w:w w:val="100"/>
          <w:sz w:val="21"/>
        </w:rPr>
        <w:t>以上肢体随意运动功</w:t>
      </w:r>
      <w:r>
        <w:rPr>
          <w:rFonts w:ascii="微软雅黑" w:eastAsia="微软雅黑"/>
          <w:b/>
          <w:spacing w:val="-3"/>
          <w:w w:val="100"/>
          <w:sz w:val="21"/>
        </w:rPr>
        <w:t>能</w:t>
      </w:r>
      <w:r>
        <w:rPr>
          <w:rFonts w:ascii="微软雅黑" w:eastAsia="微软雅黑"/>
          <w:b/>
          <w:w w:val="100"/>
          <w:sz w:val="21"/>
        </w:rPr>
        <w:t>永</w:t>
      </w:r>
      <w:r>
        <w:rPr>
          <w:rFonts w:ascii="微软雅黑" w:eastAsia="微软雅黑"/>
          <w:b/>
          <w:spacing w:val="-3"/>
          <w:w w:val="100"/>
          <w:sz w:val="21"/>
        </w:rPr>
        <w:t>久</w:t>
      </w:r>
      <w:r>
        <w:rPr>
          <w:rFonts w:ascii="微软雅黑" w:eastAsia="微软雅黑"/>
          <w:b/>
          <w:w w:val="100"/>
          <w:sz w:val="21"/>
        </w:rPr>
        <w:t>完全丧失的情况予</w:t>
      </w:r>
      <w:r>
        <w:rPr>
          <w:rFonts w:ascii="微软雅黑" w:eastAsia="微软雅黑"/>
          <w:b/>
          <w:spacing w:val="-3"/>
          <w:w w:val="100"/>
          <w:sz w:val="21"/>
        </w:rPr>
        <w:t>以</w:t>
      </w:r>
      <w:r>
        <w:rPr>
          <w:rFonts w:ascii="微软雅黑" w:eastAsia="微软雅黑"/>
          <w:b/>
          <w:w w:val="100"/>
          <w:sz w:val="21"/>
        </w:rPr>
        <w:t>理</w:t>
      </w:r>
      <w:r>
        <w:rPr>
          <w:rFonts w:ascii="微软雅黑" w:eastAsia="微软雅黑"/>
          <w:b/>
          <w:spacing w:val="-3"/>
          <w:w w:val="100"/>
          <w:sz w:val="21"/>
        </w:rPr>
        <w:t>赔</w:t>
      </w:r>
      <w:r>
        <w:rPr>
          <w:rFonts w:ascii="微软雅黑" w:eastAsia="微软雅黑"/>
          <w:b/>
          <w:w w:val="100"/>
          <w:sz w:val="21"/>
        </w:rPr>
        <w:t>。</w:t>
      </w:r>
    </w:p>
    <w:p>
      <w:pPr>
        <w:pStyle w:val="BodyText"/>
        <w:spacing w:before="40"/>
        <w:ind w:left="2960"/>
      </w:pPr>
      <w:r>
        <w:rPr>
          <w:spacing w:val="-1"/>
        </w:rPr>
        <w:t>肢体随意运动功能永久完全丧失，指疾病确诊 </w:t>
      </w:r>
      <w:r>
        <w:rPr/>
        <w:t>180</w:t>
      </w:r>
      <w:r>
        <w:rPr>
          <w:spacing w:val="-5"/>
        </w:rPr>
        <w:t> 天后或意外伤害发生 180</w:t>
      </w:r>
    </w:p>
    <w:p>
      <w:pPr>
        <w:pStyle w:val="BodyText"/>
        <w:spacing w:before="42"/>
        <w:ind w:left="2960"/>
      </w:pPr>
      <w:r>
        <w:rPr>
          <w:spacing w:val="-1"/>
        </w:rPr>
        <w:t>天后，每肢三大关节中的两大关节仍然完全僵硬，或肢体肌力在 </w:t>
      </w:r>
      <w:r>
        <w:rPr/>
        <w:t>2</w:t>
      </w:r>
      <w:r>
        <w:rPr>
          <w:spacing w:val="-12"/>
        </w:rPr>
        <w:t> 级</w:t>
      </w:r>
      <w:r>
        <w:rPr/>
        <w:t>（含</w:t>
      </w:r>
      <w:r>
        <w:rPr>
          <w:spacing w:val="-10"/>
        </w:rPr>
        <w:t>）</w:t>
      </w:r>
    </w:p>
    <w:p>
      <w:pPr>
        <w:spacing w:after="0"/>
        <w:sectPr>
          <w:type w:val="continuous"/>
          <w:pgSz w:w="11910" w:h="16840"/>
          <w:pgMar w:header="0" w:footer="406" w:top="600" w:bottom="280" w:left="900" w:right="340"/>
        </w:sectPr>
      </w:pPr>
    </w:p>
    <w:p>
      <w:pPr>
        <w:pStyle w:val="BodyText"/>
        <w:spacing w:before="57"/>
        <w:ind w:left="2960"/>
      </w:pPr>
      <w:r>
        <w:rPr>
          <w:spacing w:val="-4"/>
        </w:rPr>
        <w:t>以下。</w:t>
      </w:r>
    </w:p>
    <w:p>
      <w:pPr>
        <w:pStyle w:val="BodyText"/>
        <w:spacing w:before="2"/>
      </w:pPr>
    </w:p>
    <w:p>
      <w:pPr>
        <w:pStyle w:val="ListParagraph"/>
        <w:numPr>
          <w:ilvl w:val="2"/>
          <w:numId w:val="40"/>
        </w:numPr>
        <w:tabs>
          <w:tab w:pos="1399" w:val="left" w:leader="none"/>
        </w:tabs>
        <w:spacing w:line="278" w:lineRule="auto" w:before="0" w:after="0"/>
        <w:ind w:left="2960" w:right="668" w:hanging="1880"/>
        <w:jc w:val="both"/>
        <w:rPr>
          <w:sz w:val="21"/>
        </w:rPr>
      </w:pPr>
      <w:r>
        <w:rPr>
          <w:sz w:val="21"/>
        </w:rPr>
        <w:t>植物人状态   指脑皮质广泛性坏死而导致对自身及周边的认知能力完全丧失,但脑干功能</w:t>
      </w:r>
      <w:r>
        <w:rPr>
          <w:spacing w:val="-2"/>
          <w:sz w:val="21"/>
        </w:rPr>
        <w:t>依然存在。必须由神经专科医生明确诊断,并有头颅断层扫描（CT），核磁共</w:t>
      </w:r>
      <w:r>
        <w:rPr>
          <w:spacing w:val="-2"/>
          <w:sz w:val="21"/>
        </w:rPr>
        <w:t>振检查（MRI）或正电子发射断层扫描（PET）等影像学检查证实。</w:t>
      </w:r>
    </w:p>
    <w:p>
      <w:pPr>
        <w:spacing w:line="282" w:lineRule="exact" w:before="0"/>
        <w:ind w:left="2960" w:right="0" w:firstLine="0"/>
        <w:jc w:val="left"/>
        <w:rPr>
          <w:rFonts w:ascii="微软雅黑" w:eastAsia="微软雅黑"/>
          <w:b/>
          <w:sz w:val="21"/>
        </w:rPr>
      </w:pPr>
      <w:r>
        <w:rPr>
          <w:sz w:val="21"/>
        </w:rPr>
        <w:t>上述情况必须有至少一个月的病历记录加以证实。</w:t>
      </w:r>
      <w:r>
        <w:rPr>
          <w:rFonts w:ascii="微软雅黑" w:eastAsia="微软雅黑"/>
          <w:b/>
          <w:spacing w:val="-1"/>
          <w:sz w:val="21"/>
        </w:rPr>
        <w:t>由于酗酒或滥用药物导致</w:t>
      </w:r>
    </w:p>
    <w:p>
      <w:pPr>
        <w:pStyle w:val="Heading2"/>
        <w:spacing w:line="350" w:lineRule="exact"/>
      </w:pPr>
      <w:r>
        <w:rPr>
          <w:spacing w:val="-3"/>
        </w:rPr>
        <w:t>的植物人状态不在保障范围内。</w:t>
      </w:r>
    </w:p>
    <w:p>
      <w:pPr>
        <w:pStyle w:val="BodyText"/>
        <w:spacing w:before="1"/>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非阿尔茨海默</w:t>
      </w:r>
      <w:r>
        <w:rPr>
          <w:spacing w:val="-2"/>
          <w:sz w:val="21"/>
        </w:rPr>
        <w:t>病所致严重痴呆</w:t>
      </w:r>
    </w:p>
    <w:p>
      <w:pPr>
        <w:pStyle w:val="BodyText"/>
        <w:spacing w:line="278" w:lineRule="auto" w:before="72"/>
        <w:ind w:left="175" w:right="667"/>
        <w:jc w:val="both"/>
      </w:pPr>
      <w:r>
        <w:rPr/>
        <w:br w:type="column"/>
      </w:r>
      <w:r>
        <w:rPr>
          <w:spacing w:val="-2"/>
        </w:rPr>
        <w:t>指因阿尔茨海默病以外的脑的器质性疾病造成脑功能衰竭导致永久不可逆性</w:t>
      </w:r>
      <w:r>
        <w:rPr>
          <w:spacing w:val="-2"/>
        </w:rPr>
        <w:t>的严重痴呆，临床表现为明显的认知能力障碍、行为异常和社交能力减退。</w:t>
      </w:r>
      <w:r>
        <w:rPr>
          <w:spacing w:val="-2"/>
        </w:rPr>
        <w:t>被保险人自主生活能力完全丧失，无法独立完成六项基本日常生活活动中的</w:t>
      </w:r>
      <w:r>
        <w:rPr>
          <w:spacing w:val="-2"/>
        </w:rPr>
        <w:t>三项或三项以上，日常生活必须持续受到他人监护。导致痴呆的疾病必须明</w:t>
      </w:r>
      <w:r>
        <w:rPr>
          <w:spacing w:val="-2"/>
        </w:rPr>
        <w:t>确诊断，并且由完整的临床、实验室和影像学检查结果证实。</w:t>
      </w:r>
    </w:p>
    <w:p>
      <w:pPr>
        <w:pStyle w:val="Heading2"/>
        <w:spacing w:line="319" w:lineRule="exact"/>
        <w:ind w:left="175"/>
      </w:pPr>
      <w:r>
        <w:rPr>
          <w:spacing w:val="-3"/>
        </w:rPr>
        <w:t>神经官能症、精神疾病和酒精中毒导致的脑损害不在保障范围内。</w:t>
      </w:r>
    </w:p>
    <w:p>
      <w:pPr>
        <w:spacing w:after="0" w:line="319" w:lineRule="exact"/>
        <w:sectPr>
          <w:type w:val="continuous"/>
          <w:pgSz w:w="11910" w:h="16840"/>
          <w:pgMar w:header="0" w:footer="406" w:top="600" w:bottom="280" w:left="900" w:right="340"/>
          <w:cols w:num="2" w:equalWidth="0">
            <w:col w:w="2745" w:space="40"/>
            <w:col w:w="7885"/>
          </w:cols>
        </w:sectPr>
      </w:pPr>
    </w:p>
    <w:p>
      <w:pPr>
        <w:pStyle w:val="BodyText"/>
        <w:spacing w:before="17"/>
        <w:rPr>
          <w:rFonts w:ascii="微软雅黑"/>
          <w:b/>
          <w:sz w:val="7"/>
        </w:rPr>
      </w:pPr>
    </w:p>
    <w:p>
      <w:pPr>
        <w:spacing w:after="0"/>
        <w:rPr>
          <w:rFonts w:ascii="微软雅黑"/>
          <w:sz w:val="7"/>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严重多发性硬</w:t>
      </w:r>
      <w:r>
        <w:rPr>
          <w:spacing w:val="-10"/>
          <w:sz w:val="21"/>
        </w:rPr>
        <w:t>化</w:t>
      </w:r>
    </w:p>
    <w:p>
      <w:pPr>
        <w:pStyle w:val="BodyText"/>
        <w:spacing w:line="278" w:lineRule="auto" w:before="72"/>
        <w:ind w:left="175" w:right="666"/>
        <w:jc w:val="both"/>
      </w:pPr>
      <w:r>
        <w:rPr/>
        <w:br w:type="column"/>
      </w:r>
      <w:r>
        <w:rPr>
          <w:spacing w:val="-2"/>
        </w:rPr>
        <w:t>被保险人因脑及脊髓内的脱髓鞘病变而出现神经系统多灶性（多发性）多时</w:t>
      </w:r>
      <w:r>
        <w:rPr/>
        <w:t>相（</w:t>
      </w:r>
      <w:r>
        <w:rPr>
          <w:spacing w:val="-6"/>
        </w:rPr>
        <w:t>至少 </w:t>
      </w:r>
      <w:r>
        <w:rPr/>
        <w:t>6</w:t>
      </w:r>
      <w:r>
        <w:rPr>
          <w:spacing w:val="-4"/>
        </w:rPr>
        <w:t> 个月以内有一次以上</w:t>
      </w:r>
      <w:r>
        <w:rPr/>
        <w:t>（不包含一次）的发作）的病变，须由计算</w:t>
      </w:r>
      <w:r>
        <w:rPr>
          <w:spacing w:val="-2"/>
        </w:rPr>
        <w:t>机断层扫描（CT）、核磁共振检查（MRI）或正电子发射断层扫描（PET）</w:t>
      </w:r>
      <w:r>
        <w:rPr>
          <w:spacing w:val="-2"/>
        </w:rPr>
        <w:t>等</w:t>
      </w:r>
      <w:r>
        <w:rPr>
          <w:spacing w:val="-1"/>
        </w:rPr>
        <w:t>影像学检查证实，且已经造成自主生活能力完全丧失，持续至少 </w:t>
      </w:r>
      <w:r>
        <w:rPr/>
        <w:t>180</w:t>
      </w:r>
      <w:r>
        <w:rPr>
          <w:spacing w:val="-5"/>
        </w:rPr>
        <w:t> 天无法</w:t>
      </w:r>
      <w:r>
        <w:rPr>
          <w:spacing w:val="-2"/>
        </w:rPr>
        <w:t>独立完成六项基本日常生活活动中的三项或三项以上。</w:t>
      </w:r>
    </w:p>
    <w:p>
      <w:pPr>
        <w:spacing w:after="0" w:line="278" w:lineRule="auto"/>
        <w:jc w:val="both"/>
        <w:sectPr>
          <w:type w:val="continuous"/>
          <w:pgSz w:w="11910" w:h="16840"/>
          <w:pgMar w:header="0" w:footer="406" w:top="600" w:bottom="280" w:left="900" w:right="340"/>
          <w:cols w:num="2" w:equalWidth="0">
            <w:col w:w="2745" w:space="40"/>
            <w:col w:w="7885"/>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2" w:after="0"/>
        <w:ind w:left="1080" w:right="0" w:firstLine="0"/>
        <w:jc w:val="left"/>
        <w:rPr>
          <w:sz w:val="21"/>
        </w:rPr>
      </w:pPr>
      <w:r>
        <w:rPr>
          <w:spacing w:val="27"/>
          <w:sz w:val="21"/>
        </w:rPr>
        <w:t>严重全身性</w:t>
      </w:r>
      <w:r>
        <w:rPr>
          <w:spacing w:val="-2"/>
          <w:sz w:val="21"/>
        </w:rPr>
        <w:t>重症肌无力</w:t>
      </w:r>
    </w:p>
    <w:p>
      <w:pPr>
        <w:pStyle w:val="BodyText"/>
        <w:spacing w:line="278" w:lineRule="auto" w:before="72"/>
        <w:ind w:left="175" w:right="667"/>
        <w:jc w:val="both"/>
      </w:pPr>
      <w:r>
        <w:rPr/>
        <w:br w:type="column"/>
      </w:r>
      <w:r>
        <w:rPr>
          <w:spacing w:val="-2"/>
        </w:rPr>
        <w:t>指一种神经与肌肉接头部位传递障碍的自身免疫性疾病，临床特征是局部或</w:t>
      </w:r>
      <w:r>
        <w:rPr>
          <w:spacing w:val="-2"/>
        </w:rPr>
        <w:t>全身横纹肌于活动时易于疲劳无力，颅神经眼外肌最易累及，也可涉及呼吸</w:t>
      </w:r>
      <w:r>
        <w:rPr>
          <w:spacing w:val="-2"/>
        </w:rPr>
        <w:t>肌、下肢近端肌群以至全身肌肉，须在本公司认可的医疗机构内经神经科医</w:t>
      </w:r>
      <w:r>
        <w:rPr>
          <w:spacing w:val="-2"/>
        </w:rPr>
        <w:t>师确诊，必须满足下列全部条件：</w:t>
      </w:r>
    </w:p>
    <w:p>
      <w:pPr>
        <w:pStyle w:val="ListParagraph"/>
        <w:numPr>
          <w:ilvl w:val="0"/>
          <w:numId w:val="72"/>
        </w:numPr>
        <w:tabs>
          <w:tab w:pos="705" w:val="left" w:leader="none"/>
        </w:tabs>
        <w:spacing w:line="269" w:lineRule="exact" w:before="0" w:after="0"/>
        <w:ind w:left="704" w:right="0" w:hanging="530"/>
        <w:jc w:val="left"/>
        <w:rPr>
          <w:sz w:val="21"/>
        </w:rPr>
      </w:pPr>
      <w:r>
        <w:rPr>
          <w:spacing w:val="-3"/>
          <w:sz w:val="21"/>
        </w:rPr>
        <w:t>经药物、胸腺手术治疗一年以上无法控制病情，丧失正常工作能力；</w:t>
      </w:r>
    </w:p>
    <w:p>
      <w:pPr>
        <w:pStyle w:val="ListParagraph"/>
        <w:numPr>
          <w:ilvl w:val="0"/>
          <w:numId w:val="72"/>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ListParagraph"/>
        <w:numPr>
          <w:ilvl w:val="0"/>
          <w:numId w:val="72"/>
        </w:numPr>
        <w:tabs>
          <w:tab w:pos="702" w:val="left" w:leader="none"/>
        </w:tabs>
        <w:spacing w:line="278" w:lineRule="auto" w:before="0" w:after="0"/>
        <w:ind w:left="700" w:right="666" w:hanging="526"/>
        <w:jc w:val="left"/>
        <w:rPr>
          <w:sz w:val="21"/>
        </w:rPr>
      </w:pPr>
      <w:r>
        <w:rPr>
          <w:spacing w:val="-2"/>
          <w:sz w:val="21"/>
        </w:rPr>
        <w:t>症状缓解、复发及恶化交替出现，临床接受新斯的明等抗胆碱酯酶药物</w:t>
      </w:r>
      <w:r>
        <w:rPr>
          <w:spacing w:val="-2"/>
          <w:sz w:val="21"/>
        </w:rPr>
        <w:t>治疗的病史。</w:t>
      </w:r>
    </w:p>
    <w:p>
      <w:pPr>
        <w:spacing w:after="0" w:line="278" w:lineRule="auto"/>
        <w:jc w:val="left"/>
        <w:rPr>
          <w:sz w:val="21"/>
        </w:rPr>
        <w:sectPr>
          <w:type w:val="continuous"/>
          <w:pgSz w:w="11910" w:h="16840"/>
          <w:pgMar w:header="0" w:footer="406" w:top="600" w:bottom="280" w:left="900" w:right="340"/>
          <w:cols w:num="2" w:equalWidth="0">
            <w:col w:w="2746" w:space="40"/>
            <w:col w:w="7884"/>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进行性核上性</w:t>
      </w:r>
      <w:r>
        <w:rPr>
          <w:spacing w:val="-6"/>
          <w:sz w:val="21"/>
        </w:rPr>
        <w:t>麻痹</w:t>
      </w:r>
    </w:p>
    <w:p>
      <w:pPr>
        <w:pStyle w:val="BodyText"/>
        <w:spacing w:line="278" w:lineRule="auto" w:before="71"/>
        <w:ind w:left="175" w:right="673"/>
      </w:pPr>
      <w:r>
        <w:rPr/>
        <w:br w:type="column"/>
      </w:r>
      <w:r>
        <w:rPr>
          <w:spacing w:val="-2"/>
        </w:rPr>
        <w:t>一种隐袭起病、逐渐加重的神经系统变性疾病。该病必须在本公司认可的医</w:t>
      </w:r>
      <w:r>
        <w:rPr>
          <w:spacing w:val="-2"/>
        </w:rPr>
        <w:t>疗机构内由神经科专科医生确诊，并须满足下列所有条件：</w:t>
      </w:r>
    </w:p>
    <w:p>
      <w:pPr>
        <w:pStyle w:val="ListParagraph"/>
        <w:numPr>
          <w:ilvl w:val="0"/>
          <w:numId w:val="73"/>
        </w:numPr>
        <w:tabs>
          <w:tab w:pos="705" w:val="left" w:leader="none"/>
        </w:tabs>
        <w:spacing w:line="269" w:lineRule="exact" w:before="0" w:after="0"/>
        <w:ind w:left="704" w:right="0" w:hanging="530"/>
        <w:jc w:val="left"/>
        <w:rPr>
          <w:sz w:val="21"/>
        </w:rPr>
      </w:pPr>
      <w:r>
        <w:rPr>
          <w:spacing w:val="-4"/>
          <w:sz w:val="21"/>
        </w:rPr>
        <w:t>步态共济失调；</w:t>
      </w:r>
    </w:p>
    <w:p>
      <w:pPr>
        <w:pStyle w:val="ListParagraph"/>
        <w:numPr>
          <w:ilvl w:val="0"/>
          <w:numId w:val="73"/>
        </w:numPr>
        <w:tabs>
          <w:tab w:pos="705" w:val="left" w:leader="none"/>
        </w:tabs>
        <w:spacing w:line="240" w:lineRule="auto" w:before="43" w:after="0"/>
        <w:ind w:left="704" w:right="0" w:hanging="530"/>
        <w:jc w:val="left"/>
        <w:rPr>
          <w:sz w:val="21"/>
        </w:rPr>
      </w:pPr>
      <w:r>
        <w:rPr>
          <w:spacing w:val="-3"/>
          <w:sz w:val="21"/>
        </w:rPr>
        <w:t>对称性眼球垂直运动障碍；</w:t>
      </w:r>
    </w:p>
    <w:p>
      <w:pPr>
        <w:pStyle w:val="ListParagraph"/>
        <w:numPr>
          <w:ilvl w:val="0"/>
          <w:numId w:val="73"/>
        </w:numPr>
        <w:tabs>
          <w:tab w:pos="705" w:val="left" w:leader="none"/>
        </w:tabs>
        <w:spacing w:line="240" w:lineRule="auto" w:before="43" w:after="0"/>
        <w:ind w:left="704" w:right="0" w:hanging="530"/>
        <w:jc w:val="left"/>
        <w:rPr>
          <w:sz w:val="21"/>
        </w:rPr>
      </w:pPr>
      <w:r>
        <w:rPr>
          <w:spacing w:val="-3"/>
          <w:sz w:val="21"/>
        </w:rPr>
        <w:t>假性球麻痹，表现为构音障碍和吞咽困难；</w:t>
      </w:r>
    </w:p>
    <w:p>
      <w:pPr>
        <w:pStyle w:val="ListParagraph"/>
        <w:numPr>
          <w:ilvl w:val="0"/>
          <w:numId w:val="73"/>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3"/>
        <w:rPr>
          <w:sz w:val="12"/>
        </w:rPr>
      </w:pPr>
    </w:p>
    <w:p>
      <w:pPr>
        <w:pStyle w:val="ListParagraph"/>
        <w:numPr>
          <w:ilvl w:val="2"/>
          <w:numId w:val="40"/>
        </w:numPr>
        <w:tabs>
          <w:tab w:pos="1399" w:val="left" w:leader="none"/>
          <w:tab w:pos="2960" w:val="left" w:leader="none"/>
        </w:tabs>
        <w:spacing w:line="194" w:lineRule="auto" w:before="57" w:after="0"/>
        <w:ind w:left="2960" w:right="669" w:hanging="1880"/>
        <w:jc w:val="left"/>
        <w:rPr>
          <w:sz w:val="21"/>
        </w:rPr>
      </w:pPr>
      <w:r>
        <w:rPr>
          <w:spacing w:val="-4"/>
          <w:sz w:val="21"/>
        </w:rPr>
        <w:t>颅脑手术</w:t>
      </w:r>
      <w:r>
        <w:rPr>
          <w:sz w:val="21"/>
        </w:rPr>
        <w:tab/>
      </w:r>
      <w:r>
        <w:rPr>
          <w:spacing w:val="-2"/>
          <w:sz w:val="21"/>
        </w:rPr>
        <w:t>被保险人确已实施全</w:t>
      </w:r>
      <w:r>
        <w:rPr>
          <w:spacing w:val="-2"/>
          <w:sz w:val="21"/>
        </w:rPr>
        <w:t>麻</w:t>
      </w:r>
      <w:r>
        <w:rPr>
          <w:spacing w:val="-2"/>
          <w:sz w:val="21"/>
        </w:rPr>
        <w:t>下</w:t>
      </w:r>
      <w:r>
        <w:rPr>
          <w:spacing w:val="-2"/>
          <w:sz w:val="21"/>
        </w:rPr>
        <w:t>的开颅手术</w:t>
      </w:r>
      <w:r>
        <w:rPr>
          <w:rFonts w:ascii="微软雅黑" w:eastAsia="微软雅黑"/>
          <w:b/>
          <w:spacing w:val="-2"/>
          <w:sz w:val="21"/>
        </w:rPr>
        <w:t>（</w:t>
      </w:r>
      <w:r>
        <w:rPr>
          <w:rFonts w:ascii="微软雅黑" w:eastAsia="微软雅黑"/>
          <w:b/>
          <w:spacing w:val="-2"/>
          <w:sz w:val="21"/>
        </w:rPr>
        <w:t>不</w:t>
      </w:r>
      <w:r>
        <w:rPr>
          <w:rFonts w:ascii="微软雅黑" w:eastAsia="微软雅黑"/>
          <w:b/>
          <w:spacing w:val="-2"/>
          <w:sz w:val="21"/>
        </w:rPr>
        <w:t>包</w:t>
      </w:r>
      <w:r>
        <w:rPr>
          <w:rFonts w:ascii="微软雅黑" w:eastAsia="微软雅黑"/>
          <w:b/>
          <w:spacing w:val="-2"/>
          <w:sz w:val="21"/>
        </w:rPr>
        <w:t>括</w:t>
      </w:r>
      <w:r>
        <w:rPr>
          <w:rFonts w:ascii="微软雅黑" w:eastAsia="微软雅黑"/>
          <w:b/>
          <w:spacing w:val="-2"/>
          <w:sz w:val="21"/>
        </w:rPr>
        <w:t>颅</w:t>
      </w:r>
      <w:r>
        <w:rPr>
          <w:rFonts w:ascii="微软雅黑" w:eastAsia="微软雅黑"/>
          <w:b/>
          <w:spacing w:val="-2"/>
          <w:sz w:val="21"/>
        </w:rPr>
        <w:t>骨</w:t>
      </w:r>
      <w:r>
        <w:rPr>
          <w:rFonts w:ascii="微软雅黑" w:eastAsia="微软雅黑"/>
          <w:b/>
          <w:spacing w:val="-2"/>
          <w:sz w:val="21"/>
        </w:rPr>
        <w:t>钻</w:t>
      </w:r>
      <w:r>
        <w:rPr>
          <w:rFonts w:ascii="微软雅黑" w:eastAsia="微软雅黑"/>
          <w:b/>
          <w:spacing w:val="-2"/>
          <w:sz w:val="21"/>
        </w:rPr>
        <w:t>孔</w:t>
      </w:r>
      <w:r>
        <w:rPr>
          <w:rFonts w:ascii="微软雅黑" w:eastAsia="微软雅黑"/>
          <w:b/>
          <w:spacing w:val="-2"/>
          <w:sz w:val="21"/>
        </w:rPr>
        <w:t>手</w:t>
      </w:r>
      <w:r>
        <w:rPr>
          <w:rFonts w:ascii="微软雅黑" w:eastAsia="微软雅黑"/>
          <w:b/>
          <w:spacing w:val="-2"/>
          <w:sz w:val="21"/>
        </w:rPr>
        <w:t>术</w:t>
      </w:r>
      <w:r>
        <w:rPr>
          <w:rFonts w:ascii="微软雅黑" w:eastAsia="微软雅黑"/>
          <w:b/>
          <w:spacing w:val="-2"/>
          <w:sz w:val="21"/>
        </w:rPr>
        <w:t>和</w:t>
      </w:r>
      <w:r>
        <w:rPr>
          <w:rFonts w:ascii="微软雅黑" w:eastAsia="微软雅黑"/>
          <w:b/>
          <w:spacing w:val="-2"/>
          <w:sz w:val="21"/>
        </w:rPr>
        <w:t>经</w:t>
      </w:r>
      <w:r>
        <w:rPr>
          <w:rFonts w:ascii="微软雅黑" w:eastAsia="微软雅黑"/>
          <w:b/>
          <w:spacing w:val="-2"/>
          <w:sz w:val="21"/>
        </w:rPr>
        <w:t>鼻</w:t>
      </w:r>
      <w:r>
        <w:rPr>
          <w:rFonts w:ascii="微软雅黑" w:eastAsia="微软雅黑"/>
          <w:b/>
          <w:spacing w:val="-2"/>
          <w:sz w:val="21"/>
        </w:rPr>
        <w:t>蝶</w:t>
      </w:r>
      <w:r>
        <w:rPr>
          <w:rFonts w:ascii="微软雅黑" w:eastAsia="微软雅黑"/>
          <w:b/>
          <w:spacing w:val="-2"/>
          <w:sz w:val="21"/>
        </w:rPr>
        <w:t>窦</w:t>
      </w:r>
      <w:r>
        <w:rPr>
          <w:rFonts w:ascii="微软雅黑" w:eastAsia="微软雅黑"/>
          <w:b/>
          <w:spacing w:val="-2"/>
          <w:sz w:val="21"/>
        </w:rPr>
        <w:t>入</w:t>
      </w:r>
      <w:r>
        <w:rPr>
          <w:rFonts w:ascii="微软雅黑" w:eastAsia="微软雅黑"/>
          <w:b/>
          <w:spacing w:val="-2"/>
          <w:sz w:val="21"/>
        </w:rPr>
        <w:t>颅</w:t>
      </w:r>
      <w:r>
        <w:rPr>
          <w:rFonts w:ascii="微软雅黑" w:eastAsia="微软雅黑"/>
          <w:b/>
          <w:spacing w:val="-4"/>
          <w:sz w:val="21"/>
        </w:rPr>
        <w:t>手</w:t>
      </w:r>
      <w:r>
        <w:rPr>
          <w:rFonts w:ascii="微软雅黑" w:eastAsia="微软雅黑"/>
          <w:b/>
          <w:spacing w:val="-4"/>
          <w:sz w:val="21"/>
        </w:rPr>
        <w:t>术</w:t>
      </w:r>
      <w:r>
        <w:rPr>
          <w:rFonts w:ascii="微软雅黑" w:eastAsia="微软雅黑"/>
          <w:b/>
          <w:spacing w:val="-4"/>
          <w:sz w:val="21"/>
        </w:rPr>
        <w:t>）</w:t>
      </w:r>
      <w:r>
        <w:rPr>
          <w:spacing w:val="-4"/>
          <w:sz w:val="21"/>
        </w:rPr>
        <w:t>。</w:t>
      </w:r>
    </w:p>
    <w:p>
      <w:pPr>
        <w:pStyle w:val="Heading2"/>
        <w:spacing w:line="327" w:lineRule="exact"/>
      </w:pPr>
      <w:r>
        <w:rPr>
          <w:spacing w:val="-3"/>
        </w:rPr>
        <w:t>因外伤而实施的脑外科手术不在保障范围之内。</w:t>
      </w:r>
    </w:p>
    <w:p>
      <w:pPr>
        <w:pStyle w:val="BodyText"/>
        <w:spacing w:line="265" w:lineRule="exact"/>
        <w:ind w:left="2960"/>
      </w:pPr>
      <w:r>
        <w:rPr>
          <w:spacing w:val="-3"/>
        </w:rPr>
        <w:t>理赔时必须提供由神经外科医生出具的诊断书及手术报告。</w:t>
      </w:r>
    </w:p>
    <w:p>
      <w:pPr>
        <w:pStyle w:val="BodyText"/>
        <w:spacing w:before="1"/>
        <w:rPr>
          <w:sz w:val="18"/>
        </w:rPr>
      </w:pPr>
    </w:p>
    <w:p>
      <w:pPr>
        <w:pStyle w:val="ListParagraph"/>
        <w:numPr>
          <w:ilvl w:val="2"/>
          <w:numId w:val="40"/>
        </w:numPr>
        <w:tabs>
          <w:tab w:pos="1399" w:val="left" w:leader="none"/>
          <w:tab w:pos="2960" w:val="left" w:leader="none"/>
        </w:tabs>
        <w:spacing w:line="312" w:lineRule="exact" w:before="0" w:after="0"/>
        <w:ind w:left="2960" w:right="562" w:hanging="1880"/>
        <w:jc w:val="left"/>
        <w:rPr>
          <w:sz w:val="21"/>
        </w:rPr>
      </w:pPr>
      <w:r>
        <w:rPr>
          <w:spacing w:val="-3"/>
          <w:w w:val="100"/>
          <w:sz w:val="21"/>
        </w:rPr>
        <w:t>骨</w:t>
      </w:r>
      <w:r>
        <w:rPr>
          <w:w w:val="100"/>
          <w:sz w:val="21"/>
        </w:rPr>
        <w:t>生</w:t>
      </w:r>
      <w:r>
        <w:rPr>
          <w:spacing w:val="-3"/>
          <w:w w:val="100"/>
          <w:sz w:val="21"/>
        </w:rPr>
        <w:t>长</w:t>
      </w:r>
      <w:r>
        <w:rPr>
          <w:w w:val="100"/>
          <w:sz w:val="21"/>
        </w:rPr>
        <w:t>不</w:t>
      </w:r>
      <w:r>
        <w:rPr>
          <w:spacing w:val="-3"/>
          <w:w w:val="100"/>
          <w:sz w:val="21"/>
        </w:rPr>
        <w:t>全</w:t>
      </w:r>
      <w:r>
        <w:rPr>
          <w:w w:val="100"/>
          <w:sz w:val="21"/>
        </w:rPr>
        <w:t>症</w:t>
      </w:r>
      <w:r>
        <w:rPr>
          <w:sz w:val="21"/>
        </w:rPr>
        <w:tab/>
      </w:r>
      <w:r>
        <w:rPr>
          <w:w w:val="100"/>
          <w:sz w:val="21"/>
        </w:rPr>
        <w:t>指一</w:t>
      </w:r>
      <w:r>
        <w:rPr>
          <w:spacing w:val="-3"/>
          <w:w w:val="100"/>
          <w:sz w:val="21"/>
        </w:rPr>
        <w:t>种</w:t>
      </w:r>
      <w:r>
        <w:rPr>
          <w:w w:val="100"/>
          <w:sz w:val="21"/>
        </w:rPr>
        <w:t>胶</w:t>
      </w:r>
      <w:r>
        <w:rPr>
          <w:spacing w:val="-3"/>
          <w:w w:val="100"/>
          <w:sz w:val="21"/>
        </w:rPr>
        <w:t>原病</w:t>
      </w:r>
      <w:r>
        <w:rPr>
          <w:w w:val="100"/>
          <w:sz w:val="21"/>
        </w:rPr>
        <w:t>，</w:t>
      </w:r>
      <w:r>
        <w:rPr>
          <w:spacing w:val="-3"/>
          <w:w w:val="100"/>
          <w:sz w:val="21"/>
        </w:rPr>
        <w:t>特</w:t>
      </w:r>
      <w:r>
        <w:rPr>
          <w:w w:val="100"/>
          <w:sz w:val="21"/>
        </w:rPr>
        <w:t>征</w:t>
      </w:r>
      <w:r>
        <w:rPr>
          <w:spacing w:val="-3"/>
          <w:w w:val="100"/>
          <w:sz w:val="21"/>
        </w:rPr>
        <w:t>为骨</w:t>
      </w:r>
      <w:r>
        <w:rPr>
          <w:w w:val="100"/>
          <w:sz w:val="21"/>
        </w:rPr>
        <w:t>易</w:t>
      </w:r>
      <w:r>
        <w:rPr>
          <w:spacing w:val="-3"/>
          <w:w w:val="100"/>
          <w:sz w:val="21"/>
        </w:rPr>
        <w:t>碎</w:t>
      </w:r>
      <w:r>
        <w:rPr>
          <w:w w:val="100"/>
          <w:sz w:val="21"/>
        </w:rPr>
        <w:t>，</w:t>
      </w:r>
      <w:r>
        <w:rPr>
          <w:spacing w:val="-3"/>
          <w:w w:val="100"/>
          <w:sz w:val="21"/>
        </w:rPr>
        <w:t>骨</w:t>
      </w:r>
      <w:r>
        <w:rPr>
          <w:w w:val="100"/>
          <w:sz w:val="21"/>
        </w:rPr>
        <w:t>质</w:t>
      </w:r>
      <w:r>
        <w:rPr>
          <w:spacing w:val="-3"/>
          <w:w w:val="100"/>
          <w:sz w:val="21"/>
        </w:rPr>
        <w:t>疏</w:t>
      </w:r>
      <w:r>
        <w:rPr>
          <w:w w:val="100"/>
          <w:sz w:val="21"/>
        </w:rPr>
        <w:t>松</w:t>
      </w:r>
      <w:r>
        <w:rPr>
          <w:spacing w:val="-3"/>
          <w:w w:val="100"/>
          <w:sz w:val="21"/>
        </w:rPr>
        <w:t>和</w:t>
      </w:r>
      <w:r>
        <w:rPr>
          <w:w w:val="100"/>
          <w:sz w:val="21"/>
        </w:rPr>
        <w:t>易</w:t>
      </w:r>
      <w:r>
        <w:rPr>
          <w:spacing w:val="-3"/>
          <w:w w:val="100"/>
          <w:sz w:val="21"/>
        </w:rPr>
        <w:t>骨折</w:t>
      </w:r>
      <w:r>
        <w:rPr>
          <w:w w:val="100"/>
          <w:sz w:val="21"/>
        </w:rPr>
        <w:t>。</w:t>
      </w:r>
      <w:r>
        <w:rPr>
          <w:spacing w:val="-3"/>
          <w:w w:val="100"/>
          <w:sz w:val="21"/>
        </w:rPr>
        <w:t>该</w:t>
      </w:r>
      <w:r>
        <w:rPr>
          <w:w w:val="100"/>
          <w:sz w:val="21"/>
        </w:rPr>
        <w:t>病有</w:t>
      </w:r>
      <w:r>
        <w:rPr>
          <w:spacing w:val="-55"/>
          <w:sz w:val="21"/>
        </w:rPr>
        <w:t> </w:t>
      </w:r>
      <w:r>
        <w:rPr>
          <w:w w:val="100"/>
          <w:sz w:val="21"/>
        </w:rPr>
        <w:t>4</w:t>
      </w:r>
      <w:r>
        <w:rPr>
          <w:spacing w:val="-53"/>
          <w:sz w:val="21"/>
        </w:rPr>
        <w:t> </w:t>
      </w:r>
      <w:r>
        <w:rPr>
          <w:spacing w:val="-3"/>
          <w:w w:val="100"/>
          <w:sz w:val="21"/>
        </w:rPr>
        <w:t>种</w:t>
      </w:r>
      <w:r>
        <w:rPr>
          <w:w w:val="100"/>
          <w:sz w:val="21"/>
        </w:rPr>
        <w:t>类</w:t>
      </w:r>
      <w:r>
        <w:rPr>
          <w:spacing w:val="-3"/>
          <w:w w:val="100"/>
          <w:sz w:val="21"/>
        </w:rPr>
        <w:t>型</w:t>
      </w:r>
      <w:r>
        <w:rPr>
          <w:w w:val="100"/>
          <w:sz w:val="21"/>
        </w:rPr>
        <w:t>：</w:t>
      </w:r>
      <w:r>
        <w:rPr>
          <w:spacing w:val="-3"/>
          <w:w w:val="100"/>
          <w:sz w:val="21"/>
        </w:rPr>
        <w:t>Ⅰ</w:t>
      </w:r>
      <w:r>
        <w:rPr>
          <w:w w:val="100"/>
          <w:sz w:val="21"/>
        </w:rPr>
        <w:t>型、 </w:t>
      </w:r>
      <w:r>
        <w:rPr>
          <w:spacing w:val="2"/>
          <w:w w:val="100"/>
          <w:sz w:val="21"/>
        </w:rPr>
        <w:t>Ⅱ型、Ⅲ</w:t>
      </w:r>
      <w:r>
        <w:rPr>
          <w:w w:val="100"/>
          <w:sz w:val="21"/>
        </w:rPr>
        <w:t>型</w:t>
      </w:r>
      <w:r>
        <w:rPr>
          <w:spacing w:val="2"/>
          <w:w w:val="100"/>
          <w:sz w:val="21"/>
        </w:rPr>
        <w:t>、Ⅳ</w:t>
      </w:r>
      <w:r>
        <w:rPr>
          <w:w w:val="100"/>
          <w:sz w:val="21"/>
        </w:rPr>
        <w:t>型</w:t>
      </w:r>
      <w:r>
        <w:rPr>
          <w:spacing w:val="1"/>
          <w:w w:val="100"/>
          <w:sz w:val="21"/>
        </w:rPr>
        <w:t>。</w:t>
      </w:r>
      <w:r>
        <w:rPr>
          <w:rFonts w:ascii="微软雅黑" w:hAnsi="微软雅黑" w:eastAsia="微软雅黑"/>
          <w:b/>
          <w:spacing w:val="2"/>
          <w:w w:val="100"/>
          <w:sz w:val="21"/>
        </w:rPr>
        <w:t>只保障Ⅲ型成骨不全的</w:t>
      </w:r>
      <w:r>
        <w:rPr>
          <w:rFonts w:ascii="微软雅黑" w:hAnsi="微软雅黑" w:eastAsia="微软雅黑"/>
          <w:b/>
          <w:spacing w:val="4"/>
          <w:w w:val="100"/>
          <w:sz w:val="21"/>
        </w:rPr>
        <w:t>情</w:t>
      </w:r>
      <w:r>
        <w:rPr>
          <w:rFonts w:ascii="微软雅黑" w:hAnsi="微软雅黑" w:eastAsia="微软雅黑"/>
          <w:b/>
          <w:spacing w:val="2"/>
          <w:w w:val="100"/>
          <w:sz w:val="21"/>
        </w:rPr>
        <w:t>形</w:t>
      </w:r>
      <w:r>
        <w:rPr>
          <w:rFonts w:ascii="微软雅黑" w:hAnsi="微软雅黑" w:eastAsia="微软雅黑"/>
          <w:b/>
          <w:spacing w:val="4"/>
          <w:w w:val="100"/>
          <w:sz w:val="21"/>
        </w:rPr>
        <w:t>。</w:t>
      </w:r>
      <w:r>
        <w:rPr>
          <w:spacing w:val="2"/>
          <w:w w:val="100"/>
          <w:sz w:val="21"/>
        </w:rPr>
        <w:t>其主要临</w:t>
      </w:r>
      <w:r>
        <w:rPr>
          <w:w w:val="100"/>
          <w:sz w:val="21"/>
        </w:rPr>
        <w:t>床</w:t>
      </w:r>
      <w:r>
        <w:rPr>
          <w:spacing w:val="2"/>
          <w:w w:val="100"/>
          <w:sz w:val="21"/>
        </w:rPr>
        <w:t>特点</w:t>
      </w:r>
      <w:r>
        <w:rPr>
          <w:w w:val="100"/>
          <w:sz w:val="21"/>
        </w:rPr>
        <w:t>有</w:t>
      </w:r>
      <w:r>
        <w:rPr>
          <w:spacing w:val="2"/>
          <w:w w:val="100"/>
          <w:sz w:val="21"/>
        </w:rPr>
        <w:t>：发</w:t>
      </w:r>
      <w:r>
        <w:rPr>
          <w:w w:val="100"/>
          <w:sz w:val="21"/>
        </w:rPr>
        <w:t>展</w:t>
      </w:r>
      <w:r>
        <w:rPr>
          <w:spacing w:val="2"/>
          <w:w w:val="100"/>
          <w:sz w:val="21"/>
        </w:rPr>
        <w:t>迟缓、多发性骨折</w:t>
      </w:r>
      <w:r>
        <w:rPr>
          <w:w w:val="100"/>
          <w:sz w:val="21"/>
        </w:rPr>
        <w:t>、</w:t>
      </w:r>
      <w:r>
        <w:rPr>
          <w:spacing w:val="2"/>
          <w:w w:val="100"/>
          <w:sz w:val="21"/>
        </w:rPr>
        <w:t>进</w:t>
      </w:r>
      <w:r>
        <w:rPr>
          <w:w w:val="100"/>
          <w:sz w:val="21"/>
        </w:rPr>
        <w:t>行</w:t>
      </w:r>
      <w:r>
        <w:rPr>
          <w:spacing w:val="2"/>
          <w:w w:val="100"/>
          <w:sz w:val="21"/>
        </w:rPr>
        <w:t>性脊柱后侧凸及听</w:t>
      </w:r>
      <w:r>
        <w:rPr>
          <w:w w:val="100"/>
          <w:sz w:val="21"/>
        </w:rPr>
        <w:t>力</w:t>
      </w:r>
      <w:r>
        <w:rPr>
          <w:spacing w:val="2"/>
          <w:w w:val="100"/>
          <w:sz w:val="21"/>
        </w:rPr>
        <w:t>损</w:t>
      </w:r>
      <w:r>
        <w:rPr>
          <w:w w:val="100"/>
          <w:sz w:val="21"/>
        </w:rPr>
        <w:t>害</w:t>
      </w:r>
      <w:r>
        <w:rPr>
          <w:spacing w:val="2"/>
          <w:w w:val="100"/>
          <w:sz w:val="21"/>
        </w:rPr>
        <w:t>。Ⅲ型成骨不全的</w:t>
      </w:r>
      <w:r>
        <w:rPr>
          <w:w w:val="100"/>
          <w:sz w:val="21"/>
        </w:rPr>
        <w:t>诊</w:t>
      </w:r>
      <w:r>
        <w:rPr>
          <w:spacing w:val="2"/>
          <w:w w:val="100"/>
          <w:sz w:val="21"/>
        </w:rPr>
        <w:t>断必</w:t>
      </w:r>
      <w:r>
        <w:rPr>
          <w:w w:val="100"/>
          <w:sz w:val="21"/>
        </w:rPr>
        <w:t>须根</w:t>
      </w:r>
      <w:r>
        <w:rPr>
          <w:spacing w:val="-3"/>
          <w:w w:val="100"/>
          <w:sz w:val="21"/>
        </w:rPr>
        <w:t>据</w:t>
      </w:r>
      <w:r>
        <w:rPr>
          <w:w w:val="100"/>
          <w:sz w:val="21"/>
        </w:rPr>
        <w:t>身</w:t>
      </w:r>
      <w:r>
        <w:rPr>
          <w:spacing w:val="-3"/>
          <w:w w:val="100"/>
          <w:sz w:val="21"/>
        </w:rPr>
        <w:t>体</w:t>
      </w:r>
      <w:r>
        <w:rPr>
          <w:w w:val="100"/>
          <w:sz w:val="21"/>
        </w:rPr>
        <w:t>检</w:t>
      </w:r>
      <w:r>
        <w:rPr>
          <w:spacing w:val="-3"/>
          <w:w w:val="100"/>
          <w:sz w:val="21"/>
        </w:rPr>
        <w:t>查</w:t>
      </w:r>
      <w:r>
        <w:rPr>
          <w:w w:val="100"/>
          <w:sz w:val="21"/>
        </w:rPr>
        <w:t>，</w:t>
      </w:r>
      <w:r>
        <w:rPr>
          <w:spacing w:val="-3"/>
          <w:w w:val="100"/>
          <w:sz w:val="21"/>
        </w:rPr>
        <w:t>家</w:t>
      </w:r>
      <w:r>
        <w:rPr>
          <w:w w:val="100"/>
          <w:sz w:val="21"/>
        </w:rPr>
        <w:t>族</w:t>
      </w:r>
      <w:r>
        <w:rPr>
          <w:spacing w:val="-3"/>
          <w:w w:val="100"/>
          <w:sz w:val="21"/>
        </w:rPr>
        <w:t>史</w:t>
      </w:r>
      <w:r>
        <w:rPr>
          <w:w w:val="100"/>
          <w:sz w:val="21"/>
        </w:rPr>
        <w:t>，X</w:t>
      </w:r>
      <w:r>
        <w:rPr>
          <w:spacing w:val="-53"/>
          <w:sz w:val="21"/>
        </w:rPr>
        <w:t> </w:t>
      </w:r>
      <w:r>
        <w:rPr>
          <w:spacing w:val="-3"/>
          <w:w w:val="100"/>
          <w:sz w:val="21"/>
        </w:rPr>
        <w:t>线</w:t>
      </w:r>
      <w:r>
        <w:rPr>
          <w:w w:val="100"/>
          <w:sz w:val="21"/>
        </w:rPr>
        <w:t>检</w:t>
      </w:r>
      <w:r>
        <w:rPr>
          <w:spacing w:val="-3"/>
          <w:w w:val="100"/>
          <w:sz w:val="21"/>
        </w:rPr>
        <w:t>查</w:t>
      </w:r>
      <w:r>
        <w:rPr>
          <w:w w:val="100"/>
          <w:sz w:val="21"/>
        </w:rPr>
        <w:t>和</w:t>
      </w:r>
      <w:r>
        <w:rPr>
          <w:spacing w:val="-3"/>
          <w:w w:val="100"/>
          <w:sz w:val="21"/>
        </w:rPr>
        <w:t>皮</w:t>
      </w:r>
      <w:r>
        <w:rPr>
          <w:w w:val="100"/>
          <w:sz w:val="21"/>
        </w:rPr>
        <w:t>肤</w:t>
      </w:r>
      <w:r>
        <w:rPr>
          <w:spacing w:val="-3"/>
          <w:w w:val="100"/>
          <w:sz w:val="21"/>
        </w:rPr>
        <w:t>活</w:t>
      </w:r>
      <w:r>
        <w:rPr>
          <w:w w:val="100"/>
          <w:sz w:val="21"/>
        </w:rPr>
        <w:t>检</w:t>
      </w:r>
      <w:r>
        <w:rPr>
          <w:spacing w:val="-3"/>
          <w:w w:val="100"/>
          <w:sz w:val="21"/>
        </w:rPr>
        <w:t>报</w:t>
      </w:r>
      <w:r>
        <w:rPr>
          <w:w w:val="100"/>
          <w:sz w:val="21"/>
        </w:rPr>
        <w:t>告资</w:t>
      </w:r>
      <w:r>
        <w:rPr>
          <w:spacing w:val="-3"/>
          <w:w w:val="100"/>
          <w:sz w:val="21"/>
        </w:rPr>
        <w:t>料</w:t>
      </w:r>
      <w:r>
        <w:rPr>
          <w:w w:val="100"/>
          <w:sz w:val="21"/>
        </w:rPr>
        <w:t>确</w:t>
      </w:r>
      <w:r>
        <w:rPr>
          <w:spacing w:val="-3"/>
          <w:w w:val="100"/>
          <w:sz w:val="21"/>
        </w:rPr>
        <w:t>诊</w:t>
      </w:r>
      <w:r>
        <w:rPr>
          <w:w w:val="100"/>
          <w:sz w:val="21"/>
        </w:rPr>
        <w:t>。</w:t>
      </w:r>
    </w:p>
    <w:p>
      <w:pPr>
        <w:spacing w:after="0" w:line="312" w:lineRule="exact"/>
        <w:jc w:val="left"/>
        <w:rPr>
          <w:sz w:val="21"/>
        </w:rPr>
        <w:sectPr>
          <w:type w:val="continuous"/>
          <w:pgSz w:w="11910" w:h="16840"/>
          <w:pgMar w:header="0" w:footer="406" w:top="600" w:bottom="280" w:left="900" w:right="340"/>
        </w:sectPr>
      </w:pPr>
    </w:p>
    <w:p>
      <w:pPr>
        <w:pStyle w:val="Heading2"/>
        <w:spacing w:line="194" w:lineRule="auto" w:before="42"/>
        <w:ind w:right="563"/>
      </w:pPr>
      <w:r>
        <w:rPr>
          <w:spacing w:val="-2"/>
        </w:rPr>
        <w:t>本公司承担本项疾病责任不受本合同责任免除中“遗传性疾病，先天性畸形、</w:t>
      </w:r>
      <w:r>
        <w:rPr>
          <w:spacing w:val="-2"/>
        </w:rPr>
        <w:t>变形或染色体异常”的限制。</w:t>
      </w:r>
    </w:p>
    <w:p>
      <w:pPr>
        <w:pStyle w:val="BodyText"/>
        <w:rPr>
          <w:rFonts w:ascii="微软雅黑"/>
          <w:b/>
          <w:sz w:val="13"/>
        </w:rPr>
      </w:pPr>
    </w:p>
    <w:p>
      <w:pPr>
        <w:pStyle w:val="ListParagraph"/>
        <w:numPr>
          <w:ilvl w:val="2"/>
          <w:numId w:val="40"/>
        </w:numPr>
        <w:tabs>
          <w:tab w:pos="1399" w:val="left" w:leader="none"/>
        </w:tabs>
        <w:spacing w:line="278" w:lineRule="auto" w:before="1" w:after="0"/>
        <w:ind w:left="2960" w:right="667" w:hanging="1880"/>
        <w:jc w:val="both"/>
        <w:rPr>
          <w:sz w:val="21"/>
        </w:rPr>
      </w:pPr>
      <w:r>
        <w:rPr>
          <w:sz w:val="21"/>
        </w:rPr>
        <w:t>严重癫痫</w:t>
      </w:r>
      <w:r>
        <w:rPr>
          <w:spacing w:val="617"/>
          <w:sz w:val="21"/>
        </w:rPr>
        <w:t> </w:t>
      </w:r>
      <w:r>
        <w:rPr>
          <w:sz w:val="21"/>
        </w:rPr>
        <w:t>严重癫痫的诊断须在本公司认可的医疗机构内由神经科或儿科专科医生根据</w:t>
      </w:r>
      <w:r>
        <w:rPr>
          <w:spacing w:val="-5"/>
          <w:sz w:val="21"/>
        </w:rPr>
        <w:t>典型临床症状和脑电图及 </w:t>
      </w:r>
      <w:r>
        <w:rPr>
          <w:sz w:val="21"/>
        </w:rPr>
        <w:t>MRI、PET、CT</w:t>
      </w:r>
      <w:r>
        <w:rPr>
          <w:spacing w:val="-8"/>
          <w:sz w:val="21"/>
        </w:rPr>
        <w:t> 等影像学检查做出。理赔时必须提供</w:t>
      </w:r>
    </w:p>
    <w:p>
      <w:pPr>
        <w:pStyle w:val="BodyText"/>
        <w:spacing w:line="278" w:lineRule="auto"/>
        <w:ind w:left="2960" w:right="667"/>
        <w:jc w:val="both"/>
      </w:pPr>
      <w:r>
        <w:rPr/>
        <w:t>6 个月以上的相关病历记录证明被保险人存在经抗癫痫药物治疗无效而反复</w:t>
      </w:r>
      <w:r>
        <w:rPr>
          <w:spacing w:val="-2"/>
        </w:rPr>
        <w:t>发作的强直阵挛性发作或癫痫大发作，且已行神经外科手术以治疗反复发作</w:t>
      </w:r>
      <w:r>
        <w:rPr>
          <w:spacing w:val="-4"/>
        </w:rPr>
        <w:t>的癫痫。</w:t>
      </w:r>
    </w:p>
    <w:p>
      <w:pPr>
        <w:pStyle w:val="Heading2"/>
        <w:spacing w:line="320" w:lineRule="exact"/>
      </w:pPr>
      <w:r>
        <w:rPr>
          <w:spacing w:val="-2"/>
        </w:rPr>
        <w:t>发热性惊厥以及没有全身性发作的失神发作（癫痫小发作）</w:t>
      </w:r>
      <w:r>
        <w:rPr>
          <w:spacing w:val="-4"/>
        </w:rPr>
        <w:t>不在保障范围内。</w:t>
      </w:r>
    </w:p>
    <w:p>
      <w:pPr>
        <w:pStyle w:val="BodyText"/>
        <w:spacing w:before="17"/>
        <w:rPr>
          <w:rFonts w:ascii="微软雅黑"/>
          <w:b/>
          <w:sz w:val="11"/>
        </w:rPr>
      </w:pPr>
    </w:p>
    <w:p>
      <w:pPr>
        <w:pStyle w:val="ListParagraph"/>
        <w:numPr>
          <w:ilvl w:val="2"/>
          <w:numId w:val="40"/>
        </w:numPr>
        <w:tabs>
          <w:tab w:pos="1399" w:val="left" w:leader="none"/>
        </w:tabs>
        <w:spacing w:line="278" w:lineRule="auto" w:before="0" w:after="0"/>
        <w:ind w:left="2960" w:right="666" w:hanging="1880"/>
        <w:jc w:val="both"/>
        <w:rPr>
          <w:sz w:val="21"/>
        </w:rPr>
      </w:pPr>
      <w:r>
        <w:rPr>
          <w:spacing w:val="-1"/>
          <w:sz w:val="21"/>
        </w:rPr>
        <w:t>独立能力丧失 是指在本公司认可的医疗机构内由专科医生确认被保险人已持续 </w:t>
      </w:r>
      <w:r>
        <w:rPr>
          <w:sz w:val="21"/>
        </w:rPr>
        <w:t>180</w:t>
      </w:r>
      <w:r>
        <w:rPr>
          <w:spacing w:val="-3"/>
          <w:sz w:val="21"/>
        </w:rPr>
        <w:t> 天无法</w:t>
      </w:r>
      <w:r>
        <w:rPr>
          <w:spacing w:val="-2"/>
          <w:sz w:val="21"/>
        </w:rPr>
        <w:t>独立完成六项基本日常生活活动中的三项或三项以上。</w:t>
      </w:r>
    </w:p>
    <w:p>
      <w:pPr>
        <w:pStyle w:val="Heading2"/>
        <w:spacing w:line="282" w:lineRule="exact"/>
      </w:pPr>
      <w:r>
        <w:rPr>
          <w:w w:val="95"/>
        </w:rPr>
        <w:t>被</w:t>
      </w:r>
      <w:r>
        <w:rPr>
          <w:w w:val="95"/>
        </w:rPr>
        <w:t>保</w:t>
      </w:r>
      <w:r>
        <w:rPr>
          <w:w w:val="95"/>
        </w:rPr>
        <w:t>险</w:t>
      </w:r>
      <w:r>
        <w:rPr>
          <w:w w:val="95"/>
        </w:rPr>
        <w:t>人</w:t>
      </w:r>
      <w:r>
        <w:rPr>
          <w:w w:val="95"/>
        </w:rPr>
        <w:t>首</w:t>
      </w:r>
      <w:r>
        <w:rPr>
          <w:w w:val="95"/>
        </w:rPr>
        <w:t>次</w:t>
      </w:r>
      <w:r>
        <w:rPr>
          <w:w w:val="95"/>
        </w:rPr>
        <w:t>被</w:t>
      </w:r>
      <w:r>
        <w:rPr>
          <w:w w:val="95"/>
        </w:rPr>
        <w:t>确</w:t>
      </w:r>
      <w:r>
        <w:rPr>
          <w:w w:val="95"/>
        </w:rPr>
        <w:t>诊罹患</w:t>
      </w:r>
      <w:r>
        <w:rPr>
          <w:w w:val="95"/>
        </w:rPr>
        <w:t>本</w:t>
      </w:r>
      <w:r>
        <w:rPr>
          <w:w w:val="95"/>
        </w:rPr>
        <w:t>项</w:t>
      </w:r>
      <w:r>
        <w:rPr>
          <w:w w:val="95"/>
        </w:rPr>
        <w:t>疾</w:t>
      </w:r>
      <w:r>
        <w:rPr>
          <w:w w:val="95"/>
        </w:rPr>
        <w:t>病</w:t>
      </w:r>
      <w:r>
        <w:rPr>
          <w:w w:val="95"/>
        </w:rPr>
        <w:t>时</w:t>
      </w:r>
      <w:r>
        <w:rPr>
          <w:w w:val="95"/>
        </w:rPr>
        <w:t>的</w:t>
      </w:r>
      <w:r>
        <w:rPr>
          <w:w w:val="95"/>
        </w:rPr>
        <w:t>年</w:t>
      </w:r>
      <w:r>
        <w:rPr>
          <w:w w:val="95"/>
        </w:rPr>
        <w:t>龄</w:t>
      </w:r>
      <w:r>
        <w:rPr>
          <w:w w:val="95"/>
        </w:rPr>
        <w:t>必</w:t>
      </w:r>
      <w:r>
        <w:rPr>
          <w:w w:val="95"/>
        </w:rPr>
        <w:t>须</w:t>
      </w:r>
      <w:r>
        <w:rPr>
          <w:w w:val="95"/>
        </w:rPr>
        <w:t>在</w:t>
      </w:r>
      <w:r>
        <w:rPr>
          <w:spacing w:val="60"/>
        </w:rPr>
        <w:t> </w:t>
      </w:r>
      <w:r>
        <w:rPr>
          <w:w w:val="95"/>
        </w:rPr>
        <w:t>18</w:t>
      </w:r>
      <w:r>
        <w:rPr>
          <w:spacing w:val="66"/>
        </w:rPr>
        <w:t> </w:t>
      </w:r>
      <w:r>
        <w:rPr>
          <w:w w:val="95"/>
        </w:rPr>
        <w:t>周</w:t>
      </w:r>
      <w:r>
        <w:rPr>
          <w:w w:val="95"/>
        </w:rPr>
        <w:t>岁</w:t>
      </w:r>
      <w:r>
        <w:rPr>
          <w:w w:val="95"/>
        </w:rPr>
        <w:t>至</w:t>
      </w:r>
      <w:r>
        <w:rPr>
          <w:spacing w:val="64"/>
        </w:rPr>
        <w:t> </w:t>
      </w:r>
      <w:r>
        <w:rPr>
          <w:w w:val="95"/>
        </w:rPr>
        <w:t>74</w:t>
      </w:r>
      <w:r>
        <w:rPr>
          <w:spacing w:val="64"/>
        </w:rPr>
        <w:t> </w:t>
      </w:r>
      <w:r>
        <w:rPr>
          <w:w w:val="95"/>
        </w:rPr>
        <w:t>周</w:t>
      </w:r>
      <w:r>
        <w:rPr>
          <w:w w:val="95"/>
        </w:rPr>
        <w:t>岁</w:t>
      </w:r>
      <w:r>
        <w:rPr>
          <w:w w:val="95"/>
        </w:rPr>
        <w:t>之</w:t>
      </w:r>
      <w:r>
        <w:rPr>
          <w:w w:val="95"/>
        </w:rPr>
        <w:t>间</w:t>
      </w:r>
      <w:r>
        <w:rPr>
          <w:spacing w:val="-10"/>
          <w:w w:val="95"/>
        </w:rPr>
        <w:t>。</w:t>
      </w:r>
    </w:p>
    <w:p>
      <w:pPr>
        <w:spacing w:line="350" w:lineRule="exact" w:before="0"/>
        <w:ind w:left="2960" w:right="0" w:firstLine="0"/>
        <w:jc w:val="left"/>
        <w:rPr>
          <w:rFonts w:ascii="微软雅黑" w:eastAsia="微软雅黑"/>
          <w:b/>
          <w:sz w:val="21"/>
        </w:rPr>
      </w:pPr>
      <w:r>
        <w:rPr>
          <w:rFonts w:ascii="微软雅黑" w:eastAsia="微软雅黑"/>
          <w:b/>
          <w:spacing w:val="-3"/>
          <w:sz w:val="21"/>
        </w:rPr>
        <w:t>所有与精神病有关的疾病原因均不属于本项保障范围内。</w:t>
      </w:r>
    </w:p>
    <w:p>
      <w:pPr>
        <w:pStyle w:val="BodyText"/>
        <w:spacing w:before="17"/>
        <w:rPr>
          <w:rFonts w:ascii="微软雅黑"/>
          <w:b/>
          <w:sz w:val="7"/>
        </w:rPr>
      </w:pPr>
    </w:p>
    <w:p>
      <w:pPr>
        <w:spacing w:after="0"/>
        <w:rPr>
          <w:rFonts w:ascii="微软雅黑"/>
          <w:sz w:val="7"/>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肌萎缩脊髓侧</w:t>
      </w:r>
      <w:r>
        <w:rPr>
          <w:spacing w:val="-2"/>
          <w:sz w:val="21"/>
        </w:rPr>
        <w:t>索硬化后遗症</w:t>
      </w:r>
    </w:p>
    <w:p>
      <w:pPr>
        <w:pStyle w:val="BodyText"/>
        <w:spacing w:line="278" w:lineRule="auto" w:before="72"/>
        <w:ind w:left="175" w:right="560"/>
      </w:pPr>
      <w:r>
        <w:rPr/>
        <w:br w:type="column"/>
      </w:r>
      <w:r>
        <w:rPr>
          <w:spacing w:val="-3"/>
          <w:w w:val="100"/>
        </w:rPr>
        <w:t>以肌肉无力及萎缩为特征，并有以下情况作为证明：脊髓前角细胞功能失调、</w:t>
      </w:r>
      <w:r>
        <w:rPr>
          <w:w w:val="100"/>
        </w:rPr>
        <w:t>可见的肌肉颤动、痉挛、过度活跃之深层肌腱反射和外部足底反射、影响皮质脊髓束、构音障碍及吞咽困难。必须在本公司认可的医疗机构内由专科医</w:t>
      </w:r>
      <w:r>
        <w:rPr>
          <w:spacing w:val="-3"/>
          <w:w w:val="100"/>
        </w:rPr>
        <w:t>生以适当的神经肌肉检查如肌电图</w:t>
      </w:r>
      <w:r>
        <w:rPr>
          <w:spacing w:val="-1"/>
          <w:w w:val="100"/>
        </w:rPr>
        <w:t>（</w:t>
      </w:r>
      <w:r>
        <w:rPr>
          <w:w w:val="100"/>
        </w:rPr>
        <w:t>EM</w:t>
      </w:r>
      <w:r>
        <w:rPr>
          <w:spacing w:val="-3"/>
          <w:w w:val="100"/>
        </w:rPr>
        <w:t>G）证实。本疾病必须导致严重的生理</w:t>
      </w:r>
      <w:r>
        <w:rPr>
          <w:spacing w:val="2"/>
          <w:w w:val="100"/>
        </w:rPr>
        <w:t>功能损坏（</w:t>
      </w:r>
      <w:r>
        <w:rPr>
          <w:w w:val="100"/>
        </w:rPr>
        <w:t>由被保险人永久性无法独立完成六项基本日常生活活动中的三项</w:t>
      </w:r>
      <w:r>
        <w:rPr>
          <w:spacing w:val="-3"/>
          <w:w w:val="100"/>
        </w:rPr>
        <w:t>或三项以上作为证明</w:t>
      </w:r>
      <w:r>
        <w:rPr>
          <w:w w:val="100"/>
        </w:rPr>
        <w:t>）。</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严重结核性脑</w:t>
      </w:r>
      <w:r>
        <w:rPr>
          <w:spacing w:val="-6"/>
          <w:sz w:val="21"/>
        </w:rPr>
        <w:t>膜炎</w:t>
      </w:r>
    </w:p>
    <w:p>
      <w:pPr>
        <w:pStyle w:val="BodyText"/>
        <w:spacing w:line="278" w:lineRule="auto" w:before="72"/>
        <w:ind w:left="175" w:right="667"/>
      </w:pPr>
      <w:r>
        <w:rPr/>
        <w:br w:type="column"/>
      </w:r>
      <w:r>
        <w:rPr>
          <w:spacing w:val="-2"/>
        </w:rPr>
        <w:t>指由结核杆菌引起的脑膜和脊膜的非化脓性炎症性疾病。需满足以下全部条</w:t>
      </w:r>
      <w:r>
        <w:rPr>
          <w:spacing w:val="-6"/>
        </w:rPr>
        <w:t>件：</w:t>
      </w:r>
    </w:p>
    <w:p>
      <w:pPr>
        <w:pStyle w:val="ListParagraph"/>
        <w:numPr>
          <w:ilvl w:val="0"/>
          <w:numId w:val="74"/>
        </w:numPr>
        <w:tabs>
          <w:tab w:pos="705" w:val="left" w:leader="none"/>
        </w:tabs>
        <w:spacing w:line="269" w:lineRule="exact" w:before="0" w:after="0"/>
        <w:ind w:left="704" w:right="0" w:hanging="530"/>
        <w:jc w:val="left"/>
        <w:rPr>
          <w:sz w:val="21"/>
        </w:rPr>
      </w:pPr>
      <w:r>
        <w:rPr>
          <w:spacing w:val="-3"/>
          <w:sz w:val="21"/>
        </w:rPr>
        <w:t>出现颅内压明显增高，表现头痛、呕吐和视乳头水肿；</w:t>
      </w:r>
    </w:p>
    <w:p>
      <w:pPr>
        <w:pStyle w:val="ListParagraph"/>
        <w:numPr>
          <w:ilvl w:val="0"/>
          <w:numId w:val="74"/>
        </w:numPr>
        <w:tabs>
          <w:tab w:pos="705" w:val="left" w:leader="none"/>
        </w:tabs>
        <w:spacing w:line="240" w:lineRule="auto" w:before="42" w:after="0"/>
        <w:ind w:left="704" w:right="0" w:hanging="530"/>
        <w:jc w:val="left"/>
        <w:rPr>
          <w:sz w:val="21"/>
        </w:rPr>
      </w:pPr>
      <w:r>
        <w:rPr>
          <w:spacing w:val="-3"/>
          <w:sz w:val="21"/>
        </w:rPr>
        <w:t>出现部分性、全身性癫痫发作或癫痫持续状态；</w:t>
      </w:r>
    </w:p>
    <w:p>
      <w:pPr>
        <w:pStyle w:val="ListParagraph"/>
        <w:numPr>
          <w:ilvl w:val="0"/>
          <w:numId w:val="74"/>
        </w:numPr>
        <w:tabs>
          <w:tab w:pos="705" w:val="left" w:leader="none"/>
        </w:tabs>
        <w:spacing w:line="240" w:lineRule="auto" w:before="43" w:after="0"/>
        <w:ind w:left="704" w:right="0" w:hanging="530"/>
        <w:jc w:val="left"/>
        <w:rPr>
          <w:sz w:val="21"/>
        </w:rPr>
      </w:pPr>
      <w:r>
        <w:rPr>
          <w:spacing w:val="-4"/>
          <w:sz w:val="21"/>
        </w:rPr>
        <w:t>昏睡或意识模糊；</w:t>
      </w:r>
    </w:p>
    <w:p>
      <w:pPr>
        <w:pStyle w:val="ListParagraph"/>
        <w:numPr>
          <w:ilvl w:val="0"/>
          <w:numId w:val="74"/>
        </w:numPr>
        <w:tabs>
          <w:tab w:pos="705" w:val="left" w:leader="none"/>
        </w:tabs>
        <w:spacing w:line="240" w:lineRule="auto" w:before="44" w:after="0"/>
        <w:ind w:left="704"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4"/>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进行性多灶性</w:t>
      </w:r>
      <w:r>
        <w:rPr>
          <w:spacing w:val="-4"/>
          <w:sz w:val="21"/>
        </w:rPr>
        <w:t>白质脑病</w:t>
      </w:r>
    </w:p>
    <w:p>
      <w:pPr>
        <w:pStyle w:val="BodyText"/>
        <w:spacing w:line="278" w:lineRule="auto" w:before="72"/>
        <w:ind w:left="175" w:right="667"/>
      </w:pPr>
      <w:r>
        <w:rPr/>
        <w:br w:type="column"/>
      </w:r>
      <w:r>
        <w:rPr>
          <w:spacing w:val="-2"/>
        </w:rPr>
        <w:t>是一种亚急性脱髓鞘性脑病，常常发现于免疫缺陷的病人。必须由神经科专</w:t>
      </w:r>
      <w:r>
        <w:rPr>
          <w:spacing w:val="-2"/>
        </w:rPr>
        <w:t>科医生根据脑组织活检确诊。</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严重脊髓小脑</w:t>
      </w:r>
      <w:r>
        <w:rPr>
          <w:spacing w:val="-4"/>
          <w:sz w:val="21"/>
        </w:rPr>
        <w:t>变性症</w:t>
      </w:r>
    </w:p>
    <w:p>
      <w:pPr>
        <w:pStyle w:val="BodyText"/>
        <w:spacing w:line="278" w:lineRule="auto" w:before="72"/>
        <w:ind w:left="175" w:right="667"/>
      </w:pPr>
      <w:r>
        <w:rPr/>
        <w:br w:type="column"/>
      </w:r>
      <w:r>
        <w:rPr>
          <w:spacing w:val="-2"/>
        </w:rPr>
        <w:t>严重脊髓小脑变性症为一组以小脑萎缩和共济失调为主要临床特点的疾病。</w:t>
      </w:r>
      <w:r>
        <w:rPr>
          <w:spacing w:val="-2"/>
        </w:rPr>
        <w:t>必须符合所有以下条件：</w:t>
      </w:r>
    </w:p>
    <w:p>
      <w:pPr>
        <w:pStyle w:val="ListParagraph"/>
        <w:numPr>
          <w:ilvl w:val="0"/>
          <w:numId w:val="75"/>
        </w:numPr>
        <w:tabs>
          <w:tab w:pos="705" w:val="left" w:leader="none"/>
        </w:tabs>
        <w:spacing w:line="269" w:lineRule="exact" w:before="0" w:after="0"/>
        <w:ind w:left="704" w:right="0" w:hanging="530"/>
        <w:jc w:val="left"/>
        <w:rPr>
          <w:sz w:val="21"/>
        </w:rPr>
      </w:pPr>
      <w:r>
        <w:rPr>
          <w:spacing w:val="-3"/>
          <w:sz w:val="21"/>
        </w:rPr>
        <w:t>脊髓小脑变性症必须由医院诊断，并有以下证据支持：</w:t>
      </w:r>
    </w:p>
    <w:p>
      <w:pPr>
        <w:pStyle w:val="BodyText"/>
        <w:spacing w:before="43"/>
        <w:ind w:left="700"/>
      </w:pPr>
      <w:r>
        <w:rPr>
          <w:spacing w:val="-6"/>
        </w:rPr>
        <w:t>① 影像学检查证实存在小脑萎缩；</w:t>
      </w:r>
    </w:p>
    <w:p>
      <w:pPr>
        <w:pStyle w:val="BodyText"/>
        <w:spacing w:before="43"/>
        <w:ind w:left="700"/>
      </w:pPr>
      <w:r>
        <w:rPr>
          <w:spacing w:val="-3"/>
        </w:rPr>
        <w:t>② 临床表现存在共济失调、语言障碍和肌张力异常。</w:t>
      </w:r>
    </w:p>
    <w:p>
      <w:pPr>
        <w:pStyle w:val="ListParagraph"/>
        <w:numPr>
          <w:ilvl w:val="0"/>
          <w:numId w:val="75"/>
        </w:numPr>
        <w:tabs>
          <w:tab w:pos="702" w:val="left" w:leader="none"/>
        </w:tabs>
        <w:spacing w:line="278" w:lineRule="auto" w:before="43" w:after="0"/>
        <w:ind w:left="700" w:right="668" w:hanging="526"/>
        <w:jc w:val="left"/>
        <w:rPr>
          <w:sz w:val="21"/>
        </w:rPr>
      </w:pPr>
      <w:r>
        <w:rPr>
          <w:spacing w:val="-2"/>
          <w:sz w:val="21"/>
        </w:rPr>
        <w:t>被保险人运动功能严重障碍，自主生活能力完全丧失，无法独立完成六</w:t>
      </w:r>
      <w:r>
        <w:rPr>
          <w:spacing w:val="-2"/>
          <w:sz w:val="21"/>
        </w:rPr>
        <w:t>项基本日常生活活动中的三项或三项以上。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3"/>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婴儿进行性脊</w:t>
      </w:r>
      <w:r>
        <w:rPr>
          <w:spacing w:val="-4"/>
          <w:sz w:val="21"/>
        </w:rPr>
        <w:t>肌萎缩症</w:t>
      </w:r>
    </w:p>
    <w:p>
      <w:pPr>
        <w:pStyle w:val="BodyText"/>
        <w:spacing w:line="278" w:lineRule="auto" w:before="72"/>
        <w:ind w:left="175" w:right="667"/>
        <w:jc w:val="both"/>
      </w:pPr>
      <w:r>
        <w:rPr/>
        <w:br w:type="column"/>
      </w:r>
      <w:r>
        <w:rPr>
          <w:spacing w:val="-2"/>
        </w:rPr>
        <w:t>该病是累及脊髓前角细胞及延髓运动核的神经元退行性变性病。在出生后两</w:t>
      </w:r>
      <w:r>
        <w:rPr>
          <w:spacing w:val="-2"/>
        </w:rPr>
        <w:t>年内出现的脊髓和脑干颅神经前角细胞进行性机能障碍，伴随肌肉无力和延</w:t>
      </w:r>
      <w:r>
        <w:rPr>
          <w:spacing w:val="-2"/>
        </w:rPr>
        <w:t>髓机能障碍。理赔时必须提供肌肉活检的病理报告。</w:t>
      </w:r>
    </w:p>
    <w:p>
      <w:pPr>
        <w:spacing w:line="282" w:lineRule="exact" w:before="0"/>
        <w:ind w:left="175" w:right="0" w:firstLine="0"/>
        <w:jc w:val="left"/>
        <w:rPr>
          <w:rFonts w:ascii="微软雅黑" w:hAnsi="微软雅黑" w:eastAsia="微软雅黑"/>
          <w:b/>
          <w:sz w:val="21"/>
        </w:rPr>
      </w:pPr>
      <w:r>
        <w:rPr>
          <w:rFonts w:ascii="微软雅黑" w:hAnsi="微软雅黑" w:eastAsia="微软雅黑"/>
          <w:b/>
          <w:spacing w:val="-1"/>
          <w:sz w:val="21"/>
        </w:rPr>
        <w:t>其他类型的脊肌萎缩症如Ⅱ型中间型进行性脊肌萎缩症、Ⅲ型少年性脊肌萎</w:t>
      </w:r>
    </w:p>
    <w:p>
      <w:pPr>
        <w:spacing w:line="312" w:lineRule="exact" w:before="0"/>
        <w:ind w:left="175" w:right="0" w:firstLine="0"/>
        <w:jc w:val="left"/>
        <w:rPr>
          <w:rFonts w:ascii="微软雅黑" w:eastAsia="微软雅黑"/>
          <w:b/>
          <w:sz w:val="21"/>
        </w:rPr>
      </w:pPr>
      <w:r>
        <w:rPr>
          <w:rFonts w:ascii="微软雅黑" w:eastAsia="微软雅黑"/>
          <w:b/>
          <w:w w:val="90"/>
          <w:sz w:val="21"/>
        </w:rPr>
        <w:t>缩</w:t>
      </w:r>
      <w:r>
        <w:rPr>
          <w:rFonts w:ascii="微软雅黑" w:eastAsia="微软雅黑"/>
          <w:b/>
          <w:w w:val="90"/>
          <w:sz w:val="21"/>
        </w:rPr>
        <w:t>症</w:t>
      </w:r>
      <w:r>
        <w:rPr>
          <w:rFonts w:ascii="微软雅黑" w:eastAsia="微软雅黑"/>
          <w:b/>
          <w:w w:val="90"/>
          <w:sz w:val="21"/>
        </w:rPr>
        <w:t>（Kugelberg-Welander</w:t>
      </w:r>
      <w:r>
        <w:rPr>
          <w:rFonts w:ascii="微软雅黑" w:eastAsia="微软雅黑"/>
          <w:b/>
          <w:spacing w:val="59"/>
          <w:sz w:val="21"/>
        </w:rPr>
        <w:t>  </w:t>
      </w:r>
      <w:r>
        <w:rPr>
          <w:rFonts w:ascii="微软雅黑" w:eastAsia="微软雅黑"/>
          <w:b/>
          <w:w w:val="90"/>
          <w:sz w:val="21"/>
        </w:rPr>
        <w:t>氏</w:t>
      </w:r>
      <w:r>
        <w:rPr>
          <w:rFonts w:ascii="微软雅黑" w:eastAsia="微软雅黑"/>
          <w:b/>
          <w:w w:val="90"/>
          <w:sz w:val="21"/>
        </w:rPr>
        <w:t>病</w:t>
      </w:r>
      <w:r>
        <w:rPr>
          <w:rFonts w:ascii="微软雅黑" w:eastAsia="微软雅黑"/>
          <w:b/>
          <w:w w:val="90"/>
          <w:sz w:val="21"/>
        </w:rPr>
        <w:t>）</w:t>
      </w:r>
      <w:r>
        <w:rPr>
          <w:rFonts w:ascii="微软雅黑" w:eastAsia="微软雅黑"/>
          <w:b/>
          <w:w w:val="90"/>
          <w:sz w:val="21"/>
        </w:rPr>
        <w:t>不</w:t>
      </w:r>
      <w:r>
        <w:rPr>
          <w:rFonts w:ascii="微软雅黑" w:eastAsia="微软雅黑"/>
          <w:b/>
          <w:w w:val="90"/>
          <w:sz w:val="21"/>
        </w:rPr>
        <w:t>在</w:t>
      </w:r>
      <w:r>
        <w:rPr>
          <w:rFonts w:ascii="微软雅黑" w:eastAsia="微软雅黑"/>
          <w:b/>
          <w:w w:val="90"/>
          <w:sz w:val="21"/>
        </w:rPr>
        <w:t>本</w:t>
      </w:r>
      <w:r>
        <w:rPr>
          <w:rFonts w:ascii="微软雅黑" w:eastAsia="微软雅黑"/>
          <w:b/>
          <w:w w:val="90"/>
          <w:sz w:val="21"/>
        </w:rPr>
        <w:t>保</w:t>
      </w:r>
      <w:r>
        <w:rPr>
          <w:rFonts w:ascii="微软雅黑" w:eastAsia="微软雅黑"/>
          <w:b/>
          <w:w w:val="90"/>
          <w:sz w:val="21"/>
        </w:rPr>
        <w:t>障</w:t>
      </w:r>
      <w:r>
        <w:rPr>
          <w:rFonts w:ascii="微软雅黑" w:eastAsia="微软雅黑"/>
          <w:b/>
          <w:w w:val="90"/>
          <w:sz w:val="21"/>
        </w:rPr>
        <w:t>范</w:t>
      </w:r>
      <w:r>
        <w:rPr>
          <w:rFonts w:ascii="微软雅黑" w:eastAsia="微软雅黑"/>
          <w:b/>
          <w:w w:val="90"/>
          <w:sz w:val="21"/>
        </w:rPr>
        <w:t>围</w:t>
      </w:r>
      <w:r>
        <w:rPr>
          <w:rFonts w:ascii="微软雅黑" w:eastAsia="微软雅黑"/>
          <w:b/>
          <w:w w:val="90"/>
          <w:sz w:val="21"/>
        </w:rPr>
        <w:t>内</w:t>
      </w:r>
      <w:r>
        <w:rPr>
          <w:rFonts w:ascii="微软雅黑" w:eastAsia="微软雅黑"/>
          <w:b/>
          <w:spacing w:val="-10"/>
          <w:w w:val="90"/>
          <w:sz w:val="21"/>
        </w:rPr>
        <w:t>。</w:t>
      </w:r>
    </w:p>
    <w:p>
      <w:pPr>
        <w:spacing w:line="194" w:lineRule="auto" w:before="15"/>
        <w:ind w:left="175" w:right="563"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spacing w:after="0" w:line="194" w:lineRule="auto"/>
        <w:jc w:val="left"/>
        <w:rPr>
          <w:rFonts w:ascii="微软雅黑" w:hAnsi="微软雅黑" w:eastAsia="微软雅黑"/>
          <w:sz w:val="21"/>
        </w:rPr>
        <w:sectPr>
          <w:type w:val="continuous"/>
          <w:pgSz w:w="11910" w:h="16840"/>
          <w:pgMar w:header="0" w:footer="406" w:top="600" w:bottom="280" w:left="900" w:right="340"/>
          <w:cols w:num="2" w:equalWidth="0">
            <w:col w:w="2745" w:space="40"/>
            <w:col w:w="7885"/>
          </w:cols>
        </w:sectPr>
      </w:pPr>
    </w:p>
    <w:p>
      <w:pPr>
        <w:pStyle w:val="ListParagraph"/>
        <w:numPr>
          <w:ilvl w:val="2"/>
          <w:numId w:val="40"/>
        </w:numPr>
        <w:tabs>
          <w:tab w:pos="1412" w:val="left" w:leader="none"/>
        </w:tabs>
        <w:spacing w:line="278" w:lineRule="auto" w:before="57" w:after="0"/>
        <w:ind w:left="1080" w:right="0" w:firstLine="0"/>
        <w:jc w:val="left"/>
        <w:rPr>
          <w:sz w:val="21"/>
        </w:rPr>
      </w:pPr>
      <w:r>
        <w:rPr>
          <w:spacing w:val="8"/>
          <w:sz w:val="21"/>
        </w:rPr>
        <w:t>多处臂丛神经</w:t>
      </w:r>
      <w:r>
        <w:rPr>
          <w:spacing w:val="-4"/>
          <w:sz w:val="21"/>
        </w:rPr>
        <w:t>根性撕脱</w:t>
      </w:r>
    </w:p>
    <w:p>
      <w:pPr>
        <w:pStyle w:val="BodyText"/>
        <w:spacing w:line="278" w:lineRule="auto" w:before="57"/>
        <w:ind w:left="175" w:right="666"/>
        <w:jc w:val="both"/>
      </w:pPr>
      <w:r>
        <w:rPr/>
        <w:br w:type="column"/>
      </w:r>
      <w:r>
        <w:rPr>
          <w:spacing w:val="-2"/>
        </w:rPr>
        <w:t>由于疾病或意外导致至少两根臂丛神经根性撕脱，所造成的手臂感觉功能与</w:t>
      </w:r>
      <w:r>
        <w:rPr>
          <w:spacing w:val="-2"/>
        </w:rPr>
        <w:t>运动功能完全永久性丧失。该病必须在本公司认可的医疗机构内由专科医生</w:t>
      </w:r>
      <w:r>
        <w:rPr>
          <w:spacing w:val="-2"/>
        </w:rPr>
        <w:t>明确诊断，并且有电生理检查结果证实。</w:t>
      </w:r>
    </w:p>
    <w:p>
      <w:pPr>
        <w:spacing w:after="0" w:line="278" w:lineRule="auto"/>
        <w:jc w:val="both"/>
        <w:sectPr>
          <w:pgSz w:w="11910" w:h="16840"/>
          <w:pgMar w:header="0" w:footer="406" w:top="1080" w:bottom="600" w:left="900" w:right="340"/>
          <w:cols w:num="2" w:equalWidth="0">
            <w:col w:w="2745" w:space="40"/>
            <w:col w:w="7885"/>
          </w:cols>
        </w:sectPr>
      </w:pPr>
    </w:p>
    <w:p>
      <w:pPr>
        <w:pStyle w:val="BodyText"/>
        <w:spacing w:before="3"/>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细菌性脑脊髓</w:t>
      </w:r>
      <w:r>
        <w:rPr>
          <w:spacing w:val="-6"/>
          <w:sz w:val="21"/>
        </w:rPr>
        <w:t>膜炎</w:t>
      </w:r>
    </w:p>
    <w:p>
      <w:pPr>
        <w:pStyle w:val="BodyText"/>
        <w:spacing w:line="278" w:lineRule="auto" w:before="71"/>
        <w:ind w:left="175" w:right="667"/>
      </w:pPr>
      <w:r>
        <w:rPr/>
        <w:br w:type="column"/>
      </w:r>
      <w:r>
        <w:rPr>
          <w:spacing w:val="-2"/>
        </w:rPr>
        <w:t>指因脑膜炎双球菌感染引起脑脊髓膜化脓性病变，且导致永久性神经损害，</w:t>
      </w:r>
      <w:r>
        <w:rPr>
          <w:spacing w:val="-8"/>
        </w:rPr>
        <w:t>持续 </w:t>
      </w:r>
      <w:r>
        <w:rPr/>
        <w:t>180</w:t>
      </w:r>
      <w:r>
        <w:rPr>
          <w:spacing w:val="-5"/>
        </w:rPr>
        <w:t> 天以上，并且脑脊液检查显示脑膜炎双球菌阳性。</w:t>
      </w:r>
    </w:p>
    <w:p>
      <w:pPr>
        <w:pStyle w:val="BodyText"/>
        <w:spacing w:line="278" w:lineRule="auto"/>
        <w:ind w:left="175" w:right="560"/>
      </w:pPr>
      <w:r>
        <w:rPr>
          <w:spacing w:val="-2"/>
        </w:rPr>
        <w:t>永久性神经损害是指由细菌性脑脊髓膜炎引起的耳聋、失明、动眼神经麻痹、</w:t>
      </w:r>
      <w:r>
        <w:rPr/>
        <w:t>瘫痪、脑积水、智力或性情中度以上的损害，且上述症状持续 180 天以上仍</w:t>
      </w:r>
      <w:r>
        <w:rPr>
          <w:spacing w:val="-2"/>
        </w:rPr>
        <w:t>无改善迹象。</w:t>
      </w:r>
    </w:p>
    <w:p>
      <w:pPr>
        <w:spacing w:after="0" w:line="278" w:lineRule="auto"/>
        <w:sectPr>
          <w:type w:val="continuous"/>
          <w:pgSz w:w="11910" w:h="16840"/>
          <w:pgMar w:header="0" w:footer="406" w:top="600" w:bottom="280" w:left="900" w:right="340"/>
          <w:cols w:num="2" w:equalWidth="0">
            <w:col w:w="2745" w:space="40"/>
            <w:col w:w="7885"/>
          </w:cols>
        </w:sectPr>
      </w:pPr>
    </w:p>
    <w:p>
      <w:pPr>
        <w:pStyle w:val="BodyText"/>
        <w:spacing w:before="2"/>
        <w:rPr>
          <w:sz w:val="12"/>
        </w:rPr>
      </w:pPr>
    </w:p>
    <w:p>
      <w:pPr>
        <w:pStyle w:val="ListParagraph"/>
        <w:numPr>
          <w:ilvl w:val="2"/>
          <w:numId w:val="40"/>
        </w:numPr>
        <w:tabs>
          <w:tab w:pos="1399" w:val="left" w:leader="none"/>
          <w:tab w:pos="2960" w:val="left" w:leader="none"/>
        </w:tabs>
        <w:spacing w:line="278" w:lineRule="auto" w:before="72" w:after="0"/>
        <w:ind w:left="2960" w:right="676" w:hanging="1880"/>
        <w:jc w:val="left"/>
        <w:rPr>
          <w:sz w:val="21"/>
        </w:rPr>
      </w:pPr>
      <w:r>
        <w:rPr>
          <w:spacing w:val="-4"/>
          <w:sz w:val="21"/>
        </w:rPr>
        <w:t>脊</w:t>
      </w:r>
      <w:r>
        <w:rPr>
          <w:spacing w:val="-4"/>
          <w:sz w:val="21"/>
        </w:rPr>
        <w:t>柱</w:t>
      </w:r>
      <w:r>
        <w:rPr>
          <w:spacing w:val="-4"/>
          <w:sz w:val="21"/>
        </w:rPr>
        <w:t>裂</w:t>
      </w:r>
      <w:r>
        <w:rPr>
          <w:sz w:val="21"/>
        </w:rPr>
        <w:tab/>
      </w:r>
      <w:r>
        <w:rPr>
          <w:spacing w:val="-2"/>
          <w:sz w:val="21"/>
        </w:rPr>
        <w:t>指</w:t>
      </w:r>
      <w:r>
        <w:rPr>
          <w:spacing w:val="-2"/>
          <w:sz w:val="21"/>
        </w:rPr>
        <w:t>脊</w:t>
      </w:r>
      <w:r>
        <w:rPr>
          <w:spacing w:val="-2"/>
          <w:sz w:val="21"/>
        </w:rPr>
        <w:t>椎</w:t>
      </w:r>
      <w:r>
        <w:rPr>
          <w:spacing w:val="-2"/>
          <w:sz w:val="21"/>
        </w:rPr>
        <w:t>或</w:t>
      </w:r>
      <w:r>
        <w:rPr>
          <w:spacing w:val="-2"/>
          <w:sz w:val="21"/>
        </w:rPr>
        <w:t>颅</w:t>
      </w:r>
      <w:r>
        <w:rPr>
          <w:spacing w:val="-2"/>
          <w:sz w:val="21"/>
        </w:rPr>
        <w:t>骨不完全闭合，导致脊髓脊膜突出，脑（脊）膜突出或脑膨出</w:t>
      </w:r>
      <w:r>
        <w:rPr>
          <w:spacing w:val="-2"/>
          <w:sz w:val="21"/>
        </w:rPr>
        <w:t>，</w:t>
      </w:r>
      <w:r>
        <w:rPr>
          <w:spacing w:val="-2"/>
          <w:sz w:val="21"/>
        </w:rPr>
        <w:t>并</w:t>
      </w:r>
      <w:r>
        <w:rPr>
          <w:spacing w:val="-2"/>
          <w:sz w:val="21"/>
        </w:rPr>
        <w:t>至</w:t>
      </w:r>
      <w:r>
        <w:rPr>
          <w:spacing w:val="-2"/>
          <w:sz w:val="21"/>
        </w:rPr>
        <w:t>少合并下列异常中的</w:t>
      </w:r>
      <w:r>
        <w:rPr>
          <w:spacing w:val="-2"/>
          <w:sz w:val="21"/>
        </w:rPr>
        <w:t>一</w:t>
      </w:r>
      <w:r>
        <w:rPr>
          <w:spacing w:val="-2"/>
          <w:sz w:val="21"/>
        </w:rPr>
        <w:t>项</w:t>
      </w:r>
      <w:r>
        <w:rPr>
          <w:spacing w:val="-2"/>
          <w:sz w:val="21"/>
        </w:rPr>
        <w:t>：</w:t>
      </w:r>
    </w:p>
    <w:p>
      <w:pPr>
        <w:pStyle w:val="ListParagraph"/>
        <w:numPr>
          <w:ilvl w:val="0"/>
          <w:numId w:val="76"/>
        </w:numPr>
        <w:tabs>
          <w:tab w:pos="3490" w:val="left" w:leader="none"/>
        </w:tabs>
        <w:spacing w:line="269" w:lineRule="exact" w:before="0" w:after="0"/>
        <w:ind w:left="3489" w:right="0" w:hanging="530"/>
        <w:jc w:val="left"/>
        <w:rPr>
          <w:sz w:val="21"/>
        </w:rPr>
      </w:pPr>
      <w:r>
        <w:rPr>
          <w:spacing w:val="-4"/>
          <w:sz w:val="21"/>
        </w:rPr>
        <w:t>大小便失禁；</w:t>
      </w:r>
    </w:p>
    <w:p>
      <w:pPr>
        <w:pStyle w:val="ListParagraph"/>
        <w:numPr>
          <w:ilvl w:val="0"/>
          <w:numId w:val="76"/>
        </w:numPr>
        <w:tabs>
          <w:tab w:pos="3490" w:val="left" w:leader="none"/>
        </w:tabs>
        <w:spacing w:line="257" w:lineRule="exact" w:before="43" w:after="0"/>
        <w:ind w:left="3489" w:right="0" w:hanging="530"/>
        <w:jc w:val="left"/>
        <w:rPr>
          <w:sz w:val="21"/>
        </w:rPr>
      </w:pPr>
      <w:r>
        <w:rPr>
          <w:spacing w:val="-3"/>
          <w:sz w:val="21"/>
        </w:rPr>
        <w:t>部分或完全性下肢瘫痪或畸形等神经学上的异常。</w:t>
      </w:r>
    </w:p>
    <w:p>
      <w:pPr>
        <w:pStyle w:val="Heading2"/>
        <w:spacing w:line="194" w:lineRule="auto" w:before="40"/>
        <w:ind w:right="669"/>
      </w:pPr>
      <w:r>
        <w:rPr>
          <w:spacing w:val="-2"/>
        </w:rPr>
        <w:t>但不包括由 </w:t>
      </w:r>
      <w:r>
        <w:rPr/>
        <w:t>X 线摄片发现的没有合并脊椎脊膜突出或脑（脊）膜突出的隐形</w:t>
      </w:r>
      <w:r>
        <w:rPr>
          <w:spacing w:val="-4"/>
        </w:rPr>
        <w:t>脊椎裂。</w:t>
      </w:r>
    </w:p>
    <w:p>
      <w:pPr>
        <w:spacing w:line="194" w:lineRule="auto" w:before="0"/>
        <w:ind w:left="2960" w:right="563"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pStyle w:val="BodyText"/>
        <w:spacing w:before="14"/>
        <w:rPr>
          <w:rFonts w:ascii="微软雅黑"/>
          <w:b/>
          <w:sz w:val="12"/>
        </w:rPr>
      </w:pPr>
    </w:p>
    <w:p>
      <w:pPr>
        <w:pStyle w:val="ListParagraph"/>
        <w:numPr>
          <w:ilvl w:val="2"/>
          <w:numId w:val="40"/>
        </w:numPr>
        <w:tabs>
          <w:tab w:pos="1399" w:val="left" w:leader="none"/>
        </w:tabs>
        <w:spacing w:line="278" w:lineRule="auto" w:before="0" w:after="0"/>
        <w:ind w:left="2960" w:right="667" w:hanging="1880"/>
        <w:jc w:val="both"/>
        <w:rPr>
          <w:sz w:val="21"/>
        </w:rPr>
      </w:pPr>
      <w:r>
        <w:rPr>
          <w:sz w:val="21"/>
        </w:rPr>
        <w:t>血管性痴呆 指由缺血性卒中、出血性卒中和造成记忆、认知和行为等脑区低灌注的脑血</w:t>
      </w:r>
      <w:r>
        <w:rPr>
          <w:spacing w:val="-2"/>
          <w:sz w:val="21"/>
        </w:rPr>
        <w:t>管疾病所致的严重认知功能障碍综合征。被保险人自主生活能力完全丧失，</w:t>
      </w:r>
      <w:r>
        <w:rPr>
          <w:spacing w:val="-2"/>
          <w:sz w:val="21"/>
        </w:rPr>
        <w:t>无法独立完成六项基本日常生活活动中的三项或三项以上，日常生活必须持</w:t>
      </w:r>
      <w:r>
        <w:rPr>
          <w:spacing w:val="-2"/>
          <w:sz w:val="21"/>
        </w:rPr>
        <w:t>续受到他人监护。导致痴呆的疾病必须明确诊断，并且有完整的临床、实验</w:t>
      </w:r>
      <w:r>
        <w:rPr>
          <w:spacing w:val="-2"/>
          <w:sz w:val="21"/>
        </w:rPr>
        <w:t>室和影像学检查结果证实。</w:t>
      </w:r>
    </w:p>
    <w:p>
      <w:pPr>
        <w:pStyle w:val="Heading2"/>
        <w:spacing w:line="319" w:lineRule="exact"/>
      </w:pPr>
      <w:r>
        <w:rPr>
          <w:spacing w:val="-3"/>
        </w:rPr>
        <w:t>神经官能症、精神疾病及酒精中毒所致脑损害不在保障范围内。</w:t>
      </w:r>
    </w:p>
    <w:p>
      <w:pPr>
        <w:pStyle w:val="BodyText"/>
        <w:spacing w:before="17"/>
        <w:rPr>
          <w:rFonts w:ascii="微软雅黑"/>
          <w:b/>
          <w:sz w:val="11"/>
        </w:rPr>
      </w:pPr>
    </w:p>
    <w:p>
      <w:pPr>
        <w:pStyle w:val="ListParagraph"/>
        <w:numPr>
          <w:ilvl w:val="2"/>
          <w:numId w:val="40"/>
        </w:numPr>
        <w:tabs>
          <w:tab w:pos="1399" w:val="left" w:leader="none"/>
        </w:tabs>
        <w:spacing w:line="278" w:lineRule="auto" w:before="0" w:after="0"/>
        <w:ind w:left="2960" w:right="666" w:hanging="1880"/>
        <w:jc w:val="both"/>
        <w:rPr>
          <w:sz w:val="21"/>
        </w:rPr>
      </w:pPr>
      <w:r>
        <w:rPr>
          <w:sz w:val="21"/>
        </w:rPr>
        <w:t>额颞叶痴呆 指一组以额颞叶萎缩为特征的痴呆综合征，临床以明显的人格、行为改变和</w:t>
      </w:r>
      <w:r>
        <w:rPr>
          <w:spacing w:val="-2"/>
          <w:sz w:val="21"/>
        </w:rPr>
        <w:t>认知障碍为特征。被保险人自主生活能力完全丧失，无法独立完成六项基本</w:t>
      </w:r>
      <w:r>
        <w:rPr>
          <w:spacing w:val="-2"/>
          <w:sz w:val="21"/>
        </w:rPr>
        <w:t>日常生活活动中的三项或三项以上，日常生活必须持续受到他人监护。导致</w:t>
      </w:r>
      <w:r>
        <w:rPr>
          <w:spacing w:val="-2"/>
          <w:sz w:val="21"/>
        </w:rPr>
        <w:t>痴呆的疾病必须明确诊断，并且有完整的临床、实验室和影像学检查结果证</w:t>
      </w:r>
      <w:r>
        <w:rPr>
          <w:spacing w:val="-6"/>
          <w:sz w:val="21"/>
        </w:rPr>
        <w:t>实。</w:t>
      </w:r>
    </w:p>
    <w:p>
      <w:pPr>
        <w:pStyle w:val="Heading2"/>
        <w:spacing w:line="320" w:lineRule="exact"/>
      </w:pPr>
      <w:r>
        <w:rPr>
          <w:spacing w:val="-3"/>
        </w:rPr>
        <w:t>神经官能症、精神疾病及酒精中毒所致脑损害不在保障范围内。</w:t>
      </w:r>
    </w:p>
    <w:p>
      <w:pPr>
        <w:pStyle w:val="BodyText"/>
        <w:spacing w:before="15"/>
        <w:rPr>
          <w:rFonts w:ascii="微软雅黑"/>
          <w:b/>
          <w:sz w:val="11"/>
        </w:rPr>
      </w:pPr>
    </w:p>
    <w:p>
      <w:pPr>
        <w:pStyle w:val="ListParagraph"/>
        <w:numPr>
          <w:ilvl w:val="2"/>
          <w:numId w:val="40"/>
        </w:numPr>
        <w:tabs>
          <w:tab w:pos="1399" w:val="left" w:leader="none"/>
        </w:tabs>
        <w:spacing w:line="278" w:lineRule="auto" w:before="0" w:after="0"/>
        <w:ind w:left="2960" w:right="667" w:hanging="1880"/>
        <w:jc w:val="both"/>
        <w:rPr>
          <w:sz w:val="21"/>
        </w:rPr>
      </w:pPr>
      <w:r>
        <w:rPr>
          <w:sz w:val="21"/>
        </w:rPr>
        <w:t>路易体痴呆 指一组在临床和病理表现上以波动性认知功能障碍、视幻觉和帕金森综合征</w:t>
      </w:r>
      <w:r>
        <w:rPr>
          <w:spacing w:val="-2"/>
          <w:sz w:val="21"/>
        </w:rPr>
        <w:t>为临床特点，以路易体为病理特征的神经变性疾病。被保险人自主生活能力</w:t>
      </w:r>
      <w:r>
        <w:rPr>
          <w:spacing w:val="-2"/>
          <w:sz w:val="21"/>
        </w:rPr>
        <w:t>完全丧失，无法独立完成六项基本日常生活活动中的三项或三项以上，日常</w:t>
      </w:r>
      <w:r>
        <w:rPr>
          <w:spacing w:val="-2"/>
          <w:sz w:val="21"/>
        </w:rPr>
        <w:t>生活必须持续受到他人监护。导致痴呆的疾病必须明确诊断，并且有完整的</w:t>
      </w:r>
      <w:r>
        <w:rPr>
          <w:spacing w:val="-2"/>
          <w:sz w:val="21"/>
        </w:rPr>
        <w:t>临床、实验室和影像学检查结果证实。</w:t>
      </w:r>
    </w:p>
    <w:p>
      <w:pPr>
        <w:pStyle w:val="Heading2"/>
        <w:spacing w:line="319" w:lineRule="exact"/>
      </w:pPr>
      <w:r>
        <w:rPr>
          <w:spacing w:val="-3"/>
        </w:rPr>
        <w:t>神经官能症、精神疾病及酒精中毒所致脑损害不在保障范围内。</w:t>
      </w:r>
    </w:p>
    <w:p>
      <w:pPr>
        <w:pStyle w:val="BodyText"/>
        <w:spacing w:before="2"/>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亚急性硬化性</w:t>
      </w:r>
      <w:r>
        <w:rPr>
          <w:spacing w:val="-4"/>
          <w:sz w:val="21"/>
        </w:rPr>
        <w:t>全脑炎</w:t>
      </w:r>
    </w:p>
    <w:p>
      <w:pPr>
        <w:pStyle w:val="BodyText"/>
        <w:spacing w:line="278" w:lineRule="auto" w:before="71"/>
        <w:ind w:left="175" w:right="667"/>
        <w:jc w:val="both"/>
      </w:pPr>
      <w:r>
        <w:rPr/>
        <w:br w:type="column"/>
      </w:r>
      <w:r>
        <w:rPr>
          <w:spacing w:val="-2"/>
        </w:rPr>
        <w:t>指一种以大脑白质和灰质损害为主的全脑炎。本病的发生是由于缺损型麻疹</w:t>
      </w:r>
      <w:r>
        <w:rPr>
          <w:spacing w:val="-2"/>
        </w:rPr>
        <w:t>病毒慢性持续感染所致的一种罕见的致命性中枢神经系统退变性疾病。早期</w:t>
      </w:r>
      <w:r>
        <w:rPr>
          <w:spacing w:val="-2"/>
        </w:rPr>
        <w:t>以炎症性病变为主，晚期主要为神经元坏死和胶质增生，核内包涵体是本病</w:t>
      </w:r>
      <w:r>
        <w:rPr>
          <w:spacing w:val="-2"/>
        </w:rPr>
        <w:t>的特征性改变之一。疾病确诊 </w:t>
      </w:r>
      <w:r>
        <w:rPr/>
        <w:t>180</w:t>
      </w:r>
      <w:r>
        <w:rPr>
          <w:spacing w:val="-5"/>
        </w:rPr>
        <w:t> 天后，仍遗留下列一种或一种以上障碍：</w:t>
      </w:r>
    </w:p>
    <w:p>
      <w:pPr>
        <w:pStyle w:val="ListParagraph"/>
        <w:numPr>
          <w:ilvl w:val="0"/>
          <w:numId w:val="77"/>
        </w:numPr>
        <w:tabs>
          <w:tab w:pos="705" w:val="left" w:leader="none"/>
        </w:tabs>
        <w:spacing w:line="269" w:lineRule="exact" w:before="0" w:after="0"/>
        <w:ind w:left="704" w:right="0" w:hanging="530"/>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77"/>
        </w:numPr>
        <w:tabs>
          <w:tab w:pos="705" w:val="left" w:leader="none"/>
        </w:tabs>
        <w:spacing w:line="240" w:lineRule="auto" w:before="43" w:after="0"/>
        <w:ind w:left="704" w:right="0" w:hanging="530"/>
        <w:jc w:val="left"/>
        <w:rPr>
          <w:sz w:val="21"/>
        </w:rPr>
      </w:pPr>
      <w:r>
        <w:rPr>
          <w:spacing w:val="-3"/>
          <w:sz w:val="21"/>
        </w:rPr>
        <w:t>语言能力完全丧失，或严重咀嚼吞咽功能障碍；</w:t>
      </w:r>
    </w:p>
    <w:p>
      <w:pPr>
        <w:pStyle w:val="ListParagraph"/>
        <w:numPr>
          <w:ilvl w:val="0"/>
          <w:numId w:val="77"/>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ListParagraph"/>
        <w:numPr>
          <w:ilvl w:val="2"/>
          <w:numId w:val="40"/>
        </w:numPr>
        <w:tabs>
          <w:tab w:pos="1412" w:val="left" w:leader="none"/>
        </w:tabs>
        <w:spacing w:line="278" w:lineRule="auto" w:before="45" w:after="0"/>
        <w:ind w:left="1080" w:right="0" w:firstLine="0"/>
        <w:jc w:val="left"/>
        <w:rPr>
          <w:sz w:val="21"/>
        </w:rPr>
      </w:pPr>
      <w:r>
        <w:rPr>
          <w:spacing w:val="8"/>
          <w:sz w:val="21"/>
        </w:rPr>
        <w:t>进行性风疹性</w:t>
      </w:r>
      <w:r>
        <w:rPr>
          <w:spacing w:val="-4"/>
          <w:sz w:val="21"/>
        </w:rPr>
        <w:t>全脑炎</w:t>
      </w:r>
    </w:p>
    <w:p>
      <w:pPr>
        <w:pStyle w:val="BodyText"/>
        <w:spacing w:line="278" w:lineRule="auto" w:before="45"/>
        <w:ind w:left="175" w:right="666"/>
      </w:pPr>
      <w:r>
        <w:rPr/>
        <w:br w:type="column"/>
      </w:r>
      <w:r>
        <w:rPr>
          <w:spacing w:val="-1"/>
        </w:rPr>
        <w:t>指由风疹病毒感染引起的儿童和青少年的慢性脑炎。疾病确诊 </w:t>
      </w:r>
      <w:r>
        <w:rPr/>
        <w:t>180</w:t>
      </w:r>
      <w:r>
        <w:rPr>
          <w:spacing w:val="-4"/>
        </w:rPr>
        <w:t> 天后，仍</w:t>
      </w:r>
      <w:r>
        <w:rPr>
          <w:spacing w:val="-2"/>
        </w:rPr>
        <w:t>遗留下列一种或一种以上障碍：</w:t>
      </w:r>
    </w:p>
    <w:p>
      <w:pPr>
        <w:pStyle w:val="ListParagraph"/>
        <w:numPr>
          <w:ilvl w:val="0"/>
          <w:numId w:val="78"/>
        </w:numPr>
        <w:tabs>
          <w:tab w:pos="705" w:val="left" w:leader="none"/>
        </w:tabs>
        <w:spacing w:line="240" w:lineRule="auto" w:before="0" w:after="0"/>
        <w:ind w:left="704"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78"/>
        </w:numPr>
        <w:tabs>
          <w:tab w:pos="705" w:val="left" w:leader="none"/>
        </w:tabs>
        <w:spacing w:line="240" w:lineRule="auto" w:before="43" w:after="0"/>
        <w:ind w:left="704" w:right="0" w:hanging="530"/>
        <w:jc w:val="left"/>
        <w:rPr>
          <w:sz w:val="21"/>
        </w:rPr>
      </w:pPr>
      <w:r>
        <w:rPr>
          <w:spacing w:val="-3"/>
          <w:sz w:val="21"/>
        </w:rPr>
        <w:t>语言能力完全丧失，或严重咀嚼吞咽功能障碍；</w:t>
      </w:r>
    </w:p>
    <w:p>
      <w:pPr>
        <w:pStyle w:val="ListParagraph"/>
        <w:numPr>
          <w:ilvl w:val="0"/>
          <w:numId w:val="78"/>
        </w:numPr>
        <w:tabs>
          <w:tab w:pos="702" w:val="left" w:leader="none"/>
        </w:tabs>
        <w:spacing w:line="278" w:lineRule="auto" w:before="43"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pgSz w:w="11910" w:h="16840"/>
          <w:pgMar w:header="0" w:footer="406" w:top="1320" w:bottom="600" w:left="900" w:right="340"/>
          <w:cols w:num="2" w:equalWidth="0">
            <w:col w:w="2745" w:space="40"/>
            <w:col w:w="7885"/>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严重类风湿性</w:t>
      </w:r>
      <w:r>
        <w:rPr>
          <w:spacing w:val="-4"/>
          <w:sz w:val="21"/>
        </w:rPr>
        <w:t>关节炎</w:t>
      </w:r>
    </w:p>
    <w:p>
      <w:pPr>
        <w:pStyle w:val="BodyText"/>
        <w:spacing w:line="278" w:lineRule="auto" w:before="72"/>
        <w:ind w:left="175" w:right="560"/>
      </w:pPr>
      <w:r>
        <w:rPr/>
        <w:br w:type="column"/>
      </w:r>
      <w:r>
        <w:rPr>
          <w:spacing w:val="-3"/>
          <w:w w:val="100"/>
        </w:rPr>
        <w:t>类风湿性关节炎为广泛分布的慢性进行性多关节病变，表现为关节严重变形，侵犯至少三个主要关节或关节组（如：双手</w:t>
      </w:r>
      <w:r>
        <w:rPr>
          <w:w w:val="100"/>
        </w:rPr>
        <w:t>（</w:t>
      </w:r>
      <w:r>
        <w:rPr>
          <w:spacing w:val="-2"/>
          <w:w w:val="100"/>
        </w:rPr>
        <w:t>多手指</w:t>
      </w:r>
      <w:r>
        <w:rPr>
          <w:spacing w:val="-3"/>
          <w:w w:val="100"/>
        </w:rPr>
        <w:t>）关节、双足（</w:t>
      </w:r>
      <w:r>
        <w:rPr>
          <w:spacing w:val="-2"/>
          <w:w w:val="100"/>
        </w:rPr>
        <w:t>多足趾</w:t>
      </w:r>
      <w:r>
        <w:rPr>
          <w:w w:val="100"/>
        </w:rPr>
        <w:t>）关节、双腕关节、双膝关节和双髋关节</w:t>
      </w:r>
      <w:r>
        <w:rPr>
          <w:spacing w:val="2"/>
          <w:w w:val="100"/>
        </w:rPr>
        <w:t>）</w:t>
      </w:r>
      <w:r>
        <w:rPr>
          <w:w w:val="100"/>
        </w:rPr>
        <w:t>。类风湿性关节炎必须明确诊断并且已经达到类风湿性关节炎功能分级Ⅲ级以上的功能障碍</w:t>
      </w:r>
      <w:r>
        <w:rPr>
          <w:spacing w:val="2"/>
          <w:w w:val="100"/>
        </w:rPr>
        <w:t>（</w:t>
      </w:r>
      <w:r>
        <w:rPr>
          <w:spacing w:val="1"/>
          <w:w w:val="100"/>
        </w:rPr>
        <w:t>关节活动严重限</w:t>
      </w:r>
      <w:r>
        <w:rPr>
          <w:spacing w:val="-3"/>
          <w:w w:val="100"/>
        </w:rPr>
        <w:t>制，不能完成大部分的日常工作和活动）并且满足下列全部条件：</w:t>
      </w:r>
    </w:p>
    <w:p>
      <w:pPr>
        <w:pStyle w:val="BodyText"/>
        <w:spacing w:line="268" w:lineRule="exact"/>
        <w:ind w:left="175"/>
      </w:pPr>
      <w:r>
        <w:rPr>
          <w:spacing w:val="-2"/>
        </w:rPr>
        <w:t>（1）</w:t>
      </w:r>
      <w:r>
        <w:rPr>
          <w:spacing w:val="-5"/>
        </w:rPr>
        <w:t>晨僵；</w:t>
      </w:r>
    </w:p>
    <w:p>
      <w:pPr>
        <w:pStyle w:val="ListParagraph"/>
        <w:numPr>
          <w:ilvl w:val="0"/>
          <w:numId w:val="79"/>
        </w:numPr>
        <w:tabs>
          <w:tab w:pos="705" w:val="left" w:leader="none"/>
        </w:tabs>
        <w:spacing w:line="240" w:lineRule="auto" w:before="43" w:after="0"/>
        <w:ind w:left="704" w:right="0" w:hanging="530"/>
        <w:jc w:val="left"/>
        <w:rPr>
          <w:sz w:val="21"/>
        </w:rPr>
      </w:pPr>
      <w:r>
        <w:rPr>
          <w:spacing w:val="-4"/>
          <w:sz w:val="21"/>
        </w:rPr>
        <w:t>对称性关节炎；</w:t>
      </w:r>
    </w:p>
    <w:p>
      <w:pPr>
        <w:pStyle w:val="ListParagraph"/>
        <w:numPr>
          <w:ilvl w:val="0"/>
          <w:numId w:val="79"/>
        </w:numPr>
        <w:tabs>
          <w:tab w:pos="705" w:val="left" w:leader="none"/>
        </w:tabs>
        <w:spacing w:line="240" w:lineRule="auto" w:before="43" w:after="0"/>
        <w:ind w:left="704" w:right="0" w:hanging="530"/>
        <w:jc w:val="left"/>
        <w:rPr>
          <w:sz w:val="21"/>
        </w:rPr>
      </w:pPr>
      <w:r>
        <w:rPr>
          <w:spacing w:val="-3"/>
          <w:sz w:val="21"/>
        </w:rPr>
        <w:t>类风湿性皮下结节；</w:t>
      </w:r>
    </w:p>
    <w:p>
      <w:pPr>
        <w:pStyle w:val="ListParagraph"/>
        <w:numPr>
          <w:ilvl w:val="0"/>
          <w:numId w:val="79"/>
        </w:numPr>
        <w:tabs>
          <w:tab w:pos="705" w:val="left" w:leader="none"/>
        </w:tabs>
        <w:spacing w:line="240" w:lineRule="auto" w:before="43" w:after="0"/>
        <w:ind w:left="704" w:right="0" w:hanging="530"/>
        <w:jc w:val="left"/>
        <w:rPr>
          <w:sz w:val="21"/>
        </w:rPr>
      </w:pPr>
      <w:r>
        <w:rPr>
          <w:spacing w:val="-3"/>
          <w:sz w:val="21"/>
        </w:rPr>
        <w:t>类风湿因子滴度升高；</w:t>
      </w:r>
    </w:p>
    <w:p>
      <w:pPr>
        <w:pStyle w:val="BodyText"/>
        <w:spacing w:before="43"/>
        <w:ind w:left="175"/>
      </w:pPr>
      <w:r>
        <w:rPr>
          <w:spacing w:val="-2"/>
        </w:rPr>
        <w:t>（5）X</w:t>
      </w:r>
      <w:r>
        <w:rPr>
          <w:spacing w:val="-8"/>
        </w:rPr>
        <w:t> 线显示严重的关节</w:t>
      </w:r>
      <w:r>
        <w:rPr>
          <w:spacing w:val="-2"/>
        </w:rPr>
        <w:t>（软骨和骨）</w:t>
      </w:r>
      <w:r>
        <w:rPr>
          <w:spacing w:val="-4"/>
        </w:rPr>
        <w:t>破坏和关节畸形。</w:t>
      </w:r>
    </w:p>
    <w:p>
      <w:pPr>
        <w:spacing w:after="0"/>
        <w:sectPr>
          <w:type w:val="continuous"/>
          <w:pgSz w:w="11910" w:h="16840"/>
          <w:pgMar w:header="0" w:footer="406" w:top="600" w:bottom="280" w:left="900" w:right="340"/>
          <w:cols w:num="2" w:equalWidth="0">
            <w:col w:w="2745" w:space="40"/>
            <w:col w:w="7885"/>
          </w:cols>
        </w:sectPr>
      </w:pPr>
    </w:p>
    <w:p>
      <w:pPr>
        <w:pStyle w:val="BodyText"/>
        <w:spacing w:before="5"/>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重症幼年型类</w:t>
      </w:r>
      <w:r>
        <w:rPr>
          <w:spacing w:val="-2"/>
          <w:sz w:val="21"/>
        </w:rPr>
        <w:t>风湿性关节炎</w:t>
      </w:r>
    </w:p>
    <w:p>
      <w:pPr>
        <w:pStyle w:val="BodyText"/>
        <w:spacing w:line="278" w:lineRule="auto" w:before="72"/>
        <w:ind w:left="175" w:right="667"/>
      </w:pPr>
      <w:r>
        <w:rPr/>
        <w:br w:type="column"/>
      </w:r>
      <w:r>
        <w:rPr>
          <w:spacing w:val="-2"/>
        </w:rPr>
        <w:t>指为了治疗幼年型类风湿性关节炎，实际实施了膝关节或髋关节置换手术。</w:t>
      </w:r>
      <w:r>
        <w:rPr>
          <w:spacing w:val="-2"/>
        </w:rPr>
        <w:t>幼年型类风湿性关节炎是一种儿童期发病的慢性关节炎，其特点为在高热和</w:t>
      </w:r>
      <w:r>
        <w:rPr>
          <w:spacing w:val="-2"/>
        </w:rPr>
        <w:t>系统性病征出现数月后发生关节炎。</w:t>
      </w:r>
    </w:p>
    <w:p>
      <w:pPr>
        <w:pStyle w:val="Heading2"/>
        <w:spacing w:line="320" w:lineRule="exact"/>
        <w:ind w:left="175"/>
      </w:pPr>
      <w:r>
        <w:rPr>
          <w:w w:val="95"/>
        </w:rPr>
        <w:t>被</w:t>
      </w:r>
      <w:r>
        <w:rPr>
          <w:w w:val="95"/>
        </w:rPr>
        <w:t>保</w:t>
      </w:r>
      <w:r>
        <w:rPr>
          <w:w w:val="95"/>
        </w:rPr>
        <w:t>险</w:t>
      </w:r>
      <w:r>
        <w:rPr>
          <w:w w:val="95"/>
        </w:rPr>
        <w:t>人</w:t>
      </w:r>
      <w:r>
        <w:rPr>
          <w:w w:val="95"/>
        </w:rPr>
        <w:t>疾</w:t>
      </w:r>
      <w:r>
        <w:rPr>
          <w:w w:val="95"/>
        </w:rPr>
        <w:t>病</w:t>
      </w:r>
      <w:r>
        <w:rPr>
          <w:w w:val="95"/>
        </w:rPr>
        <w:t>诊</w:t>
      </w:r>
      <w:r>
        <w:rPr>
          <w:w w:val="95"/>
        </w:rPr>
        <w:t>断</w:t>
      </w:r>
      <w:r>
        <w:rPr>
          <w:w w:val="95"/>
        </w:rPr>
        <w:t>时年龄</w:t>
      </w:r>
      <w:r>
        <w:rPr>
          <w:w w:val="95"/>
        </w:rPr>
        <w:t>必</w:t>
      </w:r>
      <w:r>
        <w:rPr>
          <w:w w:val="95"/>
        </w:rPr>
        <w:t>须</w:t>
      </w:r>
      <w:r>
        <w:rPr>
          <w:w w:val="95"/>
        </w:rPr>
        <w:t>在</w:t>
      </w:r>
      <w:r>
        <w:rPr>
          <w:w w:val="95"/>
        </w:rPr>
        <w:t>年</w:t>
      </w:r>
      <w:r>
        <w:rPr>
          <w:w w:val="95"/>
        </w:rPr>
        <w:t>满</w:t>
      </w:r>
      <w:r>
        <w:rPr>
          <w:spacing w:val="73"/>
        </w:rPr>
        <w:t> </w:t>
      </w:r>
      <w:r>
        <w:rPr>
          <w:w w:val="95"/>
        </w:rPr>
        <w:t>18</w:t>
      </w:r>
      <w:r>
        <w:rPr>
          <w:spacing w:val="74"/>
        </w:rPr>
        <w:t> </w:t>
      </w:r>
      <w:r>
        <w:rPr>
          <w:w w:val="95"/>
        </w:rPr>
        <w:t>周</w:t>
      </w:r>
      <w:r>
        <w:rPr>
          <w:w w:val="95"/>
        </w:rPr>
        <w:t>岁</w:t>
      </w:r>
      <w:r>
        <w:rPr>
          <w:w w:val="95"/>
        </w:rPr>
        <w:t>之</w:t>
      </w:r>
      <w:r>
        <w:rPr>
          <w:w w:val="95"/>
        </w:rPr>
        <w:t>前</w:t>
      </w:r>
      <w:r>
        <w:rPr>
          <w:spacing w:val="-10"/>
          <w:w w:val="95"/>
        </w:rPr>
        <w:t>。</w:t>
      </w:r>
    </w:p>
    <w:p>
      <w:pPr>
        <w:spacing w:after="0" w:line="320" w:lineRule="exact"/>
        <w:sectPr>
          <w:type w:val="continuous"/>
          <w:pgSz w:w="11910" w:h="16840"/>
          <w:pgMar w:header="0" w:footer="406" w:top="600" w:bottom="280" w:left="900" w:right="340"/>
          <w:cols w:num="2" w:equalWidth="0">
            <w:col w:w="2745" w:space="40"/>
            <w:col w:w="7885"/>
          </w:cols>
        </w:sectPr>
      </w:pP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严重强直性脊</w:t>
      </w:r>
      <w:r>
        <w:rPr>
          <w:spacing w:val="-6"/>
          <w:sz w:val="21"/>
        </w:rPr>
        <w:t>柱炎</w:t>
      </w:r>
    </w:p>
    <w:p>
      <w:pPr>
        <w:pStyle w:val="BodyText"/>
        <w:spacing w:line="278" w:lineRule="auto" w:before="71"/>
        <w:ind w:left="175" w:right="675"/>
      </w:pPr>
      <w:r>
        <w:rPr/>
        <w:br w:type="column"/>
      </w:r>
      <w:r>
        <w:rPr>
          <w:spacing w:val="-2"/>
        </w:rPr>
        <w:t>是一种慢性全身性炎性疾病，主要侵犯脊柱导致脊柱畸形。强直性脊柱炎必</w:t>
      </w:r>
      <w:r>
        <w:rPr>
          <w:spacing w:val="-2"/>
        </w:rPr>
        <w:t>须在本公司认可的医疗机构内由专科医生明确诊断并且满足下列所有条件：</w:t>
      </w:r>
    </w:p>
    <w:p>
      <w:pPr>
        <w:pStyle w:val="ListParagraph"/>
        <w:numPr>
          <w:ilvl w:val="0"/>
          <w:numId w:val="80"/>
        </w:numPr>
        <w:tabs>
          <w:tab w:pos="705" w:val="left" w:leader="none"/>
        </w:tabs>
        <w:spacing w:line="269" w:lineRule="exact" w:before="0" w:after="0"/>
        <w:ind w:left="704" w:right="0" w:hanging="530"/>
        <w:jc w:val="left"/>
        <w:rPr>
          <w:sz w:val="21"/>
        </w:rPr>
      </w:pPr>
      <w:r>
        <w:rPr>
          <w:spacing w:val="-4"/>
          <w:sz w:val="21"/>
        </w:rPr>
        <w:t>严重脊柱畸形；</w:t>
      </w:r>
    </w:p>
    <w:p>
      <w:pPr>
        <w:pStyle w:val="ListParagraph"/>
        <w:numPr>
          <w:ilvl w:val="0"/>
          <w:numId w:val="80"/>
        </w:numPr>
        <w:tabs>
          <w:tab w:pos="702" w:val="left" w:leader="none"/>
        </w:tabs>
        <w:spacing w:line="278" w:lineRule="auto" w:before="44"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rPr>
          <w:sz w:val="12"/>
        </w:rPr>
      </w:pPr>
    </w:p>
    <w:p>
      <w:pPr>
        <w:pStyle w:val="ListParagraph"/>
        <w:numPr>
          <w:ilvl w:val="2"/>
          <w:numId w:val="40"/>
        </w:numPr>
        <w:tabs>
          <w:tab w:pos="1399" w:val="left" w:leader="none"/>
        </w:tabs>
        <w:spacing w:line="278" w:lineRule="auto" w:before="71" w:after="0"/>
        <w:ind w:left="2960" w:right="667" w:hanging="1880"/>
        <w:jc w:val="both"/>
        <w:rPr>
          <w:sz w:val="21"/>
        </w:rPr>
      </w:pPr>
      <w:r>
        <w:rPr>
          <w:sz w:val="21"/>
        </w:rPr>
        <w:t>脑型疟疾</w:t>
      </w:r>
      <w:r>
        <w:rPr>
          <w:spacing w:val="617"/>
          <w:sz w:val="21"/>
        </w:rPr>
        <w:t> </w:t>
      </w:r>
      <w:r>
        <w:rPr>
          <w:sz w:val="21"/>
        </w:rPr>
        <w:t>恶性疟原虫严重感染导致的脑病或脑型疟疾，以昏迷为主要特征。脑型疟疾</w:t>
      </w:r>
      <w:r>
        <w:rPr>
          <w:spacing w:val="-2"/>
          <w:sz w:val="21"/>
        </w:rPr>
        <w:t>的诊断须在本公司认可的医疗机构内由专科医生明确诊断，且外周血涂片存</w:t>
      </w:r>
      <w:r>
        <w:rPr>
          <w:spacing w:val="-2"/>
          <w:sz w:val="21"/>
        </w:rPr>
        <w:t>在恶性疟原虫。</w:t>
      </w:r>
    </w:p>
    <w:p>
      <w:pPr>
        <w:pStyle w:val="Heading2"/>
        <w:spacing w:line="320" w:lineRule="exact"/>
      </w:pPr>
      <w:r>
        <w:rPr>
          <w:spacing w:val="-3"/>
        </w:rPr>
        <w:t>其他明确病因导致的脑病不在本保障范围内。</w:t>
      </w:r>
    </w:p>
    <w:p>
      <w:pPr>
        <w:pStyle w:val="BodyText"/>
        <w:spacing w:before="17"/>
        <w:rPr>
          <w:rFonts w:ascii="微软雅黑"/>
          <w:b/>
          <w:sz w:val="11"/>
        </w:rPr>
      </w:pPr>
    </w:p>
    <w:p>
      <w:pPr>
        <w:pStyle w:val="ListParagraph"/>
        <w:numPr>
          <w:ilvl w:val="2"/>
          <w:numId w:val="40"/>
        </w:numPr>
        <w:tabs>
          <w:tab w:pos="1399" w:val="left" w:leader="none"/>
        </w:tabs>
        <w:spacing w:line="278" w:lineRule="auto" w:before="1" w:after="0"/>
        <w:ind w:left="2960" w:right="666" w:hanging="1880"/>
        <w:jc w:val="both"/>
        <w:rPr>
          <w:sz w:val="21"/>
        </w:rPr>
      </w:pPr>
      <w:r>
        <w:rPr>
          <w:sz w:val="21"/>
        </w:rPr>
        <w:t>神经白塞病 是一种慢性全身性血管炎症性疾病，主要表现为复发性口腔溃疡、生殖器溃</w:t>
      </w:r>
      <w:r>
        <w:rPr>
          <w:spacing w:val="-2"/>
          <w:sz w:val="21"/>
        </w:rPr>
        <w:t>疡、眼炎及皮肤损害，并可累及大血管、神经系统、消化道、肺、肾等等。</w:t>
      </w:r>
      <w:r>
        <w:rPr>
          <w:spacing w:val="-2"/>
          <w:sz w:val="21"/>
        </w:rPr>
        <w:t>累及神经系统损害的白塞病称为神经白塞病。神经白塞病必须在本公司认可</w:t>
      </w:r>
      <w:r>
        <w:rPr>
          <w:spacing w:val="-2"/>
          <w:sz w:val="21"/>
        </w:rPr>
        <w:t>的医疗机构内由专科医生明确诊断，并且已经造成永久不可逆的神经系统功</w:t>
      </w:r>
      <w:r>
        <w:rPr>
          <w:spacing w:val="-1"/>
          <w:sz w:val="21"/>
        </w:rPr>
        <w:t>能损害。永久不可逆的神经系统损害指被保险人持续 </w:t>
      </w:r>
      <w:r>
        <w:rPr>
          <w:sz w:val="21"/>
        </w:rPr>
        <w:t>180</w:t>
      </w:r>
      <w:r>
        <w:rPr>
          <w:spacing w:val="-4"/>
          <w:sz w:val="21"/>
        </w:rPr>
        <w:t> 天无法独立完成六</w:t>
      </w:r>
      <w:r>
        <w:rPr>
          <w:spacing w:val="-2"/>
          <w:sz w:val="21"/>
        </w:rPr>
        <w:t>项基本日常生活活动中的三项或三项以上。</w:t>
      </w:r>
    </w:p>
    <w:p>
      <w:pPr>
        <w:pStyle w:val="BodyText"/>
        <w:spacing w:before="4"/>
        <w:rPr>
          <w:sz w:val="24"/>
        </w:rPr>
      </w:pPr>
    </w:p>
    <w:p>
      <w:pPr>
        <w:pStyle w:val="ListParagraph"/>
        <w:numPr>
          <w:ilvl w:val="2"/>
          <w:numId w:val="40"/>
        </w:numPr>
        <w:tabs>
          <w:tab w:pos="1399" w:val="left" w:leader="none"/>
        </w:tabs>
        <w:spacing w:line="278" w:lineRule="auto" w:before="0" w:after="0"/>
        <w:ind w:left="2960" w:right="667" w:hanging="1880"/>
        <w:jc w:val="both"/>
        <w:rPr>
          <w:sz w:val="21"/>
        </w:rPr>
      </w:pPr>
      <w:r>
        <w:rPr>
          <w:sz w:val="21"/>
        </w:rPr>
        <w:t>库鲁病</w:t>
      </w:r>
      <w:r>
        <w:rPr>
          <w:spacing w:val="826"/>
          <w:sz w:val="21"/>
        </w:rPr>
        <w:t> </w:t>
      </w:r>
      <w:r>
        <w:rPr>
          <w:sz w:val="21"/>
        </w:rPr>
        <w:t>指一种亚急性传染性朊蛋白病。临床表现为共济失调、震颤、不自主运动，</w:t>
      </w:r>
      <w:r>
        <w:rPr>
          <w:spacing w:val="-2"/>
          <w:sz w:val="21"/>
        </w:rPr>
        <w:t>在病程晚期出现进行性加重的痴呆，神经异常。库鲁病必须在本公司认可的</w:t>
      </w:r>
      <w:r>
        <w:rPr>
          <w:spacing w:val="-2"/>
          <w:sz w:val="21"/>
        </w:rPr>
        <w:t>医疗机构内由专科医生根据检测出的脑组织中的致病蛋白明确诊断。</w:t>
      </w:r>
    </w:p>
    <w:p>
      <w:pPr>
        <w:pStyle w:val="BodyText"/>
        <w:spacing w:before="10"/>
        <w:rPr>
          <w:sz w:val="17"/>
        </w:rPr>
      </w:pPr>
    </w:p>
    <w:p>
      <w:pPr>
        <w:pStyle w:val="ListParagraph"/>
        <w:numPr>
          <w:ilvl w:val="2"/>
          <w:numId w:val="40"/>
        </w:numPr>
        <w:tabs>
          <w:tab w:pos="1399" w:val="left" w:leader="none"/>
        </w:tabs>
        <w:spacing w:line="278" w:lineRule="auto" w:before="0" w:after="0"/>
        <w:ind w:left="2960" w:right="667" w:hanging="1880"/>
        <w:jc w:val="both"/>
        <w:rPr>
          <w:sz w:val="21"/>
        </w:rPr>
      </w:pPr>
      <w:r>
        <w:rPr>
          <w:sz w:val="21"/>
        </w:rPr>
        <w:t>严重克雅氏症 指一种传染性海绵状脑病，临床表现为快速进行性痴呆、肌阵挛和特征性脑</w:t>
      </w:r>
      <w:r>
        <w:rPr>
          <w:spacing w:val="-2"/>
          <w:sz w:val="21"/>
        </w:rPr>
        <w:t>电图变化。该病必须在本公司认可的医疗机构内由专科医生根据世界卫生组</w:t>
      </w:r>
    </w:p>
    <w:p>
      <w:pPr>
        <w:spacing w:after="0" w:line="278" w:lineRule="auto"/>
        <w:jc w:val="both"/>
        <w:rPr>
          <w:sz w:val="21"/>
        </w:rPr>
        <w:sectPr>
          <w:type w:val="continuous"/>
          <w:pgSz w:w="11910" w:h="16840"/>
          <w:pgMar w:header="0" w:footer="406" w:top="600" w:bottom="280" w:left="900" w:right="340"/>
        </w:sectPr>
      </w:pPr>
    </w:p>
    <w:p>
      <w:pPr>
        <w:pStyle w:val="BodyText"/>
        <w:spacing w:line="278" w:lineRule="auto" w:before="57"/>
        <w:ind w:left="2960" w:right="666"/>
        <w:jc w:val="both"/>
      </w:pPr>
      <w:r>
        <w:rPr/>
        <w:t>织（WHO</w:t>
      </w:r>
      <w:r>
        <w:rPr>
          <w:spacing w:val="-5"/>
        </w:rPr>
        <w:t>， </w:t>
      </w:r>
      <w:r>
        <w:rPr/>
        <w:t>World</w:t>
      </w:r>
      <w:r>
        <w:rPr>
          <w:spacing w:val="-10"/>
        </w:rPr>
        <w:t> </w:t>
      </w:r>
      <w:r>
        <w:rPr/>
        <w:t>Health</w:t>
      </w:r>
      <w:r>
        <w:rPr>
          <w:spacing w:val="-13"/>
        </w:rPr>
        <w:t> </w:t>
      </w:r>
      <w:r>
        <w:rPr/>
        <w:t>Organization）诊断标准明确诊断，且被保险人自</w:t>
      </w:r>
      <w:r>
        <w:rPr>
          <w:spacing w:val="-2"/>
        </w:rPr>
        <w:t>主生活能力完全丧失，无法独立完成六项基本日常生活活动中的三项或三项</w:t>
      </w:r>
      <w:r>
        <w:rPr>
          <w:spacing w:val="-4"/>
        </w:rPr>
        <w:t>以上。</w:t>
      </w:r>
    </w:p>
    <w:p>
      <w:pPr>
        <w:pStyle w:val="BodyText"/>
        <w:spacing w:before="12"/>
        <w:rPr>
          <w:sz w:val="18"/>
        </w:rPr>
      </w:pPr>
    </w:p>
    <w:p>
      <w:pPr>
        <w:pStyle w:val="ListParagraph"/>
        <w:numPr>
          <w:ilvl w:val="2"/>
          <w:numId w:val="40"/>
        </w:numPr>
        <w:tabs>
          <w:tab w:pos="1399" w:val="left" w:leader="none"/>
          <w:tab w:pos="2960" w:val="left" w:leader="none"/>
        </w:tabs>
        <w:spacing w:line="223" w:lineRule="auto" w:before="0" w:after="0"/>
        <w:ind w:left="2960" w:right="560" w:hanging="1880"/>
        <w:jc w:val="left"/>
        <w:rPr>
          <w:rFonts w:ascii="微软雅黑" w:eastAsia="微软雅黑"/>
          <w:b/>
          <w:sz w:val="21"/>
        </w:rPr>
      </w:pPr>
      <w:r>
        <w:rPr>
          <w:spacing w:val="-4"/>
          <w:sz w:val="21"/>
        </w:rPr>
        <w:t>胰腺移植</w:t>
      </w:r>
      <w:r>
        <w:rPr>
          <w:sz w:val="21"/>
        </w:rPr>
        <w:tab/>
      </w:r>
      <w:r>
        <w:rPr>
          <w:spacing w:val="-2"/>
          <w:sz w:val="21"/>
        </w:rPr>
        <w:t>指</w:t>
      </w:r>
      <w:r>
        <w:rPr>
          <w:spacing w:val="-2"/>
          <w:sz w:val="21"/>
        </w:rPr>
        <w:t>胰</w:t>
      </w:r>
      <w:r>
        <w:rPr>
          <w:spacing w:val="-2"/>
          <w:sz w:val="21"/>
        </w:rPr>
        <w:t>腺功能衰竭，已经实</w:t>
      </w:r>
      <w:r>
        <w:rPr>
          <w:spacing w:val="-2"/>
          <w:sz w:val="21"/>
        </w:rPr>
        <w:t>施</w:t>
      </w:r>
      <w:r>
        <w:rPr>
          <w:spacing w:val="-2"/>
          <w:sz w:val="21"/>
        </w:rPr>
        <w:t>了</w:t>
      </w:r>
      <w:r>
        <w:rPr>
          <w:spacing w:val="-2"/>
          <w:sz w:val="21"/>
        </w:rPr>
        <w:t>在全身麻醉下进行的</w:t>
      </w:r>
      <w:r>
        <w:rPr>
          <w:spacing w:val="-2"/>
          <w:sz w:val="21"/>
        </w:rPr>
        <w:t>胰</w:t>
      </w:r>
      <w:r>
        <w:rPr>
          <w:spacing w:val="-2"/>
          <w:sz w:val="21"/>
        </w:rPr>
        <w:t>腺</w:t>
      </w:r>
      <w:r>
        <w:rPr>
          <w:spacing w:val="-2"/>
          <w:sz w:val="21"/>
        </w:rPr>
        <w:t>的异体器官移植手术。</w:t>
      </w:r>
      <w:r>
        <w:rPr>
          <w:rFonts w:ascii="微软雅黑" w:eastAsia="微软雅黑"/>
          <w:b/>
          <w:spacing w:val="-2"/>
          <w:sz w:val="21"/>
        </w:rPr>
        <w:t>单</w:t>
      </w:r>
      <w:r>
        <w:rPr>
          <w:rFonts w:ascii="微软雅黑" w:eastAsia="微软雅黑"/>
          <w:b/>
          <w:spacing w:val="-2"/>
          <w:sz w:val="21"/>
        </w:rPr>
        <w:t>纯</w:t>
      </w:r>
      <w:r>
        <w:rPr>
          <w:rFonts w:ascii="微软雅黑" w:eastAsia="微软雅黑"/>
          <w:b/>
          <w:spacing w:val="-2"/>
          <w:sz w:val="21"/>
        </w:rPr>
        <w:t>胰</w:t>
      </w:r>
      <w:r>
        <w:rPr>
          <w:rFonts w:ascii="微软雅黑" w:eastAsia="微软雅黑"/>
          <w:b/>
          <w:spacing w:val="-2"/>
          <w:sz w:val="21"/>
        </w:rPr>
        <w:t>岛</w:t>
      </w:r>
      <w:r>
        <w:rPr>
          <w:rFonts w:ascii="微软雅黑" w:eastAsia="微软雅黑"/>
          <w:b/>
          <w:spacing w:val="-2"/>
          <w:sz w:val="21"/>
        </w:rPr>
        <w:t>移</w:t>
      </w:r>
      <w:r>
        <w:rPr>
          <w:rFonts w:ascii="微软雅黑" w:eastAsia="微软雅黑"/>
          <w:b/>
          <w:spacing w:val="-2"/>
          <w:sz w:val="21"/>
        </w:rPr>
        <w:t>植</w:t>
      </w:r>
      <w:r>
        <w:rPr>
          <w:rFonts w:ascii="微软雅黑" w:eastAsia="微软雅黑"/>
          <w:b/>
          <w:spacing w:val="-2"/>
          <w:sz w:val="21"/>
        </w:rPr>
        <w:t>、</w:t>
      </w:r>
      <w:r>
        <w:rPr>
          <w:rFonts w:ascii="微软雅黑" w:eastAsia="微软雅黑"/>
          <w:b/>
          <w:spacing w:val="-2"/>
          <w:sz w:val="21"/>
        </w:rPr>
        <w:t>部</w:t>
      </w:r>
      <w:r>
        <w:rPr>
          <w:rFonts w:ascii="微软雅黑" w:eastAsia="微软雅黑"/>
          <w:b/>
          <w:spacing w:val="-2"/>
          <w:sz w:val="21"/>
        </w:rPr>
        <w:t>分胰腺</w:t>
      </w:r>
      <w:r>
        <w:rPr>
          <w:rFonts w:ascii="微软雅黑" w:eastAsia="微软雅黑"/>
          <w:b/>
          <w:spacing w:val="-2"/>
          <w:sz w:val="21"/>
        </w:rPr>
        <w:t>组</w:t>
      </w:r>
      <w:r>
        <w:rPr>
          <w:rFonts w:ascii="微软雅黑" w:eastAsia="微软雅黑"/>
          <w:b/>
          <w:spacing w:val="-2"/>
          <w:sz w:val="21"/>
        </w:rPr>
        <w:t>织</w:t>
      </w:r>
      <w:r>
        <w:rPr>
          <w:rFonts w:ascii="微软雅黑" w:eastAsia="微软雅黑"/>
          <w:b/>
          <w:spacing w:val="-2"/>
          <w:sz w:val="21"/>
        </w:rPr>
        <w:t>或</w:t>
      </w:r>
      <w:r>
        <w:rPr>
          <w:rFonts w:ascii="微软雅黑" w:eastAsia="微软雅黑"/>
          <w:b/>
          <w:spacing w:val="-2"/>
          <w:sz w:val="21"/>
        </w:rPr>
        <w:t>细</w:t>
      </w:r>
      <w:r>
        <w:rPr>
          <w:rFonts w:ascii="微软雅黑" w:eastAsia="微软雅黑"/>
          <w:b/>
          <w:spacing w:val="-2"/>
          <w:sz w:val="21"/>
        </w:rPr>
        <w:t>胞</w:t>
      </w:r>
      <w:r>
        <w:rPr>
          <w:rFonts w:ascii="微软雅黑" w:eastAsia="微软雅黑"/>
          <w:b/>
          <w:spacing w:val="-2"/>
          <w:sz w:val="21"/>
        </w:rPr>
        <w:t>的</w:t>
      </w:r>
      <w:r>
        <w:rPr>
          <w:rFonts w:ascii="微软雅黑" w:eastAsia="微软雅黑"/>
          <w:b/>
          <w:spacing w:val="-2"/>
          <w:sz w:val="21"/>
        </w:rPr>
        <w:t>移</w:t>
      </w:r>
      <w:r>
        <w:rPr>
          <w:rFonts w:ascii="微软雅黑" w:eastAsia="微软雅黑"/>
          <w:b/>
          <w:spacing w:val="-2"/>
          <w:sz w:val="21"/>
        </w:rPr>
        <w:t>植</w:t>
      </w:r>
      <w:r>
        <w:rPr>
          <w:rFonts w:ascii="微软雅黑" w:eastAsia="微软雅黑"/>
          <w:b/>
          <w:spacing w:val="-2"/>
          <w:sz w:val="21"/>
        </w:rPr>
        <w:t>不在本</w:t>
      </w:r>
      <w:r>
        <w:rPr>
          <w:rFonts w:ascii="微软雅黑" w:eastAsia="微软雅黑"/>
          <w:b/>
          <w:spacing w:val="-2"/>
          <w:sz w:val="21"/>
        </w:rPr>
        <w:t>保</w:t>
      </w:r>
      <w:r>
        <w:rPr>
          <w:rFonts w:ascii="微软雅黑" w:eastAsia="微软雅黑"/>
          <w:b/>
          <w:spacing w:val="-2"/>
          <w:sz w:val="21"/>
        </w:rPr>
        <w:t>障</w:t>
      </w:r>
      <w:r>
        <w:rPr>
          <w:rFonts w:ascii="微软雅黑" w:eastAsia="微软雅黑"/>
          <w:b/>
          <w:spacing w:val="-2"/>
          <w:sz w:val="21"/>
        </w:rPr>
        <w:t>范</w:t>
      </w:r>
      <w:r>
        <w:rPr>
          <w:rFonts w:ascii="微软雅黑" w:eastAsia="微软雅黑"/>
          <w:b/>
          <w:spacing w:val="-2"/>
          <w:sz w:val="21"/>
        </w:rPr>
        <w:t>围</w:t>
      </w:r>
      <w:r>
        <w:rPr>
          <w:rFonts w:ascii="微软雅黑" w:eastAsia="微软雅黑"/>
          <w:b/>
          <w:spacing w:val="-2"/>
          <w:sz w:val="21"/>
        </w:rPr>
        <w:t>内</w:t>
      </w:r>
      <w:r>
        <w:rPr>
          <w:rFonts w:ascii="微软雅黑" w:eastAsia="微软雅黑"/>
          <w:b/>
          <w:spacing w:val="-2"/>
          <w:sz w:val="21"/>
        </w:rPr>
        <w:t>。</w:t>
      </w:r>
    </w:p>
    <w:p>
      <w:pPr>
        <w:pStyle w:val="BodyText"/>
        <w:spacing w:before="8"/>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原发性硬化性</w:t>
      </w:r>
      <w:r>
        <w:rPr>
          <w:spacing w:val="-4"/>
          <w:sz w:val="21"/>
        </w:rPr>
        <w:t>胆管炎</w:t>
      </w:r>
    </w:p>
    <w:p>
      <w:pPr>
        <w:pStyle w:val="BodyText"/>
        <w:spacing w:line="278" w:lineRule="auto" w:before="72"/>
        <w:ind w:left="175" w:right="562"/>
      </w:pPr>
      <w:r>
        <w:rPr/>
        <w:br w:type="column"/>
      </w:r>
      <w:r>
        <w:rPr>
          <w:spacing w:val="-3"/>
          <w:w w:val="100"/>
        </w:rPr>
        <w:t>指一种胆汁淤积综合征，其特征是肝内、肝外胆道因纤维化性炎症逐渐狭窄，</w:t>
      </w:r>
      <w:r>
        <w:rPr>
          <w:w w:val="100"/>
        </w:rPr>
        <w:t>并最终导致完全阻塞而发展为肝硬化。本病须经内镜逆行胰胆管造影等影像</w:t>
      </w:r>
      <w:r>
        <w:rPr>
          <w:spacing w:val="-3"/>
          <w:w w:val="100"/>
        </w:rPr>
        <w:t>学检查证实，并须满足下列全部条件：</w:t>
      </w:r>
    </w:p>
    <w:p>
      <w:pPr>
        <w:pStyle w:val="ListParagraph"/>
        <w:numPr>
          <w:ilvl w:val="0"/>
          <w:numId w:val="81"/>
        </w:numPr>
        <w:tabs>
          <w:tab w:pos="705" w:val="left" w:leader="none"/>
        </w:tabs>
        <w:spacing w:line="269" w:lineRule="exact" w:before="0" w:after="0"/>
        <w:ind w:left="704" w:right="0" w:hanging="530"/>
        <w:jc w:val="left"/>
        <w:rPr>
          <w:sz w:val="21"/>
        </w:rPr>
      </w:pPr>
      <w:r>
        <w:rPr>
          <w:spacing w:val="1"/>
          <w:sz w:val="21"/>
        </w:rPr>
        <w:t>总胆红素和直接胆红素同时升高，血清</w:t>
      </w:r>
      <w:r>
        <w:rPr>
          <w:spacing w:val="-2"/>
          <w:sz w:val="21"/>
        </w:rPr>
        <w:t>ALP&gt;200U/L；</w:t>
      </w:r>
    </w:p>
    <w:p>
      <w:pPr>
        <w:pStyle w:val="ListParagraph"/>
        <w:numPr>
          <w:ilvl w:val="0"/>
          <w:numId w:val="81"/>
        </w:numPr>
        <w:tabs>
          <w:tab w:pos="705" w:val="left" w:leader="none"/>
        </w:tabs>
        <w:spacing w:line="240" w:lineRule="auto" w:before="43" w:after="0"/>
        <w:ind w:left="704" w:right="0" w:hanging="530"/>
        <w:jc w:val="left"/>
        <w:rPr>
          <w:sz w:val="21"/>
        </w:rPr>
      </w:pPr>
      <w:r>
        <w:rPr>
          <w:spacing w:val="-4"/>
          <w:sz w:val="21"/>
        </w:rPr>
        <w:t>持续性黄疸病史；</w:t>
      </w:r>
    </w:p>
    <w:p>
      <w:pPr>
        <w:pStyle w:val="ListParagraph"/>
        <w:numPr>
          <w:ilvl w:val="0"/>
          <w:numId w:val="81"/>
        </w:numPr>
        <w:tabs>
          <w:tab w:pos="705" w:val="left" w:leader="none"/>
        </w:tabs>
        <w:spacing w:line="257" w:lineRule="exact" w:before="43" w:after="0"/>
        <w:ind w:left="704" w:right="0" w:hanging="530"/>
        <w:jc w:val="left"/>
        <w:rPr>
          <w:sz w:val="21"/>
        </w:rPr>
      </w:pPr>
      <w:r>
        <w:rPr>
          <w:spacing w:val="-3"/>
          <w:sz w:val="21"/>
        </w:rPr>
        <w:t>出现胆汁性肝硬化或门脉高压。</w:t>
      </w:r>
    </w:p>
    <w:p>
      <w:pPr>
        <w:pStyle w:val="Heading2"/>
        <w:spacing w:line="375" w:lineRule="exact"/>
        <w:ind w:left="175"/>
      </w:pPr>
      <w:r>
        <w:rPr>
          <w:spacing w:val="-3"/>
        </w:rPr>
        <w:t>因肿瘤或胆管损伤等继发性的硬化性胆管炎不在保障范围内。</w:t>
      </w:r>
    </w:p>
    <w:p>
      <w:pPr>
        <w:spacing w:after="0" w:line="375" w:lineRule="exact"/>
        <w:sectPr>
          <w:type w:val="continuous"/>
          <w:pgSz w:w="11910" w:h="16840"/>
          <w:pgMar w:header="0" w:footer="406" w:top="600" w:bottom="280" w:left="900" w:right="340"/>
          <w:cols w:num="2" w:equalWidth="0">
            <w:col w:w="2745" w:space="40"/>
            <w:col w:w="7885"/>
          </w:cols>
        </w:sectPr>
      </w:pPr>
    </w:p>
    <w:p>
      <w:pPr>
        <w:pStyle w:val="BodyText"/>
        <w:spacing w:before="17"/>
        <w:rPr>
          <w:rFonts w:ascii="微软雅黑"/>
          <w:b/>
          <w:sz w:val="7"/>
        </w:rPr>
      </w:pPr>
    </w:p>
    <w:p>
      <w:pPr>
        <w:spacing w:after="0"/>
        <w:rPr>
          <w:rFonts w:ascii="微软雅黑"/>
          <w:sz w:val="7"/>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失去一肢及一</w:t>
      </w:r>
      <w:r>
        <w:rPr>
          <w:spacing w:val="-10"/>
          <w:sz w:val="21"/>
        </w:rPr>
        <w:t>眼</w:t>
      </w:r>
    </w:p>
    <w:p>
      <w:pPr>
        <w:pStyle w:val="BodyText"/>
        <w:spacing w:line="278" w:lineRule="auto" w:before="72"/>
        <w:ind w:left="175" w:right="667"/>
      </w:pPr>
      <w:r>
        <w:rPr/>
        <w:br w:type="column"/>
      </w:r>
      <w:r>
        <w:rPr>
          <w:spacing w:val="-2"/>
        </w:rPr>
        <w:t>因疾病或意外伤害导致单眼视力丧失及任何一肢自腕关节或踝关节近端（靠</w:t>
      </w:r>
      <w:r>
        <w:rPr>
          <w:spacing w:val="-2"/>
        </w:rPr>
        <w:t>近躯干端）以上完全性断离。</w:t>
      </w:r>
    </w:p>
    <w:p>
      <w:pPr>
        <w:pStyle w:val="BodyText"/>
        <w:spacing w:line="269" w:lineRule="exact"/>
        <w:ind w:left="175"/>
      </w:pPr>
      <w:r>
        <w:rPr>
          <w:spacing w:val="-3"/>
        </w:rPr>
        <w:t>单眼视力丧失指单眼视力永久不可逆性丧失，患眼须满足下列至少一项条件：</w:t>
      </w:r>
    </w:p>
    <w:p>
      <w:pPr>
        <w:pStyle w:val="ListParagraph"/>
        <w:numPr>
          <w:ilvl w:val="0"/>
          <w:numId w:val="82"/>
        </w:numPr>
        <w:tabs>
          <w:tab w:pos="705" w:val="left" w:leader="none"/>
        </w:tabs>
        <w:spacing w:line="240" w:lineRule="auto" w:before="43" w:after="0"/>
        <w:ind w:left="704" w:right="0" w:hanging="530"/>
        <w:jc w:val="left"/>
        <w:rPr>
          <w:sz w:val="21"/>
        </w:rPr>
      </w:pPr>
      <w:r>
        <w:rPr>
          <w:spacing w:val="-4"/>
          <w:sz w:val="21"/>
        </w:rPr>
        <w:t>眼球缺失或摘除；</w:t>
      </w:r>
    </w:p>
    <w:p>
      <w:pPr>
        <w:pStyle w:val="ListParagraph"/>
        <w:numPr>
          <w:ilvl w:val="0"/>
          <w:numId w:val="82"/>
        </w:numPr>
        <w:tabs>
          <w:tab w:pos="705" w:val="left" w:leader="none"/>
        </w:tabs>
        <w:spacing w:line="278" w:lineRule="auto" w:before="43" w:after="0"/>
        <w:ind w:left="700"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82"/>
        </w:numPr>
        <w:tabs>
          <w:tab w:pos="705" w:val="left" w:leader="none"/>
        </w:tabs>
        <w:spacing w:line="257" w:lineRule="exact" w:before="0" w:after="0"/>
        <w:ind w:left="704" w:right="0" w:hanging="530"/>
        <w:jc w:val="left"/>
        <w:rPr>
          <w:sz w:val="21"/>
        </w:rPr>
      </w:pPr>
      <w:r>
        <w:rPr>
          <w:spacing w:val="-10"/>
          <w:sz w:val="21"/>
        </w:rPr>
        <w:t>视野半径小于 </w:t>
      </w:r>
      <w:r>
        <w:rPr>
          <w:spacing w:val="-2"/>
          <w:sz w:val="21"/>
        </w:rPr>
        <w:t>5</w:t>
      </w:r>
      <w:r>
        <w:rPr>
          <w:spacing w:val="-21"/>
          <w:sz w:val="21"/>
        </w:rPr>
        <w:t> 度。</w:t>
      </w:r>
    </w:p>
    <w:p>
      <w:pPr>
        <w:pStyle w:val="Heading2"/>
        <w:spacing w:line="194" w:lineRule="auto" w:before="40"/>
        <w:ind w:left="175" w:right="668"/>
      </w:pPr>
      <w:r>
        <w:rPr/>
        <w:t>除眼球缺失或摘除情形外，申请理赔时，被保险人年龄必须在 3 周岁以上，</w:t>
      </w:r>
      <w:r>
        <w:rPr>
          <w:spacing w:val="-2"/>
        </w:rPr>
        <w:t>并且须提供理赔当时的视力丧失诊断及检查证据。</w:t>
      </w:r>
    </w:p>
    <w:p>
      <w:pPr>
        <w:spacing w:line="331" w:lineRule="exact" w:before="0"/>
        <w:ind w:left="175" w:right="0" w:firstLine="0"/>
        <w:jc w:val="left"/>
        <w:rPr>
          <w:rFonts w:ascii="微软雅黑" w:eastAsia="微软雅黑"/>
          <w:b/>
          <w:sz w:val="21"/>
        </w:rPr>
      </w:pPr>
      <w:r>
        <w:rPr>
          <w:rFonts w:ascii="微软雅黑" w:eastAsia="微软雅黑"/>
          <w:b/>
          <w:spacing w:val="-3"/>
          <w:sz w:val="21"/>
        </w:rPr>
        <w:t>投保时已有单眼缺失或有一肢缺失的不在保障范围内。</w:t>
      </w:r>
    </w:p>
    <w:p>
      <w:pPr>
        <w:spacing w:after="0" w:line="331" w:lineRule="exact"/>
        <w:jc w:val="left"/>
        <w:rPr>
          <w:rFonts w:asci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both"/>
        <w:rPr>
          <w:sz w:val="21"/>
        </w:rPr>
      </w:pPr>
      <w:r>
        <w:rPr>
          <w:spacing w:val="8"/>
          <w:sz w:val="21"/>
        </w:rPr>
        <w:t>系统性红斑狼</w:t>
      </w:r>
      <w:r>
        <w:rPr>
          <w:spacing w:val="3"/>
          <w:sz w:val="21"/>
        </w:rPr>
        <w:t>疮 －</w:t>
      </w:r>
      <w:r>
        <w:rPr>
          <w:spacing w:val="11"/>
          <w:sz w:val="21"/>
        </w:rPr>
        <w:t>（</w:t>
      </w:r>
      <w:r>
        <w:rPr>
          <w:spacing w:val="5"/>
          <w:sz w:val="21"/>
        </w:rPr>
        <w:t>并发</w:t>
      </w:r>
      <w:r>
        <w:rPr>
          <w:sz w:val="21"/>
        </w:rPr>
        <w:t>）Ⅲ</w:t>
      </w:r>
      <w:r>
        <w:rPr>
          <w:spacing w:val="26"/>
          <w:sz w:val="21"/>
        </w:rPr>
        <w:t>型或以上狼疮性</w:t>
      </w:r>
      <w:r>
        <w:rPr>
          <w:spacing w:val="-6"/>
          <w:sz w:val="21"/>
        </w:rPr>
        <w:t>肾炎</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9"/>
        </w:rPr>
      </w:pPr>
    </w:p>
    <w:p>
      <w:pPr>
        <w:pStyle w:val="ListParagraph"/>
        <w:numPr>
          <w:ilvl w:val="2"/>
          <w:numId w:val="40"/>
        </w:numPr>
        <w:tabs>
          <w:tab w:pos="1412" w:val="left" w:leader="none"/>
        </w:tabs>
        <w:spacing w:line="278" w:lineRule="auto" w:before="0" w:after="0"/>
        <w:ind w:left="1080" w:right="30" w:firstLine="0"/>
        <w:jc w:val="left"/>
        <w:rPr>
          <w:sz w:val="21"/>
        </w:rPr>
      </w:pPr>
      <w:r>
        <w:rPr>
          <w:spacing w:val="8"/>
          <w:sz w:val="21"/>
        </w:rPr>
        <w:t>急性坏死性胰</w:t>
      </w:r>
      <w:r>
        <w:rPr>
          <w:spacing w:val="-2"/>
          <w:sz w:val="21"/>
        </w:rPr>
        <w:t>腺炎开腹手术</w:t>
      </w:r>
    </w:p>
    <w:p>
      <w:pPr>
        <w:pStyle w:val="BodyText"/>
        <w:spacing w:line="278" w:lineRule="auto" w:before="72"/>
        <w:ind w:left="142" w:right="669"/>
      </w:pPr>
      <w:r>
        <w:rPr/>
        <w:br w:type="column"/>
      </w:r>
      <w:r>
        <w:rPr>
          <w:spacing w:val="-2"/>
        </w:rPr>
        <w:t>系统性红斑狼疮是由多种因素引起，累及多系统的自身免疫性疾病。其特点</w:t>
      </w:r>
      <w:r>
        <w:rPr>
          <w:spacing w:val="-2"/>
        </w:rPr>
        <w:t>是生成自身抗体对抗多种自身抗原。多见于育龄妇女。</w:t>
      </w:r>
    </w:p>
    <w:p>
      <w:pPr>
        <w:pStyle w:val="BodyText"/>
        <w:spacing w:line="278" w:lineRule="auto"/>
        <w:ind w:left="142" w:right="666"/>
      </w:pPr>
      <w:r>
        <w:rPr>
          <w:spacing w:val="-2"/>
        </w:rPr>
        <w:t>本合同所指的系统性红斑狼疮仅限于累及肾脏（经肾脏活检确认的，符合世</w:t>
      </w:r>
      <w:r>
        <w:rPr/>
        <w:t>界卫生组织（WHO</w:t>
      </w:r>
      <w:r>
        <w:rPr>
          <w:spacing w:val="-12"/>
        </w:rPr>
        <w:t>， </w:t>
      </w:r>
      <w:r>
        <w:rPr/>
        <w:t>World</w:t>
      </w:r>
      <w:r>
        <w:rPr>
          <w:spacing w:val="-12"/>
        </w:rPr>
        <w:t> </w:t>
      </w:r>
      <w:r>
        <w:rPr/>
        <w:t>Health</w:t>
      </w:r>
      <w:r>
        <w:rPr>
          <w:spacing w:val="-12"/>
        </w:rPr>
        <w:t> </w:t>
      </w:r>
      <w:r>
        <w:rPr/>
        <w:t>Organization）</w:t>
      </w:r>
      <w:r>
        <w:rPr>
          <w:spacing w:val="-6"/>
        </w:rPr>
        <w:t>诊断标准定义Ⅲ型至 </w:t>
      </w:r>
      <w:r>
        <w:rPr/>
        <w:t>V</w:t>
      </w:r>
      <w:r>
        <w:rPr>
          <w:spacing w:val="-32"/>
        </w:rPr>
        <w:t> 型</w:t>
      </w:r>
    </w:p>
    <w:p>
      <w:pPr>
        <w:spacing w:line="282" w:lineRule="exact" w:before="0"/>
        <w:ind w:left="142" w:right="0" w:firstLine="0"/>
        <w:jc w:val="left"/>
        <w:rPr>
          <w:rFonts w:ascii="微软雅黑" w:eastAsia="微软雅黑"/>
          <w:b/>
          <w:sz w:val="21"/>
        </w:rPr>
      </w:pPr>
      <w:r>
        <w:rPr>
          <w:sz w:val="21"/>
        </w:rPr>
        <w:t>狼疮性肾炎）的系统性红斑狼疮。</w:t>
      </w:r>
      <w:r>
        <w:rPr>
          <w:rFonts w:ascii="微软雅黑" w:eastAsia="微软雅黑"/>
          <w:b/>
          <w:spacing w:val="-1"/>
          <w:sz w:val="21"/>
        </w:rPr>
        <w:t>其他类型的红斑性狼疮，如盘状狼疮、仅</w:t>
      </w:r>
    </w:p>
    <w:p>
      <w:pPr>
        <w:pStyle w:val="Heading2"/>
        <w:spacing w:line="346" w:lineRule="exact"/>
        <w:ind w:left="142"/>
      </w:pPr>
      <w:r>
        <w:rPr>
          <w:spacing w:val="-3"/>
        </w:rPr>
        <w:t>累及血液及关节的狼疮不在保障范围內。</w:t>
      </w:r>
    </w:p>
    <w:p>
      <w:pPr>
        <w:pStyle w:val="BodyText"/>
        <w:spacing w:line="278" w:lineRule="auto"/>
        <w:ind w:left="142" w:right="1084"/>
      </w:pPr>
      <w:r>
        <w:rPr>
          <w:spacing w:val="-2"/>
        </w:rPr>
        <w:t>该病必须在本公司认可的医疗机构内由免疫和风湿科专科医生确诊。</w:t>
      </w:r>
      <w:r>
        <w:rPr>
          <w:spacing w:val="80"/>
          <w:w w:val="150"/>
        </w:rPr>
        <w:t> </w:t>
      </w:r>
      <w:r>
        <w:rPr/>
        <w:t>世界卫生组织（WHO</w:t>
      </w:r>
      <w:r>
        <w:rPr>
          <w:spacing w:val="-5"/>
        </w:rPr>
        <w:t>， </w:t>
      </w:r>
      <w:r>
        <w:rPr/>
        <w:t>World</w:t>
      </w:r>
      <w:r>
        <w:rPr>
          <w:spacing w:val="-10"/>
        </w:rPr>
        <w:t> </w:t>
      </w:r>
      <w:r>
        <w:rPr/>
        <w:t>Health</w:t>
      </w:r>
      <w:r>
        <w:rPr>
          <w:spacing w:val="-11"/>
        </w:rPr>
        <w:t> </w:t>
      </w:r>
      <w:r>
        <w:rPr/>
        <w:t>Organization）狼疮性肾炎分型：</w:t>
      </w:r>
    </w:p>
    <w:p>
      <w:pPr>
        <w:pStyle w:val="BodyText"/>
        <w:spacing w:before="11"/>
        <w:rPr>
          <w:sz w:val="3"/>
        </w:rPr>
      </w:pPr>
    </w:p>
    <w:tbl>
      <w:tblPr>
        <w:tblW w:w="0" w:type="auto"/>
        <w:jc w:val="left"/>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73"/>
        <w:gridCol w:w="4268"/>
      </w:tblGrid>
      <w:tr>
        <w:trPr>
          <w:trHeight w:val="311" w:hRule="atLeast"/>
        </w:trPr>
        <w:tc>
          <w:tcPr>
            <w:tcW w:w="2573" w:type="dxa"/>
          </w:tcPr>
          <w:p>
            <w:pPr>
              <w:pStyle w:val="TableParagraph"/>
              <w:spacing w:before="22"/>
              <w:rPr>
                <w:sz w:val="21"/>
              </w:rPr>
            </w:pPr>
            <w:r>
              <w:rPr>
                <w:spacing w:val="-2"/>
                <w:sz w:val="21"/>
              </w:rPr>
              <w:t>Ⅰ型（微小病变型</w:t>
            </w:r>
            <w:r>
              <w:rPr>
                <w:spacing w:val="-10"/>
                <w:sz w:val="21"/>
              </w:rPr>
              <w:t>）</w:t>
            </w:r>
          </w:p>
        </w:tc>
        <w:tc>
          <w:tcPr>
            <w:tcW w:w="4268" w:type="dxa"/>
          </w:tcPr>
          <w:p>
            <w:pPr>
              <w:pStyle w:val="TableParagraph"/>
              <w:spacing w:before="22"/>
              <w:rPr>
                <w:sz w:val="21"/>
              </w:rPr>
            </w:pPr>
            <w:r>
              <w:rPr>
                <w:spacing w:val="-3"/>
                <w:sz w:val="21"/>
              </w:rPr>
              <w:t>镜下阴性，尿液正常</w:t>
            </w:r>
          </w:p>
        </w:tc>
      </w:tr>
      <w:tr>
        <w:trPr>
          <w:trHeight w:val="314" w:hRule="atLeast"/>
        </w:trPr>
        <w:tc>
          <w:tcPr>
            <w:tcW w:w="2573" w:type="dxa"/>
          </w:tcPr>
          <w:p>
            <w:pPr>
              <w:pStyle w:val="TableParagraph"/>
              <w:spacing w:before="22"/>
              <w:rPr>
                <w:sz w:val="21"/>
              </w:rPr>
            </w:pPr>
            <w:r>
              <w:rPr>
                <w:spacing w:val="-2"/>
                <w:sz w:val="21"/>
              </w:rPr>
              <w:t>Ⅱ型（系膜病变型</w:t>
            </w:r>
            <w:r>
              <w:rPr>
                <w:spacing w:val="-10"/>
                <w:sz w:val="21"/>
              </w:rPr>
              <w:t>）</w:t>
            </w:r>
          </w:p>
        </w:tc>
        <w:tc>
          <w:tcPr>
            <w:tcW w:w="4268" w:type="dxa"/>
          </w:tcPr>
          <w:p>
            <w:pPr>
              <w:pStyle w:val="TableParagraph"/>
              <w:spacing w:before="22"/>
              <w:rPr>
                <w:sz w:val="21"/>
              </w:rPr>
            </w:pPr>
            <w:r>
              <w:rPr>
                <w:spacing w:val="-3"/>
                <w:sz w:val="21"/>
              </w:rPr>
              <w:t>中度蛋白尿，偶有尿沉渣改变</w:t>
            </w:r>
          </w:p>
        </w:tc>
      </w:tr>
      <w:tr>
        <w:trPr>
          <w:trHeight w:val="313" w:hRule="atLeast"/>
        </w:trPr>
        <w:tc>
          <w:tcPr>
            <w:tcW w:w="2573" w:type="dxa"/>
          </w:tcPr>
          <w:p>
            <w:pPr>
              <w:pStyle w:val="TableParagraph"/>
              <w:spacing w:before="25"/>
              <w:ind w:right="-15"/>
              <w:rPr>
                <w:sz w:val="21"/>
              </w:rPr>
            </w:pPr>
            <w:r>
              <w:rPr>
                <w:spacing w:val="-31"/>
                <w:sz w:val="21"/>
              </w:rPr>
              <w:t>Ⅲ型</w:t>
            </w:r>
            <w:r>
              <w:rPr>
                <w:spacing w:val="-2"/>
                <w:sz w:val="21"/>
              </w:rPr>
              <w:t>（局灶及节段增生型</w:t>
            </w:r>
            <w:r>
              <w:rPr>
                <w:spacing w:val="-10"/>
                <w:sz w:val="21"/>
              </w:rPr>
              <w:t>）</w:t>
            </w:r>
          </w:p>
        </w:tc>
        <w:tc>
          <w:tcPr>
            <w:tcW w:w="4268" w:type="dxa"/>
          </w:tcPr>
          <w:p>
            <w:pPr>
              <w:pStyle w:val="TableParagraph"/>
              <w:spacing w:before="25"/>
              <w:rPr>
                <w:sz w:val="21"/>
              </w:rPr>
            </w:pPr>
            <w:r>
              <w:rPr>
                <w:spacing w:val="-3"/>
                <w:sz w:val="21"/>
              </w:rPr>
              <w:t>蛋白尿，尿沉渣改变</w:t>
            </w:r>
          </w:p>
        </w:tc>
      </w:tr>
      <w:tr>
        <w:trPr>
          <w:trHeight w:val="313" w:hRule="atLeast"/>
        </w:trPr>
        <w:tc>
          <w:tcPr>
            <w:tcW w:w="2573" w:type="dxa"/>
          </w:tcPr>
          <w:p>
            <w:pPr>
              <w:pStyle w:val="TableParagraph"/>
              <w:spacing w:before="22"/>
              <w:rPr>
                <w:sz w:val="21"/>
              </w:rPr>
            </w:pPr>
            <w:r>
              <w:rPr>
                <w:spacing w:val="-2"/>
                <w:sz w:val="21"/>
              </w:rPr>
              <w:t>Ⅳ型（弥漫增生型</w:t>
            </w:r>
            <w:r>
              <w:rPr>
                <w:spacing w:val="-10"/>
                <w:sz w:val="21"/>
              </w:rPr>
              <w:t>）</w:t>
            </w:r>
          </w:p>
        </w:tc>
        <w:tc>
          <w:tcPr>
            <w:tcW w:w="4268" w:type="dxa"/>
          </w:tcPr>
          <w:p>
            <w:pPr>
              <w:pStyle w:val="TableParagraph"/>
              <w:spacing w:before="22"/>
              <w:rPr>
                <w:sz w:val="21"/>
              </w:rPr>
            </w:pPr>
            <w:r>
              <w:rPr>
                <w:spacing w:val="-3"/>
                <w:sz w:val="21"/>
              </w:rPr>
              <w:t>急性肾炎伴有尿沉渣改变及/或肾病综合征</w:t>
            </w:r>
          </w:p>
        </w:tc>
      </w:tr>
      <w:tr>
        <w:trPr>
          <w:trHeight w:val="333" w:hRule="atLeast"/>
        </w:trPr>
        <w:tc>
          <w:tcPr>
            <w:tcW w:w="2573" w:type="dxa"/>
          </w:tcPr>
          <w:p>
            <w:pPr>
              <w:pStyle w:val="TableParagraph"/>
              <w:spacing w:before="23"/>
              <w:rPr>
                <w:sz w:val="21"/>
              </w:rPr>
            </w:pPr>
            <w:r>
              <w:rPr>
                <w:spacing w:val="-2"/>
                <w:sz w:val="21"/>
              </w:rPr>
              <w:t>Ⅴ型（膜型</w:t>
            </w:r>
            <w:r>
              <w:rPr>
                <w:spacing w:val="-10"/>
                <w:sz w:val="21"/>
              </w:rPr>
              <w:t>）</w:t>
            </w:r>
          </w:p>
        </w:tc>
        <w:tc>
          <w:tcPr>
            <w:tcW w:w="4268" w:type="dxa"/>
          </w:tcPr>
          <w:p>
            <w:pPr>
              <w:pStyle w:val="TableParagraph"/>
              <w:spacing w:before="23"/>
              <w:rPr>
                <w:sz w:val="21"/>
              </w:rPr>
            </w:pPr>
            <w:r>
              <w:rPr>
                <w:spacing w:val="-3"/>
                <w:sz w:val="21"/>
              </w:rPr>
              <w:t>肾病综合征或重度蛋白尿</w:t>
            </w:r>
          </w:p>
        </w:tc>
      </w:tr>
    </w:tbl>
    <w:p>
      <w:pPr>
        <w:pStyle w:val="BodyText"/>
        <w:spacing w:before="11"/>
        <w:rPr>
          <w:sz w:val="19"/>
        </w:rPr>
      </w:pPr>
    </w:p>
    <w:p>
      <w:pPr>
        <w:pStyle w:val="BodyText"/>
        <w:spacing w:line="278" w:lineRule="auto"/>
        <w:ind w:left="142" w:right="667"/>
      </w:pPr>
      <w:r>
        <w:rPr>
          <w:spacing w:val="-2"/>
        </w:rPr>
        <w:t>指被保险人因为急性出血坏死性胰腺炎已经接受了外科开腹手术治疗，以进</w:t>
      </w:r>
      <w:r>
        <w:rPr>
          <w:spacing w:val="-2"/>
        </w:rPr>
        <w:t>行坏死组织清除、坏死病灶切除或胰腺切除。</w:t>
      </w:r>
    </w:p>
    <w:p>
      <w:pPr>
        <w:pStyle w:val="Heading2"/>
        <w:spacing w:line="282" w:lineRule="exact"/>
        <w:ind w:left="142"/>
      </w:pPr>
      <w:r>
        <w:rPr>
          <w:spacing w:val="-1"/>
        </w:rPr>
        <w:t>因饮酒所致的急性出血坏死性胰腺炎或经腹腔镜手术进行的治疗不在保障范</w:t>
      </w:r>
    </w:p>
    <w:p>
      <w:pPr>
        <w:spacing w:line="350" w:lineRule="exact" w:before="0"/>
        <w:ind w:left="142" w:right="0" w:firstLine="0"/>
        <w:jc w:val="left"/>
        <w:rPr>
          <w:rFonts w:ascii="微软雅黑" w:eastAsia="微软雅黑"/>
          <w:b/>
          <w:sz w:val="21"/>
        </w:rPr>
      </w:pPr>
      <w:r>
        <w:rPr>
          <w:rFonts w:ascii="微软雅黑" w:eastAsia="微软雅黑"/>
          <w:b/>
          <w:spacing w:val="-4"/>
          <w:sz w:val="21"/>
        </w:rPr>
        <w:t>围内。</w:t>
      </w:r>
    </w:p>
    <w:p>
      <w:pPr>
        <w:spacing w:after="0" w:line="350" w:lineRule="exact"/>
        <w:jc w:val="left"/>
        <w:rPr>
          <w:rFonts w:ascii="微软雅黑" w:eastAsia="微软雅黑"/>
          <w:sz w:val="21"/>
        </w:rPr>
        <w:sectPr>
          <w:type w:val="continuous"/>
          <w:pgSz w:w="11910" w:h="16840"/>
          <w:pgMar w:header="0" w:footer="406" w:top="600" w:bottom="280" w:left="900" w:right="340"/>
          <w:cols w:num="2" w:equalWidth="0">
            <w:col w:w="2778" w:space="40"/>
            <w:col w:w="7852"/>
          </w:cols>
        </w:sectPr>
      </w:pPr>
    </w:p>
    <w:p>
      <w:pPr>
        <w:pStyle w:val="BodyText"/>
        <w:spacing w:before="17"/>
        <w:rPr>
          <w:rFonts w:ascii="微软雅黑"/>
          <w:b/>
          <w:sz w:val="7"/>
        </w:rPr>
      </w:pPr>
    </w:p>
    <w:p>
      <w:pPr>
        <w:pStyle w:val="ListParagraph"/>
        <w:numPr>
          <w:ilvl w:val="2"/>
          <w:numId w:val="40"/>
        </w:numPr>
        <w:tabs>
          <w:tab w:pos="1399" w:val="left" w:leader="none"/>
          <w:tab w:pos="2960" w:val="left" w:leader="none"/>
        </w:tabs>
        <w:spacing w:line="278" w:lineRule="auto" w:before="71" w:after="0"/>
        <w:ind w:left="2960" w:right="667" w:hanging="1880"/>
        <w:jc w:val="left"/>
        <w:rPr>
          <w:sz w:val="21"/>
        </w:rPr>
      </w:pPr>
      <w:r>
        <w:rPr>
          <w:spacing w:val="-2"/>
          <w:sz w:val="21"/>
        </w:rPr>
        <w:t>系统性硬皮病</w:t>
      </w:r>
      <w:r>
        <w:rPr>
          <w:sz w:val="21"/>
        </w:rPr>
        <w:tab/>
      </w:r>
      <w:r>
        <w:rPr>
          <w:spacing w:val="-2"/>
          <w:sz w:val="21"/>
        </w:rPr>
        <w:t>指</w:t>
      </w:r>
      <w:r>
        <w:rPr>
          <w:spacing w:val="-2"/>
          <w:sz w:val="21"/>
        </w:rPr>
        <w:t>一</w:t>
      </w:r>
      <w:r>
        <w:rPr>
          <w:spacing w:val="-2"/>
          <w:sz w:val="21"/>
        </w:rPr>
        <w:t>种</w:t>
      </w:r>
      <w:r>
        <w:rPr>
          <w:spacing w:val="-2"/>
          <w:sz w:val="21"/>
        </w:rPr>
        <w:t>全</w:t>
      </w:r>
      <w:r>
        <w:rPr>
          <w:spacing w:val="-2"/>
          <w:sz w:val="21"/>
        </w:rPr>
        <w:t>身</w:t>
      </w:r>
      <w:r>
        <w:rPr>
          <w:spacing w:val="-2"/>
          <w:sz w:val="21"/>
        </w:rPr>
        <w:t>性</w:t>
      </w:r>
      <w:r>
        <w:rPr>
          <w:spacing w:val="-2"/>
          <w:sz w:val="21"/>
        </w:rPr>
        <w:t>的</w:t>
      </w:r>
      <w:r>
        <w:rPr>
          <w:spacing w:val="-2"/>
          <w:sz w:val="21"/>
        </w:rPr>
        <w:t>胶</w:t>
      </w:r>
      <w:r>
        <w:rPr>
          <w:spacing w:val="-2"/>
          <w:sz w:val="21"/>
        </w:rPr>
        <w:t>原血管</w:t>
      </w:r>
      <w:r>
        <w:rPr>
          <w:spacing w:val="-2"/>
          <w:sz w:val="21"/>
        </w:rPr>
        <w:t>性</w:t>
      </w:r>
      <w:r>
        <w:rPr>
          <w:spacing w:val="-2"/>
          <w:sz w:val="21"/>
        </w:rPr>
        <w:t>疾</w:t>
      </w:r>
      <w:r>
        <w:rPr>
          <w:spacing w:val="-2"/>
          <w:sz w:val="21"/>
        </w:rPr>
        <w:t>病</w:t>
      </w:r>
      <w:r>
        <w:rPr>
          <w:spacing w:val="-2"/>
          <w:sz w:val="21"/>
        </w:rPr>
        <w:t>，</w:t>
      </w:r>
      <w:r>
        <w:rPr>
          <w:spacing w:val="-2"/>
          <w:sz w:val="21"/>
        </w:rPr>
        <w:t>可</w:t>
      </w:r>
      <w:r>
        <w:rPr>
          <w:spacing w:val="-2"/>
          <w:sz w:val="21"/>
        </w:rPr>
        <w:t>以</w:t>
      </w:r>
      <w:r>
        <w:rPr>
          <w:spacing w:val="-2"/>
          <w:sz w:val="21"/>
        </w:rPr>
        <w:t>导</w:t>
      </w:r>
      <w:r>
        <w:rPr>
          <w:spacing w:val="-2"/>
          <w:sz w:val="21"/>
        </w:rPr>
        <w:t>致</w:t>
      </w:r>
      <w:r>
        <w:rPr>
          <w:spacing w:val="-2"/>
          <w:sz w:val="21"/>
        </w:rPr>
        <w:t>皮肤、血管及内脏器官进行性弥</w:t>
      </w:r>
      <w:r>
        <w:rPr>
          <w:spacing w:val="-2"/>
          <w:sz w:val="21"/>
        </w:rPr>
        <w:t>漫</w:t>
      </w:r>
      <w:r>
        <w:rPr>
          <w:spacing w:val="-2"/>
          <w:sz w:val="21"/>
        </w:rPr>
        <w:t>性</w:t>
      </w:r>
      <w:r>
        <w:rPr>
          <w:spacing w:val="-2"/>
          <w:sz w:val="21"/>
        </w:rPr>
        <w:t>纤</w:t>
      </w:r>
      <w:r>
        <w:rPr>
          <w:spacing w:val="-2"/>
          <w:sz w:val="21"/>
        </w:rPr>
        <w:t>维</w:t>
      </w:r>
      <w:r>
        <w:rPr>
          <w:spacing w:val="-2"/>
          <w:sz w:val="21"/>
        </w:rPr>
        <w:t>化</w:t>
      </w:r>
      <w:r>
        <w:rPr>
          <w:spacing w:val="-2"/>
          <w:sz w:val="21"/>
        </w:rPr>
        <w:t>。</w:t>
      </w:r>
      <w:r>
        <w:rPr>
          <w:spacing w:val="-2"/>
          <w:sz w:val="21"/>
        </w:rPr>
        <w:t>诊</w:t>
      </w:r>
      <w:r>
        <w:rPr>
          <w:spacing w:val="-2"/>
          <w:sz w:val="21"/>
        </w:rPr>
        <w:t>断</w:t>
      </w:r>
      <w:r>
        <w:rPr>
          <w:spacing w:val="-2"/>
          <w:sz w:val="21"/>
        </w:rPr>
        <w:t>必须经</w:t>
      </w:r>
      <w:r>
        <w:rPr>
          <w:spacing w:val="-2"/>
          <w:sz w:val="21"/>
        </w:rPr>
        <w:t>活</w:t>
      </w:r>
      <w:r>
        <w:rPr>
          <w:spacing w:val="-2"/>
          <w:sz w:val="21"/>
        </w:rPr>
        <w:t>检</w:t>
      </w:r>
      <w:r>
        <w:rPr>
          <w:spacing w:val="-2"/>
          <w:sz w:val="21"/>
        </w:rPr>
        <w:t>及</w:t>
      </w:r>
      <w:r>
        <w:rPr>
          <w:spacing w:val="-2"/>
          <w:sz w:val="21"/>
        </w:rPr>
        <w:t>血</w:t>
      </w:r>
      <w:r>
        <w:rPr>
          <w:spacing w:val="-2"/>
          <w:sz w:val="21"/>
        </w:rPr>
        <w:t>清</w:t>
      </w:r>
      <w:r>
        <w:rPr>
          <w:spacing w:val="-2"/>
          <w:sz w:val="21"/>
        </w:rPr>
        <w:t>学</w:t>
      </w:r>
      <w:r>
        <w:rPr>
          <w:spacing w:val="-2"/>
          <w:sz w:val="21"/>
        </w:rPr>
        <w:t>检</w:t>
      </w:r>
      <w:r>
        <w:rPr>
          <w:spacing w:val="-2"/>
          <w:sz w:val="21"/>
        </w:rPr>
        <w:t>查</w:t>
      </w:r>
      <w:r>
        <w:rPr>
          <w:spacing w:val="-2"/>
          <w:sz w:val="21"/>
        </w:rPr>
        <w:t>证实，</w:t>
      </w:r>
      <w:r>
        <w:rPr>
          <w:spacing w:val="-2"/>
          <w:sz w:val="21"/>
        </w:rPr>
        <w:t>疾</w:t>
      </w:r>
      <w:r>
        <w:rPr>
          <w:spacing w:val="-2"/>
          <w:sz w:val="21"/>
        </w:rPr>
        <w:t>病</w:t>
      </w:r>
      <w:r>
        <w:rPr>
          <w:spacing w:val="-2"/>
          <w:sz w:val="21"/>
        </w:rPr>
        <w:t>必</w:t>
      </w:r>
      <w:r>
        <w:rPr>
          <w:spacing w:val="-2"/>
          <w:sz w:val="21"/>
        </w:rPr>
        <w:t>须</w:t>
      </w:r>
      <w:r>
        <w:rPr>
          <w:spacing w:val="-2"/>
          <w:sz w:val="21"/>
        </w:rPr>
        <w:t>是</w:t>
      </w:r>
      <w:r>
        <w:rPr>
          <w:spacing w:val="-2"/>
          <w:sz w:val="21"/>
        </w:rPr>
        <w:t>全</w:t>
      </w:r>
      <w:r>
        <w:rPr>
          <w:spacing w:val="-2"/>
          <w:sz w:val="21"/>
        </w:rPr>
        <w:t>身</w:t>
      </w:r>
      <w:r>
        <w:rPr>
          <w:spacing w:val="-2"/>
          <w:sz w:val="21"/>
        </w:rPr>
        <w:t>性</w:t>
      </w:r>
      <w:r>
        <w:rPr>
          <w:spacing w:val="-2"/>
          <w:sz w:val="21"/>
        </w:rPr>
        <w:t>，</w:t>
      </w:r>
      <w:r>
        <w:rPr>
          <w:spacing w:val="-2"/>
          <w:sz w:val="21"/>
        </w:rPr>
        <w:t>且</w:t>
      </w:r>
      <w:r>
        <w:rPr>
          <w:spacing w:val="-2"/>
          <w:sz w:val="21"/>
        </w:rPr>
        <w:t>须</w:t>
      </w:r>
    </w:p>
    <w:p>
      <w:pPr>
        <w:spacing w:after="0" w:line="278" w:lineRule="auto"/>
        <w:jc w:val="left"/>
        <w:rPr>
          <w:sz w:val="21"/>
        </w:rPr>
        <w:sectPr>
          <w:type w:val="continuous"/>
          <w:pgSz w:w="11910" w:h="16840"/>
          <w:pgMar w:header="0" w:footer="406" w:top="600" w:bottom="280" w:left="900" w:right="340"/>
        </w:sectPr>
      </w:pPr>
    </w:p>
    <w:p>
      <w:pPr>
        <w:pStyle w:val="BodyText"/>
        <w:spacing w:before="57"/>
        <w:ind w:left="2960"/>
      </w:pPr>
      <w:r>
        <w:rPr>
          <w:spacing w:val="-3"/>
        </w:rPr>
        <w:t>满足下列至少一项条件：</w:t>
      </w:r>
    </w:p>
    <w:p>
      <w:pPr>
        <w:pStyle w:val="ListParagraph"/>
        <w:numPr>
          <w:ilvl w:val="0"/>
          <w:numId w:val="83"/>
        </w:numPr>
        <w:tabs>
          <w:tab w:pos="3490" w:val="left" w:leader="none"/>
        </w:tabs>
        <w:spacing w:line="240" w:lineRule="auto" w:before="43" w:after="0"/>
        <w:ind w:left="3489" w:right="0" w:hanging="530"/>
        <w:jc w:val="left"/>
        <w:rPr>
          <w:sz w:val="21"/>
        </w:rPr>
      </w:pPr>
      <w:r>
        <w:rPr>
          <w:spacing w:val="-3"/>
          <w:sz w:val="21"/>
        </w:rPr>
        <w:t>肺脏：肺部病变进而发展为肺间质纤维化和肺动脉高压；</w:t>
      </w:r>
    </w:p>
    <w:p>
      <w:pPr>
        <w:pStyle w:val="ListParagraph"/>
        <w:numPr>
          <w:ilvl w:val="0"/>
          <w:numId w:val="83"/>
        </w:numPr>
        <w:tabs>
          <w:tab w:pos="3490" w:val="left" w:leader="none"/>
        </w:tabs>
        <w:spacing w:line="240" w:lineRule="auto" w:before="43" w:after="0"/>
        <w:ind w:left="3489" w:right="0" w:hanging="530"/>
        <w:jc w:val="left"/>
        <w:rPr>
          <w:sz w:val="21"/>
        </w:rPr>
      </w:pPr>
      <w:r>
        <w:rPr>
          <w:spacing w:val="-3"/>
          <w:sz w:val="21"/>
        </w:rPr>
        <w:t>心脏：心功能受损达到美国纽约心脏病学会心功能状态分级Ⅳ级；</w:t>
      </w:r>
    </w:p>
    <w:p>
      <w:pPr>
        <w:pStyle w:val="ListParagraph"/>
        <w:numPr>
          <w:ilvl w:val="0"/>
          <w:numId w:val="83"/>
        </w:numPr>
        <w:tabs>
          <w:tab w:pos="3490" w:val="left" w:leader="none"/>
        </w:tabs>
        <w:spacing w:line="223" w:lineRule="auto" w:before="58" w:after="0"/>
        <w:ind w:left="2960" w:right="1295" w:firstLine="0"/>
        <w:jc w:val="left"/>
        <w:rPr>
          <w:rFonts w:ascii="微软雅黑" w:eastAsia="微软雅黑"/>
          <w:b/>
          <w:sz w:val="21"/>
        </w:rPr>
      </w:pPr>
      <w:r>
        <w:rPr>
          <w:spacing w:val="-2"/>
          <w:sz w:val="21"/>
        </w:rPr>
        <w:t>肾脏：肾脏受损导致双肾功能慢性不可逆衰竭，达到尿毒症期。</w:t>
      </w:r>
      <w:r>
        <w:rPr>
          <w:rFonts w:ascii="微软雅黑" w:eastAsia="微软雅黑"/>
          <w:b/>
          <w:spacing w:val="-2"/>
          <w:sz w:val="21"/>
        </w:rPr>
        <w:t>以下情况不在保障范围内：</w:t>
      </w:r>
    </w:p>
    <w:p>
      <w:pPr>
        <w:pStyle w:val="ListParagraph"/>
        <w:numPr>
          <w:ilvl w:val="0"/>
          <w:numId w:val="84"/>
        </w:numPr>
        <w:tabs>
          <w:tab w:pos="3490" w:val="left" w:leader="none"/>
        </w:tabs>
        <w:spacing w:line="281" w:lineRule="exact" w:before="0" w:after="0"/>
        <w:ind w:left="3489" w:right="0" w:hanging="530"/>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10"/>
          <w:sz w:val="21"/>
        </w:rPr>
        <w:t>）</w:t>
      </w:r>
    </w:p>
    <w:p>
      <w:pPr>
        <w:pStyle w:val="ListParagraph"/>
        <w:numPr>
          <w:ilvl w:val="0"/>
          <w:numId w:val="84"/>
        </w:numPr>
        <w:tabs>
          <w:tab w:pos="3490" w:val="left" w:leader="none"/>
        </w:tabs>
        <w:spacing w:line="312" w:lineRule="exact" w:before="0" w:after="0"/>
        <w:ind w:left="3489" w:right="0" w:hanging="530"/>
        <w:jc w:val="left"/>
        <w:rPr>
          <w:rFonts w:ascii="微软雅黑" w:eastAsia="微软雅黑"/>
          <w:b/>
          <w:sz w:val="21"/>
        </w:rPr>
      </w:pPr>
      <w:r>
        <w:rPr>
          <w:rFonts w:ascii="微软雅黑" w:eastAsia="微软雅黑"/>
          <w:b/>
          <w:spacing w:val="-2"/>
          <w:sz w:val="21"/>
        </w:rPr>
        <w:t>嗜酸性筋膜炎</w:t>
      </w:r>
    </w:p>
    <w:p>
      <w:pPr>
        <w:pStyle w:val="ListParagraph"/>
        <w:numPr>
          <w:ilvl w:val="0"/>
          <w:numId w:val="84"/>
        </w:numPr>
        <w:tabs>
          <w:tab w:pos="3490" w:val="left" w:leader="none"/>
        </w:tabs>
        <w:spacing w:line="350" w:lineRule="exact" w:before="0" w:after="0"/>
        <w:ind w:left="3489" w:right="0" w:hanging="530"/>
        <w:jc w:val="left"/>
        <w:rPr>
          <w:rFonts w:ascii="微软雅黑" w:eastAsia="微软雅黑"/>
          <w:b/>
          <w:sz w:val="21"/>
        </w:rPr>
      </w:pPr>
      <w:r>
        <w:rPr>
          <w:rFonts w:ascii="微软雅黑" w:eastAsia="微软雅黑"/>
          <w:b/>
          <w:w w:val="85"/>
          <w:sz w:val="21"/>
        </w:rPr>
        <w:t>CREST</w:t>
      </w:r>
      <w:r>
        <w:rPr>
          <w:rFonts w:ascii="微软雅黑" w:eastAsia="微软雅黑"/>
          <w:b/>
          <w:spacing w:val="13"/>
          <w:sz w:val="21"/>
        </w:rPr>
        <w:t> </w:t>
      </w:r>
      <w:r>
        <w:rPr>
          <w:rFonts w:ascii="微软雅黑" w:eastAsia="微软雅黑"/>
          <w:b/>
          <w:w w:val="85"/>
          <w:sz w:val="21"/>
        </w:rPr>
        <w:t>综</w:t>
      </w:r>
      <w:r>
        <w:rPr>
          <w:rFonts w:ascii="微软雅黑" w:eastAsia="微软雅黑"/>
          <w:b/>
          <w:w w:val="85"/>
          <w:sz w:val="21"/>
        </w:rPr>
        <w:t>合</w:t>
      </w:r>
      <w:r>
        <w:rPr>
          <w:rFonts w:ascii="微软雅黑" w:eastAsia="微软雅黑"/>
          <w:b/>
          <w:spacing w:val="-10"/>
          <w:w w:val="85"/>
          <w:sz w:val="21"/>
        </w:rPr>
        <w:t>征</w:t>
      </w:r>
    </w:p>
    <w:p>
      <w:pPr>
        <w:pStyle w:val="BodyText"/>
        <w:spacing w:before="1"/>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严重Ⅰ型糖尿</w:t>
      </w:r>
      <w:r>
        <w:rPr>
          <w:spacing w:val="-10"/>
          <w:sz w:val="21"/>
        </w:rPr>
        <w:t>病</w:t>
      </w:r>
    </w:p>
    <w:p>
      <w:pPr>
        <w:pStyle w:val="BodyText"/>
        <w:spacing w:line="278" w:lineRule="auto" w:before="71"/>
        <w:ind w:left="174" w:right="666"/>
        <w:jc w:val="both"/>
      </w:pPr>
      <w:r>
        <w:rPr/>
        <w:br w:type="column"/>
      </w:r>
      <w:r>
        <w:rPr>
          <w:spacing w:val="-2"/>
        </w:rPr>
        <w:t>严重Ⅰ型糖尿病为由于胰岛素分泌绝对不足引起的慢性血糖升高，且已经持</w:t>
      </w:r>
      <w:r>
        <w:rPr>
          <w:spacing w:val="-4"/>
        </w:rPr>
        <w:t>续性地依赖外源性胰岛素维持 </w:t>
      </w:r>
      <w:r>
        <w:rPr>
          <w:spacing w:val="-2"/>
        </w:rPr>
        <w:t>180</w:t>
      </w:r>
      <w:r>
        <w:rPr>
          <w:spacing w:val="-7"/>
        </w:rPr>
        <w:t> 天以上。须经血胰岛素测定、血 </w:t>
      </w:r>
      <w:r>
        <w:rPr>
          <w:spacing w:val="-2"/>
        </w:rPr>
        <w:t>C</w:t>
      </w:r>
      <w:r>
        <w:rPr>
          <w:spacing w:val="-7"/>
        </w:rPr>
        <w:t> 肽测定</w:t>
      </w:r>
      <w:r>
        <w:rPr>
          <w:spacing w:val="-6"/>
        </w:rPr>
        <w:t>或尿 </w:t>
      </w:r>
      <w:r>
        <w:rPr/>
        <w:t>C</w:t>
      </w:r>
      <w:r>
        <w:rPr>
          <w:spacing w:val="-4"/>
        </w:rPr>
        <w:t> 肽测定，结果异常，并由内分泌科专科医生明确诊断。并须在本合同</w:t>
      </w:r>
      <w:r>
        <w:rPr>
          <w:spacing w:val="-2"/>
        </w:rPr>
        <w:t>有效期内，满足下述至少两个条件：</w:t>
      </w:r>
    </w:p>
    <w:p>
      <w:pPr>
        <w:pStyle w:val="ListParagraph"/>
        <w:numPr>
          <w:ilvl w:val="0"/>
          <w:numId w:val="85"/>
        </w:numPr>
        <w:tabs>
          <w:tab w:pos="704" w:val="left" w:leader="none"/>
        </w:tabs>
        <w:spacing w:line="269" w:lineRule="exact" w:before="0" w:after="0"/>
        <w:ind w:left="703" w:right="0" w:hanging="530"/>
        <w:jc w:val="left"/>
        <w:rPr>
          <w:sz w:val="21"/>
        </w:rPr>
      </w:pPr>
      <w:r>
        <w:rPr>
          <w:spacing w:val="-3"/>
          <w:sz w:val="21"/>
        </w:rPr>
        <w:t>已出现增殖性视网膜病变；</w:t>
      </w:r>
    </w:p>
    <w:p>
      <w:pPr>
        <w:pStyle w:val="ListParagraph"/>
        <w:numPr>
          <w:ilvl w:val="0"/>
          <w:numId w:val="85"/>
        </w:numPr>
        <w:tabs>
          <w:tab w:pos="704" w:val="left" w:leader="none"/>
        </w:tabs>
        <w:spacing w:line="240" w:lineRule="auto" w:before="44" w:after="0"/>
        <w:ind w:left="703" w:right="0" w:hanging="530"/>
        <w:jc w:val="left"/>
        <w:rPr>
          <w:sz w:val="21"/>
        </w:rPr>
      </w:pPr>
      <w:r>
        <w:rPr>
          <w:spacing w:val="-3"/>
          <w:sz w:val="21"/>
        </w:rPr>
        <w:t>须植入心脏起搏器治疗心脏病；</w:t>
      </w:r>
    </w:p>
    <w:p>
      <w:pPr>
        <w:pStyle w:val="ListParagraph"/>
        <w:numPr>
          <w:ilvl w:val="0"/>
          <w:numId w:val="85"/>
        </w:numPr>
        <w:tabs>
          <w:tab w:pos="704" w:val="left" w:leader="none"/>
        </w:tabs>
        <w:spacing w:line="278" w:lineRule="auto" w:before="43" w:after="0"/>
        <w:ind w:left="700" w:right="666" w:hanging="526"/>
        <w:jc w:val="left"/>
        <w:rPr>
          <w:sz w:val="21"/>
        </w:rPr>
      </w:pPr>
      <w:r>
        <w:rPr>
          <w:spacing w:val="-2"/>
          <w:sz w:val="21"/>
        </w:rPr>
        <w:t>在本公司认可的医疗机构内已经进行了医疗必需的由足踝或以上位置的</w:t>
      </w:r>
      <w:r>
        <w:rPr>
          <w:spacing w:val="-2"/>
          <w:sz w:val="21"/>
        </w:rPr>
        <w:t>单足截除手术。</w:t>
      </w:r>
    </w:p>
    <w:p>
      <w:pPr>
        <w:spacing w:after="0" w:line="278" w:lineRule="auto"/>
        <w:jc w:val="left"/>
        <w:rPr>
          <w:sz w:val="21"/>
        </w:rPr>
        <w:sectPr>
          <w:type w:val="continuous"/>
          <w:pgSz w:w="11910" w:h="16840"/>
          <w:pgMar w:header="0" w:footer="406" w:top="600" w:bottom="280" w:left="900" w:right="340"/>
          <w:cols w:num="2" w:equalWidth="0">
            <w:col w:w="2746" w:space="40"/>
            <w:col w:w="7884"/>
          </w:cols>
        </w:sectPr>
      </w:pPr>
    </w:p>
    <w:p>
      <w:pPr>
        <w:pStyle w:val="BodyText"/>
        <w:spacing w:before="2"/>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肺淋巴管肌瘤</w:t>
      </w:r>
      <w:r>
        <w:rPr>
          <w:spacing w:val="-10"/>
          <w:sz w:val="21"/>
        </w:rPr>
        <w:t>病</w:t>
      </w:r>
    </w:p>
    <w:p>
      <w:pPr>
        <w:pStyle w:val="BodyText"/>
        <w:spacing w:line="278" w:lineRule="auto" w:before="72"/>
        <w:ind w:left="175" w:right="667"/>
      </w:pPr>
      <w:r>
        <w:rPr/>
        <w:br w:type="column"/>
      </w:r>
      <w:r>
        <w:rPr>
          <w:spacing w:val="-2"/>
        </w:rPr>
        <w:t>肺淋巴管肌瘤病是一种弥漫性肺部疾病，主要病理改变为肺间质、支气管、</w:t>
      </w:r>
      <w:r>
        <w:rPr>
          <w:spacing w:val="-2"/>
        </w:rPr>
        <w:t>血管和淋巴管内出现未成熟的平滑肌异常增生，同时需满足下列全部条件：</w:t>
      </w:r>
    </w:p>
    <w:p>
      <w:pPr>
        <w:pStyle w:val="ListParagraph"/>
        <w:numPr>
          <w:ilvl w:val="0"/>
          <w:numId w:val="86"/>
        </w:numPr>
        <w:tabs>
          <w:tab w:pos="705" w:val="left" w:leader="none"/>
        </w:tabs>
        <w:spacing w:line="269" w:lineRule="exact" w:before="0" w:after="0"/>
        <w:ind w:left="704" w:right="0" w:hanging="530"/>
        <w:jc w:val="left"/>
        <w:rPr>
          <w:sz w:val="21"/>
        </w:rPr>
      </w:pPr>
      <w:r>
        <w:rPr>
          <w:spacing w:val="-3"/>
          <w:sz w:val="21"/>
        </w:rPr>
        <w:t>经组织病理学诊断；</w:t>
      </w:r>
    </w:p>
    <w:p>
      <w:pPr>
        <w:pStyle w:val="ListParagraph"/>
        <w:numPr>
          <w:ilvl w:val="0"/>
          <w:numId w:val="86"/>
        </w:numPr>
        <w:tabs>
          <w:tab w:pos="705" w:val="left" w:leader="none"/>
        </w:tabs>
        <w:spacing w:line="240" w:lineRule="auto" w:before="43" w:after="0"/>
        <w:ind w:left="704" w:right="0" w:hanging="530"/>
        <w:jc w:val="left"/>
        <w:rPr>
          <w:sz w:val="21"/>
        </w:rPr>
      </w:pPr>
      <w:r>
        <w:rPr>
          <w:spacing w:val="-2"/>
          <w:sz w:val="21"/>
        </w:rPr>
        <w:t>CT</w:t>
      </w:r>
      <w:r>
        <w:rPr>
          <w:spacing w:val="-10"/>
          <w:sz w:val="21"/>
        </w:rPr>
        <w:t> 显示双肺弥漫性囊性改变；</w:t>
      </w:r>
    </w:p>
    <w:p>
      <w:pPr>
        <w:pStyle w:val="ListParagraph"/>
        <w:numPr>
          <w:ilvl w:val="0"/>
          <w:numId w:val="86"/>
        </w:numPr>
        <w:tabs>
          <w:tab w:pos="705" w:val="left" w:leader="none"/>
        </w:tabs>
        <w:spacing w:line="278" w:lineRule="auto" w:before="43" w:after="0"/>
        <w:ind w:left="700" w:right="666" w:hanging="526"/>
        <w:jc w:val="left"/>
        <w:rPr>
          <w:sz w:val="21"/>
        </w:rPr>
      </w:pPr>
      <w:r>
        <w:rPr>
          <w:spacing w:val="-2"/>
          <w:sz w:val="21"/>
        </w:rPr>
        <w:t>休息时出现呼吸困难并经本公司认可的医疗机构的专科医生认可有必要</w:t>
      </w:r>
      <w:r>
        <w:rPr>
          <w:spacing w:val="-2"/>
          <w:sz w:val="21"/>
        </w:rPr>
        <w:t>进行肺移植手术。</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rPr>
          <w:sz w:val="12"/>
        </w:rPr>
      </w:pPr>
    </w:p>
    <w:p>
      <w:pPr>
        <w:pStyle w:val="ListParagraph"/>
        <w:numPr>
          <w:ilvl w:val="2"/>
          <w:numId w:val="40"/>
        </w:numPr>
        <w:tabs>
          <w:tab w:pos="1399" w:val="left" w:leader="none"/>
        </w:tabs>
        <w:spacing w:line="278" w:lineRule="auto" w:before="71" w:after="0"/>
        <w:ind w:left="2960" w:right="666" w:hanging="1880"/>
        <w:jc w:val="both"/>
        <w:rPr>
          <w:sz w:val="21"/>
        </w:rPr>
      </w:pPr>
      <w:r>
        <w:rPr>
          <w:sz w:val="21"/>
        </w:rPr>
        <w:t>肝豆状核变性 肝豆状核变性是一种可能危及生命的铜代谢疾病，以铜沉积造成的渐进性肝</w:t>
      </w:r>
      <w:r>
        <w:rPr>
          <w:spacing w:val="-2"/>
          <w:sz w:val="21"/>
        </w:rPr>
        <w:t>功能损害及/或神经功能恶化为特征。必须在本公司认可的医疗机构内由专科</w:t>
      </w:r>
      <w:r>
        <w:rPr>
          <w:spacing w:val="-1"/>
          <w:sz w:val="21"/>
        </w:rPr>
        <w:t>医生通过肝脏活组织检查结果确定诊断并配合螯合剂治疗持续至少 </w:t>
      </w:r>
      <w:r>
        <w:rPr>
          <w:sz w:val="21"/>
        </w:rPr>
        <w:t>6</w:t>
      </w:r>
      <w:r>
        <w:rPr>
          <w:spacing w:val="-6"/>
          <w:sz w:val="21"/>
        </w:rPr>
        <w:t> 个月。</w:t>
      </w:r>
    </w:p>
    <w:p>
      <w:pPr>
        <w:pStyle w:val="Heading2"/>
        <w:spacing w:line="282" w:lineRule="exact"/>
      </w:pPr>
      <w:r>
        <w:rPr>
          <w:spacing w:val="-3"/>
        </w:rPr>
        <w:t>本公司承担本项疾病责任不受本合同责任免除中“遗传性疾病，先天性畸形、</w:t>
      </w:r>
    </w:p>
    <w:p>
      <w:pPr>
        <w:spacing w:line="350" w:lineRule="exact" w:before="0"/>
        <w:ind w:left="2960" w:right="0" w:firstLine="0"/>
        <w:jc w:val="left"/>
        <w:rPr>
          <w:rFonts w:ascii="微软雅黑" w:hAnsi="微软雅黑" w:eastAsia="微软雅黑"/>
          <w:b/>
          <w:sz w:val="21"/>
        </w:rPr>
      </w:pPr>
      <w:r>
        <w:rPr>
          <w:rFonts w:ascii="微软雅黑" w:hAnsi="微软雅黑" w:eastAsia="微软雅黑"/>
          <w:b/>
          <w:spacing w:val="-3"/>
          <w:sz w:val="21"/>
        </w:rPr>
        <w:t>变形或染色体异常”的限制。</w:t>
      </w:r>
    </w:p>
    <w:p>
      <w:pPr>
        <w:pStyle w:val="BodyText"/>
        <w:spacing w:before="18"/>
        <w:rPr>
          <w:rFonts w:ascii="微软雅黑"/>
          <w:b/>
          <w:sz w:val="11"/>
        </w:rPr>
      </w:pPr>
    </w:p>
    <w:p>
      <w:pPr>
        <w:pStyle w:val="ListParagraph"/>
        <w:numPr>
          <w:ilvl w:val="2"/>
          <w:numId w:val="40"/>
        </w:numPr>
        <w:tabs>
          <w:tab w:pos="1399" w:val="left" w:leader="none"/>
          <w:tab w:pos="2960" w:val="left" w:leader="none"/>
        </w:tabs>
        <w:spacing w:line="240" w:lineRule="auto" w:before="0" w:after="0"/>
        <w:ind w:left="1398" w:right="0" w:hanging="319"/>
        <w:jc w:val="left"/>
        <w:rPr>
          <w:sz w:val="21"/>
        </w:rPr>
      </w:pPr>
      <w:r>
        <w:rPr>
          <w:spacing w:val="-2"/>
          <w:sz w:val="21"/>
        </w:rPr>
        <w:t>肾髓质囊性</w:t>
      </w:r>
      <w:r>
        <w:rPr>
          <w:spacing w:val="-10"/>
          <w:sz w:val="21"/>
        </w:rPr>
        <w:t>病</w:t>
      </w:r>
      <w:r>
        <w:rPr>
          <w:sz w:val="21"/>
        </w:rPr>
        <w:tab/>
      </w:r>
      <w:r>
        <w:rPr>
          <w:spacing w:val="-2"/>
          <w:sz w:val="21"/>
        </w:rPr>
        <w:t>肾</w:t>
      </w:r>
      <w:r>
        <w:rPr>
          <w:spacing w:val="-2"/>
          <w:sz w:val="21"/>
        </w:rPr>
        <w:t>髓</w:t>
      </w:r>
      <w:r>
        <w:rPr>
          <w:spacing w:val="-2"/>
          <w:sz w:val="21"/>
        </w:rPr>
        <w:t>质囊性病的诊断须同</w:t>
      </w:r>
      <w:r>
        <w:rPr>
          <w:spacing w:val="-2"/>
          <w:sz w:val="21"/>
        </w:rPr>
        <w:t>时</w:t>
      </w:r>
      <w:r>
        <w:rPr>
          <w:spacing w:val="-2"/>
          <w:sz w:val="21"/>
        </w:rPr>
        <w:t>符</w:t>
      </w:r>
      <w:r>
        <w:rPr>
          <w:spacing w:val="-2"/>
          <w:sz w:val="21"/>
        </w:rPr>
        <w:t>合下列要求</w:t>
      </w:r>
      <w:r>
        <w:rPr>
          <w:spacing w:val="-10"/>
          <w:sz w:val="21"/>
        </w:rPr>
        <w:t>：</w:t>
      </w:r>
    </w:p>
    <w:p>
      <w:pPr>
        <w:pStyle w:val="ListParagraph"/>
        <w:numPr>
          <w:ilvl w:val="0"/>
          <w:numId w:val="87"/>
        </w:numPr>
        <w:tabs>
          <w:tab w:pos="3490" w:val="left" w:leader="none"/>
        </w:tabs>
        <w:spacing w:line="240" w:lineRule="auto" w:before="43" w:after="0"/>
        <w:ind w:left="3489" w:right="0" w:hanging="530"/>
        <w:jc w:val="left"/>
        <w:rPr>
          <w:sz w:val="21"/>
        </w:rPr>
      </w:pPr>
      <w:r>
        <w:rPr>
          <w:spacing w:val="-3"/>
          <w:sz w:val="21"/>
        </w:rPr>
        <w:t>肾髓质有囊肿、肾小管萎缩及间质纤维化等病理改变；</w:t>
      </w:r>
    </w:p>
    <w:p>
      <w:pPr>
        <w:pStyle w:val="ListParagraph"/>
        <w:numPr>
          <w:ilvl w:val="0"/>
          <w:numId w:val="87"/>
        </w:numPr>
        <w:tabs>
          <w:tab w:pos="3490" w:val="left" w:leader="none"/>
        </w:tabs>
        <w:spacing w:line="240" w:lineRule="auto" w:before="43" w:after="0"/>
        <w:ind w:left="3489" w:right="0" w:hanging="530"/>
        <w:jc w:val="left"/>
        <w:rPr>
          <w:sz w:val="21"/>
        </w:rPr>
      </w:pPr>
      <w:r>
        <w:rPr>
          <w:spacing w:val="-4"/>
          <w:sz w:val="21"/>
        </w:rPr>
        <w:t>肾功能衰竭；</w:t>
      </w:r>
    </w:p>
    <w:p>
      <w:pPr>
        <w:pStyle w:val="ListParagraph"/>
        <w:numPr>
          <w:ilvl w:val="0"/>
          <w:numId w:val="87"/>
        </w:numPr>
        <w:tabs>
          <w:tab w:pos="3490" w:val="left" w:leader="none"/>
        </w:tabs>
        <w:spacing w:line="223" w:lineRule="auto" w:before="57" w:after="0"/>
        <w:ind w:left="2960" w:right="4655" w:firstLine="0"/>
        <w:jc w:val="left"/>
        <w:rPr>
          <w:rFonts w:ascii="微软雅黑" w:eastAsia="微软雅黑"/>
          <w:b/>
          <w:sz w:val="21"/>
        </w:rPr>
      </w:pPr>
      <w:r>
        <w:rPr>
          <w:spacing w:val="-2"/>
          <w:sz w:val="21"/>
        </w:rPr>
        <w:t>诊断须由肾组织活检确定。</w:t>
      </w:r>
      <w:r>
        <w:rPr>
          <w:rFonts w:ascii="微软雅黑" w:eastAsia="微软雅黑"/>
          <w:b/>
          <w:spacing w:val="-2"/>
          <w:sz w:val="21"/>
        </w:rPr>
        <w:t>以下情况不在保障范围内：</w:t>
      </w:r>
    </w:p>
    <w:p>
      <w:pPr>
        <w:pStyle w:val="ListParagraph"/>
        <w:numPr>
          <w:ilvl w:val="0"/>
          <w:numId w:val="88"/>
        </w:numPr>
        <w:tabs>
          <w:tab w:pos="3490" w:val="left" w:leader="none"/>
        </w:tabs>
        <w:spacing w:line="281" w:lineRule="exact" w:before="0" w:after="0"/>
        <w:ind w:left="3489" w:right="0" w:hanging="530"/>
        <w:jc w:val="left"/>
        <w:rPr>
          <w:rFonts w:ascii="微软雅黑" w:eastAsia="微软雅黑"/>
          <w:b/>
          <w:sz w:val="21"/>
        </w:rPr>
      </w:pPr>
      <w:r>
        <w:rPr>
          <w:rFonts w:ascii="微软雅黑" w:eastAsia="微软雅黑"/>
          <w:b/>
          <w:spacing w:val="-3"/>
          <w:sz w:val="21"/>
        </w:rPr>
        <w:t>多囊肾；</w:t>
      </w:r>
    </w:p>
    <w:p>
      <w:pPr>
        <w:pStyle w:val="ListParagraph"/>
        <w:numPr>
          <w:ilvl w:val="0"/>
          <w:numId w:val="88"/>
        </w:numPr>
        <w:tabs>
          <w:tab w:pos="3490" w:val="left" w:leader="none"/>
        </w:tabs>
        <w:spacing w:line="312" w:lineRule="exact" w:before="0" w:after="0"/>
        <w:ind w:left="3489" w:right="0" w:hanging="530"/>
        <w:jc w:val="left"/>
        <w:rPr>
          <w:rFonts w:ascii="微软雅黑" w:eastAsia="微软雅黑"/>
          <w:b/>
          <w:sz w:val="21"/>
        </w:rPr>
      </w:pPr>
      <w:r>
        <w:rPr>
          <w:rFonts w:ascii="微软雅黑" w:eastAsia="微软雅黑"/>
          <w:b/>
          <w:spacing w:val="-3"/>
          <w:sz w:val="21"/>
        </w:rPr>
        <w:t>多囊性肾发育不良和髓质海绵肾。</w:t>
      </w:r>
    </w:p>
    <w:p>
      <w:pPr>
        <w:spacing w:line="194" w:lineRule="auto" w:before="15"/>
        <w:ind w:left="2960" w:right="563"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pStyle w:val="BodyText"/>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严重自身免疫</w:t>
      </w:r>
      <w:r>
        <w:rPr>
          <w:spacing w:val="-4"/>
          <w:sz w:val="21"/>
        </w:rPr>
        <w:t>性肝炎</w:t>
      </w:r>
    </w:p>
    <w:p>
      <w:pPr>
        <w:pStyle w:val="BodyText"/>
        <w:spacing w:line="278" w:lineRule="auto" w:before="72"/>
        <w:ind w:left="175" w:right="667"/>
        <w:jc w:val="both"/>
      </w:pPr>
      <w:r>
        <w:rPr/>
        <w:br w:type="column"/>
      </w:r>
      <w:r>
        <w:rPr>
          <w:spacing w:val="-2"/>
        </w:rPr>
        <w:t>自身免疫性肝炎是一种原因不明的慢性肝脏的坏死性炎性疾病，机体免疫机</w:t>
      </w:r>
      <w:r>
        <w:rPr>
          <w:spacing w:val="-2"/>
        </w:rPr>
        <w:t>制被破坏，产生针对肝脏自身抗原的抗体导致自身免疫反应，从而破坏肝细</w:t>
      </w:r>
      <w:r>
        <w:rPr>
          <w:spacing w:val="-2"/>
        </w:rPr>
        <w:t>胞造成肝脏炎症坏死，进而发展为肝硬化。必须满足所有以下条件：</w:t>
      </w:r>
    </w:p>
    <w:p>
      <w:pPr>
        <w:pStyle w:val="ListParagraph"/>
        <w:numPr>
          <w:ilvl w:val="0"/>
          <w:numId w:val="89"/>
        </w:numPr>
        <w:tabs>
          <w:tab w:pos="705" w:val="left" w:leader="none"/>
        </w:tabs>
        <w:spacing w:line="269" w:lineRule="exact" w:before="0" w:after="0"/>
        <w:ind w:left="704" w:right="0" w:hanging="530"/>
        <w:jc w:val="left"/>
        <w:rPr>
          <w:sz w:val="21"/>
        </w:rPr>
      </w:pPr>
      <w:r>
        <w:rPr>
          <w:spacing w:val="-2"/>
          <w:sz w:val="21"/>
        </w:rPr>
        <w:t>高γ</w:t>
      </w:r>
      <w:r>
        <w:rPr>
          <w:spacing w:val="-4"/>
          <w:sz w:val="21"/>
        </w:rPr>
        <w:t>球蛋白血症；</w:t>
      </w:r>
    </w:p>
    <w:p>
      <w:pPr>
        <w:pStyle w:val="ListParagraph"/>
        <w:numPr>
          <w:ilvl w:val="0"/>
          <w:numId w:val="89"/>
        </w:numPr>
        <w:tabs>
          <w:tab w:pos="705" w:val="left" w:leader="none"/>
        </w:tabs>
        <w:spacing w:line="278" w:lineRule="auto" w:before="43" w:after="0"/>
        <w:ind w:left="700" w:right="666" w:hanging="526"/>
        <w:jc w:val="left"/>
        <w:rPr>
          <w:sz w:val="21"/>
        </w:rPr>
      </w:pPr>
      <w:r>
        <w:rPr>
          <w:spacing w:val="-5"/>
          <w:sz w:val="21"/>
        </w:rPr>
        <w:t>血液中存在高水平的自身免疫抗体，如 </w:t>
      </w:r>
      <w:r>
        <w:rPr>
          <w:spacing w:val="-2"/>
          <w:sz w:val="21"/>
        </w:rPr>
        <w:t>ANA（抗核抗体）、SMA（抗平滑</w:t>
      </w:r>
      <w:r>
        <w:rPr>
          <w:sz w:val="21"/>
        </w:rPr>
        <w:t>肌抗体）</w:t>
      </w:r>
      <w:r>
        <w:rPr>
          <w:spacing w:val="-5"/>
          <w:sz w:val="21"/>
        </w:rPr>
        <w:t>、抗 </w:t>
      </w:r>
      <w:r>
        <w:rPr>
          <w:sz w:val="21"/>
        </w:rPr>
        <w:t>LKM1</w:t>
      </w:r>
      <w:r>
        <w:rPr>
          <w:spacing w:val="-5"/>
          <w:sz w:val="21"/>
        </w:rPr>
        <w:t> 抗体或抗-</w:t>
      </w:r>
      <w:r>
        <w:rPr>
          <w:sz w:val="21"/>
        </w:rPr>
        <w:t>SLA/LP</w:t>
      </w:r>
      <w:r>
        <w:rPr>
          <w:spacing w:val="-6"/>
          <w:sz w:val="21"/>
        </w:rPr>
        <w:t> 抗体；</w:t>
      </w:r>
    </w:p>
    <w:p>
      <w:pPr>
        <w:pStyle w:val="ListParagraph"/>
        <w:numPr>
          <w:ilvl w:val="0"/>
          <w:numId w:val="89"/>
        </w:numPr>
        <w:tabs>
          <w:tab w:pos="705" w:val="left" w:leader="none"/>
        </w:tabs>
        <w:spacing w:line="269" w:lineRule="exact" w:before="0" w:after="0"/>
        <w:ind w:left="704" w:right="0" w:hanging="530"/>
        <w:jc w:val="left"/>
        <w:rPr>
          <w:sz w:val="21"/>
        </w:rPr>
      </w:pPr>
      <w:r>
        <w:rPr>
          <w:spacing w:val="-3"/>
          <w:sz w:val="21"/>
        </w:rPr>
        <w:t>肝脏活检证实免疫性肝炎；</w:t>
      </w:r>
    </w:p>
    <w:p>
      <w:pPr>
        <w:spacing w:after="0" w:line="269" w:lineRule="exact"/>
        <w:jc w:val="left"/>
        <w:rPr>
          <w:sz w:val="21"/>
        </w:rPr>
        <w:sectPr>
          <w:type w:val="continuous"/>
          <w:pgSz w:w="11910" w:h="16840"/>
          <w:pgMar w:header="0" w:footer="406" w:top="600" w:bottom="280" w:left="900" w:right="340"/>
          <w:cols w:num="2" w:equalWidth="0">
            <w:col w:w="2745" w:space="40"/>
            <w:col w:w="7885"/>
          </w:cols>
        </w:sectPr>
      </w:pPr>
    </w:p>
    <w:p>
      <w:pPr>
        <w:pStyle w:val="ListParagraph"/>
        <w:numPr>
          <w:ilvl w:val="0"/>
          <w:numId w:val="89"/>
        </w:numPr>
        <w:tabs>
          <w:tab w:pos="3490" w:val="left" w:leader="none"/>
        </w:tabs>
        <w:spacing w:line="240" w:lineRule="auto" w:before="57" w:after="0"/>
        <w:ind w:left="3489" w:right="0" w:hanging="530"/>
        <w:jc w:val="left"/>
        <w:rPr>
          <w:sz w:val="21"/>
        </w:rPr>
      </w:pPr>
      <w:r>
        <w:rPr>
          <w:spacing w:val="-3"/>
          <w:sz w:val="21"/>
        </w:rPr>
        <w:t>临床已经出现腹水、食道静脉曲张和脾肿大等肝硬化表现。</w:t>
      </w:r>
    </w:p>
    <w:p>
      <w:pPr>
        <w:pStyle w:val="BodyText"/>
        <w:spacing w:before="7"/>
        <w:rPr>
          <w:sz w:val="15"/>
        </w:rPr>
      </w:pPr>
    </w:p>
    <w:p>
      <w:pPr>
        <w:spacing w:after="0"/>
        <w:rPr>
          <w:sz w:val="15"/>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原发性骨髓纤</w:t>
      </w:r>
      <w:r>
        <w:rPr>
          <w:spacing w:val="-6"/>
          <w:sz w:val="21"/>
        </w:rPr>
        <w:t>维化</w:t>
      </w:r>
    </w:p>
    <w:p>
      <w:pPr>
        <w:pStyle w:val="BodyText"/>
        <w:spacing w:line="278" w:lineRule="auto" w:before="72"/>
        <w:ind w:left="175" w:right="666"/>
        <w:jc w:val="both"/>
      </w:pPr>
      <w:r>
        <w:rPr/>
        <w:br w:type="column"/>
      </w:r>
      <w:r>
        <w:rPr>
          <w:spacing w:val="-2"/>
        </w:rPr>
        <w:t>原发性骨髓纤维化为原因不明的骨髓中成纤维细胞增殖，伴有髓外造血，表</w:t>
      </w:r>
      <w:r>
        <w:rPr>
          <w:spacing w:val="-2"/>
        </w:rPr>
        <w:t>现为进行性贫血、脾肿大等症状。该病须根据骨髓的活组织检查和周围血象</w:t>
      </w:r>
      <w:r>
        <w:rPr>
          <w:spacing w:val="-2"/>
        </w:rPr>
        <w:t>检查在本公司认可的医疗机构内由血液科专科医生明确诊断，并至少符合下</w:t>
      </w:r>
      <w:r>
        <w:rPr>
          <w:spacing w:val="-1"/>
        </w:rPr>
        <w:t>列条件中的三项，且符合条件的状态持续 </w:t>
      </w:r>
      <w:r>
        <w:rPr/>
        <w:t>180</w:t>
      </w:r>
      <w:r>
        <w:rPr>
          <w:spacing w:val="-4"/>
        </w:rPr>
        <w:t> 天及以上，并已经实际实施了</w:t>
      </w:r>
      <w:r>
        <w:rPr>
          <w:spacing w:val="-2"/>
        </w:rPr>
        <w:t>针对此症的治疗：</w:t>
      </w:r>
    </w:p>
    <w:p>
      <w:pPr>
        <w:pStyle w:val="BodyText"/>
        <w:spacing w:line="268" w:lineRule="exact"/>
        <w:ind w:left="175"/>
      </w:pPr>
      <w:r>
        <w:rPr>
          <w:spacing w:val="-2"/>
        </w:rPr>
        <w:t>（1）血红蛋白&lt;100g/L；</w:t>
      </w:r>
    </w:p>
    <w:p>
      <w:pPr>
        <w:pStyle w:val="BodyText"/>
        <w:spacing w:before="33"/>
        <w:ind w:left="175"/>
      </w:pPr>
      <w:r>
        <w:rPr>
          <w:spacing w:val="-2"/>
        </w:rPr>
        <w:t>（2）白细胞计数&gt;25×10</w:t>
      </w:r>
      <w:r>
        <w:rPr>
          <w:spacing w:val="-2"/>
          <w:position w:val="11"/>
          <w:sz w:val="11"/>
        </w:rPr>
        <w:t>9</w:t>
      </w:r>
      <w:r>
        <w:rPr>
          <w:spacing w:val="-2"/>
        </w:rPr>
        <w:t>/L；</w:t>
      </w:r>
    </w:p>
    <w:p>
      <w:pPr>
        <w:pStyle w:val="BodyText"/>
        <w:spacing w:before="43"/>
        <w:ind w:left="175"/>
      </w:pPr>
      <w:r>
        <w:rPr/>
        <w:t>（3）</w:t>
      </w:r>
      <w:r>
        <w:rPr>
          <w:spacing w:val="-2"/>
        </w:rPr>
        <w:t>外周血原始细胞≥ </w:t>
      </w:r>
      <w:r>
        <w:rPr>
          <w:spacing w:val="-5"/>
        </w:rPr>
        <w:t>1%；</w:t>
      </w:r>
    </w:p>
    <w:p>
      <w:pPr>
        <w:pStyle w:val="BodyText"/>
        <w:spacing w:line="267" w:lineRule="exact" w:before="33"/>
        <w:ind w:left="175"/>
      </w:pPr>
      <w:r>
        <w:rPr>
          <w:spacing w:val="-2"/>
        </w:rPr>
        <w:t>（4）血小板计数&lt;100×10</w:t>
      </w:r>
      <w:r>
        <w:rPr>
          <w:spacing w:val="-2"/>
          <w:position w:val="11"/>
          <w:sz w:val="11"/>
        </w:rPr>
        <w:t>9</w:t>
      </w:r>
      <w:r>
        <w:rPr>
          <w:spacing w:val="-2"/>
        </w:rPr>
        <w:t>/L</w:t>
      </w:r>
      <w:r>
        <w:rPr>
          <w:spacing w:val="-10"/>
        </w:rPr>
        <w:t>。</w:t>
      </w:r>
    </w:p>
    <w:p>
      <w:pPr>
        <w:pStyle w:val="Heading2"/>
        <w:spacing w:line="375" w:lineRule="exact"/>
        <w:ind w:left="175"/>
      </w:pPr>
      <w:r>
        <w:rPr>
          <w:spacing w:val="-3"/>
        </w:rPr>
        <w:t>任何其他病因导致的继发性骨髓纤维化不在保障范围内。</w:t>
      </w:r>
    </w:p>
    <w:p>
      <w:pPr>
        <w:spacing w:after="0" w:line="375" w:lineRule="exact"/>
        <w:sectPr>
          <w:type w:val="continuous"/>
          <w:pgSz w:w="11910" w:h="16840"/>
          <w:pgMar w:header="0" w:footer="406" w:top="600" w:bottom="280" w:left="900" w:right="340"/>
          <w:cols w:num="2" w:equalWidth="0">
            <w:col w:w="2745" w:space="40"/>
            <w:col w:w="7885"/>
          </w:cols>
        </w:sectPr>
      </w:pPr>
    </w:p>
    <w:p>
      <w:pPr>
        <w:pStyle w:val="BodyText"/>
        <w:spacing w:before="1"/>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both"/>
        <w:rPr>
          <w:sz w:val="21"/>
        </w:rPr>
      </w:pPr>
      <w:r>
        <w:rPr>
          <w:spacing w:val="8"/>
          <w:sz w:val="21"/>
        </w:rPr>
        <w:t>严重获得性或</w:t>
      </w:r>
      <w:r>
        <w:rPr>
          <w:spacing w:val="26"/>
          <w:sz w:val="21"/>
        </w:rPr>
        <w:t>继发性肺泡蛋白</w:t>
      </w:r>
      <w:r>
        <w:rPr>
          <w:spacing w:val="-4"/>
          <w:sz w:val="21"/>
        </w:rPr>
        <w:t>质沉积症</w:t>
      </w:r>
    </w:p>
    <w:p>
      <w:pPr>
        <w:pStyle w:val="BodyText"/>
        <w:spacing w:line="278" w:lineRule="auto" w:before="71"/>
        <w:ind w:left="142" w:right="667"/>
      </w:pPr>
      <w:r>
        <w:rPr/>
        <w:br w:type="column"/>
      </w:r>
      <w:r>
        <w:rPr>
          <w:spacing w:val="-2"/>
        </w:rPr>
        <w:t>因获得性或继发性原因导致双肺肺泡和细支气管腔内充满不可溶性富磷脂蛋</w:t>
      </w:r>
      <w:r>
        <w:rPr>
          <w:spacing w:val="-2"/>
        </w:rPr>
        <w:t>白的疾病。理赔时须满足下列所有条件：</w:t>
      </w:r>
    </w:p>
    <w:p>
      <w:pPr>
        <w:pStyle w:val="ListParagraph"/>
        <w:numPr>
          <w:ilvl w:val="0"/>
          <w:numId w:val="90"/>
        </w:numPr>
        <w:tabs>
          <w:tab w:pos="710" w:val="left" w:leader="none"/>
        </w:tabs>
        <w:spacing w:line="240" w:lineRule="auto" w:before="1" w:after="0"/>
        <w:ind w:left="709" w:right="0" w:hanging="568"/>
        <w:jc w:val="left"/>
        <w:rPr>
          <w:sz w:val="21"/>
        </w:rPr>
      </w:pPr>
      <w:r>
        <w:rPr>
          <w:spacing w:val="10"/>
          <w:sz w:val="21"/>
        </w:rPr>
        <w:t>支气管镜活检或开胸肺活检病理检查证实肺泡内充满有过碘酸雪夫</w:t>
      </w:r>
    </w:p>
    <w:p>
      <w:pPr>
        <w:pStyle w:val="BodyText"/>
        <w:spacing w:before="43"/>
        <w:ind w:left="668"/>
      </w:pPr>
      <w:r>
        <w:rPr>
          <w:spacing w:val="-2"/>
        </w:rPr>
        <w:t>（PAS）</w:t>
      </w:r>
      <w:r>
        <w:rPr>
          <w:spacing w:val="-3"/>
        </w:rPr>
        <w:t>染色阳性的蛋白样物质；</w:t>
      </w:r>
    </w:p>
    <w:p>
      <w:pPr>
        <w:pStyle w:val="ListParagraph"/>
        <w:numPr>
          <w:ilvl w:val="0"/>
          <w:numId w:val="90"/>
        </w:numPr>
        <w:tabs>
          <w:tab w:pos="672" w:val="left" w:leader="none"/>
        </w:tabs>
        <w:spacing w:line="278" w:lineRule="auto" w:before="43" w:after="0"/>
        <w:ind w:left="668" w:right="666" w:hanging="526"/>
        <w:jc w:val="left"/>
        <w:rPr>
          <w:sz w:val="21"/>
        </w:rPr>
      </w:pPr>
      <w:r>
        <w:rPr>
          <w:spacing w:val="-2"/>
          <w:sz w:val="21"/>
        </w:rPr>
        <w:t>被保险人因中重度呼吸困难或低氧血症而实际已行全身麻醉下的全肺灌</w:t>
      </w:r>
      <w:r>
        <w:rPr>
          <w:spacing w:val="-4"/>
          <w:sz w:val="21"/>
        </w:rPr>
        <w:t>洗治疗。</w:t>
      </w:r>
    </w:p>
    <w:p>
      <w:pPr>
        <w:spacing w:after="0" w:line="278" w:lineRule="auto"/>
        <w:jc w:val="left"/>
        <w:rPr>
          <w:sz w:val="21"/>
        </w:rPr>
        <w:sectPr>
          <w:type w:val="continuous"/>
          <w:pgSz w:w="11910" w:h="16840"/>
          <w:pgMar w:header="0" w:footer="406" w:top="600" w:bottom="280" w:left="900" w:right="340"/>
          <w:cols w:num="2" w:equalWidth="0">
            <w:col w:w="2778" w:space="40"/>
            <w:col w:w="7852"/>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严重肠道疾病</w:t>
      </w:r>
      <w:r>
        <w:rPr>
          <w:spacing w:val="-4"/>
          <w:sz w:val="21"/>
        </w:rPr>
        <w:t>并发症</w:t>
      </w:r>
    </w:p>
    <w:p>
      <w:pPr>
        <w:pStyle w:val="BodyText"/>
        <w:spacing w:before="71"/>
        <w:ind w:left="175"/>
      </w:pPr>
      <w:r>
        <w:rPr/>
        <w:br w:type="column"/>
      </w:r>
      <w:r>
        <w:rPr>
          <w:spacing w:val="-3"/>
        </w:rPr>
        <w:t>严重肠道疾病或外伤导致小肠损害并发症，本疾病须满足以下所有条件：</w:t>
      </w:r>
    </w:p>
    <w:p>
      <w:pPr>
        <w:pStyle w:val="ListParagraph"/>
        <w:numPr>
          <w:ilvl w:val="0"/>
          <w:numId w:val="91"/>
        </w:numPr>
        <w:tabs>
          <w:tab w:pos="705" w:val="left" w:leader="none"/>
        </w:tabs>
        <w:spacing w:line="240" w:lineRule="auto" w:before="43" w:after="0"/>
        <w:ind w:left="704" w:right="0" w:hanging="530"/>
        <w:jc w:val="left"/>
        <w:rPr>
          <w:sz w:val="21"/>
        </w:rPr>
      </w:pPr>
      <w:r>
        <w:rPr>
          <w:spacing w:val="-3"/>
          <w:sz w:val="21"/>
        </w:rPr>
        <w:t>至少切除了三分之二小肠；</w:t>
      </w:r>
    </w:p>
    <w:p>
      <w:pPr>
        <w:pStyle w:val="ListParagraph"/>
        <w:numPr>
          <w:ilvl w:val="0"/>
          <w:numId w:val="91"/>
        </w:numPr>
        <w:tabs>
          <w:tab w:pos="705" w:val="left" w:leader="none"/>
        </w:tabs>
        <w:spacing w:line="240" w:lineRule="auto" w:before="43" w:after="0"/>
        <w:ind w:left="704"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406" w:top="600" w:bottom="280" w:left="900" w:right="340"/>
          <w:cols w:num="2" w:equalWidth="0">
            <w:col w:w="2745" w:space="40"/>
            <w:col w:w="7885"/>
          </w:cols>
        </w:sectPr>
      </w:pPr>
    </w:p>
    <w:p>
      <w:pPr>
        <w:pStyle w:val="BodyText"/>
        <w:spacing w:before="7"/>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严重骨髓异常</w:t>
      </w:r>
      <w:r>
        <w:rPr>
          <w:spacing w:val="-2"/>
          <w:sz w:val="21"/>
        </w:rPr>
        <w:t>增生综合征</w:t>
      </w:r>
    </w:p>
    <w:p>
      <w:pPr>
        <w:pStyle w:val="BodyText"/>
        <w:spacing w:line="278" w:lineRule="auto" w:before="72"/>
        <w:ind w:left="175"/>
      </w:pPr>
      <w:r>
        <w:rPr/>
        <w:br w:type="column"/>
      </w:r>
      <w:r>
        <w:rPr>
          <w:spacing w:val="17"/>
        </w:rPr>
        <w:t>严重骨髓异常增生综合征是指符合世界卫生组织</w:t>
      </w:r>
      <w:r>
        <w:rPr/>
        <w:t>（</w:t>
      </w:r>
      <w:r>
        <w:rPr>
          <w:spacing w:val="-85"/>
        </w:rPr>
        <w:t> </w:t>
      </w:r>
      <w:r>
        <w:rPr/>
        <w:t>WHO</w:t>
      </w:r>
      <w:r>
        <w:rPr>
          <w:spacing w:val="-29"/>
        </w:rPr>
        <w:t> ， </w:t>
      </w:r>
      <w:r>
        <w:rPr/>
        <w:t>World Health </w:t>
      </w:r>
      <w:r>
        <w:rPr>
          <w:spacing w:val="-2"/>
        </w:rPr>
        <w:t>Organization）2008 年分型方案中的难治性贫血细胞减少伴原始细胞增多-</w:t>
      </w:r>
      <w:r>
        <w:rPr>
          <w:spacing w:val="-10"/>
        </w:rPr>
        <w:t>1</w:t>
      </w:r>
    </w:p>
    <w:p>
      <w:pPr>
        <w:pStyle w:val="BodyText"/>
        <w:spacing w:line="278" w:lineRule="auto"/>
        <w:ind w:left="175" w:right="661"/>
      </w:pPr>
      <w:r>
        <w:rPr>
          <w:spacing w:val="-2"/>
        </w:rPr>
        <w:t>（RAEB-1）、难治性贫血细胞减少伴原始细胞增多-2（RAEB-2）、MDS-未分</w:t>
      </w:r>
      <w:r>
        <w:rPr/>
        <w:t>类（MDS-U）、MDS</w:t>
      </w:r>
      <w:r>
        <w:rPr>
          <w:spacing w:val="-11"/>
        </w:rPr>
        <w:t> 伴单纯 </w:t>
      </w:r>
      <w:r>
        <w:rPr/>
        <w:t>5q-，且需满足下列所有条件：</w:t>
      </w:r>
    </w:p>
    <w:p>
      <w:pPr>
        <w:pStyle w:val="ListParagraph"/>
        <w:numPr>
          <w:ilvl w:val="0"/>
          <w:numId w:val="92"/>
        </w:numPr>
        <w:tabs>
          <w:tab w:pos="705" w:val="left" w:leader="none"/>
        </w:tabs>
        <w:spacing w:line="278" w:lineRule="auto" w:before="0" w:after="0"/>
        <w:ind w:left="700" w:right="663" w:hanging="526"/>
        <w:jc w:val="left"/>
        <w:rPr>
          <w:sz w:val="21"/>
        </w:rPr>
      </w:pPr>
      <w:r>
        <w:rPr>
          <w:spacing w:val="-2"/>
          <w:sz w:val="21"/>
        </w:rPr>
        <w:t>由本公司认可的医疗机构中设有专门血液病专科的公立三级甲等医院，</w:t>
      </w:r>
      <w:r>
        <w:rPr>
          <w:spacing w:val="-2"/>
          <w:sz w:val="21"/>
        </w:rPr>
        <w:t>血液病专科的主治级别以上的医师确诊；</w:t>
      </w:r>
    </w:p>
    <w:p>
      <w:pPr>
        <w:pStyle w:val="ListParagraph"/>
        <w:numPr>
          <w:ilvl w:val="0"/>
          <w:numId w:val="92"/>
        </w:numPr>
        <w:tabs>
          <w:tab w:pos="705" w:val="left" w:leader="none"/>
        </w:tabs>
        <w:spacing w:line="269" w:lineRule="exact" w:before="0" w:after="0"/>
        <w:ind w:left="704" w:right="0" w:hanging="530"/>
        <w:jc w:val="left"/>
        <w:rPr>
          <w:sz w:val="21"/>
        </w:rPr>
      </w:pPr>
      <w:r>
        <w:rPr>
          <w:spacing w:val="-3"/>
          <w:sz w:val="21"/>
        </w:rPr>
        <w:t>骨髓穿刺或骨髓活检结果支持诊断；</w:t>
      </w:r>
    </w:p>
    <w:p>
      <w:pPr>
        <w:pStyle w:val="ListParagraph"/>
        <w:numPr>
          <w:ilvl w:val="0"/>
          <w:numId w:val="92"/>
        </w:numPr>
        <w:tabs>
          <w:tab w:pos="702" w:val="left" w:leader="none"/>
        </w:tabs>
        <w:spacing w:line="278" w:lineRule="auto" w:before="43" w:after="0"/>
        <w:ind w:left="700" w:right="666" w:hanging="526"/>
        <w:jc w:val="left"/>
        <w:rPr>
          <w:sz w:val="21"/>
        </w:rPr>
      </w:pPr>
      <w:r>
        <w:rPr>
          <w:spacing w:val="-2"/>
          <w:sz w:val="21"/>
        </w:rPr>
        <w:t>被保险人已持续接受一个月以上的化疗或已接受骨髓移植治疗。化疗天</w:t>
      </w:r>
      <w:r>
        <w:rPr>
          <w:spacing w:val="-2"/>
          <w:sz w:val="21"/>
        </w:rPr>
        <w:t>数的计算以被保险人实际服用、注射化疗药物的天数为准。</w:t>
      </w:r>
    </w:p>
    <w:p>
      <w:pPr>
        <w:spacing w:after="0" w:line="278" w:lineRule="auto"/>
        <w:jc w:val="left"/>
        <w:rPr>
          <w:sz w:val="21"/>
        </w:rPr>
        <w:sectPr>
          <w:type w:val="continuous"/>
          <w:pgSz w:w="11910" w:h="16840"/>
          <w:pgMar w:header="0" w:footer="406" w:top="600" w:bottom="280" w:left="900" w:right="340"/>
          <w:cols w:num="2" w:equalWidth="0">
            <w:col w:w="2745" w:space="40"/>
            <w:col w:w="7885"/>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1" w:after="0"/>
        <w:ind w:left="1080" w:right="0" w:firstLine="0"/>
        <w:jc w:val="left"/>
        <w:rPr>
          <w:sz w:val="21"/>
        </w:rPr>
      </w:pPr>
      <w:r>
        <w:rPr>
          <w:spacing w:val="8"/>
          <w:sz w:val="21"/>
        </w:rPr>
        <w:t>严重甲型及乙</w:t>
      </w:r>
      <w:r>
        <w:rPr>
          <w:spacing w:val="-4"/>
          <w:sz w:val="21"/>
        </w:rPr>
        <w:t>型血友病</w:t>
      </w:r>
    </w:p>
    <w:p>
      <w:pPr>
        <w:pStyle w:val="BodyText"/>
        <w:spacing w:before="71"/>
        <w:ind w:left="175"/>
      </w:pPr>
      <w:r>
        <w:rPr/>
        <w:br w:type="column"/>
      </w:r>
      <w:r>
        <w:rPr/>
        <w:t>被保险人必须是患上严重甲型血友病（缺乏Ⅷ凝血因子）</w:t>
      </w:r>
      <w:r>
        <w:rPr>
          <w:spacing w:val="-2"/>
        </w:rPr>
        <w:t>或严重乙型血友病</w:t>
      </w:r>
    </w:p>
    <w:p>
      <w:pPr>
        <w:pStyle w:val="BodyText"/>
        <w:spacing w:line="278" w:lineRule="auto" w:before="43"/>
        <w:ind w:left="175" w:right="668"/>
      </w:pPr>
      <w:r>
        <w:rPr/>
        <w:t>（缺乏Ⅸ凝血因子）</w:t>
      </w:r>
      <w:r>
        <w:rPr>
          <w:spacing w:val="-2"/>
        </w:rPr>
        <w:t>，而凝血因子Ⅷ或凝血因子Ⅸ的活性水平少于 </w:t>
      </w:r>
      <w:r>
        <w:rPr/>
        <w:t>1%。诊断</w:t>
      </w:r>
      <w:r>
        <w:rPr>
          <w:spacing w:val="-2"/>
        </w:rPr>
        <w:t>必须在本公司认可的医疗机构内由血液病专科医生确认。</w:t>
      </w:r>
    </w:p>
    <w:p>
      <w:pPr>
        <w:pStyle w:val="Heading2"/>
        <w:spacing w:line="282" w:lineRule="exact"/>
        <w:ind w:left="175"/>
      </w:pPr>
      <w:r>
        <w:rPr>
          <w:spacing w:val="-3"/>
        </w:rPr>
        <w:t>本公司承担本项疾病责任不受本合同责任免除中“遗传性疾病、先天性畸形、</w:t>
      </w:r>
    </w:p>
    <w:p>
      <w:pPr>
        <w:spacing w:line="350" w:lineRule="exact" w:before="0"/>
        <w:ind w:left="175" w:right="0" w:firstLine="0"/>
        <w:jc w:val="left"/>
        <w:rPr>
          <w:rFonts w:ascii="微软雅黑" w:hAnsi="微软雅黑" w:eastAsia="微软雅黑"/>
          <w:b/>
          <w:sz w:val="21"/>
        </w:rPr>
      </w:pPr>
      <w:r>
        <w:rPr>
          <w:rFonts w:ascii="微软雅黑" w:hAnsi="微软雅黑" w:eastAsia="微软雅黑"/>
          <w:b/>
          <w:spacing w:val="-3"/>
          <w:sz w:val="21"/>
        </w:rPr>
        <w:t>变形或染色体异常”的限制。</w:t>
      </w:r>
    </w:p>
    <w:p>
      <w:pPr>
        <w:spacing w:after="0" w:line="350" w:lineRule="exact"/>
        <w:jc w:val="left"/>
        <w:rPr>
          <w:rFonts w:ascii="微软雅黑" w:hAns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2"/>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重症急性坏死</w:t>
      </w:r>
      <w:r>
        <w:rPr>
          <w:spacing w:val="-4"/>
          <w:sz w:val="21"/>
        </w:rPr>
        <w:t>性筋膜炎</w:t>
      </w:r>
    </w:p>
    <w:p>
      <w:pPr>
        <w:pStyle w:val="BodyText"/>
        <w:spacing w:before="72"/>
        <w:ind w:left="175"/>
      </w:pPr>
      <w:r>
        <w:rPr/>
        <w:br w:type="column"/>
      </w:r>
      <w:r>
        <w:rPr>
          <w:spacing w:val="-3"/>
        </w:rPr>
        <w:t>坏死性筋膜炎的诊断须同时符合下列要求：</w:t>
      </w:r>
    </w:p>
    <w:p>
      <w:pPr>
        <w:pStyle w:val="ListParagraph"/>
        <w:numPr>
          <w:ilvl w:val="0"/>
          <w:numId w:val="93"/>
        </w:numPr>
        <w:tabs>
          <w:tab w:pos="705" w:val="left" w:leader="none"/>
        </w:tabs>
        <w:spacing w:line="240" w:lineRule="auto" w:before="43" w:after="0"/>
        <w:ind w:left="704" w:right="0" w:hanging="530"/>
        <w:jc w:val="left"/>
        <w:rPr>
          <w:sz w:val="21"/>
        </w:rPr>
      </w:pPr>
      <w:r>
        <w:rPr>
          <w:spacing w:val="-3"/>
          <w:sz w:val="21"/>
        </w:rPr>
        <w:t>符合坏死性筋膜炎的一般临床表现；</w:t>
      </w:r>
    </w:p>
    <w:p>
      <w:pPr>
        <w:pStyle w:val="ListParagraph"/>
        <w:numPr>
          <w:ilvl w:val="0"/>
          <w:numId w:val="93"/>
        </w:numPr>
        <w:tabs>
          <w:tab w:pos="705" w:val="left" w:leader="none"/>
        </w:tabs>
        <w:spacing w:line="240" w:lineRule="auto" w:before="43" w:after="0"/>
        <w:ind w:left="704" w:right="0" w:hanging="530"/>
        <w:jc w:val="left"/>
        <w:rPr>
          <w:sz w:val="21"/>
        </w:rPr>
      </w:pPr>
      <w:r>
        <w:rPr>
          <w:spacing w:val="-3"/>
          <w:sz w:val="21"/>
        </w:rPr>
        <w:t>细菌培养检出致病菌；</w:t>
      </w:r>
    </w:p>
    <w:p>
      <w:pPr>
        <w:pStyle w:val="ListParagraph"/>
        <w:numPr>
          <w:ilvl w:val="0"/>
          <w:numId w:val="93"/>
        </w:numPr>
        <w:tabs>
          <w:tab w:pos="702" w:val="left" w:leader="none"/>
        </w:tabs>
        <w:spacing w:line="278" w:lineRule="auto" w:before="42" w:after="0"/>
        <w:ind w:left="700" w:right="666" w:hanging="526"/>
        <w:jc w:val="left"/>
        <w:rPr>
          <w:sz w:val="21"/>
        </w:rPr>
      </w:pPr>
      <w:r>
        <w:rPr>
          <w:spacing w:val="-2"/>
          <w:sz w:val="21"/>
        </w:rPr>
        <w:t>出现广泛性肌肉及软组织坏死，并导致身体受影响部位永久完全失去功</w:t>
      </w:r>
      <w:r>
        <w:rPr>
          <w:spacing w:val="-6"/>
          <w:sz w:val="21"/>
        </w:rPr>
        <w:t>能。</w:t>
      </w:r>
    </w:p>
    <w:p>
      <w:pPr>
        <w:pStyle w:val="BodyText"/>
        <w:spacing w:line="269" w:lineRule="exact"/>
        <w:ind w:left="175"/>
      </w:pPr>
      <w:r>
        <w:rPr>
          <w:spacing w:val="-4"/>
        </w:rPr>
        <w:t>所谓永久完全失去功能是指受影响部位的全部功能完全丧失超过 </w:t>
      </w:r>
      <w:r>
        <w:rPr>
          <w:spacing w:val="-2"/>
        </w:rPr>
        <w:t>180</w:t>
      </w:r>
      <w:r>
        <w:rPr>
          <w:spacing w:val="-1"/>
        </w:rPr>
        <w:t> 天者。</w:t>
      </w:r>
    </w:p>
    <w:p>
      <w:pPr>
        <w:spacing w:after="0" w:line="269" w:lineRule="exact"/>
        <w:sectPr>
          <w:type w:val="continuous"/>
          <w:pgSz w:w="11910" w:h="16840"/>
          <w:pgMar w:header="0" w:footer="406" w:top="600" w:bottom="280" w:left="900" w:right="340"/>
          <w:cols w:num="2" w:equalWidth="0">
            <w:col w:w="2745" w:space="40"/>
            <w:col w:w="7885"/>
          </w:cols>
        </w:sectPr>
      </w:pPr>
    </w:p>
    <w:p>
      <w:pPr>
        <w:pStyle w:val="BodyText"/>
        <w:spacing w:before="8"/>
        <w:rPr>
          <w:sz w:val="15"/>
        </w:rPr>
      </w:pPr>
    </w:p>
    <w:p>
      <w:pPr>
        <w:pStyle w:val="ListParagraph"/>
        <w:numPr>
          <w:ilvl w:val="2"/>
          <w:numId w:val="40"/>
        </w:numPr>
        <w:tabs>
          <w:tab w:pos="1412" w:val="left" w:leader="none"/>
        </w:tabs>
        <w:spacing w:line="240" w:lineRule="auto" w:before="71" w:after="0"/>
        <w:ind w:left="1411" w:right="0" w:hanging="332"/>
        <w:jc w:val="left"/>
        <w:rPr>
          <w:sz w:val="21"/>
        </w:rPr>
      </w:pPr>
      <w:r>
        <w:rPr>
          <w:sz w:val="21"/>
        </w:rPr>
        <w:t>经输血导致的 是指被保险人感染上人类免疫缺陷病毒（HIV）</w:t>
      </w:r>
      <w:r>
        <w:rPr>
          <w:spacing w:val="-1"/>
          <w:sz w:val="21"/>
        </w:rPr>
        <w:t>并且符合下列所有条件：</w:t>
      </w:r>
    </w:p>
    <w:p>
      <w:pPr>
        <w:spacing w:after="0" w:line="240" w:lineRule="auto"/>
        <w:jc w:val="left"/>
        <w:rPr>
          <w:sz w:val="21"/>
        </w:rPr>
        <w:sectPr>
          <w:type w:val="continuous"/>
          <w:pgSz w:w="11910" w:h="16840"/>
          <w:pgMar w:header="0" w:footer="406" w:top="600" w:bottom="280" w:left="900" w:right="340"/>
        </w:sectPr>
      </w:pPr>
    </w:p>
    <w:p>
      <w:pPr>
        <w:pStyle w:val="BodyText"/>
        <w:tabs>
          <w:tab w:pos="2960" w:val="left" w:leader="none"/>
        </w:tabs>
        <w:spacing w:before="57"/>
        <w:ind w:left="1080"/>
      </w:pPr>
      <w:r>
        <w:rPr>
          <w:spacing w:val="-2"/>
        </w:rPr>
        <w:t>HIV</w:t>
      </w:r>
      <w:r>
        <w:rPr>
          <w:spacing w:val="-48"/>
        </w:rPr>
        <w:t> </w:t>
      </w:r>
      <w:r>
        <w:rPr>
          <w:spacing w:val="-2"/>
        </w:rPr>
        <w:t>感</w:t>
      </w:r>
      <w:r>
        <w:rPr>
          <w:spacing w:val="-10"/>
        </w:rPr>
        <w:t>染</w:t>
      </w:r>
      <w:r>
        <w:rPr/>
        <w:tab/>
      </w:r>
      <w:r>
        <w:rPr>
          <w:spacing w:val="-2"/>
        </w:rPr>
        <w:t>（1）被保险人因治疗必需</w:t>
      </w:r>
      <w:r>
        <w:rPr>
          <w:spacing w:val="-2"/>
        </w:rPr>
        <w:t>而</w:t>
      </w:r>
      <w:r>
        <w:rPr>
          <w:spacing w:val="-2"/>
        </w:rPr>
        <w:t>接</w:t>
      </w:r>
      <w:r>
        <w:rPr>
          <w:spacing w:val="-2"/>
        </w:rPr>
        <w:t>受输</w:t>
      </w:r>
      <w:r>
        <w:rPr>
          <w:spacing w:val="-2"/>
        </w:rPr>
        <w:t>血</w:t>
      </w:r>
      <w:r>
        <w:rPr>
          <w:spacing w:val="-2"/>
        </w:rPr>
        <w:t>，并且因</w:t>
      </w:r>
      <w:r>
        <w:rPr>
          <w:spacing w:val="-2"/>
        </w:rPr>
        <w:t>输</w:t>
      </w:r>
      <w:r>
        <w:rPr>
          <w:spacing w:val="-2"/>
        </w:rPr>
        <w:t>血</w:t>
      </w:r>
      <w:r>
        <w:rPr>
          <w:spacing w:val="-2"/>
        </w:rPr>
        <w:t>而</w:t>
      </w:r>
      <w:r>
        <w:rPr>
          <w:spacing w:val="-2"/>
        </w:rPr>
        <w:t>感</w:t>
      </w:r>
      <w:r>
        <w:rPr>
          <w:spacing w:val="-2"/>
        </w:rPr>
        <w:t>染人类免疫缺陷</w:t>
      </w:r>
      <w:r>
        <w:rPr>
          <w:spacing w:val="-2"/>
        </w:rPr>
        <w:t>病</w:t>
      </w:r>
      <w:r>
        <w:rPr>
          <w:spacing w:val="-10"/>
        </w:rPr>
        <w:t>毒</w:t>
      </w:r>
    </w:p>
    <w:p>
      <w:pPr>
        <w:pStyle w:val="BodyText"/>
        <w:spacing w:before="43"/>
        <w:ind w:left="3485"/>
      </w:pPr>
      <w:r>
        <w:rPr>
          <w:spacing w:val="-2"/>
        </w:rPr>
        <w:t>（HIV）；</w:t>
      </w:r>
    </w:p>
    <w:p>
      <w:pPr>
        <w:pStyle w:val="ListParagraph"/>
        <w:numPr>
          <w:ilvl w:val="1"/>
          <w:numId w:val="93"/>
        </w:numPr>
        <w:tabs>
          <w:tab w:pos="3490" w:val="left" w:leader="none"/>
        </w:tabs>
        <w:spacing w:line="278" w:lineRule="auto" w:before="43" w:after="0"/>
        <w:ind w:left="3485" w:right="666" w:hanging="526"/>
        <w:jc w:val="left"/>
        <w:rPr>
          <w:sz w:val="21"/>
        </w:rPr>
      </w:pPr>
      <w:r>
        <w:rPr>
          <w:spacing w:val="-2"/>
          <w:sz w:val="21"/>
        </w:rPr>
        <w:t>提供输血治疗的输血中心或医院出具该项输血感染属医疗责任事故的报</w:t>
      </w:r>
      <w:r>
        <w:rPr>
          <w:spacing w:val="-2"/>
          <w:sz w:val="21"/>
        </w:rPr>
        <w:t>告，或者法院终审裁定为医疗责任并且不准上诉；</w:t>
      </w:r>
    </w:p>
    <w:p>
      <w:pPr>
        <w:pStyle w:val="ListParagraph"/>
        <w:numPr>
          <w:ilvl w:val="1"/>
          <w:numId w:val="93"/>
        </w:numPr>
        <w:tabs>
          <w:tab w:pos="3490" w:val="left" w:leader="none"/>
        </w:tabs>
        <w:spacing w:line="269" w:lineRule="exact" w:before="0" w:after="0"/>
        <w:ind w:left="3489" w:right="0" w:hanging="530"/>
        <w:jc w:val="left"/>
        <w:rPr>
          <w:sz w:val="21"/>
        </w:rPr>
      </w:pPr>
      <w:r>
        <w:rPr>
          <w:spacing w:val="-3"/>
          <w:sz w:val="21"/>
        </w:rPr>
        <w:t>提供输血治疗的输血中心或医院必须拥有合法经营执照；</w:t>
      </w:r>
    </w:p>
    <w:p>
      <w:pPr>
        <w:pStyle w:val="ListParagraph"/>
        <w:numPr>
          <w:ilvl w:val="1"/>
          <w:numId w:val="93"/>
        </w:numPr>
        <w:tabs>
          <w:tab w:pos="3490" w:val="left" w:leader="none"/>
        </w:tabs>
        <w:spacing w:line="257" w:lineRule="exact" w:before="43" w:after="0"/>
        <w:ind w:left="3489" w:right="0" w:hanging="530"/>
        <w:jc w:val="left"/>
        <w:rPr>
          <w:sz w:val="21"/>
        </w:rPr>
      </w:pPr>
      <w:r>
        <w:rPr>
          <w:spacing w:val="-3"/>
          <w:sz w:val="21"/>
        </w:rPr>
        <w:t>受感染的被保险人不是血友病患者。</w:t>
      </w:r>
    </w:p>
    <w:p>
      <w:pPr>
        <w:spacing w:line="194" w:lineRule="auto" w:before="41"/>
        <w:ind w:left="2960" w:right="667" w:firstLine="0"/>
        <w:jc w:val="both"/>
        <w:rPr>
          <w:rFonts w:ascii="微软雅黑" w:eastAsia="微软雅黑"/>
          <w:b/>
          <w:sz w:val="21"/>
        </w:rPr>
      </w:pPr>
      <w:r>
        <w:rPr>
          <w:rFonts w:ascii="微软雅黑" w:eastAsia="微软雅黑"/>
          <w:b/>
          <w:spacing w:val="-3"/>
          <w:w w:val="100"/>
          <w:sz w:val="21"/>
        </w:rPr>
        <w:t>在任何治愈艾滋病或阻止人类免疫缺陷病毒</w:t>
      </w:r>
      <w:r>
        <w:rPr>
          <w:rFonts w:ascii="微软雅黑" w:eastAsia="微软雅黑"/>
          <w:b/>
          <w:w w:val="100"/>
          <w:sz w:val="21"/>
        </w:rPr>
        <w:t>（</w:t>
      </w:r>
      <w:r>
        <w:rPr>
          <w:rFonts w:ascii="微软雅黑" w:eastAsia="微软雅黑"/>
          <w:b/>
          <w:w w:val="80"/>
          <w:sz w:val="21"/>
        </w:rPr>
        <w:t>HIV</w:t>
      </w:r>
      <w:r>
        <w:rPr>
          <w:rFonts w:ascii="微软雅黑" w:eastAsia="微软雅黑"/>
          <w:b/>
          <w:spacing w:val="-17"/>
          <w:w w:val="100"/>
          <w:sz w:val="21"/>
        </w:rPr>
        <w:t>）</w:t>
      </w:r>
      <w:r>
        <w:rPr>
          <w:rFonts w:ascii="微软雅黑" w:eastAsia="微软雅黑"/>
          <w:b/>
          <w:spacing w:val="-3"/>
          <w:w w:val="100"/>
          <w:sz w:val="21"/>
        </w:rPr>
        <w:t>病毒作用的疗法被发现以</w:t>
      </w:r>
      <w:r>
        <w:rPr>
          <w:rFonts w:ascii="微软雅黑" w:eastAsia="微软雅黑"/>
          <w:b/>
          <w:w w:val="100"/>
          <w:sz w:val="21"/>
        </w:rPr>
        <w:t>后，或能防止艾滋病发生的医疗方法被研究出来以后，本保障将不再予以赔付。</w:t>
      </w:r>
    </w:p>
    <w:p>
      <w:pPr>
        <w:spacing w:line="194" w:lineRule="auto" w:before="0"/>
        <w:ind w:left="2960" w:right="676" w:firstLine="0"/>
        <w:jc w:val="left"/>
        <w:rPr>
          <w:rFonts w:ascii="微软雅黑" w:eastAsia="微软雅黑"/>
          <w:b/>
          <w:sz w:val="21"/>
        </w:rPr>
      </w:pPr>
      <w:r>
        <w:rPr>
          <w:rFonts w:ascii="微软雅黑" w:eastAsia="微软雅黑"/>
          <w:b/>
          <w:spacing w:val="-2"/>
          <w:sz w:val="21"/>
        </w:rPr>
        <w:t>本公司必须拥有获得使用被保险人的所有血液样本的权利和能够对这些样本</w:t>
      </w:r>
      <w:r>
        <w:rPr>
          <w:rFonts w:ascii="微软雅黑" w:eastAsia="微软雅黑"/>
          <w:b/>
          <w:spacing w:val="-2"/>
          <w:sz w:val="21"/>
        </w:rPr>
        <w:t>进行独立检验的权利。</w:t>
      </w:r>
    </w:p>
    <w:p>
      <w:pPr>
        <w:spacing w:line="194" w:lineRule="auto" w:before="0"/>
        <w:ind w:left="2960" w:right="667"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本公司承担本项疾病责任不受本合同责任免除中“被保险人感染艾滋病病毒</w:t>
      </w:r>
      <w:r>
        <w:rPr>
          <w:rFonts w:ascii="微软雅黑" w:hAnsi="微软雅黑" w:eastAsia="微软雅黑"/>
          <w:b/>
          <w:spacing w:val="-2"/>
          <w:sz w:val="21"/>
        </w:rPr>
        <w:t>或患艾滋病”的限制。</w:t>
      </w:r>
    </w:p>
    <w:p>
      <w:pPr>
        <w:pStyle w:val="BodyText"/>
        <w:spacing w:before="13"/>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器官移植导致</w:t>
      </w:r>
      <w:r>
        <w:rPr>
          <w:spacing w:val="-11"/>
          <w:sz w:val="21"/>
        </w:rPr>
        <w:t>的 </w:t>
      </w:r>
      <w:r>
        <w:rPr>
          <w:sz w:val="21"/>
        </w:rPr>
        <w:t>HIV</w:t>
      </w:r>
      <w:r>
        <w:rPr>
          <w:spacing w:val="-9"/>
          <w:sz w:val="21"/>
        </w:rPr>
        <w:t> 感染</w:t>
      </w:r>
    </w:p>
    <w:p>
      <w:pPr>
        <w:pStyle w:val="BodyText"/>
        <w:spacing w:line="278" w:lineRule="auto" w:before="72"/>
        <w:ind w:left="175" w:right="666"/>
      </w:pPr>
      <w:r>
        <w:rPr/>
        <w:br w:type="column"/>
      </w:r>
      <w:r>
        <w:rPr>
          <w:spacing w:val="-2"/>
        </w:rPr>
        <w:t>指因进行器官移植而感染上人类免疫缺陷病毒（HIV），且须满足下列全部条</w:t>
      </w:r>
      <w:r>
        <w:rPr>
          <w:spacing w:val="-6"/>
        </w:rPr>
        <w:t>件：</w:t>
      </w:r>
    </w:p>
    <w:p>
      <w:pPr>
        <w:pStyle w:val="ListParagraph"/>
        <w:numPr>
          <w:ilvl w:val="0"/>
          <w:numId w:val="94"/>
        </w:numPr>
        <w:tabs>
          <w:tab w:pos="702" w:val="left" w:leader="none"/>
        </w:tabs>
        <w:spacing w:line="278" w:lineRule="auto" w:before="0" w:after="0"/>
        <w:ind w:left="700" w:right="666" w:hanging="526"/>
        <w:jc w:val="left"/>
        <w:rPr>
          <w:sz w:val="21"/>
        </w:rPr>
      </w:pPr>
      <w:r>
        <w:rPr>
          <w:spacing w:val="-2"/>
          <w:sz w:val="21"/>
        </w:rPr>
        <w:t>被保险人因治疗必需而实施器官移植，并且因器官移植而感染人类免疫</w:t>
      </w:r>
      <w:r>
        <w:rPr>
          <w:spacing w:val="-2"/>
          <w:sz w:val="21"/>
        </w:rPr>
        <w:t>缺陷病毒（HIV）；</w:t>
      </w:r>
    </w:p>
    <w:p>
      <w:pPr>
        <w:pStyle w:val="ListParagraph"/>
        <w:numPr>
          <w:ilvl w:val="0"/>
          <w:numId w:val="94"/>
        </w:numPr>
        <w:tabs>
          <w:tab w:pos="702" w:val="left" w:leader="none"/>
        </w:tabs>
        <w:spacing w:line="278" w:lineRule="auto" w:before="0" w:after="0"/>
        <w:ind w:left="700" w:right="666" w:hanging="526"/>
        <w:jc w:val="left"/>
        <w:rPr>
          <w:sz w:val="21"/>
        </w:rPr>
      </w:pPr>
      <w:r>
        <w:rPr>
          <w:spacing w:val="-2"/>
          <w:sz w:val="21"/>
        </w:rPr>
        <w:t>提供器官移植治疗的器官移植中心或医院出具该项器官移植感染，属于</w:t>
      </w:r>
      <w:r>
        <w:rPr>
          <w:spacing w:val="-2"/>
          <w:sz w:val="21"/>
        </w:rPr>
        <w:t>医疗责任事故的报告，或者法院终审裁定为医疗责任并且不准上诉；</w:t>
      </w:r>
    </w:p>
    <w:p>
      <w:pPr>
        <w:pStyle w:val="ListParagraph"/>
        <w:numPr>
          <w:ilvl w:val="0"/>
          <w:numId w:val="94"/>
        </w:numPr>
        <w:tabs>
          <w:tab w:pos="705" w:val="left" w:leader="none"/>
        </w:tabs>
        <w:spacing w:line="257" w:lineRule="exact" w:before="0" w:after="0"/>
        <w:ind w:left="704" w:right="0" w:hanging="530"/>
        <w:jc w:val="left"/>
        <w:rPr>
          <w:sz w:val="21"/>
        </w:rPr>
      </w:pPr>
      <w:r>
        <w:rPr>
          <w:spacing w:val="-3"/>
          <w:sz w:val="21"/>
        </w:rPr>
        <w:t>提供器官移植治疗的器官移植中心或医院必须拥有合法经营执照。</w:t>
      </w:r>
    </w:p>
    <w:p>
      <w:pPr>
        <w:pStyle w:val="Heading2"/>
        <w:spacing w:line="194" w:lineRule="auto" w:before="40"/>
        <w:ind w:left="175" w:right="667"/>
        <w:jc w:val="both"/>
      </w:pPr>
      <w:r>
        <w:rPr>
          <w:spacing w:val="-3"/>
          <w:w w:val="100"/>
        </w:rPr>
        <w:t>在任何治愈艾滋病或阻止人类免疫缺陷病毒</w:t>
      </w:r>
      <w:r>
        <w:rPr>
          <w:w w:val="100"/>
        </w:rPr>
        <w:t>（</w:t>
      </w:r>
      <w:r>
        <w:rPr>
          <w:w w:val="80"/>
        </w:rPr>
        <w:t>HIV</w:t>
      </w:r>
      <w:r>
        <w:rPr>
          <w:spacing w:val="-17"/>
          <w:w w:val="100"/>
        </w:rPr>
        <w:t>）</w:t>
      </w:r>
      <w:r>
        <w:rPr>
          <w:spacing w:val="-3"/>
          <w:w w:val="100"/>
        </w:rPr>
        <w:t>病毒作用的疗法被发现以</w:t>
      </w:r>
      <w:r>
        <w:rPr>
          <w:w w:val="100"/>
        </w:rPr>
        <w:t>后，或能防止艾滋病发生的医疗方法被研究出来以后，本保障将不再予以赔付。</w:t>
      </w:r>
    </w:p>
    <w:p>
      <w:pPr>
        <w:spacing w:line="194" w:lineRule="auto" w:before="0"/>
        <w:ind w:left="175" w:right="667" w:firstLine="0"/>
        <w:jc w:val="both"/>
        <w:rPr>
          <w:rFonts w:ascii="微软雅黑" w:hAnsi="微软雅黑" w:eastAsia="微软雅黑"/>
          <w:b/>
          <w:sz w:val="21"/>
        </w:rPr>
      </w:pPr>
      <w:r>
        <w:rPr>
          <w:rFonts w:ascii="微软雅黑" w:hAnsi="微软雅黑" w:eastAsia="微软雅黑"/>
          <w:b/>
          <w:spacing w:val="-2"/>
          <w:sz w:val="21"/>
        </w:rPr>
        <w:t>本公司必须拥有获得使用被保险人的所有血液样本的权利和能够对这些样本</w:t>
      </w:r>
      <w:r>
        <w:rPr>
          <w:rFonts w:ascii="微软雅黑" w:hAnsi="微软雅黑" w:eastAsia="微软雅黑"/>
          <w:b/>
          <w:spacing w:val="-2"/>
          <w:sz w:val="21"/>
        </w:rPr>
        <w:t>进行独立检验的权利。本公司承担本项疾病责任不受本合同责任免除中“被</w:t>
      </w:r>
      <w:r>
        <w:rPr>
          <w:rFonts w:ascii="微软雅黑" w:hAnsi="微软雅黑" w:eastAsia="微软雅黑"/>
          <w:b/>
          <w:spacing w:val="-2"/>
          <w:sz w:val="21"/>
        </w:rPr>
        <w:t>保险人感染艾滋病病毒或患艾滋病”的限制。</w:t>
      </w:r>
    </w:p>
    <w:p>
      <w:pPr>
        <w:spacing w:after="0" w:line="194" w:lineRule="auto"/>
        <w:jc w:val="both"/>
        <w:rPr>
          <w:rFonts w:ascii="微软雅黑" w:hAnsi="微软雅黑" w:eastAsia="微软雅黑"/>
          <w:sz w:val="21"/>
        </w:rPr>
        <w:sectPr>
          <w:type w:val="continuous"/>
          <w:pgSz w:w="11910" w:h="16840"/>
          <w:pgMar w:header="0" w:footer="406" w:top="600" w:bottom="280" w:left="900" w:right="340"/>
          <w:cols w:num="2" w:equalWidth="0">
            <w:col w:w="2745" w:space="40"/>
            <w:col w:w="7885"/>
          </w:cols>
        </w:sectPr>
      </w:pPr>
    </w:p>
    <w:p>
      <w:pPr>
        <w:pStyle w:val="BodyText"/>
        <w:spacing w:before="14"/>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弥漫性血管内</w:t>
      </w:r>
      <w:r>
        <w:rPr>
          <w:spacing w:val="-6"/>
          <w:sz w:val="21"/>
        </w:rPr>
        <w:t>凝血</w:t>
      </w:r>
    </w:p>
    <w:p>
      <w:pPr>
        <w:pStyle w:val="BodyText"/>
        <w:spacing w:line="278" w:lineRule="auto" w:before="72"/>
        <w:ind w:left="175" w:right="667"/>
        <w:jc w:val="both"/>
      </w:pPr>
      <w:r>
        <w:rPr/>
        <w:br w:type="column"/>
      </w:r>
      <w:r>
        <w:rPr>
          <w:spacing w:val="-2"/>
        </w:rPr>
        <w:t>指血液凝固系统和纤溶系统的过度活动导致微血管血栓形成、血小板及凝血</w:t>
      </w:r>
      <w:r>
        <w:rPr>
          <w:spacing w:val="-2"/>
        </w:rPr>
        <w:t>因子耗竭和严重出血，需要输注血浆和浓缩血小板进行治疗。须提供同时具</w:t>
      </w:r>
      <w:r>
        <w:rPr>
          <w:spacing w:val="-2"/>
        </w:rPr>
        <w:t>有下列条件中的至少三项的检验报告：</w:t>
      </w:r>
    </w:p>
    <w:p>
      <w:pPr>
        <w:pStyle w:val="ListParagraph"/>
        <w:numPr>
          <w:ilvl w:val="0"/>
          <w:numId w:val="95"/>
        </w:numPr>
        <w:tabs>
          <w:tab w:pos="705" w:val="left" w:leader="none"/>
        </w:tabs>
        <w:spacing w:line="269" w:lineRule="exact" w:before="0" w:after="0"/>
        <w:ind w:left="704" w:right="0" w:hanging="530"/>
        <w:jc w:val="both"/>
        <w:rPr>
          <w:sz w:val="21"/>
        </w:rPr>
      </w:pPr>
      <w:r>
        <w:rPr>
          <w:spacing w:val="-2"/>
          <w:sz w:val="21"/>
        </w:rPr>
        <w:t>血小板计数&lt;100×10</w:t>
      </w:r>
      <w:r>
        <w:rPr>
          <w:spacing w:val="-2"/>
          <w:position w:val="11"/>
          <w:sz w:val="11"/>
        </w:rPr>
        <w:t>9</w:t>
      </w:r>
      <w:r>
        <w:rPr>
          <w:spacing w:val="-2"/>
          <w:sz w:val="21"/>
        </w:rPr>
        <w:t>/L</w:t>
      </w:r>
      <w:r>
        <w:rPr>
          <w:spacing w:val="-3"/>
          <w:sz w:val="21"/>
        </w:rPr>
        <w:t> 或者呈进行性下降；</w:t>
      </w:r>
    </w:p>
    <w:p>
      <w:pPr>
        <w:pStyle w:val="ListParagraph"/>
        <w:numPr>
          <w:ilvl w:val="0"/>
          <w:numId w:val="95"/>
        </w:numPr>
        <w:tabs>
          <w:tab w:pos="705" w:val="left" w:leader="none"/>
        </w:tabs>
        <w:spacing w:line="240" w:lineRule="auto" w:before="43" w:after="0"/>
        <w:ind w:left="704" w:right="0" w:hanging="530"/>
        <w:jc w:val="left"/>
        <w:rPr>
          <w:sz w:val="21"/>
        </w:rPr>
      </w:pPr>
      <w:r>
        <w:rPr>
          <w:spacing w:val="-2"/>
          <w:sz w:val="21"/>
        </w:rPr>
        <w:t>血浆纤维蛋白原含量&lt;1.5g/L</w:t>
      </w:r>
      <w:r>
        <w:rPr>
          <w:spacing w:val="-14"/>
          <w:sz w:val="21"/>
        </w:rPr>
        <w:t> 或者&gt;</w:t>
      </w:r>
      <w:r>
        <w:rPr>
          <w:spacing w:val="-2"/>
          <w:sz w:val="21"/>
        </w:rPr>
        <w:t>4g/L</w:t>
      </w:r>
      <w:r>
        <w:rPr>
          <w:spacing w:val="-3"/>
          <w:sz w:val="21"/>
        </w:rPr>
        <w:t> 或者呈进行性下降；</w:t>
      </w:r>
    </w:p>
    <w:p>
      <w:pPr>
        <w:pStyle w:val="BodyText"/>
        <w:spacing w:before="43"/>
        <w:ind w:left="175"/>
      </w:pPr>
      <w:r>
        <w:rPr>
          <w:spacing w:val="-2"/>
        </w:rPr>
        <w:t>（3）3P</w:t>
      </w:r>
      <w:r>
        <w:rPr>
          <w:spacing w:val="-13"/>
        </w:rPr>
        <w:t> 试验阳性或者血浆 </w:t>
      </w:r>
      <w:r>
        <w:rPr>
          <w:spacing w:val="-2"/>
        </w:rPr>
        <w:t>FDP&gt;20mg/L；</w:t>
      </w:r>
    </w:p>
    <w:p>
      <w:pPr>
        <w:pStyle w:val="BodyText"/>
        <w:spacing w:before="43"/>
        <w:ind w:left="175"/>
      </w:pPr>
      <w:r>
        <w:rPr>
          <w:spacing w:val="-2"/>
        </w:rPr>
        <w:t>（4）凝血酶原时间&gt;15</w:t>
      </w:r>
      <w:r>
        <w:rPr>
          <w:spacing w:val="-14"/>
        </w:rPr>
        <w:t> 秒或者超过对照组 </w:t>
      </w:r>
      <w:r>
        <w:rPr>
          <w:spacing w:val="-2"/>
        </w:rPr>
        <w:t>3</w:t>
      </w:r>
      <w:r>
        <w:rPr>
          <w:spacing w:val="-14"/>
        </w:rPr>
        <w:t> 秒以上。</w:t>
      </w:r>
    </w:p>
    <w:p>
      <w:pPr>
        <w:spacing w:after="0"/>
        <w:sectPr>
          <w:type w:val="continuous"/>
          <w:pgSz w:w="11910" w:h="16840"/>
          <w:pgMar w:header="0" w:footer="406" w:top="600" w:bottom="280" w:left="900" w:right="340"/>
          <w:cols w:num="2" w:equalWidth="0">
            <w:col w:w="2745" w:space="40"/>
            <w:col w:w="7885"/>
          </w:cols>
        </w:sectPr>
      </w:pPr>
    </w:p>
    <w:p>
      <w:pPr>
        <w:pStyle w:val="BodyText"/>
        <w:spacing w:before="4"/>
        <w:rPr>
          <w:sz w:val="15"/>
        </w:rPr>
      </w:pPr>
    </w:p>
    <w:p>
      <w:pPr>
        <w:spacing w:after="0"/>
        <w:rPr>
          <w:sz w:val="15"/>
        </w:rPr>
        <w:sectPr>
          <w:type w:val="continuous"/>
          <w:pgSz w:w="11910" w:h="16840"/>
          <w:pgMar w:header="0" w:footer="406" w:top="600" w:bottom="280" w:left="900" w:right="340"/>
        </w:sectPr>
      </w:pPr>
    </w:p>
    <w:p>
      <w:pPr>
        <w:pStyle w:val="ListParagraph"/>
        <w:numPr>
          <w:ilvl w:val="2"/>
          <w:numId w:val="40"/>
        </w:numPr>
        <w:tabs>
          <w:tab w:pos="1412" w:val="left" w:leader="none"/>
        </w:tabs>
        <w:spacing w:line="278" w:lineRule="auto" w:before="72" w:after="0"/>
        <w:ind w:left="1080" w:right="0" w:firstLine="0"/>
        <w:jc w:val="left"/>
        <w:rPr>
          <w:sz w:val="21"/>
        </w:rPr>
      </w:pPr>
      <w:r>
        <w:rPr>
          <w:spacing w:val="8"/>
          <w:sz w:val="21"/>
        </w:rPr>
        <w:t>溶血性链球菌</w:t>
      </w:r>
      <w:r>
        <w:rPr>
          <w:spacing w:val="-2"/>
          <w:sz w:val="21"/>
        </w:rPr>
        <w:t>引起的坏疽</w:t>
      </w:r>
    </w:p>
    <w:p>
      <w:pPr>
        <w:pStyle w:val="BodyText"/>
        <w:spacing w:line="278" w:lineRule="auto" w:before="72"/>
        <w:ind w:left="175" w:right="666"/>
        <w:jc w:val="both"/>
      </w:pPr>
      <w:r>
        <w:rPr/>
        <w:br w:type="column"/>
      </w:r>
      <w:r>
        <w:rPr>
          <w:spacing w:val="-2"/>
        </w:rPr>
        <w:t>包围肢体或躯干的浅筋膜和/或深筋膜受到溶血性链球菌的感染，病情在短时</w:t>
      </w:r>
      <w:r>
        <w:rPr>
          <w:spacing w:val="-2"/>
        </w:rPr>
        <w:t>间内急剧恶化，已经立刻进行了手术及清创术。最后的诊断必须由微生物或</w:t>
      </w:r>
      <w:r>
        <w:rPr>
          <w:spacing w:val="-2"/>
        </w:rPr>
        <w:t>病理学专家进行相关检查后证实。</w:t>
      </w:r>
    </w:p>
    <w:p>
      <w:pPr>
        <w:spacing w:after="0" w:line="278" w:lineRule="auto"/>
        <w:jc w:val="both"/>
        <w:sectPr>
          <w:type w:val="continuous"/>
          <w:pgSz w:w="11910" w:h="16840"/>
          <w:pgMar w:header="0" w:footer="406" w:top="600" w:bottom="280" w:left="900" w:right="340"/>
          <w:cols w:num="2" w:equalWidth="0">
            <w:col w:w="2745" w:space="40"/>
            <w:col w:w="7885"/>
          </w:cols>
        </w:sectPr>
      </w:pPr>
    </w:p>
    <w:p>
      <w:pPr>
        <w:pStyle w:val="BodyText"/>
        <w:spacing w:before="3"/>
        <w:rPr>
          <w:sz w:val="12"/>
        </w:rPr>
      </w:pPr>
    </w:p>
    <w:p>
      <w:pPr>
        <w:pStyle w:val="ListParagraph"/>
        <w:numPr>
          <w:ilvl w:val="2"/>
          <w:numId w:val="40"/>
        </w:numPr>
        <w:tabs>
          <w:tab w:pos="1399" w:val="left" w:leader="none"/>
          <w:tab w:pos="2960" w:val="left" w:leader="none"/>
        </w:tabs>
        <w:spacing w:line="278" w:lineRule="auto" w:before="72" w:after="0"/>
        <w:ind w:left="2960" w:right="672" w:hanging="1880"/>
        <w:jc w:val="left"/>
        <w:rPr>
          <w:sz w:val="21"/>
        </w:rPr>
      </w:pPr>
      <w:r>
        <w:rPr>
          <w:spacing w:val="-2"/>
          <w:sz w:val="21"/>
        </w:rPr>
        <w:t>严重气性坏疽</w:t>
      </w:r>
      <w:r>
        <w:rPr>
          <w:sz w:val="21"/>
        </w:rPr>
        <w:tab/>
      </w:r>
      <w:r>
        <w:rPr>
          <w:spacing w:val="-2"/>
          <w:sz w:val="21"/>
        </w:rPr>
        <w:t>指</w:t>
      </w:r>
      <w:r>
        <w:rPr>
          <w:spacing w:val="-2"/>
          <w:sz w:val="21"/>
        </w:rPr>
        <w:t>由</w:t>
      </w:r>
      <w:r>
        <w:rPr>
          <w:spacing w:val="-2"/>
          <w:sz w:val="21"/>
        </w:rPr>
        <w:t>梭</w:t>
      </w:r>
      <w:r>
        <w:rPr>
          <w:spacing w:val="-2"/>
          <w:sz w:val="21"/>
        </w:rPr>
        <w:t>状</w:t>
      </w:r>
      <w:r>
        <w:rPr>
          <w:spacing w:val="-2"/>
          <w:sz w:val="21"/>
        </w:rPr>
        <w:t>芽</w:t>
      </w:r>
      <w:r>
        <w:rPr>
          <w:spacing w:val="-2"/>
          <w:sz w:val="21"/>
        </w:rPr>
        <w:t>胞</w:t>
      </w:r>
      <w:r>
        <w:rPr>
          <w:spacing w:val="-2"/>
          <w:sz w:val="21"/>
        </w:rPr>
        <w:t>杆</w:t>
      </w:r>
      <w:r>
        <w:rPr>
          <w:spacing w:val="-2"/>
          <w:sz w:val="21"/>
        </w:rPr>
        <w:t>菌</w:t>
      </w:r>
      <w:r>
        <w:rPr>
          <w:spacing w:val="-2"/>
          <w:sz w:val="21"/>
        </w:rPr>
        <w:t>所致的</w:t>
      </w:r>
      <w:r>
        <w:rPr>
          <w:spacing w:val="-2"/>
          <w:sz w:val="21"/>
        </w:rPr>
        <w:t>肌</w:t>
      </w:r>
      <w:r>
        <w:rPr>
          <w:spacing w:val="-2"/>
          <w:sz w:val="21"/>
        </w:rPr>
        <w:t>坏</w:t>
      </w:r>
      <w:r>
        <w:rPr>
          <w:spacing w:val="-2"/>
          <w:sz w:val="21"/>
        </w:rPr>
        <w:t>死</w:t>
      </w:r>
      <w:r>
        <w:rPr>
          <w:spacing w:val="-2"/>
          <w:sz w:val="21"/>
        </w:rPr>
        <w:t>或</w:t>
      </w:r>
      <w:r>
        <w:rPr>
          <w:spacing w:val="-2"/>
          <w:sz w:val="21"/>
        </w:rPr>
        <w:t>肌</w:t>
      </w:r>
      <w:r>
        <w:rPr>
          <w:spacing w:val="-2"/>
          <w:sz w:val="21"/>
        </w:rPr>
        <w:t>炎</w:t>
      </w:r>
      <w:r>
        <w:rPr>
          <w:spacing w:val="-2"/>
          <w:sz w:val="21"/>
        </w:rPr>
        <w:t>。须在本公司认可的医疗机构内由专</w:t>
      </w:r>
      <w:r>
        <w:rPr>
          <w:spacing w:val="-2"/>
          <w:sz w:val="21"/>
        </w:rPr>
        <w:t>科</w:t>
      </w:r>
      <w:r>
        <w:rPr>
          <w:spacing w:val="-2"/>
          <w:sz w:val="21"/>
        </w:rPr>
        <w:t>医</w:t>
      </w:r>
      <w:r>
        <w:rPr>
          <w:spacing w:val="-2"/>
          <w:sz w:val="21"/>
        </w:rPr>
        <w:t>生明确诊断，且须同</w:t>
      </w:r>
      <w:r>
        <w:rPr>
          <w:spacing w:val="-2"/>
          <w:sz w:val="21"/>
        </w:rPr>
        <w:t>时</w:t>
      </w:r>
      <w:r>
        <w:rPr>
          <w:spacing w:val="-2"/>
          <w:sz w:val="21"/>
        </w:rPr>
        <w:t>满</w:t>
      </w:r>
      <w:r>
        <w:rPr>
          <w:spacing w:val="-2"/>
          <w:sz w:val="21"/>
        </w:rPr>
        <w:t>足下列条件：</w:t>
      </w:r>
    </w:p>
    <w:p>
      <w:pPr>
        <w:pStyle w:val="ListParagraph"/>
        <w:numPr>
          <w:ilvl w:val="0"/>
          <w:numId w:val="96"/>
        </w:numPr>
        <w:tabs>
          <w:tab w:pos="3490" w:val="left" w:leader="none"/>
        </w:tabs>
        <w:spacing w:line="269" w:lineRule="exact" w:before="0" w:after="0"/>
        <w:ind w:left="3489" w:right="0" w:hanging="530"/>
        <w:jc w:val="left"/>
        <w:rPr>
          <w:sz w:val="21"/>
        </w:rPr>
      </w:pPr>
      <w:r>
        <w:rPr>
          <w:spacing w:val="-3"/>
          <w:sz w:val="21"/>
        </w:rPr>
        <w:t>符合气性坏疽的一般临床表现；</w:t>
      </w:r>
    </w:p>
    <w:p>
      <w:pPr>
        <w:pStyle w:val="ListParagraph"/>
        <w:numPr>
          <w:ilvl w:val="0"/>
          <w:numId w:val="96"/>
        </w:numPr>
        <w:tabs>
          <w:tab w:pos="3490" w:val="left" w:leader="none"/>
        </w:tabs>
        <w:spacing w:line="240" w:lineRule="auto" w:before="42" w:after="0"/>
        <w:ind w:left="3489" w:right="0" w:hanging="530"/>
        <w:jc w:val="left"/>
        <w:rPr>
          <w:sz w:val="21"/>
        </w:rPr>
      </w:pPr>
      <w:r>
        <w:rPr>
          <w:spacing w:val="-3"/>
          <w:sz w:val="21"/>
        </w:rPr>
        <w:t>细菌培养检出致病菌；</w:t>
      </w:r>
    </w:p>
    <w:p>
      <w:pPr>
        <w:pStyle w:val="ListParagraph"/>
        <w:numPr>
          <w:ilvl w:val="0"/>
          <w:numId w:val="96"/>
        </w:numPr>
        <w:tabs>
          <w:tab w:pos="3487" w:val="left" w:leader="none"/>
        </w:tabs>
        <w:spacing w:line="278" w:lineRule="auto" w:before="43" w:after="0"/>
        <w:ind w:left="3485" w:right="666" w:hanging="526"/>
        <w:jc w:val="left"/>
        <w:rPr>
          <w:sz w:val="21"/>
        </w:rPr>
      </w:pPr>
      <w:r>
        <w:rPr>
          <w:spacing w:val="-2"/>
          <w:sz w:val="21"/>
        </w:rPr>
        <w:t>出现广泛性肌肉及组织坏死，并确实实施了坏死组织和筋膜以及肌肉的</w:t>
      </w:r>
      <w:r>
        <w:rPr>
          <w:spacing w:val="-2"/>
          <w:sz w:val="21"/>
        </w:rPr>
        <w:t>切除手术。</w:t>
      </w:r>
    </w:p>
    <w:p>
      <w:pPr>
        <w:pStyle w:val="BodyText"/>
        <w:spacing w:before="8"/>
        <w:rPr>
          <w:sz w:val="17"/>
        </w:rPr>
      </w:pPr>
    </w:p>
    <w:p>
      <w:pPr>
        <w:pStyle w:val="ListParagraph"/>
        <w:numPr>
          <w:ilvl w:val="2"/>
          <w:numId w:val="40"/>
        </w:numPr>
        <w:tabs>
          <w:tab w:pos="1412" w:val="left" w:leader="none"/>
        </w:tabs>
        <w:spacing w:line="240" w:lineRule="auto" w:before="0" w:after="0"/>
        <w:ind w:left="1411" w:right="0" w:hanging="332"/>
        <w:jc w:val="left"/>
        <w:rPr>
          <w:sz w:val="21"/>
        </w:rPr>
      </w:pPr>
      <w:r>
        <w:rPr>
          <w:spacing w:val="-1"/>
          <w:sz w:val="21"/>
        </w:rPr>
        <w:t>慢性复发性胰  胰腺炎反复发作超过三次以上并导致胰腺功能紊乱和营养不良，需要接受酶</w:t>
      </w:r>
    </w:p>
    <w:p>
      <w:pPr>
        <w:spacing w:after="0" w:line="240" w:lineRule="auto"/>
        <w:jc w:val="left"/>
        <w:rPr>
          <w:sz w:val="21"/>
        </w:rPr>
        <w:sectPr>
          <w:type w:val="continuous"/>
          <w:pgSz w:w="11910" w:h="16840"/>
          <w:pgMar w:header="0" w:footer="406" w:top="600" w:bottom="280" w:left="900" w:right="340"/>
        </w:sectPr>
      </w:pPr>
    </w:p>
    <w:p>
      <w:pPr>
        <w:pStyle w:val="BodyText"/>
        <w:tabs>
          <w:tab w:pos="2960" w:val="left" w:leader="none"/>
        </w:tabs>
        <w:spacing w:line="278" w:lineRule="auto" w:before="57"/>
        <w:ind w:left="2960" w:right="667" w:hanging="1880"/>
      </w:pPr>
      <w:r>
        <w:rPr>
          <w:spacing w:val="-6"/>
        </w:rPr>
        <w:t>腺</w:t>
      </w:r>
      <w:r>
        <w:rPr>
          <w:spacing w:val="-6"/>
        </w:rPr>
        <w:t>炎</w:t>
      </w:r>
      <w:r>
        <w:rPr/>
        <w:tab/>
      </w:r>
      <w:r>
        <w:rPr>
          <w:spacing w:val="-2"/>
        </w:rPr>
        <w:t>替</w:t>
      </w:r>
      <w:r>
        <w:rPr>
          <w:spacing w:val="-2"/>
        </w:rPr>
        <w:t>代</w:t>
      </w:r>
      <w:r>
        <w:rPr>
          <w:spacing w:val="-2"/>
        </w:rPr>
        <w:t>治</w:t>
      </w:r>
      <w:r>
        <w:rPr>
          <w:spacing w:val="-2"/>
        </w:rPr>
        <w:t>疗</w:t>
      </w:r>
      <w:r>
        <w:rPr>
          <w:spacing w:val="-2"/>
        </w:rPr>
        <w:t>。</w:t>
      </w:r>
      <w:r>
        <w:rPr>
          <w:spacing w:val="-2"/>
        </w:rPr>
        <w:t>诊</w:t>
      </w:r>
      <w:r>
        <w:rPr>
          <w:spacing w:val="-2"/>
        </w:rPr>
        <w:t>断</w:t>
      </w:r>
      <w:r>
        <w:rPr>
          <w:spacing w:val="-2"/>
        </w:rPr>
        <w:t>必</w:t>
      </w:r>
      <w:r>
        <w:rPr>
          <w:spacing w:val="-2"/>
        </w:rPr>
        <w:t>须有消</w:t>
      </w:r>
      <w:r>
        <w:rPr>
          <w:spacing w:val="-2"/>
        </w:rPr>
        <w:t>化</w:t>
      </w:r>
      <w:r>
        <w:rPr>
          <w:spacing w:val="-2"/>
        </w:rPr>
        <w:t>科</w:t>
      </w:r>
      <w:r>
        <w:rPr>
          <w:spacing w:val="-2"/>
        </w:rPr>
        <w:t>专</w:t>
      </w:r>
      <w:r>
        <w:rPr>
          <w:spacing w:val="-2"/>
        </w:rPr>
        <w:t>科</w:t>
      </w:r>
      <w:r>
        <w:rPr>
          <w:spacing w:val="-2"/>
        </w:rPr>
        <w:t>医</w:t>
      </w:r>
      <w:r>
        <w:rPr>
          <w:spacing w:val="-2"/>
        </w:rPr>
        <w:t>生</w:t>
      </w:r>
      <w:r>
        <w:rPr>
          <w:spacing w:val="-2"/>
        </w:rPr>
        <w:t>确</w:t>
      </w:r>
      <w:r>
        <w:rPr>
          <w:spacing w:val="-2"/>
        </w:rPr>
        <w:t>认</w:t>
      </w:r>
      <w:r>
        <w:rPr>
          <w:spacing w:val="-2"/>
        </w:rPr>
        <w:t>并且有</w:t>
      </w:r>
      <w:r>
        <w:rPr>
          <w:spacing w:val="-2"/>
        </w:rPr>
        <w:t>内</w:t>
      </w:r>
      <w:r>
        <w:rPr>
          <w:spacing w:val="-2"/>
        </w:rPr>
        <w:t>窥</w:t>
      </w:r>
      <w:r>
        <w:rPr>
          <w:spacing w:val="-2"/>
        </w:rPr>
        <w:t>镜</w:t>
      </w:r>
      <w:r>
        <w:rPr>
          <w:spacing w:val="-2"/>
        </w:rPr>
        <w:t>逆</w:t>
      </w:r>
      <w:r>
        <w:rPr>
          <w:spacing w:val="-2"/>
        </w:rPr>
        <w:t>行</w:t>
      </w:r>
      <w:r>
        <w:rPr>
          <w:spacing w:val="-2"/>
        </w:rPr>
        <w:t>胰</w:t>
      </w:r>
      <w:r>
        <w:rPr>
          <w:spacing w:val="-2"/>
        </w:rPr>
        <w:t>胆</w:t>
      </w:r>
      <w:r>
        <w:rPr>
          <w:spacing w:val="-2"/>
        </w:rPr>
        <w:t>管</w:t>
      </w:r>
      <w:r>
        <w:rPr>
          <w:spacing w:val="-2"/>
        </w:rPr>
        <w:t>造</w:t>
      </w:r>
      <w:r>
        <w:rPr>
          <w:spacing w:val="-2"/>
        </w:rPr>
        <w:t>影</w:t>
      </w:r>
      <w:r>
        <w:rPr>
          <w:spacing w:val="-2"/>
        </w:rPr>
        <w:t>所</w:t>
      </w:r>
      <w:r>
        <w:rPr>
          <w:spacing w:val="-4"/>
        </w:rPr>
        <w:t>证</w:t>
      </w:r>
      <w:r>
        <w:rPr>
          <w:spacing w:val="-4"/>
        </w:rPr>
        <w:t>实</w:t>
      </w:r>
      <w:r>
        <w:rPr>
          <w:spacing w:val="-4"/>
        </w:rPr>
        <w:t>。</w:t>
      </w:r>
    </w:p>
    <w:p>
      <w:pPr>
        <w:pStyle w:val="Heading2"/>
        <w:spacing w:line="320" w:lineRule="exact"/>
      </w:pPr>
      <w:r>
        <w:rPr>
          <w:spacing w:val="-3"/>
        </w:rPr>
        <w:t>因酒精所致的慢性复发性胰腺炎不在保障范围内。</w:t>
      </w:r>
    </w:p>
    <w:p>
      <w:pPr>
        <w:pStyle w:val="BodyText"/>
        <w:spacing w:before="17"/>
        <w:rPr>
          <w:rFonts w:ascii="微软雅黑"/>
          <w:b/>
          <w:sz w:val="11"/>
        </w:rPr>
      </w:pPr>
    </w:p>
    <w:p>
      <w:pPr>
        <w:pStyle w:val="ListParagraph"/>
        <w:numPr>
          <w:ilvl w:val="2"/>
          <w:numId w:val="40"/>
        </w:numPr>
        <w:tabs>
          <w:tab w:pos="1399" w:val="left" w:leader="none"/>
          <w:tab w:pos="2960" w:val="left" w:leader="none"/>
        </w:tabs>
        <w:spacing w:line="278" w:lineRule="auto" w:before="0" w:after="0"/>
        <w:ind w:left="2960" w:right="673" w:hanging="1880"/>
        <w:jc w:val="left"/>
        <w:rPr>
          <w:sz w:val="21"/>
        </w:rPr>
      </w:pPr>
      <w:r>
        <w:rPr>
          <w:spacing w:val="-2"/>
          <w:sz w:val="21"/>
        </w:rPr>
        <w:t>范可尼综合征</w:t>
      </w:r>
      <w:r>
        <w:rPr>
          <w:sz w:val="21"/>
        </w:rPr>
        <w:tab/>
      </w:r>
      <w:r>
        <w:rPr>
          <w:spacing w:val="-2"/>
          <w:sz w:val="21"/>
        </w:rPr>
        <w:t>指</w:t>
      </w:r>
      <w:r>
        <w:rPr>
          <w:spacing w:val="-2"/>
          <w:sz w:val="21"/>
        </w:rPr>
        <w:t>近</w:t>
      </w:r>
      <w:r>
        <w:rPr>
          <w:spacing w:val="-2"/>
          <w:sz w:val="21"/>
        </w:rPr>
        <w:t>端</w:t>
      </w:r>
      <w:r>
        <w:rPr>
          <w:spacing w:val="-2"/>
          <w:sz w:val="21"/>
        </w:rPr>
        <w:t>肾</w:t>
      </w:r>
      <w:r>
        <w:rPr>
          <w:spacing w:val="-2"/>
          <w:sz w:val="21"/>
        </w:rPr>
        <w:t>小</w:t>
      </w:r>
      <w:r>
        <w:rPr>
          <w:spacing w:val="-2"/>
          <w:sz w:val="21"/>
        </w:rPr>
        <w:t>管</w:t>
      </w:r>
      <w:r>
        <w:rPr>
          <w:spacing w:val="-2"/>
          <w:sz w:val="21"/>
        </w:rPr>
        <w:t>的</w:t>
      </w:r>
      <w:r>
        <w:rPr>
          <w:spacing w:val="-2"/>
          <w:sz w:val="21"/>
        </w:rPr>
        <w:t>功</w:t>
      </w:r>
      <w:r>
        <w:rPr>
          <w:spacing w:val="-2"/>
          <w:sz w:val="21"/>
        </w:rPr>
        <w:t>能异常</w:t>
      </w:r>
      <w:r>
        <w:rPr>
          <w:spacing w:val="-2"/>
          <w:sz w:val="21"/>
        </w:rPr>
        <w:t>引</w:t>
      </w:r>
      <w:r>
        <w:rPr>
          <w:spacing w:val="-2"/>
          <w:sz w:val="21"/>
        </w:rPr>
        <w:t>起</w:t>
      </w:r>
      <w:r>
        <w:rPr>
          <w:spacing w:val="-2"/>
          <w:sz w:val="21"/>
        </w:rPr>
        <w:t>的</w:t>
      </w:r>
      <w:r>
        <w:rPr>
          <w:spacing w:val="-2"/>
          <w:sz w:val="21"/>
        </w:rPr>
        <w:t>一</w:t>
      </w:r>
      <w:r>
        <w:rPr>
          <w:spacing w:val="-2"/>
          <w:sz w:val="21"/>
        </w:rPr>
        <w:t>组</w:t>
      </w:r>
      <w:r>
        <w:rPr>
          <w:spacing w:val="-2"/>
          <w:sz w:val="21"/>
        </w:rPr>
        <w:t>症</w:t>
      </w:r>
      <w:r>
        <w:rPr>
          <w:spacing w:val="-2"/>
          <w:sz w:val="21"/>
        </w:rPr>
        <w:t>候</w:t>
      </w:r>
      <w:r>
        <w:rPr>
          <w:spacing w:val="-2"/>
          <w:sz w:val="21"/>
        </w:rPr>
        <w:t>群</w:t>
      </w:r>
      <w:r>
        <w:rPr>
          <w:spacing w:val="-2"/>
          <w:sz w:val="21"/>
        </w:rPr>
        <w:t>。须在本公司认可的医疗机构</w:t>
      </w:r>
      <w:r>
        <w:rPr>
          <w:spacing w:val="-2"/>
          <w:sz w:val="21"/>
        </w:rPr>
        <w:t>内</w:t>
      </w:r>
      <w:r>
        <w:rPr>
          <w:spacing w:val="-2"/>
          <w:sz w:val="21"/>
        </w:rPr>
        <w:t>由</w:t>
      </w:r>
      <w:r>
        <w:rPr>
          <w:spacing w:val="-2"/>
          <w:sz w:val="21"/>
        </w:rPr>
        <w:t>专</w:t>
      </w:r>
      <w:r>
        <w:rPr>
          <w:spacing w:val="-2"/>
          <w:sz w:val="21"/>
        </w:rPr>
        <w:t>科医生明确诊断，且</w:t>
      </w:r>
      <w:r>
        <w:rPr>
          <w:spacing w:val="-2"/>
          <w:sz w:val="21"/>
        </w:rPr>
        <w:t>须</w:t>
      </w:r>
      <w:r>
        <w:rPr>
          <w:spacing w:val="-2"/>
          <w:sz w:val="21"/>
        </w:rPr>
        <w:t>满</w:t>
      </w:r>
      <w:r>
        <w:rPr>
          <w:spacing w:val="-2"/>
          <w:sz w:val="21"/>
        </w:rPr>
        <w:t>足下列至少三项条件：</w:t>
      </w:r>
    </w:p>
    <w:p>
      <w:pPr>
        <w:pStyle w:val="ListParagraph"/>
        <w:numPr>
          <w:ilvl w:val="0"/>
          <w:numId w:val="97"/>
        </w:numPr>
        <w:tabs>
          <w:tab w:pos="3490" w:val="left" w:leader="none"/>
        </w:tabs>
        <w:spacing w:line="269" w:lineRule="exact" w:before="0" w:after="0"/>
        <w:ind w:left="3489" w:right="0" w:hanging="530"/>
        <w:jc w:val="left"/>
        <w:rPr>
          <w:sz w:val="21"/>
        </w:rPr>
      </w:pPr>
      <w:r>
        <w:rPr>
          <w:spacing w:val="-3"/>
          <w:sz w:val="21"/>
        </w:rPr>
        <w:t>尿液检查出现肾性糖尿、全氨基酸糖尿或磷酸盐尿；</w:t>
      </w:r>
    </w:p>
    <w:p>
      <w:pPr>
        <w:pStyle w:val="ListParagraph"/>
        <w:numPr>
          <w:ilvl w:val="0"/>
          <w:numId w:val="97"/>
        </w:numPr>
        <w:tabs>
          <w:tab w:pos="3490" w:val="left" w:leader="none"/>
        </w:tabs>
        <w:spacing w:line="240" w:lineRule="auto" w:before="43" w:after="0"/>
        <w:ind w:left="3489" w:right="0" w:hanging="530"/>
        <w:jc w:val="left"/>
        <w:rPr>
          <w:sz w:val="21"/>
        </w:rPr>
      </w:pPr>
      <w:r>
        <w:rPr>
          <w:spacing w:val="-3"/>
          <w:sz w:val="21"/>
        </w:rPr>
        <w:t>血液检查出现低磷血症、低尿酸血症或近端肾小管酸中毒；</w:t>
      </w:r>
    </w:p>
    <w:p>
      <w:pPr>
        <w:pStyle w:val="ListParagraph"/>
        <w:numPr>
          <w:ilvl w:val="0"/>
          <w:numId w:val="97"/>
        </w:numPr>
        <w:tabs>
          <w:tab w:pos="3490" w:val="left" w:leader="none"/>
        </w:tabs>
        <w:spacing w:line="240" w:lineRule="auto" w:before="43" w:after="0"/>
        <w:ind w:left="3489" w:right="0" w:hanging="530"/>
        <w:jc w:val="left"/>
        <w:rPr>
          <w:sz w:val="21"/>
        </w:rPr>
      </w:pPr>
      <w:r>
        <w:rPr>
          <w:spacing w:val="-3"/>
          <w:sz w:val="21"/>
        </w:rPr>
        <w:t>出现骨质疏松、骨骼畸形或尿路结石；</w:t>
      </w:r>
    </w:p>
    <w:p>
      <w:pPr>
        <w:pStyle w:val="ListParagraph"/>
        <w:numPr>
          <w:ilvl w:val="0"/>
          <w:numId w:val="97"/>
        </w:numPr>
        <w:tabs>
          <w:tab w:pos="3487" w:val="left" w:leader="none"/>
        </w:tabs>
        <w:spacing w:line="278" w:lineRule="auto" w:before="43" w:after="0"/>
        <w:ind w:left="3485" w:right="666" w:hanging="526"/>
        <w:jc w:val="left"/>
        <w:rPr>
          <w:sz w:val="21"/>
        </w:rPr>
      </w:pPr>
      <w:r>
        <w:rPr>
          <w:spacing w:val="-2"/>
          <w:sz w:val="21"/>
        </w:rPr>
        <w:t>通过骨髓片、白细胞、直肠黏膜中的结晶分析或裂隙灯检查角膜有胱氨</w:t>
      </w:r>
      <w:r>
        <w:rPr>
          <w:spacing w:val="-4"/>
          <w:sz w:val="21"/>
        </w:rPr>
        <w:t>酸结晶。</w:t>
      </w:r>
    </w:p>
    <w:p>
      <w:pPr>
        <w:pStyle w:val="Heading2"/>
        <w:spacing w:line="320" w:lineRule="exact"/>
      </w:pPr>
      <w:r>
        <w:rPr>
          <w:w w:val="95"/>
        </w:rPr>
        <w:t>被</w:t>
      </w:r>
      <w:r>
        <w:rPr>
          <w:w w:val="95"/>
        </w:rPr>
        <w:t>保</w:t>
      </w:r>
      <w:r>
        <w:rPr>
          <w:w w:val="95"/>
        </w:rPr>
        <w:t>险</w:t>
      </w:r>
      <w:r>
        <w:rPr>
          <w:w w:val="95"/>
        </w:rPr>
        <w:t>人</w:t>
      </w:r>
      <w:r>
        <w:rPr>
          <w:w w:val="95"/>
        </w:rPr>
        <w:t>在</w:t>
      </w:r>
      <w:r>
        <w:rPr>
          <w:spacing w:val="60"/>
          <w:w w:val="150"/>
        </w:rPr>
        <w:t> </w:t>
      </w:r>
      <w:r>
        <w:rPr>
          <w:w w:val="95"/>
        </w:rPr>
        <w:t>3</w:t>
      </w:r>
      <w:r>
        <w:rPr>
          <w:spacing w:val="61"/>
          <w:w w:val="150"/>
        </w:rPr>
        <w:t> </w:t>
      </w:r>
      <w:r>
        <w:rPr>
          <w:w w:val="95"/>
        </w:rPr>
        <w:t>周</w:t>
      </w:r>
      <w:r>
        <w:rPr>
          <w:w w:val="95"/>
        </w:rPr>
        <w:t>岁</w:t>
      </w:r>
      <w:r>
        <w:rPr>
          <w:w w:val="95"/>
        </w:rPr>
        <w:t>之</w:t>
      </w:r>
      <w:r>
        <w:rPr>
          <w:w w:val="95"/>
        </w:rPr>
        <w:t>前</w:t>
      </w:r>
      <w:r>
        <w:rPr>
          <w:w w:val="95"/>
        </w:rPr>
        <w:t>罹</w:t>
      </w:r>
      <w:r>
        <w:rPr>
          <w:w w:val="95"/>
        </w:rPr>
        <w:t>患</w:t>
      </w:r>
      <w:r>
        <w:rPr>
          <w:w w:val="95"/>
        </w:rPr>
        <w:t>本</w:t>
      </w:r>
      <w:r>
        <w:rPr>
          <w:w w:val="95"/>
        </w:rPr>
        <w:t>项</w:t>
      </w:r>
      <w:r>
        <w:rPr>
          <w:w w:val="95"/>
        </w:rPr>
        <w:t>疾</w:t>
      </w:r>
      <w:r>
        <w:rPr>
          <w:w w:val="95"/>
        </w:rPr>
        <w:t>病</w:t>
      </w:r>
      <w:r>
        <w:rPr>
          <w:w w:val="95"/>
        </w:rPr>
        <w:t>不</w:t>
      </w:r>
      <w:r>
        <w:rPr>
          <w:w w:val="95"/>
        </w:rPr>
        <w:t>在</w:t>
      </w:r>
      <w:r>
        <w:rPr>
          <w:w w:val="95"/>
        </w:rPr>
        <w:t>保</w:t>
      </w:r>
      <w:r>
        <w:rPr>
          <w:w w:val="95"/>
        </w:rPr>
        <w:t>障范围</w:t>
      </w:r>
      <w:r>
        <w:rPr>
          <w:w w:val="95"/>
        </w:rPr>
        <w:t>内</w:t>
      </w:r>
      <w:r>
        <w:rPr>
          <w:spacing w:val="-10"/>
          <w:w w:val="95"/>
        </w:rPr>
        <w:t>。</w:t>
      </w:r>
    </w:p>
    <w:p>
      <w:pPr>
        <w:pStyle w:val="BodyText"/>
        <w:spacing w:before="11"/>
        <w:rPr>
          <w:rFonts w:ascii="微软雅黑"/>
          <w:b/>
          <w:sz w:val="12"/>
        </w:rPr>
      </w:pPr>
    </w:p>
    <w:p>
      <w:pPr>
        <w:spacing w:after="0"/>
        <w:rPr>
          <w:rFonts w:ascii="微软雅黑"/>
          <w:sz w:val="12"/>
        </w:rPr>
        <w:sectPr>
          <w:pgSz w:w="11910" w:h="16840"/>
          <w:pgMar w:header="0" w:footer="406" w:top="1080" w:bottom="600" w:left="900" w:right="340"/>
        </w:sectPr>
      </w:pPr>
    </w:p>
    <w:p>
      <w:pPr>
        <w:pStyle w:val="ListParagraph"/>
        <w:numPr>
          <w:ilvl w:val="2"/>
          <w:numId w:val="40"/>
        </w:numPr>
        <w:tabs>
          <w:tab w:pos="1412" w:val="left" w:leader="none"/>
        </w:tabs>
        <w:spacing w:line="240" w:lineRule="auto" w:before="72" w:after="0"/>
        <w:ind w:left="1411" w:right="0" w:hanging="332"/>
        <w:jc w:val="left"/>
        <w:rPr>
          <w:sz w:val="21"/>
        </w:rPr>
      </w:pPr>
      <w:r>
        <w:rPr>
          <w:spacing w:val="7"/>
          <w:sz w:val="21"/>
        </w:rPr>
        <w:t>侵蚀性葡萄胎</w:t>
      </w:r>
    </w:p>
    <w:p>
      <w:pPr>
        <w:pStyle w:val="BodyText"/>
        <w:spacing w:line="278" w:lineRule="auto" w:before="43"/>
        <w:ind w:left="1080"/>
      </w:pPr>
      <w:r>
        <w:rPr>
          <w:spacing w:val="29"/>
        </w:rPr>
        <w:t>（</w:t>
      </w:r>
      <w:r>
        <w:rPr>
          <w:spacing w:val="26"/>
        </w:rPr>
        <w:t>或称恶性葡萄</w:t>
      </w:r>
      <w:r>
        <w:rPr>
          <w:spacing w:val="-6"/>
        </w:rPr>
        <w:t>胎）</w:t>
      </w:r>
    </w:p>
    <w:p>
      <w:pPr>
        <w:pStyle w:val="BodyText"/>
        <w:spacing w:line="278" w:lineRule="auto" w:before="72"/>
        <w:ind w:left="142" w:right="672"/>
      </w:pPr>
      <w:r>
        <w:rPr/>
        <w:br w:type="column"/>
      </w:r>
      <w:r>
        <w:rPr>
          <w:spacing w:val="-2"/>
        </w:rPr>
        <w:t>该类疾病是指异常增生的绒毛组织浸润性生长浸入子宫肌层或转移至其他器</w:t>
      </w:r>
      <w:r>
        <w:rPr>
          <w:spacing w:val="-2"/>
        </w:rPr>
        <w:t>官或组织的葡萄胎，并已经进行化疗或手术治疗的。</w:t>
      </w:r>
    </w:p>
    <w:p>
      <w:pPr>
        <w:spacing w:after="0" w:line="278" w:lineRule="auto"/>
        <w:sectPr>
          <w:type w:val="continuous"/>
          <w:pgSz w:w="11910" w:h="16840"/>
          <w:pgMar w:header="0" w:footer="406" w:top="600" w:bottom="280" w:left="900" w:right="340"/>
          <w:cols w:num="2" w:equalWidth="0">
            <w:col w:w="2778" w:space="40"/>
            <w:col w:w="7852"/>
          </w:cols>
        </w:sectPr>
      </w:pPr>
    </w:p>
    <w:p>
      <w:pPr>
        <w:pStyle w:val="BodyText"/>
        <w:spacing w:before="3"/>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1" w:after="0"/>
        <w:ind w:left="1080" w:right="0" w:firstLine="0"/>
        <w:jc w:val="both"/>
        <w:rPr>
          <w:sz w:val="21"/>
        </w:rPr>
      </w:pPr>
      <w:r>
        <w:rPr>
          <w:spacing w:val="27"/>
          <w:sz w:val="21"/>
        </w:rPr>
        <w:t>特发性慢性</w:t>
      </w:r>
      <w:r>
        <w:rPr>
          <w:spacing w:val="26"/>
          <w:sz w:val="21"/>
        </w:rPr>
        <w:t>肾上腺皮质功能</w:t>
      </w:r>
      <w:r>
        <w:rPr>
          <w:spacing w:val="-6"/>
          <w:sz w:val="21"/>
        </w:rPr>
        <w:t>减退</w:t>
      </w:r>
    </w:p>
    <w:p>
      <w:pPr>
        <w:pStyle w:val="BodyText"/>
        <w:spacing w:line="278" w:lineRule="auto" w:before="71"/>
        <w:ind w:left="142" w:right="667"/>
      </w:pPr>
      <w:r>
        <w:rPr/>
        <w:br w:type="column"/>
      </w:r>
      <w:r>
        <w:rPr>
          <w:spacing w:val="-2"/>
        </w:rPr>
        <w:t>指自身免疫性肾上腺炎（既往称：特发性肾上腺皮质萎缩）导致肾上腺萎缩</w:t>
      </w:r>
      <w:r>
        <w:rPr>
          <w:spacing w:val="-2"/>
        </w:rPr>
        <w:t>和慢性肾上腺皮质功能减退。必须满足所有以下条件：</w:t>
      </w:r>
    </w:p>
    <w:p>
      <w:pPr>
        <w:pStyle w:val="ListParagraph"/>
        <w:numPr>
          <w:ilvl w:val="0"/>
          <w:numId w:val="98"/>
        </w:numPr>
        <w:tabs>
          <w:tab w:pos="672" w:val="left" w:leader="none"/>
        </w:tabs>
        <w:spacing w:line="269" w:lineRule="exact" w:before="0" w:after="0"/>
        <w:ind w:left="671" w:right="0" w:hanging="530"/>
        <w:jc w:val="left"/>
        <w:rPr>
          <w:sz w:val="21"/>
        </w:rPr>
      </w:pPr>
      <w:r>
        <w:rPr>
          <w:spacing w:val="-3"/>
          <w:sz w:val="21"/>
        </w:rPr>
        <w:t>明确诊断，符合所有以下诊断标准；</w:t>
      </w:r>
    </w:p>
    <w:p>
      <w:pPr>
        <w:pStyle w:val="BodyText"/>
        <w:spacing w:before="43"/>
        <w:ind w:left="668"/>
        <w:jc w:val="both"/>
      </w:pPr>
      <w:r>
        <w:rPr>
          <w:spacing w:val="-2"/>
        </w:rPr>
        <w:t>① 血浆促肾上腺皮质激素(ACTH</w:t>
      </w:r>
      <w:r>
        <w:rPr>
          <w:spacing w:val="-8"/>
        </w:rPr>
        <w:t>)水平测定大于 </w:t>
      </w:r>
      <w:r>
        <w:rPr>
          <w:spacing w:val="-2"/>
        </w:rPr>
        <w:t>100pg/ml；</w:t>
      </w:r>
    </w:p>
    <w:p>
      <w:pPr>
        <w:pStyle w:val="BodyText"/>
        <w:spacing w:line="278" w:lineRule="auto" w:before="43"/>
        <w:ind w:left="982" w:right="610" w:hanging="315"/>
        <w:jc w:val="both"/>
      </w:pPr>
      <w:r>
        <w:rPr>
          <w:w w:val="100"/>
        </w:rPr>
        <w:t>②</w:t>
      </w:r>
      <w:r>
        <w:rPr/>
        <w:t> </w:t>
      </w:r>
      <w:r>
        <w:rPr>
          <w:spacing w:val="-3"/>
          <w:w w:val="100"/>
        </w:rPr>
        <w:t>血浆和尿游离皮质醇及尿</w:t>
      </w:r>
      <w:r>
        <w:rPr>
          <w:spacing w:val="-53"/>
        </w:rPr>
        <w:t> </w:t>
      </w:r>
      <w:r>
        <w:rPr>
          <w:w w:val="100"/>
        </w:rPr>
        <w:t>17</w:t>
      </w:r>
      <w:r>
        <w:rPr>
          <w:spacing w:val="-55"/>
        </w:rPr>
        <w:t> </w:t>
      </w:r>
      <w:r>
        <w:rPr>
          <w:spacing w:val="-3"/>
          <w:w w:val="100"/>
        </w:rPr>
        <w:t>羟皮质类固醇、</w:t>
      </w:r>
      <w:r>
        <w:rPr>
          <w:w w:val="100"/>
        </w:rPr>
        <w:t>17</w:t>
      </w:r>
      <w:r>
        <w:rPr>
          <w:spacing w:val="-55"/>
        </w:rPr>
        <w:t> </w:t>
      </w:r>
      <w:r>
        <w:rPr>
          <w:spacing w:val="-3"/>
          <w:w w:val="100"/>
        </w:rPr>
        <w:t>酮皮质类固醇测定、</w:t>
      </w:r>
      <w:r>
        <w:rPr>
          <w:spacing w:val="1"/>
          <w:w w:val="100"/>
        </w:rPr>
        <w:t>血浆肾素活性、血管紧张素Ⅱ和醛固酮测定，显示为原发性肾上腺</w:t>
      </w:r>
      <w:r>
        <w:rPr>
          <w:spacing w:val="-3"/>
          <w:w w:val="100"/>
        </w:rPr>
        <w:t>皮质功能减退症；</w:t>
      </w:r>
    </w:p>
    <w:p>
      <w:pPr>
        <w:pStyle w:val="BodyText"/>
        <w:spacing w:line="278" w:lineRule="auto"/>
        <w:ind w:left="982" w:right="667" w:hanging="315"/>
        <w:jc w:val="both"/>
      </w:pPr>
      <w:r>
        <w:rPr/>
        <w:t>③ 促肾上腺皮质激素(ACTH)刺激试验显示为原发性肾上腺皮质功能减</w:t>
      </w:r>
      <w:r>
        <w:rPr>
          <w:spacing w:val="-4"/>
        </w:rPr>
        <w:t>退症。</w:t>
      </w:r>
    </w:p>
    <w:p>
      <w:pPr>
        <w:pStyle w:val="ListParagraph"/>
        <w:numPr>
          <w:ilvl w:val="0"/>
          <w:numId w:val="98"/>
        </w:numPr>
        <w:tabs>
          <w:tab w:pos="672" w:val="left" w:leader="none"/>
        </w:tabs>
        <w:spacing w:line="257" w:lineRule="exact" w:before="0" w:after="0"/>
        <w:ind w:left="671" w:right="0" w:hanging="530"/>
        <w:jc w:val="both"/>
        <w:rPr>
          <w:sz w:val="21"/>
        </w:rPr>
      </w:pPr>
      <w:r>
        <w:rPr>
          <w:spacing w:val="-6"/>
          <w:sz w:val="21"/>
        </w:rPr>
        <w:t>已经采用皮质类固醇替代治疗 </w:t>
      </w:r>
      <w:r>
        <w:rPr>
          <w:spacing w:val="-2"/>
          <w:sz w:val="21"/>
        </w:rPr>
        <w:t>180</w:t>
      </w:r>
      <w:r>
        <w:rPr>
          <w:spacing w:val="-14"/>
          <w:sz w:val="21"/>
        </w:rPr>
        <w:t> 天以上。</w:t>
      </w:r>
    </w:p>
    <w:p>
      <w:pPr>
        <w:pStyle w:val="Heading2"/>
        <w:spacing w:line="337" w:lineRule="exact"/>
        <w:ind w:left="142"/>
      </w:pPr>
      <w:r>
        <w:rPr>
          <w:spacing w:val="-1"/>
        </w:rPr>
        <w:t>本保障仅包括由自身免疫功能紊乱所导致的慢性肾上腺功能减退，其他成因</w:t>
      </w:r>
    </w:p>
    <w:p>
      <w:pPr>
        <w:spacing w:line="194" w:lineRule="auto" w:before="15"/>
        <w:ind w:left="142" w:right="669" w:firstLine="0"/>
        <w:jc w:val="left"/>
        <w:rPr>
          <w:rFonts w:ascii="微软雅黑" w:eastAsia="微软雅黑"/>
          <w:b/>
          <w:sz w:val="21"/>
        </w:rPr>
      </w:pPr>
      <w:r>
        <w:rPr>
          <w:rFonts w:ascii="微软雅黑" w:eastAsia="微软雅黑"/>
          <w:b/>
          <w:w w:val="100"/>
          <w:sz w:val="21"/>
        </w:rPr>
        <w:t>（</w:t>
      </w:r>
      <w:r>
        <w:rPr>
          <w:rFonts w:ascii="微软雅黑" w:eastAsia="微软雅黑"/>
          <w:b/>
          <w:spacing w:val="-5"/>
          <w:w w:val="100"/>
          <w:sz w:val="21"/>
        </w:rPr>
        <w:t>包括但不限于：肾上腺结核、</w:t>
      </w:r>
      <w:r>
        <w:rPr>
          <w:rFonts w:ascii="微软雅黑" w:eastAsia="微软雅黑"/>
          <w:b/>
          <w:w w:val="80"/>
          <w:sz w:val="21"/>
        </w:rPr>
        <w:t>HIV</w:t>
      </w:r>
      <w:r>
        <w:rPr>
          <w:rFonts w:ascii="微软雅黑" w:eastAsia="微软雅黑"/>
          <w:b/>
          <w:spacing w:val="-10"/>
          <w:sz w:val="21"/>
        </w:rPr>
        <w:t> </w:t>
      </w:r>
      <w:r>
        <w:rPr>
          <w:rFonts w:ascii="微软雅黑" w:eastAsia="微软雅黑"/>
          <w:b/>
          <w:spacing w:val="-5"/>
          <w:w w:val="100"/>
          <w:sz w:val="21"/>
        </w:rPr>
        <w:t>感染或艾滋病、感染、肿瘤</w:t>
      </w:r>
      <w:r>
        <w:rPr>
          <w:rFonts w:ascii="微软雅黑" w:eastAsia="微软雅黑"/>
          <w:b/>
          <w:spacing w:val="-17"/>
          <w:w w:val="100"/>
          <w:sz w:val="21"/>
        </w:rPr>
        <w:t>）</w:t>
      </w:r>
      <w:r>
        <w:rPr>
          <w:rFonts w:ascii="微软雅黑" w:eastAsia="微软雅黑"/>
          <w:b/>
          <w:spacing w:val="-4"/>
          <w:w w:val="100"/>
          <w:sz w:val="21"/>
        </w:rPr>
        <w:t>所致的原发</w:t>
      </w:r>
      <w:r>
        <w:rPr>
          <w:rFonts w:ascii="微软雅黑" w:eastAsia="微软雅黑"/>
          <w:b/>
          <w:spacing w:val="-3"/>
          <w:w w:val="100"/>
          <w:sz w:val="21"/>
        </w:rPr>
        <w:t>性肾上腺皮质功能减退和继发性肾上腺皮质功能减退均不在保障范围内。</w:t>
      </w:r>
    </w:p>
    <w:p>
      <w:pPr>
        <w:spacing w:after="0" w:line="194" w:lineRule="auto"/>
        <w:jc w:val="left"/>
        <w:rPr>
          <w:rFonts w:ascii="微软雅黑" w:eastAsia="微软雅黑"/>
          <w:sz w:val="21"/>
        </w:rPr>
        <w:sectPr>
          <w:type w:val="continuous"/>
          <w:pgSz w:w="11910" w:h="16840"/>
          <w:pgMar w:header="0" w:footer="406" w:top="600" w:bottom="280" w:left="900" w:right="340"/>
          <w:cols w:num="2" w:equalWidth="0">
            <w:col w:w="2778" w:space="40"/>
            <w:col w:w="7852"/>
          </w:cols>
        </w:sectPr>
      </w:pPr>
    </w:p>
    <w:p>
      <w:pPr>
        <w:pStyle w:val="BodyText"/>
        <w:rPr>
          <w:rFonts w:ascii="微软雅黑"/>
          <w:b/>
          <w:sz w:val="9"/>
        </w:rPr>
      </w:pPr>
    </w:p>
    <w:p>
      <w:pPr>
        <w:spacing w:after="0"/>
        <w:rPr>
          <w:rFonts w:ascii="微软雅黑"/>
          <w:sz w:val="9"/>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1" w:after="0"/>
        <w:ind w:left="1080" w:right="0" w:firstLine="0"/>
        <w:jc w:val="left"/>
        <w:rPr>
          <w:sz w:val="21"/>
        </w:rPr>
      </w:pPr>
      <w:r>
        <w:rPr>
          <w:spacing w:val="27"/>
          <w:sz w:val="21"/>
        </w:rPr>
        <w:t>埃博拉病毒</w:t>
      </w:r>
      <w:r>
        <w:rPr>
          <w:spacing w:val="-6"/>
          <w:sz w:val="21"/>
        </w:rPr>
        <w:t>感染</w:t>
      </w:r>
    </w:p>
    <w:p>
      <w:pPr>
        <w:pStyle w:val="BodyText"/>
        <w:spacing w:before="71"/>
        <w:ind w:left="175"/>
      </w:pPr>
      <w:r>
        <w:rPr/>
        <w:br w:type="column"/>
      </w:r>
      <w:r>
        <w:rPr>
          <w:spacing w:val="-3"/>
        </w:rPr>
        <w:t>指埃博拉病毒感染导致的烈性传染病，并须满足下列全部条件：</w:t>
      </w:r>
    </w:p>
    <w:p>
      <w:pPr>
        <w:pStyle w:val="ListParagraph"/>
        <w:numPr>
          <w:ilvl w:val="0"/>
          <w:numId w:val="99"/>
        </w:numPr>
        <w:tabs>
          <w:tab w:pos="702" w:val="left" w:leader="none"/>
        </w:tabs>
        <w:spacing w:line="278" w:lineRule="auto" w:before="43" w:after="0"/>
        <w:ind w:left="700" w:right="666" w:hanging="526"/>
        <w:jc w:val="left"/>
        <w:rPr>
          <w:sz w:val="21"/>
        </w:rPr>
      </w:pPr>
      <w:r>
        <w:rPr>
          <w:spacing w:val="-2"/>
          <w:sz w:val="21"/>
        </w:rPr>
        <w:t>有实验室检查证据证实存在埃博拉病毒感染，经国家认可的有合法资质</w:t>
      </w:r>
      <w:r>
        <w:rPr>
          <w:spacing w:val="-2"/>
          <w:sz w:val="21"/>
        </w:rPr>
        <w:t>的传染病专家确诊、并上报国家疾病控制中心接受了隔离和治疗；</w:t>
      </w:r>
    </w:p>
    <w:p>
      <w:pPr>
        <w:pStyle w:val="ListParagraph"/>
        <w:numPr>
          <w:ilvl w:val="0"/>
          <w:numId w:val="99"/>
        </w:numPr>
        <w:tabs>
          <w:tab w:pos="705" w:val="left" w:leader="none"/>
        </w:tabs>
        <w:spacing w:line="269" w:lineRule="exact" w:before="0" w:after="0"/>
        <w:ind w:left="704" w:right="0" w:hanging="530"/>
        <w:jc w:val="left"/>
        <w:rPr>
          <w:sz w:val="21"/>
        </w:rPr>
      </w:pPr>
      <w:r>
        <w:rPr>
          <w:spacing w:val="-3"/>
          <w:sz w:val="21"/>
        </w:rPr>
        <w:t>存在广泛出血的临床表现；</w:t>
      </w:r>
    </w:p>
    <w:p>
      <w:pPr>
        <w:pStyle w:val="ListParagraph"/>
        <w:numPr>
          <w:ilvl w:val="0"/>
          <w:numId w:val="99"/>
        </w:numPr>
        <w:tabs>
          <w:tab w:pos="705" w:val="left" w:leader="none"/>
        </w:tabs>
        <w:spacing w:line="257" w:lineRule="exact" w:before="43" w:after="0"/>
        <w:ind w:left="704" w:right="0" w:hanging="530"/>
        <w:jc w:val="left"/>
        <w:rPr>
          <w:sz w:val="21"/>
        </w:rPr>
      </w:pPr>
      <w:r>
        <w:rPr>
          <w:spacing w:val="-8"/>
          <w:sz w:val="21"/>
        </w:rPr>
        <w:t>从发病开始有超过 </w:t>
      </w:r>
      <w:r>
        <w:rPr>
          <w:spacing w:val="-2"/>
          <w:sz w:val="21"/>
        </w:rPr>
        <w:t>30</w:t>
      </w:r>
      <w:r>
        <w:rPr>
          <w:spacing w:val="-10"/>
          <w:sz w:val="21"/>
        </w:rPr>
        <w:t> 天的进行性感染症状。</w:t>
      </w:r>
    </w:p>
    <w:p>
      <w:pPr>
        <w:pStyle w:val="Heading2"/>
        <w:spacing w:line="194" w:lineRule="auto" w:before="41"/>
        <w:ind w:left="175" w:right="667"/>
      </w:pPr>
      <w:r>
        <w:rPr>
          <w:spacing w:val="-2"/>
        </w:rPr>
        <w:t>单纯实验室诊断但没有临床出血表现的或者在确诊之前已经死亡的不在保障</w:t>
      </w:r>
      <w:r>
        <w:rPr>
          <w:spacing w:val="-4"/>
        </w:rPr>
        <w:t>范围内。</w:t>
      </w:r>
    </w:p>
    <w:p>
      <w:pPr>
        <w:spacing w:after="0" w:line="194" w:lineRule="auto"/>
        <w:sectPr>
          <w:type w:val="continuous"/>
          <w:pgSz w:w="11910" w:h="16840"/>
          <w:pgMar w:header="0" w:footer="406" w:top="600" w:bottom="280" w:left="900" w:right="340"/>
          <w:cols w:num="2" w:equalWidth="0">
            <w:col w:w="2746" w:space="40"/>
            <w:col w:w="7884"/>
          </w:cols>
        </w:sectPr>
      </w:pPr>
    </w:p>
    <w:p>
      <w:pPr>
        <w:pStyle w:val="BodyText"/>
        <w:rPr>
          <w:rFonts w:ascii="微软雅黑"/>
          <w:b/>
          <w:sz w:val="12"/>
        </w:rPr>
      </w:pPr>
    </w:p>
    <w:p>
      <w:pPr>
        <w:spacing w:after="0"/>
        <w:rPr>
          <w:rFonts w:ascii="微软雅黑"/>
          <w:sz w:val="12"/>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1" w:after="0"/>
        <w:ind w:left="1080" w:right="0" w:firstLine="0"/>
        <w:jc w:val="left"/>
        <w:rPr>
          <w:sz w:val="21"/>
        </w:rPr>
      </w:pPr>
      <w:r>
        <w:rPr>
          <w:spacing w:val="27"/>
          <w:sz w:val="21"/>
        </w:rPr>
        <w:t>丝虫病所致</w:t>
      </w:r>
      <w:r>
        <w:rPr>
          <w:spacing w:val="-4"/>
          <w:sz w:val="21"/>
        </w:rPr>
        <w:t>象皮肿</w:t>
      </w:r>
    </w:p>
    <w:p>
      <w:pPr>
        <w:pStyle w:val="BodyText"/>
        <w:spacing w:line="278" w:lineRule="auto" w:before="71"/>
        <w:ind w:left="175" w:right="667"/>
        <w:jc w:val="both"/>
      </w:pPr>
      <w:r>
        <w:rPr/>
        <w:br w:type="column"/>
      </w:r>
      <w:r>
        <w:rPr>
          <w:spacing w:val="-2"/>
        </w:rPr>
        <w:t>指末期丝虫病，按国际淋巴学会分级为三度淋巴水肿，其临床表现为肢体非</w:t>
      </w:r>
      <w:r>
        <w:rPr>
          <w:spacing w:val="-2"/>
        </w:rPr>
        <w:t>凹陷性水肿伴畸形增大、硬皮症和疣状增生。此病症须经本公司认可的专科</w:t>
      </w:r>
      <w:r>
        <w:rPr>
          <w:spacing w:val="-2"/>
        </w:rPr>
        <w:t>医生根据临床表现和微丝蚴的化验结果确诊。</w:t>
      </w:r>
    </w:p>
    <w:p>
      <w:pPr>
        <w:spacing w:after="0" w:line="278" w:lineRule="auto"/>
        <w:jc w:val="both"/>
        <w:sectPr>
          <w:type w:val="continuous"/>
          <w:pgSz w:w="11910" w:h="16840"/>
          <w:pgMar w:header="0" w:footer="406" w:top="600" w:bottom="280" w:left="900" w:right="340"/>
          <w:cols w:num="2" w:equalWidth="0">
            <w:col w:w="2746" w:space="40"/>
            <w:col w:w="7884"/>
          </w:cols>
        </w:sectPr>
      </w:pPr>
    </w:p>
    <w:p>
      <w:pPr>
        <w:pStyle w:val="BodyText"/>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2" w:after="0"/>
        <w:ind w:left="1080" w:right="0" w:firstLine="0"/>
        <w:jc w:val="left"/>
        <w:rPr>
          <w:sz w:val="21"/>
        </w:rPr>
      </w:pPr>
      <w:r>
        <w:rPr>
          <w:spacing w:val="27"/>
          <w:sz w:val="21"/>
        </w:rPr>
        <w:t>因职业关系</w:t>
      </w:r>
      <w:r>
        <w:rPr>
          <w:spacing w:val="-6"/>
          <w:sz w:val="21"/>
        </w:rPr>
        <w:t>导致的 </w:t>
      </w:r>
      <w:r>
        <w:rPr>
          <w:sz w:val="21"/>
        </w:rPr>
        <w:t>HIV</w:t>
      </w:r>
      <w:r>
        <w:rPr>
          <w:spacing w:val="-9"/>
          <w:sz w:val="21"/>
        </w:rPr>
        <w:t> 感染</w:t>
      </w:r>
    </w:p>
    <w:p>
      <w:pPr>
        <w:pStyle w:val="BodyText"/>
        <w:spacing w:line="278" w:lineRule="auto" w:before="72"/>
        <w:ind w:left="175" w:right="667"/>
      </w:pPr>
      <w:r>
        <w:rPr/>
        <w:br w:type="column"/>
      </w:r>
      <w:r>
        <w:rPr>
          <w:spacing w:val="-2"/>
        </w:rPr>
        <w:t>被保险人在其常规职业工作过程中遭遇外伤，或职业需要处理血液或其他体</w:t>
      </w:r>
      <w:r>
        <w:rPr>
          <w:spacing w:val="-2"/>
        </w:rPr>
        <w:t>液时感染上人类免疫缺陷病毒（HIV）。必须满足下列全部条件：</w:t>
      </w:r>
    </w:p>
    <w:p>
      <w:pPr>
        <w:pStyle w:val="ListParagraph"/>
        <w:numPr>
          <w:ilvl w:val="0"/>
          <w:numId w:val="100"/>
        </w:numPr>
        <w:tabs>
          <w:tab w:pos="702" w:val="left" w:leader="none"/>
        </w:tabs>
        <w:spacing w:line="278" w:lineRule="auto" w:before="0" w:after="0"/>
        <w:ind w:left="700" w:right="666" w:hanging="526"/>
        <w:jc w:val="left"/>
        <w:rPr>
          <w:sz w:val="21"/>
        </w:rPr>
      </w:pPr>
      <w:r>
        <w:rPr>
          <w:spacing w:val="-2"/>
          <w:sz w:val="21"/>
        </w:rPr>
        <w:t>感染必须是在被保险人正在从事其职业工作中发生，该职业必须属于下</w:t>
      </w:r>
      <w:r>
        <w:rPr>
          <w:spacing w:val="-2"/>
          <w:sz w:val="21"/>
        </w:rPr>
        <w:t>列限定职业范围内的职业；</w:t>
      </w:r>
    </w:p>
    <w:p>
      <w:pPr>
        <w:spacing w:after="0" w:line="278" w:lineRule="auto"/>
        <w:jc w:val="left"/>
        <w:rPr>
          <w:sz w:val="21"/>
        </w:rPr>
        <w:sectPr>
          <w:type w:val="continuous"/>
          <w:pgSz w:w="11910" w:h="16840"/>
          <w:pgMar w:header="0" w:footer="406" w:top="600" w:bottom="280" w:left="900" w:right="340"/>
          <w:cols w:num="2" w:equalWidth="0">
            <w:col w:w="2746" w:space="40"/>
            <w:col w:w="7884"/>
          </w:cols>
        </w:sectPr>
      </w:pPr>
    </w:p>
    <w:p>
      <w:pPr>
        <w:pStyle w:val="ListParagraph"/>
        <w:numPr>
          <w:ilvl w:val="1"/>
          <w:numId w:val="100"/>
        </w:numPr>
        <w:tabs>
          <w:tab w:pos="3490" w:val="left" w:leader="none"/>
        </w:tabs>
        <w:spacing w:line="240" w:lineRule="auto" w:before="57" w:after="0"/>
        <w:ind w:left="3489" w:right="0" w:hanging="530"/>
        <w:jc w:val="both"/>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1"/>
          <w:numId w:val="100"/>
        </w:numPr>
        <w:tabs>
          <w:tab w:pos="3487" w:val="left" w:leader="none"/>
        </w:tabs>
        <w:spacing w:line="278" w:lineRule="auto" w:before="43" w:after="0"/>
        <w:ind w:left="3485" w:right="666" w:hanging="526"/>
        <w:jc w:val="both"/>
        <w:rPr>
          <w:sz w:val="21"/>
        </w:rPr>
      </w:pPr>
      <w:r>
        <w:rPr>
          <w:w w:val="95"/>
          <w:sz w:val="21"/>
        </w:rPr>
        <w:t>必须提供被保险人在</w:t>
      </w:r>
      <w:r>
        <w:rPr>
          <w:w w:val="95"/>
          <w:sz w:val="21"/>
        </w:rPr>
        <w:t>所</w:t>
      </w:r>
      <w:r>
        <w:rPr>
          <w:w w:val="95"/>
          <w:sz w:val="21"/>
        </w:rPr>
        <w:t>报</w:t>
      </w:r>
      <w:r>
        <w:rPr>
          <w:w w:val="95"/>
          <w:sz w:val="21"/>
        </w:rPr>
        <w:t>事故后发生的</w:t>
      </w:r>
      <w:r>
        <w:rPr>
          <w:spacing w:val="35"/>
          <w:sz w:val="21"/>
        </w:rPr>
        <w:t> </w:t>
      </w:r>
      <w:r>
        <w:rPr>
          <w:w w:val="95"/>
          <w:sz w:val="21"/>
        </w:rPr>
        <w:t>5</w:t>
      </w:r>
      <w:r>
        <w:rPr>
          <w:spacing w:val="29"/>
          <w:sz w:val="21"/>
        </w:rPr>
        <w:t> </w:t>
      </w:r>
      <w:r>
        <w:rPr>
          <w:w w:val="95"/>
          <w:sz w:val="21"/>
        </w:rPr>
        <w:t>天以</w:t>
      </w:r>
      <w:r>
        <w:rPr>
          <w:w w:val="95"/>
          <w:sz w:val="21"/>
        </w:rPr>
        <w:t>内</w:t>
      </w:r>
      <w:r>
        <w:rPr>
          <w:w w:val="95"/>
          <w:sz w:val="21"/>
        </w:rPr>
        <w:t>进</w:t>
      </w:r>
      <w:r>
        <w:rPr>
          <w:w w:val="95"/>
          <w:sz w:val="21"/>
        </w:rPr>
        <w:t>行的检查报告，该报</w:t>
      </w:r>
      <w:r>
        <w:rPr>
          <w:spacing w:val="-2"/>
          <w:sz w:val="21"/>
        </w:rPr>
        <w:t>告必须显示被保险人血液人类免疫缺陷病毒（HIV）阴性和/或人类免疫</w:t>
      </w:r>
      <w:r>
        <w:rPr>
          <w:spacing w:val="-2"/>
          <w:sz w:val="21"/>
        </w:rPr>
        <w:t>缺陷病毒（HIV）抗体阴性；</w:t>
      </w:r>
    </w:p>
    <w:p>
      <w:pPr>
        <w:pStyle w:val="ListParagraph"/>
        <w:numPr>
          <w:ilvl w:val="1"/>
          <w:numId w:val="100"/>
        </w:numPr>
        <w:tabs>
          <w:tab w:pos="3490" w:val="left" w:leader="none"/>
        </w:tabs>
        <w:spacing w:line="278" w:lineRule="auto" w:before="0" w:after="0"/>
        <w:ind w:left="3485" w:right="668" w:hanging="526"/>
        <w:jc w:val="both"/>
        <w:rPr>
          <w:sz w:val="21"/>
        </w:rPr>
      </w:pPr>
      <w:r>
        <w:rPr>
          <w:spacing w:val="-2"/>
          <w:sz w:val="21"/>
        </w:rPr>
        <w:t>必须在事故发生后的 </w:t>
      </w:r>
      <w:r>
        <w:rPr>
          <w:sz w:val="21"/>
        </w:rPr>
        <w:t>12</w:t>
      </w:r>
      <w:r>
        <w:rPr>
          <w:spacing w:val="-4"/>
          <w:sz w:val="21"/>
        </w:rPr>
        <w:t> 个月内证实被保险人体内存在人类免疫缺陷病</w:t>
      </w:r>
      <w:r>
        <w:rPr>
          <w:spacing w:val="-2"/>
          <w:sz w:val="21"/>
        </w:rPr>
        <w:t>毒（HIV）或人类免疫缺陷病毒（HIV）抗体。</w:t>
      </w:r>
    </w:p>
    <w:p>
      <w:pPr>
        <w:pStyle w:val="BodyText"/>
        <w:spacing w:line="269" w:lineRule="exact"/>
        <w:ind w:left="2960"/>
      </w:pPr>
      <w:r>
        <w:rPr>
          <w:spacing w:val="-4"/>
        </w:rPr>
        <w:t>限定职业：</w:t>
      </w:r>
    </w:p>
    <w:p>
      <w:pPr>
        <w:pStyle w:val="BodyText"/>
        <w:spacing w:line="278" w:lineRule="auto" w:before="43"/>
        <w:ind w:left="2960" w:right="673"/>
      </w:pPr>
      <w:r>
        <w:rPr>
          <w:spacing w:val="-2"/>
        </w:rPr>
        <w:t>医生和牙科医生、护士、医院化验室工作人员、医院护工、医生助理和牙医</w:t>
      </w:r>
      <w:r>
        <w:rPr>
          <w:spacing w:val="-2"/>
        </w:rPr>
        <w:t>助理、救护车工作人员、助产士、消防队员、警察、狱警。</w:t>
      </w:r>
    </w:p>
    <w:p>
      <w:pPr>
        <w:spacing w:line="282" w:lineRule="exact" w:before="0"/>
        <w:ind w:left="2960" w:right="0" w:firstLine="0"/>
        <w:jc w:val="left"/>
        <w:rPr>
          <w:rFonts w:ascii="微软雅黑" w:eastAsia="微软雅黑"/>
          <w:b/>
          <w:sz w:val="21"/>
        </w:rPr>
      </w:pPr>
      <w:r>
        <w:rPr>
          <w:rFonts w:ascii="微软雅黑" w:eastAsia="微软雅黑"/>
          <w:b/>
          <w:w w:val="95"/>
          <w:sz w:val="21"/>
        </w:rPr>
        <w:t>在</w:t>
      </w:r>
      <w:r>
        <w:rPr>
          <w:rFonts w:ascii="微软雅黑" w:eastAsia="微软雅黑"/>
          <w:b/>
          <w:w w:val="95"/>
          <w:sz w:val="21"/>
        </w:rPr>
        <w:t>任</w:t>
      </w:r>
      <w:r>
        <w:rPr>
          <w:rFonts w:ascii="微软雅黑" w:eastAsia="微软雅黑"/>
          <w:b/>
          <w:w w:val="95"/>
          <w:sz w:val="21"/>
        </w:rPr>
        <w:t>何</w:t>
      </w:r>
      <w:r>
        <w:rPr>
          <w:rFonts w:ascii="微软雅黑" w:eastAsia="微软雅黑"/>
          <w:b/>
          <w:w w:val="95"/>
          <w:sz w:val="21"/>
        </w:rPr>
        <w:t>治</w:t>
      </w:r>
      <w:r>
        <w:rPr>
          <w:rFonts w:ascii="微软雅黑" w:eastAsia="微软雅黑"/>
          <w:b/>
          <w:w w:val="95"/>
          <w:sz w:val="21"/>
        </w:rPr>
        <w:t>愈</w:t>
      </w:r>
      <w:r>
        <w:rPr>
          <w:rFonts w:ascii="微软雅黑" w:eastAsia="微软雅黑"/>
          <w:b/>
          <w:w w:val="95"/>
          <w:sz w:val="21"/>
        </w:rPr>
        <w:t>艾</w:t>
      </w:r>
      <w:r>
        <w:rPr>
          <w:rFonts w:ascii="微软雅黑" w:eastAsia="微软雅黑"/>
          <w:b/>
          <w:w w:val="95"/>
          <w:sz w:val="21"/>
        </w:rPr>
        <w:t>滋</w:t>
      </w:r>
      <w:r>
        <w:rPr>
          <w:rFonts w:ascii="微软雅黑" w:eastAsia="微软雅黑"/>
          <w:b/>
          <w:w w:val="95"/>
          <w:sz w:val="21"/>
        </w:rPr>
        <w:t>病</w:t>
      </w:r>
      <w:r>
        <w:rPr>
          <w:rFonts w:ascii="微软雅黑" w:eastAsia="微软雅黑"/>
          <w:b/>
          <w:w w:val="95"/>
          <w:sz w:val="21"/>
        </w:rPr>
        <w:t>或阻止</w:t>
      </w:r>
      <w:r>
        <w:rPr>
          <w:rFonts w:ascii="微软雅黑" w:eastAsia="微软雅黑"/>
          <w:b/>
          <w:w w:val="95"/>
          <w:sz w:val="21"/>
        </w:rPr>
        <w:t>人</w:t>
      </w:r>
      <w:r>
        <w:rPr>
          <w:rFonts w:ascii="微软雅黑" w:eastAsia="微软雅黑"/>
          <w:b/>
          <w:w w:val="95"/>
          <w:sz w:val="21"/>
        </w:rPr>
        <w:t>类</w:t>
      </w:r>
      <w:r>
        <w:rPr>
          <w:rFonts w:ascii="微软雅黑" w:eastAsia="微软雅黑"/>
          <w:b/>
          <w:w w:val="95"/>
          <w:sz w:val="21"/>
        </w:rPr>
        <w:t>免</w:t>
      </w:r>
      <w:r>
        <w:rPr>
          <w:rFonts w:ascii="微软雅黑" w:eastAsia="微软雅黑"/>
          <w:b/>
          <w:w w:val="95"/>
          <w:sz w:val="21"/>
        </w:rPr>
        <w:t>疫</w:t>
      </w:r>
      <w:r>
        <w:rPr>
          <w:rFonts w:ascii="微软雅黑" w:eastAsia="微软雅黑"/>
          <w:b/>
          <w:w w:val="95"/>
          <w:sz w:val="21"/>
        </w:rPr>
        <w:t>缺</w:t>
      </w:r>
      <w:r>
        <w:rPr>
          <w:rFonts w:ascii="微软雅黑" w:eastAsia="微软雅黑"/>
          <w:b/>
          <w:w w:val="95"/>
          <w:sz w:val="21"/>
        </w:rPr>
        <w:t>陷</w:t>
      </w:r>
      <w:r>
        <w:rPr>
          <w:rFonts w:ascii="微软雅黑" w:eastAsia="微软雅黑"/>
          <w:b/>
          <w:w w:val="95"/>
          <w:sz w:val="21"/>
        </w:rPr>
        <w:t>病</w:t>
      </w:r>
      <w:r>
        <w:rPr>
          <w:rFonts w:ascii="微软雅黑" w:eastAsia="微软雅黑"/>
          <w:b/>
          <w:w w:val="95"/>
          <w:sz w:val="21"/>
        </w:rPr>
        <w:t>毒（HIV）</w:t>
      </w:r>
      <w:r>
        <w:rPr>
          <w:rFonts w:ascii="微软雅黑" w:eastAsia="微软雅黑"/>
          <w:b/>
          <w:w w:val="95"/>
          <w:sz w:val="21"/>
        </w:rPr>
        <w:t>病</w:t>
      </w:r>
      <w:r>
        <w:rPr>
          <w:rFonts w:ascii="微软雅黑" w:eastAsia="微软雅黑"/>
          <w:b/>
          <w:w w:val="95"/>
          <w:sz w:val="21"/>
        </w:rPr>
        <w:t>毒</w:t>
      </w:r>
      <w:r>
        <w:rPr>
          <w:rFonts w:ascii="微软雅黑" w:eastAsia="微软雅黑"/>
          <w:b/>
          <w:w w:val="95"/>
          <w:sz w:val="21"/>
        </w:rPr>
        <w:t>作</w:t>
      </w:r>
      <w:r>
        <w:rPr>
          <w:rFonts w:ascii="微软雅黑" w:eastAsia="微软雅黑"/>
          <w:b/>
          <w:w w:val="95"/>
          <w:sz w:val="21"/>
        </w:rPr>
        <w:t>用</w:t>
      </w:r>
      <w:r>
        <w:rPr>
          <w:rFonts w:ascii="微软雅黑" w:eastAsia="微软雅黑"/>
          <w:b/>
          <w:w w:val="95"/>
          <w:sz w:val="21"/>
        </w:rPr>
        <w:t>的</w:t>
      </w:r>
      <w:r>
        <w:rPr>
          <w:rFonts w:ascii="微软雅黑" w:eastAsia="微软雅黑"/>
          <w:b/>
          <w:w w:val="95"/>
          <w:sz w:val="21"/>
        </w:rPr>
        <w:t>疗</w:t>
      </w:r>
      <w:r>
        <w:rPr>
          <w:rFonts w:ascii="微软雅黑" w:eastAsia="微软雅黑"/>
          <w:b/>
          <w:w w:val="95"/>
          <w:sz w:val="21"/>
        </w:rPr>
        <w:t>法</w:t>
      </w:r>
      <w:r>
        <w:rPr>
          <w:rFonts w:ascii="微软雅黑" w:eastAsia="微软雅黑"/>
          <w:b/>
          <w:w w:val="95"/>
          <w:sz w:val="21"/>
        </w:rPr>
        <w:t>被</w:t>
      </w:r>
      <w:r>
        <w:rPr>
          <w:rFonts w:ascii="微软雅黑" w:eastAsia="微软雅黑"/>
          <w:b/>
          <w:w w:val="95"/>
          <w:sz w:val="21"/>
        </w:rPr>
        <w:t>发</w:t>
      </w:r>
      <w:r>
        <w:rPr>
          <w:rFonts w:ascii="微软雅黑" w:eastAsia="微软雅黑"/>
          <w:b/>
          <w:w w:val="95"/>
          <w:sz w:val="21"/>
        </w:rPr>
        <w:t>现</w:t>
      </w:r>
      <w:r>
        <w:rPr>
          <w:rFonts w:ascii="微软雅黑" w:eastAsia="微软雅黑"/>
          <w:b/>
          <w:spacing w:val="-10"/>
          <w:w w:val="95"/>
          <w:sz w:val="21"/>
        </w:rPr>
        <w:t>以</w:t>
      </w:r>
    </w:p>
    <w:p>
      <w:pPr>
        <w:spacing w:line="194" w:lineRule="auto" w:before="15"/>
        <w:ind w:left="2960" w:right="667" w:firstLine="0"/>
        <w:jc w:val="left"/>
        <w:rPr>
          <w:rFonts w:ascii="微软雅黑" w:eastAsia="微软雅黑"/>
          <w:b/>
          <w:sz w:val="21"/>
        </w:rPr>
      </w:pPr>
      <w:r>
        <w:rPr>
          <w:rFonts w:ascii="微软雅黑" w:eastAsia="微软雅黑"/>
          <w:b/>
          <w:spacing w:val="-2"/>
          <w:sz w:val="21"/>
        </w:rPr>
        <w:t>后，或能防止艾滋病发生的医疗方法被研究出来以后，本保障将不再予以赔</w:t>
      </w:r>
      <w:r>
        <w:rPr>
          <w:rFonts w:ascii="微软雅黑" w:eastAsia="微软雅黑"/>
          <w:b/>
          <w:spacing w:val="-6"/>
          <w:sz w:val="21"/>
        </w:rPr>
        <w:t>付。</w:t>
      </w:r>
    </w:p>
    <w:p>
      <w:pPr>
        <w:spacing w:line="194" w:lineRule="auto" w:before="0"/>
        <w:ind w:left="2960" w:right="667" w:firstLine="0"/>
        <w:jc w:val="left"/>
        <w:rPr>
          <w:rFonts w:ascii="微软雅黑" w:eastAsia="微软雅黑"/>
          <w:b/>
          <w:sz w:val="21"/>
        </w:rPr>
      </w:pPr>
      <w:r>
        <w:rPr>
          <w:rFonts w:ascii="微软雅黑" w:eastAsia="微软雅黑"/>
          <w:b/>
          <w:spacing w:val="-2"/>
          <w:sz w:val="21"/>
        </w:rPr>
        <w:t>本公司必须拥有获得使用被保险人的所有血液样本的权利和能够对这些样本</w:t>
      </w:r>
      <w:r>
        <w:rPr>
          <w:rFonts w:ascii="微软雅黑" w:eastAsia="微软雅黑"/>
          <w:b/>
          <w:spacing w:val="-2"/>
          <w:sz w:val="21"/>
        </w:rPr>
        <w:t>进行独立检验的权利。</w:t>
      </w:r>
    </w:p>
    <w:p>
      <w:pPr>
        <w:spacing w:line="194" w:lineRule="auto" w:before="0"/>
        <w:ind w:left="2960" w:right="667"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本公司承担本项疾病责任不受本合同责任免除中“被保险人感染艾滋病病毒</w:t>
      </w:r>
      <w:r>
        <w:rPr>
          <w:rFonts w:ascii="微软雅黑" w:hAnsi="微软雅黑" w:eastAsia="微软雅黑"/>
          <w:b/>
          <w:spacing w:val="-2"/>
          <w:sz w:val="21"/>
        </w:rPr>
        <w:t>或患艾滋病”的限制。</w:t>
      </w:r>
    </w:p>
    <w:p>
      <w:pPr>
        <w:pStyle w:val="BodyText"/>
        <w:spacing w:before="15"/>
        <w:rPr>
          <w:rFonts w:ascii="微软雅黑"/>
          <w:b/>
          <w:sz w:val="8"/>
        </w:rPr>
      </w:pPr>
    </w:p>
    <w:p>
      <w:pPr>
        <w:spacing w:after="0"/>
        <w:rPr>
          <w:rFonts w:ascii="微软雅黑"/>
          <w:sz w:val="8"/>
        </w:rPr>
        <w:sectPr>
          <w:pgSz w:w="11910" w:h="16840"/>
          <w:pgMar w:header="0" w:footer="406" w:top="1080" w:bottom="600" w:left="900" w:right="340"/>
        </w:sectPr>
      </w:pPr>
    </w:p>
    <w:p>
      <w:pPr>
        <w:pStyle w:val="ListParagraph"/>
        <w:numPr>
          <w:ilvl w:val="2"/>
          <w:numId w:val="40"/>
        </w:numPr>
        <w:tabs>
          <w:tab w:pos="1542" w:val="left" w:leader="none"/>
        </w:tabs>
        <w:spacing w:line="278" w:lineRule="auto" w:before="71" w:after="0"/>
        <w:ind w:left="1080" w:right="0" w:firstLine="0"/>
        <w:jc w:val="left"/>
        <w:rPr>
          <w:sz w:val="21"/>
        </w:rPr>
      </w:pPr>
      <w:r>
        <w:rPr>
          <w:spacing w:val="27"/>
          <w:sz w:val="21"/>
        </w:rPr>
        <w:t>严重面部烧</w:t>
      </w:r>
      <w:r>
        <w:rPr>
          <w:spacing w:val="-10"/>
          <w:sz w:val="21"/>
        </w:rPr>
        <w:t>伤</w:t>
      </w:r>
    </w:p>
    <w:p>
      <w:pPr>
        <w:pStyle w:val="BodyText"/>
        <w:spacing w:line="278" w:lineRule="auto" w:before="71"/>
        <w:ind w:left="175" w:right="560"/>
      </w:pPr>
      <w:r>
        <w:rPr/>
        <w:br w:type="column"/>
      </w:r>
      <w:r>
        <w:rPr>
          <w:spacing w:val="-12"/>
          <w:w w:val="100"/>
        </w:rPr>
        <w:t>指烧伤程度为Ⅲ度，且面部Ⅲ度烧伤的面积达到面部表面积的</w:t>
      </w:r>
      <w:r>
        <w:rPr>
          <w:spacing w:val="-55"/>
        </w:rPr>
        <w:t> </w:t>
      </w:r>
      <w:r>
        <w:rPr>
          <w:w w:val="100"/>
        </w:rPr>
        <w:t>80%或</w:t>
      </w:r>
      <w:r>
        <w:rPr>
          <w:spacing w:val="-57"/>
        </w:rPr>
        <w:t> </w:t>
      </w:r>
      <w:r>
        <w:rPr>
          <w:w w:val="100"/>
        </w:rPr>
        <w:t>80</w:t>
      </w:r>
      <w:r>
        <w:rPr>
          <w:spacing w:val="-2"/>
          <w:w w:val="100"/>
        </w:rPr>
        <w:t>%以上。</w:t>
      </w:r>
      <w:r>
        <w:rPr>
          <w:w w:val="100"/>
        </w:rPr>
        <w:t>面部的范围指上至发际、下至下颌下缘、两侧至下颌支后缘之间的区域，包</w:t>
      </w:r>
      <w:r>
        <w:rPr>
          <w:spacing w:val="-3"/>
          <w:w w:val="100"/>
        </w:rPr>
        <w:t>括额部、眼部、眶部、鼻部、口唇部、颏部、颧部、颊部和腮腺咬肌部。</w:t>
      </w:r>
    </w:p>
    <w:p>
      <w:pPr>
        <w:spacing w:after="0" w:line="278" w:lineRule="auto"/>
        <w:sectPr>
          <w:type w:val="continuous"/>
          <w:pgSz w:w="11910" w:h="16840"/>
          <w:pgMar w:header="0" w:footer="406" w:top="600" w:bottom="280" w:left="900" w:right="340"/>
          <w:cols w:num="2" w:equalWidth="0">
            <w:col w:w="2746" w:space="40"/>
            <w:col w:w="7884"/>
          </w:cols>
        </w:sectPr>
      </w:pPr>
    </w:p>
    <w:p>
      <w:pPr>
        <w:pStyle w:val="BodyText"/>
        <w:spacing w:before="3"/>
        <w:rPr>
          <w:sz w:val="12"/>
        </w:rPr>
      </w:pPr>
    </w:p>
    <w:p>
      <w:pPr>
        <w:spacing w:after="0"/>
        <w:rPr>
          <w:sz w:val="12"/>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1" w:after="0"/>
        <w:ind w:left="1080" w:right="0" w:firstLine="0"/>
        <w:jc w:val="left"/>
        <w:rPr>
          <w:sz w:val="21"/>
        </w:rPr>
      </w:pPr>
      <w:r>
        <w:rPr>
          <w:spacing w:val="27"/>
          <w:sz w:val="21"/>
        </w:rPr>
        <w:t>原发性脊柱</w:t>
      </w:r>
      <w:r>
        <w:rPr>
          <w:spacing w:val="-2"/>
          <w:sz w:val="21"/>
        </w:rPr>
        <w:t>侧弯的矫正手术</w:t>
      </w:r>
    </w:p>
    <w:p>
      <w:pPr>
        <w:spacing w:line="206" w:lineRule="auto" w:before="101"/>
        <w:ind w:left="175" w:right="667" w:firstLine="0"/>
        <w:jc w:val="both"/>
        <w:rPr>
          <w:rFonts w:ascii="微软雅黑" w:eastAsia="微软雅黑"/>
          <w:b/>
          <w:sz w:val="21"/>
        </w:rPr>
      </w:pPr>
      <w:r>
        <w:rPr/>
        <w:br w:type="column"/>
      </w:r>
      <w:r>
        <w:rPr>
          <w:spacing w:val="-2"/>
          <w:sz w:val="21"/>
        </w:rPr>
        <w:t>指被保险人因原发性脊柱侧弯，在本公司认可的医疗机构实际实施了对该病</w:t>
      </w:r>
      <w:r>
        <w:rPr>
          <w:spacing w:val="-2"/>
          <w:sz w:val="21"/>
        </w:rPr>
        <w:t>的矫正外科手术。</w:t>
      </w:r>
      <w:r>
        <w:rPr>
          <w:rFonts w:ascii="微软雅黑" w:eastAsia="微软雅黑"/>
          <w:b/>
          <w:spacing w:val="-2"/>
          <w:sz w:val="21"/>
        </w:rPr>
        <w:t>由于先天性脊柱侧弯以及其他疾病或意外导致的继发性脊</w:t>
      </w:r>
      <w:r>
        <w:rPr>
          <w:rFonts w:ascii="微软雅黑" w:eastAsia="微软雅黑"/>
          <w:b/>
          <w:spacing w:val="-2"/>
          <w:sz w:val="21"/>
        </w:rPr>
        <w:t>柱侧弯而进行的手术治疗不在保障范围内。</w:t>
      </w:r>
    </w:p>
    <w:p>
      <w:pPr>
        <w:spacing w:after="0" w:line="206" w:lineRule="auto"/>
        <w:jc w:val="both"/>
        <w:rPr>
          <w:rFonts w:ascii="微软雅黑" w:eastAsia="微软雅黑"/>
          <w:sz w:val="21"/>
        </w:rPr>
        <w:sectPr>
          <w:type w:val="continuous"/>
          <w:pgSz w:w="11910" w:h="16840"/>
          <w:pgMar w:header="0" w:footer="406" w:top="600" w:bottom="280" w:left="900" w:right="340"/>
          <w:cols w:num="2" w:equalWidth="0">
            <w:col w:w="2746" w:space="40"/>
            <w:col w:w="7884"/>
          </w:cols>
        </w:sectPr>
      </w:pPr>
    </w:p>
    <w:p>
      <w:pPr>
        <w:pStyle w:val="BodyText"/>
        <w:spacing w:before="16"/>
        <w:rPr>
          <w:rFonts w:ascii="微软雅黑"/>
          <w:b/>
          <w:sz w:val="8"/>
        </w:rPr>
      </w:pPr>
    </w:p>
    <w:p>
      <w:pPr>
        <w:spacing w:after="0"/>
        <w:rPr>
          <w:rFonts w:ascii="微软雅黑"/>
          <w:sz w:val="8"/>
        </w:rPr>
        <w:sectPr>
          <w:type w:val="continuous"/>
          <w:pgSz w:w="11910" w:h="16840"/>
          <w:pgMar w:header="0" w:footer="406" w:top="600" w:bottom="280" w:left="900" w:right="340"/>
        </w:sectPr>
      </w:pPr>
    </w:p>
    <w:p>
      <w:pPr>
        <w:pStyle w:val="ListParagraph"/>
        <w:numPr>
          <w:ilvl w:val="2"/>
          <w:numId w:val="40"/>
        </w:numPr>
        <w:tabs>
          <w:tab w:pos="1542" w:val="left" w:leader="none"/>
        </w:tabs>
        <w:spacing w:line="278" w:lineRule="auto" w:before="71" w:after="0"/>
        <w:ind w:left="1080" w:right="0" w:firstLine="0"/>
        <w:jc w:val="left"/>
        <w:rPr>
          <w:sz w:val="21"/>
        </w:rPr>
      </w:pPr>
      <w:r>
        <w:rPr>
          <w:spacing w:val="27"/>
          <w:sz w:val="21"/>
        </w:rPr>
        <w:t>疾病或外伤</w:t>
      </w:r>
      <w:r>
        <w:rPr>
          <w:spacing w:val="-2"/>
          <w:sz w:val="21"/>
        </w:rPr>
        <w:t>所致智力障碍</w:t>
      </w:r>
    </w:p>
    <w:p>
      <w:pPr>
        <w:pStyle w:val="BodyText"/>
        <w:spacing w:before="71"/>
        <w:ind w:left="175"/>
      </w:pPr>
      <w:r>
        <w:rPr/>
        <w:br w:type="column"/>
      </w:r>
      <w:r>
        <w:rPr/>
        <w:t>因严重头部创伤或疾病造成被保险人智力低常（智力低于常态）</w:t>
      </w:r>
      <w:r>
        <w:rPr>
          <w:spacing w:val="-2"/>
        </w:rPr>
        <w:t>。根据智商</w:t>
      </w:r>
    </w:p>
    <w:p>
      <w:pPr>
        <w:pStyle w:val="BodyText"/>
        <w:spacing w:line="278" w:lineRule="auto" w:before="43"/>
        <w:ind w:left="175" w:right="560"/>
      </w:pPr>
      <w:r>
        <w:rPr>
          <w:w w:val="100"/>
        </w:rPr>
        <w:t>（IQ</w:t>
      </w:r>
      <w:r>
        <w:rPr>
          <w:spacing w:val="-15"/>
          <w:w w:val="100"/>
        </w:rPr>
        <w:t>）</w:t>
      </w:r>
      <w:r>
        <w:rPr>
          <w:spacing w:val="-6"/>
          <w:w w:val="100"/>
        </w:rPr>
        <w:t>，智力低常分为轻度</w:t>
      </w:r>
      <w:r>
        <w:rPr>
          <w:w w:val="100"/>
        </w:rPr>
        <w:t>（I</w:t>
      </w:r>
      <w:r>
        <w:rPr>
          <w:spacing w:val="-3"/>
          <w:w w:val="100"/>
        </w:rPr>
        <w:t>Q</w:t>
      </w:r>
      <w:r>
        <w:rPr>
          <w:w w:val="100"/>
        </w:rPr>
        <w:t>5</w:t>
      </w:r>
      <w:r>
        <w:rPr>
          <w:spacing w:val="-1"/>
          <w:w w:val="100"/>
        </w:rPr>
        <w:t>0</w:t>
      </w:r>
      <w:r>
        <w:rPr>
          <w:w w:val="100"/>
        </w:rPr>
        <w:t>-</w:t>
      </w:r>
      <w:r>
        <w:rPr>
          <w:spacing w:val="-3"/>
          <w:w w:val="100"/>
        </w:rPr>
        <w:t>7</w:t>
      </w:r>
      <w:r>
        <w:rPr>
          <w:w w:val="100"/>
        </w:rPr>
        <w:t>0</w:t>
      </w:r>
      <w:r>
        <w:rPr>
          <w:spacing w:val="-15"/>
          <w:w w:val="100"/>
        </w:rPr>
        <w:t>）</w:t>
      </w:r>
      <w:r>
        <w:rPr>
          <w:spacing w:val="-10"/>
          <w:w w:val="100"/>
        </w:rPr>
        <w:t>、中度</w:t>
      </w:r>
      <w:r>
        <w:rPr>
          <w:w w:val="100"/>
        </w:rPr>
        <w:t>（I</w:t>
      </w:r>
      <w:r>
        <w:rPr>
          <w:spacing w:val="-3"/>
          <w:w w:val="100"/>
        </w:rPr>
        <w:t>Q</w:t>
      </w:r>
      <w:r>
        <w:rPr>
          <w:w w:val="100"/>
        </w:rPr>
        <w:t>35-5</w:t>
      </w:r>
      <w:r>
        <w:rPr>
          <w:spacing w:val="-3"/>
          <w:w w:val="100"/>
        </w:rPr>
        <w:t>0</w:t>
      </w:r>
      <w:r>
        <w:rPr>
          <w:spacing w:val="-13"/>
          <w:w w:val="100"/>
        </w:rPr>
        <w:t>）</w:t>
      </w:r>
      <w:r>
        <w:rPr>
          <w:spacing w:val="-11"/>
          <w:w w:val="100"/>
        </w:rPr>
        <w:t>、重度</w:t>
      </w:r>
      <w:r>
        <w:rPr>
          <w:spacing w:val="-1"/>
          <w:w w:val="100"/>
        </w:rPr>
        <w:t>（</w:t>
      </w:r>
      <w:r>
        <w:rPr>
          <w:w w:val="100"/>
        </w:rPr>
        <w:t>IQ</w:t>
      </w:r>
      <w:r>
        <w:rPr>
          <w:spacing w:val="-3"/>
          <w:w w:val="100"/>
        </w:rPr>
        <w:t>2</w:t>
      </w:r>
      <w:r>
        <w:rPr>
          <w:spacing w:val="-1"/>
          <w:w w:val="100"/>
        </w:rPr>
        <w:t>0</w:t>
      </w:r>
      <w:r>
        <w:rPr>
          <w:w w:val="100"/>
        </w:rPr>
        <w:t>-3</w:t>
      </w:r>
      <w:r>
        <w:rPr>
          <w:spacing w:val="-3"/>
          <w:w w:val="100"/>
        </w:rPr>
        <w:t>5</w:t>
      </w:r>
      <w:r>
        <w:rPr>
          <w:w w:val="100"/>
        </w:rPr>
        <w:t>）</w:t>
      </w:r>
      <w:r>
        <w:rPr>
          <w:spacing w:val="-2"/>
          <w:w w:val="100"/>
        </w:rPr>
        <w:t>和极重度</w:t>
      </w:r>
      <w:r>
        <w:rPr>
          <w:spacing w:val="-1"/>
          <w:w w:val="100"/>
        </w:rPr>
        <w:t>（</w:t>
      </w:r>
      <w:r>
        <w:rPr>
          <w:w w:val="100"/>
        </w:rPr>
        <w:t>IQ</w:t>
      </w:r>
      <w:r>
        <w:rPr>
          <w:spacing w:val="-3"/>
          <w:w w:val="100"/>
        </w:rPr>
        <w:t>&lt;</w:t>
      </w:r>
      <w:r>
        <w:rPr>
          <w:w w:val="100"/>
        </w:rPr>
        <w:t>2</w:t>
      </w:r>
      <w:r>
        <w:rPr>
          <w:spacing w:val="-3"/>
          <w:w w:val="100"/>
        </w:rPr>
        <w:t>0</w:t>
      </w:r>
      <w:r>
        <w:rPr>
          <w:w w:val="100"/>
        </w:rPr>
        <w:t>）</w:t>
      </w:r>
      <w:r>
        <w:rPr>
          <w:spacing w:val="-3"/>
          <w:w w:val="100"/>
        </w:rPr>
        <w:t>。智商的检测必须由专职心理测验工作者进行，心理测验</w:t>
      </w:r>
      <w:r>
        <w:rPr>
          <w:w w:val="100"/>
        </w:rPr>
        <w:t>工作者必须持有由心理测量专业委员会资格认定书。根据被保险人年龄采用对应的智力量表如韦克斯勒智力量表</w:t>
      </w:r>
      <w:r>
        <w:rPr>
          <w:spacing w:val="2"/>
          <w:w w:val="100"/>
        </w:rPr>
        <w:t>（</w:t>
      </w:r>
      <w:r>
        <w:rPr>
          <w:w w:val="100"/>
        </w:rPr>
        <w:t>儿童智力量表或成人智力量表）</w:t>
      </w:r>
      <w:r>
        <w:rPr>
          <w:spacing w:val="2"/>
          <w:w w:val="100"/>
        </w:rPr>
        <w:t>。必</w:t>
      </w:r>
      <w:r>
        <w:rPr>
          <w:spacing w:val="-3"/>
          <w:w w:val="100"/>
        </w:rPr>
        <w:t>须满足下列全部条件：</w:t>
      </w:r>
    </w:p>
    <w:p>
      <w:pPr>
        <w:pStyle w:val="ListParagraph"/>
        <w:numPr>
          <w:ilvl w:val="0"/>
          <w:numId w:val="101"/>
        </w:numPr>
        <w:tabs>
          <w:tab w:pos="705" w:val="left" w:leader="none"/>
        </w:tabs>
        <w:spacing w:line="278" w:lineRule="auto" w:before="0" w:after="0"/>
        <w:ind w:left="700" w:right="668" w:hanging="526"/>
        <w:jc w:val="left"/>
        <w:rPr>
          <w:sz w:val="21"/>
        </w:rPr>
      </w:pPr>
      <w:r>
        <w:rPr>
          <w:spacing w:val="-2"/>
          <w:sz w:val="21"/>
        </w:rPr>
        <w:t>造成被保险人智力低常（智力低于常态）的严重头部创伤或疾病（以入</w:t>
      </w:r>
      <w:r>
        <w:rPr>
          <w:sz w:val="21"/>
        </w:rPr>
        <w:t>院日期为准）</w:t>
      </w:r>
      <w:r>
        <w:rPr>
          <w:spacing w:val="-3"/>
          <w:sz w:val="21"/>
        </w:rPr>
        <w:t>发生在被保险人 </w:t>
      </w:r>
      <w:r>
        <w:rPr>
          <w:sz w:val="21"/>
        </w:rPr>
        <w:t>6</w:t>
      </w:r>
      <w:r>
        <w:rPr>
          <w:spacing w:val="-5"/>
          <w:sz w:val="21"/>
        </w:rPr>
        <w:t> 周岁以后；</w:t>
      </w:r>
    </w:p>
    <w:p>
      <w:pPr>
        <w:pStyle w:val="ListParagraph"/>
        <w:numPr>
          <w:ilvl w:val="0"/>
          <w:numId w:val="101"/>
        </w:numPr>
        <w:tabs>
          <w:tab w:pos="705" w:val="left" w:leader="none"/>
        </w:tabs>
        <w:spacing w:line="269" w:lineRule="exact" w:before="0" w:after="0"/>
        <w:ind w:left="704" w:right="0" w:hanging="530"/>
        <w:jc w:val="left"/>
        <w:rPr>
          <w:sz w:val="21"/>
        </w:rPr>
      </w:pPr>
      <w:r>
        <w:rPr>
          <w:spacing w:val="-3"/>
          <w:sz w:val="21"/>
        </w:rPr>
        <w:t>专科医生确诊被保险人由于严重头部创伤或疾病造成智力低常；</w:t>
      </w:r>
    </w:p>
    <w:p>
      <w:pPr>
        <w:pStyle w:val="ListParagraph"/>
        <w:numPr>
          <w:ilvl w:val="0"/>
          <w:numId w:val="101"/>
        </w:numPr>
        <w:tabs>
          <w:tab w:pos="702" w:val="left" w:leader="none"/>
        </w:tabs>
        <w:spacing w:line="278" w:lineRule="auto" w:before="43" w:after="0"/>
        <w:ind w:left="700" w:right="666" w:hanging="526"/>
        <w:jc w:val="left"/>
        <w:rPr>
          <w:sz w:val="21"/>
        </w:rPr>
      </w:pPr>
      <w:r>
        <w:rPr>
          <w:spacing w:val="-2"/>
          <w:sz w:val="21"/>
        </w:rPr>
        <w:t>专职合格心理检测工作者适时做的心理检测证实被保险人智力低常（轻</w:t>
      </w:r>
      <w:r>
        <w:rPr>
          <w:spacing w:val="-2"/>
          <w:sz w:val="21"/>
        </w:rPr>
        <w:t>度、中度、重度或极重度）；</w:t>
      </w:r>
    </w:p>
    <w:p>
      <w:pPr>
        <w:pStyle w:val="ListParagraph"/>
        <w:numPr>
          <w:ilvl w:val="0"/>
          <w:numId w:val="101"/>
        </w:numPr>
        <w:tabs>
          <w:tab w:pos="705" w:val="left" w:leader="none"/>
        </w:tabs>
        <w:spacing w:line="269" w:lineRule="exact" w:before="0" w:after="0"/>
        <w:ind w:left="704" w:right="0" w:hanging="530"/>
        <w:jc w:val="left"/>
        <w:rPr>
          <w:sz w:val="21"/>
        </w:rPr>
      </w:pPr>
      <w:r>
        <w:rPr>
          <w:spacing w:val="-5"/>
          <w:sz w:val="21"/>
        </w:rPr>
        <w:t>被保险人的智力低常自确认日起持续 </w:t>
      </w:r>
      <w:r>
        <w:rPr>
          <w:spacing w:val="-2"/>
          <w:sz w:val="21"/>
        </w:rPr>
        <w:t>180</w:t>
      </w:r>
      <w:r>
        <w:rPr>
          <w:spacing w:val="-14"/>
          <w:sz w:val="21"/>
        </w:rPr>
        <w:t> 天以上。</w:t>
      </w:r>
    </w:p>
    <w:p>
      <w:pPr>
        <w:spacing w:after="0" w:line="269" w:lineRule="exact"/>
        <w:jc w:val="left"/>
        <w:rPr>
          <w:sz w:val="21"/>
        </w:rPr>
        <w:sectPr>
          <w:type w:val="continuous"/>
          <w:pgSz w:w="11910" w:h="16840"/>
          <w:pgMar w:header="0" w:footer="406" w:top="600" w:bottom="280" w:left="900" w:right="340"/>
          <w:cols w:num="2" w:equalWidth="0">
            <w:col w:w="2746" w:space="40"/>
            <w:col w:w="7884"/>
          </w:cols>
        </w:sectPr>
      </w:pPr>
    </w:p>
    <w:p>
      <w:pPr>
        <w:pStyle w:val="BodyText"/>
        <w:spacing w:before="7"/>
        <w:rPr>
          <w:sz w:val="15"/>
        </w:rPr>
      </w:pPr>
    </w:p>
    <w:p>
      <w:pPr>
        <w:pStyle w:val="ListParagraph"/>
        <w:numPr>
          <w:ilvl w:val="2"/>
          <w:numId w:val="40"/>
        </w:numPr>
        <w:tabs>
          <w:tab w:pos="1504" w:val="left" w:leader="none"/>
          <w:tab w:pos="2960" w:val="left" w:leader="none"/>
        </w:tabs>
        <w:spacing w:line="278" w:lineRule="auto" w:before="72" w:after="0"/>
        <w:ind w:left="2960" w:right="560" w:hanging="1880"/>
        <w:jc w:val="left"/>
        <w:rPr>
          <w:sz w:val="21"/>
        </w:rPr>
      </w:pPr>
      <w:r>
        <w:rPr>
          <w:spacing w:val="-3"/>
          <w:w w:val="100"/>
          <w:sz w:val="21"/>
        </w:rPr>
        <w:t>瑞</w:t>
      </w:r>
      <w:r>
        <w:rPr>
          <w:w w:val="100"/>
          <w:sz w:val="21"/>
        </w:rPr>
        <w:t>氏</w:t>
      </w:r>
      <w:r>
        <w:rPr>
          <w:spacing w:val="-3"/>
          <w:w w:val="100"/>
          <w:sz w:val="21"/>
        </w:rPr>
        <w:t>综</w:t>
      </w:r>
      <w:r>
        <w:rPr>
          <w:w w:val="100"/>
          <w:sz w:val="21"/>
        </w:rPr>
        <w:t>合征</w:t>
      </w:r>
      <w:r>
        <w:rPr>
          <w:sz w:val="21"/>
        </w:rPr>
        <w:tab/>
      </w:r>
      <w:r>
        <w:rPr>
          <w:w w:val="100"/>
          <w:sz w:val="21"/>
        </w:rPr>
        <w:t>瑞氏</w:t>
      </w:r>
      <w:r>
        <w:rPr>
          <w:spacing w:val="-3"/>
          <w:w w:val="100"/>
          <w:sz w:val="21"/>
        </w:rPr>
        <w:t>综</w:t>
      </w:r>
      <w:r>
        <w:rPr>
          <w:w w:val="100"/>
          <w:sz w:val="21"/>
        </w:rPr>
        <w:t>合</w:t>
      </w:r>
      <w:r>
        <w:rPr>
          <w:spacing w:val="-3"/>
          <w:w w:val="100"/>
          <w:sz w:val="21"/>
        </w:rPr>
        <w:t>征</w:t>
      </w:r>
      <w:r>
        <w:rPr>
          <w:w w:val="100"/>
          <w:sz w:val="21"/>
        </w:rPr>
        <w:t>是</w:t>
      </w:r>
      <w:r>
        <w:rPr>
          <w:spacing w:val="-3"/>
          <w:w w:val="100"/>
          <w:sz w:val="21"/>
        </w:rPr>
        <w:t>线</w:t>
      </w:r>
      <w:r>
        <w:rPr>
          <w:w w:val="100"/>
          <w:sz w:val="21"/>
        </w:rPr>
        <w:t>粒</w:t>
      </w:r>
      <w:r>
        <w:rPr>
          <w:spacing w:val="-3"/>
          <w:w w:val="100"/>
          <w:sz w:val="21"/>
        </w:rPr>
        <w:t>体</w:t>
      </w:r>
      <w:r>
        <w:rPr>
          <w:w w:val="100"/>
          <w:sz w:val="21"/>
        </w:rPr>
        <w:t>功</w:t>
      </w:r>
      <w:r>
        <w:rPr>
          <w:spacing w:val="-3"/>
          <w:w w:val="100"/>
          <w:sz w:val="21"/>
        </w:rPr>
        <w:t>能</w:t>
      </w:r>
      <w:r>
        <w:rPr>
          <w:w w:val="100"/>
          <w:sz w:val="21"/>
        </w:rPr>
        <w:t>障碍</w:t>
      </w:r>
      <w:r>
        <w:rPr>
          <w:spacing w:val="-3"/>
          <w:w w:val="100"/>
          <w:sz w:val="21"/>
        </w:rPr>
        <w:t>性</w:t>
      </w:r>
      <w:r>
        <w:rPr>
          <w:w w:val="100"/>
          <w:sz w:val="21"/>
        </w:rPr>
        <w:t>疾</w:t>
      </w:r>
      <w:r>
        <w:rPr>
          <w:spacing w:val="-3"/>
          <w:w w:val="100"/>
          <w:sz w:val="21"/>
        </w:rPr>
        <w:t>病。</w:t>
      </w:r>
      <w:r>
        <w:rPr>
          <w:w w:val="100"/>
          <w:sz w:val="21"/>
        </w:rPr>
        <w:t>导</w:t>
      </w:r>
      <w:r>
        <w:rPr>
          <w:spacing w:val="-3"/>
          <w:w w:val="100"/>
          <w:sz w:val="21"/>
        </w:rPr>
        <w:t>致</w:t>
      </w:r>
      <w:r>
        <w:rPr>
          <w:w w:val="100"/>
          <w:sz w:val="21"/>
        </w:rPr>
        <w:t>脂</w:t>
      </w:r>
      <w:r>
        <w:rPr>
          <w:spacing w:val="-3"/>
          <w:w w:val="100"/>
          <w:sz w:val="21"/>
        </w:rPr>
        <w:t>肪代</w:t>
      </w:r>
      <w:r>
        <w:rPr>
          <w:w w:val="100"/>
          <w:sz w:val="21"/>
        </w:rPr>
        <w:t>谢障</w:t>
      </w:r>
      <w:r>
        <w:rPr>
          <w:spacing w:val="-3"/>
          <w:w w:val="100"/>
          <w:sz w:val="21"/>
        </w:rPr>
        <w:t>碍，</w:t>
      </w:r>
      <w:r>
        <w:rPr>
          <w:w w:val="100"/>
          <w:sz w:val="21"/>
        </w:rPr>
        <w:t>引</w:t>
      </w:r>
      <w:r>
        <w:rPr>
          <w:spacing w:val="-3"/>
          <w:w w:val="100"/>
          <w:sz w:val="21"/>
        </w:rPr>
        <w:t>起</w:t>
      </w:r>
      <w:r>
        <w:rPr>
          <w:w w:val="100"/>
          <w:sz w:val="21"/>
        </w:rPr>
        <w:t>短</w:t>
      </w:r>
      <w:r>
        <w:rPr>
          <w:spacing w:val="-3"/>
          <w:w w:val="100"/>
          <w:sz w:val="21"/>
        </w:rPr>
        <w:t>链</w:t>
      </w:r>
      <w:r>
        <w:rPr>
          <w:w w:val="100"/>
          <w:sz w:val="21"/>
        </w:rPr>
        <w:t>脂</w:t>
      </w:r>
      <w:r>
        <w:rPr>
          <w:spacing w:val="-3"/>
          <w:w w:val="100"/>
          <w:sz w:val="21"/>
        </w:rPr>
        <w:t>肪</w:t>
      </w:r>
      <w:r>
        <w:rPr>
          <w:w w:val="100"/>
          <w:sz w:val="21"/>
        </w:rPr>
        <w:t>酸、</w:t>
      </w:r>
      <w:r>
        <w:rPr>
          <w:spacing w:val="2"/>
          <w:w w:val="100"/>
          <w:sz w:val="21"/>
        </w:rPr>
        <w:t>血氨升高，造成脑</w:t>
      </w:r>
      <w:r>
        <w:rPr>
          <w:w w:val="100"/>
          <w:sz w:val="21"/>
        </w:rPr>
        <w:t>水</w:t>
      </w:r>
      <w:r>
        <w:rPr>
          <w:spacing w:val="2"/>
          <w:w w:val="100"/>
          <w:sz w:val="21"/>
        </w:rPr>
        <w:t>肿</w:t>
      </w:r>
      <w:r>
        <w:rPr>
          <w:w w:val="100"/>
          <w:sz w:val="21"/>
        </w:rPr>
        <w:t>。</w:t>
      </w:r>
      <w:r>
        <w:rPr>
          <w:spacing w:val="2"/>
          <w:w w:val="100"/>
          <w:sz w:val="21"/>
        </w:rPr>
        <w:t>主要临床表现为急</w:t>
      </w:r>
      <w:r>
        <w:rPr>
          <w:w w:val="100"/>
          <w:sz w:val="21"/>
        </w:rPr>
        <w:t>性</w:t>
      </w:r>
      <w:r>
        <w:rPr>
          <w:spacing w:val="2"/>
          <w:w w:val="100"/>
          <w:sz w:val="21"/>
        </w:rPr>
        <w:t>发</w:t>
      </w:r>
      <w:r>
        <w:rPr>
          <w:w w:val="100"/>
          <w:sz w:val="21"/>
        </w:rPr>
        <w:t>热</w:t>
      </w:r>
      <w:r>
        <w:rPr>
          <w:spacing w:val="2"/>
          <w:w w:val="100"/>
          <w:sz w:val="21"/>
        </w:rPr>
        <w:t>、反复呕吐、惊厥</w:t>
      </w:r>
      <w:r>
        <w:rPr>
          <w:w w:val="100"/>
          <w:sz w:val="21"/>
        </w:rPr>
        <w:t>及</w:t>
      </w:r>
      <w:r>
        <w:rPr>
          <w:spacing w:val="2"/>
          <w:w w:val="100"/>
          <w:sz w:val="21"/>
        </w:rPr>
        <w:t>意识</w:t>
      </w:r>
      <w:r>
        <w:rPr>
          <w:w w:val="100"/>
          <w:sz w:val="21"/>
        </w:rPr>
        <w:t>障碍</w:t>
      </w:r>
      <w:r>
        <w:rPr>
          <w:spacing w:val="-3"/>
          <w:w w:val="100"/>
          <w:sz w:val="21"/>
        </w:rPr>
        <w:t>等</w:t>
      </w:r>
      <w:r>
        <w:rPr>
          <w:w w:val="100"/>
          <w:sz w:val="21"/>
        </w:rPr>
        <w:t>等。</w:t>
      </w:r>
    </w:p>
    <w:p>
      <w:pPr>
        <w:pStyle w:val="BodyText"/>
        <w:spacing w:line="278" w:lineRule="auto"/>
        <w:ind w:left="2960" w:right="560"/>
      </w:pPr>
      <w:r>
        <w:rPr>
          <w:spacing w:val="-2"/>
        </w:rPr>
        <w:t>肝脏活检是确诊的重要手段。瑞氏综合征需由三级医院的儿科专科医生确诊，</w:t>
      </w:r>
      <w:r>
        <w:rPr>
          <w:spacing w:val="-2"/>
        </w:rPr>
        <w:t>并符合下列所有条件：</w:t>
      </w:r>
    </w:p>
    <w:p>
      <w:pPr>
        <w:pStyle w:val="ListParagraph"/>
        <w:numPr>
          <w:ilvl w:val="0"/>
          <w:numId w:val="102"/>
        </w:numPr>
        <w:tabs>
          <w:tab w:pos="3490" w:val="left" w:leader="none"/>
        </w:tabs>
        <w:spacing w:line="269" w:lineRule="exact" w:before="0" w:after="0"/>
        <w:ind w:left="3489" w:right="0" w:hanging="530"/>
        <w:jc w:val="left"/>
        <w:rPr>
          <w:sz w:val="21"/>
        </w:rPr>
      </w:pPr>
      <w:r>
        <w:rPr>
          <w:spacing w:val="-3"/>
          <w:sz w:val="21"/>
        </w:rPr>
        <w:t>有脑水肿和颅内压升高的脑脊液检查和影像学检查证据；</w:t>
      </w:r>
    </w:p>
    <w:p>
      <w:pPr>
        <w:pStyle w:val="ListParagraph"/>
        <w:numPr>
          <w:ilvl w:val="0"/>
          <w:numId w:val="102"/>
        </w:numPr>
        <w:tabs>
          <w:tab w:pos="3490" w:val="left" w:leader="none"/>
        </w:tabs>
        <w:spacing w:line="240" w:lineRule="auto" w:before="43" w:after="0"/>
        <w:ind w:left="3489"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102"/>
        </w:numPr>
        <w:tabs>
          <w:tab w:pos="3490" w:val="left" w:leader="none"/>
        </w:tabs>
        <w:spacing w:line="240" w:lineRule="auto" w:before="43" w:after="0"/>
        <w:ind w:left="3489" w:right="0" w:hanging="530"/>
        <w:jc w:val="left"/>
        <w:rPr>
          <w:sz w:val="21"/>
        </w:rPr>
      </w:pPr>
      <w:r>
        <w:rPr>
          <w:spacing w:val="-5"/>
          <w:sz w:val="21"/>
        </w:rPr>
        <w:t>临床出现昏迷，病程至少达到疾病分期第 </w:t>
      </w:r>
      <w:r>
        <w:rPr>
          <w:spacing w:val="-2"/>
          <w:sz w:val="21"/>
        </w:rPr>
        <w:t>3</w:t>
      </w:r>
      <w:r>
        <w:rPr>
          <w:spacing w:val="-20"/>
          <w:sz w:val="21"/>
        </w:rPr>
        <w:t> 期。</w:t>
      </w:r>
    </w:p>
    <w:p>
      <w:pPr>
        <w:pStyle w:val="BodyText"/>
        <w:spacing w:before="12"/>
        <w:rPr>
          <w:sz w:val="20"/>
        </w:rPr>
      </w:pPr>
    </w:p>
    <w:p>
      <w:pPr>
        <w:pStyle w:val="ListParagraph"/>
        <w:numPr>
          <w:ilvl w:val="2"/>
          <w:numId w:val="40"/>
        </w:numPr>
        <w:tabs>
          <w:tab w:pos="1542" w:val="left" w:leader="none"/>
        </w:tabs>
        <w:spacing w:line="240" w:lineRule="auto" w:before="0" w:after="0"/>
        <w:ind w:left="1541" w:right="0" w:hanging="462"/>
        <w:jc w:val="left"/>
        <w:rPr>
          <w:sz w:val="21"/>
        </w:rPr>
      </w:pPr>
      <w:r>
        <w:rPr>
          <w:spacing w:val="-1"/>
          <w:sz w:val="21"/>
        </w:rPr>
        <w:t>重症手足口  由肠道病毒引起的急性传染病，主要症状表现为手、足、口腔等部位的斑丘</w:t>
      </w:r>
    </w:p>
    <w:p>
      <w:pPr>
        <w:spacing w:after="0" w:line="240" w:lineRule="auto"/>
        <w:jc w:val="left"/>
        <w:rPr>
          <w:sz w:val="21"/>
        </w:rPr>
        <w:sectPr>
          <w:type w:val="continuous"/>
          <w:pgSz w:w="11910" w:h="16840"/>
          <w:pgMar w:header="0" w:footer="406" w:top="600" w:bottom="280" w:left="900" w:right="340"/>
        </w:sectPr>
      </w:pPr>
    </w:p>
    <w:p>
      <w:pPr>
        <w:pStyle w:val="BodyText"/>
        <w:tabs>
          <w:tab w:pos="2960" w:val="left" w:leader="none"/>
        </w:tabs>
        <w:spacing w:line="278" w:lineRule="auto" w:before="57"/>
        <w:ind w:left="2960" w:right="667" w:hanging="1880"/>
      </w:pPr>
      <w:r>
        <w:rPr>
          <w:spacing w:val="-10"/>
        </w:rPr>
        <w:t>病</w:t>
      </w:r>
      <w:r>
        <w:rPr/>
        <w:tab/>
      </w:r>
      <w:r>
        <w:rPr>
          <w:spacing w:val="-2"/>
        </w:rPr>
        <w:t>疹</w:t>
      </w:r>
      <w:r>
        <w:rPr>
          <w:spacing w:val="-2"/>
        </w:rPr>
        <w:t>、</w:t>
      </w:r>
      <w:r>
        <w:rPr>
          <w:spacing w:val="-2"/>
        </w:rPr>
        <w:t>疱</w:t>
      </w:r>
      <w:r>
        <w:rPr>
          <w:spacing w:val="-2"/>
        </w:rPr>
        <w:t>疹</w:t>
      </w:r>
      <w:r>
        <w:rPr>
          <w:spacing w:val="-2"/>
        </w:rPr>
        <w:t>。</w:t>
      </w:r>
      <w:r>
        <w:rPr>
          <w:spacing w:val="-2"/>
        </w:rPr>
        <w:t>经</w:t>
      </w:r>
      <w:r>
        <w:rPr>
          <w:spacing w:val="-2"/>
        </w:rPr>
        <w:t>本</w:t>
      </w:r>
      <w:r>
        <w:rPr>
          <w:spacing w:val="-2"/>
        </w:rPr>
        <w:t>公</w:t>
      </w:r>
      <w:r>
        <w:rPr>
          <w:spacing w:val="-2"/>
        </w:rPr>
        <w:t>司认可</w:t>
      </w:r>
      <w:r>
        <w:rPr>
          <w:spacing w:val="-2"/>
        </w:rPr>
        <w:t>的</w:t>
      </w:r>
      <w:r>
        <w:rPr>
          <w:spacing w:val="-2"/>
        </w:rPr>
        <w:t>医</w:t>
      </w:r>
      <w:r>
        <w:rPr>
          <w:spacing w:val="-2"/>
        </w:rPr>
        <w:t>疗</w:t>
      </w:r>
      <w:r>
        <w:rPr>
          <w:spacing w:val="-2"/>
        </w:rPr>
        <w:t>机</w:t>
      </w:r>
      <w:r>
        <w:rPr>
          <w:spacing w:val="-2"/>
        </w:rPr>
        <w:t>构</w:t>
      </w:r>
      <w:r>
        <w:rPr>
          <w:spacing w:val="-2"/>
        </w:rPr>
        <w:t>的</w:t>
      </w:r>
      <w:r>
        <w:rPr>
          <w:spacing w:val="-2"/>
        </w:rPr>
        <w:t>专</w:t>
      </w:r>
      <w:r>
        <w:rPr>
          <w:spacing w:val="-2"/>
        </w:rPr>
        <w:t>科</w:t>
      </w:r>
      <w:r>
        <w:rPr>
          <w:spacing w:val="-2"/>
        </w:rPr>
        <w:t>医生确</w:t>
      </w:r>
      <w:r>
        <w:rPr>
          <w:spacing w:val="-2"/>
        </w:rPr>
        <w:t>诊</w:t>
      </w:r>
      <w:r>
        <w:rPr>
          <w:spacing w:val="-2"/>
        </w:rPr>
        <w:t>为</w:t>
      </w:r>
      <w:r>
        <w:rPr>
          <w:spacing w:val="-2"/>
        </w:rPr>
        <w:t>患</w:t>
      </w:r>
      <w:r>
        <w:rPr>
          <w:spacing w:val="-2"/>
        </w:rPr>
        <w:t>有</w:t>
      </w:r>
      <w:r>
        <w:rPr>
          <w:spacing w:val="-2"/>
        </w:rPr>
        <w:t>手</w:t>
      </w:r>
      <w:r>
        <w:rPr>
          <w:spacing w:val="-2"/>
        </w:rPr>
        <w:t>足</w:t>
      </w:r>
      <w:r>
        <w:rPr>
          <w:spacing w:val="-2"/>
        </w:rPr>
        <w:t>口</w:t>
      </w:r>
      <w:r>
        <w:rPr>
          <w:spacing w:val="-2"/>
        </w:rPr>
        <w:t>病</w:t>
      </w:r>
      <w:r>
        <w:rPr>
          <w:spacing w:val="-2"/>
        </w:rPr>
        <w:t>，</w:t>
      </w:r>
      <w:r>
        <w:rPr>
          <w:spacing w:val="-2"/>
        </w:rPr>
        <w:t>并</w:t>
      </w:r>
      <w:r>
        <w:rPr>
          <w:spacing w:val="-2"/>
        </w:rPr>
        <w:t>伴</w:t>
      </w:r>
      <w:r>
        <w:rPr>
          <w:spacing w:val="-2"/>
        </w:rPr>
        <w:t>有</w:t>
      </w:r>
      <w:r>
        <w:rPr>
          <w:spacing w:val="-2"/>
        </w:rPr>
        <w:t>下</w:t>
      </w:r>
      <w:r>
        <w:rPr>
          <w:spacing w:val="-2"/>
        </w:rPr>
        <w:t>列三项中的任意一项</w:t>
      </w:r>
      <w:r>
        <w:rPr>
          <w:spacing w:val="-2"/>
        </w:rPr>
        <w:t>并</w:t>
      </w:r>
      <w:r>
        <w:rPr>
          <w:spacing w:val="-2"/>
        </w:rPr>
        <w:t>发</w:t>
      </w:r>
      <w:r>
        <w:rPr>
          <w:spacing w:val="-2"/>
        </w:rPr>
        <w:t>症：</w:t>
      </w:r>
    </w:p>
    <w:p>
      <w:pPr>
        <w:pStyle w:val="ListParagraph"/>
        <w:numPr>
          <w:ilvl w:val="0"/>
          <w:numId w:val="103"/>
        </w:numPr>
        <w:tabs>
          <w:tab w:pos="3487" w:val="left" w:leader="none"/>
        </w:tabs>
        <w:spacing w:line="278" w:lineRule="auto" w:before="0" w:after="0"/>
        <w:ind w:left="3485" w:right="666" w:hanging="526"/>
        <w:jc w:val="left"/>
        <w:rPr>
          <w:sz w:val="21"/>
        </w:rPr>
      </w:pPr>
      <w:r>
        <w:rPr>
          <w:spacing w:val="-2"/>
          <w:sz w:val="21"/>
        </w:rPr>
        <w:t>有脑膜炎或脑炎并发症，且导致意识障碍或瘫痪的临床表现及实验室检</w:t>
      </w:r>
      <w:r>
        <w:rPr>
          <w:spacing w:val="-4"/>
          <w:sz w:val="21"/>
        </w:rPr>
        <w:t>查证据；</w:t>
      </w:r>
    </w:p>
    <w:p>
      <w:pPr>
        <w:pStyle w:val="ListParagraph"/>
        <w:numPr>
          <w:ilvl w:val="0"/>
          <w:numId w:val="103"/>
        </w:numPr>
        <w:tabs>
          <w:tab w:pos="3487" w:val="left" w:leader="none"/>
        </w:tabs>
        <w:spacing w:line="269" w:lineRule="exact" w:before="0" w:after="0"/>
        <w:ind w:left="3486" w:right="0" w:hanging="527"/>
        <w:jc w:val="left"/>
        <w:rPr>
          <w:sz w:val="21"/>
        </w:rPr>
      </w:pPr>
      <w:r>
        <w:rPr>
          <w:spacing w:val="-8"/>
          <w:sz w:val="21"/>
        </w:rPr>
        <w:t>有肺炎或肺水肿并发症，且导致呼吸衰竭的临床表现及实验室检查证据；</w:t>
      </w:r>
    </w:p>
    <w:p>
      <w:pPr>
        <w:pStyle w:val="ListParagraph"/>
        <w:numPr>
          <w:ilvl w:val="0"/>
          <w:numId w:val="103"/>
        </w:numPr>
        <w:tabs>
          <w:tab w:pos="3487" w:val="left" w:leader="none"/>
        </w:tabs>
        <w:spacing w:line="278" w:lineRule="auto" w:before="43" w:after="0"/>
        <w:ind w:left="3485" w:right="666" w:hanging="526"/>
        <w:jc w:val="left"/>
        <w:rPr>
          <w:sz w:val="21"/>
        </w:rPr>
      </w:pPr>
      <w:r>
        <w:rPr>
          <w:spacing w:val="-2"/>
          <w:sz w:val="21"/>
        </w:rPr>
        <w:t>有心肌炎并发症，且导致心脏扩大或心力衰竭的临床表现及实验室检查</w:t>
      </w:r>
      <w:r>
        <w:rPr>
          <w:spacing w:val="-4"/>
          <w:sz w:val="21"/>
        </w:rPr>
        <w:t>证据。</w:t>
      </w:r>
    </w:p>
    <w:p>
      <w:pPr>
        <w:pStyle w:val="BodyText"/>
        <w:rPr>
          <w:sz w:val="20"/>
        </w:rPr>
      </w:pP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94"/>
        <w:gridCol w:w="7342"/>
      </w:tblGrid>
      <w:tr>
        <w:trPr>
          <w:trHeight w:val="1613" w:hRule="atLeast"/>
        </w:trPr>
        <w:tc>
          <w:tcPr>
            <w:tcW w:w="745" w:type="dxa"/>
            <w:vMerge w:val="restart"/>
            <w:tcBorders>
              <w:bottom w:val="single" w:sz="8" w:space="0" w:color="000000"/>
            </w:tcBorders>
          </w:tcPr>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spacing w:before="6"/>
              <w:ind w:left="0"/>
              <w:rPr>
                <w:sz w:val="14"/>
              </w:rPr>
            </w:pPr>
          </w:p>
          <w:p>
            <w:pPr>
              <w:pStyle w:val="TableParagraph"/>
              <w:ind w:left="153"/>
              <w:rPr>
                <w:sz w:val="20"/>
              </w:rPr>
            </w:pPr>
            <w:r>
              <w:rPr>
                <w:sz w:val="20"/>
              </w:rPr>
              <w:drawing>
                <wp:inline distT="0" distB="0" distL="0" distR="0">
                  <wp:extent cx="200025" cy="219075"/>
                  <wp:effectExtent l="0" t="0" r="0" b="0"/>
                  <wp:docPr id="25" name="image8.png"/>
                  <wp:cNvGraphicFramePr>
                    <a:graphicFrameLocks noChangeAspect="1"/>
                  </wp:cNvGraphicFramePr>
                  <a:graphic>
                    <a:graphicData uri="http://schemas.openxmlformats.org/drawingml/2006/picture">
                      <pic:pic>
                        <pic:nvPicPr>
                          <pic:cNvPr id="26" name="image8.png"/>
                          <pic:cNvPicPr/>
                        </pic:nvPicPr>
                        <pic:blipFill>
                          <a:blip r:embed="rId13" cstate="print"/>
                          <a:stretch>
                            <a:fillRect/>
                          </a:stretch>
                        </pic:blipFill>
                        <pic:spPr>
                          <a:xfrm>
                            <a:off x="0" y="0"/>
                            <a:ext cx="200025" cy="219075"/>
                          </a:xfrm>
                          <a:prstGeom prst="rect">
                            <a:avLst/>
                          </a:prstGeom>
                        </pic:spPr>
                      </pic:pic>
                    </a:graphicData>
                  </a:graphic>
                </wp:inline>
              </w:drawing>
            </w:r>
            <w:r>
              <w:rPr>
                <w:sz w:val="20"/>
              </w:rPr>
            </w:r>
          </w:p>
        </w:tc>
        <w:tc>
          <w:tcPr>
            <w:tcW w:w="1894" w:type="dxa"/>
          </w:tcPr>
          <w:p>
            <w:pPr>
              <w:pStyle w:val="TableParagraph"/>
              <w:spacing w:line="241" w:lineRule="exact"/>
              <w:ind w:left="215"/>
              <w:rPr>
                <w:sz w:val="21"/>
              </w:rPr>
            </w:pPr>
            <w:r>
              <w:rPr>
                <w:spacing w:val="-2"/>
                <w:sz w:val="21"/>
              </w:rPr>
              <w:t>109</w:t>
            </w:r>
            <w:r>
              <w:rPr>
                <w:spacing w:val="-4"/>
                <w:sz w:val="21"/>
              </w:rPr>
              <w:t>.严重川崎病</w:t>
            </w:r>
          </w:p>
        </w:tc>
        <w:tc>
          <w:tcPr>
            <w:tcW w:w="7342" w:type="dxa"/>
          </w:tcPr>
          <w:p>
            <w:pPr>
              <w:pStyle w:val="TableParagraph"/>
              <w:spacing w:line="241" w:lineRule="exact"/>
              <w:ind w:left="201"/>
              <w:rPr>
                <w:sz w:val="21"/>
              </w:rPr>
            </w:pPr>
            <w:r>
              <w:rPr>
                <w:spacing w:val="-1"/>
                <w:sz w:val="21"/>
              </w:rPr>
              <w:t>是一种血管炎综合征，临床表现为急性发热，皮肤粘膜病损和淋巴结肿大。</w:t>
            </w:r>
          </w:p>
          <w:p>
            <w:pPr>
              <w:pStyle w:val="TableParagraph"/>
              <w:spacing w:line="278" w:lineRule="auto" w:before="43"/>
              <w:ind w:left="201" w:right="104"/>
              <w:rPr>
                <w:sz w:val="21"/>
              </w:rPr>
            </w:pPr>
            <w:r>
              <w:rPr>
                <w:spacing w:val="21"/>
                <w:sz w:val="21"/>
              </w:rPr>
              <w:t>本病须经专科医生明确诊断，同时须由血管造影或超声心动图检查证</w:t>
            </w:r>
            <w:r>
              <w:rPr>
                <w:spacing w:val="-2"/>
                <w:sz w:val="21"/>
              </w:rPr>
              <w:t>实，满足下列至少一项条件：</w:t>
            </w:r>
          </w:p>
          <w:p>
            <w:pPr>
              <w:pStyle w:val="TableParagraph"/>
              <w:numPr>
                <w:ilvl w:val="0"/>
                <w:numId w:val="104"/>
              </w:numPr>
              <w:tabs>
                <w:tab w:pos="731" w:val="left" w:leader="none"/>
              </w:tabs>
              <w:spacing w:line="269" w:lineRule="exact" w:before="0" w:after="0"/>
              <w:ind w:left="730" w:right="0" w:hanging="530"/>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TableParagraph"/>
              <w:numPr>
                <w:ilvl w:val="0"/>
                <w:numId w:val="104"/>
              </w:numPr>
              <w:tabs>
                <w:tab w:pos="731" w:val="left" w:leader="none"/>
              </w:tabs>
              <w:spacing w:line="240" w:lineRule="auto" w:before="43" w:after="0"/>
              <w:ind w:left="730" w:right="0" w:hanging="530"/>
              <w:jc w:val="left"/>
              <w:rPr>
                <w:sz w:val="21"/>
              </w:rPr>
            </w:pPr>
            <w:r>
              <w:rPr>
                <w:spacing w:val="-3"/>
                <w:sz w:val="21"/>
              </w:rPr>
              <w:t>伴有冠状动脉瘤，且实际接受了对冠状动脉瘤进行的手术治疗。</w:t>
            </w:r>
          </w:p>
        </w:tc>
      </w:tr>
      <w:tr>
        <w:trPr>
          <w:trHeight w:val="2460" w:hRule="atLeast"/>
        </w:trPr>
        <w:tc>
          <w:tcPr>
            <w:tcW w:w="745" w:type="dxa"/>
            <w:vMerge/>
            <w:tcBorders>
              <w:top w:val="nil"/>
              <w:bottom w:val="single" w:sz="8" w:space="0" w:color="000000"/>
            </w:tcBorders>
          </w:tcPr>
          <w:p>
            <w:pPr>
              <w:rPr>
                <w:sz w:val="2"/>
                <w:szCs w:val="2"/>
              </w:rPr>
            </w:pPr>
          </w:p>
        </w:tc>
        <w:tc>
          <w:tcPr>
            <w:tcW w:w="1894" w:type="dxa"/>
          </w:tcPr>
          <w:p>
            <w:pPr>
              <w:pStyle w:val="TableParagraph"/>
              <w:spacing w:before="126"/>
              <w:ind w:left="215"/>
              <w:rPr>
                <w:sz w:val="21"/>
              </w:rPr>
            </w:pPr>
            <w:r>
              <w:rPr>
                <w:spacing w:val="-2"/>
                <w:sz w:val="21"/>
              </w:rPr>
              <w:t>110</w:t>
            </w:r>
            <w:r>
              <w:rPr>
                <w:spacing w:val="-4"/>
                <w:sz w:val="21"/>
              </w:rPr>
              <w:t>.严重哮喘</w:t>
            </w:r>
          </w:p>
        </w:tc>
        <w:tc>
          <w:tcPr>
            <w:tcW w:w="7342" w:type="dxa"/>
          </w:tcPr>
          <w:p>
            <w:pPr>
              <w:pStyle w:val="TableParagraph"/>
              <w:spacing w:line="278" w:lineRule="auto" w:before="126"/>
              <w:ind w:left="201" w:right="101"/>
              <w:rPr>
                <w:sz w:val="21"/>
              </w:rPr>
            </w:pPr>
            <w:r>
              <w:rPr>
                <w:spacing w:val="-2"/>
                <w:sz w:val="21"/>
              </w:rPr>
              <w:t>指一种反复发作的严重支气管阻塞性疾病，经专科医生确诊，且必须同时符</w:t>
            </w:r>
            <w:r>
              <w:rPr>
                <w:spacing w:val="-2"/>
                <w:sz w:val="21"/>
              </w:rPr>
              <w:t>合下列标准：</w:t>
            </w:r>
          </w:p>
          <w:p>
            <w:pPr>
              <w:pStyle w:val="TableParagraph"/>
              <w:numPr>
                <w:ilvl w:val="0"/>
                <w:numId w:val="105"/>
              </w:numPr>
              <w:tabs>
                <w:tab w:pos="731" w:val="left" w:leader="none"/>
              </w:tabs>
              <w:spacing w:line="240" w:lineRule="auto" w:before="0" w:after="0"/>
              <w:ind w:left="730" w:right="0" w:hanging="530"/>
              <w:jc w:val="left"/>
              <w:rPr>
                <w:sz w:val="21"/>
              </w:rPr>
            </w:pPr>
            <w:r>
              <w:rPr>
                <w:spacing w:val="-3"/>
                <w:sz w:val="21"/>
              </w:rPr>
              <w:t>过去两年中曾因哮喘持续状态住院治疗，并提供完整住院记录；</w:t>
            </w:r>
          </w:p>
          <w:p>
            <w:pPr>
              <w:pStyle w:val="TableParagraph"/>
              <w:numPr>
                <w:ilvl w:val="0"/>
                <w:numId w:val="105"/>
              </w:numPr>
              <w:tabs>
                <w:tab w:pos="731" w:val="left" w:leader="none"/>
              </w:tabs>
              <w:spacing w:line="240" w:lineRule="auto" w:before="43" w:after="0"/>
              <w:ind w:left="730" w:right="0" w:hanging="530"/>
              <w:jc w:val="left"/>
              <w:rPr>
                <w:sz w:val="21"/>
              </w:rPr>
            </w:pPr>
            <w:r>
              <w:rPr>
                <w:spacing w:val="-3"/>
                <w:sz w:val="21"/>
              </w:rPr>
              <w:t>因慢性过度换气导致胸廓畸形；</w:t>
            </w:r>
          </w:p>
          <w:p>
            <w:pPr>
              <w:pStyle w:val="TableParagraph"/>
              <w:numPr>
                <w:ilvl w:val="0"/>
                <w:numId w:val="105"/>
              </w:numPr>
              <w:tabs>
                <w:tab w:pos="731" w:val="left" w:leader="none"/>
              </w:tabs>
              <w:spacing w:line="240" w:lineRule="auto" w:before="43" w:after="0"/>
              <w:ind w:left="730" w:right="0" w:hanging="530"/>
              <w:jc w:val="left"/>
              <w:rPr>
                <w:sz w:val="21"/>
              </w:rPr>
            </w:pPr>
            <w:r>
              <w:rPr>
                <w:spacing w:val="-3"/>
                <w:sz w:val="21"/>
              </w:rPr>
              <w:t>在家中需要医生处方的氧气治疗法；</w:t>
            </w:r>
          </w:p>
          <w:p>
            <w:pPr>
              <w:pStyle w:val="TableParagraph"/>
              <w:numPr>
                <w:ilvl w:val="0"/>
                <w:numId w:val="105"/>
              </w:numPr>
              <w:tabs>
                <w:tab w:pos="731" w:val="left" w:leader="none"/>
              </w:tabs>
              <w:spacing w:line="223" w:lineRule="auto" w:before="57" w:after="0"/>
              <w:ind w:left="201" w:right="1778" w:firstLine="0"/>
              <w:jc w:val="left"/>
              <w:rPr>
                <w:rFonts w:ascii="微软雅黑" w:eastAsia="微软雅黑"/>
                <w:b/>
                <w:sz w:val="21"/>
              </w:rPr>
            </w:pPr>
            <w:r>
              <w:rPr>
                <w:spacing w:val="-2"/>
                <w:sz w:val="21"/>
              </w:rPr>
              <w:t>持续日常服用口服类固醇激素治疗持续至少六个月。</w:t>
            </w:r>
            <w:r>
              <w:rPr>
                <w:rFonts w:ascii="微软雅黑" w:eastAsia="微软雅黑"/>
                <w:b/>
                <w:sz w:val="21"/>
              </w:rPr>
              <w:t>申请理赔时，被保险人年龄必须在年满 25 周岁之前。</w:t>
            </w:r>
          </w:p>
        </w:tc>
      </w:tr>
      <w:tr>
        <w:trPr>
          <w:trHeight w:val="656" w:hRule="atLeast"/>
        </w:trPr>
        <w:tc>
          <w:tcPr>
            <w:tcW w:w="745" w:type="dxa"/>
            <w:vMerge/>
            <w:tcBorders>
              <w:top w:val="nil"/>
              <w:bottom w:val="single" w:sz="8" w:space="0" w:color="000000"/>
            </w:tcBorders>
          </w:tcPr>
          <w:p>
            <w:pPr>
              <w:rPr>
                <w:sz w:val="2"/>
                <w:szCs w:val="2"/>
              </w:rPr>
            </w:pPr>
          </w:p>
        </w:tc>
        <w:tc>
          <w:tcPr>
            <w:tcW w:w="1894" w:type="dxa"/>
            <w:tcBorders>
              <w:bottom w:val="single" w:sz="8" w:space="0" w:color="000000"/>
            </w:tcBorders>
          </w:tcPr>
          <w:p>
            <w:pPr>
              <w:pStyle w:val="TableParagraph"/>
              <w:spacing w:before="112"/>
              <w:ind w:left="215"/>
              <w:rPr>
                <w:rFonts w:ascii="微软雅黑" w:eastAsia="微软雅黑"/>
                <w:b/>
                <w:sz w:val="24"/>
              </w:rPr>
            </w:pPr>
            <w:r>
              <w:rPr>
                <w:rFonts w:ascii="微软雅黑" w:eastAsia="微软雅黑"/>
                <w:b/>
                <w:spacing w:val="-5"/>
                <w:sz w:val="24"/>
              </w:rPr>
              <w:t>释义</w:t>
            </w:r>
          </w:p>
        </w:tc>
        <w:tc>
          <w:tcPr>
            <w:tcW w:w="7342" w:type="dxa"/>
            <w:tcBorders>
              <w:bottom w:val="single" w:sz="8" w:space="0" w:color="000000"/>
            </w:tcBorders>
          </w:tcPr>
          <w:p>
            <w:pPr>
              <w:pStyle w:val="TableParagraph"/>
              <w:ind w:left="0"/>
              <w:rPr>
                <w:rFonts w:ascii="Times New Roman"/>
                <w:sz w:val="20"/>
              </w:rPr>
            </w:pPr>
          </w:p>
        </w:tc>
      </w:tr>
      <w:tr>
        <w:trPr>
          <w:trHeight w:val="1102" w:hRule="atLeast"/>
        </w:trPr>
        <w:tc>
          <w:tcPr>
            <w:tcW w:w="745" w:type="dxa"/>
            <w:tcBorders>
              <w:top w:val="single" w:sz="8" w:space="0" w:color="000000"/>
            </w:tcBorders>
          </w:tcPr>
          <w:p>
            <w:pPr>
              <w:pStyle w:val="TableParagraph"/>
              <w:spacing w:before="164"/>
              <w:rPr>
                <w:rFonts w:ascii="微软雅黑"/>
                <w:b/>
                <w:sz w:val="21"/>
              </w:rPr>
            </w:pPr>
            <w:r>
              <w:rPr>
                <w:rFonts w:ascii="微软雅黑"/>
                <w:b/>
                <w:spacing w:val="-4"/>
                <w:sz w:val="21"/>
              </w:rPr>
              <w:t>11.1</w:t>
            </w:r>
          </w:p>
        </w:tc>
        <w:tc>
          <w:tcPr>
            <w:tcW w:w="1894" w:type="dxa"/>
            <w:tcBorders>
              <w:top w:val="single" w:sz="8" w:space="0" w:color="000000"/>
            </w:tcBorders>
          </w:tcPr>
          <w:p>
            <w:pPr>
              <w:pStyle w:val="TableParagraph"/>
              <w:spacing w:before="164"/>
              <w:ind w:left="215"/>
              <w:rPr>
                <w:rFonts w:ascii="微软雅黑" w:eastAsia="微软雅黑"/>
                <w:b/>
                <w:sz w:val="21"/>
              </w:rPr>
            </w:pPr>
            <w:r>
              <w:rPr>
                <w:rFonts w:ascii="微软雅黑" w:eastAsia="微软雅黑"/>
                <w:b/>
                <w:spacing w:val="-3"/>
                <w:sz w:val="21"/>
              </w:rPr>
              <w:t>保单年度</w:t>
            </w:r>
          </w:p>
        </w:tc>
        <w:tc>
          <w:tcPr>
            <w:tcW w:w="7342" w:type="dxa"/>
            <w:tcBorders>
              <w:top w:val="single" w:sz="8" w:space="0" w:color="000000"/>
            </w:tcBorders>
          </w:tcPr>
          <w:p>
            <w:pPr>
              <w:pStyle w:val="TableParagraph"/>
              <w:ind w:left="0"/>
              <w:rPr>
                <w:sz w:val="18"/>
              </w:rPr>
            </w:pPr>
          </w:p>
          <w:p>
            <w:pPr>
              <w:pStyle w:val="TableParagraph"/>
              <w:spacing w:line="278" w:lineRule="auto"/>
              <w:ind w:left="201" w:right="101"/>
              <w:rPr>
                <w:sz w:val="21"/>
              </w:rPr>
            </w:pPr>
            <w:r>
              <w:rPr>
                <w:spacing w:val="-2"/>
                <w:sz w:val="21"/>
              </w:rPr>
              <w:t>自本合同生效日或保单周年日起至下一个保单周年日的前一日止为一个保单</w:t>
            </w:r>
            <w:r>
              <w:rPr>
                <w:spacing w:val="-4"/>
                <w:sz w:val="21"/>
              </w:rPr>
              <w:t>年度。</w:t>
            </w:r>
          </w:p>
        </w:tc>
      </w:tr>
      <w:tr>
        <w:trPr>
          <w:trHeight w:val="1007" w:hRule="atLeast"/>
        </w:trPr>
        <w:tc>
          <w:tcPr>
            <w:tcW w:w="745" w:type="dxa"/>
          </w:tcPr>
          <w:p>
            <w:pPr>
              <w:pStyle w:val="TableParagraph"/>
              <w:spacing w:before="5"/>
              <w:ind w:left="0"/>
              <w:rPr>
                <w:sz w:val="17"/>
              </w:rPr>
            </w:pPr>
          </w:p>
          <w:p>
            <w:pPr>
              <w:pStyle w:val="TableParagraph"/>
              <w:spacing w:before="1"/>
              <w:rPr>
                <w:rFonts w:ascii="微软雅黑"/>
                <w:b/>
                <w:sz w:val="21"/>
              </w:rPr>
            </w:pPr>
            <w:r>
              <w:rPr>
                <w:rFonts w:ascii="微软雅黑"/>
                <w:b/>
                <w:spacing w:val="-4"/>
                <w:sz w:val="21"/>
              </w:rPr>
              <w:t>11.2</w:t>
            </w:r>
          </w:p>
        </w:tc>
        <w:tc>
          <w:tcPr>
            <w:tcW w:w="1894" w:type="dxa"/>
          </w:tcPr>
          <w:p>
            <w:pPr>
              <w:pStyle w:val="TableParagraph"/>
              <w:spacing w:before="7"/>
              <w:ind w:left="0"/>
              <w:rPr>
                <w:sz w:val="21"/>
              </w:rPr>
            </w:pPr>
          </w:p>
          <w:p>
            <w:pPr>
              <w:pStyle w:val="TableParagraph"/>
              <w:spacing w:line="194" w:lineRule="auto"/>
              <w:ind w:left="215" w:right="198"/>
              <w:rPr>
                <w:rFonts w:ascii="微软雅黑" w:eastAsia="微软雅黑"/>
                <w:b/>
                <w:sz w:val="21"/>
              </w:rPr>
            </w:pPr>
            <w:r>
              <w:rPr>
                <w:rFonts w:ascii="微软雅黑" w:eastAsia="微软雅黑"/>
                <w:b/>
                <w:spacing w:val="-2"/>
                <w:sz w:val="21"/>
              </w:rPr>
              <w:t>保险费约定支付</w:t>
            </w:r>
            <w:r>
              <w:rPr>
                <w:rFonts w:ascii="微软雅黑" w:eastAsia="微软雅黑"/>
                <w:b/>
                <w:spacing w:val="-10"/>
                <w:sz w:val="21"/>
              </w:rPr>
              <w:t>日</w:t>
            </w:r>
          </w:p>
        </w:tc>
        <w:tc>
          <w:tcPr>
            <w:tcW w:w="7342" w:type="dxa"/>
          </w:tcPr>
          <w:p>
            <w:pPr>
              <w:pStyle w:val="TableParagraph"/>
              <w:spacing w:before="9"/>
              <w:ind w:left="0"/>
              <w:rPr>
                <w:sz w:val="22"/>
              </w:rPr>
            </w:pPr>
          </w:p>
          <w:p>
            <w:pPr>
              <w:pStyle w:val="TableParagraph"/>
              <w:spacing w:line="278" w:lineRule="auto"/>
              <w:ind w:left="201" w:right="101"/>
              <w:rPr>
                <w:sz w:val="21"/>
              </w:rPr>
            </w:pPr>
            <w:r>
              <w:rPr>
                <w:spacing w:val="-2"/>
                <w:sz w:val="21"/>
              </w:rPr>
              <w:t>保险合同生效日在每月、每季、每半年或每年（根据交费方式确定）的对应</w:t>
            </w:r>
            <w:r>
              <w:rPr>
                <w:spacing w:val="-2"/>
                <w:sz w:val="21"/>
              </w:rPr>
              <w:t>日。若当月无对应的同一日，则以该月最后一日为对应日。</w:t>
            </w:r>
          </w:p>
        </w:tc>
      </w:tr>
      <w:tr>
        <w:trPr>
          <w:trHeight w:val="852" w:hRule="atLeast"/>
        </w:trPr>
        <w:tc>
          <w:tcPr>
            <w:tcW w:w="745" w:type="dxa"/>
          </w:tcPr>
          <w:p>
            <w:pPr>
              <w:pStyle w:val="TableParagraph"/>
              <w:spacing w:before="68"/>
              <w:rPr>
                <w:rFonts w:ascii="微软雅黑"/>
                <w:b/>
                <w:sz w:val="21"/>
              </w:rPr>
            </w:pPr>
            <w:r>
              <w:rPr>
                <w:rFonts w:ascii="微软雅黑"/>
                <w:b/>
                <w:spacing w:val="-4"/>
                <w:sz w:val="21"/>
              </w:rPr>
              <w:t>11.3</w:t>
            </w:r>
          </w:p>
        </w:tc>
        <w:tc>
          <w:tcPr>
            <w:tcW w:w="1894" w:type="dxa"/>
          </w:tcPr>
          <w:p>
            <w:pPr>
              <w:pStyle w:val="TableParagraph"/>
              <w:spacing w:before="68"/>
              <w:ind w:left="215"/>
              <w:rPr>
                <w:rFonts w:ascii="微软雅黑" w:eastAsia="微软雅黑"/>
                <w:b/>
                <w:sz w:val="21"/>
              </w:rPr>
            </w:pPr>
            <w:r>
              <w:rPr>
                <w:rFonts w:ascii="微软雅黑" w:eastAsia="微软雅黑"/>
                <w:b/>
                <w:spacing w:val="-5"/>
                <w:sz w:val="21"/>
              </w:rPr>
              <w:t>周岁</w:t>
            </w:r>
          </w:p>
        </w:tc>
        <w:tc>
          <w:tcPr>
            <w:tcW w:w="7342" w:type="dxa"/>
          </w:tcPr>
          <w:p>
            <w:pPr>
              <w:pStyle w:val="TableParagraph"/>
              <w:spacing w:line="278" w:lineRule="auto" w:before="136"/>
              <w:ind w:left="201" w:right="109"/>
              <w:rPr>
                <w:sz w:val="21"/>
              </w:rPr>
            </w:pPr>
            <w:r>
              <w:rPr>
                <w:spacing w:val="-2"/>
                <w:sz w:val="21"/>
              </w:rPr>
              <w:t>指按有效身份证件中记载的出生日期计算的年龄，自出生之日起为零周岁，</w:t>
            </w:r>
            <w:r>
              <w:rPr>
                <w:spacing w:val="-2"/>
                <w:sz w:val="21"/>
              </w:rPr>
              <w:t>每经过一年增加一岁，不足一年的不计。</w:t>
            </w:r>
          </w:p>
        </w:tc>
      </w:tr>
      <w:tr>
        <w:trPr>
          <w:trHeight w:val="850" w:hRule="atLeast"/>
        </w:trPr>
        <w:tc>
          <w:tcPr>
            <w:tcW w:w="745" w:type="dxa"/>
          </w:tcPr>
          <w:p>
            <w:pPr>
              <w:pStyle w:val="TableParagraph"/>
              <w:spacing w:before="68"/>
              <w:rPr>
                <w:rFonts w:ascii="微软雅黑"/>
                <w:b/>
                <w:sz w:val="21"/>
              </w:rPr>
            </w:pPr>
            <w:r>
              <w:rPr>
                <w:rFonts w:ascii="微软雅黑"/>
                <w:b/>
                <w:spacing w:val="-4"/>
                <w:sz w:val="21"/>
              </w:rPr>
              <w:t>11.4</w:t>
            </w:r>
          </w:p>
        </w:tc>
        <w:tc>
          <w:tcPr>
            <w:tcW w:w="1894" w:type="dxa"/>
          </w:tcPr>
          <w:p>
            <w:pPr>
              <w:pStyle w:val="TableParagraph"/>
              <w:spacing w:before="68"/>
              <w:ind w:left="215"/>
              <w:rPr>
                <w:rFonts w:ascii="微软雅黑" w:eastAsia="微软雅黑"/>
                <w:b/>
                <w:sz w:val="21"/>
              </w:rPr>
            </w:pPr>
            <w:r>
              <w:rPr>
                <w:rFonts w:ascii="微软雅黑" w:eastAsia="微软雅黑"/>
                <w:b/>
                <w:spacing w:val="-3"/>
                <w:sz w:val="21"/>
              </w:rPr>
              <w:t>意外伤害</w:t>
            </w:r>
          </w:p>
        </w:tc>
        <w:tc>
          <w:tcPr>
            <w:tcW w:w="7342" w:type="dxa"/>
          </w:tcPr>
          <w:p>
            <w:pPr>
              <w:pStyle w:val="TableParagraph"/>
              <w:spacing w:line="278" w:lineRule="auto" w:before="136"/>
              <w:ind w:left="201" w:right="201"/>
              <w:rPr>
                <w:sz w:val="21"/>
              </w:rPr>
            </w:pPr>
            <w:r>
              <w:rPr>
                <w:spacing w:val="-2"/>
                <w:sz w:val="21"/>
              </w:rPr>
              <w:t>指遭受外来的、突发的、非本意的、非疾病的客观事件直接致使身体受到的</w:t>
            </w:r>
            <w:r>
              <w:rPr>
                <w:spacing w:val="-4"/>
                <w:sz w:val="21"/>
              </w:rPr>
              <w:t>伤害。</w:t>
            </w:r>
          </w:p>
        </w:tc>
      </w:tr>
      <w:tr>
        <w:trPr>
          <w:trHeight w:val="374" w:hRule="atLeast"/>
        </w:trPr>
        <w:tc>
          <w:tcPr>
            <w:tcW w:w="745" w:type="dxa"/>
          </w:tcPr>
          <w:p>
            <w:pPr>
              <w:pStyle w:val="TableParagraph"/>
              <w:spacing w:line="287" w:lineRule="exact" w:before="67"/>
              <w:rPr>
                <w:rFonts w:ascii="微软雅黑"/>
                <w:b/>
                <w:sz w:val="21"/>
              </w:rPr>
            </w:pPr>
            <w:r>
              <w:rPr>
                <w:rFonts w:ascii="微软雅黑"/>
                <w:b/>
                <w:spacing w:val="-4"/>
                <w:sz w:val="21"/>
              </w:rPr>
              <w:t>11.5</w:t>
            </w:r>
          </w:p>
        </w:tc>
        <w:tc>
          <w:tcPr>
            <w:tcW w:w="1894" w:type="dxa"/>
          </w:tcPr>
          <w:p>
            <w:pPr>
              <w:pStyle w:val="TableParagraph"/>
              <w:spacing w:line="287" w:lineRule="exact" w:before="67"/>
              <w:ind w:left="215"/>
              <w:rPr>
                <w:rFonts w:ascii="微软雅黑" w:eastAsia="微软雅黑"/>
                <w:b/>
                <w:sz w:val="21"/>
              </w:rPr>
            </w:pPr>
            <w:r>
              <w:rPr>
                <w:rFonts w:ascii="微软雅黑" w:eastAsia="微软雅黑"/>
                <w:b/>
                <w:spacing w:val="-2"/>
                <w:sz w:val="21"/>
              </w:rPr>
              <w:t>初次患本合同所</w:t>
            </w:r>
          </w:p>
        </w:tc>
        <w:tc>
          <w:tcPr>
            <w:tcW w:w="7342" w:type="dxa"/>
          </w:tcPr>
          <w:p>
            <w:pPr>
              <w:pStyle w:val="TableParagraph"/>
              <w:spacing w:line="220" w:lineRule="exact" w:before="134"/>
              <w:ind w:left="201"/>
              <w:rPr>
                <w:sz w:val="21"/>
              </w:rPr>
            </w:pPr>
            <w:r>
              <w:rPr>
                <w:spacing w:val="-3"/>
                <w:sz w:val="21"/>
              </w:rPr>
              <w:t>指被保险人患同时符合以下条件的中症疾病、轻症疾病：</w:t>
            </w:r>
          </w:p>
        </w:tc>
      </w:tr>
    </w:tbl>
    <w:p>
      <w:pPr>
        <w:pStyle w:val="BodyText"/>
        <w:spacing w:before="5"/>
        <w:rPr>
          <w:sz w:val="5"/>
        </w:rPr>
      </w:pPr>
    </w:p>
    <w:p>
      <w:pPr>
        <w:spacing w:after="0"/>
        <w:rPr>
          <w:sz w:val="5"/>
        </w:rPr>
        <w:sectPr>
          <w:pgSz w:w="11910" w:h="16840"/>
          <w:pgMar w:header="0" w:footer="406" w:top="1080" w:bottom="600" w:left="900" w:right="340"/>
        </w:sectPr>
      </w:pPr>
    </w:p>
    <w:p>
      <w:pPr>
        <w:pStyle w:val="Heading2"/>
        <w:spacing w:line="194" w:lineRule="auto"/>
        <w:ind w:left="1080"/>
      </w:pPr>
      <w:r>
        <w:rPr>
          <w:spacing w:val="-2"/>
        </w:rPr>
        <w:t>定义的中症疾病、</w:t>
      </w:r>
      <w:r>
        <w:rPr>
          <w:spacing w:val="-4"/>
        </w:rPr>
        <w:t>轻症疾病</w:t>
      </w:r>
    </w:p>
    <w:p>
      <w:pPr>
        <w:pStyle w:val="ListParagraph"/>
        <w:numPr>
          <w:ilvl w:val="0"/>
          <w:numId w:val="106"/>
        </w:numPr>
        <w:tabs>
          <w:tab w:pos="680" w:val="left" w:leader="none"/>
        </w:tabs>
        <w:spacing w:line="240" w:lineRule="auto" w:before="100" w:after="0"/>
        <w:ind w:left="679" w:right="0" w:hanging="530"/>
        <w:jc w:val="left"/>
        <w:rPr>
          <w:sz w:val="21"/>
        </w:rPr>
      </w:pPr>
      <w:r>
        <w:rPr>
          <w:sz w:val="21"/>
        </w:rPr>
        <w:br w:type="column"/>
      </w:r>
      <w:r>
        <w:rPr>
          <w:spacing w:val="-3"/>
          <w:sz w:val="21"/>
        </w:rPr>
        <w:t>被保险人自出生后初次出现中症疾病、轻症疾病之症状体征；</w:t>
      </w:r>
    </w:p>
    <w:p>
      <w:pPr>
        <w:pStyle w:val="ListParagraph"/>
        <w:numPr>
          <w:ilvl w:val="0"/>
          <w:numId w:val="106"/>
        </w:numPr>
        <w:tabs>
          <w:tab w:pos="677" w:val="left" w:leader="none"/>
        </w:tabs>
        <w:spacing w:line="278" w:lineRule="auto" w:before="43" w:after="0"/>
        <w:ind w:left="675" w:right="666" w:hanging="526"/>
        <w:jc w:val="left"/>
        <w:rPr>
          <w:sz w:val="21"/>
        </w:rPr>
      </w:pPr>
      <w:r>
        <w:rPr>
          <w:spacing w:val="-2"/>
          <w:sz w:val="21"/>
        </w:rPr>
        <w:t>被保险人在本合同有效期间内初次出现中症疾病、轻症疾病之症状体征</w:t>
      </w:r>
      <w:r>
        <w:rPr>
          <w:spacing w:val="-2"/>
          <w:sz w:val="21"/>
        </w:rPr>
        <w:t>并被确诊患该中症疾病、轻症疾病；</w:t>
      </w:r>
    </w:p>
    <w:p>
      <w:pPr>
        <w:pStyle w:val="ListParagraph"/>
        <w:numPr>
          <w:ilvl w:val="0"/>
          <w:numId w:val="106"/>
        </w:numPr>
        <w:tabs>
          <w:tab w:pos="680" w:val="left" w:leader="none"/>
        </w:tabs>
        <w:spacing w:line="257" w:lineRule="exact" w:before="0" w:after="0"/>
        <w:ind w:left="679" w:right="0" w:hanging="530"/>
        <w:jc w:val="left"/>
        <w:rPr>
          <w:sz w:val="21"/>
        </w:rPr>
      </w:pPr>
      <w:r>
        <w:rPr>
          <w:spacing w:val="-3"/>
          <w:sz w:val="21"/>
        </w:rPr>
        <w:t>该中症疾病、轻症疾病之症状体征符合本合同的定义；</w:t>
      </w:r>
    </w:p>
    <w:p>
      <w:pPr>
        <w:pStyle w:val="ListParagraph"/>
        <w:numPr>
          <w:ilvl w:val="0"/>
          <w:numId w:val="106"/>
        </w:numPr>
        <w:tabs>
          <w:tab w:pos="680" w:val="left" w:leader="none"/>
        </w:tabs>
        <w:spacing w:line="194" w:lineRule="auto" w:before="41" w:after="0"/>
        <w:ind w:left="675" w:right="668" w:hanging="526"/>
        <w:jc w:val="left"/>
        <w:rPr>
          <w:sz w:val="21"/>
        </w:rPr>
      </w:pPr>
      <w:r>
        <w:rPr>
          <w:sz w:val="21"/>
        </w:rPr>
        <w:t>该中症疾病、轻症疾病已分别在</w:t>
      </w:r>
      <w:r>
        <w:rPr>
          <w:rFonts w:ascii="微软雅黑" w:hAnsi="微软雅黑" w:eastAsia="微软雅黑"/>
          <w:b/>
          <w:sz w:val="21"/>
        </w:rPr>
        <w:t>“10.2</w:t>
      </w:r>
      <w:r>
        <w:rPr>
          <w:rFonts w:ascii="微软雅黑" w:hAnsi="微软雅黑" w:eastAsia="微软雅黑"/>
          <w:b/>
          <w:spacing w:val="-1"/>
          <w:sz w:val="21"/>
        </w:rPr>
        <w:t> 中症疾病定义”、“</w:t>
      </w:r>
      <w:r>
        <w:rPr>
          <w:rFonts w:ascii="微软雅黑" w:hAnsi="微软雅黑" w:eastAsia="微软雅黑"/>
          <w:b/>
          <w:sz w:val="21"/>
        </w:rPr>
        <w:t>10.1</w:t>
      </w:r>
      <w:r>
        <w:rPr>
          <w:rFonts w:ascii="微软雅黑" w:hAnsi="微软雅黑" w:eastAsia="微软雅黑"/>
          <w:b/>
          <w:spacing w:val="-1"/>
          <w:sz w:val="21"/>
        </w:rPr>
        <w:t> 轻症</w:t>
      </w:r>
      <w:r>
        <w:rPr>
          <w:rFonts w:ascii="微软雅黑" w:hAnsi="微软雅黑" w:eastAsia="微软雅黑"/>
          <w:b/>
          <w:spacing w:val="-2"/>
          <w:sz w:val="21"/>
        </w:rPr>
        <w:t>疾病定义”</w:t>
      </w:r>
      <w:r>
        <w:rPr>
          <w:spacing w:val="-2"/>
          <w:sz w:val="21"/>
        </w:rPr>
        <w:t>部分列明。</w:t>
      </w:r>
    </w:p>
    <w:p>
      <w:pPr>
        <w:spacing w:line="194" w:lineRule="auto" w:before="0"/>
        <w:ind w:left="150" w:right="745" w:firstLine="0"/>
        <w:jc w:val="left"/>
        <w:rPr>
          <w:rFonts w:ascii="微软雅黑" w:eastAsia="微软雅黑"/>
          <w:b/>
          <w:sz w:val="21"/>
        </w:rPr>
      </w:pPr>
      <w:r>
        <w:rPr>
          <w:rFonts w:ascii="微软雅黑" w:eastAsia="微软雅黑"/>
          <w:b/>
          <w:spacing w:val="-2"/>
          <w:sz w:val="21"/>
        </w:rPr>
        <w:t>对于被保险人在本合同生效日前出现的本合同所列中症疾病与轻症疾病症状</w:t>
      </w:r>
      <w:r>
        <w:rPr>
          <w:rFonts w:ascii="微软雅黑" w:eastAsia="微软雅黑"/>
          <w:b/>
          <w:spacing w:val="-2"/>
          <w:sz w:val="21"/>
        </w:rPr>
        <w:t>体征或所患的中症疾病与轻症疾病，本公司不承担保险责任。</w:t>
      </w:r>
    </w:p>
    <w:p>
      <w:pPr>
        <w:spacing w:after="0" w:line="194" w:lineRule="auto"/>
        <w:jc w:val="left"/>
        <w:rPr>
          <w:rFonts w:ascii="微软雅黑" w:eastAsia="微软雅黑"/>
          <w:sz w:val="21"/>
        </w:rPr>
        <w:sectPr>
          <w:type w:val="continuous"/>
          <w:pgSz w:w="11910" w:h="16840"/>
          <w:pgMar w:header="0" w:footer="406" w:top="600" w:bottom="280" w:left="900" w:right="340"/>
          <w:cols w:num="2" w:equalWidth="0">
            <w:col w:w="2771" w:space="40"/>
            <w:col w:w="7859"/>
          </w:cols>
        </w:sectPr>
      </w:pPr>
    </w:p>
    <w:p>
      <w:pPr>
        <w:pStyle w:val="ListParagraph"/>
        <w:numPr>
          <w:ilvl w:val="1"/>
          <w:numId w:val="107"/>
        </w:numPr>
        <w:tabs>
          <w:tab w:pos="852" w:val="left" w:leader="none"/>
          <w:tab w:pos="853" w:val="left" w:leader="none"/>
        </w:tabs>
        <w:spacing w:line="340" w:lineRule="exact" w:before="0" w:after="0"/>
        <w:ind w:left="852" w:right="38" w:hanging="853"/>
        <w:jc w:val="right"/>
        <w:rPr>
          <w:rFonts w:ascii="微软雅黑" w:eastAsia="微软雅黑"/>
          <w:b/>
          <w:sz w:val="21"/>
        </w:rPr>
      </w:pPr>
      <w:r>
        <w:rPr>
          <w:rFonts w:ascii="微软雅黑" w:eastAsia="微软雅黑"/>
          <w:b/>
          <w:spacing w:val="-2"/>
          <w:sz w:val="21"/>
        </w:rPr>
        <w:t>初次患本合同所</w:t>
      </w:r>
    </w:p>
    <w:p>
      <w:pPr>
        <w:spacing w:line="350" w:lineRule="exact" w:before="0"/>
        <w:ind w:left="0" w:right="38" w:firstLine="0"/>
        <w:jc w:val="right"/>
        <w:rPr>
          <w:rFonts w:ascii="微软雅黑" w:eastAsia="微软雅黑"/>
          <w:b/>
          <w:sz w:val="21"/>
        </w:rPr>
      </w:pPr>
      <w:r>
        <w:rPr>
          <w:rFonts w:ascii="微软雅黑" w:eastAsia="微软雅黑"/>
          <w:b/>
          <w:spacing w:val="-2"/>
          <w:sz w:val="21"/>
        </w:rPr>
        <w:t>定义的重大疾病</w:t>
      </w:r>
    </w:p>
    <w:p>
      <w:pPr>
        <w:pStyle w:val="BodyText"/>
        <w:spacing w:before="57"/>
        <w:ind w:left="228"/>
      </w:pPr>
      <w:r>
        <w:rPr/>
        <w:br w:type="column"/>
      </w:r>
      <w:r>
        <w:rPr>
          <w:spacing w:val="-3"/>
        </w:rPr>
        <w:t>指被保险人患同时符合以下条件的重大疾病：</w:t>
      </w:r>
    </w:p>
    <w:p>
      <w:pPr>
        <w:pStyle w:val="ListParagraph"/>
        <w:numPr>
          <w:ilvl w:val="0"/>
          <w:numId w:val="108"/>
        </w:numPr>
        <w:tabs>
          <w:tab w:pos="757" w:val="left" w:leader="none"/>
        </w:tabs>
        <w:spacing w:line="240" w:lineRule="auto" w:before="136" w:after="0"/>
        <w:ind w:left="757" w:right="0" w:hanging="529"/>
        <w:jc w:val="left"/>
        <w:rPr>
          <w:sz w:val="21"/>
        </w:rPr>
      </w:pPr>
      <w:r>
        <w:rPr>
          <w:spacing w:val="-3"/>
          <w:sz w:val="21"/>
        </w:rPr>
        <w:t>被保险人自出生后初次出现重大疾病之症状体征；</w:t>
      </w:r>
    </w:p>
    <w:p>
      <w:pPr>
        <w:pStyle w:val="ListParagraph"/>
        <w:numPr>
          <w:ilvl w:val="0"/>
          <w:numId w:val="108"/>
        </w:numPr>
        <w:tabs>
          <w:tab w:pos="757" w:val="left" w:leader="none"/>
        </w:tabs>
        <w:spacing w:line="278" w:lineRule="auto" w:before="137" w:after="0"/>
        <w:ind w:left="753" w:right="666" w:hanging="526"/>
        <w:jc w:val="left"/>
        <w:rPr>
          <w:sz w:val="21"/>
        </w:rPr>
      </w:pPr>
      <w:r>
        <w:rPr>
          <w:spacing w:val="-2"/>
          <w:sz w:val="21"/>
        </w:rPr>
        <w:t>被保险人在本合同有效期间内初次出现重大疾病之症状体征并被确诊患</w:t>
      </w:r>
      <w:r>
        <w:rPr>
          <w:spacing w:val="-2"/>
          <w:sz w:val="21"/>
        </w:rPr>
        <w:t>该重大疾病；</w:t>
      </w:r>
    </w:p>
    <w:p>
      <w:pPr>
        <w:pStyle w:val="ListParagraph"/>
        <w:numPr>
          <w:ilvl w:val="0"/>
          <w:numId w:val="108"/>
        </w:numPr>
        <w:tabs>
          <w:tab w:pos="757" w:val="left" w:leader="none"/>
        </w:tabs>
        <w:spacing w:line="269" w:lineRule="exact" w:before="0" w:after="0"/>
        <w:ind w:left="757" w:right="0" w:hanging="529"/>
        <w:jc w:val="left"/>
        <w:rPr>
          <w:sz w:val="21"/>
        </w:rPr>
      </w:pPr>
      <w:r>
        <w:rPr>
          <w:spacing w:val="-3"/>
          <w:sz w:val="21"/>
        </w:rPr>
        <w:t>该重大疾病之症状体征符合本合同的定义；</w:t>
      </w:r>
    </w:p>
    <w:p>
      <w:pPr>
        <w:pStyle w:val="ListParagraph"/>
        <w:numPr>
          <w:ilvl w:val="0"/>
          <w:numId w:val="108"/>
        </w:numPr>
        <w:tabs>
          <w:tab w:pos="757" w:val="left" w:leader="none"/>
        </w:tabs>
        <w:spacing w:line="240" w:lineRule="auto" w:before="70" w:after="0"/>
        <w:ind w:left="757" w:right="0" w:hanging="529"/>
        <w:jc w:val="left"/>
        <w:rPr>
          <w:sz w:val="21"/>
        </w:rPr>
      </w:pPr>
      <w:r>
        <w:rPr>
          <w:w w:val="95"/>
          <w:sz w:val="21"/>
        </w:rPr>
        <w:t>该重大疾病</w:t>
      </w:r>
      <w:r>
        <w:rPr>
          <w:w w:val="95"/>
          <w:sz w:val="21"/>
        </w:rPr>
        <w:t>已</w:t>
      </w:r>
      <w:r>
        <w:rPr>
          <w:w w:val="95"/>
          <w:sz w:val="21"/>
        </w:rPr>
        <w:t>在</w:t>
      </w:r>
      <w:r>
        <w:rPr>
          <w:rFonts w:ascii="微软雅黑" w:hAnsi="微软雅黑" w:eastAsia="微软雅黑"/>
          <w:b/>
          <w:w w:val="95"/>
          <w:sz w:val="21"/>
        </w:rPr>
        <w:t>“10.3</w:t>
      </w:r>
      <w:r>
        <w:rPr>
          <w:rFonts w:ascii="微软雅黑" w:hAnsi="微软雅黑" w:eastAsia="微软雅黑"/>
          <w:b/>
          <w:spacing w:val="52"/>
          <w:sz w:val="21"/>
        </w:rPr>
        <w:t>  </w:t>
      </w:r>
      <w:r>
        <w:rPr>
          <w:rFonts w:ascii="微软雅黑" w:hAnsi="微软雅黑" w:eastAsia="微软雅黑"/>
          <w:b/>
          <w:w w:val="95"/>
          <w:sz w:val="21"/>
        </w:rPr>
        <w:t>重</w:t>
      </w:r>
      <w:r>
        <w:rPr>
          <w:rFonts w:ascii="微软雅黑" w:hAnsi="微软雅黑" w:eastAsia="微软雅黑"/>
          <w:b/>
          <w:w w:val="95"/>
          <w:sz w:val="21"/>
        </w:rPr>
        <w:t>大</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定</w:t>
      </w:r>
      <w:r>
        <w:rPr>
          <w:rFonts w:ascii="微软雅黑" w:hAnsi="微软雅黑" w:eastAsia="微软雅黑"/>
          <w:b/>
          <w:w w:val="95"/>
          <w:sz w:val="21"/>
        </w:rPr>
        <w:t>义</w:t>
      </w:r>
      <w:r>
        <w:rPr>
          <w:rFonts w:ascii="微软雅黑" w:hAnsi="微软雅黑" w:eastAsia="微软雅黑"/>
          <w:b/>
          <w:w w:val="95"/>
          <w:sz w:val="21"/>
        </w:rPr>
        <w:t>”</w:t>
      </w:r>
      <w:r>
        <w:rPr>
          <w:w w:val="95"/>
          <w:sz w:val="21"/>
        </w:rPr>
        <w:t>部分列</w:t>
      </w:r>
      <w:r>
        <w:rPr>
          <w:w w:val="95"/>
          <w:sz w:val="21"/>
        </w:rPr>
        <w:t>明</w:t>
      </w:r>
      <w:r>
        <w:rPr>
          <w:spacing w:val="-10"/>
          <w:w w:val="95"/>
          <w:sz w:val="21"/>
        </w:rPr>
        <w:t>。</w:t>
      </w:r>
    </w:p>
    <w:p>
      <w:pPr>
        <w:pStyle w:val="Heading2"/>
        <w:spacing w:line="194" w:lineRule="auto" w:before="69"/>
        <w:ind w:left="228" w:right="670"/>
      </w:pPr>
      <w:r>
        <w:rPr>
          <w:spacing w:val="-2"/>
        </w:rPr>
        <w:t>对于被保险人在本合同生效日前出现的本合同所列重大疾病症状体征或所患</w:t>
      </w:r>
      <w:r>
        <w:rPr>
          <w:spacing w:val="-2"/>
        </w:rPr>
        <w:t>的重大疾病，本公司不承担保险责任。</w:t>
      </w:r>
    </w:p>
    <w:p>
      <w:pPr>
        <w:spacing w:after="0" w:line="194" w:lineRule="auto"/>
        <w:sectPr>
          <w:pgSz w:w="11910" w:h="16840"/>
          <w:pgMar w:header="0" w:footer="406" w:top="1080" w:bottom="600" w:left="900" w:right="340"/>
          <w:cols w:num="2" w:equalWidth="0">
            <w:col w:w="2599" w:space="133"/>
            <w:col w:w="7938"/>
          </w:cols>
        </w:sectPr>
      </w:pPr>
    </w:p>
    <w:p>
      <w:pPr>
        <w:pStyle w:val="BodyText"/>
        <w:spacing w:before="1"/>
        <w:rPr>
          <w:rFonts w:ascii="微软雅黑"/>
          <w:b/>
          <w:sz w:val="9"/>
        </w:rPr>
      </w:pPr>
    </w:p>
    <w:p>
      <w:pPr>
        <w:pStyle w:val="ListParagraph"/>
        <w:numPr>
          <w:ilvl w:val="1"/>
          <w:numId w:val="107"/>
        </w:numPr>
        <w:tabs>
          <w:tab w:pos="1080" w:val="left" w:leader="none"/>
          <w:tab w:pos="1081" w:val="left" w:leader="none"/>
          <w:tab w:pos="2960" w:val="left" w:leader="none"/>
        </w:tabs>
        <w:spacing w:line="240" w:lineRule="auto" w:before="5" w:after="0"/>
        <w:ind w:left="1080" w:right="0" w:hanging="854"/>
        <w:jc w:val="left"/>
        <w:rPr>
          <w:sz w:val="21"/>
        </w:rPr>
      </w:pPr>
      <w:r>
        <w:rPr>
          <w:rFonts w:ascii="微软雅黑" w:eastAsia="微软雅黑"/>
          <w:b/>
          <w:sz w:val="21"/>
        </w:rPr>
        <w:t>全</w:t>
      </w:r>
      <w:r>
        <w:rPr>
          <w:rFonts w:ascii="微软雅黑" w:eastAsia="微软雅黑"/>
          <w:b/>
          <w:spacing w:val="-10"/>
          <w:sz w:val="21"/>
        </w:rPr>
        <w:t>残</w:t>
      </w:r>
      <w:r>
        <w:rPr>
          <w:rFonts w:ascii="微软雅黑" w:eastAsia="微软雅黑"/>
          <w:b/>
          <w:sz w:val="21"/>
        </w:rPr>
        <w:tab/>
      </w:r>
      <w:r>
        <w:rPr>
          <w:spacing w:val="-2"/>
          <w:sz w:val="21"/>
        </w:rPr>
        <w:t>指</w:t>
      </w:r>
      <w:r>
        <w:rPr>
          <w:spacing w:val="-2"/>
          <w:sz w:val="21"/>
        </w:rPr>
        <w:t>具</w:t>
      </w:r>
      <w:r>
        <w:rPr>
          <w:spacing w:val="-2"/>
          <w:sz w:val="21"/>
        </w:rPr>
        <w:t>有下列情形之一项或</w:t>
      </w:r>
      <w:r>
        <w:rPr>
          <w:spacing w:val="-2"/>
          <w:sz w:val="21"/>
        </w:rPr>
        <w:t>多</w:t>
      </w:r>
      <w:r>
        <w:rPr>
          <w:spacing w:val="-2"/>
          <w:sz w:val="21"/>
        </w:rPr>
        <w:t>项</w:t>
      </w:r>
      <w:r>
        <w:rPr>
          <w:spacing w:val="-2"/>
          <w:sz w:val="21"/>
        </w:rPr>
        <w:t>者</w:t>
      </w:r>
      <w:r>
        <w:rPr>
          <w:spacing w:val="-10"/>
          <w:sz w:val="21"/>
        </w:rPr>
        <w:t>：</w:t>
      </w:r>
    </w:p>
    <w:p>
      <w:pPr>
        <w:pStyle w:val="ListParagraph"/>
        <w:numPr>
          <w:ilvl w:val="2"/>
          <w:numId w:val="107"/>
        </w:numPr>
        <w:tabs>
          <w:tab w:pos="3490" w:val="left" w:leader="none"/>
        </w:tabs>
        <w:spacing w:line="240" w:lineRule="auto" w:before="86" w:after="0"/>
        <w:ind w:left="3489" w:right="0" w:hanging="530"/>
        <w:jc w:val="left"/>
        <w:rPr>
          <w:sz w:val="21"/>
        </w:rPr>
      </w:pPr>
      <w:r>
        <w:rPr>
          <w:spacing w:val="-2"/>
          <w:sz w:val="21"/>
        </w:rPr>
        <w:t>双目永久完全失明的（</w:t>
      </w:r>
      <w:r>
        <w:rPr>
          <w:spacing w:val="-25"/>
          <w:sz w:val="21"/>
        </w:rPr>
        <w:t>注 </w:t>
      </w:r>
      <w:r>
        <w:rPr>
          <w:spacing w:val="-5"/>
          <w:sz w:val="21"/>
        </w:rPr>
        <w:t>1）；</w:t>
      </w:r>
    </w:p>
    <w:p>
      <w:pPr>
        <w:pStyle w:val="ListParagraph"/>
        <w:numPr>
          <w:ilvl w:val="2"/>
          <w:numId w:val="107"/>
        </w:numPr>
        <w:tabs>
          <w:tab w:pos="3490" w:val="left" w:leader="none"/>
        </w:tabs>
        <w:spacing w:line="240" w:lineRule="auto" w:before="136" w:after="0"/>
        <w:ind w:left="3489" w:right="0" w:hanging="530"/>
        <w:jc w:val="left"/>
        <w:rPr>
          <w:sz w:val="21"/>
        </w:rPr>
      </w:pPr>
      <w:r>
        <w:rPr>
          <w:spacing w:val="-3"/>
          <w:sz w:val="21"/>
        </w:rPr>
        <w:t>两上肢腕关节以上或两下肢踝关节以上缺失的；</w:t>
      </w:r>
    </w:p>
    <w:p>
      <w:pPr>
        <w:pStyle w:val="ListParagraph"/>
        <w:numPr>
          <w:ilvl w:val="2"/>
          <w:numId w:val="107"/>
        </w:numPr>
        <w:tabs>
          <w:tab w:pos="3490" w:val="left" w:leader="none"/>
        </w:tabs>
        <w:spacing w:line="240" w:lineRule="auto" w:before="135" w:after="0"/>
        <w:ind w:left="3489" w:right="0" w:hanging="530"/>
        <w:jc w:val="left"/>
        <w:rPr>
          <w:sz w:val="21"/>
        </w:rPr>
      </w:pPr>
      <w:r>
        <w:rPr>
          <w:spacing w:val="-3"/>
          <w:sz w:val="21"/>
        </w:rPr>
        <w:t>一上肢腕关节以上及一下肢踝关节以上缺失的；</w:t>
      </w:r>
    </w:p>
    <w:p>
      <w:pPr>
        <w:pStyle w:val="ListParagraph"/>
        <w:numPr>
          <w:ilvl w:val="2"/>
          <w:numId w:val="107"/>
        </w:numPr>
        <w:tabs>
          <w:tab w:pos="3490" w:val="left" w:leader="none"/>
        </w:tabs>
        <w:spacing w:line="240" w:lineRule="auto" w:before="136" w:after="0"/>
        <w:ind w:left="3489" w:right="0" w:hanging="530"/>
        <w:jc w:val="left"/>
        <w:rPr>
          <w:sz w:val="21"/>
        </w:rPr>
      </w:pPr>
      <w:r>
        <w:rPr>
          <w:spacing w:val="-3"/>
          <w:sz w:val="21"/>
        </w:rPr>
        <w:t>一目永久完全失明及一上肢腕关节以上缺失的；</w:t>
      </w:r>
    </w:p>
    <w:p>
      <w:pPr>
        <w:pStyle w:val="ListParagraph"/>
        <w:numPr>
          <w:ilvl w:val="2"/>
          <w:numId w:val="107"/>
        </w:numPr>
        <w:tabs>
          <w:tab w:pos="3490" w:val="left" w:leader="none"/>
        </w:tabs>
        <w:spacing w:line="240" w:lineRule="auto" w:before="137" w:after="0"/>
        <w:ind w:left="3489" w:right="0" w:hanging="530"/>
        <w:jc w:val="left"/>
        <w:rPr>
          <w:sz w:val="21"/>
        </w:rPr>
      </w:pPr>
      <w:r>
        <w:rPr>
          <w:spacing w:val="-3"/>
          <w:sz w:val="21"/>
        </w:rPr>
        <w:t>一目永久完全失明及一下肢踝关节以上缺失的；</w:t>
      </w:r>
    </w:p>
    <w:p>
      <w:pPr>
        <w:pStyle w:val="ListParagraph"/>
        <w:numPr>
          <w:ilvl w:val="2"/>
          <w:numId w:val="107"/>
        </w:numPr>
        <w:tabs>
          <w:tab w:pos="3490" w:val="left" w:leader="none"/>
        </w:tabs>
        <w:spacing w:line="240" w:lineRule="auto" w:before="136" w:after="0"/>
        <w:ind w:left="3489" w:right="0" w:hanging="530"/>
        <w:jc w:val="both"/>
        <w:rPr>
          <w:sz w:val="21"/>
        </w:rPr>
      </w:pPr>
      <w:r>
        <w:rPr>
          <w:spacing w:val="-2"/>
          <w:sz w:val="21"/>
        </w:rPr>
        <w:t>四肢关节机能永久完全丧失的（</w:t>
      </w:r>
      <w:r>
        <w:rPr>
          <w:spacing w:val="-24"/>
          <w:sz w:val="21"/>
        </w:rPr>
        <w:t>注 </w:t>
      </w:r>
      <w:r>
        <w:rPr>
          <w:spacing w:val="-5"/>
          <w:sz w:val="21"/>
        </w:rPr>
        <w:t>2）；</w:t>
      </w:r>
    </w:p>
    <w:p>
      <w:pPr>
        <w:pStyle w:val="ListParagraph"/>
        <w:numPr>
          <w:ilvl w:val="2"/>
          <w:numId w:val="107"/>
        </w:numPr>
        <w:tabs>
          <w:tab w:pos="3490" w:val="left" w:leader="none"/>
        </w:tabs>
        <w:spacing w:line="240" w:lineRule="auto" w:before="135" w:after="0"/>
        <w:ind w:left="3489" w:right="0" w:hanging="530"/>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2"/>
          <w:numId w:val="107"/>
        </w:numPr>
        <w:tabs>
          <w:tab w:pos="3487" w:val="left" w:leader="none"/>
        </w:tabs>
        <w:spacing w:line="278" w:lineRule="auto" w:before="136" w:after="0"/>
        <w:ind w:left="3485" w:right="668" w:hanging="526"/>
        <w:jc w:val="both"/>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1"/>
          <w:sz w:val="21"/>
        </w:rPr>
        <w:t>注 </w:t>
      </w:r>
      <w:r>
        <w:rPr>
          <w:sz w:val="21"/>
        </w:rPr>
        <w:t>4）。</w:t>
      </w:r>
    </w:p>
    <w:p>
      <w:pPr>
        <w:pStyle w:val="BodyText"/>
        <w:spacing w:line="278" w:lineRule="auto" w:before="94"/>
        <w:ind w:left="2960" w:right="666"/>
        <w:jc w:val="both"/>
      </w:pPr>
      <w:r>
        <w:rPr>
          <w:spacing w:val="-14"/>
        </w:rPr>
        <w:t>注 </w:t>
      </w:r>
      <w:r>
        <w:rPr/>
        <w:t>1:失明包括眼球缺失或摘除、或不能辨别明暗、或仅能辨别眼前手动者，</w:t>
      </w:r>
      <w:r>
        <w:rPr>
          <w:spacing w:val="-4"/>
        </w:rPr>
        <w:t>最佳矫正视力低于国际标准视力表 </w:t>
      </w:r>
      <w:r>
        <w:rPr>
          <w:spacing w:val="-2"/>
        </w:rPr>
        <w:t>0.02</w:t>
      </w:r>
      <w:r>
        <w:rPr>
          <w:spacing w:val="-5"/>
        </w:rPr>
        <w:t>，或视野半径小于 </w:t>
      </w:r>
      <w:r>
        <w:rPr>
          <w:spacing w:val="-2"/>
        </w:rPr>
        <w:t>5</w:t>
      </w:r>
      <w:r>
        <w:rPr>
          <w:spacing w:val="-7"/>
        </w:rPr>
        <w:t> 度，并由本公司</w:t>
      </w:r>
      <w:r>
        <w:rPr>
          <w:spacing w:val="-2"/>
        </w:rPr>
        <w:t>认可的有资格的眼科医师出具医疗诊断证明。</w:t>
      </w:r>
    </w:p>
    <w:p>
      <w:pPr>
        <w:pStyle w:val="BodyText"/>
        <w:spacing w:line="278" w:lineRule="auto" w:before="93"/>
        <w:ind w:left="2960" w:right="666"/>
        <w:jc w:val="both"/>
      </w:pPr>
      <w:r>
        <w:rPr>
          <w:spacing w:val="-14"/>
        </w:rPr>
        <w:t>注 </w:t>
      </w:r>
      <w:r>
        <w:rPr/>
        <w:t>2:关节机能的丧失系指关节永久完全僵硬、或麻痹、或关节不能随意识活</w:t>
      </w:r>
      <w:r>
        <w:rPr>
          <w:spacing w:val="-6"/>
        </w:rPr>
        <w:t>动。</w:t>
      </w:r>
    </w:p>
    <w:p>
      <w:pPr>
        <w:pStyle w:val="BodyText"/>
        <w:spacing w:line="278" w:lineRule="auto" w:before="91"/>
        <w:ind w:left="2960" w:right="666"/>
        <w:jc w:val="both"/>
      </w:pPr>
      <w:r>
        <w:rPr>
          <w:spacing w:val="-14"/>
        </w:rPr>
        <w:t>注 </w:t>
      </w:r>
      <w:r>
        <w:rPr/>
        <w:t>3:咀嚼、吞咽机能的丧失系指由于牙齿以外的原因引起器质障碍或机能障</w:t>
      </w:r>
      <w:r>
        <w:rPr>
          <w:spacing w:val="-2"/>
        </w:rPr>
        <w:t>碍，以致不能作咀嚼、吞咽运动，除流质食物外不能摄取或吞咽的状态。</w:t>
      </w:r>
    </w:p>
    <w:p>
      <w:pPr>
        <w:pStyle w:val="BodyText"/>
        <w:spacing w:line="278" w:lineRule="auto" w:before="94"/>
        <w:ind w:left="2960" w:right="666"/>
        <w:jc w:val="both"/>
      </w:pPr>
      <w:r>
        <w:rPr>
          <w:spacing w:val="-14"/>
        </w:rPr>
        <w:t>注 </w:t>
      </w:r>
      <w:r>
        <w:rPr/>
        <w:t>4:为维持生命必要的日常生活活动，全需他人扶助系指食物摄取、大小便</w:t>
      </w:r>
      <w:r>
        <w:rPr>
          <w:spacing w:val="-2"/>
        </w:rPr>
        <w:t>始末、穿脱衣服、起居、步行、入浴等，皆不能自己为之，需要他人帮助。</w:t>
      </w:r>
    </w:p>
    <w:p>
      <w:pPr>
        <w:pStyle w:val="BodyText"/>
        <w:spacing w:line="278" w:lineRule="auto" w:before="93"/>
        <w:ind w:left="2960" w:right="667"/>
      </w:pPr>
      <w:r>
        <w:rPr>
          <w:spacing w:val="-2"/>
        </w:rPr>
        <w:t>所谓永久完全系指自事故发生之日起经过一百八十日的治疗，机能仍然完全</w:t>
      </w:r>
      <w:r>
        <w:rPr>
          <w:spacing w:val="-2"/>
        </w:rPr>
        <w:t>丧失，但眼球摘除等明显无法复原之情况，不在此限。</w:t>
      </w:r>
    </w:p>
    <w:p>
      <w:pPr>
        <w:pStyle w:val="ListParagraph"/>
        <w:numPr>
          <w:ilvl w:val="1"/>
          <w:numId w:val="107"/>
        </w:numPr>
        <w:tabs>
          <w:tab w:pos="1081" w:val="left" w:leader="none"/>
        </w:tabs>
        <w:spacing w:line="256" w:lineRule="auto" w:before="158" w:after="0"/>
        <w:ind w:left="2960" w:right="767" w:hanging="2733"/>
        <w:jc w:val="both"/>
        <w:rPr>
          <w:sz w:val="21"/>
        </w:rPr>
      </w:pPr>
      <w:r>
        <w:rPr>
          <w:rFonts w:ascii="微软雅黑" w:eastAsia="微软雅黑"/>
          <w:b/>
          <w:spacing w:val="39"/>
          <w:sz w:val="21"/>
        </w:rPr>
        <w:t>累计已交保险费 </w:t>
      </w:r>
      <w:r>
        <w:rPr>
          <w:sz w:val="21"/>
        </w:rPr>
        <w:t>指您依据本合同约定已经向本公司交纳的保险费；如发生过基本保险金额变</w:t>
      </w:r>
      <w:r>
        <w:rPr>
          <w:spacing w:val="-2"/>
          <w:sz w:val="21"/>
        </w:rPr>
        <w:t>更情形，则累计已交保险费根据本合同变更后的基本保险金额确定的年交保</w:t>
      </w:r>
      <w:r>
        <w:rPr>
          <w:spacing w:val="-2"/>
          <w:sz w:val="21"/>
        </w:rPr>
        <w:t>险费和经过保单年度数（交费期满后为交费年度数）计算。</w:t>
      </w:r>
    </w:p>
    <w:p>
      <w:pPr>
        <w:pStyle w:val="BodyText"/>
        <w:spacing w:before="11"/>
        <w:rPr>
          <w:sz w:val="10"/>
        </w:rPr>
      </w:pPr>
    </w:p>
    <w:p>
      <w:pPr>
        <w:spacing w:after="0"/>
        <w:rPr>
          <w:sz w:val="10"/>
        </w:rPr>
        <w:sectPr>
          <w:type w:val="continuous"/>
          <w:pgSz w:w="11910" w:h="16840"/>
          <w:pgMar w:header="0" w:footer="406" w:top="600" w:bottom="280" w:left="900" w:right="340"/>
        </w:sectPr>
      </w:pPr>
    </w:p>
    <w:p>
      <w:pPr>
        <w:pStyle w:val="Heading2"/>
        <w:numPr>
          <w:ilvl w:val="1"/>
          <w:numId w:val="107"/>
        </w:numPr>
        <w:tabs>
          <w:tab w:pos="1080" w:val="left" w:leader="none"/>
          <w:tab w:pos="1081" w:val="left" w:leader="none"/>
        </w:tabs>
        <w:spacing w:line="144" w:lineRule="auto" w:before="103" w:after="0"/>
        <w:ind w:left="1080" w:right="38" w:hanging="853"/>
        <w:jc w:val="left"/>
      </w:pPr>
      <w:r>
        <w:rPr>
          <w:spacing w:val="-2"/>
        </w:rPr>
        <w:t>本公司认可的医</w:t>
      </w:r>
      <w:r>
        <w:rPr>
          <w:spacing w:val="-4"/>
        </w:rPr>
        <w:t>疗机构</w:t>
      </w:r>
    </w:p>
    <w:p>
      <w:pPr>
        <w:spacing w:line="201" w:lineRule="auto" w:before="136"/>
        <w:ind w:left="228" w:right="667" w:firstLine="0"/>
        <w:jc w:val="both"/>
        <w:rPr>
          <w:rFonts w:ascii="微软雅黑" w:eastAsia="微软雅黑"/>
          <w:b/>
          <w:sz w:val="21"/>
        </w:rPr>
      </w:pPr>
      <w:r>
        <w:rPr/>
        <w:br w:type="column"/>
      </w:r>
      <w:r>
        <w:rPr>
          <w:spacing w:val="-2"/>
          <w:sz w:val="21"/>
        </w:rPr>
        <w:t>指中华人民共和国境内（港、澳、台地区除外）合法经营的二级以上（含二</w:t>
      </w:r>
      <w:r>
        <w:rPr>
          <w:spacing w:val="-2"/>
          <w:sz w:val="21"/>
        </w:rPr>
        <w:t>级）公立医院或本公司认可的其他医疗机构</w:t>
      </w:r>
      <w:r>
        <w:rPr>
          <w:rFonts w:ascii="微软雅黑" w:eastAsia="微软雅黑"/>
          <w:b/>
          <w:spacing w:val="-2"/>
          <w:sz w:val="21"/>
        </w:rPr>
        <w:t>，不包括疗养院、护理院、康复</w:t>
      </w:r>
      <w:r>
        <w:rPr>
          <w:rFonts w:ascii="微软雅黑" w:eastAsia="微软雅黑"/>
          <w:b/>
          <w:spacing w:val="-2"/>
          <w:sz w:val="21"/>
        </w:rPr>
        <w:t>中心、戒酒或戒毒中心、精神心理治疗中心以及无相应医护人员或设备的二</w:t>
      </w:r>
      <w:r>
        <w:rPr>
          <w:rFonts w:ascii="微软雅黑" w:eastAsia="微软雅黑"/>
          <w:b/>
          <w:spacing w:val="-2"/>
          <w:sz w:val="21"/>
        </w:rPr>
        <w:t>级或三级医院的联合医院或联合病房。</w:t>
      </w:r>
    </w:p>
    <w:p>
      <w:pPr>
        <w:spacing w:after="0" w:line="201" w:lineRule="auto"/>
        <w:jc w:val="both"/>
        <w:rPr>
          <w:rFonts w:ascii="微软雅黑" w:eastAsia="微软雅黑"/>
          <w:sz w:val="21"/>
        </w:rPr>
        <w:sectPr>
          <w:type w:val="continuous"/>
          <w:pgSz w:w="11910" w:h="16840"/>
          <w:pgMar w:header="0" w:footer="406" w:top="600" w:bottom="280" w:left="900" w:right="340"/>
          <w:cols w:num="2" w:equalWidth="0">
            <w:col w:w="2599" w:space="133"/>
            <w:col w:w="7938"/>
          </w:cols>
        </w:sectPr>
      </w:pPr>
    </w:p>
    <w:p>
      <w:pPr>
        <w:pStyle w:val="BodyText"/>
        <w:spacing w:before="15"/>
        <w:rPr>
          <w:rFonts w:ascii="微软雅黑"/>
          <w:b/>
          <w:sz w:val="18"/>
        </w:rPr>
      </w:pPr>
    </w:p>
    <w:p>
      <w:pPr>
        <w:pStyle w:val="ListParagraph"/>
        <w:numPr>
          <w:ilvl w:val="1"/>
          <w:numId w:val="107"/>
        </w:numPr>
        <w:tabs>
          <w:tab w:pos="1080" w:val="left" w:leader="none"/>
          <w:tab w:pos="1081" w:val="left" w:leader="none"/>
          <w:tab w:pos="2960" w:val="left" w:leader="none"/>
        </w:tabs>
        <w:spacing w:line="383" w:lineRule="exact" w:before="5" w:after="0"/>
        <w:ind w:left="1080" w:right="0" w:hanging="854"/>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109"/>
        </w:numPr>
        <w:tabs>
          <w:tab w:pos="3490" w:val="left" w:leader="none"/>
        </w:tabs>
        <w:spacing w:line="265" w:lineRule="exact" w:before="0" w:after="0"/>
        <w:ind w:left="3489" w:right="0" w:hanging="530"/>
        <w:jc w:val="left"/>
        <w:rPr>
          <w:sz w:val="21"/>
        </w:rPr>
      </w:pPr>
      <w:r>
        <w:rPr>
          <w:spacing w:val="-3"/>
          <w:sz w:val="21"/>
        </w:rPr>
        <w:t>具有有效的中华人民共和国《医师资格证书》；</w:t>
      </w:r>
    </w:p>
    <w:p>
      <w:pPr>
        <w:spacing w:after="0" w:line="265" w:lineRule="exact"/>
        <w:jc w:val="left"/>
        <w:rPr>
          <w:sz w:val="21"/>
        </w:rPr>
        <w:sectPr>
          <w:type w:val="continuous"/>
          <w:pgSz w:w="11910" w:h="16840"/>
          <w:pgMar w:header="0" w:footer="406" w:top="600" w:bottom="280" w:left="900" w:right="340"/>
        </w:sectPr>
      </w:pPr>
    </w:p>
    <w:p>
      <w:pPr>
        <w:pStyle w:val="ListParagraph"/>
        <w:numPr>
          <w:ilvl w:val="0"/>
          <w:numId w:val="109"/>
        </w:numPr>
        <w:tabs>
          <w:tab w:pos="3490" w:val="left" w:leader="none"/>
        </w:tabs>
        <w:spacing w:line="278" w:lineRule="auto" w:before="57" w:after="0"/>
        <w:ind w:left="3485" w:right="666" w:hanging="526"/>
        <w:jc w:val="left"/>
        <w:rPr>
          <w:sz w:val="21"/>
        </w:rPr>
      </w:pPr>
      <w:r>
        <w:rPr>
          <w:spacing w:val="-2"/>
          <w:sz w:val="21"/>
        </w:rPr>
        <w:t>具有有效的中华人民共和国《医师执业证书》，并按期到相关部门登记</w:t>
      </w:r>
      <w:r>
        <w:rPr>
          <w:spacing w:val="-4"/>
          <w:sz w:val="21"/>
        </w:rPr>
        <w:t>注册；</w:t>
      </w:r>
    </w:p>
    <w:p>
      <w:pPr>
        <w:pStyle w:val="ListParagraph"/>
        <w:numPr>
          <w:ilvl w:val="0"/>
          <w:numId w:val="109"/>
        </w:numPr>
        <w:tabs>
          <w:tab w:pos="3490" w:val="left" w:leader="none"/>
        </w:tabs>
        <w:spacing w:line="278" w:lineRule="auto" w:before="0" w:after="0"/>
        <w:ind w:left="3485" w:right="666" w:hanging="526"/>
        <w:jc w:val="left"/>
        <w:rPr>
          <w:sz w:val="21"/>
        </w:rPr>
      </w:pPr>
      <w:r>
        <w:rPr>
          <w:spacing w:val="-2"/>
          <w:sz w:val="21"/>
        </w:rPr>
        <w:t>具有有效的中华人民共和国主治医师或主治医师以上职称的《医师职称</w:t>
      </w:r>
      <w:r>
        <w:rPr>
          <w:spacing w:val="-4"/>
          <w:sz w:val="21"/>
        </w:rPr>
        <w:t>证书》；</w:t>
      </w:r>
    </w:p>
    <w:p>
      <w:pPr>
        <w:pStyle w:val="ListParagraph"/>
        <w:numPr>
          <w:ilvl w:val="0"/>
          <w:numId w:val="109"/>
        </w:numPr>
        <w:tabs>
          <w:tab w:pos="3490" w:val="left" w:leader="none"/>
        </w:tabs>
        <w:spacing w:line="278" w:lineRule="auto" w:before="0" w:after="0"/>
        <w:ind w:left="3485" w:right="666" w:hanging="526"/>
        <w:jc w:val="left"/>
        <w:rPr>
          <w:sz w:val="21"/>
        </w:rPr>
      </w:pPr>
      <w:r>
        <w:rPr>
          <w:spacing w:val="-2"/>
          <w:sz w:val="21"/>
        </w:rPr>
        <w:t>在国家《医院分级管理标准》二级或二级以上医院的相应科室从事临床</w:t>
      </w:r>
      <w:r>
        <w:rPr>
          <w:spacing w:val="-2"/>
          <w:sz w:val="21"/>
        </w:rPr>
        <w:t>工作三年以上。</w:t>
      </w:r>
    </w:p>
    <w:p>
      <w:pPr>
        <w:pStyle w:val="ListParagraph"/>
        <w:numPr>
          <w:ilvl w:val="1"/>
          <w:numId w:val="107"/>
        </w:numPr>
        <w:tabs>
          <w:tab w:pos="1080" w:val="left" w:leader="none"/>
          <w:tab w:pos="1081" w:val="left" w:leader="none"/>
          <w:tab w:pos="2960" w:val="left" w:leader="none"/>
        </w:tabs>
        <w:spacing w:line="240" w:lineRule="auto" w:before="160" w:after="0"/>
        <w:ind w:left="1080" w:right="0" w:hanging="854"/>
        <w:jc w:val="left"/>
        <w:rPr>
          <w:sz w:val="21"/>
        </w:rPr>
      </w:pPr>
      <w:r>
        <w:rPr>
          <w:rFonts w:ascii="微软雅黑" w:eastAsia="微软雅黑"/>
          <w:b/>
          <w:sz w:val="21"/>
        </w:rPr>
        <w:t>到达年</w:t>
      </w:r>
      <w:r>
        <w:rPr>
          <w:rFonts w:ascii="微软雅黑" w:eastAsia="微软雅黑"/>
          <w:b/>
          <w:spacing w:val="-10"/>
          <w:sz w:val="21"/>
        </w:rPr>
        <w:t>龄</w:t>
      </w:r>
      <w:r>
        <w:rPr>
          <w:rFonts w:ascii="微软雅黑" w:eastAsia="微软雅黑"/>
          <w:b/>
          <w:sz w:val="21"/>
        </w:rPr>
        <w:tab/>
      </w:r>
      <w:r>
        <w:rPr>
          <w:sz w:val="21"/>
        </w:rPr>
        <w:t>指被保险人原始投保年龄</w:t>
      </w:r>
      <w:r>
        <w:rPr>
          <w:spacing w:val="-53"/>
          <w:sz w:val="21"/>
        </w:rPr>
        <w:t>，</w:t>
      </w:r>
      <w:r>
        <w:rPr>
          <w:sz w:val="21"/>
        </w:rPr>
        <w:t>加上当时保单年度数</w:t>
      </w:r>
      <w:r>
        <w:rPr>
          <w:spacing w:val="-56"/>
          <w:sz w:val="21"/>
        </w:rPr>
        <w:t>，</w:t>
      </w:r>
      <w:r>
        <w:rPr>
          <w:sz w:val="21"/>
        </w:rPr>
        <w:t>再</w:t>
      </w:r>
      <w:r>
        <w:rPr>
          <w:sz w:val="21"/>
        </w:rPr>
        <w:t>减去</w:t>
      </w:r>
      <w:r>
        <w:rPr>
          <w:spacing w:val="-22"/>
          <w:sz w:val="21"/>
        </w:rPr>
        <w:t> </w:t>
      </w:r>
      <w:r>
        <w:rPr>
          <w:sz w:val="21"/>
        </w:rPr>
        <w:t>1</w:t>
      </w:r>
      <w:r>
        <w:rPr>
          <w:spacing w:val="-22"/>
          <w:sz w:val="21"/>
        </w:rPr>
        <w:t> </w:t>
      </w:r>
      <w:r>
        <w:rPr>
          <w:sz w:val="21"/>
        </w:rPr>
        <w:t>后所得到的</w:t>
      </w:r>
      <w:r>
        <w:rPr>
          <w:sz w:val="21"/>
        </w:rPr>
        <w:t>年龄</w:t>
      </w:r>
      <w:r>
        <w:rPr>
          <w:spacing w:val="-10"/>
          <w:sz w:val="21"/>
        </w:rPr>
        <w:t>。</w:t>
      </w:r>
    </w:p>
    <w:p>
      <w:pPr>
        <w:pStyle w:val="BodyText"/>
        <w:spacing w:before="7"/>
        <w:rPr>
          <w:sz w:val="18"/>
        </w:rPr>
      </w:pPr>
    </w:p>
    <w:p>
      <w:pPr>
        <w:pStyle w:val="ListParagraph"/>
        <w:numPr>
          <w:ilvl w:val="1"/>
          <w:numId w:val="107"/>
        </w:numPr>
        <w:tabs>
          <w:tab w:pos="1081" w:val="left" w:leader="none"/>
          <w:tab w:pos="2960" w:val="left" w:leader="none"/>
        </w:tabs>
        <w:spacing w:line="256" w:lineRule="auto" w:before="0" w:after="0"/>
        <w:ind w:left="2960" w:right="767" w:hanging="2733"/>
        <w:jc w:val="both"/>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w:t>
      </w:r>
      <w:r>
        <w:rPr>
          <w:spacing w:val="-2"/>
          <w:sz w:val="21"/>
        </w:rPr>
        <w:t>由</w:t>
      </w:r>
      <w:r>
        <w:rPr>
          <w:spacing w:val="-2"/>
          <w:sz w:val="21"/>
        </w:rPr>
        <w:t>本</w:t>
      </w:r>
      <w:r>
        <w:rPr>
          <w:spacing w:val="-2"/>
          <w:sz w:val="21"/>
        </w:rPr>
        <w:t>公</w:t>
      </w:r>
      <w:r>
        <w:rPr>
          <w:spacing w:val="-2"/>
          <w:sz w:val="21"/>
        </w:rPr>
        <w:t>司退还的那部分金额</w:t>
      </w:r>
      <w:r>
        <w:rPr>
          <w:spacing w:val="-2"/>
          <w:sz w:val="21"/>
        </w:rPr>
        <w:t>。</w:t>
      </w:r>
      <w:r>
        <w:rPr>
          <w:spacing w:val="-2"/>
          <w:sz w:val="21"/>
        </w:rPr>
        <w:t>本</w:t>
      </w:r>
      <w:r>
        <w:rPr>
          <w:spacing w:val="-2"/>
          <w:sz w:val="21"/>
        </w:rPr>
        <w:t>合同各保单年度末的</w:t>
      </w:r>
      <w:r>
        <w:rPr>
          <w:spacing w:val="-2"/>
          <w:sz w:val="21"/>
        </w:rPr>
        <w:t>现</w:t>
      </w:r>
      <w:r>
        <w:rPr>
          <w:spacing w:val="-2"/>
          <w:sz w:val="21"/>
        </w:rPr>
        <w:t>金</w:t>
      </w:r>
      <w:r>
        <w:rPr>
          <w:spacing w:val="-2"/>
          <w:sz w:val="21"/>
        </w:rPr>
        <w:t>价值载明于本合</w:t>
      </w:r>
      <w:r>
        <w:rPr>
          <w:spacing w:val="-2"/>
          <w:sz w:val="21"/>
        </w:rPr>
        <w:t>同</w:t>
      </w:r>
      <w:r>
        <w:rPr>
          <w:spacing w:val="-2"/>
          <w:sz w:val="21"/>
        </w:rPr>
        <w:t>现</w:t>
      </w:r>
      <w:r>
        <w:rPr>
          <w:spacing w:val="-4"/>
          <w:sz w:val="21"/>
        </w:rPr>
        <w:t>金</w:t>
      </w:r>
      <w:r>
        <w:rPr>
          <w:spacing w:val="-4"/>
          <w:sz w:val="21"/>
        </w:rPr>
        <w:t>价</w:t>
      </w:r>
      <w:r>
        <w:rPr>
          <w:spacing w:val="-4"/>
          <w:sz w:val="21"/>
        </w:rPr>
        <w:t>值</w:t>
      </w:r>
      <w:r>
        <w:rPr>
          <w:spacing w:val="-4"/>
          <w:sz w:val="21"/>
        </w:rPr>
        <w:t>表</w:t>
      </w:r>
      <w:r>
        <w:rPr>
          <w:spacing w:val="-4"/>
          <w:sz w:val="21"/>
        </w:rPr>
        <w:t>。</w:t>
      </w:r>
    </w:p>
    <w:p>
      <w:pPr>
        <w:pStyle w:val="BodyText"/>
        <w:spacing w:before="9"/>
        <w:rPr>
          <w:sz w:val="18"/>
        </w:rPr>
      </w:pPr>
    </w:p>
    <w:p>
      <w:pPr>
        <w:pStyle w:val="ListParagraph"/>
        <w:numPr>
          <w:ilvl w:val="1"/>
          <w:numId w:val="107"/>
        </w:numPr>
        <w:tabs>
          <w:tab w:pos="1080" w:val="left" w:leader="none"/>
          <w:tab w:pos="1081" w:val="left" w:leader="none"/>
          <w:tab w:pos="2960" w:val="left" w:leader="none"/>
        </w:tabs>
        <w:spacing w:line="235" w:lineRule="auto" w:before="0" w:after="0"/>
        <w:ind w:left="2960" w:right="766" w:hanging="2733"/>
        <w:jc w:val="left"/>
        <w:rPr>
          <w:sz w:val="21"/>
        </w:rPr>
      </w:pPr>
      <w:r>
        <w:rPr>
          <w:rFonts w:ascii="微软雅黑" w:eastAsia="微软雅黑"/>
          <w:b/>
          <w:spacing w:val="-6"/>
          <w:sz w:val="21"/>
        </w:rPr>
        <w:t>毒</w:t>
      </w:r>
      <w:r>
        <w:rPr>
          <w:rFonts w:ascii="微软雅黑" w:eastAsia="微软雅黑"/>
          <w:b/>
          <w:spacing w:val="-6"/>
          <w:sz w:val="21"/>
        </w:rPr>
        <w:t>品</w:t>
      </w:r>
      <w:r>
        <w:rPr>
          <w:rFonts w:ascii="微软雅黑" w:eastAsia="微软雅黑"/>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胺（冰毒）、吗</w:t>
      </w:r>
      <w:r>
        <w:rPr>
          <w:spacing w:val="-2"/>
          <w:sz w:val="21"/>
        </w:rPr>
        <w:t>啡</w:t>
      </w:r>
      <w:r>
        <w:rPr>
          <w:spacing w:val="-2"/>
          <w:sz w:val="21"/>
        </w:rPr>
        <w:t>、</w:t>
      </w:r>
      <w:r>
        <w:rPr>
          <w:spacing w:val="-2"/>
          <w:sz w:val="21"/>
        </w:rPr>
        <w:t>大</w:t>
      </w:r>
      <w:r>
        <w:rPr>
          <w:spacing w:val="-2"/>
          <w:sz w:val="21"/>
        </w:rPr>
        <w:t>麻</w:t>
      </w:r>
      <w:r>
        <w:rPr>
          <w:spacing w:val="-2"/>
          <w:sz w:val="21"/>
        </w:rPr>
        <w:t>、可卡因以及国家规</w:t>
      </w:r>
      <w:r>
        <w:rPr>
          <w:spacing w:val="-2"/>
          <w:sz w:val="21"/>
        </w:rPr>
        <w:t>定</w:t>
      </w:r>
      <w:r>
        <w:rPr>
          <w:spacing w:val="-2"/>
          <w:sz w:val="21"/>
        </w:rPr>
        <w:t>管</w:t>
      </w:r>
      <w:r>
        <w:rPr>
          <w:spacing w:val="-2"/>
          <w:sz w:val="21"/>
        </w:rPr>
        <w:t>制的其他能够使人形</w:t>
      </w:r>
      <w:r>
        <w:rPr>
          <w:spacing w:val="-2"/>
          <w:sz w:val="21"/>
        </w:rPr>
        <w:t>成</w:t>
      </w:r>
      <w:r>
        <w:rPr>
          <w:spacing w:val="-2"/>
          <w:sz w:val="21"/>
        </w:rPr>
        <w:t>瘾</w:t>
      </w:r>
      <w:r>
        <w:rPr>
          <w:spacing w:val="-2"/>
          <w:sz w:val="21"/>
        </w:rPr>
        <w:t>癖的麻醉药品和</w:t>
      </w:r>
      <w:r>
        <w:rPr>
          <w:spacing w:val="-2"/>
          <w:sz w:val="21"/>
        </w:rPr>
        <w:t>精</w:t>
      </w:r>
      <w:r>
        <w:rPr>
          <w:spacing w:val="-2"/>
          <w:sz w:val="21"/>
        </w:rPr>
        <w:t>神</w:t>
      </w:r>
    </w:p>
    <w:p>
      <w:pPr>
        <w:pStyle w:val="BodyText"/>
        <w:spacing w:line="278" w:lineRule="auto" w:before="43"/>
        <w:ind w:left="2960" w:right="767"/>
      </w:pPr>
      <w:r>
        <w:rPr>
          <w:spacing w:val="-2"/>
        </w:rPr>
        <w:t>药品，但不包括由医生开具并遵医嘱使用的用于治疗疾病但含有毒品成分的</w:t>
      </w:r>
      <w:r>
        <w:rPr>
          <w:spacing w:val="-2"/>
        </w:rPr>
        <w:t>处方药品。</w:t>
      </w:r>
    </w:p>
    <w:p>
      <w:pPr>
        <w:pStyle w:val="ListParagraph"/>
        <w:numPr>
          <w:ilvl w:val="1"/>
          <w:numId w:val="107"/>
        </w:numPr>
        <w:tabs>
          <w:tab w:pos="1081" w:val="left" w:leader="none"/>
          <w:tab w:pos="2960" w:val="left" w:leader="none"/>
        </w:tabs>
        <w:spacing w:line="256" w:lineRule="auto" w:before="161" w:after="0"/>
        <w:ind w:left="2960" w:right="767" w:hanging="2733"/>
        <w:jc w:val="both"/>
        <w:rPr>
          <w:sz w:val="21"/>
        </w:rPr>
      </w:pPr>
      <w:r>
        <w:rPr>
          <w:rFonts w:ascii="微软雅黑" w:eastAsia="微软雅黑"/>
          <w:b/>
          <w:spacing w:val="-4"/>
          <w:sz w:val="21"/>
        </w:rPr>
        <w:t>酒</w:t>
      </w:r>
      <w:r>
        <w:rPr>
          <w:rFonts w:ascii="微软雅黑" w:eastAsia="微软雅黑"/>
          <w:b/>
          <w:spacing w:val="-4"/>
          <w:sz w:val="21"/>
        </w:rPr>
        <w:t>后</w:t>
      </w:r>
      <w:r>
        <w:rPr>
          <w:rFonts w:ascii="微软雅黑" w:eastAsia="微软雅黑"/>
          <w:b/>
          <w:spacing w:val="-4"/>
          <w:sz w:val="21"/>
        </w:rPr>
        <w:t>驾</w:t>
      </w:r>
      <w:r>
        <w:rPr>
          <w:rFonts w:ascii="微软雅黑" w:eastAsia="微软雅黑"/>
          <w:b/>
          <w:spacing w:val="-4"/>
          <w:sz w:val="21"/>
        </w:rPr>
        <w:t>驶</w:t>
      </w:r>
      <w:r>
        <w:rPr>
          <w:rFonts w:ascii="微软雅黑" w:eastAsia="微软雅黑"/>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w:t>
      </w:r>
      <w:r>
        <w:rPr>
          <w:spacing w:val="-2"/>
          <w:sz w:val="21"/>
        </w:rPr>
        <w:t>达</w:t>
      </w:r>
      <w:r>
        <w:rPr>
          <w:spacing w:val="-2"/>
          <w:sz w:val="21"/>
        </w:rPr>
        <w:t>到</w:t>
      </w:r>
      <w:r>
        <w:rPr>
          <w:spacing w:val="-2"/>
          <w:sz w:val="21"/>
        </w:rPr>
        <w:t>或</w:t>
      </w:r>
      <w:r>
        <w:rPr>
          <w:spacing w:val="-2"/>
          <w:sz w:val="21"/>
        </w:rPr>
        <w:t>超</w:t>
      </w:r>
      <w:r>
        <w:rPr>
          <w:spacing w:val="-2"/>
          <w:sz w:val="21"/>
        </w:rPr>
        <w:t>过一定的标准，公安</w:t>
      </w:r>
      <w:r>
        <w:rPr>
          <w:spacing w:val="-2"/>
          <w:sz w:val="21"/>
        </w:rPr>
        <w:t>机</w:t>
      </w:r>
      <w:r>
        <w:rPr>
          <w:spacing w:val="-2"/>
          <w:sz w:val="21"/>
        </w:rPr>
        <w:t>关</w:t>
      </w:r>
      <w:r>
        <w:rPr>
          <w:spacing w:val="-2"/>
          <w:sz w:val="21"/>
        </w:rPr>
        <w:t>交通管理部门依据《</w:t>
      </w:r>
      <w:r>
        <w:rPr>
          <w:spacing w:val="-2"/>
          <w:sz w:val="21"/>
        </w:rPr>
        <w:t>道</w:t>
      </w:r>
      <w:r>
        <w:rPr>
          <w:spacing w:val="-2"/>
          <w:sz w:val="21"/>
        </w:rPr>
        <w:t>路</w:t>
      </w:r>
      <w:r>
        <w:rPr>
          <w:spacing w:val="-2"/>
          <w:sz w:val="21"/>
        </w:rPr>
        <w:t>交通安全法》的</w:t>
      </w:r>
      <w:r>
        <w:rPr>
          <w:spacing w:val="-2"/>
          <w:sz w:val="21"/>
        </w:rPr>
        <w:t>规</w:t>
      </w:r>
      <w:r>
        <w:rPr>
          <w:spacing w:val="-2"/>
          <w:sz w:val="21"/>
        </w:rPr>
        <w:t>定</w:t>
      </w:r>
      <w:r>
        <w:rPr>
          <w:spacing w:val="-2"/>
          <w:sz w:val="21"/>
        </w:rPr>
        <w:t>认</w:t>
      </w:r>
      <w:r>
        <w:rPr>
          <w:spacing w:val="-2"/>
          <w:sz w:val="21"/>
        </w:rPr>
        <w:t>定</w:t>
      </w:r>
      <w:r>
        <w:rPr>
          <w:spacing w:val="-2"/>
          <w:sz w:val="21"/>
        </w:rPr>
        <w:t>为饮酒后驾驶或醉酒</w:t>
      </w:r>
      <w:r>
        <w:rPr>
          <w:spacing w:val="-2"/>
          <w:sz w:val="21"/>
        </w:rPr>
        <w:t>后</w:t>
      </w:r>
      <w:r>
        <w:rPr>
          <w:spacing w:val="-2"/>
          <w:sz w:val="21"/>
        </w:rPr>
        <w:t>驾</w:t>
      </w:r>
      <w:r>
        <w:rPr>
          <w:spacing w:val="-2"/>
          <w:sz w:val="21"/>
        </w:rPr>
        <w:t>驶。</w:t>
      </w:r>
    </w:p>
    <w:p>
      <w:pPr>
        <w:pStyle w:val="BodyText"/>
        <w:spacing w:before="2"/>
        <w:rPr>
          <w:sz w:val="13"/>
        </w:rPr>
      </w:pPr>
    </w:p>
    <w:p>
      <w:pPr>
        <w:spacing w:after="0"/>
        <w:rPr>
          <w:sz w:val="13"/>
        </w:rPr>
        <w:sectPr>
          <w:pgSz w:w="11910" w:h="16840"/>
          <w:pgMar w:header="0" w:footer="406" w:top="1080" w:bottom="600" w:left="900" w:right="340"/>
        </w:sectPr>
      </w:pPr>
    </w:p>
    <w:p>
      <w:pPr>
        <w:pStyle w:val="Heading2"/>
        <w:numPr>
          <w:ilvl w:val="1"/>
          <w:numId w:val="107"/>
        </w:numPr>
        <w:tabs>
          <w:tab w:pos="1080" w:val="left" w:leader="none"/>
          <w:tab w:pos="1081" w:val="left" w:leader="none"/>
        </w:tabs>
        <w:spacing w:line="194" w:lineRule="auto" w:before="58" w:after="0"/>
        <w:ind w:left="1080" w:right="38" w:hanging="853"/>
        <w:jc w:val="left"/>
      </w:pPr>
      <w:r>
        <w:rPr>
          <w:spacing w:val="-2"/>
        </w:rPr>
        <w:t>无合法有效驾驶</w:t>
      </w:r>
      <w:r>
        <w:rPr>
          <w:spacing w:val="-4"/>
        </w:rPr>
        <w:t>证驾驶</w:t>
      </w:r>
    </w:p>
    <w:p>
      <w:pPr>
        <w:pStyle w:val="BodyText"/>
        <w:spacing w:before="72"/>
        <w:ind w:left="228"/>
      </w:pPr>
      <w:r>
        <w:rPr/>
        <w:br w:type="column"/>
      </w:r>
      <w:r>
        <w:rPr>
          <w:spacing w:val="-4"/>
        </w:rPr>
        <w:t>指下列情形之一：</w:t>
      </w:r>
    </w:p>
    <w:p>
      <w:pPr>
        <w:pStyle w:val="ListParagraph"/>
        <w:numPr>
          <w:ilvl w:val="0"/>
          <w:numId w:val="110"/>
        </w:numPr>
        <w:tabs>
          <w:tab w:pos="757" w:val="left" w:leader="none"/>
        </w:tabs>
        <w:spacing w:line="240" w:lineRule="auto" w:before="134" w:after="0"/>
        <w:ind w:left="757" w:right="0" w:hanging="529"/>
        <w:jc w:val="left"/>
        <w:rPr>
          <w:sz w:val="21"/>
        </w:rPr>
      </w:pPr>
      <w:r>
        <w:rPr>
          <w:spacing w:val="-3"/>
          <w:sz w:val="21"/>
        </w:rPr>
        <w:t>没有取得驾驶资格；</w:t>
      </w:r>
    </w:p>
    <w:p>
      <w:pPr>
        <w:pStyle w:val="ListParagraph"/>
        <w:numPr>
          <w:ilvl w:val="0"/>
          <w:numId w:val="110"/>
        </w:numPr>
        <w:tabs>
          <w:tab w:pos="757" w:val="left" w:leader="none"/>
        </w:tabs>
        <w:spacing w:line="240" w:lineRule="auto" w:before="43" w:after="0"/>
        <w:ind w:left="757" w:right="0" w:hanging="529"/>
        <w:jc w:val="left"/>
        <w:rPr>
          <w:sz w:val="21"/>
        </w:rPr>
      </w:pPr>
      <w:r>
        <w:rPr>
          <w:spacing w:val="-3"/>
          <w:sz w:val="21"/>
        </w:rPr>
        <w:t>驾驶与驾驶证准驾车型不相符合的车辆；</w:t>
      </w:r>
    </w:p>
    <w:p>
      <w:pPr>
        <w:pStyle w:val="ListParagraph"/>
        <w:numPr>
          <w:ilvl w:val="0"/>
          <w:numId w:val="110"/>
        </w:numPr>
        <w:tabs>
          <w:tab w:pos="757" w:val="left" w:leader="none"/>
        </w:tabs>
        <w:spacing w:line="240" w:lineRule="auto" w:before="43" w:after="0"/>
        <w:ind w:left="757" w:right="0" w:hanging="529"/>
        <w:jc w:val="left"/>
        <w:rPr>
          <w:sz w:val="21"/>
        </w:rPr>
      </w:pPr>
      <w:r>
        <w:rPr>
          <w:spacing w:val="-3"/>
          <w:sz w:val="21"/>
        </w:rPr>
        <w:t>持审验不合格的驾驶证驾驶；</w:t>
      </w:r>
    </w:p>
    <w:p>
      <w:pPr>
        <w:pStyle w:val="ListParagraph"/>
        <w:numPr>
          <w:ilvl w:val="0"/>
          <w:numId w:val="110"/>
        </w:numPr>
        <w:tabs>
          <w:tab w:pos="757" w:val="left" w:leader="none"/>
        </w:tabs>
        <w:spacing w:line="278" w:lineRule="auto" w:before="43" w:after="0"/>
        <w:ind w:left="753" w:right="668" w:hanging="526"/>
        <w:jc w:val="left"/>
        <w:rPr>
          <w:sz w:val="21"/>
        </w:rPr>
      </w:pPr>
      <w:r>
        <w:rPr>
          <w:spacing w:val="-2"/>
          <w:sz w:val="21"/>
        </w:rPr>
        <w:t>持学习驾驶证学习驾车时，无教练员随车指导，或不按指定时间、路线</w:t>
      </w:r>
      <w:r>
        <w:rPr>
          <w:spacing w:val="-2"/>
          <w:sz w:val="21"/>
        </w:rPr>
        <w:t>学习驾车。</w:t>
      </w:r>
    </w:p>
    <w:p>
      <w:pPr>
        <w:spacing w:after="0" w:line="278" w:lineRule="auto"/>
        <w:jc w:val="left"/>
        <w:rPr>
          <w:sz w:val="21"/>
        </w:rPr>
        <w:sectPr>
          <w:type w:val="continuous"/>
          <w:pgSz w:w="11910" w:h="16840"/>
          <w:pgMar w:header="0" w:footer="406" w:top="600" w:bottom="280" w:left="900" w:right="340"/>
          <w:cols w:num="2" w:equalWidth="0">
            <w:col w:w="2599" w:space="133"/>
            <w:col w:w="7938"/>
          </w:cols>
        </w:sectPr>
      </w:pPr>
    </w:p>
    <w:p>
      <w:pPr>
        <w:pStyle w:val="BodyText"/>
        <w:spacing w:before="3"/>
        <w:rPr>
          <w:sz w:val="12"/>
        </w:rPr>
      </w:pPr>
    </w:p>
    <w:p>
      <w:pPr>
        <w:spacing w:after="0"/>
        <w:rPr>
          <w:sz w:val="12"/>
        </w:rPr>
        <w:sectPr>
          <w:type w:val="continuous"/>
          <w:pgSz w:w="11910" w:h="16840"/>
          <w:pgMar w:header="0" w:footer="406" w:top="600" w:bottom="280" w:left="900" w:right="340"/>
        </w:sectPr>
      </w:pPr>
    </w:p>
    <w:p>
      <w:pPr>
        <w:pStyle w:val="Heading2"/>
        <w:numPr>
          <w:ilvl w:val="1"/>
          <w:numId w:val="107"/>
        </w:numPr>
        <w:tabs>
          <w:tab w:pos="1080" w:val="left" w:leader="none"/>
          <w:tab w:pos="1081" w:val="left" w:leader="none"/>
        </w:tabs>
        <w:spacing w:line="350" w:lineRule="exact" w:before="4" w:after="0"/>
        <w:ind w:left="1080" w:right="0" w:hanging="854"/>
        <w:jc w:val="left"/>
      </w:pPr>
      <w:r>
        <w:rPr>
          <w:spacing w:val="-2"/>
        </w:rPr>
        <w:t>无合法有效行驶</w:t>
      </w:r>
    </w:p>
    <w:p>
      <w:pPr>
        <w:spacing w:line="350" w:lineRule="exact" w:before="0"/>
        <w:ind w:left="1080" w:right="0" w:firstLine="0"/>
        <w:jc w:val="left"/>
        <w:rPr>
          <w:rFonts w:ascii="微软雅黑" w:eastAsia="微软雅黑"/>
          <w:b/>
          <w:sz w:val="21"/>
        </w:rPr>
      </w:pPr>
      <w:r>
        <w:rPr>
          <w:rFonts w:ascii="微软雅黑" w:eastAsia="微软雅黑"/>
          <w:b/>
          <w:w w:val="100"/>
          <w:sz w:val="21"/>
        </w:rPr>
        <w:t>证</w:t>
      </w:r>
    </w:p>
    <w:p>
      <w:pPr>
        <w:pStyle w:val="BodyText"/>
        <w:spacing w:before="72"/>
        <w:ind w:left="228"/>
      </w:pPr>
      <w:r>
        <w:rPr/>
        <w:br w:type="column"/>
      </w:r>
      <w:r>
        <w:rPr>
          <w:spacing w:val="-4"/>
        </w:rPr>
        <w:t>指下列情形之一：</w:t>
      </w:r>
    </w:p>
    <w:p>
      <w:pPr>
        <w:pStyle w:val="ListParagraph"/>
        <w:numPr>
          <w:ilvl w:val="0"/>
          <w:numId w:val="111"/>
        </w:numPr>
        <w:tabs>
          <w:tab w:pos="757" w:val="left" w:leader="none"/>
        </w:tabs>
        <w:spacing w:line="240" w:lineRule="auto" w:before="136" w:after="0"/>
        <w:ind w:left="757" w:right="0" w:hanging="529"/>
        <w:jc w:val="left"/>
        <w:rPr>
          <w:sz w:val="21"/>
        </w:rPr>
      </w:pPr>
      <w:r>
        <w:rPr>
          <w:spacing w:val="-3"/>
          <w:sz w:val="21"/>
        </w:rPr>
        <w:t>机动车被依法注销登记的；</w:t>
      </w:r>
    </w:p>
    <w:p>
      <w:pPr>
        <w:pStyle w:val="ListParagraph"/>
        <w:numPr>
          <w:ilvl w:val="0"/>
          <w:numId w:val="111"/>
        </w:numPr>
        <w:tabs>
          <w:tab w:pos="757" w:val="left" w:leader="none"/>
        </w:tabs>
        <w:spacing w:line="240" w:lineRule="auto" w:before="43" w:after="0"/>
        <w:ind w:left="757" w:right="0" w:hanging="529"/>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header="0" w:footer="406" w:top="600" w:bottom="280" w:left="900" w:right="340"/>
          <w:cols w:num="2" w:equalWidth="0">
            <w:col w:w="2599" w:space="133"/>
            <w:col w:w="7938"/>
          </w:cols>
        </w:sectPr>
      </w:pPr>
    </w:p>
    <w:p>
      <w:pPr>
        <w:pStyle w:val="BodyText"/>
        <w:spacing w:before="5"/>
        <w:rPr>
          <w:sz w:val="15"/>
        </w:rPr>
      </w:pPr>
    </w:p>
    <w:p>
      <w:pPr>
        <w:spacing w:after="0"/>
        <w:rPr>
          <w:sz w:val="15"/>
        </w:rPr>
        <w:sectPr>
          <w:type w:val="continuous"/>
          <w:pgSz w:w="11910" w:h="16840"/>
          <w:pgMar w:header="0" w:footer="406" w:top="600" w:bottom="280" w:left="900" w:right="340"/>
        </w:sectPr>
      </w:pPr>
    </w:p>
    <w:p>
      <w:pPr>
        <w:pStyle w:val="Heading2"/>
        <w:numPr>
          <w:ilvl w:val="1"/>
          <w:numId w:val="107"/>
        </w:numPr>
        <w:tabs>
          <w:tab w:pos="1080" w:val="left" w:leader="none"/>
          <w:tab w:pos="1081" w:val="left" w:leader="none"/>
        </w:tabs>
        <w:spacing w:line="350" w:lineRule="exact" w:before="4" w:after="0"/>
        <w:ind w:left="1080" w:right="0" w:hanging="854"/>
        <w:jc w:val="left"/>
      </w:pPr>
      <w:r>
        <w:rPr>
          <w:spacing w:val="-2"/>
        </w:rPr>
        <w:t>感染艾滋病病毒</w:t>
      </w:r>
    </w:p>
    <w:p>
      <w:pPr>
        <w:spacing w:line="350" w:lineRule="exact" w:before="0"/>
        <w:ind w:left="1080" w:right="0" w:firstLine="0"/>
        <w:jc w:val="left"/>
        <w:rPr>
          <w:rFonts w:ascii="微软雅黑" w:eastAsia="微软雅黑"/>
          <w:b/>
          <w:sz w:val="21"/>
        </w:rPr>
      </w:pPr>
      <w:r>
        <w:rPr>
          <w:rFonts w:ascii="微软雅黑" w:eastAsia="微软雅黑"/>
          <w:b/>
          <w:spacing w:val="-2"/>
          <w:sz w:val="21"/>
        </w:rPr>
        <w:t>或患艾滋病</w:t>
      </w:r>
    </w:p>
    <w:p>
      <w:pPr>
        <w:pStyle w:val="BodyText"/>
        <w:spacing w:line="278" w:lineRule="auto" w:before="71"/>
        <w:ind w:left="228" w:right="666"/>
      </w:pPr>
      <w:r>
        <w:rPr/>
        <w:br w:type="column"/>
      </w:r>
      <w:r>
        <w:rPr>
          <w:spacing w:val="-5"/>
        </w:rPr>
        <w:t>艾滋病病毒指人类免疫缺陷病毒，英文缩写为 </w:t>
      </w:r>
      <w:r>
        <w:rPr>
          <w:spacing w:val="-2"/>
        </w:rPr>
        <w:t>HIV。艾滋病指人类免疫缺陷病</w:t>
      </w:r>
      <w:r>
        <w:rPr>
          <w:spacing w:val="-2"/>
        </w:rPr>
        <w:t>毒引起的获得性免疫缺陷综合征，英文缩写为 </w:t>
      </w:r>
      <w:r>
        <w:rPr/>
        <w:t>AIDS。</w:t>
      </w:r>
    </w:p>
    <w:p>
      <w:pPr>
        <w:pStyle w:val="BodyText"/>
        <w:spacing w:line="278" w:lineRule="auto"/>
        <w:ind w:left="228" w:right="562"/>
      </w:pPr>
      <w:r>
        <w:rPr>
          <w:w w:val="100"/>
        </w:rPr>
        <w:t>在人体血液或其他样本中检测到艾滋病病毒或其抗体呈阳性，没有出现临床</w:t>
      </w:r>
      <w:r>
        <w:rPr>
          <w:spacing w:val="-3"/>
          <w:w w:val="100"/>
        </w:rPr>
        <w:t>症状或体征的，为感染艾滋病病毒；如果同时出现了明显临床症状或体征的，为患艾滋病。</w:t>
      </w:r>
    </w:p>
    <w:p>
      <w:pPr>
        <w:spacing w:after="0" w:line="278" w:lineRule="auto"/>
        <w:sectPr>
          <w:type w:val="continuous"/>
          <w:pgSz w:w="11910" w:h="16840"/>
          <w:pgMar w:header="0" w:footer="406" w:top="600" w:bottom="280" w:left="900" w:right="340"/>
          <w:cols w:num="2" w:equalWidth="0">
            <w:col w:w="2599" w:space="133"/>
            <w:col w:w="7938"/>
          </w:cols>
        </w:sectPr>
      </w:pPr>
    </w:p>
    <w:p>
      <w:pPr>
        <w:pStyle w:val="BodyText"/>
        <w:spacing w:before="3"/>
        <w:rPr>
          <w:sz w:val="12"/>
        </w:rPr>
      </w:pPr>
    </w:p>
    <w:p>
      <w:pPr>
        <w:pStyle w:val="ListParagraph"/>
        <w:numPr>
          <w:ilvl w:val="1"/>
          <w:numId w:val="107"/>
        </w:numPr>
        <w:tabs>
          <w:tab w:pos="1080" w:val="left" w:leader="none"/>
          <w:tab w:pos="1081" w:val="left" w:leader="none"/>
          <w:tab w:pos="2960" w:val="left" w:leader="none"/>
        </w:tabs>
        <w:spacing w:line="235" w:lineRule="auto" w:before="10" w:after="0"/>
        <w:ind w:left="2960" w:right="667" w:hanging="2733"/>
        <w:jc w:val="left"/>
        <w:rPr>
          <w:sz w:val="21"/>
        </w:rPr>
      </w:pPr>
      <w:r>
        <w:rPr>
          <w:rFonts w:ascii="微软雅黑" w:eastAsia="微软雅黑"/>
          <w:b/>
          <w:spacing w:val="-2"/>
          <w:sz w:val="21"/>
        </w:rPr>
        <w:t>遗</w:t>
      </w:r>
      <w:r>
        <w:rPr>
          <w:rFonts w:ascii="微软雅黑" w:eastAsia="微软雅黑"/>
          <w:b/>
          <w:spacing w:val="-2"/>
          <w:sz w:val="21"/>
        </w:rPr>
        <w:t>传</w:t>
      </w:r>
      <w:r>
        <w:rPr>
          <w:rFonts w:ascii="微软雅黑" w:eastAsia="微软雅黑"/>
          <w:b/>
          <w:spacing w:val="-2"/>
          <w:sz w:val="21"/>
        </w:rPr>
        <w:t>性</w:t>
      </w:r>
      <w:r>
        <w:rPr>
          <w:rFonts w:ascii="微软雅黑" w:eastAsia="微软雅黑"/>
          <w:b/>
          <w:spacing w:val="-2"/>
          <w:sz w:val="21"/>
        </w:rPr>
        <w:t>疾</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卵的遗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w:t>
      </w:r>
      <w:r>
        <w:rPr>
          <w:spacing w:val="-2"/>
          <w:sz w:val="21"/>
        </w:rPr>
        <w:t>基因）</w:t>
      </w:r>
      <w:r>
        <w:rPr>
          <w:spacing w:val="-2"/>
          <w:sz w:val="21"/>
        </w:rPr>
        <w:t>发</w:t>
      </w:r>
      <w:r>
        <w:rPr>
          <w:spacing w:val="-2"/>
          <w:sz w:val="21"/>
        </w:rPr>
        <w:t>生</w:t>
      </w:r>
      <w:r>
        <w:rPr>
          <w:spacing w:val="-2"/>
          <w:sz w:val="21"/>
        </w:rPr>
        <w:t>突</w:t>
      </w:r>
      <w:r>
        <w:rPr>
          <w:spacing w:val="-2"/>
          <w:sz w:val="21"/>
        </w:rPr>
        <w:t>变</w:t>
      </w:r>
      <w:r>
        <w:rPr>
          <w:spacing w:val="-2"/>
          <w:sz w:val="21"/>
        </w:rPr>
        <w:t>或</w:t>
      </w:r>
      <w:r>
        <w:rPr>
          <w:spacing w:val="-2"/>
          <w:sz w:val="21"/>
        </w:rPr>
        <w:t>畸</w:t>
      </w:r>
      <w:r>
        <w:rPr>
          <w:spacing w:val="-2"/>
          <w:sz w:val="21"/>
        </w:rPr>
        <w:t>变</w:t>
      </w:r>
      <w:r>
        <w:rPr>
          <w:spacing w:val="-2"/>
          <w:sz w:val="21"/>
        </w:rPr>
        <w:t>所</w:t>
      </w:r>
      <w:r>
        <w:rPr>
          <w:spacing w:val="-2"/>
          <w:sz w:val="21"/>
        </w:rPr>
        <w:t>引</w:t>
      </w:r>
      <w:r>
        <w:rPr>
          <w:spacing w:val="-2"/>
          <w:sz w:val="21"/>
        </w:rPr>
        <w:t>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4"/>
        <w:rPr>
          <w:sz w:val="15"/>
        </w:rPr>
      </w:pPr>
    </w:p>
    <w:p>
      <w:pPr>
        <w:spacing w:after="0"/>
        <w:rPr>
          <w:sz w:val="15"/>
        </w:rPr>
        <w:sectPr>
          <w:type w:val="continuous"/>
          <w:pgSz w:w="11910" w:h="16840"/>
          <w:pgMar w:header="0" w:footer="406" w:top="600" w:bottom="280" w:left="900" w:right="340"/>
        </w:sectPr>
      </w:pPr>
    </w:p>
    <w:p>
      <w:pPr>
        <w:pStyle w:val="Heading2"/>
        <w:numPr>
          <w:ilvl w:val="1"/>
          <w:numId w:val="107"/>
        </w:numPr>
        <w:tabs>
          <w:tab w:pos="1080" w:val="left" w:leader="none"/>
          <w:tab w:pos="1081" w:val="left" w:leader="none"/>
        </w:tabs>
        <w:spacing w:line="350" w:lineRule="exact" w:before="5" w:after="0"/>
        <w:ind w:left="1080" w:right="0" w:hanging="854"/>
        <w:jc w:val="left"/>
      </w:pPr>
      <w:r>
        <w:rPr>
          <w:spacing w:val="-5"/>
        </w:rPr>
        <w:t>先天性畸形、变形</w:t>
      </w:r>
    </w:p>
    <w:p>
      <w:pPr>
        <w:spacing w:line="350" w:lineRule="exact" w:before="0"/>
        <w:ind w:left="1080" w:right="0" w:firstLine="0"/>
        <w:jc w:val="left"/>
        <w:rPr>
          <w:rFonts w:ascii="微软雅黑" w:eastAsia="微软雅黑"/>
          <w:b/>
          <w:sz w:val="21"/>
        </w:rPr>
      </w:pPr>
      <w:r>
        <w:rPr>
          <w:rFonts w:ascii="微软雅黑" w:eastAsia="微软雅黑"/>
          <w:b/>
          <w:spacing w:val="-2"/>
          <w:sz w:val="21"/>
        </w:rPr>
        <w:t>或染色体异常</w:t>
      </w:r>
    </w:p>
    <w:p>
      <w:pPr>
        <w:pStyle w:val="BodyText"/>
        <w:spacing w:line="278" w:lineRule="auto" w:before="72"/>
        <w:ind w:left="174" w:right="667"/>
        <w:jc w:val="both"/>
      </w:pPr>
      <w:r>
        <w:rPr/>
        <w:br w:type="column"/>
      </w:r>
      <w:r>
        <w:rPr>
          <w:spacing w:val="-2"/>
        </w:rPr>
        <w:t>指被保险人出生时就具有的畸形、变形或染色体异常。先天性畸形、变形和</w:t>
      </w:r>
      <w:r>
        <w:rPr>
          <w:spacing w:val="-2"/>
        </w:rPr>
        <w:t>染色体异常依照世界卫生组织《疾病和有关健康问题的国际统计分类》第十</w:t>
      </w:r>
      <w:r>
        <w:rPr>
          <w:spacing w:val="-2"/>
        </w:rPr>
        <w:t>次修订版（ICD-10）确定。</w:t>
      </w:r>
    </w:p>
    <w:p>
      <w:pPr>
        <w:spacing w:after="0" w:line="278" w:lineRule="auto"/>
        <w:jc w:val="both"/>
        <w:sectPr>
          <w:type w:val="continuous"/>
          <w:pgSz w:w="11910" w:h="16840"/>
          <w:pgMar w:header="0" w:footer="406" w:top="600" w:bottom="280" w:left="900" w:right="340"/>
          <w:cols w:num="2" w:equalWidth="0">
            <w:col w:w="2747" w:space="40"/>
            <w:col w:w="7883"/>
          </w:cols>
        </w:sectPr>
      </w:pPr>
    </w:p>
    <w:p>
      <w:pPr>
        <w:pStyle w:val="BodyText"/>
        <w:spacing w:before="2"/>
        <w:rPr>
          <w:sz w:val="12"/>
        </w:rPr>
      </w:pPr>
    </w:p>
    <w:p>
      <w:pPr>
        <w:pStyle w:val="ListParagraph"/>
        <w:numPr>
          <w:ilvl w:val="1"/>
          <w:numId w:val="107"/>
        </w:numPr>
        <w:tabs>
          <w:tab w:pos="1080" w:val="left" w:leader="none"/>
          <w:tab w:pos="1081" w:val="left" w:leader="none"/>
          <w:tab w:pos="2960" w:val="left" w:leader="none"/>
        </w:tabs>
        <w:spacing w:line="235" w:lineRule="auto" w:before="10" w:after="0"/>
        <w:ind w:left="2960" w:right="667" w:hanging="2733"/>
        <w:jc w:val="left"/>
        <w:rPr>
          <w:sz w:val="21"/>
        </w:rPr>
      </w:pP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利</w:t>
      </w:r>
      <w:r>
        <w:rPr>
          <w:rFonts w:ascii="微软雅黑" w:eastAsia="微软雅黑"/>
          <w:b/>
          <w:spacing w:val="-2"/>
          <w:sz w:val="21"/>
        </w:rPr>
        <w:t>率</w:t>
      </w:r>
      <w:r>
        <w:rPr>
          <w:rFonts w:ascii="微软雅黑" w:eastAsia="微软雅黑"/>
          <w:b/>
          <w:sz w:val="21"/>
        </w:rPr>
        <w:tab/>
      </w:r>
      <w:r>
        <w:rPr>
          <w:spacing w:val="-2"/>
          <w:sz w:val="21"/>
        </w:rPr>
        <w:t>由</w:t>
      </w:r>
      <w:r>
        <w:rPr>
          <w:spacing w:val="-2"/>
          <w:sz w:val="21"/>
        </w:rPr>
        <w:t>我</w:t>
      </w:r>
      <w:r>
        <w:rPr>
          <w:spacing w:val="-2"/>
          <w:sz w:val="21"/>
        </w:rPr>
        <w:t>们</w:t>
      </w:r>
      <w:r>
        <w:rPr>
          <w:spacing w:val="-2"/>
          <w:sz w:val="21"/>
        </w:rPr>
        <w:t>参</w:t>
      </w:r>
      <w:r>
        <w:rPr>
          <w:spacing w:val="-2"/>
          <w:sz w:val="21"/>
        </w:rPr>
        <w:t>照</w:t>
      </w:r>
      <w:r>
        <w:rPr>
          <w:spacing w:val="-2"/>
          <w:sz w:val="21"/>
        </w:rPr>
        <w:t>同</w:t>
      </w:r>
      <w:r>
        <w:rPr>
          <w:spacing w:val="-2"/>
          <w:sz w:val="21"/>
        </w:rPr>
        <w:t>期</w:t>
      </w:r>
      <w:r>
        <w:rPr>
          <w:spacing w:val="-2"/>
          <w:sz w:val="21"/>
        </w:rPr>
        <w:t>全</w:t>
      </w:r>
      <w:r>
        <w:rPr>
          <w:spacing w:val="-2"/>
          <w:sz w:val="21"/>
        </w:rPr>
        <w:t>国银行</w:t>
      </w:r>
      <w:r>
        <w:rPr>
          <w:spacing w:val="-2"/>
          <w:sz w:val="21"/>
        </w:rPr>
        <w:t>间</w:t>
      </w:r>
      <w:r>
        <w:rPr>
          <w:spacing w:val="-2"/>
          <w:sz w:val="21"/>
        </w:rPr>
        <w:t>同</w:t>
      </w:r>
      <w:r>
        <w:rPr>
          <w:spacing w:val="-2"/>
          <w:sz w:val="21"/>
        </w:rPr>
        <w:t>业</w:t>
      </w:r>
      <w:r>
        <w:rPr>
          <w:spacing w:val="-2"/>
          <w:sz w:val="21"/>
        </w:rPr>
        <w:t>拆</w:t>
      </w:r>
      <w:r>
        <w:rPr>
          <w:spacing w:val="-2"/>
          <w:sz w:val="21"/>
        </w:rPr>
        <w:t>借</w:t>
      </w:r>
      <w:r>
        <w:rPr>
          <w:spacing w:val="-2"/>
          <w:sz w:val="21"/>
        </w:rPr>
        <w:t>中</w:t>
      </w:r>
      <w:r>
        <w:rPr>
          <w:spacing w:val="-2"/>
          <w:sz w:val="21"/>
        </w:rPr>
        <w:t>心</w:t>
      </w:r>
      <w:r>
        <w:rPr>
          <w:spacing w:val="-2"/>
          <w:sz w:val="21"/>
        </w:rPr>
        <w:t>公</w:t>
      </w:r>
      <w:r>
        <w:rPr>
          <w:spacing w:val="-2"/>
          <w:sz w:val="21"/>
        </w:rPr>
        <w:t>布的贷</w:t>
      </w:r>
      <w:r>
        <w:rPr>
          <w:spacing w:val="-2"/>
          <w:sz w:val="21"/>
        </w:rPr>
        <w:t>款</w:t>
      </w:r>
      <w:r>
        <w:rPr>
          <w:spacing w:val="-2"/>
          <w:sz w:val="21"/>
        </w:rPr>
        <w:t>市</w:t>
      </w:r>
      <w:r>
        <w:rPr>
          <w:spacing w:val="-2"/>
          <w:sz w:val="21"/>
        </w:rPr>
        <w:t>场</w:t>
      </w:r>
      <w:r>
        <w:rPr>
          <w:spacing w:val="-2"/>
          <w:sz w:val="21"/>
        </w:rPr>
        <w:t>报</w:t>
      </w:r>
      <w:r>
        <w:rPr>
          <w:spacing w:val="-2"/>
          <w:sz w:val="21"/>
        </w:rPr>
        <w:t>价</w:t>
      </w:r>
      <w:r>
        <w:rPr>
          <w:spacing w:val="-2"/>
          <w:sz w:val="21"/>
        </w:rPr>
        <w:t>利</w:t>
      </w:r>
      <w:r>
        <w:rPr>
          <w:spacing w:val="-2"/>
          <w:sz w:val="21"/>
        </w:rPr>
        <w:t>率</w:t>
      </w:r>
      <w:r>
        <w:rPr>
          <w:spacing w:val="-2"/>
          <w:sz w:val="21"/>
        </w:rPr>
        <w:t>确</w:t>
      </w:r>
      <w:r>
        <w:rPr>
          <w:spacing w:val="-2"/>
          <w:sz w:val="21"/>
        </w:rPr>
        <w:t>定</w:t>
      </w:r>
      <w:r>
        <w:rPr>
          <w:spacing w:val="-2"/>
          <w:sz w:val="21"/>
        </w:rPr>
        <w:t>并</w:t>
      </w:r>
      <w:r>
        <w:rPr>
          <w:spacing w:val="-2"/>
          <w:sz w:val="21"/>
        </w:rPr>
        <w:t>宣</w:t>
      </w:r>
      <w:r>
        <w:rPr>
          <w:spacing w:val="-2"/>
          <w:sz w:val="21"/>
        </w:rPr>
        <w:t>布</w:t>
      </w:r>
      <w:r>
        <w:rPr>
          <w:spacing w:val="-2"/>
          <w:sz w:val="21"/>
        </w:rPr>
        <w:t>，宣布时间为每年的一</w:t>
      </w:r>
      <w:r>
        <w:rPr>
          <w:spacing w:val="-2"/>
          <w:sz w:val="21"/>
        </w:rPr>
        <w:t>月</w:t>
      </w:r>
      <w:r>
        <w:rPr>
          <w:spacing w:val="-2"/>
          <w:sz w:val="21"/>
        </w:rPr>
        <w:t>一</w:t>
      </w:r>
      <w:r>
        <w:rPr>
          <w:spacing w:val="-2"/>
          <w:sz w:val="21"/>
        </w:rPr>
        <w:t>日和七月一</w:t>
      </w:r>
      <w:r>
        <w:rPr>
          <w:spacing w:val="-2"/>
          <w:sz w:val="21"/>
        </w:rPr>
        <w:t>日</w:t>
      </w:r>
      <w:r>
        <w:rPr>
          <w:spacing w:val="-2"/>
          <w:sz w:val="21"/>
        </w:rPr>
        <w:t>。</w:t>
      </w:r>
    </w:p>
    <w:p>
      <w:pPr>
        <w:spacing w:after="0" w:line="235" w:lineRule="auto"/>
        <w:jc w:val="left"/>
        <w:rPr>
          <w:sz w:val="21"/>
        </w:rPr>
        <w:sectPr>
          <w:type w:val="continuous"/>
          <w:pgSz w:w="11910" w:h="16840"/>
          <w:pgMar w:header="0" w:footer="406" w:top="600" w:bottom="280" w:left="900" w:right="340"/>
        </w:sectPr>
      </w:pPr>
    </w:p>
    <w:p>
      <w:pPr>
        <w:pStyle w:val="ListParagraph"/>
        <w:numPr>
          <w:ilvl w:val="1"/>
          <w:numId w:val="107"/>
        </w:numPr>
        <w:tabs>
          <w:tab w:pos="1080" w:val="left" w:leader="none"/>
          <w:tab w:pos="1081" w:val="left" w:leader="none"/>
          <w:tab w:pos="2960" w:val="left" w:leader="none"/>
        </w:tabs>
        <w:spacing w:line="312" w:lineRule="exact" w:before="5" w:after="0"/>
        <w:ind w:left="2960" w:right="767" w:hanging="2733"/>
        <w:jc w:val="left"/>
        <w:rPr>
          <w:sz w:val="21"/>
        </w:rPr>
      </w:pPr>
      <w:r>
        <w:rPr>
          <w:rFonts w:ascii="微软雅黑" w:eastAsia="微软雅黑"/>
          <w:b/>
          <w:spacing w:val="-2"/>
          <w:sz w:val="21"/>
        </w:rPr>
        <w:t>组</w:t>
      </w:r>
      <w:r>
        <w:rPr>
          <w:rFonts w:ascii="微软雅黑" w:eastAsia="微软雅黑"/>
          <w:b/>
          <w:spacing w:val="-2"/>
          <w:sz w:val="21"/>
        </w:rPr>
        <w:t>织</w:t>
      </w:r>
      <w:r>
        <w:rPr>
          <w:rFonts w:ascii="微软雅黑" w:eastAsia="微软雅黑"/>
          <w:b/>
          <w:spacing w:val="-2"/>
          <w:sz w:val="21"/>
        </w:rPr>
        <w:t>病</w:t>
      </w:r>
      <w:r>
        <w:rPr>
          <w:rFonts w:ascii="微软雅黑" w:eastAsia="微软雅黑"/>
          <w:b/>
          <w:spacing w:val="-2"/>
          <w:sz w:val="21"/>
        </w:rPr>
        <w:t>理</w:t>
      </w:r>
      <w:r>
        <w:rPr>
          <w:rFonts w:ascii="微软雅黑" w:eastAsia="微软雅黑"/>
          <w:b/>
          <w:spacing w:val="-2"/>
          <w:sz w:val="21"/>
        </w:rPr>
        <w:t>学</w:t>
      </w:r>
      <w:r>
        <w:rPr>
          <w:rFonts w:ascii="微软雅黑" w:eastAsia="微软雅黑"/>
          <w:b/>
          <w:spacing w:val="-2"/>
          <w:sz w:val="21"/>
        </w:rPr>
        <w:t>检</w:t>
      </w:r>
      <w:r>
        <w:rPr>
          <w:rFonts w:ascii="微软雅黑" w:eastAsia="微软雅黑"/>
          <w:b/>
          <w:spacing w:val="-2"/>
          <w:sz w:val="21"/>
        </w:rPr>
        <w:t>查</w:t>
      </w:r>
      <w:r>
        <w:rPr>
          <w:rFonts w:ascii="微软雅黑" w:eastAsia="微软雅黑"/>
          <w:b/>
          <w:sz w:val="21"/>
        </w:rPr>
        <w:tab/>
      </w:r>
      <w:r>
        <w:rPr>
          <w:spacing w:val="-2"/>
          <w:sz w:val="21"/>
        </w:rPr>
        <w:t>组</w:t>
      </w:r>
      <w:r>
        <w:rPr>
          <w:spacing w:val="-2"/>
          <w:sz w:val="21"/>
        </w:rPr>
        <w:t>织</w:t>
      </w:r>
      <w:r>
        <w:rPr>
          <w:spacing w:val="-2"/>
          <w:sz w:val="21"/>
        </w:rPr>
        <w:t>病理学检查是通过局</w:t>
      </w:r>
      <w:r>
        <w:rPr>
          <w:spacing w:val="-2"/>
          <w:sz w:val="21"/>
        </w:rPr>
        <w:t>部</w:t>
      </w:r>
      <w:r>
        <w:rPr>
          <w:spacing w:val="-2"/>
          <w:sz w:val="21"/>
        </w:rPr>
        <w:t>切</w:t>
      </w:r>
      <w:r>
        <w:rPr>
          <w:spacing w:val="-2"/>
          <w:sz w:val="21"/>
        </w:rPr>
        <w:t>除、钳取、穿刺等手</w:t>
      </w:r>
      <w:r>
        <w:rPr>
          <w:spacing w:val="-2"/>
          <w:sz w:val="21"/>
        </w:rPr>
        <w:t>术</w:t>
      </w:r>
      <w:r>
        <w:rPr>
          <w:spacing w:val="-2"/>
          <w:sz w:val="21"/>
        </w:rPr>
        <w:t>方</w:t>
      </w:r>
      <w:r>
        <w:rPr>
          <w:spacing w:val="-2"/>
          <w:sz w:val="21"/>
        </w:rPr>
        <w:t>法，从患者机体</w:t>
      </w:r>
      <w:r>
        <w:rPr>
          <w:spacing w:val="-2"/>
          <w:sz w:val="21"/>
        </w:rPr>
        <w:t>采</w:t>
      </w:r>
      <w:r>
        <w:rPr>
          <w:spacing w:val="-2"/>
          <w:sz w:val="21"/>
        </w:rPr>
        <w:t>取</w:t>
      </w:r>
      <w:r>
        <w:rPr>
          <w:spacing w:val="-2"/>
          <w:sz w:val="21"/>
        </w:rPr>
        <w:t>病</w:t>
      </w:r>
      <w:r>
        <w:rPr>
          <w:spacing w:val="-2"/>
          <w:sz w:val="21"/>
        </w:rPr>
        <w:t>变</w:t>
      </w:r>
      <w:r>
        <w:rPr>
          <w:spacing w:val="-2"/>
          <w:sz w:val="21"/>
        </w:rPr>
        <w:t>组织块，经过包埋、</w:t>
      </w:r>
      <w:r>
        <w:rPr>
          <w:spacing w:val="-2"/>
          <w:sz w:val="21"/>
        </w:rPr>
        <w:t>切</w:t>
      </w:r>
      <w:r>
        <w:rPr>
          <w:spacing w:val="-2"/>
          <w:sz w:val="21"/>
        </w:rPr>
        <w:t>片</w:t>
      </w:r>
      <w:r>
        <w:rPr>
          <w:spacing w:val="-2"/>
          <w:sz w:val="21"/>
        </w:rPr>
        <w:t>后，进行病理检查的</w:t>
      </w:r>
      <w:r>
        <w:rPr>
          <w:spacing w:val="-2"/>
          <w:sz w:val="21"/>
        </w:rPr>
        <w:t>方</w:t>
      </w:r>
      <w:r>
        <w:rPr>
          <w:spacing w:val="-2"/>
          <w:sz w:val="21"/>
        </w:rPr>
        <w:t>法</w:t>
      </w:r>
      <w:r>
        <w:rPr>
          <w:spacing w:val="-2"/>
          <w:sz w:val="21"/>
        </w:rPr>
        <w:t>。</w:t>
      </w:r>
    </w:p>
    <w:p>
      <w:pPr>
        <w:pStyle w:val="Heading2"/>
        <w:spacing w:line="194" w:lineRule="auto" w:before="105"/>
        <w:ind w:right="746"/>
        <w:jc w:val="both"/>
      </w:pPr>
      <w:r>
        <w:rPr>
          <w:spacing w:val="-2"/>
        </w:rPr>
        <w:t>通过采集病变部位脱落细胞、细针吸取病变部位细胞、体腔积液分离病变细</w:t>
      </w:r>
      <w:r>
        <w:rPr>
          <w:spacing w:val="-2"/>
        </w:rPr>
        <w:t>胞等方式获取病变细胞，制成涂片，进行病理检查的方法，属于细胞病理学</w:t>
      </w:r>
      <w:r>
        <w:rPr>
          <w:spacing w:val="-2"/>
        </w:rPr>
        <w:t>检查，不属于组织病理学检查。</w:t>
      </w:r>
    </w:p>
    <w:p>
      <w:pPr>
        <w:pStyle w:val="BodyText"/>
        <w:spacing w:before="13"/>
        <w:rPr>
          <w:rFonts w:ascii="微软雅黑"/>
          <w:b/>
          <w:sz w:val="13"/>
        </w:rPr>
      </w:pPr>
    </w:p>
    <w:p>
      <w:pPr>
        <w:pStyle w:val="ListParagraph"/>
        <w:numPr>
          <w:ilvl w:val="1"/>
          <w:numId w:val="107"/>
        </w:numPr>
        <w:tabs>
          <w:tab w:pos="1080" w:val="left" w:leader="none"/>
          <w:tab w:pos="1081" w:val="left" w:leader="none"/>
          <w:tab w:pos="2960" w:val="left" w:leader="none"/>
        </w:tabs>
        <w:spacing w:line="235" w:lineRule="auto" w:before="0" w:after="0"/>
        <w:ind w:left="2960" w:right="767" w:hanging="2733"/>
        <w:jc w:val="left"/>
        <w:rPr>
          <w:sz w:val="21"/>
        </w:rPr>
      </w:pPr>
      <w:r>
        <w:rPr>
          <w:rFonts w:ascii="微软雅黑" w:eastAsia="微软雅黑"/>
          <w:b/>
          <w:spacing w:val="-2"/>
          <w:sz w:val="21"/>
        </w:rPr>
        <w:t>ICD-10</w:t>
      </w:r>
      <w:r>
        <w:rPr>
          <w:rFonts w:ascii="微软雅黑" w:eastAsia="微软雅黑"/>
          <w:b/>
          <w:sz w:val="21"/>
        </w:rPr>
        <w:tab/>
      </w:r>
      <w:r>
        <w:rPr>
          <w:spacing w:val="-2"/>
          <w:sz w:val="21"/>
        </w:rPr>
        <w:t>《疾病和有关健康问题的国际统计分类》第十次修订版（ICD-10），是世界</w:t>
      </w:r>
      <w:r>
        <w:rPr>
          <w:spacing w:val="-2"/>
          <w:sz w:val="21"/>
        </w:rPr>
        <w:t>卫生组织（WHO）发布的国际通用的疾病分类方法。</w:t>
      </w:r>
    </w:p>
    <w:p>
      <w:pPr>
        <w:pStyle w:val="BodyText"/>
        <w:spacing w:before="11"/>
        <w:rPr>
          <w:sz w:val="17"/>
        </w:rPr>
      </w:pPr>
    </w:p>
    <w:p>
      <w:pPr>
        <w:pStyle w:val="ListParagraph"/>
        <w:numPr>
          <w:ilvl w:val="1"/>
          <w:numId w:val="107"/>
        </w:numPr>
        <w:tabs>
          <w:tab w:pos="1080" w:val="left" w:leader="none"/>
          <w:tab w:pos="1081" w:val="left" w:leader="none"/>
          <w:tab w:pos="2960" w:val="left" w:leader="none"/>
        </w:tabs>
        <w:spacing w:line="312" w:lineRule="exact" w:before="0" w:after="0"/>
        <w:ind w:left="2960" w:right="560" w:hanging="2733"/>
        <w:jc w:val="left"/>
        <w:rPr>
          <w:sz w:val="21"/>
        </w:rPr>
      </w:pPr>
      <w:r>
        <w:rPr>
          <w:rFonts w:ascii="微软雅黑" w:eastAsia="微软雅黑"/>
          <w:b/>
          <w:spacing w:val="-2"/>
          <w:sz w:val="21"/>
        </w:rPr>
        <w:t>ICD-O-3</w:t>
      </w:r>
      <w:r>
        <w:rPr>
          <w:rFonts w:ascii="微软雅黑" w:eastAsia="微软雅黑"/>
          <w:b/>
          <w:sz w:val="21"/>
        </w:rPr>
        <w:tab/>
      </w:r>
      <w:r>
        <w:rPr>
          <w:sz w:val="21"/>
        </w:rPr>
        <w:t>《国际疾病分类肿瘤学专辑》第三版（ICD-O-3），是 WHO</w:t>
      </w:r>
      <w:r>
        <w:rPr>
          <w:spacing w:val="-16"/>
          <w:sz w:val="21"/>
        </w:rPr>
        <w:t> 发布的针对 </w:t>
      </w:r>
      <w:r>
        <w:rPr>
          <w:sz w:val="21"/>
        </w:rPr>
        <w:t>ICD</w:t>
      </w:r>
      <w:r>
        <w:rPr>
          <w:spacing w:val="-26"/>
          <w:sz w:val="21"/>
        </w:rPr>
        <w:t> 中</w:t>
      </w:r>
      <w:r>
        <w:rPr>
          <w:spacing w:val="-2"/>
          <w:sz w:val="21"/>
        </w:rPr>
        <w:t>肿瘤形态学组织学细胞类型、动态、分化程度的补充编码。其中形态学编码： </w:t>
      </w:r>
      <w:r>
        <w:rPr>
          <w:sz w:val="21"/>
        </w:rPr>
        <w:t>0</w:t>
      </w:r>
      <w:r>
        <w:rPr>
          <w:spacing w:val="-7"/>
          <w:sz w:val="21"/>
        </w:rPr>
        <w:t> 代表良性肿瘤；</w:t>
      </w:r>
      <w:r>
        <w:rPr>
          <w:sz w:val="21"/>
        </w:rPr>
        <w:t>1</w:t>
      </w:r>
      <w:r>
        <w:rPr>
          <w:spacing w:val="-7"/>
          <w:sz w:val="21"/>
        </w:rPr>
        <w:t> 代表动态未定性肿瘤； </w:t>
      </w:r>
      <w:r>
        <w:rPr>
          <w:sz w:val="21"/>
        </w:rPr>
        <w:t>2</w:t>
      </w:r>
      <w:r>
        <w:rPr>
          <w:spacing w:val="-7"/>
          <w:sz w:val="21"/>
        </w:rPr>
        <w:t> 代表原位癌和非侵袭性癌</w:t>
      </w:r>
      <w:r>
        <w:rPr>
          <w:sz w:val="21"/>
        </w:rPr>
        <w:t>；3</w:t>
      </w:r>
      <w:r>
        <w:rPr>
          <w:spacing w:val="-21"/>
          <w:sz w:val="21"/>
        </w:rPr>
        <w:t> 代</w:t>
      </w:r>
      <w:r>
        <w:rPr>
          <w:sz w:val="21"/>
        </w:rPr>
        <w:t>表恶性肿瘤（原发性）；6</w:t>
      </w:r>
      <w:r>
        <w:rPr>
          <w:spacing w:val="-5"/>
          <w:sz w:val="21"/>
        </w:rPr>
        <w:t> 代表恶性肿瘤</w:t>
      </w:r>
      <w:r>
        <w:rPr>
          <w:sz w:val="21"/>
        </w:rPr>
        <w:t>（转移性）；9</w:t>
      </w:r>
      <w:r>
        <w:rPr>
          <w:spacing w:val="-5"/>
          <w:sz w:val="21"/>
        </w:rPr>
        <w:t> 代表恶性肿瘤</w:t>
      </w:r>
      <w:r>
        <w:rPr>
          <w:sz w:val="21"/>
        </w:rPr>
        <w:t>（原发</w:t>
      </w:r>
    </w:p>
    <w:p>
      <w:pPr>
        <w:pStyle w:val="BodyText"/>
        <w:spacing w:line="278" w:lineRule="auto" w:before="40"/>
        <w:ind w:left="2960" w:right="666"/>
      </w:pPr>
      <w:r>
        <w:rPr/>
        <w:t>性或转移性未肯定</w:t>
      </w:r>
      <w:r>
        <w:rPr>
          <w:spacing w:val="-53"/>
        </w:rPr>
        <w:t>）</w:t>
      </w:r>
      <w:r>
        <w:rPr>
          <w:spacing w:val="-19"/>
        </w:rPr>
        <w:t>。如果出现 </w:t>
      </w:r>
      <w:r>
        <w:rPr/>
        <w:t>ICD-10</w:t>
      </w:r>
      <w:r>
        <w:rPr>
          <w:spacing w:val="-37"/>
        </w:rPr>
        <w:t> 与 </w:t>
      </w:r>
      <w:r>
        <w:rPr/>
        <w:t>ICD-O-3</w:t>
      </w:r>
      <w:r>
        <w:rPr>
          <w:spacing w:val="-18"/>
        </w:rPr>
        <w:t> 不一致的情况，以 </w:t>
      </w:r>
      <w:r>
        <w:rPr/>
        <w:t>ICD-O-3</w:t>
      </w:r>
      <w:r>
        <w:rPr>
          <w:spacing w:val="-4"/>
        </w:rPr>
        <w:t>为准。</w:t>
      </w:r>
    </w:p>
    <w:p>
      <w:pPr>
        <w:pStyle w:val="BodyText"/>
        <w:spacing w:before="9"/>
        <w:rPr>
          <w:sz w:val="14"/>
        </w:rPr>
      </w:pPr>
    </w:p>
    <w:p>
      <w:pPr>
        <w:pStyle w:val="ListParagraph"/>
        <w:numPr>
          <w:ilvl w:val="1"/>
          <w:numId w:val="107"/>
        </w:numPr>
        <w:tabs>
          <w:tab w:pos="1081" w:val="left" w:leader="none"/>
          <w:tab w:pos="2960" w:val="left" w:leader="none"/>
        </w:tabs>
        <w:spacing w:line="312" w:lineRule="exact" w:before="0" w:after="0"/>
        <w:ind w:left="2960" w:right="666" w:hanging="2733"/>
        <w:jc w:val="both"/>
        <w:rPr>
          <w:sz w:val="21"/>
        </w:rPr>
      </w:pPr>
      <w:r>
        <w:rPr>
          <w:rFonts w:ascii="微软雅黑" w:eastAsia="微软雅黑"/>
          <w:b/>
          <w:w w:val="90"/>
          <w:sz w:val="21"/>
        </w:rPr>
        <w:t>TNM </w:t>
      </w:r>
      <w:r>
        <w:rPr>
          <w:rFonts w:ascii="微软雅黑" w:eastAsia="微软雅黑"/>
          <w:b/>
          <w:sz w:val="21"/>
        </w:rPr>
        <w:t>分期</w:t>
        <w:tab/>
      </w:r>
      <w:r>
        <w:rPr>
          <w:spacing w:val="-2"/>
          <w:sz w:val="21"/>
        </w:rPr>
        <w:t>TNM</w:t>
      </w:r>
      <w:r>
        <w:rPr>
          <w:spacing w:val="-21"/>
          <w:sz w:val="21"/>
        </w:rPr>
        <w:t> </w:t>
      </w:r>
      <w:r>
        <w:rPr>
          <w:spacing w:val="-2"/>
          <w:sz w:val="21"/>
        </w:rPr>
        <w:t>分期采用</w:t>
      </w:r>
      <w:r>
        <w:rPr>
          <w:spacing w:val="-21"/>
          <w:sz w:val="21"/>
        </w:rPr>
        <w:t> </w:t>
      </w:r>
      <w:r>
        <w:rPr>
          <w:spacing w:val="-2"/>
          <w:sz w:val="21"/>
        </w:rPr>
        <w:t>AJCC</w:t>
      </w:r>
      <w:r>
        <w:rPr>
          <w:spacing w:val="-24"/>
          <w:sz w:val="21"/>
        </w:rPr>
        <w:t> </w:t>
      </w:r>
      <w:r>
        <w:rPr>
          <w:spacing w:val="-2"/>
          <w:sz w:val="21"/>
        </w:rPr>
        <w:t>癌症分</w:t>
      </w:r>
      <w:r>
        <w:rPr>
          <w:spacing w:val="-2"/>
          <w:sz w:val="21"/>
        </w:rPr>
        <w:t>期</w:t>
      </w:r>
      <w:r>
        <w:rPr>
          <w:spacing w:val="-2"/>
          <w:sz w:val="21"/>
        </w:rPr>
        <w:t>手</w:t>
      </w:r>
      <w:r>
        <w:rPr>
          <w:spacing w:val="-2"/>
          <w:sz w:val="21"/>
        </w:rPr>
        <w:t>册标准。该标准由美</w:t>
      </w:r>
      <w:r>
        <w:rPr>
          <w:spacing w:val="-2"/>
          <w:sz w:val="21"/>
        </w:rPr>
        <w:t>国</w:t>
      </w:r>
      <w:r>
        <w:rPr>
          <w:spacing w:val="-2"/>
          <w:sz w:val="21"/>
        </w:rPr>
        <w:t>癌</w:t>
      </w:r>
      <w:r>
        <w:rPr>
          <w:spacing w:val="-2"/>
          <w:sz w:val="21"/>
        </w:rPr>
        <w:t>症联合委员会与</w:t>
      </w:r>
      <w:r>
        <w:rPr>
          <w:spacing w:val="-2"/>
          <w:sz w:val="21"/>
        </w:rPr>
        <w:t>国</w:t>
      </w:r>
      <w:r>
        <w:rPr>
          <w:spacing w:val="-2"/>
          <w:sz w:val="21"/>
        </w:rPr>
        <w:t>际</w:t>
      </w:r>
      <w:r>
        <w:rPr>
          <w:w w:val="95"/>
          <w:sz w:val="21"/>
        </w:rPr>
        <w:t>抗</w:t>
      </w:r>
      <w:r>
        <w:rPr>
          <w:w w:val="95"/>
          <w:sz w:val="21"/>
        </w:rPr>
        <w:t>癌</w:t>
      </w:r>
      <w:r>
        <w:rPr>
          <w:w w:val="95"/>
          <w:sz w:val="21"/>
        </w:rPr>
        <w:t>联合会 TNM 委员会联</w:t>
      </w:r>
      <w:r>
        <w:rPr>
          <w:w w:val="95"/>
          <w:sz w:val="21"/>
        </w:rPr>
        <w:t>合</w:t>
      </w:r>
      <w:r>
        <w:rPr>
          <w:w w:val="95"/>
          <w:sz w:val="21"/>
        </w:rPr>
        <w:t>制</w:t>
      </w:r>
      <w:r>
        <w:rPr>
          <w:w w:val="95"/>
          <w:sz w:val="21"/>
        </w:rPr>
        <w:t>定，是目前肿瘤医学</w:t>
      </w:r>
      <w:r>
        <w:rPr>
          <w:w w:val="95"/>
          <w:sz w:val="21"/>
        </w:rPr>
        <w:t>分</w:t>
      </w:r>
      <w:r>
        <w:rPr>
          <w:w w:val="95"/>
          <w:sz w:val="21"/>
        </w:rPr>
        <w:t>期</w:t>
      </w:r>
      <w:r>
        <w:rPr>
          <w:w w:val="95"/>
          <w:sz w:val="21"/>
        </w:rPr>
        <w:t>的国际通用标准。T 指</w:t>
      </w:r>
      <w:r>
        <w:rPr>
          <w:spacing w:val="-2"/>
          <w:sz w:val="21"/>
        </w:rPr>
        <w:t>原</w:t>
      </w:r>
      <w:r>
        <w:rPr>
          <w:spacing w:val="-2"/>
          <w:sz w:val="21"/>
        </w:rPr>
        <w:t>发</w:t>
      </w:r>
      <w:r>
        <w:rPr>
          <w:spacing w:val="-2"/>
          <w:sz w:val="21"/>
        </w:rPr>
        <w:t>肿瘤的大小、形态等；N</w:t>
      </w:r>
      <w:r>
        <w:rPr>
          <w:spacing w:val="-25"/>
          <w:sz w:val="21"/>
        </w:rPr>
        <w:t> </w:t>
      </w:r>
      <w:r>
        <w:rPr>
          <w:spacing w:val="-2"/>
          <w:sz w:val="21"/>
        </w:rPr>
        <w:t>指淋巴结的转移情况；M</w:t>
      </w:r>
      <w:r>
        <w:rPr>
          <w:spacing w:val="-24"/>
          <w:sz w:val="21"/>
        </w:rPr>
        <w:t> </w:t>
      </w:r>
      <w:r>
        <w:rPr>
          <w:spacing w:val="-2"/>
          <w:sz w:val="21"/>
        </w:rPr>
        <w:t>指有无其他脏器的转移</w:t>
      </w:r>
      <w:r>
        <w:rPr>
          <w:spacing w:val="-4"/>
          <w:sz w:val="21"/>
        </w:rPr>
        <w:t>情</w:t>
      </w:r>
      <w:r>
        <w:rPr>
          <w:spacing w:val="-4"/>
          <w:sz w:val="21"/>
        </w:rPr>
        <w:t>况</w:t>
      </w:r>
      <w:r>
        <w:rPr>
          <w:spacing w:val="-4"/>
          <w:sz w:val="21"/>
        </w:rPr>
        <w:t>。</w:t>
      </w:r>
    </w:p>
    <w:p>
      <w:pPr>
        <w:pStyle w:val="BodyText"/>
        <w:spacing w:line="278" w:lineRule="auto" w:before="40"/>
        <w:ind w:left="2960" w:right="666"/>
        <w:jc w:val="both"/>
      </w:pPr>
      <w:r>
        <w:rPr>
          <w:w w:val="95"/>
        </w:rPr>
        <w:t>甲</w:t>
      </w:r>
      <w:r>
        <w:rPr>
          <w:w w:val="95"/>
        </w:rPr>
        <w:t>状</w:t>
      </w:r>
      <w:r>
        <w:rPr>
          <w:w w:val="95"/>
        </w:rPr>
        <w:t>腺</w:t>
      </w:r>
      <w:r>
        <w:rPr>
          <w:w w:val="95"/>
        </w:rPr>
        <w:t>癌</w:t>
      </w:r>
      <w:r>
        <w:rPr>
          <w:w w:val="95"/>
        </w:rPr>
        <w:t>的 TNM 分期采用</w:t>
      </w:r>
      <w:r>
        <w:rPr>
          <w:w w:val="95"/>
        </w:rPr>
        <w:t>目</w:t>
      </w:r>
      <w:r>
        <w:rPr>
          <w:w w:val="95"/>
        </w:rPr>
        <w:t>前</w:t>
      </w:r>
      <w:r>
        <w:rPr>
          <w:w w:val="95"/>
        </w:rPr>
        <w:t>现</w:t>
      </w:r>
      <w:r>
        <w:rPr>
          <w:w w:val="95"/>
        </w:rPr>
        <w:t>行</w:t>
      </w:r>
      <w:r>
        <w:rPr>
          <w:w w:val="95"/>
        </w:rPr>
        <w:t>的 AJCC 第八</w:t>
      </w:r>
      <w:r>
        <w:rPr>
          <w:w w:val="95"/>
        </w:rPr>
        <w:t>版</w:t>
      </w:r>
      <w:r>
        <w:rPr>
          <w:w w:val="95"/>
        </w:rPr>
        <w:t>定</w:t>
      </w:r>
      <w:r>
        <w:rPr>
          <w:w w:val="95"/>
        </w:rPr>
        <w:t>义</w:t>
      </w:r>
      <w:r>
        <w:rPr>
          <w:w w:val="95"/>
        </w:rPr>
        <w:t>标</w:t>
      </w:r>
      <w:r>
        <w:rPr>
          <w:w w:val="95"/>
        </w:rPr>
        <w:t>准</w:t>
      </w:r>
      <w:r>
        <w:rPr>
          <w:w w:val="95"/>
        </w:rPr>
        <w:t>，</w:t>
      </w:r>
      <w:r>
        <w:rPr>
          <w:w w:val="95"/>
        </w:rPr>
        <w:t>我</w:t>
      </w:r>
      <w:r>
        <w:rPr>
          <w:w w:val="95"/>
        </w:rPr>
        <w:t>国国家卫</w:t>
      </w:r>
      <w:r>
        <w:rPr>
          <w:w w:val="95"/>
        </w:rPr>
        <w:t>生</w:t>
      </w:r>
      <w:r>
        <w:rPr>
          <w:w w:val="95"/>
        </w:rPr>
        <w:t>健</w:t>
      </w:r>
      <w:r>
        <w:rPr>
          <w:w w:val="95"/>
        </w:rPr>
        <w:t>康</w:t>
      </w:r>
      <w:r>
        <w:rPr>
          <w:w w:val="95"/>
        </w:rPr>
        <w:t>委</w:t>
      </w:r>
      <w:r>
        <w:rPr>
          <w:w w:val="95"/>
        </w:rPr>
        <w:t>员会 2018 年发布的《</w:t>
      </w:r>
      <w:r>
        <w:rPr>
          <w:w w:val="95"/>
        </w:rPr>
        <w:t>甲</w:t>
      </w:r>
      <w:r>
        <w:rPr>
          <w:w w:val="95"/>
        </w:rPr>
        <w:t>状</w:t>
      </w:r>
      <w:r>
        <w:rPr>
          <w:w w:val="95"/>
        </w:rPr>
        <w:t>腺癌诊疗规范（2018 </w:t>
      </w:r>
      <w:r>
        <w:rPr>
          <w:w w:val="95"/>
        </w:rPr>
        <w:t>年</w:t>
      </w:r>
      <w:r>
        <w:rPr>
          <w:w w:val="95"/>
        </w:rPr>
        <w:t>版</w:t>
      </w:r>
      <w:r>
        <w:rPr>
          <w:w w:val="95"/>
        </w:rPr>
        <w:t>）》也采用此定义</w:t>
      </w:r>
      <w:r>
        <w:rPr>
          <w:w w:val="95"/>
        </w:rPr>
        <w:t>标</w:t>
      </w:r>
      <w:r>
        <w:rPr>
          <w:spacing w:val="-2"/>
        </w:rPr>
        <w:t>准，具体见下：</w:t>
      </w:r>
    </w:p>
    <w:p>
      <w:pPr>
        <w:spacing w:line="324" w:lineRule="auto" w:before="15"/>
        <w:ind w:left="3538" w:right="1950" w:firstLine="0"/>
        <w:jc w:val="left"/>
        <w:rPr>
          <w:sz w:val="18"/>
        </w:rPr>
      </w:pPr>
      <w:r>
        <w:rPr>
          <w:spacing w:val="-2"/>
          <w:sz w:val="18"/>
        </w:rPr>
        <w:t>甲状腺乳头状癌、滤泡癌、低分化癌、Hürthle</w:t>
      </w:r>
      <w:r>
        <w:rPr>
          <w:spacing w:val="-8"/>
          <w:sz w:val="18"/>
        </w:rPr>
        <w:t> 细胞癌和未分化癌</w:t>
      </w:r>
      <w:r>
        <w:rPr>
          <w:spacing w:val="-2"/>
          <w:sz w:val="18"/>
        </w:rPr>
        <w:t> </w:t>
      </w:r>
      <w:r>
        <w:rPr>
          <w:spacing w:val="-2"/>
          <w:position w:val="1"/>
          <w:sz w:val="18"/>
        </w:rPr>
        <w:t>pT</w:t>
      </w:r>
      <w:r>
        <w:rPr>
          <w:spacing w:val="-2"/>
          <w:sz w:val="9"/>
        </w:rPr>
        <w:t>X</w:t>
      </w:r>
      <w:r>
        <w:rPr>
          <w:spacing w:val="-2"/>
          <w:position w:val="1"/>
          <w:sz w:val="18"/>
        </w:rPr>
        <w:t>：原发肿瘤不能评估</w:t>
      </w:r>
    </w:p>
    <w:p>
      <w:pPr>
        <w:spacing w:line="324" w:lineRule="auto" w:before="1"/>
        <w:ind w:left="3538" w:right="3927" w:firstLine="0"/>
        <w:jc w:val="left"/>
        <w:rPr>
          <w:sz w:val="18"/>
        </w:rPr>
      </w:pPr>
      <w:r>
        <w:rPr>
          <w:spacing w:val="-2"/>
          <w:position w:val="1"/>
          <w:sz w:val="18"/>
        </w:rPr>
        <w:t>pT</w:t>
      </w:r>
      <w:r>
        <w:rPr>
          <w:spacing w:val="-2"/>
          <w:sz w:val="9"/>
        </w:rPr>
        <w:t>0</w:t>
      </w:r>
      <w:r>
        <w:rPr>
          <w:spacing w:val="-2"/>
          <w:position w:val="1"/>
          <w:sz w:val="18"/>
        </w:rPr>
        <w:t>：无肿瘤证据</w:t>
      </w:r>
      <w:r>
        <w:rPr>
          <w:spacing w:val="80"/>
          <w:w w:val="150"/>
          <w:position w:val="1"/>
          <w:sz w:val="18"/>
        </w:rPr>
        <w:t>        </w:t>
      </w:r>
      <w:r>
        <w:rPr>
          <w:spacing w:val="-2"/>
          <w:position w:val="1"/>
          <w:sz w:val="18"/>
        </w:rPr>
        <w:t>pT</w:t>
      </w:r>
      <w:r>
        <w:rPr>
          <w:spacing w:val="-2"/>
          <w:sz w:val="9"/>
        </w:rPr>
        <w:t>1</w:t>
      </w:r>
      <w:r>
        <w:rPr>
          <w:spacing w:val="-2"/>
          <w:position w:val="1"/>
          <w:sz w:val="18"/>
        </w:rPr>
        <w:t>：肿瘤局限在甲状腺内，最大径≤2cm</w:t>
      </w:r>
    </w:p>
    <w:p>
      <w:pPr>
        <w:spacing w:before="2"/>
        <w:ind w:left="3898" w:right="0" w:firstLine="0"/>
        <w:jc w:val="left"/>
        <w:rPr>
          <w:sz w:val="18"/>
        </w:rPr>
      </w:pPr>
      <w:r>
        <w:rPr>
          <w:position w:val="1"/>
          <w:sz w:val="18"/>
        </w:rPr>
        <w:t>T</w:t>
      </w:r>
      <w:r>
        <w:rPr>
          <w:sz w:val="9"/>
        </w:rPr>
        <w:t>1a</w:t>
      </w:r>
      <w:r>
        <w:rPr>
          <w:spacing w:val="-23"/>
          <w:sz w:val="9"/>
        </w:rPr>
        <w:t> </w:t>
      </w:r>
      <w:r>
        <w:rPr>
          <w:spacing w:val="-1"/>
          <w:position w:val="1"/>
          <w:sz w:val="18"/>
        </w:rPr>
        <w:t>肿瘤最大径≤</w:t>
      </w:r>
      <w:r>
        <w:rPr>
          <w:spacing w:val="-4"/>
          <w:position w:val="1"/>
          <w:sz w:val="18"/>
        </w:rPr>
        <w:t>1cm</w:t>
      </w:r>
    </w:p>
    <w:p>
      <w:pPr>
        <w:spacing w:line="324" w:lineRule="auto" w:before="81"/>
        <w:ind w:left="3538" w:right="4252"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1"/>
        <w:ind w:left="353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3"/>
        <w:ind w:left="3538" w:right="1365"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：大体侵犯甲状腺外带状肌外</w:t>
      </w:r>
    </w:p>
    <w:p>
      <w:pPr>
        <w:spacing w:line="324" w:lineRule="auto" w:before="1"/>
        <w:ind w:left="3538" w:right="3074" w:firstLine="0"/>
        <w:jc w:val="left"/>
        <w:rPr>
          <w:sz w:val="18"/>
        </w:rPr>
      </w:pP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line="324" w:lineRule="auto" w:before="2"/>
        <w:ind w:left="3538" w:right="5277" w:firstLine="0"/>
        <w:jc w:val="left"/>
        <w:rPr>
          <w:sz w:val="18"/>
        </w:rPr>
      </w:pPr>
      <w:r>
        <w:rPr>
          <w:spacing w:val="-2"/>
          <w:sz w:val="18"/>
        </w:rPr>
        <w:t>甲状腺髓样癌</w:t>
      </w:r>
      <w:r>
        <w:rPr>
          <w:spacing w:val="80"/>
          <w:sz w:val="18"/>
        </w:rPr>
        <w:t>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line="324" w:lineRule="auto" w:before="2"/>
        <w:ind w:left="3898" w:right="3927" w:hanging="360"/>
        <w:jc w:val="left"/>
        <w:rPr>
          <w:sz w:val="18"/>
        </w:rPr>
      </w:pPr>
      <w:r>
        <w:rPr>
          <w:spacing w:val="-2"/>
          <w:position w:val="1"/>
          <w:sz w:val="18"/>
        </w:rPr>
        <w:t>pT</w:t>
      </w:r>
      <w:r>
        <w:rPr>
          <w:spacing w:val="-2"/>
          <w:sz w:val="9"/>
        </w:rPr>
        <w:t>1</w:t>
      </w:r>
      <w:r>
        <w:rPr>
          <w:spacing w:val="-2"/>
          <w:position w:val="1"/>
          <w:sz w:val="18"/>
        </w:rPr>
        <w:t>：肿瘤局限在甲状腺内，最大径≤2cm </w:t>
      </w:r>
      <w:r>
        <w:rPr>
          <w:position w:val="1"/>
          <w:sz w:val="18"/>
        </w:rPr>
        <w:t>T</w:t>
      </w:r>
      <w:r>
        <w:rPr>
          <w:sz w:val="9"/>
        </w:rPr>
        <w:t>1a</w:t>
      </w:r>
      <w:r>
        <w:rPr>
          <w:spacing w:val="-24"/>
          <w:sz w:val="9"/>
        </w:rPr>
        <w:t> </w:t>
      </w:r>
      <w:r>
        <w:rPr>
          <w:position w:val="1"/>
          <w:sz w:val="18"/>
        </w:rPr>
        <w:t>肿瘤最大径≤1cm</w:t>
      </w:r>
    </w:p>
    <w:p>
      <w:pPr>
        <w:spacing w:line="324" w:lineRule="auto" w:before="1"/>
        <w:ind w:left="3538" w:right="4252"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1"/>
        <w:ind w:left="353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p>
    <w:p>
      <w:pPr>
        <w:spacing w:after="0" w:line="324" w:lineRule="auto"/>
        <w:jc w:val="left"/>
        <w:rPr>
          <w:sz w:val="18"/>
        </w:rPr>
        <w:sectPr>
          <w:pgSz w:w="11910" w:h="16840"/>
          <w:pgMar w:header="0" w:footer="406" w:top="1320" w:bottom="600" w:left="900" w:right="340"/>
        </w:sectPr>
      </w:pPr>
    </w:p>
    <w:p>
      <w:pPr>
        <w:spacing w:before="52"/>
        <w:ind w:left="3538" w:right="0" w:firstLine="0"/>
        <w:jc w:val="left"/>
        <w:rPr>
          <w:sz w:val="18"/>
        </w:rPr>
      </w:pPr>
      <w:r>
        <w:rPr>
          <w:spacing w:val="-2"/>
          <w:position w:val="1"/>
          <w:sz w:val="18"/>
        </w:rPr>
        <w:t>pT</w:t>
      </w:r>
      <w:r>
        <w:rPr>
          <w:spacing w:val="-2"/>
          <w:sz w:val="9"/>
        </w:rPr>
        <w:t>3b</w:t>
      </w:r>
      <w:r>
        <w:rPr>
          <w:spacing w:val="-3"/>
          <w:position w:val="1"/>
          <w:sz w:val="18"/>
        </w:rPr>
        <w:t>：大体侵犯甲状腺外带状肌，无论肿瘤大小</w:t>
      </w:r>
    </w:p>
    <w:p>
      <w:pPr>
        <w:spacing w:line="324" w:lineRule="auto" w:before="82"/>
        <w:ind w:left="3538" w:right="1365"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：进展期病变</w:t>
      </w:r>
    </w:p>
    <w:p>
      <w:pPr>
        <w:spacing w:line="324" w:lineRule="auto" w:before="1"/>
        <w:ind w:left="3538" w:right="676"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w:t>
      </w:r>
      <w:r>
        <w:rPr>
          <w:spacing w:val="-2"/>
          <w:sz w:val="18"/>
        </w:rPr>
        <w:t>气管、食管、喉反神经及皮下软组织</w:t>
      </w:r>
    </w:p>
    <w:p>
      <w:pPr>
        <w:spacing w:line="324" w:lineRule="auto" w:before="2"/>
        <w:ind w:left="3538" w:right="1094"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1"/>
        <w:ind w:left="3538" w:right="5097"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w:t>
      </w:r>
      <w:r>
        <w:rPr>
          <w:spacing w:val="-2"/>
          <w:position w:val="1"/>
          <w:sz w:val="18"/>
        </w:rPr>
        <w:t> pN</w:t>
      </w:r>
      <w:r>
        <w:rPr>
          <w:spacing w:val="-2"/>
          <w:sz w:val="9"/>
        </w:rPr>
        <w:t>1</w:t>
      </w:r>
      <w:r>
        <w:rPr>
          <w:spacing w:val="-2"/>
          <w:position w:val="1"/>
          <w:sz w:val="18"/>
        </w:rPr>
        <w:t>：区域淋巴结转移</w:t>
      </w:r>
    </w:p>
    <w:p>
      <w:pPr>
        <w:spacing w:line="324" w:lineRule="auto" w:before="2"/>
        <w:ind w:left="3538" w:right="596" w:firstLine="0"/>
        <w:jc w:val="left"/>
        <w:rPr>
          <w:sz w:val="18"/>
        </w:rPr>
      </w:pPr>
      <w:r>
        <w:rPr>
          <w:spacing w:val="-2"/>
          <w:position w:val="1"/>
          <w:sz w:val="18"/>
        </w:rPr>
        <w:t>pN</w:t>
      </w:r>
      <w:r>
        <w:rPr>
          <w:spacing w:val="-2"/>
          <w:sz w:val="9"/>
        </w:rPr>
        <w:t>1a</w:t>
      </w:r>
      <w:r>
        <w:rPr>
          <w:spacing w:val="-2"/>
          <w:position w:val="1"/>
          <w:sz w:val="18"/>
        </w:rPr>
        <w:t>：转移至Ⅵ、Ⅶ区（包括气管旁、气管前、喉前/Delphian</w:t>
      </w:r>
      <w:r>
        <w:rPr>
          <w:spacing w:val="-10"/>
          <w:position w:val="1"/>
          <w:sz w:val="18"/>
        </w:rPr>
        <w:t> 或上纵隔</w:t>
      </w:r>
      <w:r>
        <w:rPr>
          <w:spacing w:val="-2"/>
          <w:position w:val="1"/>
          <w:sz w:val="18"/>
        </w:rPr>
        <w:t>）淋巴结，</w:t>
      </w:r>
      <w:r>
        <w:rPr>
          <w:spacing w:val="-2"/>
          <w:sz w:val="18"/>
        </w:rPr>
        <w:t>可以为单侧或双侧。</w:t>
      </w:r>
    </w:p>
    <w:p>
      <w:pPr>
        <w:spacing w:line="324" w:lineRule="auto" w:before="1"/>
        <w:ind w:left="3538" w:right="670" w:firstLine="0"/>
        <w:jc w:val="left"/>
        <w:rPr>
          <w:sz w:val="18"/>
        </w:rPr>
      </w:pPr>
      <w:r>
        <w:rPr>
          <w:spacing w:val="-2"/>
          <w:position w:val="1"/>
          <w:sz w:val="18"/>
        </w:rPr>
        <w:t>pN</w:t>
      </w:r>
      <w:r>
        <w:rPr>
          <w:spacing w:val="-2"/>
          <w:sz w:val="9"/>
        </w:rPr>
        <w:t>1b</w:t>
      </w:r>
      <w:r>
        <w:rPr>
          <w:spacing w:val="-2"/>
          <w:position w:val="1"/>
          <w:sz w:val="18"/>
        </w:rPr>
        <w:t>：单侧、双侧或对侧颈淋巴结转移（包括Ⅰ、Ⅱ、Ⅲ、Ⅳ或Ⅴ区）淋巴结或咽</w:t>
      </w:r>
      <w:r>
        <w:rPr>
          <w:spacing w:val="-2"/>
          <w:sz w:val="18"/>
        </w:rPr>
        <w:t>后淋巴结转移。</w:t>
      </w:r>
    </w:p>
    <w:p>
      <w:pPr>
        <w:spacing w:line="324" w:lineRule="auto" w:before="2"/>
        <w:ind w:left="3538" w:right="4605" w:firstLine="0"/>
        <w:jc w:val="left"/>
        <w:rPr>
          <w:sz w:val="18"/>
        </w:rPr>
      </w:pPr>
      <w:r>
        <w:rPr>
          <w:spacing w:val="-2"/>
          <w:sz w:val="18"/>
        </w:rPr>
        <w:t>远处转移：适用于所有甲状腺癌 </w:t>
      </w:r>
      <w:r>
        <w:rPr>
          <w:spacing w:val="-2"/>
          <w:position w:val="1"/>
          <w:sz w:val="18"/>
        </w:rPr>
        <w:t>M</w:t>
      </w:r>
      <w:r>
        <w:rPr>
          <w:spacing w:val="-2"/>
          <w:sz w:val="9"/>
        </w:rPr>
        <w:t>0</w:t>
      </w:r>
      <w:r>
        <w:rPr>
          <w:spacing w:val="-2"/>
          <w:position w:val="1"/>
          <w:sz w:val="18"/>
        </w:rPr>
        <w:t>：无远处转移</w:t>
      </w:r>
      <w:r>
        <w:rPr>
          <w:spacing w:val="80"/>
          <w:w w:val="150"/>
          <w:position w:val="1"/>
          <w:sz w:val="18"/>
        </w:rPr>
        <w:t>     </w:t>
      </w:r>
      <w:r>
        <w:rPr>
          <w:spacing w:val="-2"/>
          <w:position w:val="1"/>
          <w:sz w:val="18"/>
        </w:rPr>
        <w:t>M</w:t>
      </w:r>
      <w:r>
        <w:rPr>
          <w:spacing w:val="-2"/>
          <w:sz w:val="9"/>
        </w:rPr>
        <w:t>1</w:t>
      </w:r>
      <w:r>
        <w:rPr>
          <w:spacing w:val="-2"/>
          <w:position w:val="1"/>
          <w:sz w:val="18"/>
        </w:rPr>
        <w:t>：有远处转移</w:t>
      </w:r>
    </w:p>
    <w:tbl>
      <w:tblPr>
        <w:tblW w:w="0" w:type="auto"/>
        <w:jc w:val="left"/>
        <w:tblInd w:w="3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4" w:hRule="atLeast"/>
        </w:trPr>
        <w:tc>
          <w:tcPr>
            <w:tcW w:w="5053" w:type="dxa"/>
            <w:gridSpan w:val="4"/>
          </w:tcPr>
          <w:p>
            <w:pPr>
              <w:pStyle w:val="TableParagraph"/>
              <w:spacing w:before="5"/>
              <w:rPr>
                <w:sz w:val="18"/>
              </w:rPr>
            </w:pPr>
            <w:r>
              <w:rPr>
                <w:sz w:val="18"/>
              </w:rPr>
              <w:t>乳头状或滤泡状癌（分化型</w:t>
            </w:r>
            <w:r>
              <w:rPr>
                <w:spacing w:val="-10"/>
                <w:sz w:val="18"/>
              </w:rPr>
              <w:t>）</w:t>
            </w:r>
          </w:p>
        </w:tc>
      </w:tr>
      <w:tr>
        <w:trPr>
          <w:trHeight w:val="311" w:hRule="atLeast"/>
        </w:trPr>
        <w:tc>
          <w:tcPr>
            <w:tcW w:w="5053" w:type="dxa"/>
            <w:gridSpan w:val="4"/>
          </w:tcPr>
          <w:p>
            <w:pPr>
              <w:pStyle w:val="TableParagraph"/>
              <w:spacing w:before="2"/>
              <w:rPr>
                <w:sz w:val="18"/>
              </w:rPr>
            </w:pPr>
            <w:r>
              <w:rPr>
                <w:sz w:val="18"/>
              </w:rPr>
              <w:t>年龄＜55</w:t>
            </w:r>
            <w:r>
              <w:rPr>
                <w:spacing w:val="-28"/>
                <w:sz w:val="18"/>
              </w:rPr>
              <w:t> 岁</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2"/>
              <w:ind w:left="108"/>
              <w:rPr>
                <w:sz w:val="18"/>
              </w:rPr>
            </w:pPr>
            <w:r>
              <w:rPr>
                <w:sz w:val="18"/>
              </w:rPr>
              <w:t>T</w:t>
            </w:r>
          </w:p>
        </w:tc>
        <w:tc>
          <w:tcPr>
            <w:tcW w:w="1133" w:type="dxa"/>
          </w:tcPr>
          <w:p>
            <w:pPr>
              <w:pStyle w:val="TableParagraph"/>
              <w:spacing w:before="2"/>
              <w:ind w:left="108"/>
              <w:rPr>
                <w:sz w:val="18"/>
              </w:rPr>
            </w:pPr>
            <w:r>
              <w:rPr>
                <w:sz w:val="18"/>
              </w:rPr>
              <w:t>N</w:t>
            </w:r>
          </w:p>
        </w:tc>
        <w:tc>
          <w:tcPr>
            <w:tcW w:w="1268" w:type="dxa"/>
          </w:tcPr>
          <w:p>
            <w:pPr>
              <w:pStyle w:val="TableParagraph"/>
              <w:spacing w:before="2"/>
              <w:ind w:left="108"/>
              <w:rPr>
                <w:sz w:val="18"/>
              </w:rPr>
            </w:pPr>
            <w:r>
              <w:rPr>
                <w:sz w:val="18"/>
              </w:rPr>
              <w:t>M</w:t>
            </w:r>
          </w:p>
        </w:tc>
      </w:tr>
      <w:tr>
        <w:trPr>
          <w:trHeight w:val="311" w:hRule="atLeast"/>
        </w:trPr>
        <w:tc>
          <w:tcPr>
            <w:tcW w:w="1418" w:type="dxa"/>
          </w:tcPr>
          <w:p>
            <w:pPr>
              <w:pStyle w:val="TableParagraph"/>
              <w:spacing w:before="2"/>
              <w:rPr>
                <w:sz w:val="18"/>
              </w:rPr>
            </w:pPr>
            <w:r>
              <w:rPr>
                <w:spacing w:val="-5"/>
                <w:sz w:val="18"/>
              </w:rPr>
              <w:t>Ⅰ期</w:t>
            </w:r>
          </w:p>
        </w:tc>
        <w:tc>
          <w:tcPr>
            <w:tcW w:w="1234" w:type="dxa"/>
          </w:tcPr>
          <w:p>
            <w:pPr>
              <w:pStyle w:val="TableParagraph"/>
              <w:spacing w:before="2"/>
              <w:ind w:left="108"/>
              <w:rPr>
                <w:sz w:val="18"/>
              </w:rPr>
            </w:pPr>
            <w:r>
              <w:rPr>
                <w:spacing w:val="-5"/>
                <w:sz w:val="18"/>
              </w:rPr>
              <w:t>任何</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pacing w:val="-5"/>
                <w:sz w:val="18"/>
              </w:rPr>
              <w:t>Ⅱ期</w:t>
            </w:r>
          </w:p>
        </w:tc>
        <w:tc>
          <w:tcPr>
            <w:tcW w:w="1234" w:type="dxa"/>
          </w:tcPr>
          <w:p>
            <w:pPr>
              <w:pStyle w:val="TableParagraph"/>
              <w:spacing w:before="2"/>
              <w:ind w:left="108"/>
              <w:rPr>
                <w:sz w:val="18"/>
              </w:rPr>
            </w:pPr>
            <w:r>
              <w:rPr>
                <w:spacing w:val="-5"/>
                <w:sz w:val="18"/>
              </w:rPr>
              <w:t>任何</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1</w:t>
            </w:r>
          </w:p>
        </w:tc>
      </w:tr>
      <w:tr>
        <w:trPr>
          <w:trHeight w:val="311" w:hRule="atLeast"/>
        </w:trPr>
        <w:tc>
          <w:tcPr>
            <w:tcW w:w="5053" w:type="dxa"/>
            <w:gridSpan w:val="4"/>
          </w:tcPr>
          <w:p>
            <w:pPr>
              <w:pStyle w:val="TableParagraph"/>
              <w:spacing w:before="2"/>
              <w:rPr>
                <w:sz w:val="18"/>
              </w:rPr>
            </w:pPr>
            <w:r>
              <w:rPr>
                <w:sz w:val="18"/>
              </w:rPr>
              <w:t>年龄≥55</w:t>
            </w:r>
            <w:r>
              <w:rPr>
                <w:spacing w:val="-28"/>
                <w:sz w:val="18"/>
              </w:rPr>
              <w:t> 岁</w:t>
            </w:r>
          </w:p>
        </w:tc>
      </w:tr>
      <w:tr>
        <w:trPr>
          <w:trHeight w:val="314" w:hRule="atLeast"/>
        </w:trPr>
        <w:tc>
          <w:tcPr>
            <w:tcW w:w="1418" w:type="dxa"/>
          </w:tcPr>
          <w:p>
            <w:pPr>
              <w:pStyle w:val="TableParagraph"/>
              <w:spacing w:before="5"/>
              <w:rPr>
                <w:sz w:val="18"/>
              </w:rPr>
            </w:pPr>
            <w:r>
              <w:rPr>
                <w:spacing w:val="-5"/>
                <w:sz w:val="18"/>
              </w:rPr>
              <w:t>Ⅰ期</w:t>
            </w:r>
          </w:p>
        </w:tc>
        <w:tc>
          <w:tcPr>
            <w:tcW w:w="1234" w:type="dxa"/>
          </w:tcPr>
          <w:p>
            <w:pPr>
              <w:pStyle w:val="TableParagraph"/>
              <w:spacing w:before="5"/>
              <w:ind w:left="108"/>
              <w:rPr>
                <w:sz w:val="18"/>
              </w:rPr>
            </w:pPr>
            <w:r>
              <w:rPr>
                <w:sz w:val="18"/>
              </w:rPr>
              <w:t>1</w:t>
            </w:r>
          </w:p>
        </w:tc>
        <w:tc>
          <w:tcPr>
            <w:tcW w:w="1133" w:type="dxa"/>
          </w:tcPr>
          <w:p>
            <w:pPr>
              <w:pStyle w:val="TableParagraph"/>
              <w:spacing w:before="5"/>
              <w:ind w:left="108"/>
              <w:rPr>
                <w:sz w:val="18"/>
              </w:rPr>
            </w:pPr>
            <w:r>
              <w:rPr>
                <w:spacing w:val="-5"/>
                <w:sz w:val="18"/>
              </w:rPr>
              <w:t>0/x</w:t>
            </w:r>
          </w:p>
        </w:tc>
        <w:tc>
          <w:tcPr>
            <w:tcW w:w="1268" w:type="dxa"/>
          </w:tcPr>
          <w:p>
            <w:pPr>
              <w:pStyle w:val="TableParagraph"/>
              <w:spacing w:before="5"/>
              <w:ind w:left="108"/>
              <w:rPr>
                <w:sz w:val="18"/>
              </w:rPr>
            </w:pPr>
            <w:r>
              <w:rPr>
                <w:sz w:val="18"/>
              </w:rPr>
              <w:t>0</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2"/>
              <w:ind w:left="108"/>
              <w:rPr>
                <w:sz w:val="18"/>
              </w:rPr>
            </w:pPr>
            <w:r>
              <w:rPr>
                <w:sz w:val="18"/>
              </w:rPr>
              <w:t>2</w:t>
            </w:r>
          </w:p>
        </w:tc>
        <w:tc>
          <w:tcPr>
            <w:tcW w:w="1133" w:type="dxa"/>
          </w:tcPr>
          <w:p>
            <w:pPr>
              <w:pStyle w:val="TableParagraph"/>
              <w:spacing w:before="2"/>
              <w:ind w:left="108"/>
              <w:rPr>
                <w:sz w:val="18"/>
              </w:rPr>
            </w:pPr>
            <w:r>
              <w:rPr>
                <w:spacing w:val="-5"/>
                <w:sz w:val="18"/>
              </w:rPr>
              <w:t>0/x</w:t>
            </w:r>
          </w:p>
        </w:tc>
        <w:tc>
          <w:tcPr>
            <w:tcW w:w="1268" w:type="dxa"/>
          </w:tcPr>
          <w:p>
            <w:pPr>
              <w:pStyle w:val="TableParagraph"/>
              <w:spacing w:before="2"/>
              <w:ind w:left="108"/>
              <w:rPr>
                <w:sz w:val="18"/>
              </w:rPr>
            </w:pPr>
            <w:r>
              <w:rPr>
                <w:sz w:val="18"/>
              </w:rPr>
              <w:t>0</w:t>
            </w:r>
          </w:p>
        </w:tc>
      </w:tr>
      <w:tr>
        <w:trPr>
          <w:trHeight w:val="312" w:hRule="atLeast"/>
        </w:trPr>
        <w:tc>
          <w:tcPr>
            <w:tcW w:w="1418" w:type="dxa"/>
          </w:tcPr>
          <w:p>
            <w:pPr>
              <w:pStyle w:val="TableParagraph"/>
              <w:spacing w:before="2"/>
              <w:rPr>
                <w:sz w:val="18"/>
              </w:rPr>
            </w:pPr>
            <w:r>
              <w:rPr>
                <w:spacing w:val="-5"/>
                <w:sz w:val="18"/>
              </w:rPr>
              <w:t>Ⅱ期</w:t>
            </w:r>
          </w:p>
        </w:tc>
        <w:tc>
          <w:tcPr>
            <w:tcW w:w="1234" w:type="dxa"/>
          </w:tcPr>
          <w:p>
            <w:pPr>
              <w:pStyle w:val="TableParagraph"/>
              <w:spacing w:before="2"/>
              <w:ind w:left="108"/>
              <w:rPr>
                <w:sz w:val="18"/>
              </w:rPr>
            </w:pPr>
            <w:r>
              <w:rPr>
                <w:spacing w:val="-5"/>
                <w:sz w:val="18"/>
              </w:rPr>
              <w:t>1～2</w:t>
            </w:r>
          </w:p>
        </w:tc>
        <w:tc>
          <w:tcPr>
            <w:tcW w:w="1133" w:type="dxa"/>
          </w:tcPr>
          <w:p>
            <w:pPr>
              <w:pStyle w:val="TableParagraph"/>
              <w:spacing w:before="2"/>
              <w:ind w:left="108"/>
              <w:rPr>
                <w:sz w:val="18"/>
              </w:rPr>
            </w:pPr>
            <w:r>
              <w:rPr>
                <w:sz w:val="18"/>
              </w:rPr>
              <w:t>1</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2"/>
              <w:ind w:left="108"/>
              <w:rPr>
                <w:sz w:val="18"/>
              </w:rPr>
            </w:pPr>
            <w:r>
              <w:rPr>
                <w:spacing w:val="-4"/>
                <w:sz w:val="18"/>
              </w:rPr>
              <w:t>3a～3b</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pacing w:val="-5"/>
                <w:sz w:val="18"/>
              </w:rPr>
              <w:t>Ⅲ期</w:t>
            </w:r>
          </w:p>
        </w:tc>
        <w:tc>
          <w:tcPr>
            <w:tcW w:w="1234" w:type="dxa"/>
          </w:tcPr>
          <w:p>
            <w:pPr>
              <w:pStyle w:val="TableParagraph"/>
              <w:spacing w:before="2"/>
              <w:ind w:left="108"/>
              <w:rPr>
                <w:sz w:val="18"/>
              </w:rPr>
            </w:pPr>
            <w:r>
              <w:rPr>
                <w:spacing w:val="-5"/>
                <w:sz w:val="18"/>
              </w:rPr>
              <w:t>4a</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z w:val="18"/>
              </w:rPr>
              <w:t>ⅣA</w:t>
            </w:r>
            <w:r>
              <w:rPr>
                <w:spacing w:val="-27"/>
                <w:sz w:val="18"/>
              </w:rPr>
              <w:t> 期</w:t>
            </w:r>
          </w:p>
        </w:tc>
        <w:tc>
          <w:tcPr>
            <w:tcW w:w="1234" w:type="dxa"/>
          </w:tcPr>
          <w:p>
            <w:pPr>
              <w:pStyle w:val="TableParagraph"/>
              <w:spacing w:before="2"/>
              <w:ind w:left="108"/>
              <w:rPr>
                <w:sz w:val="18"/>
              </w:rPr>
            </w:pPr>
            <w:r>
              <w:rPr>
                <w:spacing w:val="-5"/>
                <w:sz w:val="18"/>
              </w:rPr>
              <w:t>4b</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0</w:t>
            </w:r>
          </w:p>
        </w:tc>
      </w:tr>
      <w:tr>
        <w:trPr>
          <w:trHeight w:val="313" w:hRule="atLeast"/>
        </w:trPr>
        <w:tc>
          <w:tcPr>
            <w:tcW w:w="1418" w:type="dxa"/>
          </w:tcPr>
          <w:p>
            <w:pPr>
              <w:pStyle w:val="TableParagraph"/>
              <w:spacing w:before="5"/>
              <w:rPr>
                <w:sz w:val="18"/>
              </w:rPr>
            </w:pPr>
            <w:r>
              <w:rPr>
                <w:sz w:val="18"/>
              </w:rPr>
              <w:t>ⅣB</w:t>
            </w:r>
            <w:r>
              <w:rPr>
                <w:spacing w:val="-27"/>
                <w:sz w:val="18"/>
              </w:rPr>
              <w:t> 期</w:t>
            </w:r>
          </w:p>
        </w:tc>
        <w:tc>
          <w:tcPr>
            <w:tcW w:w="1234" w:type="dxa"/>
          </w:tcPr>
          <w:p>
            <w:pPr>
              <w:pStyle w:val="TableParagraph"/>
              <w:spacing w:before="5"/>
              <w:ind w:left="108"/>
              <w:rPr>
                <w:sz w:val="18"/>
              </w:rPr>
            </w:pPr>
            <w:r>
              <w:rPr>
                <w:spacing w:val="-5"/>
                <w:sz w:val="18"/>
              </w:rPr>
              <w:t>任何</w:t>
            </w:r>
          </w:p>
        </w:tc>
        <w:tc>
          <w:tcPr>
            <w:tcW w:w="1133" w:type="dxa"/>
          </w:tcPr>
          <w:p>
            <w:pPr>
              <w:pStyle w:val="TableParagraph"/>
              <w:spacing w:before="5"/>
              <w:ind w:left="108"/>
              <w:rPr>
                <w:sz w:val="18"/>
              </w:rPr>
            </w:pPr>
            <w:r>
              <w:rPr>
                <w:spacing w:val="-5"/>
                <w:sz w:val="18"/>
              </w:rPr>
              <w:t>任何</w:t>
            </w:r>
          </w:p>
        </w:tc>
        <w:tc>
          <w:tcPr>
            <w:tcW w:w="1268" w:type="dxa"/>
          </w:tcPr>
          <w:p>
            <w:pPr>
              <w:pStyle w:val="TableParagraph"/>
              <w:spacing w:before="5"/>
              <w:ind w:left="108"/>
              <w:rPr>
                <w:sz w:val="18"/>
              </w:rPr>
            </w:pPr>
            <w:r>
              <w:rPr>
                <w:sz w:val="18"/>
              </w:rPr>
              <w:t>1</w:t>
            </w:r>
          </w:p>
        </w:tc>
      </w:tr>
      <w:tr>
        <w:trPr>
          <w:trHeight w:val="311" w:hRule="atLeast"/>
        </w:trPr>
        <w:tc>
          <w:tcPr>
            <w:tcW w:w="5053" w:type="dxa"/>
            <w:gridSpan w:val="4"/>
          </w:tcPr>
          <w:p>
            <w:pPr>
              <w:pStyle w:val="TableParagraph"/>
              <w:spacing w:before="2"/>
              <w:rPr>
                <w:sz w:val="18"/>
              </w:rPr>
            </w:pPr>
            <w:r>
              <w:rPr>
                <w:sz w:val="18"/>
              </w:rPr>
              <w:t>髓样癌（所有年龄组</w:t>
            </w:r>
            <w:r>
              <w:rPr>
                <w:spacing w:val="-10"/>
                <w:sz w:val="18"/>
              </w:rPr>
              <w:t>）</w:t>
            </w:r>
          </w:p>
        </w:tc>
      </w:tr>
      <w:tr>
        <w:trPr>
          <w:trHeight w:val="311" w:hRule="atLeast"/>
        </w:trPr>
        <w:tc>
          <w:tcPr>
            <w:tcW w:w="1418" w:type="dxa"/>
          </w:tcPr>
          <w:p>
            <w:pPr>
              <w:pStyle w:val="TableParagraph"/>
              <w:spacing w:before="2"/>
              <w:rPr>
                <w:sz w:val="18"/>
              </w:rPr>
            </w:pPr>
            <w:r>
              <w:rPr>
                <w:spacing w:val="-5"/>
                <w:sz w:val="18"/>
              </w:rPr>
              <w:t>Ⅰ期</w:t>
            </w:r>
          </w:p>
        </w:tc>
        <w:tc>
          <w:tcPr>
            <w:tcW w:w="1234" w:type="dxa"/>
          </w:tcPr>
          <w:p>
            <w:pPr>
              <w:pStyle w:val="TableParagraph"/>
              <w:spacing w:before="2"/>
              <w:ind w:left="108"/>
              <w:rPr>
                <w:sz w:val="18"/>
              </w:rPr>
            </w:pPr>
            <w:r>
              <w:rPr>
                <w:sz w:val="18"/>
              </w:rPr>
              <w:t>1</w:t>
            </w:r>
          </w:p>
        </w:tc>
        <w:tc>
          <w:tcPr>
            <w:tcW w:w="1133" w:type="dxa"/>
          </w:tcPr>
          <w:p>
            <w:pPr>
              <w:pStyle w:val="TableParagraph"/>
              <w:spacing w:before="2"/>
              <w:ind w:left="108"/>
              <w:rPr>
                <w:sz w:val="18"/>
              </w:rPr>
            </w:pPr>
            <w:r>
              <w:rPr>
                <w:sz w:val="18"/>
              </w:rPr>
              <w:t>0</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pacing w:val="-5"/>
                <w:sz w:val="18"/>
              </w:rPr>
              <w:t>Ⅱ期</w:t>
            </w:r>
          </w:p>
        </w:tc>
        <w:tc>
          <w:tcPr>
            <w:tcW w:w="1234" w:type="dxa"/>
          </w:tcPr>
          <w:p>
            <w:pPr>
              <w:pStyle w:val="TableParagraph"/>
              <w:spacing w:before="2"/>
              <w:ind w:left="108"/>
              <w:rPr>
                <w:sz w:val="18"/>
              </w:rPr>
            </w:pPr>
            <w:r>
              <w:rPr>
                <w:spacing w:val="-5"/>
                <w:sz w:val="18"/>
              </w:rPr>
              <w:t>2～3</w:t>
            </w:r>
          </w:p>
        </w:tc>
        <w:tc>
          <w:tcPr>
            <w:tcW w:w="1133" w:type="dxa"/>
          </w:tcPr>
          <w:p>
            <w:pPr>
              <w:pStyle w:val="TableParagraph"/>
              <w:spacing w:before="2"/>
              <w:ind w:left="108"/>
              <w:rPr>
                <w:sz w:val="18"/>
              </w:rPr>
            </w:pPr>
            <w:r>
              <w:rPr>
                <w:sz w:val="18"/>
              </w:rPr>
              <w:t>0</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pacing w:val="-5"/>
                <w:sz w:val="18"/>
              </w:rPr>
              <w:t>Ⅲ期</w:t>
            </w:r>
          </w:p>
        </w:tc>
        <w:tc>
          <w:tcPr>
            <w:tcW w:w="1234" w:type="dxa"/>
          </w:tcPr>
          <w:p>
            <w:pPr>
              <w:pStyle w:val="TableParagraph"/>
              <w:spacing w:before="2"/>
              <w:ind w:left="108"/>
              <w:rPr>
                <w:sz w:val="18"/>
              </w:rPr>
            </w:pPr>
            <w:r>
              <w:rPr>
                <w:spacing w:val="-5"/>
                <w:sz w:val="18"/>
              </w:rPr>
              <w:t>1～3</w:t>
            </w:r>
          </w:p>
        </w:tc>
        <w:tc>
          <w:tcPr>
            <w:tcW w:w="1133" w:type="dxa"/>
          </w:tcPr>
          <w:p>
            <w:pPr>
              <w:pStyle w:val="TableParagraph"/>
              <w:spacing w:before="2"/>
              <w:ind w:left="108"/>
              <w:rPr>
                <w:sz w:val="18"/>
              </w:rPr>
            </w:pPr>
            <w:r>
              <w:rPr>
                <w:spacing w:val="-5"/>
                <w:sz w:val="18"/>
              </w:rPr>
              <w:t>1a</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z w:val="18"/>
              </w:rPr>
              <w:t>ⅣA</w:t>
            </w:r>
            <w:r>
              <w:rPr>
                <w:spacing w:val="-27"/>
                <w:sz w:val="18"/>
              </w:rPr>
              <w:t> 期</w:t>
            </w:r>
          </w:p>
        </w:tc>
        <w:tc>
          <w:tcPr>
            <w:tcW w:w="1234" w:type="dxa"/>
          </w:tcPr>
          <w:p>
            <w:pPr>
              <w:pStyle w:val="TableParagraph"/>
              <w:spacing w:before="2"/>
              <w:ind w:left="108"/>
              <w:rPr>
                <w:sz w:val="18"/>
              </w:rPr>
            </w:pPr>
            <w:r>
              <w:rPr>
                <w:spacing w:val="-5"/>
                <w:sz w:val="18"/>
              </w:rPr>
              <w:t>4a</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0</w:t>
            </w:r>
          </w:p>
        </w:tc>
      </w:tr>
      <w:tr>
        <w:trPr>
          <w:trHeight w:val="313" w:hRule="atLeast"/>
        </w:trPr>
        <w:tc>
          <w:tcPr>
            <w:tcW w:w="1418" w:type="dxa"/>
          </w:tcPr>
          <w:p>
            <w:pPr>
              <w:pStyle w:val="TableParagraph"/>
              <w:ind w:left="0"/>
              <w:rPr>
                <w:rFonts w:ascii="Times New Roman"/>
                <w:sz w:val="16"/>
              </w:rPr>
            </w:pPr>
          </w:p>
        </w:tc>
        <w:tc>
          <w:tcPr>
            <w:tcW w:w="1234" w:type="dxa"/>
          </w:tcPr>
          <w:p>
            <w:pPr>
              <w:pStyle w:val="TableParagraph"/>
              <w:spacing w:before="5"/>
              <w:ind w:left="108"/>
              <w:rPr>
                <w:sz w:val="18"/>
              </w:rPr>
            </w:pPr>
            <w:r>
              <w:rPr>
                <w:spacing w:val="-5"/>
                <w:sz w:val="18"/>
              </w:rPr>
              <w:t>1～3</w:t>
            </w:r>
          </w:p>
        </w:tc>
        <w:tc>
          <w:tcPr>
            <w:tcW w:w="1133" w:type="dxa"/>
          </w:tcPr>
          <w:p>
            <w:pPr>
              <w:pStyle w:val="TableParagraph"/>
              <w:spacing w:before="5"/>
              <w:ind w:left="108"/>
              <w:rPr>
                <w:sz w:val="18"/>
              </w:rPr>
            </w:pPr>
            <w:r>
              <w:rPr>
                <w:spacing w:val="-5"/>
                <w:sz w:val="18"/>
              </w:rPr>
              <w:t>1b</w:t>
            </w:r>
          </w:p>
        </w:tc>
        <w:tc>
          <w:tcPr>
            <w:tcW w:w="1268" w:type="dxa"/>
          </w:tcPr>
          <w:p>
            <w:pPr>
              <w:pStyle w:val="TableParagraph"/>
              <w:spacing w:before="5"/>
              <w:ind w:left="108"/>
              <w:rPr>
                <w:sz w:val="18"/>
              </w:rPr>
            </w:pPr>
            <w:r>
              <w:rPr>
                <w:sz w:val="18"/>
              </w:rPr>
              <w:t>0</w:t>
            </w:r>
          </w:p>
        </w:tc>
      </w:tr>
      <w:tr>
        <w:trPr>
          <w:trHeight w:val="311" w:hRule="atLeast"/>
        </w:trPr>
        <w:tc>
          <w:tcPr>
            <w:tcW w:w="1418" w:type="dxa"/>
          </w:tcPr>
          <w:p>
            <w:pPr>
              <w:pStyle w:val="TableParagraph"/>
              <w:spacing w:before="2"/>
              <w:rPr>
                <w:sz w:val="18"/>
              </w:rPr>
            </w:pPr>
            <w:r>
              <w:rPr>
                <w:sz w:val="18"/>
              </w:rPr>
              <w:t>ⅣB</w:t>
            </w:r>
            <w:r>
              <w:rPr>
                <w:spacing w:val="-27"/>
                <w:sz w:val="18"/>
              </w:rPr>
              <w:t> 期</w:t>
            </w:r>
          </w:p>
        </w:tc>
        <w:tc>
          <w:tcPr>
            <w:tcW w:w="1234" w:type="dxa"/>
          </w:tcPr>
          <w:p>
            <w:pPr>
              <w:pStyle w:val="TableParagraph"/>
              <w:spacing w:before="2"/>
              <w:ind w:left="108"/>
              <w:rPr>
                <w:sz w:val="18"/>
              </w:rPr>
            </w:pPr>
            <w:r>
              <w:rPr>
                <w:spacing w:val="-5"/>
                <w:sz w:val="18"/>
              </w:rPr>
              <w:t>4b</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0</w:t>
            </w:r>
          </w:p>
        </w:tc>
      </w:tr>
      <w:tr>
        <w:trPr>
          <w:trHeight w:val="312" w:hRule="atLeast"/>
        </w:trPr>
        <w:tc>
          <w:tcPr>
            <w:tcW w:w="1418" w:type="dxa"/>
          </w:tcPr>
          <w:p>
            <w:pPr>
              <w:pStyle w:val="TableParagraph"/>
              <w:spacing w:before="3"/>
              <w:rPr>
                <w:sz w:val="18"/>
              </w:rPr>
            </w:pPr>
            <w:r>
              <w:rPr>
                <w:sz w:val="18"/>
              </w:rPr>
              <w:t>ⅣC</w:t>
            </w:r>
            <w:r>
              <w:rPr>
                <w:spacing w:val="-27"/>
                <w:sz w:val="18"/>
              </w:rPr>
              <w:t> 期</w:t>
            </w:r>
          </w:p>
        </w:tc>
        <w:tc>
          <w:tcPr>
            <w:tcW w:w="1234" w:type="dxa"/>
          </w:tcPr>
          <w:p>
            <w:pPr>
              <w:pStyle w:val="TableParagraph"/>
              <w:spacing w:before="3"/>
              <w:ind w:left="108"/>
              <w:rPr>
                <w:sz w:val="18"/>
              </w:rPr>
            </w:pPr>
            <w:r>
              <w:rPr>
                <w:spacing w:val="-5"/>
                <w:sz w:val="18"/>
              </w:rPr>
              <w:t>任何</w:t>
            </w:r>
          </w:p>
        </w:tc>
        <w:tc>
          <w:tcPr>
            <w:tcW w:w="1133" w:type="dxa"/>
          </w:tcPr>
          <w:p>
            <w:pPr>
              <w:pStyle w:val="TableParagraph"/>
              <w:spacing w:before="3"/>
              <w:ind w:left="108"/>
              <w:rPr>
                <w:sz w:val="18"/>
              </w:rPr>
            </w:pPr>
            <w:r>
              <w:rPr>
                <w:spacing w:val="-5"/>
                <w:sz w:val="18"/>
              </w:rPr>
              <w:t>任何</w:t>
            </w:r>
          </w:p>
        </w:tc>
        <w:tc>
          <w:tcPr>
            <w:tcW w:w="1268" w:type="dxa"/>
          </w:tcPr>
          <w:p>
            <w:pPr>
              <w:pStyle w:val="TableParagraph"/>
              <w:spacing w:before="3"/>
              <w:ind w:left="108"/>
              <w:rPr>
                <w:sz w:val="18"/>
              </w:rPr>
            </w:pPr>
            <w:r>
              <w:rPr>
                <w:sz w:val="18"/>
              </w:rPr>
              <w:t>1</w:t>
            </w:r>
          </w:p>
        </w:tc>
      </w:tr>
      <w:tr>
        <w:trPr>
          <w:trHeight w:val="311" w:hRule="atLeast"/>
        </w:trPr>
        <w:tc>
          <w:tcPr>
            <w:tcW w:w="5053" w:type="dxa"/>
            <w:gridSpan w:val="4"/>
          </w:tcPr>
          <w:p>
            <w:pPr>
              <w:pStyle w:val="TableParagraph"/>
              <w:spacing w:before="2"/>
              <w:rPr>
                <w:sz w:val="18"/>
              </w:rPr>
            </w:pPr>
            <w:r>
              <w:rPr>
                <w:sz w:val="18"/>
              </w:rPr>
              <w:t>未分化癌（所有年龄组</w:t>
            </w:r>
            <w:r>
              <w:rPr>
                <w:spacing w:val="-10"/>
                <w:sz w:val="18"/>
              </w:rPr>
              <w:t>）</w:t>
            </w:r>
          </w:p>
        </w:tc>
      </w:tr>
      <w:tr>
        <w:trPr>
          <w:trHeight w:val="311" w:hRule="atLeast"/>
        </w:trPr>
        <w:tc>
          <w:tcPr>
            <w:tcW w:w="1418" w:type="dxa"/>
          </w:tcPr>
          <w:p>
            <w:pPr>
              <w:pStyle w:val="TableParagraph"/>
              <w:spacing w:before="2"/>
              <w:rPr>
                <w:sz w:val="18"/>
              </w:rPr>
            </w:pPr>
            <w:r>
              <w:rPr>
                <w:sz w:val="18"/>
              </w:rPr>
              <w:t>ⅣA</w:t>
            </w:r>
            <w:r>
              <w:rPr>
                <w:spacing w:val="-27"/>
                <w:sz w:val="18"/>
              </w:rPr>
              <w:t> 期</w:t>
            </w:r>
          </w:p>
        </w:tc>
        <w:tc>
          <w:tcPr>
            <w:tcW w:w="1234" w:type="dxa"/>
          </w:tcPr>
          <w:p>
            <w:pPr>
              <w:pStyle w:val="TableParagraph"/>
              <w:spacing w:before="2"/>
              <w:ind w:left="108"/>
              <w:rPr>
                <w:sz w:val="18"/>
              </w:rPr>
            </w:pPr>
            <w:r>
              <w:rPr>
                <w:spacing w:val="-4"/>
                <w:sz w:val="18"/>
              </w:rPr>
              <w:t>1～3a</w:t>
            </w:r>
          </w:p>
        </w:tc>
        <w:tc>
          <w:tcPr>
            <w:tcW w:w="1133" w:type="dxa"/>
          </w:tcPr>
          <w:p>
            <w:pPr>
              <w:pStyle w:val="TableParagraph"/>
              <w:spacing w:before="2"/>
              <w:ind w:left="108"/>
              <w:rPr>
                <w:sz w:val="18"/>
              </w:rPr>
            </w:pPr>
            <w:r>
              <w:rPr>
                <w:spacing w:val="-5"/>
                <w:sz w:val="18"/>
              </w:rPr>
              <w:t>0/x</w:t>
            </w:r>
          </w:p>
        </w:tc>
        <w:tc>
          <w:tcPr>
            <w:tcW w:w="1268" w:type="dxa"/>
          </w:tcPr>
          <w:p>
            <w:pPr>
              <w:pStyle w:val="TableParagraph"/>
              <w:spacing w:before="2"/>
              <w:ind w:left="108"/>
              <w:rPr>
                <w:sz w:val="18"/>
              </w:rPr>
            </w:pPr>
            <w:r>
              <w:rPr>
                <w:sz w:val="18"/>
              </w:rPr>
              <w:t>0</w:t>
            </w:r>
          </w:p>
        </w:tc>
      </w:tr>
      <w:tr>
        <w:trPr>
          <w:trHeight w:val="311" w:hRule="atLeast"/>
        </w:trPr>
        <w:tc>
          <w:tcPr>
            <w:tcW w:w="1418" w:type="dxa"/>
          </w:tcPr>
          <w:p>
            <w:pPr>
              <w:pStyle w:val="TableParagraph"/>
              <w:spacing w:before="2"/>
              <w:rPr>
                <w:sz w:val="18"/>
              </w:rPr>
            </w:pPr>
            <w:r>
              <w:rPr>
                <w:sz w:val="18"/>
              </w:rPr>
              <w:t>ⅣB</w:t>
            </w:r>
            <w:r>
              <w:rPr>
                <w:spacing w:val="-27"/>
                <w:sz w:val="18"/>
              </w:rPr>
              <w:t> 期</w:t>
            </w:r>
          </w:p>
        </w:tc>
        <w:tc>
          <w:tcPr>
            <w:tcW w:w="1234" w:type="dxa"/>
          </w:tcPr>
          <w:p>
            <w:pPr>
              <w:pStyle w:val="TableParagraph"/>
              <w:spacing w:before="2"/>
              <w:ind w:left="108"/>
              <w:rPr>
                <w:sz w:val="18"/>
              </w:rPr>
            </w:pPr>
            <w:r>
              <w:rPr>
                <w:spacing w:val="-4"/>
                <w:sz w:val="18"/>
              </w:rPr>
              <w:t>1～3a</w:t>
            </w:r>
          </w:p>
        </w:tc>
        <w:tc>
          <w:tcPr>
            <w:tcW w:w="1133" w:type="dxa"/>
          </w:tcPr>
          <w:p>
            <w:pPr>
              <w:pStyle w:val="TableParagraph"/>
              <w:spacing w:before="2"/>
              <w:ind w:left="108"/>
              <w:rPr>
                <w:sz w:val="18"/>
              </w:rPr>
            </w:pPr>
            <w:r>
              <w:rPr>
                <w:sz w:val="18"/>
              </w:rPr>
              <w:t>1</w:t>
            </w:r>
          </w:p>
        </w:tc>
        <w:tc>
          <w:tcPr>
            <w:tcW w:w="1268" w:type="dxa"/>
          </w:tcPr>
          <w:p>
            <w:pPr>
              <w:pStyle w:val="TableParagraph"/>
              <w:spacing w:before="2"/>
              <w:ind w:left="108"/>
              <w:rPr>
                <w:sz w:val="18"/>
              </w:rPr>
            </w:pPr>
            <w:r>
              <w:rPr>
                <w:sz w:val="18"/>
              </w:rPr>
              <w:t>0</w:t>
            </w:r>
          </w:p>
        </w:tc>
      </w:tr>
      <w:tr>
        <w:trPr>
          <w:trHeight w:val="313" w:hRule="atLeast"/>
        </w:trPr>
        <w:tc>
          <w:tcPr>
            <w:tcW w:w="1418" w:type="dxa"/>
          </w:tcPr>
          <w:p>
            <w:pPr>
              <w:pStyle w:val="TableParagraph"/>
              <w:ind w:left="0"/>
              <w:rPr>
                <w:rFonts w:ascii="Times New Roman"/>
                <w:sz w:val="16"/>
              </w:rPr>
            </w:pPr>
          </w:p>
        </w:tc>
        <w:tc>
          <w:tcPr>
            <w:tcW w:w="1234" w:type="dxa"/>
          </w:tcPr>
          <w:p>
            <w:pPr>
              <w:pStyle w:val="TableParagraph"/>
              <w:spacing w:before="5"/>
              <w:ind w:left="108"/>
              <w:rPr>
                <w:sz w:val="18"/>
              </w:rPr>
            </w:pPr>
            <w:r>
              <w:rPr>
                <w:spacing w:val="-4"/>
                <w:sz w:val="18"/>
              </w:rPr>
              <w:t>3b～4</w:t>
            </w:r>
          </w:p>
        </w:tc>
        <w:tc>
          <w:tcPr>
            <w:tcW w:w="1133" w:type="dxa"/>
          </w:tcPr>
          <w:p>
            <w:pPr>
              <w:pStyle w:val="TableParagraph"/>
              <w:spacing w:before="5"/>
              <w:ind w:left="108"/>
              <w:rPr>
                <w:sz w:val="18"/>
              </w:rPr>
            </w:pPr>
            <w:r>
              <w:rPr>
                <w:spacing w:val="-5"/>
                <w:sz w:val="18"/>
              </w:rPr>
              <w:t>任何</w:t>
            </w:r>
          </w:p>
        </w:tc>
        <w:tc>
          <w:tcPr>
            <w:tcW w:w="1268" w:type="dxa"/>
          </w:tcPr>
          <w:p>
            <w:pPr>
              <w:pStyle w:val="TableParagraph"/>
              <w:spacing w:before="5"/>
              <w:ind w:left="108"/>
              <w:rPr>
                <w:sz w:val="18"/>
              </w:rPr>
            </w:pPr>
            <w:r>
              <w:rPr>
                <w:sz w:val="18"/>
              </w:rPr>
              <w:t>0</w:t>
            </w:r>
          </w:p>
        </w:tc>
      </w:tr>
      <w:tr>
        <w:trPr>
          <w:trHeight w:val="311" w:hRule="atLeast"/>
        </w:trPr>
        <w:tc>
          <w:tcPr>
            <w:tcW w:w="1418" w:type="dxa"/>
          </w:tcPr>
          <w:p>
            <w:pPr>
              <w:pStyle w:val="TableParagraph"/>
              <w:spacing w:before="2"/>
              <w:rPr>
                <w:sz w:val="18"/>
              </w:rPr>
            </w:pPr>
            <w:r>
              <w:rPr>
                <w:sz w:val="18"/>
              </w:rPr>
              <w:t>ⅣC</w:t>
            </w:r>
            <w:r>
              <w:rPr>
                <w:spacing w:val="-27"/>
                <w:sz w:val="18"/>
              </w:rPr>
              <w:t> 期</w:t>
            </w:r>
          </w:p>
        </w:tc>
        <w:tc>
          <w:tcPr>
            <w:tcW w:w="1234" w:type="dxa"/>
          </w:tcPr>
          <w:p>
            <w:pPr>
              <w:pStyle w:val="TableParagraph"/>
              <w:spacing w:before="2"/>
              <w:ind w:left="108"/>
              <w:rPr>
                <w:sz w:val="18"/>
              </w:rPr>
            </w:pPr>
            <w:r>
              <w:rPr>
                <w:spacing w:val="-5"/>
                <w:sz w:val="18"/>
              </w:rPr>
              <w:t>任何</w:t>
            </w:r>
          </w:p>
        </w:tc>
        <w:tc>
          <w:tcPr>
            <w:tcW w:w="1133" w:type="dxa"/>
          </w:tcPr>
          <w:p>
            <w:pPr>
              <w:pStyle w:val="TableParagraph"/>
              <w:spacing w:before="2"/>
              <w:ind w:left="108"/>
              <w:rPr>
                <w:sz w:val="18"/>
              </w:rPr>
            </w:pPr>
            <w:r>
              <w:rPr>
                <w:spacing w:val="-5"/>
                <w:sz w:val="18"/>
              </w:rPr>
              <w:t>任何</w:t>
            </w:r>
          </w:p>
        </w:tc>
        <w:tc>
          <w:tcPr>
            <w:tcW w:w="1268" w:type="dxa"/>
          </w:tcPr>
          <w:p>
            <w:pPr>
              <w:pStyle w:val="TableParagraph"/>
              <w:spacing w:before="2"/>
              <w:ind w:left="108"/>
              <w:rPr>
                <w:sz w:val="18"/>
              </w:rPr>
            </w:pPr>
            <w:r>
              <w:rPr>
                <w:sz w:val="18"/>
              </w:rPr>
              <w:t>1</w:t>
            </w:r>
          </w:p>
        </w:tc>
      </w:tr>
    </w:tbl>
    <w:p>
      <w:pPr>
        <w:spacing w:before="16"/>
        <w:ind w:left="2960" w:right="0" w:firstLine="0"/>
        <w:jc w:val="left"/>
        <w:rPr>
          <w:sz w:val="18"/>
        </w:rPr>
      </w:pPr>
      <w:r>
        <w:rPr>
          <w:spacing w:val="-1"/>
          <w:sz w:val="18"/>
        </w:rPr>
        <w:t>注：以上表格中“年龄”指患者病理组织标本获取日期时的年龄。</w:t>
      </w:r>
    </w:p>
    <w:p>
      <w:pPr>
        <w:pStyle w:val="BodyText"/>
        <w:spacing w:before="9"/>
        <w:rPr>
          <w:sz w:val="17"/>
        </w:rPr>
      </w:pPr>
    </w:p>
    <w:p>
      <w:pPr>
        <w:pStyle w:val="ListParagraph"/>
        <w:numPr>
          <w:ilvl w:val="1"/>
          <w:numId w:val="107"/>
        </w:numPr>
        <w:tabs>
          <w:tab w:pos="1080" w:val="left" w:leader="none"/>
          <w:tab w:pos="1081" w:val="left" w:leader="none"/>
          <w:tab w:pos="2960" w:val="left" w:leader="none"/>
        </w:tabs>
        <w:spacing w:line="240" w:lineRule="auto" w:before="0" w:after="0"/>
        <w:ind w:left="1080" w:right="0" w:hanging="854"/>
        <w:jc w:val="left"/>
        <w:rPr>
          <w:sz w:val="21"/>
        </w:rPr>
      </w:pPr>
      <w:r>
        <w:rPr>
          <w:rFonts w:ascii="微软雅黑" w:eastAsia="微软雅黑"/>
          <w:b/>
          <w:sz w:val="21"/>
        </w:rPr>
        <w:t>肢</w:t>
      </w:r>
      <w:r>
        <w:rPr>
          <w:rFonts w:ascii="微软雅黑" w:eastAsia="微软雅黑"/>
          <w:b/>
          <w:spacing w:val="-10"/>
          <w:sz w:val="21"/>
        </w:rPr>
        <w:t>体</w:t>
      </w:r>
      <w:r>
        <w:rPr>
          <w:rFonts w:ascii="微软雅黑" w:eastAsia="微软雅黑"/>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spacing w:after="0" w:line="240" w:lineRule="auto"/>
        <w:jc w:val="left"/>
        <w:rPr>
          <w:sz w:val="21"/>
        </w:rPr>
        <w:sectPr>
          <w:pgSz w:w="11910" w:h="16840"/>
          <w:pgMar w:header="0" w:footer="406" w:top="1100" w:bottom="600" w:left="900" w:right="340"/>
        </w:sectPr>
      </w:pPr>
    </w:p>
    <w:p>
      <w:pPr>
        <w:pStyle w:val="ListParagraph"/>
        <w:numPr>
          <w:ilvl w:val="1"/>
          <w:numId w:val="107"/>
        </w:numPr>
        <w:tabs>
          <w:tab w:pos="1080" w:val="left" w:leader="none"/>
          <w:tab w:pos="1081" w:val="left" w:leader="none"/>
          <w:tab w:pos="2960" w:val="left" w:leader="none"/>
        </w:tabs>
        <w:spacing w:line="361" w:lineRule="exact" w:before="0" w:after="0"/>
        <w:ind w:left="1080" w:right="0" w:hanging="854"/>
        <w:jc w:val="left"/>
        <w:rPr>
          <w:sz w:val="21"/>
        </w:rPr>
      </w:pPr>
      <w:r>
        <w:rPr>
          <w:rFonts w:ascii="微软雅黑" w:eastAsia="微软雅黑"/>
          <w:b/>
          <w:sz w:val="21"/>
        </w:rPr>
        <w:t>肌</w:t>
      </w:r>
      <w:r>
        <w:rPr>
          <w:rFonts w:ascii="微软雅黑" w:eastAsia="微软雅黑"/>
          <w:b/>
          <w:spacing w:val="-10"/>
          <w:sz w:val="21"/>
        </w:rPr>
        <w:t>力</w:t>
      </w:r>
      <w:r>
        <w:rPr>
          <w:rFonts w:ascii="微软雅黑" w:eastAsia="微软雅黑"/>
          <w:b/>
          <w:sz w:val="21"/>
        </w:rPr>
        <w:tab/>
      </w:r>
      <w:r>
        <w:rPr>
          <w:spacing w:val="-2"/>
          <w:sz w:val="21"/>
        </w:rPr>
        <w:t>指</w:t>
      </w:r>
      <w:r>
        <w:rPr>
          <w:spacing w:val="-2"/>
          <w:sz w:val="21"/>
        </w:rPr>
        <w:t>肌</w:t>
      </w:r>
      <w:r>
        <w:rPr>
          <w:spacing w:val="-2"/>
          <w:sz w:val="21"/>
        </w:rPr>
        <w:t>肉收缩时的力量。肌</w:t>
      </w:r>
      <w:r>
        <w:rPr>
          <w:spacing w:val="-2"/>
          <w:sz w:val="21"/>
        </w:rPr>
        <w:t>力</w:t>
      </w:r>
      <w:r>
        <w:rPr>
          <w:spacing w:val="-2"/>
          <w:sz w:val="21"/>
        </w:rPr>
        <w:t>划</w:t>
      </w:r>
      <w:r>
        <w:rPr>
          <w:spacing w:val="-2"/>
          <w:sz w:val="21"/>
        </w:rPr>
        <w:t>分为</w:t>
      </w:r>
      <w:r>
        <w:rPr>
          <w:spacing w:val="-50"/>
          <w:sz w:val="21"/>
        </w:rPr>
        <w:t> </w:t>
      </w:r>
      <w:r>
        <w:rPr>
          <w:spacing w:val="-2"/>
          <w:sz w:val="21"/>
        </w:rPr>
        <w:t>0-5</w:t>
      </w:r>
      <w:r>
        <w:rPr>
          <w:spacing w:val="9"/>
          <w:sz w:val="21"/>
        </w:rPr>
        <w:t> </w:t>
      </w:r>
      <w:r>
        <w:rPr>
          <w:spacing w:val="-2"/>
          <w:sz w:val="21"/>
        </w:rPr>
        <w:t>级，具体为</w:t>
      </w:r>
      <w:r>
        <w:rPr>
          <w:spacing w:val="-10"/>
          <w:sz w:val="21"/>
        </w:rPr>
        <w:t>：</w:t>
      </w:r>
    </w:p>
    <w:p>
      <w:pPr>
        <w:pStyle w:val="ListParagraph"/>
        <w:numPr>
          <w:ilvl w:val="0"/>
          <w:numId w:val="112"/>
        </w:numPr>
        <w:tabs>
          <w:tab w:pos="3119" w:val="left" w:leader="none"/>
        </w:tabs>
        <w:spacing w:line="265" w:lineRule="exact" w:before="0" w:after="0"/>
        <w:ind w:left="3118" w:right="0" w:hanging="159"/>
        <w:jc w:val="left"/>
        <w:rPr>
          <w:sz w:val="21"/>
        </w:rPr>
      </w:pPr>
      <w:r>
        <w:rPr>
          <w:spacing w:val="-3"/>
          <w:sz w:val="21"/>
        </w:rPr>
        <w:t>级：肌肉完全瘫痪，毫无收缩。</w:t>
      </w:r>
    </w:p>
    <w:p>
      <w:pPr>
        <w:pStyle w:val="ListParagraph"/>
        <w:numPr>
          <w:ilvl w:val="0"/>
          <w:numId w:val="112"/>
        </w:numPr>
        <w:tabs>
          <w:tab w:pos="3119" w:val="left" w:leader="none"/>
        </w:tabs>
        <w:spacing w:line="240" w:lineRule="auto" w:before="43" w:after="0"/>
        <w:ind w:left="3118" w:right="0" w:hanging="159"/>
        <w:jc w:val="left"/>
        <w:rPr>
          <w:sz w:val="21"/>
        </w:rPr>
      </w:pPr>
      <w:r>
        <w:rPr>
          <w:spacing w:val="-3"/>
          <w:sz w:val="21"/>
        </w:rPr>
        <w:t>级：可看到或者触及肌肉轻微收缩，但不能产生动作。</w:t>
      </w:r>
    </w:p>
    <w:p>
      <w:pPr>
        <w:pStyle w:val="ListParagraph"/>
        <w:numPr>
          <w:ilvl w:val="0"/>
          <w:numId w:val="112"/>
        </w:numPr>
        <w:tabs>
          <w:tab w:pos="3119" w:val="left" w:leader="none"/>
        </w:tabs>
        <w:spacing w:line="278" w:lineRule="auto" w:before="43" w:after="0"/>
        <w:ind w:left="3538" w:right="666" w:hanging="579"/>
        <w:jc w:val="left"/>
        <w:rPr>
          <w:sz w:val="21"/>
        </w:rPr>
      </w:pPr>
      <w:r>
        <w:rPr>
          <w:spacing w:val="-2"/>
          <w:sz w:val="21"/>
        </w:rPr>
        <w:t>级：肌肉在不受重力影响下，可进行运动，即肢体能在床面上移动，但不能</w:t>
      </w:r>
      <w:r>
        <w:rPr>
          <w:spacing w:val="-4"/>
          <w:sz w:val="21"/>
        </w:rPr>
        <w:t>抬高。</w:t>
      </w:r>
    </w:p>
    <w:p>
      <w:pPr>
        <w:pStyle w:val="ListParagraph"/>
        <w:numPr>
          <w:ilvl w:val="0"/>
          <w:numId w:val="112"/>
        </w:numPr>
        <w:tabs>
          <w:tab w:pos="3119" w:val="left" w:leader="none"/>
        </w:tabs>
        <w:spacing w:line="269" w:lineRule="exact" w:before="0" w:after="0"/>
        <w:ind w:left="3118" w:right="0" w:hanging="159"/>
        <w:jc w:val="left"/>
        <w:rPr>
          <w:sz w:val="21"/>
        </w:rPr>
      </w:pPr>
      <w:r>
        <w:rPr>
          <w:spacing w:val="-3"/>
          <w:sz w:val="21"/>
        </w:rPr>
        <w:t>级：在和地心引力相反的方向中尚能完成其动作，但不能对抗外加阻力。</w:t>
      </w:r>
    </w:p>
    <w:p>
      <w:pPr>
        <w:pStyle w:val="ListParagraph"/>
        <w:numPr>
          <w:ilvl w:val="0"/>
          <w:numId w:val="112"/>
        </w:numPr>
        <w:tabs>
          <w:tab w:pos="3119" w:val="left" w:leader="none"/>
        </w:tabs>
        <w:spacing w:line="240" w:lineRule="auto" w:before="43" w:after="0"/>
        <w:ind w:left="3118" w:right="0" w:hanging="159"/>
        <w:jc w:val="left"/>
        <w:rPr>
          <w:sz w:val="21"/>
        </w:rPr>
      </w:pPr>
      <w:r>
        <w:rPr>
          <w:spacing w:val="-3"/>
          <w:sz w:val="21"/>
        </w:rPr>
        <w:t>级：能对抗一定的阻力，但较正常人为低。</w:t>
      </w:r>
    </w:p>
    <w:p>
      <w:pPr>
        <w:pStyle w:val="ListParagraph"/>
        <w:numPr>
          <w:ilvl w:val="0"/>
          <w:numId w:val="112"/>
        </w:numPr>
        <w:tabs>
          <w:tab w:pos="3119" w:val="left" w:leader="none"/>
        </w:tabs>
        <w:spacing w:line="240" w:lineRule="auto" w:before="42" w:after="0"/>
        <w:ind w:left="3118" w:right="0" w:hanging="159"/>
        <w:jc w:val="left"/>
        <w:rPr>
          <w:sz w:val="21"/>
        </w:rPr>
      </w:pPr>
      <w:r>
        <w:rPr>
          <w:spacing w:val="-4"/>
          <w:sz w:val="21"/>
        </w:rPr>
        <w:t>级：正常肌力。</w:t>
      </w:r>
    </w:p>
    <w:p>
      <w:pPr>
        <w:pStyle w:val="BodyText"/>
        <w:spacing w:before="8"/>
        <w:rPr>
          <w:sz w:val="15"/>
        </w:rPr>
      </w:pPr>
    </w:p>
    <w:p>
      <w:pPr>
        <w:spacing w:after="0"/>
        <w:rPr>
          <w:sz w:val="15"/>
        </w:rPr>
        <w:sectPr>
          <w:pgSz w:w="11910" w:h="16840"/>
          <w:pgMar w:header="0" w:footer="406" w:top="1320" w:bottom="600" w:left="900" w:right="340"/>
        </w:sectPr>
      </w:pPr>
    </w:p>
    <w:p>
      <w:pPr>
        <w:pStyle w:val="Heading2"/>
        <w:numPr>
          <w:ilvl w:val="1"/>
          <w:numId w:val="107"/>
        </w:numPr>
        <w:tabs>
          <w:tab w:pos="1080" w:val="left" w:leader="none"/>
          <w:tab w:pos="1081" w:val="left" w:leader="none"/>
        </w:tabs>
        <w:spacing w:line="194" w:lineRule="auto" w:before="57" w:after="0"/>
        <w:ind w:left="1080" w:right="38" w:hanging="853"/>
        <w:jc w:val="left"/>
      </w:pPr>
      <w:r>
        <w:rPr>
          <w:spacing w:val="-2"/>
        </w:rPr>
        <w:t>六项基本日常生</w:t>
      </w:r>
      <w:r>
        <w:rPr>
          <w:spacing w:val="-4"/>
        </w:rPr>
        <w:t>活活动</w:t>
      </w:r>
    </w:p>
    <w:p>
      <w:pPr>
        <w:pStyle w:val="BodyText"/>
        <w:spacing w:before="71"/>
        <w:ind w:left="228"/>
      </w:pPr>
      <w:r>
        <w:rPr/>
        <w:br w:type="column"/>
      </w:r>
      <w:r>
        <w:rPr>
          <w:spacing w:val="-3"/>
        </w:rPr>
        <w:t>六项基本日常生活活动是指</w:t>
      </w:r>
    </w:p>
    <w:p>
      <w:pPr>
        <w:pStyle w:val="ListParagraph"/>
        <w:numPr>
          <w:ilvl w:val="0"/>
          <w:numId w:val="113"/>
        </w:numPr>
        <w:tabs>
          <w:tab w:pos="757" w:val="left" w:leader="none"/>
        </w:tabs>
        <w:spacing w:line="240" w:lineRule="auto" w:before="43" w:after="0"/>
        <w:ind w:left="757" w:right="0" w:hanging="529"/>
        <w:jc w:val="left"/>
        <w:rPr>
          <w:sz w:val="21"/>
        </w:rPr>
      </w:pPr>
      <w:r>
        <w:rPr>
          <w:spacing w:val="-3"/>
          <w:sz w:val="21"/>
        </w:rPr>
        <w:t>穿衣：自己能够穿衣及脱衣；</w:t>
      </w:r>
    </w:p>
    <w:p>
      <w:pPr>
        <w:pStyle w:val="ListParagraph"/>
        <w:numPr>
          <w:ilvl w:val="0"/>
          <w:numId w:val="113"/>
        </w:numPr>
        <w:tabs>
          <w:tab w:pos="757" w:val="left" w:leader="none"/>
        </w:tabs>
        <w:spacing w:line="240" w:lineRule="auto" w:before="43" w:after="0"/>
        <w:ind w:left="757" w:right="0" w:hanging="529"/>
        <w:jc w:val="left"/>
        <w:rPr>
          <w:sz w:val="21"/>
        </w:rPr>
      </w:pPr>
      <w:r>
        <w:rPr>
          <w:spacing w:val="-3"/>
          <w:sz w:val="21"/>
        </w:rPr>
        <w:t>移动：自己从一个房间到另一个房间；</w:t>
      </w:r>
    </w:p>
    <w:p>
      <w:pPr>
        <w:pStyle w:val="ListParagraph"/>
        <w:numPr>
          <w:ilvl w:val="0"/>
          <w:numId w:val="113"/>
        </w:numPr>
        <w:tabs>
          <w:tab w:pos="757" w:val="left" w:leader="none"/>
        </w:tabs>
        <w:spacing w:line="240" w:lineRule="auto" w:before="43" w:after="0"/>
        <w:ind w:left="757" w:right="0" w:hanging="529"/>
        <w:jc w:val="left"/>
        <w:rPr>
          <w:sz w:val="21"/>
        </w:rPr>
      </w:pPr>
      <w:r>
        <w:rPr>
          <w:spacing w:val="-3"/>
          <w:sz w:val="21"/>
        </w:rPr>
        <w:t>行动：自己上下床或上下轮椅；</w:t>
      </w:r>
    </w:p>
    <w:p>
      <w:pPr>
        <w:pStyle w:val="ListParagraph"/>
        <w:numPr>
          <w:ilvl w:val="0"/>
          <w:numId w:val="113"/>
        </w:numPr>
        <w:tabs>
          <w:tab w:pos="757" w:val="left" w:leader="none"/>
        </w:tabs>
        <w:spacing w:line="240" w:lineRule="auto" w:before="43" w:after="0"/>
        <w:ind w:left="757" w:right="0" w:hanging="529"/>
        <w:jc w:val="left"/>
        <w:rPr>
          <w:sz w:val="21"/>
        </w:rPr>
      </w:pPr>
      <w:r>
        <w:rPr>
          <w:spacing w:val="-3"/>
          <w:sz w:val="21"/>
        </w:rPr>
        <w:t>如厕：自己控制进行大小便；</w:t>
      </w:r>
    </w:p>
    <w:p>
      <w:pPr>
        <w:pStyle w:val="ListParagraph"/>
        <w:numPr>
          <w:ilvl w:val="0"/>
          <w:numId w:val="113"/>
        </w:numPr>
        <w:tabs>
          <w:tab w:pos="757" w:val="left" w:leader="none"/>
        </w:tabs>
        <w:spacing w:line="240" w:lineRule="auto" w:before="43" w:after="0"/>
        <w:ind w:left="757" w:right="0" w:hanging="529"/>
        <w:jc w:val="left"/>
        <w:rPr>
          <w:sz w:val="21"/>
        </w:rPr>
      </w:pPr>
      <w:r>
        <w:rPr>
          <w:spacing w:val="-3"/>
          <w:sz w:val="21"/>
        </w:rPr>
        <w:t>进食：自己从已准备好的碗或碟中取食物放入口中；</w:t>
      </w:r>
    </w:p>
    <w:p>
      <w:pPr>
        <w:pStyle w:val="ListParagraph"/>
        <w:numPr>
          <w:ilvl w:val="0"/>
          <w:numId w:val="113"/>
        </w:numPr>
        <w:tabs>
          <w:tab w:pos="757" w:val="left" w:leader="none"/>
        </w:tabs>
        <w:spacing w:line="257" w:lineRule="exact" w:before="43" w:after="0"/>
        <w:ind w:left="757" w:right="0" w:hanging="529"/>
        <w:jc w:val="left"/>
        <w:rPr>
          <w:sz w:val="21"/>
        </w:rPr>
      </w:pPr>
      <w:r>
        <w:rPr>
          <w:spacing w:val="-3"/>
          <w:sz w:val="21"/>
        </w:rPr>
        <w:t>洗澡：自己进行淋浴或盆浴。</w:t>
      </w:r>
    </w:p>
    <w:p>
      <w:pPr>
        <w:pStyle w:val="Heading2"/>
        <w:spacing w:line="375" w:lineRule="exact"/>
        <w:ind w:left="228"/>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活动能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66"/>
          <w:w w:val="150"/>
        </w:rPr>
        <w:t> </w:t>
      </w:r>
      <w:r>
        <w:rPr>
          <w:w w:val="95"/>
        </w:rPr>
        <w:t>0-3</w:t>
      </w:r>
      <w:r>
        <w:rPr>
          <w:spacing w:val="66"/>
          <w:w w:val="150"/>
        </w:rPr>
        <w:t> </w:t>
      </w:r>
      <w:r>
        <w:rPr>
          <w:w w:val="95"/>
        </w:rPr>
        <w:t>周</w:t>
      </w:r>
      <w:r>
        <w:rPr>
          <w:w w:val="95"/>
        </w:rPr>
        <w:t>岁</w:t>
      </w:r>
      <w:r>
        <w:rPr>
          <w:w w:val="95"/>
        </w:rPr>
        <w:t>幼</w:t>
      </w:r>
      <w:r>
        <w:rPr>
          <w:w w:val="95"/>
        </w:rPr>
        <w:t>儿</w:t>
      </w:r>
      <w:r>
        <w:rPr>
          <w:spacing w:val="-10"/>
          <w:w w:val="95"/>
        </w:rPr>
        <w:t>。</w:t>
      </w:r>
    </w:p>
    <w:p>
      <w:pPr>
        <w:spacing w:after="0" w:line="375" w:lineRule="exact"/>
        <w:sectPr>
          <w:type w:val="continuous"/>
          <w:pgSz w:w="11910" w:h="16840"/>
          <w:pgMar w:header="0" w:footer="406" w:top="600" w:bottom="280" w:left="900" w:right="340"/>
          <w:cols w:num="2" w:equalWidth="0">
            <w:col w:w="2599" w:space="133"/>
            <w:col w:w="7938"/>
          </w:cols>
        </w:sectPr>
      </w:pPr>
    </w:p>
    <w:p>
      <w:pPr>
        <w:pStyle w:val="BodyText"/>
        <w:spacing w:before="17"/>
        <w:rPr>
          <w:rFonts w:ascii="微软雅黑"/>
          <w:b/>
          <w:sz w:val="7"/>
        </w:rPr>
      </w:pPr>
    </w:p>
    <w:p>
      <w:pPr>
        <w:pStyle w:val="ListParagraph"/>
        <w:numPr>
          <w:ilvl w:val="1"/>
          <w:numId w:val="107"/>
        </w:numPr>
        <w:tabs>
          <w:tab w:pos="1080" w:val="left" w:leader="none"/>
          <w:tab w:pos="1081" w:val="left" w:leader="none"/>
          <w:tab w:pos="2960" w:val="left" w:leader="none"/>
        </w:tabs>
        <w:spacing w:line="235" w:lineRule="auto" w:before="10" w:after="0"/>
        <w:ind w:left="2960" w:right="666" w:hanging="2733"/>
        <w:jc w:val="left"/>
        <w:rPr>
          <w:sz w:val="21"/>
        </w:rPr>
      </w:pPr>
      <w:r>
        <w:rPr>
          <w:rFonts w:ascii="微软雅黑" w:eastAsia="微软雅黑"/>
          <w:b/>
          <w:spacing w:val="-2"/>
          <w:sz w:val="21"/>
        </w:rPr>
        <w:t>永</w:t>
      </w:r>
      <w:r>
        <w:rPr>
          <w:rFonts w:ascii="微软雅黑" w:eastAsia="微软雅黑"/>
          <w:b/>
          <w:spacing w:val="-2"/>
          <w:sz w:val="21"/>
        </w:rPr>
        <w:t>久</w:t>
      </w:r>
      <w:r>
        <w:rPr>
          <w:rFonts w:ascii="微软雅黑" w:eastAsia="微软雅黑"/>
          <w:b/>
          <w:spacing w:val="-2"/>
          <w:sz w:val="21"/>
        </w:rPr>
        <w:t>不</w:t>
      </w:r>
      <w:r>
        <w:rPr>
          <w:rFonts w:ascii="微软雅黑" w:eastAsia="微软雅黑"/>
          <w:b/>
          <w:spacing w:val="-2"/>
          <w:sz w:val="21"/>
        </w:rPr>
        <w:t>可</w:t>
      </w:r>
      <w:r>
        <w:rPr>
          <w:rFonts w:ascii="微软雅黑" w:eastAsia="微软雅黑"/>
          <w:b/>
          <w:spacing w:val="-2"/>
          <w:sz w:val="21"/>
        </w:rPr>
        <w:t>逆</w:t>
      </w:r>
      <w:r>
        <w:rPr>
          <w:rFonts w:ascii="微软雅黑" w:eastAsia="微软雅黑"/>
          <w:b/>
          <w:sz w:val="21"/>
        </w:rPr>
        <w:tab/>
      </w:r>
      <w:r>
        <w:rPr>
          <w:sz w:val="21"/>
        </w:rPr>
        <w:t>指自疾病确诊或意外伤害</w:t>
      </w:r>
      <w:r>
        <w:rPr>
          <w:sz w:val="21"/>
        </w:rPr>
        <w:t>发生之日起，经过积极治疗</w:t>
      </w:r>
      <w:r>
        <w:rPr>
          <w:spacing w:val="-16"/>
          <w:sz w:val="21"/>
        </w:rPr>
        <w:t> </w:t>
      </w:r>
      <w:r>
        <w:rPr>
          <w:sz w:val="21"/>
        </w:rPr>
        <w:t>180</w:t>
      </w:r>
      <w:r>
        <w:rPr>
          <w:spacing w:val="-16"/>
          <w:sz w:val="21"/>
        </w:rPr>
        <w:t> </w:t>
      </w:r>
      <w:r>
        <w:rPr>
          <w:sz w:val="21"/>
        </w:rPr>
        <w:t>天后，仍无法通过</w:t>
      </w:r>
      <w:r>
        <w:rPr>
          <w:spacing w:val="-2"/>
          <w:sz w:val="21"/>
        </w:rPr>
        <w:t>现</w:t>
      </w:r>
      <w:r>
        <w:rPr>
          <w:spacing w:val="-2"/>
          <w:sz w:val="21"/>
        </w:rPr>
        <w:t>有</w:t>
      </w:r>
      <w:r>
        <w:rPr>
          <w:spacing w:val="-2"/>
          <w:sz w:val="21"/>
        </w:rPr>
        <w:t>医疗手段恢</w:t>
      </w:r>
      <w:r>
        <w:rPr>
          <w:spacing w:val="-2"/>
          <w:sz w:val="21"/>
        </w:rPr>
        <w:t>复</w:t>
      </w:r>
      <w:r>
        <w:rPr>
          <w:spacing w:val="-2"/>
          <w:sz w:val="21"/>
        </w:rPr>
        <w:t>。</w:t>
      </w:r>
    </w:p>
    <w:p>
      <w:pPr>
        <w:pStyle w:val="BodyText"/>
        <w:spacing w:before="7"/>
        <w:rPr>
          <w:sz w:val="15"/>
        </w:rPr>
      </w:pPr>
    </w:p>
    <w:p>
      <w:pPr>
        <w:spacing w:after="0"/>
        <w:rPr>
          <w:sz w:val="15"/>
        </w:rPr>
        <w:sectPr>
          <w:type w:val="continuous"/>
          <w:pgSz w:w="11910" w:h="16840"/>
          <w:pgMar w:header="0" w:footer="406" w:top="600" w:bottom="280" w:left="900" w:right="340"/>
        </w:sectPr>
      </w:pPr>
    </w:p>
    <w:p>
      <w:pPr>
        <w:pStyle w:val="Heading2"/>
        <w:numPr>
          <w:ilvl w:val="1"/>
          <w:numId w:val="107"/>
        </w:numPr>
        <w:tabs>
          <w:tab w:pos="1080" w:val="left" w:leader="none"/>
          <w:tab w:pos="1081" w:val="left" w:leader="none"/>
        </w:tabs>
        <w:spacing w:line="350" w:lineRule="exact" w:before="5" w:after="0"/>
        <w:ind w:left="1080" w:right="0" w:hanging="854"/>
        <w:jc w:val="left"/>
      </w:pPr>
      <w:r>
        <w:rPr>
          <w:spacing w:val="-2"/>
        </w:rPr>
        <w:t>美国纽约心脏病</w:t>
      </w:r>
    </w:p>
    <w:p>
      <w:pPr>
        <w:spacing w:line="194" w:lineRule="auto" w:before="15"/>
        <w:ind w:left="1080" w:right="0" w:firstLine="0"/>
        <w:jc w:val="left"/>
        <w:rPr>
          <w:rFonts w:ascii="微软雅黑" w:eastAsia="微软雅黑"/>
          <w:b/>
          <w:sz w:val="21"/>
        </w:rPr>
      </w:pPr>
      <w:r>
        <w:rPr>
          <w:rFonts w:ascii="微软雅黑" w:eastAsia="微软雅黑"/>
          <w:b/>
          <w:spacing w:val="-2"/>
          <w:sz w:val="21"/>
        </w:rPr>
        <w:t>学会（New</w:t>
      </w:r>
      <w:r>
        <w:rPr>
          <w:rFonts w:ascii="微软雅黑" w:eastAsia="微软雅黑"/>
          <w:b/>
          <w:spacing w:val="5"/>
          <w:sz w:val="21"/>
        </w:rPr>
        <w:t> </w:t>
      </w:r>
      <w:r>
        <w:rPr>
          <w:rFonts w:ascii="微软雅黑" w:eastAsia="微软雅黑"/>
          <w:b/>
          <w:spacing w:val="-2"/>
          <w:sz w:val="21"/>
        </w:rPr>
        <w:t>York Heart Association， </w:t>
      </w:r>
      <w:r>
        <w:rPr>
          <w:rFonts w:ascii="微软雅黑" w:eastAsia="微软雅黑"/>
          <w:b/>
          <w:spacing w:val="-2"/>
          <w:w w:val="85"/>
          <w:sz w:val="21"/>
        </w:rPr>
        <w:t>NYHA）</w:t>
      </w:r>
      <w:r>
        <w:rPr>
          <w:rFonts w:ascii="微软雅黑" w:eastAsia="微软雅黑"/>
          <w:b/>
          <w:spacing w:val="-2"/>
          <w:w w:val="85"/>
          <w:sz w:val="21"/>
        </w:rPr>
        <w:t>心</w:t>
      </w:r>
      <w:r>
        <w:rPr>
          <w:rFonts w:ascii="微软雅黑" w:eastAsia="微软雅黑"/>
          <w:b/>
          <w:spacing w:val="-2"/>
          <w:w w:val="85"/>
          <w:sz w:val="21"/>
        </w:rPr>
        <w:t>功</w:t>
      </w:r>
      <w:r>
        <w:rPr>
          <w:rFonts w:ascii="微软雅黑" w:eastAsia="微软雅黑"/>
          <w:b/>
          <w:spacing w:val="-2"/>
          <w:w w:val="85"/>
          <w:sz w:val="21"/>
        </w:rPr>
        <w:t>能</w:t>
      </w:r>
      <w:r>
        <w:rPr>
          <w:rFonts w:ascii="微软雅黑" w:eastAsia="微软雅黑"/>
          <w:b/>
          <w:spacing w:val="-2"/>
          <w:w w:val="85"/>
          <w:sz w:val="21"/>
        </w:rPr>
        <w:t>状</w:t>
      </w:r>
      <w:r>
        <w:rPr>
          <w:rFonts w:ascii="微软雅黑" w:eastAsia="微软雅黑"/>
          <w:b/>
          <w:spacing w:val="-2"/>
          <w:w w:val="85"/>
          <w:sz w:val="21"/>
        </w:rPr>
        <w:t>态</w:t>
      </w:r>
      <w:r>
        <w:rPr>
          <w:rFonts w:ascii="微软雅黑" w:eastAsia="微软雅黑"/>
          <w:b/>
          <w:spacing w:val="-6"/>
          <w:sz w:val="21"/>
        </w:rPr>
        <w:t>分级</w:t>
      </w:r>
    </w:p>
    <w:p>
      <w:pPr>
        <w:pStyle w:val="BodyText"/>
        <w:spacing w:line="278" w:lineRule="auto" w:before="72"/>
        <w:ind w:left="174" w:right="670"/>
      </w:pPr>
      <w:r>
        <w:rPr/>
        <w:br w:type="column"/>
      </w:r>
      <w:r>
        <w:rPr/>
        <w:t>美国纽约心脏病学会（New York Heart Association，NYHA）将心功能状态</w:t>
      </w:r>
      <w:r>
        <w:rPr>
          <w:spacing w:val="-2"/>
        </w:rPr>
        <w:t>分为四级：</w:t>
      </w:r>
    </w:p>
    <w:p>
      <w:pPr>
        <w:pStyle w:val="BodyText"/>
        <w:spacing w:line="278" w:lineRule="auto"/>
        <w:ind w:left="174" w:right="667"/>
      </w:pPr>
      <w:r>
        <w:rPr>
          <w:spacing w:val="-2"/>
        </w:rPr>
        <w:t>Ⅰ级：心脏病病人日常活动量不受限制，一般活动不引起乏力、呼吸困难等</w:t>
      </w:r>
      <w:r>
        <w:rPr>
          <w:spacing w:val="-2"/>
        </w:rPr>
        <w:t>心衰症状。</w:t>
      </w:r>
    </w:p>
    <w:p>
      <w:pPr>
        <w:pStyle w:val="BodyText"/>
        <w:spacing w:line="278" w:lineRule="auto"/>
        <w:ind w:left="174" w:right="667"/>
      </w:pPr>
      <w:r>
        <w:rPr>
          <w:spacing w:val="-2"/>
        </w:rPr>
        <w:t>Ⅱ级：心脏病病人体力活动轻度受限制，休息时无自觉症状，一般活动下可</w:t>
      </w:r>
      <w:r>
        <w:rPr>
          <w:spacing w:val="-2"/>
        </w:rPr>
        <w:t>出现心衰症状。</w:t>
      </w:r>
    </w:p>
    <w:p>
      <w:pPr>
        <w:pStyle w:val="BodyText"/>
        <w:spacing w:line="278" w:lineRule="auto"/>
        <w:ind w:left="174" w:right="667"/>
      </w:pPr>
      <w:r>
        <w:rPr>
          <w:spacing w:val="-2"/>
        </w:rPr>
        <w:t>Ⅲ级：心脏病病人体力活动明显受限，低于平时一般活动即引起心衰症状。</w:t>
      </w:r>
      <w:r>
        <w:rPr>
          <w:spacing w:val="-2"/>
        </w:rPr>
        <w:t> Ⅳ级：心脏病病人不能从事任何体力活动，休息状态下也存在心衰症状，活</w:t>
      </w:r>
      <w:r>
        <w:rPr>
          <w:spacing w:val="-2"/>
        </w:rPr>
        <w:t>动后加重。</w:t>
      </w:r>
    </w:p>
    <w:p>
      <w:pPr>
        <w:spacing w:after="0" w:line="278" w:lineRule="auto"/>
        <w:sectPr>
          <w:type w:val="continuous"/>
          <w:pgSz w:w="11910" w:h="16840"/>
          <w:pgMar w:header="0" w:footer="406" w:top="600" w:bottom="280" w:left="900" w:right="340"/>
          <w:cols w:num="2" w:equalWidth="0">
            <w:col w:w="2747" w:space="40"/>
            <w:col w:w="7883"/>
          </w:cols>
        </w:sectPr>
      </w:pPr>
    </w:p>
    <w:p>
      <w:pPr>
        <w:pStyle w:val="BodyText"/>
        <w:spacing w:before="12"/>
        <w:rPr>
          <w:sz w:val="11"/>
        </w:rPr>
      </w:pPr>
    </w:p>
    <w:p>
      <w:pPr>
        <w:spacing w:after="0"/>
        <w:rPr>
          <w:sz w:val="11"/>
        </w:rPr>
        <w:sectPr>
          <w:type w:val="continuous"/>
          <w:pgSz w:w="11910" w:h="16840"/>
          <w:pgMar w:header="0" w:footer="406" w:top="600" w:bottom="280" w:left="900" w:right="340"/>
        </w:sectPr>
      </w:pPr>
    </w:p>
    <w:p>
      <w:pPr>
        <w:pStyle w:val="Heading2"/>
        <w:numPr>
          <w:ilvl w:val="1"/>
          <w:numId w:val="107"/>
        </w:numPr>
        <w:tabs>
          <w:tab w:pos="1080" w:val="left" w:leader="none"/>
          <w:tab w:pos="1081" w:val="left" w:leader="none"/>
        </w:tabs>
        <w:spacing w:line="350" w:lineRule="exact" w:before="5" w:after="0"/>
        <w:ind w:left="1080" w:right="0" w:hanging="854"/>
        <w:jc w:val="left"/>
      </w:pPr>
      <w:r>
        <w:rPr>
          <w:spacing w:val="-2"/>
        </w:rPr>
        <w:t>语言能力完全丧</w:t>
      </w:r>
    </w:p>
    <w:p>
      <w:pPr>
        <w:spacing w:line="194" w:lineRule="auto" w:before="15"/>
        <w:ind w:left="1080" w:right="0" w:firstLine="0"/>
        <w:jc w:val="left"/>
        <w:rPr>
          <w:rFonts w:ascii="微软雅黑" w:eastAsia="微软雅黑"/>
          <w:b/>
          <w:sz w:val="21"/>
        </w:rPr>
      </w:pPr>
      <w:r>
        <w:rPr>
          <w:rFonts w:ascii="微软雅黑" w:eastAsia="微软雅黑"/>
          <w:b/>
          <w:spacing w:val="-4"/>
          <w:sz w:val="21"/>
        </w:rPr>
        <w:t>失，或严重咀嚼吞</w:t>
      </w:r>
      <w:r>
        <w:rPr>
          <w:rFonts w:ascii="微软雅黑" w:eastAsia="微软雅黑"/>
          <w:b/>
          <w:spacing w:val="-2"/>
          <w:sz w:val="21"/>
        </w:rPr>
        <w:t>咽功能障碍</w:t>
      </w:r>
    </w:p>
    <w:p>
      <w:pPr>
        <w:pStyle w:val="BodyText"/>
        <w:spacing w:line="278" w:lineRule="auto" w:before="72"/>
        <w:ind w:left="174" w:right="767"/>
        <w:jc w:val="both"/>
      </w:pPr>
      <w:r>
        <w:rPr/>
        <w:br w:type="column"/>
      </w:r>
      <w:r>
        <w:rPr>
          <w:spacing w:val="-2"/>
        </w:rPr>
        <w:t>语言能力完全丧失，指无法发出四种语音（包括口唇音、齿舌音、口盖音和</w:t>
      </w:r>
      <w:r>
        <w:rPr>
          <w:spacing w:val="-2"/>
        </w:rPr>
        <w:t>喉头音）中的任何三种、或声带全部切除，或因大脑语言中枢受伤害而患失</w:t>
      </w:r>
      <w:r>
        <w:rPr>
          <w:spacing w:val="-4"/>
        </w:rPr>
        <w:t>语症。</w:t>
      </w:r>
    </w:p>
    <w:p>
      <w:pPr>
        <w:pStyle w:val="BodyText"/>
        <w:spacing w:line="278" w:lineRule="auto"/>
        <w:ind w:left="174" w:right="767"/>
      </w:pPr>
      <w:r>
        <w:rPr>
          <w:spacing w:val="-2"/>
        </w:rPr>
        <w:t>严重咀嚼吞咽功能障碍，指因牙齿以外的原因导致器质障碍或机能障碍，以</w:t>
      </w:r>
      <w:r>
        <w:rPr>
          <w:spacing w:val="-2"/>
        </w:rPr>
        <w:t>致不能作咀嚼吞咽运动，除流质食物外不能摄取或吞咽的状态。</w:t>
      </w:r>
    </w:p>
    <w:p>
      <w:pPr>
        <w:spacing w:after="0" w:line="278" w:lineRule="auto"/>
        <w:sectPr>
          <w:type w:val="continuous"/>
          <w:pgSz w:w="11910" w:h="16840"/>
          <w:pgMar w:header="0" w:footer="406" w:top="600" w:bottom="280" w:left="900" w:right="340"/>
          <w:cols w:num="2" w:equalWidth="0">
            <w:col w:w="2747" w:space="40"/>
            <w:col w:w="7883"/>
          </w:cols>
        </w:sectPr>
      </w:pPr>
    </w:p>
    <w:p>
      <w:pPr>
        <w:pStyle w:val="BodyText"/>
        <w:spacing w:before="8"/>
        <w:rPr>
          <w:sz w:val="22"/>
        </w:rPr>
      </w:pPr>
    </w:p>
    <w:p>
      <w:pPr>
        <w:spacing w:before="5"/>
        <w:ind w:left="120" w:right="0" w:firstLine="0"/>
        <w:jc w:val="left"/>
        <w:rPr>
          <w:rFonts w:ascii="微软雅黑" w:eastAsia="微软雅黑"/>
          <w:b/>
          <w:sz w:val="21"/>
        </w:rPr>
      </w:pPr>
      <w:r>
        <w:rPr>
          <w:rFonts w:ascii="微软雅黑" w:eastAsia="微软雅黑"/>
          <w:b/>
          <w:w w:val="95"/>
          <w:sz w:val="21"/>
        </w:rPr>
        <w:t>&lt;</w:t>
      </w:r>
      <w:r>
        <w:rPr>
          <w:rFonts w:ascii="微软雅黑" w:eastAsia="微软雅黑"/>
          <w:b/>
          <w:w w:val="95"/>
          <w:sz w:val="21"/>
        </w:rPr>
        <w:t>本</w:t>
      </w:r>
      <w:r>
        <w:rPr>
          <w:rFonts w:ascii="微软雅黑" w:eastAsia="微软雅黑"/>
          <w:b/>
          <w:w w:val="95"/>
          <w:sz w:val="21"/>
        </w:rPr>
        <w:t>条</w:t>
      </w:r>
      <w:r>
        <w:rPr>
          <w:rFonts w:ascii="微软雅黑" w:eastAsia="微软雅黑"/>
          <w:b/>
          <w:w w:val="95"/>
          <w:sz w:val="21"/>
        </w:rPr>
        <w:t>款</w:t>
      </w:r>
      <w:r>
        <w:rPr>
          <w:rFonts w:ascii="微软雅黑" w:eastAsia="微软雅黑"/>
          <w:b/>
          <w:w w:val="95"/>
          <w:sz w:val="21"/>
        </w:rPr>
        <w:t>内</w:t>
      </w:r>
      <w:r>
        <w:rPr>
          <w:rFonts w:ascii="微软雅黑" w:eastAsia="微软雅黑"/>
          <w:b/>
          <w:w w:val="95"/>
          <w:sz w:val="21"/>
        </w:rPr>
        <w:t>容</w:t>
      </w:r>
      <w:r>
        <w:rPr>
          <w:rFonts w:ascii="微软雅黑" w:eastAsia="微软雅黑"/>
          <w:b/>
          <w:w w:val="95"/>
          <w:sz w:val="21"/>
        </w:rPr>
        <w:t>结</w:t>
      </w:r>
      <w:r>
        <w:rPr>
          <w:rFonts w:ascii="微软雅黑" w:eastAsia="微软雅黑"/>
          <w:b/>
          <w:w w:val="95"/>
          <w:sz w:val="21"/>
        </w:rPr>
        <w:t>束</w:t>
      </w:r>
      <w:r>
        <w:rPr>
          <w:rFonts w:ascii="微软雅黑" w:eastAsia="微软雅黑"/>
          <w:b/>
          <w:spacing w:val="-10"/>
          <w:w w:val="95"/>
          <w:sz w:val="21"/>
        </w:rPr>
        <w:t>&gt;</w:t>
      </w:r>
    </w:p>
    <w:sectPr>
      <w:type w:val="continuous"/>
      <w:pgSz w:w="11910" w:h="16840"/>
      <w:pgMar w:header="0" w:footer="406" w:top="600" w:bottom="280" w:left="90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170013pt;margin-top:810.607239pt;width:15pt;height:8.5pt;mso-position-horizontal-relative:page;mso-position-vertical-relative:page;z-index:-17748992" type="#_x0000_t202" id="docshape3" filled="false" stroked="false">
          <v:textbox inset="0,0,0,0">
            <w:txbxContent>
              <w:p>
                <w:pPr>
                  <w:spacing w:before="1"/>
                  <w:ind w:left="20" w:right="0" w:firstLine="0"/>
                  <w:jc w:val="left"/>
                  <w:rPr>
                    <w:sz w:val="13"/>
                  </w:rPr>
                </w:pPr>
                <w:r>
                  <w:rPr>
                    <w:w w:val="95"/>
                    <w:sz w:val="13"/>
                  </w:rPr>
                  <w:t>-</w:t>
                </w:r>
                <w:r>
                  <w:rPr>
                    <w:spacing w:val="-5"/>
                    <w:sz w:val="13"/>
                  </w:rPr>
                  <w:fldChar w:fldCharType="begin"/>
                </w:r>
                <w:r>
                  <w:rPr>
                    <w:spacing w:val="-5"/>
                    <w:sz w:val="13"/>
                  </w:rPr>
                  <w:instrText>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2">
    <w:multiLevelType w:val="hybridMultilevel"/>
    <w:lvl w:ilvl="0">
      <w:start w:val="1"/>
      <w:numFmt w:val="decimal"/>
      <w:lvlText w:val="（%1）"/>
      <w:lvlJc w:val="left"/>
      <w:pPr>
        <w:ind w:left="75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194" w:hanging="529"/>
      </w:pPr>
      <w:rPr>
        <w:rFonts w:hint="default"/>
        <w:lang w:val="en-US" w:eastAsia="zh-CN" w:bidi="ar-SA"/>
      </w:rPr>
    </w:lvl>
    <w:lvl w:ilvl="3">
      <w:start w:val="0"/>
      <w:numFmt w:val="bullet"/>
      <w:lvlText w:val="•"/>
      <w:lvlJc w:val="left"/>
      <w:pPr>
        <w:ind w:left="2912" w:hanging="529"/>
      </w:pPr>
      <w:rPr>
        <w:rFonts w:hint="default"/>
        <w:lang w:val="en-US" w:eastAsia="zh-CN" w:bidi="ar-SA"/>
      </w:rPr>
    </w:lvl>
    <w:lvl w:ilvl="4">
      <w:start w:val="0"/>
      <w:numFmt w:val="bullet"/>
      <w:lvlText w:val="•"/>
      <w:lvlJc w:val="left"/>
      <w:pPr>
        <w:ind w:left="362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781" w:hanging="529"/>
      </w:pPr>
      <w:rPr>
        <w:rFonts w:hint="default"/>
        <w:lang w:val="en-US" w:eastAsia="zh-CN" w:bidi="ar-SA"/>
      </w:rPr>
    </w:lvl>
    <w:lvl w:ilvl="8">
      <w:start w:val="0"/>
      <w:numFmt w:val="bullet"/>
      <w:lvlText w:val="•"/>
      <w:lvlJc w:val="left"/>
      <w:pPr>
        <w:ind w:left="6499" w:hanging="529"/>
      </w:pPr>
      <w:rPr>
        <w:rFonts w:hint="default"/>
        <w:lang w:val="en-US" w:eastAsia="zh-CN" w:bidi="ar-SA"/>
      </w:rPr>
    </w:lvl>
  </w:abstractNum>
  <w:abstractNum w:abstractNumId="111">
    <w:multiLevelType w:val="hybridMultilevel"/>
    <w:lvl w:ilvl="0">
      <w:start w:val="0"/>
      <w:numFmt w:val="decimal"/>
      <w:lvlText w:val="%1"/>
      <w:lvlJc w:val="left"/>
      <w:pPr>
        <w:ind w:left="3118"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874" w:hanging="159"/>
      </w:pPr>
      <w:rPr>
        <w:rFonts w:hint="default"/>
        <w:lang w:val="en-US" w:eastAsia="zh-CN" w:bidi="ar-SA"/>
      </w:rPr>
    </w:lvl>
    <w:lvl w:ilvl="2">
      <w:start w:val="0"/>
      <w:numFmt w:val="bullet"/>
      <w:lvlText w:val="•"/>
      <w:lvlJc w:val="left"/>
      <w:pPr>
        <w:ind w:left="4629" w:hanging="159"/>
      </w:pPr>
      <w:rPr>
        <w:rFonts w:hint="default"/>
        <w:lang w:val="en-US" w:eastAsia="zh-CN" w:bidi="ar-SA"/>
      </w:rPr>
    </w:lvl>
    <w:lvl w:ilvl="3">
      <w:start w:val="0"/>
      <w:numFmt w:val="bullet"/>
      <w:lvlText w:val="•"/>
      <w:lvlJc w:val="left"/>
      <w:pPr>
        <w:ind w:left="5383" w:hanging="159"/>
      </w:pPr>
      <w:rPr>
        <w:rFonts w:hint="default"/>
        <w:lang w:val="en-US" w:eastAsia="zh-CN" w:bidi="ar-SA"/>
      </w:rPr>
    </w:lvl>
    <w:lvl w:ilvl="4">
      <w:start w:val="0"/>
      <w:numFmt w:val="bullet"/>
      <w:lvlText w:val="•"/>
      <w:lvlJc w:val="left"/>
      <w:pPr>
        <w:ind w:left="6138" w:hanging="159"/>
      </w:pPr>
      <w:rPr>
        <w:rFonts w:hint="default"/>
        <w:lang w:val="en-US" w:eastAsia="zh-CN" w:bidi="ar-SA"/>
      </w:rPr>
    </w:lvl>
    <w:lvl w:ilvl="5">
      <w:start w:val="0"/>
      <w:numFmt w:val="bullet"/>
      <w:lvlText w:val="•"/>
      <w:lvlJc w:val="left"/>
      <w:pPr>
        <w:ind w:left="6893" w:hanging="159"/>
      </w:pPr>
      <w:rPr>
        <w:rFonts w:hint="default"/>
        <w:lang w:val="en-US" w:eastAsia="zh-CN" w:bidi="ar-SA"/>
      </w:rPr>
    </w:lvl>
    <w:lvl w:ilvl="6">
      <w:start w:val="0"/>
      <w:numFmt w:val="bullet"/>
      <w:lvlText w:val="•"/>
      <w:lvlJc w:val="left"/>
      <w:pPr>
        <w:ind w:left="7647" w:hanging="159"/>
      </w:pPr>
      <w:rPr>
        <w:rFonts w:hint="default"/>
        <w:lang w:val="en-US" w:eastAsia="zh-CN" w:bidi="ar-SA"/>
      </w:rPr>
    </w:lvl>
    <w:lvl w:ilvl="7">
      <w:start w:val="0"/>
      <w:numFmt w:val="bullet"/>
      <w:lvlText w:val="•"/>
      <w:lvlJc w:val="left"/>
      <w:pPr>
        <w:ind w:left="8402" w:hanging="159"/>
      </w:pPr>
      <w:rPr>
        <w:rFonts w:hint="default"/>
        <w:lang w:val="en-US" w:eastAsia="zh-CN" w:bidi="ar-SA"/>
      </w:rPr>
    </w:lvl>
    <w:lvl w:ilvl="8">
      <w:start w:val="0"/>
      <w:numFmt w:val="bullet"/>
      <w:lvlText w:val="•"/>
      <w:lvlJc w:val="left"/>
      <w:pPr>
        <w:ind w:left="9157" w:hanging="159"/>
      </w:pPr>
      <w:rPr>
        <w:rFonts w:hint="default"/>
        <w:lang w:val="en-US" w:eastAsia="zh-CN" w:bidi="ar-SA"/>
      </w:rPr>
    </w:lvl>
  </w:abstractNum>
  <w:abstractNum w:abstractNumId="110">
    <w:multiLevelType w:val="hybridMultilevel"/>
    <w:lvl w:ilvl="0">
      <w:start w:val="1"/>
      <w:numFmt w:val="decimal"/>
      <w:lvlText w:val="（%1）"/>
      <w:lvlJc w:val="left"/>
      <w:pPr>
        <w:ind w:left="75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194" w:hanging="529"/>
      </w:pPr>
      <w:rPr>
        <w:rFonts w:hint="default"/>
        <w:lang w:val="en-US" w:eastAsia="zh-CN" w:bidi="ar-SA"/>
      </w:rPr>
    </w:lvl>
    <w:lvl w:ilvl="3">
      <w:start w:val="0"/>
      <w:numFmt w:val="bullet"/>
      <w:lvlText w:val="•"/>
      <w:lvlJc w:val="left"/>
      <w:pPr>
        <w:ind w:left="2912" w:hanging="529"/>
      </w:pPr>
      <w:rPr>
        <w:rFonts w:hint="default"/>
        <w:lang w:val="en-US" w:eastAsia="zh-CN" w:bidi="ar-SA"/>
      </w:rPr>
    </w:lvl>
    <w:lvl w:ilvl="4">
      <w:start w:val="0"/>
      <w:numFmt w:val="bullet"/>
      <w:lvlText w:val="•"/>
      <w:lvlJc w:val="left"/>
      <w:pPr>
        <w:ind w:left="362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781" w:hanging="529"/>
      </w:pPr>
      <w:rPr>
        <w:rFonts w:hint="default"/>
        <w:lang w:val="en-US" w:eastAsia="zh-CN" w:bidi="ar-SA"/>
      </w:rPr>
    </w:lvl>
    <w:lvl w:ilvl="8">
      <w:start w:val="0"/>
      <w:numFmt w:val="bullet"/>
      <w:lvlText w:val="•"/>
      <w:lvlJc w:val="left"/>
      <w:pPr>
        <w:ind w:left="6499" w:hanging="529"/>
      </w:pPr>
      <w:rPr>
        <w:rFonts w:hint="default"/>
        <w:lang w:val="en-US" w:eastAsia="zh-CN" w:bidi="ar-SA"/>
      </w:rPr>
    </w:lvl>
  </w:abstractNum>
  <w:abstractNum w:abstractNumId="109">
    <w:multiLevelType w:val="hybridMultilevel"/>
    <w:lvl w:ilvl="0">
      <w:start w:val="1"/>
      <w:numFmt w:val="decimal"/>
      <w:lvlText w:val="（%1）"/>
      <w:lvlJc w:val="left"/>
      <w:pPr>
        <w:ind w:left="75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194" w:hanging="529"/>
      </w:pPr>
      <w:rPr>
        <w:rFonts w:hint="default"/>
        <w:lang w:val="en-US" w:eastAsia="zh-CN" w:bidi="ar-SA"/>
      </w:rPr>
    </w:lvl>
    <w:lvl w:ilvl="3">
      <w:start w:val="0"/>
      <w:numFmt w:val="bullet"/>
      <w:lvlText w:val="•"/>
      <w:lvlJc w:val="left"/>
      <w:pPr>
        <w:ind w:left="2912" w:hanging="529"/>
      </w:pPr>
      <w:rPr>
        <w:rFonts w:hint="default"/>
        <w:lang w:val="en-US" w:eastAsia="zh-CN" w:bidi="ar-SA"/>
      </w:rPr>
    </w:lvl>
    <w:lvl w:ilvl="4">
      <w:start w:val="0"/>
      <w:numFmt w:val="bullet"/>
      <w:lvlText w:val="•"/>
      <w:lvlJc w:val="left"/>
      <w:pPr>
        <w:ind w:left="362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781" w:hanging="529"/>
      </w:pPr>
      <w:rPr>
        <w:rFonts w:hint="default"/>
        <w:lang w:val="en-US" w:eastAsia="zh-CN" w:bidi="ar-SA"/>
      </w:rPr>
    </w:lvl>
    <w:lvl w:ilvl="8">
      <w:start w:val="0"/>
      <w:numFmt w:val="bullet"/>
      <w:lvlText w:val="•"/>
      <w:lvlJc w:val="left"/>
      <w:pPr>
        <w:ind w:left="6499" w:hanging="529"/>
      </w:pPr>
      <w:rPr>
        <w:rFonts w:hint="default"/>
        <w:lang w:val="en-US" w:eastAsia="zh-CN" w:bidi="ar-SA"/>
      </w:rPr>
    </w:lvl>
  </w:abstractNum>
  <w:abstractNum w:abstractNumId="108">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107">
    <w:multiLevelType w:val="hybridMultilevel"/>
    <w:lvl w:ilvl="0">
      <w:start w:val="1"/>
      <w:numFmt w:val="decimal"/>
      <w:lvlText w:val="（%1）"/>
      <w:lvlJc w:val="left"/>
      <w:pPr>
        <w:ind w:left="75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194" w:hanging="529"/>
      </w:pPr>
      <w:rPr>
        <w:rFonts w:hint="default"/>
        <w:lang w:val="en-US" w:eastAsia="zh-CN" w:bidi="ar-SA"/>
      </w:rPr>
    </w:lvl>
    <w:lvl w:ilvl="3">
      <w:start w:val="0"/>
      <w:numFmt w:val="bullet"/>
      <w:lvlText w:val="•"/>
      <w:lvlJc w:val="left"/>
      <w:pPr>
        <w:ind w:left="2912" w:hanging="529"/>
      </w:pPr>
      <w:rPr>
        <w:rFonts w:hint="default"/>
        <w:lang w:val="en-US" w:eastAsia="zh-CN" w:bidi="ar-SA"/>
      </w:rPr>
    </w:lvl>
    <w:lvl w:ilvl="4">
      <w:start w:val="0"/>
      <w:numFmt w:val="bullet"/>
      <w:lvlText w:val="•"/>
      <w:lvlJc w:val="left"/>
      <w:pPr>
        <w:ind w:left="362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781" w:hanging="529"/>
      </w:pPr>
      <w:rPr>
        <w:rFonts w:hint="default"/>
        <w:lang w:val="en-US" w:eastAsia="zh-CN" w:bidi="ar-SA"/>
      </w:rPr>
    </w:lvl>
    <w:lvl w:ilvl="8">
      <w:start w:val="0"/>
      <w:numFmt w:val="bullet"/>
      <w:lvlText w:val="•"/>
      <w:lvlJc w:val="left"/>
      <w:pPr>
        <w:ind w:left="6499" w:hanging="529"/>
      </w:pPr>
      <w:rPr>
        <w:rFonts w:hint="default"/>
        <w:lang w:val="en-US" w:eastAsia="zh-CN" w:bidi="ar-SA"/>
      </w:rPr>
    </w:lvl>
  </w:abstractNum>
  <w:abstractNum w:abstractNumId="106">
    <w:multiLevelType w:val="hybridMultilevel"/>
    <w:lvl w:ilvl="0">
      <w:start w:val="11"/>
      <w:numFmt w:val="decimal"/>
      <w:lvlText w:val="%1"/>
      <w:lvlJc w:val="left"/>
      <w:pPr>
        <w:ind w:left="1080" w:hanging="853"/>
        <w:jc w:val="left"/>
      </w:pPr>
      <w:rPr>
        <w:rFonts w:hint="default"/>
        <w:lang w:val="en-US" w:eastAsia="zh-CN" w:bidi="ar-SA"/>
      </w:rPr>
    </w:lvl>
    <w:lvl w:ilvl="1">
      <w:start w:val="6"/>
      <w:numFmt w:val="decimal"/>
      <w:lvlText w:val="%1.%2"/>
      <w:lvlJc w:val="left"/>
      <w:pPr>
        <w:ind w:left="1080" w:hanging="853"/>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3）"/>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284" w:hanging="529"/>
      </w:pPr>
      <w:rPr>
        <w:rFonts w:hint="default"/>
        <w:lang w:val="en-US" w:eastAsia="zh-CN" w:bidi="ar-SA"/>
      </w:rPr>
    </w:lvl>
    <w:lvl w:ilvl="4">
      <w:start w:val="0"/>
      <w:numFmt w:val="bullet"/>
      <w:lvlText w:val="•"/>
      <w:lvlJc w:val="left"/>
      <w:pPr>
        <w:ind w:left="3186" w:hanging="529"/>
      </w:pPr>
      <w:rPr>
        <w:rFonts w:hint="default"/>
        <w:lang w:val="en-US" w:eastAsia="zh-CN" w:bidi="ar-SA"/>
      </w:rPr>
    </w:lvl>
    <w:lvl w:ilvl="5">
      <w:start w:val="0"/>
      <w:numFmt w:val="bullet"/>
      <w:lvlText w:val="•"/>
      <w:lvlJc w:val="left"/>
      <w:pPr>
        <w:ind w:left="3088" w:hanging="529"/>
      </w:pPr>
      <w:rPr>
        <w:rFonts w:hint="default"/>
        <w:lang w:val="en-US" w:eastAsia="zh-CN" w:bidi="ar-SA"/>
      </w:rPr>
    </w:lvl>
    <w:lvl w:ilvl="6">
      <w:start w:val="0"/>
      <w:numFmt w:val="bullet"/>
      <w:lvlText w:val="•"/>
      <w:lvlJc w:val="left"/>
      <w:pPr>
        <w:ind w:left="2990" w:hanging="529"/>
      </w:pPr>
      <w:rPr>
        <w:rFonts w:hint="default"/>
        <w:lang w:val="en-US" w:eastAsia="zh-CN" w:bidi="ar-SA"/>
      </w:rPr>
    </w:lvl>
    <w:lvl w:ilvl="7">
      <w:start w:val="0"/>
      <w:numFmt w:val="bullet"/>
      <w:lvlText w:val="•"/>
      <w:lvlJc w:val="left"/>
      <w:pPr>
        <w:ind w:left="2892" w:hanging="529"/>
      </w:pPr>
      <w:rPr>
        <w:rFonts w:hint="default"/>
        <w:lang w:val="en-US" w:eastAsia="zh-CN" w:bidi="ar-SA"/>
      </w:rPr>
    </w:lvl>
    <w:lvl w:ilvl="8">
      <w:start w:val="0"/>
      <w:numFmt w:val="bullet"/>
      <w:lvlText w:val="•"/>
      <w:lvlJc w:val="left"/>
      <w:pPr>
        <w:ind w:left="2794" w:hanging="529"/>
      </w:pPr>
      <w:rPr>
        <w:rFonts w:hint="default"/>
        <w:lang w:val="en-US" w:eastAsia="zh-CN" w:bidi="ar-SA"/>
      </w:rPr>
    </w:lvl>
  </w:abstractNum>
  <w:abstractNum w:abstractNumId="105">
    <w:multiLevelType w:val="hybridMultilevel"/>
    <w:lvl w:ilvl="0">
      <w:start w:val="1"/>
      <w:numFmt w:val="decimal"/>
      <w:lvlText w:val="（%1）"/>
      <w:lvlJc w:val="left"/>
      <w:pPr>
        <w:ind w:left="67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7" w:hanging="529"/>
      </w:pPr>
      <w:rPr>
        <w:rFonts w:hint="default"/>
        <w:lang w:val="en-US" w:eastAsia="zh-CN" w:bidi="ar-SA"/>
      </w:rPr>
    </w:lvl>
    <w:lvl w:ilvl="2">
      <w:start w:val="0"/>
      <w:numFmt w:val="bullet"/>
      <w:lvlText w:val="•"/>
      <w:lvlJc w:val="left"/>
      <w:pPr>
        <w:ind w:left="2115" w:hanging="529"/>
      </w:pPr>
      <w:rPr>
        <w:rFonts w:hint="default"/>
        <w:lang w:val="en-US" w:eastAsia="zh-CN" w:bidi="ar-SA"/>
      </w:rPr>
    </w:lvl>
    <w:lvl w:ilvl="3">
      <w:start w:val="0"/>
      <w:numFmt w:val="bullet"/>
      <w:lvlText w:val="•"/>
      <w:lvlJc w:val="left"/>
      <w:pPr>
        <w:ind w:left="2832" w:hanging="529"/>
      </w:pPr>
      <w:rPr>
        <w:rFonts w:hint="default"/>
        <w:lang w:val="en-US" w:eastAsia="zh-CN" w:bidi="ar-SA"/>
      </w:rPr>
    </w:lvl>
    <w:lvl w:ilvl="4">
      <w:start w:val="0"/>
      <w:numFmt w:val="bullet"/>
      <w:lvlText w:val="•"/>
      <w:lvlJc w:val="left"/>
      <w:pPr>
        <w:ind w:left="3550" w:hanging="529"/>
      </w:pPr>
      <w:rPr>
        <w:rFonts w:hint="default"/>
        <w:lang w:val="en-US" w:eastAsia="zh-CN" w:bidi="ar-SA"/>
      </w:rPr>
    </w:lvl>
    <w:lvl w:ilvl="5">
      <w:start w:val="0"/>
      <w:numFmt w:val="bullet"/>
      <w:lvlText w:val="•"/>
      <w:lvlJc w:val="left"/>
      <w:pPr>
        <w:ind w:left="4268" w:hanging="529"/>
      </w:pPr>
      <w:rPr>
        <w:rFonts w:hint="default"/>
        <w:lang w:val="en-US" w:eastAsia="zh-CN" w:bidi="ar-SA"/>
      </w:rPr>
    </w:lvl>
    <w:lvl w:ilvl="6">
      <w:start w:val="0"/>
      <w:numFmt w:val="bullet"/>
      <w:lvlText w:val="•"/>
      <w:lvlJc w:val="left"/>
      <w:pPr>
        <w:ind w:left="4985" w:hanging="529"/>
      </w:pPr>
      <w:rPr>
        <w:rFonts w:hint="default"/>
        <w:lang w:val="en-US" w:eastAsia="zh-CN" w:bidi="ar-SA"/>
      </w:rPr>
    </w:lvl>
    <w:lvl w:ilvl="7">
      <w:start w:val="0"/>
      <w:numFmt w:val="bullet"/>
      <w:lvlText w:val="•"/>
      <w:lvlJc w:val="left"/>
      <w:pPr>
        <w:ind w:left="5703" w:hanging="529"/>
      </w:pPr>
      <w:rPr>
        <w:rFonts w:hint="default"/>
        <w:lang w:val="en-US" w:eastAsia="zh-CN" w:bidi="ar-SA"/>
      </w:rPr>
    </w:lvl>
    <w:lvl w:ilvl="8">
      <w:start w:val="0"/>
      <w:numFmt w:val="bullet"/>
      <w:lvlText w:val="•"/>
      <w:lvlJc w:val="left"/>
      <w:pPr>
        <w:ind w:left="6421" w:hanging="529"/>
      </w:pPr>
      <w:rPr>
        <w:rFonts w:hint="default"/>
        <w:lang w:val="en-US" w:eastAsia="zh-CN" w:bidi="ar-SA"/>
      </w:rPr>
    </w:lvl>
  </w:abstractNum>
  <w:abstractNum w:abstractNumId="104">
    <w:multiLevelType w:val="hybridMultilevel"/>
    <w:lvl w:ilvl="0">
      <w:start w:val="1"/>
      <w:numFmt w:val="decimal"/>
      <w:lvlText w:val="（%1）"/>
      <w:lvlJc w:val="left"/>
      <w:pPr>
        <w:ind w:left="73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0" w:hanging="529"/>
      </w:pPr>
      <w:rPr>
        <w:rFonts w:hint="default"/>
        <w:lang w:val="en-US" w:eastAsia="zh-CN" w:bidi="ar-SA"/>
      </w:rPr>
    </w:lvl>
    <w:lvl w:ilvl="3">
      <w:start w:val="0"/>
      <w:numFmt w:val="bullet"/>
      <w:lvlText w:val="•"/>
      <w:lvlJc w:val="left"/>
      <w:pPr>
        <w:ind w:left="2720" w:hanging="529"/>
      </w:pPr>
      <w:rPr>
        <w:rFonts w:hint="default"/>
        <w:lang w:val="en-US" w:eastAsia="zh-CN" w:bidi="ar-SA"/>
      </w:rPr>
    </w:lvl>
    <w:lvl w:ilvl="4">
      <w:start w:val="0"/>
      <w:numFmt w:val="bullet"/>
      <w:lvlText w:val="•"/>
      <w:lvlJc w:val="left"/>
      <w:pPr>
        <w:ind w:left="3380" w:hanging="529"/>
      </w:pPr>
      <w:rPr>
        <w:rFonts w:hint="default"/>
        <w:lang w:val="en-US" w:eastAsia="zh-CN" w:bidi="ar-SA"/>
      </w:rPr>
    </w:lvl>
    <w:lvl w:ilvl="5">
      <w:start w:val="0"/>
      <w:numFmt w:val="bullet"/>
      <w:lvlText w:val="•"/>
      <w:lvlJc w:val="left"/>
      <w:pPr>
        <w:ind w:left="4041" w:hanging="529"/>
      </w:pPr>
      <w:rPr>
        <w:rFonts w:hint="default"/>
        <w:lang w:val="en-US" w:eastAsia="zh-CN" w:bidi="ar-SA"/>
      </w:rPr>
    </w:lvl>
    <w:lvl w:ilvl="6">
      <w:start w:val="0"/>
      <w:numFmt w:val="bullet"/>
      <w:lvlText w:val="•"/>
      <w:lvlJc w:val="left"/>
      <w:pPr>
        <w:ind w:left="4701" w:hanging="529"/>
      </w:pPr>
      <w:rPr>
        <w:rFonts w:hint="default"/>
        <w:lang w:val="en-US" w:eastAsia="zh-CN" w:bidi="ar-SA"/>
      </w:rPr>
    </w:lvl>
    <w:lvl w:ilvl="7">
      <w:start w:val="0"/>
      <w:numFmt w:val="bullet"/>
      <w:lvlText w:val="•"/>
      <w:lvlJc w:val="left"/>
      <w:pPr>
        <w:ind w:left="5361" w:hanging="529"/>
      </w:pPr>
      <w:rPr>
        <w:rFonts w:hint="default"/>
        <w:lang w:val="en-US" w:eastAsia="zh-CN" w:bidi="ar-SA"/>
      </w:rPr>
    </w:lvl>
    <w:lvl w:ilvl="8">
      <w:start w:val="0"/>
      <w:numFmt w:val="bullet"/>
      <w:lvlText w:val="•"/>
      <w:lvlJc w:val="left"/>
      <w:pPr>
        <w:ind w:left="6021" w:hanging="529"/>
      </w:pPr>
      <w:rPr>
        <w:rFonts w:hint="default"/>
        <w:lang w:val="en-US" w:eastAsia="zh-CN" w:bidi="ar-SA"/>
      </w:rPr>
    </w:lvl>
  </w:abstractNum>
  <w:abstractNum w:abstractNumId="103">
    <w:multiLevelType w:val="hybridMultilevel"/>
    <w:lvl w:ilvl="0">
      <w:start w:val="1"/>
      <w:numFmt w:val="decimal"/>
      <w:lvlText w:val="（%1）"/>
      <w:lvlJc w:val="left"/>
      <w:pPr>
        <w:ind w:left="73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0" w:hanging="529"/>
      </w:pPr>
      <w:rPr>
        <w:rFonts w:hint="default"/>
        <w:lang w:val="en-US" w:eastAsia="zh-CN" w:bidi="ar-SA"/>
      </w:rPr>
    </w:lvl>
    <w:lvl w:ilvl="3">
      <w:start w:val="0"/>
      <w:numFmt w:val="bullet"/>
      <w:lvlText w:val="•"/>
      <w:lvlJc w:val="left"/>
      <w:pPr>
        <w:ind w:left="2720" w:hanging="529"/>
      </w:pPr>
      <w:rPr>
        <w:rFonts w:hint="default"/>
        <w:lang w:val="en-US" w:eastAsia="zh-CN" w:bidi="ar-SA"/>
      </w:rPr>
    </w:lvl>
    <w:lvl w:ilvl="4">
      <w:start w:val="0"/>
      <w:numFmt w:val="bullet"/>
      <w:lvlText w:val="•"/>
      <w:lvlJc w:val="left"/>
      <w:pPr>
        <w:ind w:left="3380" w:hanging="529"/>
      </w:pPr>
      <w:rPr>
        <w:rFonts w:hint="default"/>
        <w:lang w:val="en-US" w:eastAsia="zh-CN" w:bidi="ar-SA"/>
      </w:rPr>
    </w:lvl>
    <w:lvl w:ilvl="5">
      <w:start w:val="0"/>
      <w:numFmt w:val="bullet"/>
      <w:lvlText w:val="•"/>
      <w:lvlJc w:val="left"/>
      <w:pPr>
        <w:ind w:left="4041" w:hanging="529"/>
      </w:pPr>
      <w:rPr>
        <w:rFonts w:hint="default"/>
        <w:lang w:val="en-US" w:eastAsia="zh-CN" w:bidi="ar-SA"/>
      </w:rPr>
    </w:lvl>
    <w:lvl w:ilvl="6">
      <w:start w:val="0"/>
      <w:numFmt w:val="bullet"/>
      <w:lvlText w:val="•"/>
      <w:lvlJc w:val="left"/>
      <w:pPr>
        <w:ind w:left="4701" w:hanging="529"/>
      </w:pPr>
      <w:rPr>
        <w:rFonts w:hint="default"/>
        <w:lang w:val="en-US" w:eastAsia="zh-CN" w:bidi="ar-SA"/>
      </w:rPr>
    </w:lvl>
    <w:lvl w:ilvl="7">
      <w:start w:val="0"/>
      <w:numFmt w:val="bullet"/>
      <w:lvlText w:val="•"/>
      <w:lvlJc w:val="left"/>
      <w:pPr>
        <w:ind w:left="5361" w:hanging="529"/>
      </w:pPr>
      <w:rPr>
        <w:rFonts w:hint="default"/>
        <w:lang w:val="en-US" w:eastAsia="zh-CN" w:bidi="ar-SA"/>
      </w:rPr>
    </w:lvl>
    <w:lvl w:ilvl="8">
      <w:start w:val="0"/>
      <w:numFmt w:val="bullet"/>
      <w:lvlText w:val="•"/>
      <w:lvlJc w:val="left"/>
      <w:pPr>
        <w:ind w:left="6021" w:hanging="529"/>
      </w:pPr>
      <w:rPr>
        <w:rFonts w:hint="default"/>
        <w:lang w:val="en-US" w:eastAsia="zh-CN" w:bidi="ar-SA"/>
      </w:rPr>
    </w:lvl>
  </w:abstractNum>
  <w:abstractNum w:abstractNumId="102">
    <w:multiLevelType w:val="hybridMultilevel"/>
    <w:lvl w:ilvl="0">
      <w:start w:val="1"/>
      <w:numFmt w:val="decimal"/>
      <w:lvlText w:val="（%1）"/>
      <w:lvlJc w:val="left"/>
      <w:pPr>
        <w:ind w:left="3485"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7"/>
      </w:pPr>
      <w:rPr>
        <w:rFonts w:hint="default"/>
        <w:lang w:val="en-US" w:eastAsia="zh-CN" w:bidi="ar-SA"/>
      </w:rPr>
    </w:lvl>
    <w:lvl w:ilvl="2">
      <w:start w:val="0"/>
      <w:numFmt w:val="bullet"/>
      <w:lvlText w:val="•"/>
      <w:lvlJc w:val="left"/>
      <w:pPr>
        <w:ind w:left="4917" w:hanging="527"/>
      </w:pPr>
      <w:rPr>
        <w:rFonts w:hint="default"/>
        <w:lang w:val="en-US" w:eastAsia="zh-CN" w:bidi="ar-SA"/>
      </w:rPr>
    </w:lvl>
    <w:lvl w:ilvl="3">
      <w:start w:val="0"/>
      <w:numFmt w:val="bullet"/>
      <w:lvlText w:val="•"/>
      <w:lvlJc w:val="left"/>
      <w:pPr>
        <w:ind w:left="5635" w:hanging="527"/>
      </w:pPr>
      <w:rPr>
        <w:rFonts w:hint="default"/>
        <w:lang w:val="en-US" w:eastAsia="zh-CN" w:bidi="ar-SA"/>
      </w:rPr>
    </w:lvl>
    <w:lvl w:ilvl="4">
      <w:start w:val="0"/>
      <w:numFmt w:val="bullet"/>
      <w:lvlText w:val="•"/>
      <w:lvlJc w:val="left"/>
      <w:pPr>
        <w:ind w:left="6354" w:hanging="527"/>
      </w:pPr>
      <w:rPr>
        <w:rFonts w:hint="default"/>
        <w:lang w:val="en-US" w:eastAsia="zh-CN" w:bidi="ar-SA"/>
      </w:rPr>
    </w:lvl>
    <w:lvl w:ilvl="5">
      <w:start w:val="0"/>
      <w:numFmt w:val="bullet"/>
      <w:lvlText w:val="•"/>
      <w:lvlJc w:val="left"/>
      <w:pPr>
        <w:ind w:left="7073" w:hanging="527"/>
      </w:pPr>
      <w:rPr>
        <w:rFonts w:hint="default"/>
        <w:lang w:val="en-US" w:eastAsia="zh-CN" w:bidi="ar-SA"/>
      </w:rPr>
    </w:lvl>
    <w:lvl w:ilvl="6">
      <w:start w:val="0"/>
      <w:numFmt w:val="bullet"/>
      <w:lvlText w:val="•"/>
      <w:lvlJc w:val="left"/>
      <w:pPr>
        <w:ind w:left="7791" w:hanging="527"/>
      </w:pPr>
      <w:rPr>
        <w:rFonts w:hint="default"/>
        <w:lang w:val="en-US" w:eastAsia="zh-CN" w:bidi="ar-SA"/>
      </w:rPr>
    </w:lvl>
    <w:lvl w:ilvl="7">
      <w:start w:val="0"/>
      <w:numFmt w:val="bullet"/>
      <w:lvlText w:val="•"/>
      <w:lvlJc w:val="left"/>
      <w:pPr>
        <w:ind w:left="8510" w:hanging="527"/>
      </w:pPr>
      <w:rPr>
        <w:rFonts w:hint="default"/>
        <w:lang w:val="en-US" w:eastAsia="zh-CN" w:bidi="ar-SA"/>
      </w:rPr>
    </w:lvl>
    <w:lvl w:ilvl="8">
      <w:start w:val="0"/>
      <w:numFmt w:val="bullet"/>
      <w:lvlText w:val="•"/>
      <w:lvlJc w:val="left"/>
      <w:pPr>
        <w:ind w:left="9229" w:hanging="527"/>
      </w:pPr>
      <w:rPr>
        <w:rFonts w:hint="default"/>
        <w:lang w:val="en-US" w:eastAsia="zh-CN" w:bidi="ar-SA"/>
      </w:rPr>
    </w:lvl>
  </w:abstractNum>
  <w:abstractNum w:abstractNumId="101">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100">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99">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69" w:hanging="529"/>
      </w:pPr>
      <w:rPr>
        <w:rFonts w:hint="default"/>
        <w:lang w:val="en-US" w:eastAsia="zh-CN" w:bidi="ar-SA"/>
      </w:rPr>
    </w:lvl>
    <w:lvl w:ilvl="3">
      <w:start w:val="0"/>
      <w:numFmt w:val="bullet"/>
      <w:lvlText w:val="•"/>
      <w:lvlJc w:val="left"/>
      <w:pPr>
        <w:ind w:left="4458" w:hanging="529"/>
      </w:pPr>
      <w:rPr>
        <w:rFonts w:hint="default"/>
        <w:lang w:val="en-US" w:eastAsia="zh-CN" w:bidi="ar-SA"/>
      </w:rPr>
    </w:lvl>
    <w:lvl w:ilvl="4">
      <w:start w:val="0"/>
      <w:numFmt w:val="bullet"/>
      <w:lvlText w:val="•"/>
      <w:lvlJc w:val="left"/>
      <w:pPr>
        <w:ind w:left="4947" w:hanging="529"/>
      </w:pPr>
      <w:rPr>
        <w:rFonts w:hint="default"/>
        <w:lang w:val="en-US" w:eastAsia="zh-CN" w:bidi="ar-SA"/>
      </w:rPr>
    </w:lvl>
    <w:lvl w:ilvl="5">
      <w:start w:val="0"/>
      <w:numFmt w:val="bullet"/>
      <w:lvlText w:val="•"/>
      <w:lvlJc w:val="left"/>
      <w:pPr>
        <w:ind w:left="5436" w:hanging="529"/>
      </w:pPr>
      <w:rPr>
        <w:rFonts w:hint="default"/>
        <w:lang w:val="en-US" w:eastAsia="zh-CN" w:bidi="ar-SA"/>
      </w:rPr>
    </w:lvl>
    <w:lvl w:ilvl="6">
      <w:start w:val="0"/>
      <w:numFmt w:val="bullet"/>
      <w:lvlText w:val="•"/>
      <w:lvlJc w:val="left"/>
      <w:pPr>
        <w:ind w:left="5925" w:hanging="529"/>
      </w:pPr>
      <w:rPr>
        <w:rFonts w:hint="default"/>
        <w:lang w:val="en-US" w:eastAsia="zh-CN" w:bidi="ar-SA"/>
      </w:rPr>
    </w:lvl>
    <w:lvl w:ilvl="7">
      <w:start w:val="0"/>
      <w:numFmt w:val="bullet"/>
      <w:lvlText w:val="•"/>
      <w:lvlJc w:val="left"/>
      <w:pPr>
        <w:ind w:left="6414" w:hanging="529"/>
      </w:pPr>
      <w:rPr>
        <w:rFonts w:hint="default"/>
        <w:lang w:val="en-US" w:eastAsia="zh-CN" w:bidi="ar-SA"/>
      </w:rPr>
    </w:lvl>
    <w:lvl w:ilvl="8">
      <w:start w:val="0"/>
      <w:numFmt w:val="bullet"/>
      <w:lvlText w:val="•"/>
      <w:lvlJc w:val="left"/>
      <w:pPr>
        <w:ind w:left="6903" w:hanging="529"/>
      </w:pPr>
      <w:rPr>
        <w:rFonts w:hint="default"/>
        <w:lang w:val="en-US" w:eastAsia="zh-CN" w:bidi="ar-SA"/>
      </w:rPr>
    </w:lvl>
  </w:abstractNum>
  <w:abstractNum w:abstractNumId="98">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6"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97">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96">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95">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9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93">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9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85" w:hanging="529"/>
        <w:jc w:val="left"/>
      </w:pPr>
      <w:rPr>
        <w:rFonts w:hint="default" w:ascii="宋体" w:hAnsi="宋体" w:eastAsia="宋体" w:cs="宋体"/>
        <w:b w:val="0"/>
        <w:bCs w:val="0"/>
        <w:i w:val="0"/>
        <w:iCs w:val="0"/>
        <w:spacing w:val="-5"/>
        <w:w w:val="100"/>
        <w:sz w:val="19"/>
        <w:szCs w:val="19"/>
        <w:lang w:val="en-US" w:eastAsia="zh-CN" w:bidi="ar-SA"/>
      </w:rPr>
    </w:lvl>
    <w:lvl w:ilvl="2">
      <w:start w:val="0"/>
      <w:numFmt w:val="bullet"/>
      <w:lvlText w:val="•"/>
      <w:lvlJc w:val="left"/>
      <w:pPr>
        <w:ind w:left="3969" w:hanging="529"/>
      </w:pPr>
      <w:rPr>
        <w:rFonts w:hint="default"/>
        <w:lang w:val="en-US" w:eastAsia="zh-CN" w:bidi="ar-SA"/>
      </w:rPr>
    </w:lvl>
    <w:lvl w:ilvl="3">
      <w:start w:val="0"/>
      <w:numFmt w:val="bullet"/>
      <w:lvlText w:val="•"/>
      <w:lvlJc w:val="left"/>
      <w:pPr>
        <w:ind w:left="4458" w:hanging="529"/>
      </w:pPr>
      <w:rPr>
        <w:rFonts w:hint="default"/>
        <w:lang w:val="en-US" w:eastAsia="zh-CN" w:bidi="ar-SA"/>
      </w:rPr>
    </w:lvl>
    <w:lvl w:ilvl="4">
      <w:start w:val="0"/>
      <w:numFmt w:val="bullet"/>
      <w:lvlText w:val="•"/>
      <w:lvlJc w:val="left"/>
      <w:pPr>
        <w:ind w:left="4947" w:hanging="529"/>
      </w:pPr>
      <w:rPr>
        <w:rFonts w:hint="default"/>
        <w:lang w:val="en-US" w:eastAsia="zh-CN" w:bidi="ar-SA"/>
      </w:rPr>
    </w:lvl>
    <w:lvl w:ilvl="5">
      <w:start w:val="0"/>
      <w:numFmt w:val="bullet"/>
      <w:lvlText w:val="•"/>
      <w:lvlJc w:val="left"/>
      <w:pPr>
        <w:ind w:left="5436" w:hanging="529"/>
      </w:pPr>
      <w:rPr>
        <w:rFonts w:hint="default"/>
        <w:lang w:val="en-US" w:eastAsia="zh-CN" w:bidi="ar-SA"/>
      </w:rPr>
    </w:lvl>
    <w:lvl w:ilvl="6">
      <w:start w:val="0"/>
      <w:numFmt w:val="bullet"/>
      <w:lvlText w:val="•"/>
      <w:lvlJc w:val="left"/>
      <w:pPr>
        <w:ind w:left="5925" w:hanging="529"/>
      </w:pPr>
      <w:rPr>
        <w:rFonts w:hint="default"/>
        <w:lang w:val="en-US" w:eastAsia="zh-CN" w:bidi="ar-SA"/>
      </w:rPr>
    </w:lvl>
    <w:lvl w:ilvl="7">
      <w:start w:val="0"/>
      <w:numFmt w:val="bullet"/>
      <w:lvlText w:val="•"/>
      <w:lvlJc w:val="left"/>
      <w:pPr>
        <w:ind w:left="6414" w:hanging="529"/>
      </w:pPr>
      <w:rPr>
        <w:rFonts w:hint="default"/>
        <w:lang w:val="en-US" w:eastAsia="zh-CN" w:bidi="ar-SA"/>
      </w:rPr>
    </w:lvl>
    <w:lvl w:ilvl="8">
      <w:start w:val="0"/>
      <w:numFmt w:val="bullet"/>
      <w:lvlText w:val="•"/>
      <w:lvlJc w:val="left"/>
      <w:pPr>
        <w:ind w:left="6903" w:hanging="529"/>
      </w:pPr>
      <w:rPr>
        <w:rFonts w:hint="default"/>
        <w:lang w:val="en-US" w:eastAsia="zh-CN" w:bidi="ar-SA"/>
      </w:rPr>
    </w:lvl>
  </w:abstractNum>
  <w:abstractNum w:abstractNumId="91">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90">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89">
    <w:multiLevelType w:val="hybridMultilevel"/>
    <w:lvl w:ilvl="0">
      <w:start w:val="1"/>
      <w:numFmt w:val="decimal"/>
      <w:lvlText w:val="（%1）"/>
      <w:lvlJc w:val="left"/>
      <w:pPr>
        <w:ind w:left="709"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414" w:hanging="567"/>
      </w:pPr>
      <w:rPr>
        <w:rFonts w:hint="default"/>
        <w:lang w:val="en-US" w:eastAsia="zh-CN" w:bidi="ar-SA"/>
      </w:rPr>
    </w:lvl>
    <w:lvl w:ilvl="2">
      <w:start w:val="0"/>
      <w:numFmt w:val="bullet"/>
      <w:lvlText w:val="•"/>
      <w:lvlJc w:val="left"/>
      <w:pPr>
        <w:ind w:left="2129" w:hanging="567"/>
      </w:pPr>
      <w:rPr>
        <w:rFonts w:hint="default"/>
        <w:lang w:val="en-US" w:eastAsia="zh-CN" w:bidi="ar-SA"/>
      </w:rPr>
    </w:lvl>
    <w:lvl w:ilvl="3">
      <w:start w:val="0"/>
      <w:numFmt w:val="bullet"/>
      <w:lvlText w:val="•"/>
      <w:lvlJc w:val="left"/>
      <w:pPr>
        <w:ind w:left="2844" w:hanging="567"/>
      </w:pPr>
      <w:rPr>
        <w:rFonts w:hint="default"/>
        <w:lang w:val="en-US" w:eastAsia="zh-CN" w:bidi="ar-SA"/>
      </w:rPr>
    </w:lvl>
    <w:lvl w:ilvl="4">
      <w:start w:val="0"/>
      <w:numFmt w:val="bullet"/>
      <w:lvlText w:val="•"/>
      <w:lvlJc w:val="left"/>
      <w:pPr>
        <w:ind w:left="3559" w:hanging="567"/>
      </w:pPr>
      <w:rPr>
        <w:rFonts w:hint="default"/>
        <w:lang w:val="en-US" w:eastAsia="zh-CN" w:bidi="ar-SA"/>
      </w:rPr>
    </w:lvl>
    <w:lvl w:ilvl="5">
      <w:start w:val="0"/>
      <w:numFmt w:val="bullet"/>
      <w:lvlText w:val="•"/>
      <w:lvlJc w:val="left"/>
      <w:pPr>
        <w:ind w:left="4274" w:hanging="567"/>
      </w:pPr>
      <w:rPr>
        <w:rFonts w:hint="default"/>
        <w:lang w:val="en-US" w:eastAsia="zh-CN" w:bidi="ar-SA"/>
      </w:rPr>
    </w:lvl>
    <w:lvl w:ilvl="6">
      <w:start w:val="0"/>
      <w:numFmt w:val="bullet"/>
      <w:lvlText w:val="•"/>
      <w:lvlJc w:val="left"/>
      <w:pPr>
        <w:ind w:left="4989" w:hanging="567"/>
      </w:pPr>
      <w:rPr>
        <w:rFonts w:hint="default"/>
        <w:lang w:val="en-US" w:eastAsia="zh-CN" w:bidi="ar-SA"/>
      </w:rPr>
    </w:lvl>
    <w:lvl w:ilvl="7">
      <w:start w:val="0"/>
      <w:numFmt w:val="bullet"/>
      <w:lvlText w:val="•"/>
      <w:lvlJc w:val="left"/>
      <w:pPr>
        <w:ind w:left="5704" w:hanging="567"/>
      </w:pPr>
      <w:rPr>
        <w:rFonts w:hint="default"/>
        <w:lang w:val="en-US" w:eastAsia="zh-CN" w:bidi="ar-SA"/>
      </w:rPr>
    </w:lvl>
    <w:lvl w:ilvl="8">
      <w:start w:val="0"/>
      <w:numFmt w:val="bullet"/>
      <w:lvlText w:val="•"/>
      <w:lvlJc w:val="left"/>
      <w:pPr>
        <w:ind w:left="6419" w:hanging="567"/>
      </w:pPr>
      <w:rPr>
        <w:rFonts w:hint="default"/>
        <w:lang w:val="en-US" w:eastAsia="zh-CN" w:bidi="ar-SA"/>
      </w:rPr>
    </w:lvl>
  </w:abstractNum>
  <w:abstractNum w:abstractNumId="88">
    <w:multiLevelType w:val="hybridMultilevel"/>
    <w:lvl w:ilvl="0">
      <w:start w:val="1"/>
      <w:numFmt w:val="decimal"/>
      <w:lvlText w:val="（%1）"/>
      <w:lvlJc w:val="left"/>
      <w:pPr>
        <w:ind w:left="704" w:hanging="529"/>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87">
    <w:multiLevelType w:val="hybridMultilevel"/>
    <w:lvl w:ilvl="0">
      <w:start w:val="1"/>
      <w:numFmt w:val="decimal"/>
      <w:lvlText w:val="（%1）"/>
      <w:lvlJc w:val="left"/>
      <w:pPr>
        <w:ind w:left="3489"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86">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8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84">
    <w:multiLevelType w:val="hybridMultilevel"/>
    <w:lvl w:ilvl="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83">
    <w:multiLevelType w:val="hybridMultilevel"/>
    <w:lvl w:ilvl="0">
      <w:start w:val="1"/>
      <w:numFmt w:val="decimal"/>
      <w:lvlText w:val="（%1）"/>
      <w:lvlJc w:val="left"/>
      <w:pPr>
        <w:ind w:left="3489"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82">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8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80">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8">
    <w:multiLevelType w:val="hybridMultilevel"/>
    <w:lvl w:ilvl="0">
      <w:start w:val="2"/>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7">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5">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7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70">
    <w:multiLevelType w:val="hybridMultilevel"/>
    <w:lvl w:ilvl="0">
      <w:start w:val="1"/>
      <w:numFmt w:val="decimal"/>
      <w:lvlText w:val="（%1）"/>
      <w:lvlJc w:val="left"/>
      <w:pPr>
        <w:ind w:left="701"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69">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6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69" w:hanging="529"/>
      </w:pPr>
      <w:rPr>
        <w:rFonts w:hint="default"/>
        <w:lang w:val="en-US" w:eastAsia="zh-CN" w:bidi="ar-SA"/>
      </w:rPr>
    </w:lvl>
    <w:lvl w:ilvl="3">
      <w:start w:val="0"/>
      <w:numFmt w:val="bullet"/>
      <w:lvlText w:val="•"/>
      <w:lvlJc w:val="left"/>
      <w:pPr>
        <w:ind w:left="4458" w:hanging="529"/>
      </w:pPr>
      <w:rPr>
        <w:rFonts w:hint="default"/>
        <w:lang w:val="en-US" w:eastAsia="zh-CN" w:bidi="ar-SA"/>
      </w:rPr>
    </w:lvl>
    <w:lvl w:ilvl="4">
      <w:start w:val="0"/>
      <w:numFmt w:val="bullet"/>
      <w:lvlText w:val="•"/>
      <w:lvlJc w:val="left"/>
      <w:pPr>
        <w:ind w:left="4947" w:hanging="529"/>
      </w:pPr>
      <w:rPr>
        <w:rFonts w:hint="default"/>
        <w:lang w:val="en-US" w:eastAsia="zh-CN" w:bidi="ar-SA"/>
      </w:rPr>
    </w:lvl>
    <w:lvl w:ilvl="5">
      <w:start w:val="0"/>
      <w:numFmt w:val="bullet"/>
      <w:lvlText w:val="•"/>
      <w:lvlJc w:val="left"/>
      <w:pPr>
        <w:ind w:left="5436" w:hanging="529"/>
      </w:pPr>
      <w:rPr>
        <w:rFonts w:hint="default"/>
        <w:lang w:val="en-US" w:eastAsia="zh-CN" w:bidi="ar-SA"/>
      </w:rPr>
    </w:lvl>
    <w:lvl w:ilvl="6">
      <w:start w:val="0"/>
      <w:numFmt w:val="bullet"/>
      <w:lvlText w:val="•"/>
      <w:lvlJc w:val="left"/>
      <w:pPr>
        <w:ind w:left="5925" w:hanging="529"/>
      </w:pPr>
      <w:rPr>
        <w:rFonts w:hint="default"/>
        <w:lang w:val="en-US" w:eastAsia="zh-CN" w:bidi="ar-SA"/>
      </w:rPr>
    </w:lvl>
    <w:lvl w:ilvl="7">
      <w:start w:val="0"/>
      <w:numFmt w:val="bullet"/>
      <w:lvlText w:val="•"/>
      <w:lvlJc w:val="left"/>
      <w:pPr>
        <w:ind w:left="6414" w:hanging="529"/>
      </w:pPr>
      <w:rPr>
        <w:rFonts w:hint="default"/>
        <w:lang w:val="en-US" w:eastAsia="zh-CN" w:bidi="ar-SA"/>
      </w:rPr>
    </w:lvl>
    <w:lvl w:ilvl="8">
      <w:start w:val="0"/>
      <w:numFmt w:val="bullet"/>
      <w:lvlText w:val="•"/>
      <w:lvlJc w:val="left"/>
      <w:pPr>
        <w:ind w:left="6903" w:hanging="529"/>
      </w:pPr>
      <w:rPr>
        <w:rFonts w:hint="default"/>
        <w:lang w:val="en-US" w:eastAsia="zh-CN" w:bidi="ar-SA"/>
      </w:rPr>
    </w:lvl>
  </w:abstractNum>
  <w:abstractNum w:abstractNumId="67">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6">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6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4">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63">
    <w:multiLevelType w:val="hybridMultilevel"/>
    <w:lvl w:ilvl="0">
      <w:start w:val="1"/>
      <w:numFmt w:val="decimal"/>
      <w:lvlText w:val="（%1）"/>
      <w:lvlJc w:val="left"/>
      <w:pPr>
        <w:ind w:left="3485" w:hanging="529"/>
        <w:jc w:val="left"/>
      </w:pPr>
      <w:rPr>
        <w:rFonts w:hint="default" w:ascii="宋体" w:hAnsi="宋体" w:eastAsia="宋体" w:cs="宋体"/>
        <w:b w:val="0"/>
        <w:bCs w:val="0"/>
        <w:i w:val="0"/>
        <w:iCs w:val="0"/>
        <w:spacing w:val="-82"/>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62">
    <w:multiLevelType w:val="hybridMultilevel"/>
    <w:lvl w:ilvl="0">
      <w:start w:val="1"/>
      <w:numFmt w:val="decimal"/>
      <w:lvlText w:val="（%1）"/>
      <w:lvlJc w:val="left"/>
      <w:pPr>
        <w:ind w:left="66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8" w:hanging="529"/>
      </w:pPr>
      <w:rPr>
        <w:rFonts w:hint="default"/>
        <w:lang w:val="en-US" w:eastAsia="zh-CN" w:bidi="ar-SA"/>
      </w:rPr>
    </w:lvl>
    <w:lvl w:ilvl="2">
      <w:start w:val="0"/>
      <w:numFmt w:val="bullet"/>
      <w:lvlText w:val="•"/>
      <w:lvlJc w:val="left"/>
      <w:pPr>
        <w:ind w:left="2097" w:hanging="529"/>
      </w:pPr>
      <w:rPr>
        <w:rFonts w:hint="default"/>
        <w:lang w:val="en-US" w:eastAsia="zh-CN" w:bidi="ar-SA"/>
      </w:rPr>
    </w:lvl>
    <w:lvl w:ilvl="3">
      <w:start w:val="0"/>
      <w:numFmt w:val="bullet"/>
      <w:lvlText w:val="•"/>
      <w:lvlJc w:val="left"/>
      <w:pPr>
        <w:ind w:left="2816" w:hanging="529"/>
      </w:pPr>
      <w:rPr>
        <w:rFonts w:hint="default"/>
        <w:lang w:val="en-US" w:eastAsia="zh-CN" w:bidi="ar-SA"/>
      </w:rPr>
    </w:lvl>
    <w:lvl w:ilvl="4">
      <w:start w:val="0"/>
      <w:numFmt w:val="bullet"/>
      <w:lvlText w:val="•"/>
      <w:lvlJc w:val="left"/>
      <w:pPr>
        <w:ind w:left="3535" w:hanging="529"/>
      </w:pPr>
      <w:rPr>
        <w:rFonts w:hint="default"/>
        <w:lang w:val="en-US" w:eastAsia="zh-CN" w:bidi="ar-SA"/>
      </w:rPr>
    </w:lvl>
    <w:lvl w:ilvl="5">
      <w:start w:val="0"/>
      <w:numFmt w:val="bullet"/>
      <w:lvlText w:val="•"/>
      <w:lvlJc w:val="left"/>
      <w:pPr>
        <w:ind w:left="4254" w:hanging="529"/>
      </w:pPr>
      <w:rPr>
        <w:rFonts w:hint="default"/>
        <w:lang w:val="en-US" w:eastAsia="zh-CN" w:bidi="ar-SA"/>
      </w:rPr>
    </w:lvl>
    <w:lvl w:ilvl="6">
      <w:start w:val="0"/>
      <w:numFmt w:val="bullet"/>
      <w:lvlText w:val="•"/>
      <w:lvlJc w:val="left"/>
      <w:pPr>
        <w:ind w:left="4973" w:hanging="529"/>
      </w:pPr>
      <w:rPr>
        <w:rFonts w:hint="default"/>
        <w:lang w:val="en-US" w:eastAsia="zh-CN" w:bidi="ar-SA"/>
      </w:rPr>
    </w:lvl>
    <w:lvl w:ilvl="7">
      <w:start w:val="0"/>
      <w:numFmt w:val="bullet"/>
      <w:lvlText w:val="•"/>
      <w:lvlJc w:val="left"/>
      <w:pPr>
        <w:ind w:left="569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6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0">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82"/>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5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58">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57">
    <w:multiLevelType w:val="hybridMultilevel"/>
    <w:lvl w:ilvl="0">
      <w:start w:val="1"/>
      <w:numFmt w:val="decimal"/>
      <w:lvlText w:val="（%1）"/>
      <w:lvlJc w:val="left"/>
      <w:pPr>
        <w:ind w:left="3485" w:hanging="560"/>
        <w:jc w:val="left"/>
      </w:pPr>
      <w:rPr>
        <w:rFonts w:hint="default" w:ascii="宋体" w:hAnsi="宋体" w:eastAsia="宋体" w:cs="宋体"/>
        <w:b w:val="0"/>
        <w:bCs w:val="0"/>
        <w:i w:val="0"/>
        <w:iCs w:val="0"/>
        <w:spacing w:val="9"/>
        <w:w w:val="100"/>
        <w:sz w:val="19"/>
        <w:szCs w:val="19"/>
        <w:lang w:val="en-US" w:eastAsia="zh-CN" w:bidi="ar-SA"/>
      </w:rPr>
    </w:lvl>
    <w:lvl w:ilvl="1">
      <w:start w:val="0"/>
      <w:numFmt w:val="bullet"/>
      <w:lvlText w:val="•"/>
      <w:lvlJc w:val="left"/>
      <w:pPr>
        <w:ind w:left="4198" w:hanging="560"/>
      </w:pPr>
      <w:rPr>
        <w:rFonts w:hint="default"/>
        <w:lang w:val="en-US" w:eastAsia="zh-CN" w:bidi="ar-SA"/>
      </w:rPr>
    </w:lvl>
    <w:lvl w:ilvl="2">
      <w:start w:val="0"/>
      <w:numFmt w:val="bullet"/>
      <w:lvlText w:val="•"/>
      <w:lvlJc w:val="left"/>
      <w:pPr>
        <w:ind w:left="4917" w:hanging="560"/>
      </w:pPr>
      <w:rPr>
        <w:rFonts w:hint="default"/>
        <w:lang w:val="en-US" w:eastAsia="zh-CN" w:bidi="ar-SA"/>
      </w:rPr>
    </w:lvl>
    <w:lvl w:ilvl="3">
      <w:start w:val="0"/>
      <w:numFmt w:val="bullet"/>
      <w:lvlText w:val="•"/>
      <w:lvlJc w:val="left"/>
      <w:pPr>
        <w:ind w:left="5635" w:hanging="560"/>
      </w:pPr>
      <w:rPr>
        <w:rFonts w:hint="default"/>
        <w:lang w:val="en-US" w:eastAsia="zh-CN" w:bidi="ar-SA"/>
      </w:rPr>
    </w:lvl>
    <w:lvl w:ilvl="4">
      <w:start w:val="0"/>
      <w:numFmt w:val="bullet"/>
      <w:lvlText w:val="•"/>
      <w:lvlJc w:val="left"/>
      <w:pPr>
        <w:ind w:left="6354" w:hanging="560"/>
      </w:pPr>
      <w:rPr>
        <w:rFonts w:hint="default"/>
        <w:lang w:val="en-US" w:eastAsia="zh-CN" w:bidi="ar-SA"/>
      </w:rPr>
    </w:lvl>
    <w:lvl w:ilvl="5">
      <w:start w:val="0"/>
      <w:numFmt w:val="bullet"/>
      <w:lvlText w:val="•"/>
      <w:lvlJc w:val="left"/>
      <w:pPr>
        <w:ind w:left="7073" w:hanging="560"/>
      </w:pPr>
      <w:rPr>
        <w:rFonts w:hint="default"/>
        <w:lang w:val="en-US" w:eastAsia="zh-CN" w:bidi="ar-SA"/>
      </w:rPr>
    </w:lvl>
    <w:lvl w:ilvl="6">
      <w:start w:val="0"/>
      <w:numFmt w:val="bullet"/>
      <w:lvlText w:val="•"/>
      <w:lvlJc w:val="left"/>
      <w:pPr>
        <w:ind w:left="7791" w:hanging="560"/>
      </w:pPr>
      <w:rPr>
        <w:rFonts w:hint="default"/>
        <w:lang w:val="en-US" w:eastAsia="zh-CN" w:bidi="ar-SA"/>
      </w:rPr>
    </w:lvl>
    <w:lvl w:ilvl="7">
      <w:start w:val="0"/>
      <w:numFmt w:val="bullet"/>
      <w:lvlText w:val="•"/>
      <w:lvlJc w:val="left"/>
      <w:pPr>
        <w:ind w:left="8510" w:hanging="560"/>
      </w:pPr>
      <w:rPr>
        <w:rFonts w:hint="default"/>
        <w:lang w:val="en-US" w:eastAsia="zh-CN" w:bidi="ar-SA"/>
      </w:rPr>
    </w:lvl>
    <w:lvl w:ilvl="8">
      <w:start w:val="0"/>
      <w:numFmt w:val="bullet"/>
      <w:lvlText w:val="•"/>
      <w:lvlJc w:val="left"/>
      <w:pPr>
        <w:ind w:left="9229" w:hanging="560"/>
      </w:pPr>
      <w:rPr>
        <w:rFonts w:hint="default"/>
        <w:lang w:val="en-US" w:eastAsia="zh-CN" w:bidi="ar-SA"/>
      </w:rPr>
    </w:lvl>
  </w:abstractNum>
  <w:abstractNum w:abstractNumId="56">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55">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3"/>
      <w:numFmt w:val="decimal"/>
      <w:lvlText w:val="（%2）"/>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69" w:hanging="529"/>
      </w:pPr>
      <w:rPr>
        <w:rFonts w:hint="default"/>
        <w:lang w:val="en-US" w:eastAsia="zh-CN" w:bidi="ar-SA"/>
      </w:rPr>
    </w:lvl>
    <w:lvl w:ilvl="3">
      <w:start w:val="0"/>
      <w:numFmt w:val="bullet"/>
      <w:lvlText w:val="•"/>
      <w:lvlJc w:val="left"/>
      <w:pPr>
        <w:ind w:left="4458" w:hanging="529"/>
      </w:pPr>
      <w:rPr>
        <w:rFonts w:hint="default"/>
        <w:lang w:val="en-US" w:eastAsia="zh-CN" w:bidi="ar-SA"/>
      </w:rPr>
    </w:lvl>
    <w:lvl w:ilvl="4">
      <w:start w:val="0"/>
      <w:numFmt w:val="bullet"/>
      <w:lvlText w:val="•"/>
      <w:lvlJc w:val="left"/>
      <w:pPr>
        <w:ind w:left="4947" w:hanging="529"/>
      </w:pPr>
      <w:rPr>
        <w:rFonts w:hint="default"/>
        <w:lang w:val="en-US" w:eastAsia="zh-CN" w:bidi="ar-SA"/>
      </w:rPr>
    </w:lvl>
    <w:lvl w:ilvl="5">
      <w:start w:val="0"/>
      <w:numFmt w:val="bullet"/>
      <w:lvlText w:val="•"/>
      <w:lvlJc w:val="left"/>
      <w:pPr>
        <w:ind w:left="5436" w:hanging="529"/>
      </w:pPr>
      <w:rPr>
        <w:rFonts w:hint="default"/>
        <w:lang w:val="en-US" w:eastAsia="zh-CN" w:bidi="ar-SA"/>
      </w:rPr>
    </w:lvl>
    <w:lvl w:ilvl="6">
      <w:start w:val="0"/>
      <w:numFmt w:val="bullet"/>
      <w:lvlText w:val="•"/>
      <w:lvlJc w:val="left"/>
      <w:pPr>
        <w:ind w:left="5925" w:hanging="529"/>
      </w:pPr>
      <w:rPr>
        <w:rFonts w:hint="default"/>
        <w:lang w:val="en-US" w:eastAsia="zh-CN" w:bidi="ar-SA"/>
      </w:rPr>
    </w:lvl>
    <w:lvl w:ilvl="7">
      <w:start w:val="0"/>
      <w:numFmt w:val="bullet"/>
      <w:lvlText w:val="•"/>
      <w:lvlJc w:val="left"/>
      <w:pPr>
        <w:ind w:left="6414" w:hanging="529"/>
      </w:pPr>
      <w:rPr>
        <w:rFonts w:hint="default"/>
        <w:lang w:val="en-US" w:eastAsia="zh-CN" w:bidi="ar-SA"/>
      </w:rPr>
    </w:lvl>
    <w:lvl w:ilvl="8">
      <w:start w:val="0"/>
      <w:numFmt w:val="bullet"/>
      <w:lvlText w:val="•"/>
      <w:lvlJc w:val="left"/>
      <w:pPr>
        <w:ind w:left="6903" w:hanging="529"/>
      </w:pPr>
      <w:rPr>
        <w:rFonts w:hint="default"/>
        <w:lang w:val="en-US" w:eastAsia="zh-CN" w:bidi="ar-SA"/>
      </w:rPr>
    </w:lvl>
  </w:abstractNum>
  <w:abstractNum w:abstractNumId="53">
    <w:multiLevelType w:val="hybridMultilevel"/>
    <w:lvl w:ilvl="0">
      <w:start w:val="1"/>
      <w:numFmt w:val="decimal"/>
      <w:lvlText w:val="（%1）"/>
      <w:lvlJc w:val="left"/>
      <w:pPr>
        <w:ind w:left="672"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2">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1">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0">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49">
    <w:multiLevelType w:val="hybridMultilevel"/>
    <w:lvl w:ilvl="0">
      <w:start w:val="1"/>
      <w:numFmt w:val="decimal"/>
      <w:lvlText w:val="（%1）"/>
      <w:lvlJc w:val="left"/>
      <w:pPr>
        <w:ind w:left="66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378" w:hanging="536"/>
      </w:pPr>
      <w:rPr>
        <w:rFonts w:hint="default"/>
        <w:lang w:val="en-US" w:eastAsia="zh-CN" w:bidi="ar-SA"/>
      </w:rPr>
    </w:lvl>
    <w:lvl w:ilvl="2">
      <w:start w:val="0"/>
      <w:numFmt w:val="bullet"/>
      <w:lvlText w:val="•"/>
      <w:lvlJc w:val="left"/>
      <w:pPr>
        <w:ind w:left="2097" w:hanging="536"/>
      </w:pPr>
      <w:rPr>
        <w:rFonts w:hint="default"/>
        <w:lang w:val="en-US" w:eastAsia="zh-CN" w:bidi="ar-SA"/>
      </w:rPr>
    </w:lvl>
    <w:lvl w:ilvl="3">
      <w:start w:val="0"/>
      <w:numFmt w:val="bullet"/>
      <w:lvlText w:val="•"/>
      <w:lvlJc w:val="left"/>
      <w:pPr>
        <w:ind w:left="2816" w:hanging="536"/>
      </w:pPr>
      <w:rPr>
        <w:rFonts w:hint="default"/>
        <w:lang w:val="en-US" w:eastAsia="zh-CN" w:bidi="ar-SA"/>
      </w:rPr>
    </w:lvl>
    <w:lvl w:ilvl="4">
      <w:start w:val="0"/>
      <w:numFmt w:val="bullet"/>
      <w:lvlText w:val="•"/>
      <w:lvlJc w:val="left"/>
      <w:pPr>
        <w:ind w:left="3535" w:hanging="536"/>
      </w:pPr>
      <w:rPr>
        <w:rFonts w:hint="default"/>
        <w:lang w:val="en-US" w:eastAsia="zh-CN" w:bidi="ar-SA"/>
      </w:rPr>
    </w:lvl>
    <w:lvl w:ilvl="5">
      <w:start w:val="0"/>
      <w:numFmt w:val="bullet"/>
      <w:lvlText w:val="•"/>
      <w:lvlJc w:val="left"/>
      <w:pPr>
        <w:ind w:left="4254" w:hanging="536"/>
      </w:pPr>
      <w:rPr>
        <w:rFonts w:hint="default"/>
        <w:lang w:val="en-US" w:eastAsia="zh-CN" w:bidi="ar-SA"/>
      </w:rPr>
    </w:lvl>
    <w:lvl w:ilvl="6">
      <w:start w:val="0"/>
      <w:numFmt w:val="bullet"/>
      <w:lvlText w:val="•"/>
      <w:lvlJc w:val="left"/>
      <w:pPr>
        <w:ind w:left="4973" w:hanging="536"/>
      </w:pPr>
      <w:rPr>
        <w:rFonts w:hint="default"/>
        <w:lang w:val="en-US" w:eastAsia="zh-CN" w:bidi="ar-SA"/>
      </w:rPr>
    </w:lvl>
    <w:lvl w:ilvl="7">
      <w:start w:val="0"/>
      <w:numFmt w:val="bullet"/>
      <w:lvlText w:val="•"/>
      <w:lvlJc w:val="left"/>
      <w:pPr>
        <w:ind w:left="5692" w:hanging="536"/>
      </w:pPr>
      <w:rPr>
        <w:rFonts w:hint="default"/>
        <w:lang w:val="en-US" w:eastAsia="zh-CN" w:bidi="ar-SA"/>
      </w:rPr>
    </w:lvl>
    <w:lvl w:ilvl="8">
      <w:start w:val="0"/>
      <w:numFmt w:val="bullet"/>
      <w:lvlText w:val="•"/>
      <w:lvlJc w:val="left"/>
      <w:pPr>
        <w:ind w:left="6411" w:hanging="536"/>
      </w:pPr>
      <w:rPr>
        <w:rFonts w:hint="default"/>
        <w:lang w:val="en-US" w:eastAsia="zh-CN" w:bidi="ar-SA"/>
      </w:rPr>
    </w:lvl>
  </w:abstractNum>
  <w:abstractNum w:abstractNumId="48">
    <w:multiLevelType w:val="hybridMultilevel"/>
    <w:lvl w:ilvl="0">
      <w:start w:val="1"/>
      <w:numFmt w:val="decimal"/>
      <w:lvlText w:val="（%1）"/>
      <w:lvlJc w:val="left"/>
      <w:pPr>
        <w:ind w:left="702" w:hanging="529"/>
        <w:jc w:val="left"/>
      </w:pPr>
      <w:rPr>
        <w:rFonts w:hint="default" w:ascii="微软雅黑" w:hAnsi="微软雅黑" w:eastAsia="微软雅黑" w:cs="微软雅黑"/>
        <w:b/>
        <w:bCs/>
        <w:i w:val="0"/>
        <w:iCs w:val="0"/>
        <w:w w:val="81"/>
        <w:sz w:val="19"/>
        <w:szCs w:val="19"/>
        <w:lang w:val="en-US" w:eastAsia="zh-CN" w:bidi="ar-SA"/>
      </w:rPr>
    </w:lvl>
    <w:lvl w:ilvl="1">
      <w:start w:val="1"/>
      <w:numFmt w:val="lowerLetter"/>
      <w:lvlText w:val="%2."/>
      <w:lvlJc w:val="left"/>
      <w:pPr>
        <w:ind w:left="699" w:hanging="213"/>
        <w:jc w:val="left"/>
      </w:pPr>
      <w:rPr>
        <w:rFonts w:hint="default" w:ascii="微软雅黑" w:hAnsi="微软雅黑" w:eastAsia="微软雅黑" w:cs="微软雅黑"/>
        <w:b/>
        <w:bCs/>
        <w:i w:val="0"/>
        <w:iCs w:val="0"/>
        <w:w w:val="116"/>
        <w:sz w:val="19"/>
        <w:szCs w:val="19"/>
        <w:lang w:val="en-US" w:eastAsia="zh-CN" w:bidi="ar-SA"/>
      </w:rPr>
    </w:lvl>
    <w:lvl w:ilvl="2">
      <w:start w:val="0"/>
      <w:numFmt w:val="bullet"/>
      <w:lvlText w:val="•"/>
      <w:lvlJc w:val="left"/>
      <w:pPr>
        <w:ind w:left="2136" w:hanging="213"/>
      </w:pPr>
      <w:rPr>
        <w:rFonts w:hint="default"/>
        <w:lang w:val="en-US" w:eastAsia="zh-CN" w:bidi="ar-SA"/>
      </w:rPr>
    </w:lvl>
    <w:lvl w:ilvl="3">
      <w:start w:val="0"/>
      <w:numFmt w:val="bullet"/>
      <w:lvlText w:val="•"/>
      <w:lvlJc w:val="left"/>
      <w:pPr>
        <w:ind w:left="2854" w:hanging="213"/>
      </w:pPr>
      <w:rPr>
        <w:rFonts w:hint="default"/>
        <w:lang w:val="en-US" w:eastAsia="zh-CN" w:bidi="ar-SA"/>
      </w:rPr>
    </w:lvl>
    <w:lvl w:ilvl="4">
      <w:start w:val="0"/>
      <w:numFmt w:val="bullet"/>
      <w:lvlText w:val="•"/>
      <w:lvlJc w:val="left"/>
      <w:pPr>
        <w:ind w:left="3572" w:hanging="213"/>
      </w:pPr>
      <w:rPr>
        <w:rFonts w:hint="default"/>
        <w:lang w:val="en-US" w:eastAsia="zh-CN" w:bidi="ar-SA"/>
      </w:rPr>
    </w:lvl>
    <w:lvl w:ilvl="5">
      <w:start w:val="0"/>
      <w:numFmt w:val="bullet"/>
      <w:lvlText w:val="•"/>
      <w:lvlJc w:val="left"/>
      <w:pPr>
        <w:ind w:left="4290" w:hanging="213"/>
      </w:pPr>
      <w:rPr>
        <w:rFonts w:hint="default"/>
        <w:lang w:val="en-US" w:eastAsia="zh-CN" w:bidi="ar-SA"/>
      </w:rPr>
    </w:lvl>
    <w:lvl w:ilvl="6">
      <w:start w:val="0"/>
      <w:numFmt w:val="bullet"/>
      <w:lvlText w:val="•"/>
      <w:lvlJc w:val="left"/>
      <w:pPr>
        <w:ind w:left="5008" w:hanging="213"/>
      </w:pPr>
      <w:rPr>
        <w:rFonts w:hint="default"/>
        <w:lang w:val="en-US" w:eastAsia="zh-CN" w:bidi="ar-SA"/>
      </w:rPr>
    </w:lvl>
    <w:lvl w:ilvl="7">
      <w:start w:val="0"/>
      <w:numFmt w:val="bullet"/>
      <w:lvlText w:val="•"/>
      <w:lvlJc w:val="left"/>
      <w:pPr>
        <w:ind w:left="5726" w:hanging="213"/>
      </w:pPr>
      <w:rPr>
        <w:rFonts w:hint="default"/>
        <w:lang w:val="en-US" w:eastAsia="zh-CN" w:bidi="ar-SA"/>
      </w:rPr>
    </w:lvl>
    <w:lvl w:ilvl="8">
      <w:start w:val="0"/>
      <w:numFmt w:val="bullet"/>
      <w:lvlText w:val="•"/>
      <w:lvlJc w:val="left"/>
      <w:pPr>
        <w:ind w:left="6444" w:hanging="213"/>
      </w:pPr>
      <w:rPr>
        <w:rFonts w:hint="default"/>
        <w:lang w:val="en-US" w:eastAsia="zh-CN" w:bidi="ar-SA"/>
      </w:rPr>
    </w:lvl>
  </w:abstractNum>
  <w:abstractNum w:abstractNumId="47">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3">
    <w:multiLevelType w:val="hybridMultilevel"/>
    <w:lvl w:ilvl="0">
      <w:start w:val="1"/>
      <w:numFmt w:val="decimal"/>
      <w:lvlText w:val="（%1）"/>
      <w:lvlJc w:val="left"/>
      <w:pPr>
        <w:ind w:left="701"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42">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41">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40">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39">
    <w:multiLevelType w:val="hybridMultilevel"/>
    <w:lvl w:ilvl="0">
      <w:start w:val="10"/>
      <w:numFmt w:val="decimal"/>
      <w:lvlText w:val="%1"/>
      <w:lvlJc w:val="left"/>
      <w:pPr>
        <w:ind w:left="2960" w:hanging="853"/>
        <w:jc w:val="left"/>
      </w:pPr>
      <w:rPr>
        <w:rFonts w:hint="default"/>
        <w:lang w:val="en-US" w:eastAsia="zh-CN" w:bidi="ar-SA"/>
      </w:rPr>
    </w:lvl>
    <w:lvl w:ilvl="1">
      <w:start w:val="2"/>
      <w:numFmt w:val="decimal"/>
      <w:lvlText w:val="%1.%2"/>
      <w:lvlJc w:val="left"/>
      <w:pPr>
        <w:ind w:left="2960" w:hanging="853"/>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3."/>
      <w:lvlJc w:val="left"/>
      <w:pPr>
        <w:ind w:left="1292" w:hanging="213"/>
        <w:jc w:val="left"/>
      </w:pPr>
      <w:rPr>
        <w:rFonts w:hint="default" w:ascii="宋体" w:hAnsi="宋体" w:eastAsia="宋体" w:cs="宋体"/>
        <w:b w:val="0"/>
        <w:bCs w:val="0"/>
        <w:i w:val="0"/>
        <w:iCs w:val="0"/>
        <w:spacing w:val="-1"/>
        <w:w w:val="100"/>
        <w:sz w:val="19"/>
        <w:szCs w:val="19"/>
        <w:lang w:val="en-US" w:eastAsia="zh-CN" w:bidi="ar-SA"/>
      </w:rPr>
    </w:lvl>
    <w:lvl w:ilvl="3">
      <w:start w:val="1"/>
      <w:numFmt w:val="decimal"/>
      <w:lvlText w:val="（%4）"/>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375" w:hanging="529"/>
      </w:pPr>
      <w:rPr>
        <w:rFonts w:hint="default"/>
        <w:lang w:val="en-US" w:eastAsia="zh-CN" w:bidi="ar-SA"/>
      </w:rPr>
    </w:lvl>
    <w:lvl w:ilvl="5">
      <w:start w:val="0"/>
      <w:numFmt w:val="bullet"/>
      <w:lvlText w:val="•"/>
      <w:lvlJc w:val="left"/>
      <w:pPr>
        <w:ind w:left="3270" w:hanging="529"/>
      </w:pPr>
      <w:rPr>
        <w:rFonts w:hint="default"/>
        <w:lang w:val="en-US" w:eastAsia="zh-CN" w:bidi="ar-SA"/>
      </w:rPr>
    </w:lvl>
    <w:lvl w:ilvl="6">
      <w:start w:val="0"/>
      <w:numFmt w:val="bullet"/>
      <w:lvlText w:val="•"/>
      <w:lvlJc w:val="left"/>
      <w:pPr>
        <w:ind w:left="3165" w:hanging="529"/>
      </w:pPr>
      <w:rPr>
        <w:rFonts w:hint="default"/>
        <w:lang w:val="en-US" w:eastAsia="zh-CN" w:bidi="ar-SA"/>
      </w:rPr>
    </w:lvl>
    <w:lvl w:ilvl="7">
      <w:start w:val="0"/>
      <w:numFmt w:val="bullet"/>
      <w:lvlText w:val="•"/>
      <w:lvlJc w:val="left"/>
      <w:pPr>
        <w:ind w:left="3060" w:hanging="529"/>
      </w:pPr>
      <w:rPr>
        <w:rFonts w:hint="default"/>
        <w:lang w:val="en-US" w:eastAsia="zh-CN" w:bidi="ar-SA"/>
      </w:rPr>
    </w:lvl>
    <w:lvl w:ilvl="8">
      <w:start w:val="0"/>
      <w:numFmt w:val="bullet"/>
      <w:lvlText w:val="•"/>
      <w:lvlJc w:val="left"/>
      <w:pPr>
        <w:ind w:left="2955" w:hanging="529"/>
      </w:pPr>
      <w:rPr>
        <w:rFonts w:hint="default"/>
        <w:lang w:val="en-US" w:eastAsia="zh-CN" w:bidi="ar-SA"/>
      </w:rPr>
    </w:lvl>
  </w:abstractNum>
  <w:abstractNum w:abstractNumId="3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1586" w:hanging="529"/>
      </w:pPr>
      <w:rPr>
        <w:rFonts w:hint="default"/>
        <w:lang w:val="en-US" w:eastAsia="zh-CN" w:bidi="ar-SA"/>
      </w:rPr>
    </w:lvl>
    <w:lvl w:ilvl="3">
      <w:start w:val="0"/>
      <w:numFmt w:val="bullet"/>
      <w:lvlText w:val="•"/>
      <w:lvlJc w:val="left"/>
      <w:pPr>
        <w:ind w:left="2373" w:hanging="529"/>
      </w:pPr>
      <w:rPr>
        <w:rFonts w:hint="default"/>
        <w:lang w:val="en-US" w:eastAsia="zh-CN" w:bidi="ar-SA"/>
      </w:rPr>
    </w:lvl>
    <w:lvl w:ilvl="4">
      <w:start w:val="0"/>
      <w:numFmt w:val="bullet"/>
      <w:lvlText w:val="•"/>
      <w:lvlJc w:val="left"/>
      <w:pPr>
        <w:ind w:left="3160" w:hanging="529"/>
      </w:pPr>
      <w:rPr>
        <w:rFonts w:hint="default"/>
        <w:lang w:val="en-US" w:eastAsia="zh-CN" w:bidi="ar-SA"/>
      </w:rPr>
    </w:lvl>
    <w:lvl w:ilvl="5">
      <w:start w:val="0"/>
      <w:numFmt w:val="bullet"/>
      <w:lvlText w:val="•"/>
      <w:lvlJc w:val="left"/>
      <w:pPr>
        <w:ind w:left="3947" w:hanging="529"/>
      </w:pPr>
      <w:rPr>
        <w:rFonts w:hint="default"/>
        <w:lang w:val="en-US" w:eastAsia="zh-CN" w:bidi="ar-SA"/>
      </w:rPr>
    </w:lvl>
    <w:lvl w:ilvl="6">
      <w:start w:val="0"/>
      <w:numFmt w:val="bullet"/>
      <w:lvlText w:val="•"/>
      <w:lvlJc w:val="left"/>
      <w:pPr>
        <w:ind w:left="4734" w:hanging="529"/>
      </w:pPr>
      <w:rPr>
        <w:rFonts w:hint="default"/>
        <w:lang w:val="en-US" w:eastAsia="zh-CN" w:bidi="ar-SA"/>
      </w:rPr>
    </w:lvl>
    <w:lvl w:ilvl="7">
      <w:start w:val="0"/>
      <w:numFmt w:val="bullet"/>
      <w:lvlText w:val="•"/>
      <w:lvlJc w:val="left"/>
      <w:pPr>
        <w:ind w:left="5521" w:hanging="529"/>
      </w:pPr>
      <w:rPr>
        <w:rFonts w:hint="default"/>
        <w:lang w:val="en-US" w:eastAsia="zh-CN" w:bidi="ar-SA"/>
      </w:rPr>
    </w:lvl>
    <w:lvl w:ilvl="8">
      <w:start w:val="0"/>
      <w:numFmt w:val="bullet"/>
      <w:lvlText w:val="•"/>
      <w:lvlJc w:val="left"/>
      <w:pPr>
        <w:ind w:left="6307" w:hanging="529"/>
      </w:pPr>
      <w:rPr>
        <w:rFonts w:hint="default"/>
        <w:lang w:val="en-US" w:eastAsia="zh-CN" w:bidi="ar-SA"/>
      </w:rPr>
    </w:lvl>
  </w:abstractNum>
  <w:abstractNum w:abstractNumId="37">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3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5">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4">
    <w:multiLevelType w:val="hybridMultilevel"/>
    <w:lvl w:ilvl="0">
      <w:start w:val="1"/>
      <w:numFmt w:val="decimal"/>
      <w:lvlText w:val="（%1）"/>
      <w:lvlJc w:val="left"/>
      <w:pPr>
        <w:ind w:left="704"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3">
    <w:multiLevelType w:val="hybridMultilevel"/>
    <w:lvl w:ilvl="0">
      <w:start w:val="1"/>
      <w:numFmt w:val="decimal"/>
      <w:lvlText w:val="（%1）"/>
      <w:lvlJc w:val="left"/>
      <w:pPr>
        <w:ind w:left="741"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454" w:hanging="567"/>
      </w:pPr>
      <w:rPr>
        <w:rFonts w:hint="default"/>
        <w:lang w:val="en-US" w:eastAsia="zh-CN" w:bidi="ar-SA"/>
      </w:rPr>
    </w:lvl>
    <w:lvl w:ilvl="2">
      <w:start w:val="0"/>
      <w:numFmt w:val="bullet"/>
      <w:lvlText w:val="•"/>
      <w:lvlJc w:val="left"/>
      <w:pPr>
        <w:ind w:left="2168" w:hanging="567"/>
      </w:pPr>
      <w:rPr>
        <w:rFonts w:hint="default"/>
        <w:lang w:val="en-US" w:eastAsia="zh-CN" w:bidi="ar-SA"/>
      </w:rPr>
    </w:lvl>
    <w:lvl w:ilvl="3">
      <w:start w:val="0"/>
      <w:numFmt w:val="bullet"/>
      <w:lvlText w:val="•"/>
      <w:lvlJc w:val="left"/>
      <w:pPr>
        <w:ind w:left="2882" w:hanging="567"/>
      </w:pPr>
      <w:rPr>
        <w:rFonts w:hint="default"/>
        <w:lang w:val="en-US" w:eastAsia="zh-CN" w:bidi="ar-SA"/>
      </w:rPr>
    </w:lvl>
    <w:lvl w:ilvl="4">
      <w:start w:val="0"/>
      <w:numFmt w:val="bullet"/>
      <w:lvlText w:val="•"/>
      <w:lvlJc w:val="left"/>
      <w:pPr>
        <w:ind w:left="3596" w:hanging="567"/>
      </w:pPr>
      <w:rPr>
        <w:rFonts w:hint="default"/>
        <w:lang w:val="en-US" w:eastAsia="zh-CN" w:bidi="ar-SA"/>
      </w:rPr>
    </w:lvl>
    <w:lvl w:ilvl="5">
      <w:start w:val="0"/>
      <w:numFmt w:val="bullet"/>
      <w:lvlText w:val="•"/>
      <w:lvlJc w:val="left"/>
      <w:pPr>
        <w:ind w:left="4310" w:hanging="567"/>
      </w:pPr>
      <w:rPr>
        <w:rFonts w:hint="default"/>
        <w:lang w:val="en-US" w:eastAsia="zh-CN" w:bidi="ar-SA"/>
      </w:rPr>
    </w:lvl>
    <w:lvl w:ilvl="6">
      <w:start w:val="0"/>
      <w:numFmt w:val="bullet"/>
      <w:lvlText w:val="•"/>
      <w:lvlJc w:val="left"/>
      <w:pPr>
        <w:ind w:left="5024" w:hanging="567"/>
      </w:pPr>
      <w:rPr>
        <w:rFonts w:hint="default"/>
        <w:lang w:val="en-US" w:eastAsia="zh-CN" w:bidi="ar-SA"/>
      </w:rPr>
    </w:lvl>
    <w:lvl w:ilvl="7">
      <w:start w:val="0"/>
      <w:numFmt w:val="bullet"/>
      <w:lvlText w:val="•"/>
      <w:lvlJc w:val="left"/>
      <w:pPr>
        <w:ind w:left="5739" w:hanging="567"/>
      </w:pPr>
      <w:rPr>
        <w:rFonts w:hint="default"/>
        <w:lang w:val="en-US" w:eastAsia="zh-CN" w:bidi="ar-SA"/>
      </w:rPr>
    </w:lvl>
    <w:lvl w:ilvl="8">
      <w:start w:val="0"/>
      <w:numFmt w:val="bullet"/>
      <w:lvlText w:val="•"/>
      <w:lvlJc w:val="left"/>
      <w:pPr>
        <w:ind w:left="6453" w:hanging="567"/>
      </w:pPr>
      <w:rPr>
        <w:rFonts w:hint="default"/>
        <w:lang w:val="en-US" w:eastAsia="zh-CN" w:bidi="ar-SA"/>
      </w:rPr>
    </w:lvl>
  </w:abstractNum>
  <w:abstractNum w:abstractNumId="32">
    <w:multiLevelType w:val="hybridMultilevel"/>
    <w:lvl w:ilvl="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591" w:hanging="63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075" w:hanging="632"/>
      </w:pPr>
      <w:rPr>
        <w:rFonts w:hint="default"/>
        <w:lang w:val="en-US" w:eastAsia="zh-CN" w:bidi="ar-SA"/>
      </w:rPr>
    </w:lvl>
    <w:lvl w:ilvl="3">
      <w:start w:val="0"/>
      <w:numFmt w:val="bullet"/>
      <w:lvlText w:val="•"/>
      <w:lvlJc w:val="left"/>
      <w:pPr>
        <w:ind w:left="4551" w:hanging="632"/>
      </w:pPr>
      <w:rPr>
        <w:rFonts w:hint="default"/>
        <w:lang w:val="en-US" w:eastAsia="zh-CN" w:bidi="ar-SA"/>
      </w:rPr>
    </w:lvl>
    <w:lvl w:ilvl="4">
      <w:start w:val="0"/>
      <w:numFmt w:val="bullet"/>
      <w:lvlText w:val="•"/>
      <w:lvlJc w:val="left"/>
      <w:pPr>
        <w:ind w:left="5027" w:hanging="632"/>
      </w:pPr>
      <w:rPr>
        <w:rFonts w:hint="default"/>
        <w:lang w:val="en-US" w:eastAsia="zh-CN" w:bidi="ar-SA"/>
      </w:rPr>
    </w:lvl>
    <w:lvl w:ilvl="5">
      <w:start w:val="0"/>
      <w:numFmt w:val="bullet"/>
      <w:lvlText w:val="•"/>
      <w:lvlJc w:val="left"/>
      <w:pPr>
        <w:ind w:left="5502" w:hanging="632"/>
      </w:pPr>
      <w:rPr>
        <w:rFonts w:hint="default"/>
        <w:lang w:val="en-US" w:eastAsia="zh-CN" w:bidi="ar-SA"/>
      </w:rPr>
    </w:lvl>
    <w:lvl w:ilvl="6">
      <w:start w:val="0"/>
      <w:numFmt w:val="bullet"/>
      <w:lvlText w:val="•"/>
      <w:lvlJc w:val="left"/>
      <w:pPr>
        <w:ind w:left="5978" w:hanging="632"/>
      </w:pPr>
      <w:rPr>
        <w:rFonts w:hint="default"/>
        <w:lang w:val="en-US" w:eastAsia="zh-CN" w:bidi="ar-SA"/>
      </w:rPr>
    </w:lvl>
    <w:lvl w:ilvl="7">
      <w:start w:val="0"/>
      <w:numFmt w:val="bullet"/>
      <w:lvlText w:val="•"/>
      <w:lvlJc w:val="left"/>
      <w:pPr>
        <w:ind w:left="6454" w:hanging="632"/>
      </w:pPr>
      <w:rPr>
        <w:rFonts w:hint="default"/>
        <w:lang w:val="en-US" w:eastAsia="zh-CN" w:bidi="ar-SA"/>
      </w:rPr>
    </w:lvl>
    <w:lvl w:ilvl="8">
      <w:start w:val="0"/>
      <w:numFmt w:val="bullet"/>
      <w:lvlText w:val="•"/>
      <w:lvlJc w:val="left"/>
      <w:pPr>
        <w:ind w:left="6930" w:hanging="632"/>
      </w:pPr>
      <w:rPr>
        <w:rFonts w:hint="default"/>
        <w:lang w:val="en-US" w:eastAsia="zh-CN" w:bidi="ar-SA"/>
      </w:rPr>
    </w:lvl>
  </w:abstractNum>
  <w:abstractNum w:abstractNumId="3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0">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29">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2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69" w:hanging="529"/>
      </w:pPr>
      <w:rPr>
        <w:rFonts w:hint="default"/>
        <w:lang w:val="en-US" w:eastAsia="zh-CN" w:bidi="ar-SA"/>
      </w:rPr>
    </w:lvl>
    <w:lvl w:ilvl="3">
      <w:start w:val="0"/>
      <w:numFmt w:val="bullet"/>
      <w:lvlText w:val="•"/>
      <w:lvlJc w:val="left"/>
      <w:pPr>
        <w:ind w:left="4458" w:hanging="529"/>
      </w:pPr>
      <w:rPr>
        <w:rFonts w:hint="default"/>
        <w:lang w:val="en-US" w:eastAsia="zh-CN" w:bidi="ar-SA"/>
      </w:rPr>
    </w:lvl>
    <w:lvl w:ilvl="4">
      <w:start w:val="0"/>
      <w:numFmt w:val="bullet"/>
      <w:lvlText w:val="•"/>
      <w:lvlJc w:val="left"/>
      <w:pPr>
        <w:ind w:left="4947" w:hanging="529"/>
      </w:pPr>
      <w:rPr>
        <w:rFonts w:hint="default"/>
        <w:lang w:val="en-US" w:eastAsia="zh-CN" w:bidi="ar-SA"/>
      </w:rPr>
    </w:lvl>
    <w:lvl w:ilvl="5">
      <w:start w:val="0"/>
      <w:numFmt w:val="bullet"/>
      <w:lvlText w:val="•"/>
      <w:lvlJc w:val="left"/>
      <w:pPr>
        <w:ind w:left="5436" w:hanging="529"/>
      </w:pPr>
      <w:rPr>
        <w:rFonts w:hint="default"/>
        <w:lang w:val="en-US" w:eastAsia="zh-CN" w:bidi="ar-SA"/>
      </w:rPr>
    </w:lvl>
    <w:lvl w:ilvl="6">
      <w:start w:val="0"/>
      <w:numFmt w:val="bullet"/>
      <w:lvlText w:val="•"/>
      <w:lvlJc w:val="left"/>
      <w:pPr>
        <w:ind w:left="5925" w:hanging="529"/>
      </w:pPr>
      <w:rPr>
        <w:rFonts w:hint="default"/>
        <w:lang w:val="en-US" w:eastAsia="zh-CN" w:bidi="ar-SA"/>
      </w:rPr>
    </w:lvl>
    <w:lvl w:ilvl="7">
      <w:start w:val="0"/>
      <w:numFmt w:val="bullet"/>
      <w:lvlText w:val="•"/>
      <w:lvlJc w:val="left"/>
      <w:pPr>
        <w:ind w:left="6414" w:hanging="529"/>
      </w:pPr>
      <w:rPr>
        <w:rFonts w:hint="default"/>
        <w:lang w:val="en-US" w:eastAsia="zh-CN" w:bidi="ar-SA"/>
      </w:rPr>
    </w:lvl>
    <w:lvl w:ilvl="8">
      <w:start w:val="0"/>
      <w:numFmt w:val="bullet"/>
      <w:lvlText w:val="•"/>
      <w:lvlJc w:val="left"/>
      <w:pPr>
        <w:ind w:left="6903" w:hanging="529"/>
      </w:pPr>
      <w:rPr>
        <w:rFonts w:hint="default"/>
        <w:lang w:val="en-US" w:eastAsia="zh-CN" w:bidi="ar-SA"/>
      </w:rPr>
    </w:lvl>
  </w:abstractNum>
  <w:abstractNum w:abstractNumId="27">
    <w:multiLevelType w:val="hybridMultilevel"/>
    <w:lvl w:ilvl="0">
      <w:start w:val="1"/>
      <w:numFmt w:val="decimal"/>
      <w:lvlText w:val="（%1）"/>
      <w:lvlJc w:val="left"/>
      <w:pPr>
        <w:ind w:left="668"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8" w:hanging="527"/>
      </w:pPr>
      <w:rPr>
        <w:rFonts w:hint="default"/>
        <w:lang w:val="en-US" w:eastAsia="zh-CN" w:bidi="ar-SA"/>
      </w:rPr>
    </w:lvl>
    <w:lvl w:ilvl="2">
      <w:start w:val="0"/>
      <w:numFmt w:val="bullet"/>
      <w:lvlText w:val="•"/>
      <w:lvlJc w:val="left"/>
      <w:pPr>
        <w:ind w:left="2097" w:hanging="527"/>
      </w:pPr>
      <w:rPr>
        <w:rFonts w:hint="default"/>
        <w:lang w:val="en-US" w:eastAsia="zh-CN" w:bidi="ar-SA"/>
      </w:rPr>
    </w:lvl>
    <w:lvl w:ilvl="3">
      <w:start w:val="0"/>
      <w:numFmt w:val="bullet"/>
      <w:lvlText w:val="•"/>
      <w:lvlJc w:val="left"/>
      <w:pPr>
        <w:ind w:left="2816" w:hanging="527"/>
      </w:pPr>
      <w:rPr>
        <w:rFonts w:hint="default"/>
        <w:lang w:val="en-US" w:eastAsia="zh-CN" w:bidi="ar-SA"/>
      </w:rPr>
    </w:lvl>
    <w:lvl w:ilvl="4">
      <w:start w:val="0"/>
      <w:numFmt w:val="bullet"/>
      <w:lvlText w:val="•"/>
      <w:lvlJc w:val="left"/>
      <w:pPr>
        <w:ind w:left="3535" w:hanging="527"/>
      </w:pPr>
      <w:rPr>
        <w:rFonts w:hint="default"/>
        <w:lang w:val="en-US" w:eastAsia="zh-CN" w:bidi="ar-SA"/>
      </w:rPr>
    </w:lvl>
    <w:lvl w:ilvl="5">
      <w:start w:val="0"/>
      <w:numFmt w:val="bullet"/>
      <w:lvlText w:val="•"/>
      <w:lvlJc w:val="left"/>
      <w:pPr>
        <w:ind w:left="4254" w:hanging="527"/>
      </w:pPr>
      <w:rPr>
        <w:rFonts w:hint="default"/>
        <w:lang w:val="en-US" w:eastAsia="zh-CN" w:bidi="ar-SA"/>
      </w:rPr>
    </w:lvl>
    <w:lvl w:ilvl="6">
      <w:start w:val="0"/>
      <w:numFmt w:val="bullet"/>
      <w:lvlText w:val="•"/>
      <w:lvlJc w:val="left"/>
      <w:pPr>
        <w:ind w:left="4973" w:hanging="527"/>
      </w:pPr>
      <w:rPr>
        <w:rFonts w:hint="default"/>
        <w:lang w:val="en-US" w:eastAsia="zh-CN" w:bidi="ar-SA"/>
      </w:rPr>
    </w:lvl>
    <w:lvl w:ilvl="7">
      <w:start w:val="0"/>
      <w:numFmt w:val="bullet"/>
      <w:lvlText w:val="•"/>
      <w:lvlJc w:val="left"/>
      <w:pPr>
        <w:ind w:left="5692" w:hanging="527"/>
      </w:pPr>
      <w:rPr>
        <w:rFonts w:hint="default"/>
        <w:lang w:val="en-US" w:eastAsia="zh-CN" w:bidi="ar-SA"/>
      </w:rPr>
    </w:lvl>
    <w:lvl w:ilvl="8">
      <w:start w:val="0"/>
      <w:numFmt w:val="bullet"/>
      <w:lvlText w:val="•"/>
      <w:lvlJc w:val="left"/>
      <w:pPr>
        <w:ind w:left="6411" w:hanging="527"/>
      </w:pPr>
      <w:rPr>
        <w:rFonts w:hint="default"/>
        <w:lang w:val="en-US" w:eastAsia="zh-CN" w:bidi="ar-SA"/>
      </w:rPr>
    </w:lvl>
  </w:abstractNum>
  <w:abstractNum w:abstractNumId="2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25">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56"/>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4">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3">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21">
    <w:multiLevelType w:val="hybridMultilevel"/>
    <w:lvl w:ilvl="0">
      <w:start w:val="1"/>
      <w:numFmt w:val="decimal"/>
      <w:lvlText w:val="（%1）"/>
      <w:lvlJc w:val="left"/>
      <w:pPr>
        <w:ind w:left="348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20">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19">
    <w:multiLevelType w:val="hybridMultilevel"/>
    <w:lvl w:ilvl="0">
      <w:start w:val="1"/>
      <w:numFmt w:val="lowerLetter"/>
      <w:lvlText w:val="%1."/>
      <w:lvlJc w:val="left"/>
      <w:pPr>
        <w:ind w:left="2960" w:hanging="214"/>
        <w:jc w:val="left"/>
      </w:pPr>
      <w:rPr>
        <w:rFonts w:hint="default" w:ascii="微软雅黑" w:hAnsi="微软雅黑" w:eastAsia="微软雅黑" w:cs="微软雅黑"/>
        <w:b/>
        <w:bCs/>
        <w:i w:val="0"/>
        <w:iCs w:val="0"/>
        <w:w w:val="116"/>
        <w:sz w:val="19"/>
        <w:szCs w:val="19"/>
        <w:lang w:val="en-US" w:eastAsia="zh-CN" w:bidi="ar-SA"/>
      </w:rPr>
    </w:lvl>
    <w:lvl w:ilvl="1">
      <w:start w:val="0"/>
      <w:numFmt w:val="bullet"/>
      <w:lvlText w:val="•"/>
      <w:lvlJc w:val="left"/>
      <w:pPr>
        <w:ind w:left="3730" w:hanging="214"/>
      </w:pPr>
      <w:rPr>
        <w:rFonts w:hint="default"/>
        <w:lang w:val="en-US" w:eastAsia="zh-CN" w:bidi="ar-SA"/>
      </w:rPr>
    </w:lvl>
    <w:lvl w:ilvl="2">
      <w:start w:val="0"/>
      <w:numFmt w:val="bullet"/>
      <w:lvlText w:val="•"/>
      <w:lvlJc w:val="left"/>
      <w:pPr>
        <w:ind w:left="4501" w:hanging="214"/>
      </w:pPr>
      <w:rPr>
        <w:rFonts w:hint="default"/>
        <w:lang w:val="en-US" w:eastAsia="zh-CN" w:bidi="ar-SA"/>
      </w:rPr>
    </w:lvl>
    <w:lvl w:ilvl="3">
      <w:start w:val="0"/>
      <w:numFmt w:val="bullet"/>
      <w:lvlText w:val="•"/>
      <w:lvlJc w:val="left"/>
      <w:pPr>
        <w:ind w:left="5271" w:hanging="214"/>
      </w:pPr>
      <w:rPr>
        <w:rFonts w:hint="default"/>
        <w:lang w:val="en-US" w:eastAsia="zh-CN" w:bidi="ar-SA"/>
      </w:rPr>
    </w:lvl>
    <w:lvl w:ilvl="4">
      <w:start w:val="0"/>
      <w:numFmt w:val="bullet"/>
      <w:lvlText w:val="•"/>
      <w:lvlJc w:val="left"/>
      <w:pPr>
        <w:ind w:left="6042" w:hanging="214"/>
      </w:pPr>
      <w:rPr>
        <w:rFonts w:hint="default"/>
        <w:lang w:val="en-US" w:eastAsia="zh-CN" w:bidi="ar-SA"/>
      </w:rPr>
    </w:lvl>
    <w:lvl w:ilvl="5">
      <w:start w:val="0"/>
      <w:numFmt w:val="bullet"/>
      <w:lvlText w:val="•"/>
      <w:lvlJc w:val="left"/>
      <w:pPr>
        <w:ind w:left="6813" w:hanging="214"/>
      </w:pPr>
      <w:rPr>
        <w:rFonts w:hint="default"/>
        <w:lang w:val="en-US" w:eastAsia="zh-CN" w:bidi="ar-SA"/>
      </w:rPr>
    </w:lvl>
    <w:lvl w:ilvl="6">
      <w:start w:val="0"/>
      <w:numFmt w:val="bullet"/>
      <w:lvlText w:val="•"/>
      <w:lvlJc w:val="left"/>
      <w:pPr>
        <w:ind w:left="7583" w:hanging="214"/>
      </w:pPr>
      <w:rPr>
        <w:rFonts w:hint="default"/>
        <w:lang w:val="en-US" w:eastAsia="zh-CN" w:bidi="ar-SA"/>
      </w:rPr>
    </w:lvl>
    <w:lvl w:ilvl="7">
      <w:start w:val="0"/>
      <w:numFmt w:val="bullet"/>
      <w:lvlText w:val="•"/>
      <w:lvlJc w:val="left"/>
      <w:pPr>
        <w:ind w:left="8354" w:hanging="214"/>
      </w:pPr>
      <w:rPr>
        <w:rFonts w:hint="default"/>
        <w:lang w:val="en-US" w:eastAsia="zh-CN" w:bidi="ar-SA"/>
      </w:rPr>
    </w:lvl>
    <w:lvl w:ilvl="8">
      <w:start w:val="0"/>
      <w:numFmt w:val="bullet"/>
      <w:lvlText w:val="•"/>
      <w:lvlJc w:val="left"/>
      <w:pPr>
        <w:ind w:left="9125" w:hanging="214"/>
      </w:pPr>
      <w:rPr>
        <w:rFonts w:hint="default"/>
        <w:lang w:val="en-US" w:eastAsia="zh-CN" w:bidi="ar-SA"/>
      </w:rPr>
    </w:lvl>
  </w:abstractNum>
  <w:abstractNum w:abstractNumId="18">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17">
    <w:multiLevelType w:val="hybridMultilevel"/>
    <w:lvl w:ilvl="0">
      <w:start w:val="1"/>
      <w:numFmt w:val="decimal"/>
      <w:lvlText w:val="（%1）"/>
      <w:lvlJc w:val="left"/>
      <w:pPr>
        <w:ind w:left="753"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194" w:hanging="529"/>
      </w:pPr>
      <w:rPr>
        <w:rFonts w:hint="default"/>
        <w:lang w:val="en-US" w:eastAsia="zh-CN" w:bidi="ar-SA"/>
      </w:rPr>
    </w:lvl>
    <w:lvl w:ilvl="3">
      <w:start w:val="0"/>
      <w:numFmt w:val="bullet"/>
      <w:lvlText w:val="•"/>
      <w:lvlJc w:val="left"/>
      <w:pPr>
        <w:ind w:left="2912" w:hanging="529"/>
      </w:pPr>
      <w:rPr>
        <w:rFonts w:hint="default"/>
        <w:lang w:val="en-US" w:eastAsia="zh-CN" w:bidi="ar-SA"/>
      </w:rPr>
    </w:lvl>
    <w:lvl w:ilvl="4">
      <w:start w:val="0"/>
      <w:numFmt w:val="bullet"/>
      <w:lvlText w:val="•"/>
      <w:lvlJc w:val="left"/>
      <w:pPr>
        <w:ind w:left="3629"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781" w:hanging="529"/>
      </w:pPr>
      <w:rPr>
        <w:rFonts w:hint="default"/>
        <w:lang w:val="en-US" w:eastAsia="zh-CN" w:bidi="ar-SA"/>
      </w:rPr>
    </w:lvl>
    <w:lvl w:ilvl="8">
      <w:start w:val="0"/>
      <w:numFmt w:val="bullet"/>
      <w:lvlText w:val="•"/>
      <w:lvlJc w:val="left"/>
      <w:pPr>
        <w:ind w:left="6499" w:hanging="529"/>
      </w:pPr>
      <w:rPr>
        <w:rFonts w:hint="default"/>
        <w:lang w:val="en-US" w:eastAsia="zh-CN" w:bidi="ar-SA"/>
      </w:rPr>
    </w:lvl>
  </w:abstractNum>
  <w:abstractNum w:abstractNumId="16">
    <w:multiLevelType w:val="hybridMultilevel"/>
    <w:lvl w:ilvl="0">
      <w:start w:val="9"/>
      <w:numFmt w:val="decimal"/>
      <w:lvlText w:val="%1"/>
      <w:lvlJc w:val="left"/>
      <w:pPr>
        <w:ind w:left="1080" w:hanging="853"/>
        <w:jc w:val="left"/>
      </w:pPr>
      <w:rPr>
        <w:rFonts w:hint="default"/>
        <w:lang w:val="en-US" w:eastAsia="zh-CN" w:bidi="ar-SA"/>
      </w:rPr>
    </w:lvl>
    <w:lvl w:ilvl="1">
      <w:start w:val="1"/>
      <w:numFmt w:val="decimal"/>
      <w:lvlText w:val="%1.%2"/>
      <w:lvlJc w:val="left"/>
      <w:pPr>
        <w:ind w:left="1080"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8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284" w:hanging="529"/>
      </w:pPr>
      <w:rPr>
        <w:rFonts w:hint="default"/>
        <w:lang w:val="en-US" w:eastAsia="zh-CN" w:bidi="ar-SA"/>
      </w:rPr>
    </w:lvl>
    <w:lvl w:ilvl="4">
      <w:start w:val="0"/>
      <w:numFmt w:val="bullet"/>
      <w:lvlText w:val="•"/>
      <w:lvlJc w:val="left"/>
      <w:pPr>
        <w:ind w:left="3186" w:hanging="529"/>
      </w:pPr>
      <w:rPr>
        <w:rFonts w:hint="default"/>
        <w:lang w:val="en-US" w:eastAsia="zh-CN" w:bidi="ar-SA"/>
      </w:rPr>
    </w:lvl>
    <w:lvl w:ilvl="5">
      <w:start w:val="0"/>
      <w:numFmt w:val="bullet"/>
      <w:lvlText w:val="•"/>
      <w:lvlJc w:val="left"/>
      <w:pPr>
        <w:ind w:left="3088" w:hanging="529"/>
      </w:pPr>
      <w:rPr>
        <w:rFonts w:hint="default"/>
        <w:lang w:val="en-US" w:eastAsia="zh-CN" w:bidi="ar-SA"/>
      </w:rPr>
    </w:lvl>
    <w:lvl w:ilvl="6">
      <w:start w:val="0"/>
      <w:numFmt w:val="bullet"/>
      <w:lvlText w:val="•"/>
      <w:lvlJc w:val="left"/>
      <w:pPr>
        <w:ind w:left="2990" w:hanging="529"/>
      </w:pPr>
      <w:rPr>
        <w:rFonts w:hint="default"/>
        <w:lang w:val="en-US" w:eastAsia="zh-CN" w:bidi="ar-SA"/>
      </w:rPr>
    </w:lvl>
    <w:lvl w:ilvl="7">
      <w:start w:val="0"/>
      <w:numFmt w:val="bullet"/>
      <w:lvlText w:val="•"/>
      <w:lvlJc w:val="left"/>
      <w:pPr>
        <w:ind w:left="2892" w:hanging="529"/>
      </w:pPr>
      <w:rPr>
        <w:rFonts w:hint="default"/>
        <w:lang w:val="en-US" w:eastAsia="zh-CN" w:bidi="ar-SA"/>
      </w:rPr>
    </w:lvl>
    <w:lvl w:ilvl="8">
      <w:start w:val="0"/>
      <w:numFmt w:val="bullet"/>
      <w:lvlText w:val="•"/>
      <w:lvlJc w:val="left"/>
      <w:pPr>
        <w:ind w:left="2794" w:hanging="529"/>
      </w:pPr>
      <w:rPr>
        <w:rFonts w:hint="default"/>
        <w:lang w:val="en-US" w:eastAsia="zh-CN" w:bidi="ar-SA"/>
      </w:rPr>
    </w:lvl>
  </w:abstractNum>
  <w:abstractNum w:abstractNumId="15">
    <w:multiLevelType w:val="hybridMultilevel"/>
    <w:lvl w:ilvl="0">
      <w:start w:val="1"/>
      <w:numFmt w:val="decimal"/>
      <w:lvlText w:val="（%1）"/>
      <w:lvlJc w:val="left"/>
      <w:pPr>
        <w:ind w:left="89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6" w:hanging="529"/>
      </w:pPr>
      <w:rPr>
        <w:rFonts w:hint="default"/>
        <w:lang w:val="en-US" w:eastAsia="zh-CN" w:bidi="ar-SA"/>
      </w:rPr>
    </w:lvl>
    <w:lvl w:ilvl="2">
      <w:start w:val="0"/>
      <w:numFmt w:val="bullet"/>
      <w:lvlText w:val="•"/>
      <w:lvlJc w:val="left"/>
      <w:pPr>
        <w:ind w:left="2333" w:hanging="529"/>
      </w:pPr>
      <w:rPr>
        <w:rFonts w:hint="default"/>
        <w:lang w:val="en-US" w:eastAsia="zh-CN" w:bidi="ar-SA"/>
      </w:rPr>
    </w:lvl>
    <w:lvl w:ilvl="3">
      <w:start w:val="0"/>
      <w:numFmt w:val="bullet"/>
      <w:lvlText w:val="•"/>
      <w:lvlJc w:val="left"/>
      <w:pPr>
        <w:ind w:left="3050" w:hanging="529"/>
      </w:pPr>
      <w:rPr>
        <w:rFonts w:hint="default"/>
        <w:lang w:val="en-US" w:eastAsia="zh-CN" w:bidi="ar-SA"/>
      </w:rPr>
    </w:lvl>
    <w:lvl w:ilvl="4">
      <w:start w:val="0"/>
      <w:numFmt w:val="bullet"/>
      <w:lvlText w:val="•"/>
      <w:lvlJc w:val="left"/>
      <w:pPr>
        <w:ind w:left="3767" w:hanging="529"/>
      </w:pPr>
      <w:rPr>
        <w:rFonts w:hint="default"/>
        <w:lang w:val="en-US" w:eastAsia="zh-CN" w:bidi="ar-SA"/>
      </w:rPr>
    </w:lvl>
    <w:lvl w:ilvl="5">
      <w:start w:val="0"/>
      <w:numFmt w:val="bullet"/>
      <w:lvlText w:val="•"/>
      <w:lvlJc w:val="left"/>
      <w:pPr>
        <w:ind w:left="4483" w:hanging="529"/>
      </w:pPr>
      <w:rPr>
        <w:rFonts w:hint="default"/>
        <w:lang w:val="en-US" w:eastAsia="zh-CN" w:bidi="ar-SA"/>
      </w:rPr>
    </w:lvl>
    <w:lvl w:ilvl="6">
      <w:start w:val="0"/>
      <w:numFmt w:val="bullet"/>
      <w:lvlText w:val="•"/>
      <w:lvlJc w:val="left"/>
      <w:pPr>
        <w:ind w:left="5200" w:hanging="529"/>
      </w:pPr>
      <w:rPr>
        <w:rFonts w:hint="default"/>
        <w:lang w:val="en-US" w:eastAsia="zh-CN" w:bidi="ar-SA"/>
      </w:rPr>
    </w:lvl>
    <w:lvl w:ilvl="7">
      <w:start w:val="0"/>
      <w:numFmt w:val="bullet"/>
      <w:lvlText w:val="•"/>
      <w:lvlJc w:val="left"/>
      <w:pPr>
        <w:ind w:left="5917" w:hanging="529"/>
      </w:pPr>
      <w:rPr>
        <w:rFonts w:hint="default"/>
        <w:lang w:val="en-US" w:eastAsia="zh-CN" w:bidi="ar-SA"/>
      </w:rPr>
    </w:lvl>
    <w:lvl w:ilvl="8">
      <w:start w:val="0"/>
      <w:numFmt w:val="bullet"/>
      <w:lvlText w:val="•"/>
      <w:lvlJc w:val="left"/>
      <w:pPr>
        <w:ind w:left="6634" w:hanging="529"/>
      </w:pPr>
      <w:rPr>
        <w:rFonts w:hint="default"/>
        <w:lang w:val="en-US" w:eastAsia="zh-CN" w:bidi="ar-SA"/>
      </w:rPr>
    </w:lvl>
  </w:abstractNum>
  <w:abstractNum w:abstractNumId="14">
    <w:multiLevelType w:val="hybridMultilevel"/>
    <w:lvl w:ilvl="0">
      <w:start w:val="1"/>
      <w:numFmt w:val="decimal"/>
      <w:lvlText w:val="（%1）"/>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98" w:hanging="529"/>
      </w:pPr>
      <w:rPr>
        <w:rFonts w:hint="default"/>
        <w:lang w:val="en-US" w:eastAsia="zh-CN" w:bidi="ar-SA"/>
      </w:rPr>
    </w:lvl>
    <w:lvl w:ilvl="2">
      <w:start w:val="0"/>
      <w:numFmt w:val="bullet"/>
      <w:lvlText w:val="•"/>
      <w:lvlJc w:val="left"/>
      <w:pPr>
        <w:ind w:left="4917" w:hanging="529"/>
      </w:pPr>
      <w:rPr>
        <w:rFonts w:hint="default"/>
        <w:lang w:val="en-US" w:eastAsia="zh-CN" w:bidi="ar-SA"/>
      </w:rPr>
    </w:lvl>
    <w:lvl w:ilvl="3">
      <w:start w:val="0"/>
      <w:numFmt w:val="bullet"/>
      <w:lvlText w:val="•"/>
      <w:lvlJc w:val="left"/>
      <w:pPr>
        <w:ind w:left="5635" w:hanging="529"/>
      </w:pPr>
      <w:rPr>
        <w:rFonts w:hint="default"/>
        <w:lang w:val="en-US" w:eastAsia="zh-CN" w:bidi="ar-SA"/>
      </w:rPr>
    </w:lvl>
    <w:lvl w:ilvl="4">
      <w:start w:val="0"/>
      <w:numFmt w:val="bullet"/>
      <w:lvlText w:val="•"/>
      <w:lvlJc w:val="left"/>
      <w:pPr>
        <w:ind w:left="635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791" w:hanging="529"/>
      </w:pPr>
      <w:rPr>
        <w:rFonts w:hint="default"/>
        <w:lang w:val="en-US" w:eastAsia="zh-CN" w:bidi="ar-SA"/>
      </w:rPr>
    </w:lvl>
    <w:lvl w:ilvl="7">
      <w:start w:val="0"/>
      <w:numFmt w:val="bullet"/>
      <w:lvlText w:val="•"/>
      <w:lvlJc w:val="left"/>
      <w:pPr>
        <w:ind w:left="8510" w:hanging="529"/>
      </w:pPr>
      <w:rPr>
        <w:rFonts w:hint="default"/>
        <w:lang w:val="en-US" w:eastAsia="zh-CN" w:bidi="ar-SA"/>
      </w:rPr>
    </w:lvl>
    <w:lvl w:ilvl="8">
      <w:start w:val="0"/>
      <w:numFmt w:val="bullet"/>
      <w:lvlText w:val="•"/>
      <w:lvlJc w:val="left"/>
      <w:pPr>
        <w:ind w:left="9229" w:hanging="529"/>
      </w:pPr>
      <w:rPr>
        <w:rFonts w:hint="default"/>
        <w:lang w:val="en-US" w:eastAsia="zh-CN" w:bidi="ar-SA"/>
      </w:rPr>
    </w:lvl>
  </w:abstractNum>
  <w:abstractNum w:abstractNumId="13">
    <w:multiLevelType w:val="hybridMultilevel"/>
    <w:lvl w:ilvl="0">
      <w:start w:val="1"/>
      <w:numFmt w:val="decimal"/>
      <w:lvlText w:val="（%1）"/>
      <w:lvlJc w:val="left"/>
      <w:pPr>
        <w:ind w:left="686"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67" w:hanging="529"/>
      </w:pPr>
      <w:rPr>
        <w:rFonts w:hint="default"/>
        <w:lang w:val="en-US" w:eastAsia="zh-CN" w:bidi="ar-SA"/>
      </w:rPr>
    </w:lvl>
    <w:lvl w:ilvl="3">
      <w:start w:val="0"/>
      <w:numFmt w:val="bullet"/>
      <w:lvlText w:val="•"/>
      <w:lvlJc w:val="left"/>
      <w:pPr>
        <w:ind w:left="4454" w:hanging="529"/>
      </w:pPr>
      <w:rPr>
        <w:rFonts w:hint="default"/>
        <w:lang w:val="en-US" w:eastAsia="zh-CN" w:bidi="ar-SA"/>
      </w:rPr>
    </w:lvl>
    <w:lvl w:ilvl="4">
      <w:start w:val="0"/>
      <w:numFmt w:val="bullet"/>
      <w:lvlText w:val="•"/>
      <w:lvlJc w:val="left"/>
      <w:pPr>
        <w:ind w:left="4941" w:hanging="529"/>
      </w:pPr>
      <w:rPr>
        <w:rFonts w:hint="default"/>
        <w:lang w:val="en-US" w:eastAsia="zh-CN" w:bidi="ar-SA"/>
      </w:rPr>
    </w:lvl>
    <w:lvl w:ilvl="5">
      <w:start w:val="0"/>
      <w:numFmt w:val="bullet"/>
      <w:lvlText w:val="•"/>
      <w:lvlJc w:val="left"/>
      <w:pPr>
        <w:ind w:left="5428" w:hanging="529"/>
      </w:pPr>
      <w:rPr>
        <w:rFonts w:hint="default"/>
        <w:lang w:val="en-US" w:eastAsia="zh-CN" w:bidi="ar-SA"/>
      </w:rPr>
    </w:lvl>
    <w:lvl w:ilvl="6">
      <w:start w:val="0"/>
      <w:numFmt w:val="bullet"/>
      <w:lvlText w:val="•"/>
      <w:lvlJc w:val="left"/>
      <w:pPr>
        <w:ind w:left="5915" w:hanging="529"/>
      </w:pPr>
      <w:rPr>
        <w:rFonts w:hint="default"/>
        <w:lang w:val="en-US" w:eastAsia="zh-CN" w:bidi="ar-SA"/>
      </w:rPr>
    </w:lvl>
    <w:lvl w:ilvl="7">
      <w:start w:val="0"/>
      <w:numFmt w:val="bullet"/>
      <w:lvlText w:val="•"/>
      <w:lvlJc w:val="left"/>
      <w:pPr>
        <w:ind w:left="6402" w:hanging="529"/>
      </w:pPr>
      <w:rPr>
        <w:rFonts w:hint="default"/>
        <w:lang w:val="en-US" w:eastAsia="zh-CN" w:bidi="ar-SA"/>
      </w:rPr>
    </w:lvl>
    <w:lvl w:ilvl="8">
      <w:start w:val="0"/>
      <w:numFmt w:val="bullet"/>
      <w:lvlText w:val="•"/>
      <w:lvlJc w:val="left"/>
      <w:pPr>
        <w:ind w:left="6889" w:hanging="529"/>
      </w:pPr>
      <w:rPr>
        <w:rFonts w:hint="default"/>
        <w:lang w:val="en-US" w:eastAsia="zh-CN" w:bidi="ar-SA"/>
      </w:rPr>
    </w:lvl>
  </w:abstractNum>
  <w:abstractNum w:abstractNumId="12">
    <w:multiLevelType w:val="hybridMultilevel"/>
    <w:lvl w:ilvl="0">
      <w:start w:val="7"/>
      <w:numFmt w:val="decimal"/>
      <w:lvlText w:val="%1"/>
      <w:lvlJc w:val="left"/>
      <w:pPr>
        <w:ind w:left="1080" w:hanging="853"/>
        <w:jc w:val="left"/>
      </w:pPr>
      <w:rPr>
        <w:rFonts w:hint="default"/>
        <w:lang w:val="en-US" w:eastAsia="zh-CN" w:bidi="ar-SA"/>
      </w:rPr>
    </w:lvl>
    <w:lvl w:ilvl="1">
      <w:start w:val="1"/>
      <w:numFmt w:val="decimal"/>
      <w:lvlText w:val="%1.%2"/>
      <w:lvlJc w:val="left"/>
      <w:pPr>
        <w:ind w:left="1080"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76" w:hanging="529"/>
      </w:pPr>
      <w:rPr>
        <w:rFonts w:hint="default"/>
        <w:lang w:val="en-US" w:eastAsia="zh-CN" w:bidi="ar-SA"/>
      </w:rPr>
    </w:lvl>
    <w:lvl w:ilvl="4">
      <w:start w:val="0"/>
      <w:numFmt w:val="bullet"/>
      <w:lvlText w:val="•"/>
      <w:lvlJc w:val="left"/>
      <w:pPr>
        <w:ind w:left="5875" w:hanging="529"/>
      </w:pPr>
      <w:rPr>
        <w:rFonts w:hint="default"/>
        <w:lang w:val="en-US" w:eastAsia="zh-CN" w:bidi="ar-SA"/>
      </w:rPr>
    </w:lvl>
    <w:lvl w:ilvl="5">
      <w:start w:val="0"/>
      <w:numFmt w:val="bullet"/>
      <w:lvlText w:val="•"/>
      <w:lvlJc w:val="left"/>
      <w:pPr>
        <w:ind w:left="6673" w:hanging="529"/>
      </w:pPr>
      <w:rPr>
        <w:rFonts w:hint="default"/>
        <w:lang w:val="en-US" w:eastAsia="zh-CN" w:bidi="ar-SA"/>
      </w:rPr>
    </w:lvl>
    <w:lvl w:ilvl="6">
      <w:start w:val="0"/>
      <w:numFmt w:val="bullet"/>
      <w:lvlText w:val="•"/>
      <w:lvlJc w:val="left"/>
      <w:pPr>
        <w:ind w:left="7472" w:hanging="529"/>
      </w:pPr>
      <w:rPr>
        <w:rFonts w:hint="default"/>
        <w:lang w:val="en-US" w:eastAsia="zh-CN" w:bidi="ar-SA"/>
      </w:rPr>
    </w:lvl>
    <w:lvl w:ilvl="7">
      <w:start w:val="0"/>
      <w:numFmt w:val="bullet"/>
      <w:lvlText w:val="•"/>
      <w:lvlJc w:val="left"/>
      <w:pPr>
        <w:ind w:left="8270" w:hanging="529"/>
      </w:pPr>
      <w:rPr>
        <w:rFonts w:hint="default"/>
        <w:lang w:val="en-US" w:eastAsia="zh-CN" w:bidi="ar-SA"/>
      </w:rPr>
    </w:lvl>
    <w:lvl w:ilvl="8">
      <w:start w:val="0"/>
      <w:numFmt w:val="bullet"/>
      <w:lvlText w:val="•"/>
      <w:lvlJc w:val="left"/>
      <w:pPr>
        <w:ind w:left="9069" w:hanging="529"/>
      </w:pPr>
      <w:rPr>
        <w:rFonts w:hint="default"/>
        <w:lang w:val="en-US" w:eastAsia="zh-CN" w:bidi="ar-SA"/>
      </w:rPr>
    </w:lvl>
  </w:abstractNum>
  <w:abstractNum w:abstractNumId="11">
    <w:multiLevelType w:val="hybridMultilevel"/>
    <w:lvl w:ilvl="0">
      <w:start w:val="6"/>
      <w:numFmt w:val="decimal"/>
      <w:lvlText w:val="%1"/>
      <w:lvlJc w:val="left"/>
      <w:pPr>
        <w:ind w:left="1080" w:hanging="853"/>
        <w:jc w:val="left"/>
      </w:pPr>
      <w:rPr>
        <w:rFonts w:hint="default"/>
        <w:lang w:val="en-US" w:eastAsia="zh-CN" w:bidi="ar-SA"/>
      </w:rPr>
    </w:lvl>
    <w:lvl w:ilvl="1">
      <w:start w:val="1"/>
      <w:numFmt w:val="decimal"/>
      <w:lvlText w:val="%1.%2"/>
      <w:lvlJc w:val="left"/>
      <w:pPr>
        <w:ind w:left="1080"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2997" w:hanging="853"/>
      </w:pPr>
      <w:rPr>
        <w:rFonts w:hint="default"/>
        <w:lang w:val="en-US" w:eastAsia="zh-CN" w:bidi="ar-SA"/>
      </w:rPr>
    </w:lvl>
    <w:lvl w:ilvl="3">
      <w:start w:val="0"/>
      <w:numFmt w:val="bullet"/>
      <w:lvlText w:val="•"/>
      <w:lvlJc w:val="left"/>
      <w:pPr>
        <w:ind w:left="3955" w:hanging="853"/>
      </w:pPr>
      <w:rPr>
        <w:rFonts w:hint="default"/>
        <w:lang w:val="en-US" w:eastAsia="zh-CN" w:bidi="ar-SA"/>
      </w:rPr>
    </w:lvl>
    <w:lvl w:ilvl="4">
      <w:start w:val="0"/>
      <w:numFmt w:val="bullet"/>
      <w:lvlText w:val="•"/>
      <w:lvlJc w:val="left"/>
      <w:pPr>
        <w:ind w:left="4914" w:hanging="853"/>
      </w:pPr>
      <w:rPr>
        <w:rFonts w:hint="default"/>
        <w:lang w:val="en-US" w:eastAsia="zh-CN" w:bidi="ar-SA"/>
      </w:rPr>
    </w:lvl>
    <w:lvl w:ilvl="5">
      <w:start w:val="0"/>
      <w:numFmt w:val="bullet"/>
      <w:lvlText w:val="•"/>
      <w:lvlJc w:val="left"/>
      <w:pPr>
        <w:ind w:left="5873" w:hanging="853"/>
      </w:pPr>
      <w:rPr>
        <w:rFonts w:hint="default"/>
        <w:lang w:val="en-US" w:eastAsia="zh-CN" w:bidi="ar-SA"/>
      </w:rPr>
    </w:lvl>
    <w:lvl w:ilvl="6">
      <w:start w:val="0"/>
      <w:numFmt w:val="bullet"/>
      <w:lvlText w:val="•"/>
      <w:lvlJc w:val="left"/>
      <w:pPr>
        <w:ind w:left="6831" w:hanging="853"/>
      </w:pPr>
      <w:rPr>
        <w:rFonts w:hint="default"/>
        <w:lang w:val="en-US" w:eastAsia="zh-CN" w:bidi="ar-SA"/>
      </w:rPr>
    </w:lvl>
    <w:lvl w:ilvl="7">
      <w:start w:val="0"/>
      <w:numFmt w:val="bullet"/>
      <w:lvlText w:val="•"/>
      <w:lvlJc w:val="left"/>
      <w:pPr>
        <w:ind w:left="7790" w:hanging="853"/>
      </w:pPr>
      <w:rPr>
        <w:rFonts w:hint="default"/>
        <w:lang w:val="en-US" w:eastAsia="zh-CN" w:bidi="ar-SA"/>
      </w:rPr>
    </w:lvl>
    <w:lvl w:ilvl="8">
      <w:start w:val="0"/>
      <w:numFmt w:val="bullet"/>
      <w:lvlText w:val="•"/>
      <w:lvlJc w:val="left"/>
      <w:pPr>
        <w:ind w:left="8749" w:hanging="853"/>
      </w:pPr>
      <w:rPr>
        <w:rFonts w:hint="default"/>
        <w:lang w:val="en-US" w:eastAsia="zh-CN" w:bidi="ar-SA"/>
      </w:rPr>
    </w:lvl>
  </w:abstractNum>
  <w:abstractNum w:abstractNumId="10">
    <w:multiLevelType w:val="hybridMultilevel"/>
    <w:lvl w:ilvl="0">
      <w:start w:val="5"/>
      <w:numFmt w:val="decimal"/>
      <w:lvlText w:val="%1"/>
      <w:lvlJc w:val="left"/>
      <w:pPr>
        <w:ind w:left="2960" w:hanging="853"/>
        <w:jc w:val="left"/>
      </w:pPr>
      <w:rPr>
        <w:rFonts w:hint="default"/>
        <w:lang w:val="en-US" w:eastAsia="zh-CN" w:bidi="ar-SA"/>
      </w:rPr>
    </w:lvl>
    <w:lvl w:ilvl="1">
      <w:start w:val="1"/>
      <w:numFmt w:val="decimal"/>
      <w:lvlText w:val="%1.%2"/>
      <w:lvlJc w:val="left"/>
      <w:pPr>
        <w:ind w:left="2960"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501" w:hanging="853"/>
      </w:pPr>
      <w:rPr>
        <w:rFonts w:hint="default"/>
        <w:lang w:val="en-US" w:eastAsia="zh-CN" w:bidi="ar-SA"/>
      </w:rPr>
    </w:lvl>
    <w:lvl w:ilvl="3">
      <w:start w:val="0"/>
      <w:numFmt w:val="bullet"/>
      <w:lvlText w:val="•"/>
      <w:lvlJc w:val="left"/>
      <w:pPr>
        <w:ind w:left="5271" w:hanging="853"/>
      </w:pPr>
      <w:rPr>
        <w:rFonts w:hint="default"/>
        <w:lang w:val="en-US" w:eastAsia="zh-CN" w:bidi="ar-SA"/>
      </w:rPr>
    </w:lvl>
    <w:lvl w:ilvl="4">
      <w:start w:val="0"/>
      <w:numFmt w:val="bullet"/>
      <w:lvlText w:val="•"/>
      <w:lvlJc w:val="left"/>
      <w:pPr>
        <w:ind w:left="6042" w:hanging="853"/>
      </w:pPr>
      <w:rPr>
        <w:rFonts w:hint="default"/>
        <w:lang w:val="en-US" w:eastAsia="zh-CN" w:bidi="ar-SA"/>
      </w:rPr>
    </w:lvl>
    <w:lvl w:ilvl="5">
      <w:start w:val="0"/>
      <w:numFmt w:val="bullet"/>
      <w:lvlText w:val="•"/>
      <w:lvlJc w:val="left"/>
      <w:pPr>
        <w:ind w:left="6813" w:hanging="853"/>
      </w:pPr>
      <w:rPr>
        <w:rFonts w:hint="default"/>
        <w:lang w:val="en-US" w:eastAsia="zh-CN" w:bidi="ar-SA"/>
      </w:rPr>
    </w:lvl>
    <w:lvl w:ilvl="6">
      <w:start w:val="0"/>
      <w:numFmt w:val="bullet"/>
      <w:lvlText w:val="•"/>
      <w:lvlJc w:val="left"/>
      <w:pPr>
        <w:ind w:left="7583" w:hanging="853"/>
      </w:pPr>
      <w:rPr>
        <w:rFonts w:hint="default"/>
        <w:lang w:val="en-US" w:eastAsia="zh-CN" w:bidi="ar-SA"/>
      </w:rPr>
    </w:lvl>
    <w:lvl w:ilvl="7">
      <w:start w:val="0"/>
      <w:numFmt w:val="bullet"/>
      <w:lvlText w:val="•"/>
      <w:lvlJc w:val="left"/>
      <w:pPr>
        <w:ind w:left="8354" w:hanging="853"/>
      </w:pPr>
      <w:rPr>
        <w:rFonts w:hint="default"/>
        <w:lang w:val="en-US" w:eastAsia="zh-CN" w:bidi="ar-SA"/>
      </w:rPr>
    </w:lvl>
    <w:lvl w:ilvl="8">
      <w:start w:val="0"/>
      <w:numFmt w:val="bullet"/>
      <w:lvlText w:val="•"/>
      <w:lvlJc w:val="left"/>
      <w:pPr>
        <w:ind w:left="9125" w:hanging="853"/>
      </w:pPr>
      <w:rPr>
        <w:rFonts w:hint="default"/>
        <w:lang w:val="en-US" w:eastAsia="zh-CN" w:bidi="ar-SA"/>
      </w:rPr>
    </w:lvl>
  </w:abstractNum>
  <w:abstractNum w:abstractNumId="9">
    <w:multiLevelType w:val="hybridMultilevel"/>
    <w:lvl w:ilvl="0">
      <w:start w:val="4"/>
      <w:numFmt w:val="decimal"/>
      <w:lvlText w:val="%1"/>
      <w:lvlJc w:val="left"/>
      <w:pPr>
        <w:ind w:left="1080" w:hanging="853"/>
        <w:jc w:val="left"/>
      </w:pPr>
      <w:rPr>
        <w:rFonts w:hint="default"/>
        <w:lang w:val="en-US" w:eastAsia="zh-CN" w:bidi="ar-SA"/>
      </w:rPr>
    </w:lvl>
    <w:lvl w:ilvl="1">
      <w:start w:val="1"/>
      <w:numFmt w:val="decimal"/>
      <w:lvlText w:val="%1.%2"/>
      <w:lvlJc w:val="left"/>
      <w:pPr>
        <w:ind w:left="1080"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1341" w:hanging="853"/>
      </w:pPr>
      <w:rPr>
        <w:rFonts w:hint="default"/>
        <w:lang w:val="en-US" w:eastAsia="zh-CN" w:bidi="ar-SA"/>
      </w:rPr>
    </w:lvl>
    <w:lvl w:ilvl="3">
      <w:start w:val="0"/>
      <w:numFmt w:val="bullet"/>
      <w:lvlText w:val="•"/>
      <w:lvlJc w:val="left"/>
      <w:pPr>
        <w:ind w:left="1472" w:hanging="853"/>
      </w:pPr>
      <w:rPr>
        <w:rFonts w:hint="default"/>
        <w:lang w:val="en-US" w:eastAsia="zh-CN" w:bidi="ar-SA"/>
      </w:rPr>
    </w:lvl>
    <w:lvl w:ilvl="4">
      <w:start w:val="0"/>
      <w:numFmt w:val="bullet"/>
      <w:lvlText w:val="•"/>
      <w:lvlJc w:val="left"/>
      <w:pPr>
        <w:ind w:left="1603" w:hanging="853"/>
      </w:pPr>
      <w:rPr>
        <w:rFonts w:hint="default"/>
        <w:lang w:val="en-US" w:eastAsia="zh-CN" w:bidi="ar-SA"/>
      </w:rPr>
    </w:lvl>
    <w:lvl w:ilvl="5">
      <w:start w:val="0"/>
      <w:numFmt w:val="bullet"/>
      <w:lvlText w:val="•"/>
      <w:lvlJc w:val="left"/>
      <w:pPr>
        <w:ind w:left="1733" w:hanging="853"/>
      </w:pPr>
      <w:rPr>
        <w:rFonts w:hint="default"/>
        <w:lang w:val="en-US" w:eastAsia="zh-CN" w:bidi="ar-SA"/>
      </w:rPr>
    </w:lvl>
    <w:lvl w:ilvl="6">
      <w:start w:val="0"/>
      <w:numFmt w:val="bullet"/>
      <w:lvlText w:val="•"/>
      <w:lvlJc w:val="left"/>
      <w:pPr>
        <w:ind w:left="1864" w:hanging="853"/>
      </w:pPr>
      <w:rPr>
        <w:rFonts w:hint="default"/>
        <w:lang w:val="en-US" w:eastAsia="zh-CN" w:bidi="ar-SA"/>
      </w:rPr>
    </w:lvl>
    <w:lvl w:ilvl="7">
      <w:start w:val="0"/>
      <w:numFmt w:val="bullet"/>
      <w:lvlText w:val="•"/>
      <w:lvlJc w:val="left"/>
      <w:pPr>
        <w:ind w:left="1995" w:hanging="853"/>
      </w:pPr>
      <w:rPr>
        <w:rFonts w:hint="default"/>
        <w:lang w:val="en-US" w:eastAsia="zh-CN" w:bidi="ar-SA"/>
      </w:rPr>
    </w:lvl>
    <w:lvl w:ilvl="8">
      <w:start w:val="0"/>
      <w:numFmt w:val="bullet"/>
      <w:lvlText w:val="•"/>
      <w:lvlJc w:val="left"/>
      <w:pPr>
        <w:ind w:left="2126" w:hanging="853"/>
      </w:pPr>
      <w:rPr>
        <w:rFonts w:hint="default"/>
        <w:lang w:val="en-US" w:eastAsia="zh-CN" w:bidi="ar-SA"/>
      </w:rPr>
    </w:lvl>
  </w:abstractNum>
  <w:abstractNum w:abstractNumId="8">
    <w:multiLevelType w:val="hybridMultilevel"/>
    <w:lvl w:ilvl="0">
      <w:start w:val="3"/>
      <w:numFmt w:val="decimal"/>
      <w:lvlText w:val="%1"/>
      <w:lvlJc w:val="left"/>
      <w:pPr>
        <w:ind w:left="2767" w:hanging="853"/>
        <w:jc w:val="left"/>
      </w:pPr>
      <w:rPr>
        <w:rFonts w:hint="default"/>
        <w:lang w:val="en-US" w:eastAsia="zh-CN" w:bidi="ar-SA"/>
      </w:rPr>
    </w:lvl>
    <w:lvl w:ilvl="1">
      <w:start w:val="1"/>
      <w:numFmt w:val="decimal"/>
      <w:lvlText w:val="%1.%2"/>
      <w:lvlJc w:val="left"/>
      <w:pPr>
        <w:ind w:left="2767"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341" w:hanging="853"/>
      </w:pPr>
      <w:rPr>
        <w:rFonts w:hint="default"/>
        <w:lang w:val="en-US" w:eastAsia="zh-CN" w:bidi="ar-SA"/>
      </w:rPr>
    </w:lvl>
    <w:lvl w:ilvl="3">
      <w:start w:val="0"/>
      <w:numFmt w:val="bullet"/>
      <w:lvlText w:val="•"/>
      <w:lvlJc w:val="left"/>
      <w:pPr>
        <w:ind w:left="5131" w:hanging="853"/>
      </w:pPr>
      <w:rPr>
        <w:rFonts w:hint="default"/>
        <w:lang w:val="en-US" w:eastAsia="zh-CN" w:bidi="ar-SA"/>
      </w:rPr>
    </w:lvl>
    <w:lvl w:ilvl="4">
      <w:start w:val="0"/>
      <w:numFmt w:val="bullet"/>
      <w:lvlText w:val="•"/>
      <w:lvlJc w:val="left"/>
      <w:pPr>
        <w:ind w:left="5922" w:hanging="853"/>
      </w:pPr>
      <w:rPr>
        <w:rFonts w:hint="default"/>
        <w:lang w:val="en-US" w:eastAsia="zh-CN" w:bidi="ar-SA"/>
      </w:rPr>
    </w:lvl>
    <w:lvl w:ilvl="5">
      <w:start w:val="0"/>
      <w:numFmt w:val="bullet"/>
      <w:lvlText w:val="•"/>
      <w:lvlJc w:val="left"/>
      <w:pPr>
        <w:ind w:left="6713" w:hanging="853"/>
      </w:pPr>
      <w:rPr>
        <w:rFonts w:hint="default"/>
        <w:lang w:val="en-US" w:eastAsia="zh-CN" w:bidi="ar-SA"/>
      </w:rPr>
    </w:lvl>
    <w:lvl w:ilvl="6">
      <w:start w:val="0"/>
      <w:numFmt w:val="bullet"/>
      <w:lvlText w:val="•"/>
      <w:lvlJc w:val="left"/>
      <w:pPr>
        <w:ind w:left="7503" w:hanging="853"/>
      </w:pPr>
      <w:rPr>
        <w:rFonts w:hint="default"/>
        <w:lang w:val="en-US" w:eastAsia="zh-CN" w:bidi="ar-SA"/>
      </w:rPr>
    </w:lvl>
    <w:lvl w:ilvl="7">
      <w:start w:val="0"/>
      <w:numFmt w:val="bullet"/>
      <w:lvlText w:val="•"/>
      <w:lvlJc w:val="left"/>
      <w:pPr>
        <w:ind w:left="8294" w:hanging="853"/>
      </w:pPr>
      <w:rPr>
        <w:rFonts w:hint="default"/>
        <w:lang w:val="en-US" w:eastAsia="zh-CN" w:bidi="ar-SA"/>
      </w:rPr>
    </w:lvl>
    <w:lvl w:ilvl="8">
      <w:start w:val="0"/>
      <w:numFmt w:val="bullet"/>
      <w:lvlText w:val="•"/>
      <w:lvlJc w:val="left"/>
      <w:pPr>
        <w:ind w:left="9085" w:hanging="853"/>
      </w:pPr>
      <w:rPr>
        <w:rFonts w:hint="default"/>
        <w:lang w:val="en-US" w:eastAsia="zh-CN" w:bidi="ar-SA"/>
      </w:rPr>
    </w:lvl>
  </w:abstractNum>
  <w:abstractNum w:abstractNumId="7">
    <w:multiLevelType w:val="hybridMultilevel"/>
    <w:lvl w:ilvl="0">
      <w:start w:val="1"/>
      <w:numFmt w:val="decimal"/>
      <w:lvlText w:val="（%1）"/>
      <w:lvlJc w:val="left"/>
      <w:pPr>
        <w:ind w:left="3227"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6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53" w:hanging="530"/>
      </w:pPr>
      <w:rPr>
        <w:rFonts w:hint="default"/>
        <w:lang w:val="en-US" w:eastAsia="zh-CN" w:bidi="ar-SA"/>
      </w:rPr>
    </w:lvl>
    <w:lvl w:ilvl="4">
      <w:start w:val="0"/>
      <w:numFmt w:val="bullet"/>
      <w:lvlText w:val="•"/>
      <w:lvlJc w:val="left"/>
      <w:pPr>
        <w:ind w:left="6198" w:hanging="530"/>
      </w:pPr>
      <w:rPr>
        <w:rFonts w:hint="default"/>
        <w:lang w:val="en-US" w:eastAsia="zh-CN" w:bidi="ar-SA"/>
      </w:rPr>
    </w:lvl>
    <w:lvl w:ilvl="5">
      <w:start w:val="0"/>
      <w:numFmt w:val="bullet"/>
      <w:lvlText w:val="•"/>
      <w:lvlJc w:val="left"/>
      <w:pPr>
        <w:ind w:left="6943" w:hanging="530"/>
      </w:pPr>
      <w:rPr>
        <w:rFonts w:hint="default"/>
        <w:lang w:val="en-US" w:eastAsia="zh-CN" w:bidi="ar-SA"/>
      </w:rPr>
    </w:lvl>
    <w:lvl w:ilvl="6">
      <w:start w:val="0"/>
      <w:numFmt w:val="bullet"/>
      <w:lvlText w:val="•"/>
      <w:lvlJc w:val="left"/>
      <w:pPr>
        <w:ind w:left="7687" w:hanging="530"/>
      </w:pPr>
      <w:rPr>
        <w:rFonts w:hint="default"/>
        <w:lang w:val="en-US" w:eastAsia="zh-CN" w:bidi="ar-SA"/>
      </w:rPr>
    </w:lvl>
    <w:lvl w:ilvl="7">
      <w:start w:val="0"/>
      <w:numFmt w:val="bullet"/>
      <w:lvlText w:val="•"/>
      <w:lvlJc w:val="left"/>
      <w:pPr>
        <w:ind w:left="8432" w:hanging="530"/>
      </w:pPr>
      <w:rPr>
        <w:rFonts w:hint="default"/>
        <w:lang w:val="en-US" w:eastAsia="zh-CN" w:bidi="ar-SA"/>
      </w:rPr>
    </w:lvl>
    <w:lvl w:ilvl="8">
      <w:start w:val="0"/>
      <w:numFmt w:val="bullet"/>
      <w:lvlText w:val="•"/>
      <w:lvlJc w:val="left"/>
      <w:pPr>
        <w:ind w:left="9177" w:hanging="530"/>
      </w:pPr>
      <w:rPr>
        <w:rFonts w:hint="default"/>
        <w:lang w:val="en-US" w:eastAsia="zh-CN" w:bidi="ar-SA"/>
      </w:rPr>
    </w:lvl>
  </w:abstractNum>
  <w:abstractNum w:abstractNumId="6">
    <w:multiLevelType w:val="hybridMultilevel"/>
    <w:lvl w:ilvl="0">
      <w:start w:val="1"/>
      <w:numFmt w:val="decimal"/>
      <w:lvlText w:val="（%1）"/>
      <w:lvlJc w:val="left"/>
      <w:pPr>
        <w:ind w:left="3227"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6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53" w:hanging="530"/>
      </w:pPr>
      <w:rPr>
        <w:rFonts w:hint="default"/>
        <w:lang w:val="en-US" w:eastAsia="zh-CN" w:bidi="ar-SA"/>
      </w:rPr>
    </w:lvl>
    <w:lvl w:ilvl="4">
      <w:start w:val="0"/>
      <w:numFmt w:val="bullet"/>
      <w:lvlText w:val="•"/>
      <w:lvlJc w:val="left"/>
      <w:pPr>
        <w:ind w:left="6198" w:hanging="530"/>
      </w:pPr>
      <w:rPr>
        <w:rFonts w:hint="default"/>
        <w:lang w:val="en-US" w:eastAsia="zh-CN" w:bidi="ar-SA"/>
      </w:rPr>
    </w:lvl>
    <w:lvl w:ilvl="5">
      <w:start w:val="0"/>
      <w:numFmt w:val="bullet"/>
      <w:lvlText w:val="•"/>
      <w:lvlJc w:val="left"/>
      <w:pPr>
        <w:ind w:left="6943" w:hanging="530"/>
      </w:pPr>
      <w:rPr>
        <w:rFonts w:hint="default"/>
        <w:lang w:val="en-US" w:eastAsia="zh-CN" w:bidi="ar-SA"/>
      </w:rPr>
    </w:lvl>
    <w:lvl w:ilvl="6">
      <w:start w:val="0"/>
      <w:numFmt w:val="bullet"/>
      <w:lvlText w:val="•"/>
      <w:lvlJc w:val="left"/>
      <w:pPr>
        <w:ind w:left="7687" w:hanging="530"/>
      </w:pPr>
      <w:rPr>
        <w:rFonts w:hint="default"/>
        <w:lang w:val="en-US" w:eastAsia="zh-CN" w:bidi="ar-SA"/>
      </w:rPr>
    </w:lvl>
    <w:lvl w:ilvl="7">
      <w:start w:val="0"/>
      <w:numFmt w:val="bullet"/>
      <w:lvlText w:val="•"/>
      <w:lvlJc w:val="left"/>
      <w:pPr>
        <w:ind w:left="8432" w:hanging="530"/>
      </w:pPr>
      <w:rPr>
        <w:rFonts w:hint="default"/>
        <w:lang w:val="en-US" w:eastAsia="zh-CN" w:bidi="ar-SA"/>
      </w:rPr>
    </w:lvl>
    <w:lvl w:ilvl="8">
      <w:start w:val="0"/>
      <w:numFmt w:val="bullet"/>
      <w:lvlText w:val="•"/>
      <w:lvlJc w:val="left"/>
      <w:pPr>
        <w:ind w:left="9177" w:hanging="530"/>
      </w:pPr>
      <w:rPr>
        <w:rFonts w:hint="default"/>
        <w:lang w:val="en-US" w:eastAsia="zh-CN" w:bidi="ar-SA"/>
      </w:rPr>
    </w:lvl>
  </w:abstractNum>
  <w:abstractNum w:abstractNumId="5">
    <w:multiLevelType w:val="hybridMultilevel"/>
    <w:lvl w:ilvl="0">
      <w:start w:val="1"/>
      <w:numFmt w:val="decimal"/>
      <w:lvlText w:val="（%1）"/>
      <w:lvlJc w:val="left"/>
      <w:pPr>
        <w:ind w:left="628" w:hanging="530"/>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364" w:hanging="530"/>
      </w:pPr>
      <w:rPr>
        <w:rFonts w:hint="default"/>
        <w:lang w:val="en-US" w:eastAsia="zh-CN" w:bidi="ar-SA"/>
      </w:rPr>
    </w:lvl>
    <w:lvl w:ilvl="2">
      <w:start w:val="0"/>
      <w:numFmt w:val="bullet"/>
      <w:lvlText w:val="•"/>
      <w:lvlJc w:val="left"/>
      <w:pPr>
        <w:ind w:left="2109" w:hanging="530"/>
      </w:pPr>
      <w:rPr>
        <w:rFonts w:hint="default"/>
        <w:lang w:val="en-US" w:eastAsia="zh-CN" w:bidi="ar-SA"/>
      </w:rPr>
    </w:lvl>
    <w:lvl w:ilvl="3">
      <w:start w:val="0"/>
      <w:numFmt w:val="bullet"/>
      <w:lvlText w:val="•"/>
      <w:lvlJc w:val="left"/>
      <w:pPr>
        <w:ind w:left="2854" w:hanging="530"/>
      </w:pPr>
      <w:rPr>
        <w:rFonts w:hint="default"/>
        <w:lang w:val="en-US" w:eastAsia="zh-CN" w:bidi="ar-SA"/>
      </w:rPr>
    </w:lvl>
    <w:lvl w:ilvl="4">
      <w:start w:val="0"/>
      <w:numFmt w:val="bullet"/>
      <w:lvlText w:val="•"/>
      <w:lvlJc w:val="left"/>
      <w:pPr>
        <w:ind w:left="3599" w:hanging="530"/>
      </w:pPr>
      <w:rPr>
        <w:rFonts w:hint="default"/>
        <w:lang w:val="en-US" w:eastAsia="zh-CN" w:bidi="ar-SA"/>
      </w:rPr>
    </w:lvl>
    <w:lvl w:ilvl="5">
      <w:start w:val="0"/>
      <w:numFmt w:val="bullet"/>
      <w:lvlText w:val="•"/>
      <w:lvlJc w:val="left"/>
      <w:pPr>
        <w:ind w:left="4343" w:hanging="530"/>
      </w:pPr>
      <w:rPr>
        <w:rFonts w:hint="default"/>
        <w:lang w:val="en-US" w:eastAsia="zh-CN" w:bidi="ar-SA"/>
      </w:rPr>
    </w:lvl>
    <w:lvl w:ilvl="6">
      <w:start w:val="0"/>
      <w:numFmt w:val="bullet"/>
      <w:lvlText w:val="•"/>
      <w:lvlJc w:val="left"/>
      <w:pPr>
        <w:ind w:left="5088" w:hanging="530"/>
      </w:pPr>
      <w:rPr>
        <w:rFonts w:hint="default"/>
        <w:lang w:val="en-US" w:eastAsia="zh-CN" w:bidi="ar-SA"/>
      </w:rPr>
    </w:lvl>
    <w:lvl w:ilvl="7">
      <w:start w:val="0"/>
      <w:numFmt w:val="bullet"/>
      <w:lvlText w:val="•"/>
      <w:lvlJc w:val="left"/>
      <w:pPr>
        <w:ind w:left="5833" w:hanging="530"/>
      </w:pPr>
      <w:rPr>
        <w:rFonts w:hint="default"/>
        <w:lang w:val="en-US" w:eastAsia="zh-CN" w:bidi="ar-SA"/>
      </w:rPr>
    </w:lvl>
    <w:lvl w:ilvl="8">
      <w:start w:val="0"/>
      <w:numFmt w:val="bullet"/>
      <w:lvlText w:val="•"/>
      <w:lvlJc w:val="left"/>
      <w:pPr>
        <w:ind w:left="6578" w:hanging="530"/>
      </w:pPr>
      <w:rPr>
        <w:rFonts w:hint="default"/>
        <w:lang w:val="en-US" w:eastAsia="zh-CN" w:bidi="ar-SA"/>
      </w:rPr>
    </w:lvl>
  </w:abstractNum>
  <w:abstractNum w:abstractNumId="4">
    <w:multiLevelType w:val="hybridMultilevel"/>
    <w:lvl w:ilvl="0">
      <w:start w:val="1"/>
      <w:numFmt w:val="decimal"/>
      <w:lvlText w:val="（%1）"/>
      <w:lvlJc w:val="left"/>
      <w:pPr>
        <w:ind w:left="627" w:hanging="532"/>
        <w:jc w:val="left"/>
      </w:pPr>
      <w:rPr>
        <w:rFonts w:hint="default" w:ascii="微软雅黑" w:hAnsi="微软雅黑" w:eastAsia="微软雅黑" w:cs="微软雅黑"/>
        <w:b/>
        <w:bCs/>
        <w:i w:val="0"/>
        <w:iCs w:val="0"/>
        <w:w w:val="81"/>
        <w:sz w:val="19"/>
        <w:szCs w:val="19"/>
        <w:lang w:val="en-US" w:eastAsia="zh-CN" w:bidi="ar-SA"/>
      </w:rPr>
    </w:lvl>
    <w:lvl w:ilvl="1">
      <w:start w:val="1"/>
      <w:numFmt w:val="decimal"/>
      <w:lvlText w:val="（%2）"/>
      <w:lvlJc w:val="left"/>
      <w:pPr>
        <w:ind w:left="3226" w:hanging="532"/>
        <w:jc w:val="left"/>
      </w:pPr>
      <w:rPr>
        <w:rFonts w:hint="default" w:ascii="微软雅黑" w:hAnsi="微软雅黑" w:eastAsia="微软雅黑" w:cs="微软雅黑"/>
        <w:b/>
        <w:bCs/>
        <w:i w:val="0"/>
        <w:iCs w:val="0"/>
        <w:w w:val="81"/>
        <w:sz w:val="19"/>
        <w:szCs w:val="19"/>
        <w:lang w:val="en-US" w:eastAsia="zh-CN" w:bidi="ar-SA"/>
      </w:rPr>
    </w:lvl>
    <w:lvl w:ilvl="2">
      <w:start w:val="0"/>
      <w:numFmt w:val="bullet"/>
      <w:lvlText w:val="•"/>
      <w:lvlJc w:val="left"/>
      <w:pPr>
        <w:ind w:left="3758" w:hanging="532"/>
      </w:pPr>
      <w:rPr>
        <w:rFonts w:hint="default"/>
        <w:lang w:val="en-US" w:eastAsia="zh-CN" w:bidi="ar-SA"/>
      </w:rPr>
    </w:lvl>
    <w:lvl w:ilvl="3">
      <w:start w:val="0"/>
      <w:numFmt w:val="bullet"/>
      <w:lvlText w:val="•"/>
      <w:lvlJc w:val="left"/>
      <w:pPr>
        <w:ind w:left="4297" w:hanging="532"/>
      </w:pPr>
      <w:rPr>
        <w:rFonts w:hint="default"/>
        <w:lang w:val="en-US" w:eastAsia="zh-CN" w:bidi="ar-SA"/>
      </w:rPr>
    </w:lvl>
    <w:lvl w:ilvl="4">
      <w:start w:val="0"/>
      <w:numFmt w:val="bullet"/>
      <w:lvlText w:val="•"/>
      <w:lvlJc w:val="left"/>
      <w:pPr>
        <w:ind w:left="4835" w:hanging="532"/>
      </w:pPr>
      <w:rPr>
        <w:rFonts w:hint="default"/>
        <w:lang w:val="en-US" w:eastAsia="zh-CN" w:bidi="ar-SA"/>
      </w:rPr>
    </w:lvl>
    <w:lvl w:ilvl="5">
      <w:start w:val="0"/>
      <w:numFmt w:val="bullet"/>
      <w:lvlText w:val="•"/>
      <w:lvlJc w:val="left"/>
      <w:pPr>
        <w:ind w:left="5374" w:hanging="532"/>
      </w:pPr>
      <w:rPr>
        <w:rFonts w:hint="default"/>
        <w:lang w:val="en-US" w:eastAsia="zh-CN" w:bidi="ar-SA"/>
      </w:rPr>
    </w:lvl>
    <w:lvl w:ilvl="6">
      <w:start w:val="0"/>
      <w:numFmt w:val="bullet"/>
      <w:lvlText w:val="•"/>
      <w:lvlJc w:val="left"/>
      <w:pPr>
        <w:ind w:left="5913" w:hanging="532"/>
      </w:pPr>
      <w:rPr>
        <w:rFonts w:hint="default"/>
        <w:lang w:val="en-US" w:eastAsia="zh-CN" w:bidi="ar-SA"/>
      </w:rPr>
    </w:lvl>
    <w:lvl w:ilvl="7">
      <w:start w:val="0"/>
      <w:numFmt w:val="bullet"/>
      <w:lvlText w:val="•"/>
      <w:lvlJc w:val="left"/>
      <w:pPr>
        <w:ind w:left="6451" w:hanging="532"/>
      </w:pPr>
      <w:rPr>
        <w:rFonts w:hint="default"/>
        <w:lang w:val="en-US" w:eastAsia="zh-CN" w:bidi="ar-SA"/>
      </w:rPr>
    </w:lvl>
    <w:lvl w:ilvl="8">
      <w:start w:val="0"/>
      <w:numFmt w:val="bullet"/>
      <w:lvlText w:val="•"/>
      <w:lvlJc w:val="left"/>
      <w:pPr>
        <w:ind w:left="6990" w:hanging="532"/>
      </w:pPr>
      <w:rPr>
        <w:rFonts w:hint="default"/>
        <w:lang w:val="en-US" w:eastAsia="zh-CN" w:bidi="ar-SA"/>
      </w:rPr>
    </w:lvl>
  </w:abstractNum>
  <w:abstractNum w:abstractNumId="3">
    <w:multiLevelType w:val="hybridMultilevel"/>
    <w:lvl w:ilvl="0">
      <w:start w:val="2"/>
      <w:numFmt w:val="decimal"/>
      <w:lvlText w:val="%1"/>
      <w:lvlJc w:val="left"/>
      <w:pPr>
        <w:ind w:left="2698" w:hanging="853"/>
        <w:jc w:val="left"/>
      </w:pPr>
      <w:rPr>
        <w:rFonts w:hint="default"/>
        <w:lang w:val="en-US" w:eastAsia="zh-CN" w:bidi="ar-SA"/>
      </w:rPr>
    </w:lvl>
    <w:lvl w:ilvl="1">
      <w:start w:val="1"/>
      <w:numFmt w:val="decimal"/>
      <w:lvlText w:val="%1.%2"/>
      <w:lvlJc w:val="left"/>
      <w:pPr>
        <w:ind w:left="2698"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080" w:hanging="853"/>
        <w:jc w:val="left"/>
      </w:pPr>
      <w:rPr>
        <w:rFonts w:hint="default"/>
        <w:w w:val="103"/>
        <w:lang w:val="en-US" w:eastAsia="zh-CN" w:bidi="ar-SA"/>
      </w:rPr>
    </w:lvl>
    <w:lvl w:ilvl="3">
      <w:start w:val="1"/>
      <w:numFmt w:val="decimal"/>
      <w:lvlText w:val="（%4）"/>
      <w:lvlJc w:val="left"/>
      <w:pPr>
        <w:ind w:left="3227" w:hanging="530"/>
        <w:jc w:val="left"/>
      </w:pPr>
      <w:rPr>
        <w:rFonts w:hint="default" w:ascii="微软雅黑" w:hAnsi="微软雅黑" w:eastAsia="微软雅黑" w:cs="微软雅黑"/>
        <w:b/>
        <w:bCs/>
        <w:i w:val="0"/>
        <w:iCs w:val="0"/>
        <w:w w:val="81"/>
        <w:sz w:val="19"/>
        <w:szCs w:val="19"/>
        <w:lang w:val="en-US" w:eastAsia="zh-CN" w:bidi="ar-SA"/>
      </w:rPr>
    </w:lvl>
    <w:lvl w:ilvl="4">
      <w:start w:val="0"/>
      <w:numFmt w:val="bullet"/>
      <w:lvlText w:val="•"/>
      <w:lvlJc w:val="left"/>
      <w:pPr>
        <w:ind w:left="3054" w:hanging="530"/>
      </w:pPr>
      <w:rPr>
        <w:rFonts w:hint="default"/>
        <w:lang w:val="en-US" w:eastAsia="zh-CN" w:bidi="ar-SA"/>
      </w:rPr>
    </w:lvl>
    <w:lvl w:ilvl="5">
      <w:start w:val="0"/>
      <w:numFmt w:val="bullet"/>
      <w:lvlText w:val="•"/>
      <w:lvlJc w:val="left"/>
      <w:pPr>
        <w:ind w:left="2972" w:hanging="530"/>
      </w:pPr>
      <w:rPr>
        <w:rFonts w:hint="default"/>
        <w:lang w:val="en-US" w:eastAsia="zh-CN" w:bidi="ar-SA"/>
      </w:rPr>
    </w:lvl>
    <w:lvl w:ilvl="6">
      <w:start w:val="0"/>
      <w:numFmt w:val="bullet"/>
      <w:lvlText w:val="•"/>
      <w:lvlJc w:val="left"/>
      <w:pPr>
        <w:ind w:left="2889" w:hanging="530"/>
      </w:pPr>
      <w:rPr>
        <w:rFonts w:hint="default"/>
        <w:lang w:val="en-US" w:eastAsia="zh-CN" w:bidi="ar-SA"/>
      </w:rPr>
    </w:lvl>
    <w:lvl w:ilvl="7">
      <w:start w:val="0"/>
      <w:numFmt w:val="bullet"/>
      <w:lvlText w:val="•"/>
      <w:lvlJc w:val="left"/>
      <w:pPr>
        <w:ind w:left="2806" w:hanging="530"/>
      </w:pPr>
      <w:rPr>
        <w:rFonts w:hint="default"/>
        <w:lang w:val="en-US" w:eastAsia="zh-CN" w:bidi="ar-SA"/>
      </w:rPr>
    </w:lvl>
    <w:lvl w:ilvl="8">
      <w:start w:val="0"/>
      <w:numFmt w:val="bullet"/>
      <w:lvlText w:val="•"/>
      <w:lvlJc w:val="left"/>
      <w:pPr>
        <w:ind w:left="2724" w:hanging="530"/>
      </w:pPr>
      <w:rPr>
        <w:rFonts w:hint="default"/>
        <w:lang w:val="en-US" w:eastAsia="zh-CN" w:bidi="ar-SA"/>
      </w:rPr>
    </w:lvl>
  </w:abstractNum>
  <w:abstractNum w:abstractNumId="2">
    <w:multiLevelType w:val="hybridMultilevel"/>
    <w:lvl w:ilvl="0">
      <w:start w:val="1"/>
      <w:numFmt w:val="decimal"/>
      <w:lvlText w:val="%1"/>
      <w:lvlJc w:val="left"/>
      <w:pPr>
        <w:ind w:left="2698" w:hanging="853"/>
        <w:jc w:val="left"/>
      </w:pPr>
      <w:rPr>
        <w:rFonts w:hint="default"/>
        <w:lang w:val="en-US" w:eastAsia="zh-CN" w:bidi="ar-SA"/>
      </w:rPr>
    </w:lvl>
    <w:lvl w:ilvl="1">
      <w:start w:val="1"/>
      <w:numFmt w:val="decimal"/>
      <w:lvlText w:val="%1.%2"/>
      <w:lvlJc w:val="left"/>
      <w:pPr>
        <w:ind w:left="2698"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224" w:hanging="532"/>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874" w:hanging="532"/>
      </w:pPr>
      <w:rPr>
        <w:rFonts w:hint="default"/>
        <w:lang w:val="en-US" w:eastAsia="zh-CN" w:bidi="ar-SA"/>
      </w:rPr>
    </w:lvl>
    <w:lvl w:ilvl="4">
      <w:start w:val="0"/>
      <w:numFmt w:val="bullet"/>
      <w:lvlText w:val="•"/>
      <w:lvlJc w:val="left"/>
      <w:pPr>
        <w:ind w:left="5702" w:hanging="532"/>
      </w:pPr>
      <w:rPr>
        <w:rFonts w:hint="default"/>
        <w:lang w:val="en-US" w:eastAsia="zh-CN" w:bidi="ar-SA"/>
      </w:rPr>
    </w:lvl>
    <w:lvl w:ilvl="5">
      <w:start w:val="0"/>
      <w:numFmt w:val="bullet"/>
      <w:lvlText w:val="•"/>
      <w:lvlJc w:val="left"/>
      <w:pPr>
        <w:ind w:left="6529" w:hanging="532"/>
      </w:pPr>
      <w:rPr>
        <w:rFonts w:hint="default"/>
        <w:lang w:val="en-US" w:eastAsia="zh-CN" w:bidi="ar-SA"/>
      </w:rPr>
    </w:lvl>
    <w:lvl w:ilvl="6">
      <w:start w:val="0"/>
      <w:numFmt w:val="bullet"/>
      <w:lvlText w:val="•"/>
      <w:lvlJc w:val="left"/>
      <w:pPr>
        <w:ind w:left="7356" w:hanging="532"/>
      </w:pPr>
      <w:rPr>
        <w:rFonts w:hint="default"/>
        <w:lang w:val="en-US" w:eastAsia="zh-CN" w:bidi="ar-SA"/>
      </w:rPr>
    </w:lvl>
    <w:lvl w:ilvl="7">
      <w:start w:val="0"/>
      <w:numFmt w:val="bullet"/>
      <w:lvlText w:val="•"/>
      <w:lvlJc w:val="left"/>
      <w:pPr>
        <w:ind w:left="8184" w:hanging="532"/>
      </w:pPr>
      <w:rPr>
        <w:rFonts w:hint="default"/>
        <w:lang w:val="en-US" w:eastAsia="zh-CN" w:bidi="ar-SA"/>
      </w:rPr>
    </w:lvl>
    <w:lvl w:ilvl="8">
      <w:start w:val="0"/>
      <w:numFmt w:val="bullet"/>
      <w:lvlText w:val="•"/>
      <w:lvlJc w:val="left"/>
      <w:pPr>
        <w:ind w:left="9011" w:hanging="532"/>
      </w:pPr>
      <w:rPr>
        <w:rFonts w:hint="default"/>
        <w:lang w:val="en-US" w:eastAsia="zh-CN" w:bidi="ar-SA"/>
      </w:rPr>
    </w:lvl>
  </w:abstractNum>
  <w:abstractNum w:abstractNumId="1">
    <w:multiLevelType w:val="hybridMultilevel"/>
    <w:lvl w:ilvl="0">
      <w:start w:val="7"/>
      <w:numFmt w:val="decimal"/>
      <w:lvlText w:val="%1."/>
      <w:lvlJc w:val="left"/>
      <w:pPr>
        <w:ind w:left="661" w:hanging="318"/>
        <w:jc w:val="left"/>
      </w:pPr>
      <w:rPr>
        <w:rFonts w:hint="default" w:ascii="微软雅黑" w:hAnsi="微软雅黑" w:eastAsia="微软雅黑" w:cs="微软雅黑"/>
        <w:b/>
        <w:bCs/>
        <w:i w:val="0"/>
        <w:iCs w:val="0"/>
        <w:w w:val="81"/>
        <w:sz w:val="19"/>
        <w:szCs w:val="19"/>
        <w:lang w:val="en-US" w:eastAsia="zh-CN" w:bidi="ar-SA"/>
      </w:rPr>
    </w:lvl>
    <w:lvl w:ilvl="1">
      <w:start w:val="2"/>
      <w:numFmt w:val="decimal"/>
      <w:lvlText w:val="%2."/>
      <w:lvlJc w:val="left"/>
      <w:pPr>
        <w:ind w:left="1080" w:hanging="243"/>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48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007" w:hanging="529"/>
      </w:pPr>
      <w:rPr>
        <w:rFonts w:hint="default"/>
        <w:lang w:val="en-US" w:eastAsia="zh-CN" w:bidi="ar-SA"/>
      </w:rPr>
    </w:lvl>
    <w:lvl w:ilvl="4">
      <w:start w:val="0"/>
      <w:numFmt w:val="bullet"/>
      <w:lvlText w:val="•"/>
      <w:lvlJc w:val="left"/>
      <w:pPr>
        <w:ind w:left="2535" w:hanging="529"/>
      </w:pPr>
      <w:rPr>
        <w:rFonts w:hint="default"/>
        <w:lang w:val="en-US" w:eastAsia="zh-CN" w:bidi="ar-SA"/>
      </w:rPr>
    </w:lvl>
    <w:lvl w:ilvl="5">
      <w:start w:val="0"/>
      <w:numFmt w:val="bullet"/>
      <w:lvlText w:val="•"/>
      <w:lvlJc w:val="left"/>
      <w:pPr>
        <w:ind w:left="2063" w:hanging="529"/>
      </w:pPr>
      <w:rPr>
        <w:rFonts w:hint="default"/>
        <w:lang w:val="en-US" w:eastAsia="zh-CN" w:bidi="ar-SA"/>
      </w:rPr>
    </w:lvl>
    <w:lvl w:ilvl="6">
      <w:start w:val="0"/>
      <w:numFmt w:val="bullet"/>
      <w:lvlText w:val="•"/>
      <w:lvlJc w:val="left"/>
      <w:pPr>
        <w:ind w:left="1591" w:hanging="529"/>
      </w:pPr>
      <w:rPr>
        <w:rFonts w:hint="default"/>
        <w:lang w:val="en-US" w:eastAsia="zh-CN" w:bidi="ar-SA"/>
      </w:rPr>
    </w:lvl>
    <w:lvl w:ilvl="7">
      <w:start w:val="0"/>
      <w:numFmt w:val="bullet"/>
      <w:lvlText w:val="•"/>
      <w:lvlJc w:val="left"/>
      <w:pPr>
        <w:ind w:left="1118" w:hanging="529"/>
      </w:pPr>
      <w:rPr>
        <w:rFonts w:hint="default"/>
        <w:lang w:val="en-US" w:eastAsia="zh-CN" w:bidi="ar-SA"/>
      </w:rPr>
    </w:lvl>
    <w:lvl w:ilvl="8">
      <w:start w:val="0"/>
      <w:numFmt w:val="bullet"/>
      <w:lvlText w:val="•"/>
      <w:lvlJc w:val="left"/>
      <w:pPr>
        <w:ind w:left="646" w:hanging="529"/>
      </w:pPr>
      <w:rPr>
        <w:rFonts w:hint="default"/>
        <w:lang w:val="en-US" w:eastAsia="zh-CN" w:bidi="ar-SA"/>
      </w:rPr>
    </w:lvl>
  </w:abstractNum>
  <w:abstractNum w:abstractNumId="0">
    <w:multiLevelType w:val="hybridMultilevel"/>
    <w:lvl w:ilvl="0">
      <w:start w:val="0"/>
      <w:numFmt w:val="bullet"/>
      <w:lvlText w:val=""/>
      <w:lvlJc w:val="left"/>
      <w:pPr>
        <w:ind w:left="151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434" w:hanging="420"/>
      </w:pPr>
      <w:rPr>
        <w:rFonts w:hint="default"/>
        <w:lang w:val="en-US" w:eastAsia="zh-CN" w:bidi="ar-SA"/>
      </w:rPr>
    </w:lvl>
    <w:lvl w:ilvl="2">
      <w:start w:val="0"/>
      <w:numFmt w:val="bullet"/>
      <w:lvlText w:val="•"/>
      <w:lvlJc w:val="left"/>
      <w:pPr>
        <w:ind w:left="3349" w:hanging="420"/>
      </w:pPr>
      <w:rPr>
        <w:rFonts w:hint="default"/>
        <w:lang w:val="en-US" w:eastAsia="zh-CN" w:bidi="ar-SA"/>
      </w:rPr>
    </w:lvl>
    <w:lvl w:ilvl="3">
      <w:start w:val="0"/>
      <w:numFmt w:val="bullet"/>
      <w:lvlText w:val="•"/>
      <w:lvlJc w:val="left"/>
      <w:pPr>
        <w:ind w:left="4263" w:hanging="420"/>
      </w:pPr>
      <w:rPr>
        <w:rFonts w:hint="default"/>
        <w:lang w:val="en-US" w:eastAsia="zh-CN" w:bidi="ar-SA"/>
      </w:rPr>
    </w:lvl>
    <w:lvl w:ilvl="4">
      <w:start w:val="0"/>
      <w:numFmt w:val="bullet"/>
      <w:lvlText w:val="•"/>
      <w:lvlJc w:val="left"/>
      <w:pPr>
        <w:ind w:left="5178" w:hanging="420"/>
      </w:pPr>
      <w:rPr>
        <w:rFonts w:hint="default"/>
        <w:lang w:val="en-US" w:eastAsia="zh-CN" w:bidi="ar-SA"/>
      </w:rPr>
    </w:lvl>
    <w:lvl w:ilvl="5">
      <w:start w:val="0"/>
      <w:numFmt w:val="bullet"/>
      <w:lvlText w:val="•"/>
      <w:lvlJc w:val="left"/>
      <w:pPr>
        <w:ind w:left="6093" w:hanging="420"/>
      </w:pPr>
      <w:rPr>
        <w:rFonts w:hint="default"/>
        <w:lang w:val="en-US" w:eastAsia="zh-CN" w:bidi="ar-SA"/>
      </w:rPr>
    </w:lvl>
    <w:lvl w:ilvl="6">
      <w:start w:val="0"/>
      <w:numFmt w:val="bullet"/>
      <w:lvlText w:val="•"/>
      <w:lvlJc w:val="left"/>
      <w:pPr>
        <w:ind w:left="7007" w:hanging="420"/>
      </w:pPr>
      <w:rPr>
        <w:rFonts w:hint="default"/>
        <w:lang w:val="en-US" w:eastAsia="zh-CN" w:bidi="ar-SA"/>
      </w:rPr>
    </w:lvl>
    <w:lvl w:ilvl="7">
      <w:start w:val="0"/>
      <w:numFmt w:val="bullet"/>
      <w:lvlText w:val="•"/>
      <w:lvlJc w:val="left"/>
      <w:pPr>
        <w:ind w:left="7922" w:hanging="420"/>
      </w:pPr>
      <w:rPr>
        <w:rFonts w:hint="default"/>
        <w:lang w:val="en-US" w:eastAsia="zh-CN" w:bidi="ar-SA"/>
      </w:rPr>
    </w:lvl>
    <w:lvl w:ilvl="8">
      <w:start w:val="0"/>
      <w:numFmt w:val="bullet"/>
      <w:lvlText w:val="•"/>
      <w:lvlJc w:val="left"/>
      <w:pPr>
        <w:ind w:left="8837" w:hanging="420"/>
      </w:pPr>
      <w:rPr>
        <w:rFonts w:hint="default"/>
        <w:lang w:val="en-US" w:eastAsia="zh-CN" w:bidi="ar-SA"/>
      </w:rPr>
    </w:lvl>
  </w:abstract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324" w:lineRule="exact"/>
      <w:ind w:left="1512" w:hanging="421"/>
    </w:pPr>
    <w:rPr>
      <w:rFonts w:ascii="Microsoft JhengHei" w:hAnsi="Microsoft JhengHei" w:eastAsia="Microsoft JhengHei" w:cs="Microsoft JhengHei"/>
      <w:b/>
      <w:bCs/>
      <w:sz w:val="21"/>
      <w:szCs w:val="21"/>
      <w:lang w:val="en-US" w:eastAsia="zh-CN" w:bidi="ar-SA"/>
    </w:rPr>
  </w:style>
  <w:style w:styleId="TOC2" w:type="paragraph">
    <w:name w:val="TOC 2"/>
    <w:basedOn w:val="Normal"/>
    <w:uiPriority w:val="1"/>
    <w:qFormat/>
    <w:pPr>
      <w:ind w:left="1512" w:hanging="421"/>
    </w:pPr>
    <w:rPr>
      <w:rFonts w:ascii="宋体" w:hAnsi="宋体" w:eastAsia="宋体" w:cs="宋体"/>
      <w:sz w:val="21"/>
      <w:szCs w:val="21"/>
      <w:lang w:val="en-US" w:eastAsia="zh-CN" w:bidi="ar-SA"/>
    </w:rPr>
  </w:style>
  <w:style w:styleId="TOC3" w:type="paragraph">
    <w:name w:val="TOC 3"/>
    <w:basedOn w:val="Normal"/>
    <w:uiPriority w:val="1"/>
    <w:qFormat/>
    <w:pPr>
      <w:spacing w:line="335" w:lineRule="exact"/>
      <w:ind w:left="1512" w:hanging="421"/>
    </w:pPr>
    <w:rPr>
      <w:rFonts w:ascii="Microsoft JhengHei" w:hAnsi="Microsoft JhengHei" w:eastAsia="Microsoft JhengHei" w:cs="Microsoft JhengHei"/>
      <w:b/>
      <w:bCs/>
      <w:i/>
      <w:iCs/>
      <w:lang w:val="en-US" w:eastAsia="zh-CN" w:bidi="ar-SA"/>
    </w:rPr>
  </w:style>
  <w:style w:styleId="TOC4" w:type="paragraph">
    <w:name w:val="TOC 4"/>
    <w:basedOn w:val="Normal"/>
    <w:uiPriority w:val="1"/>
    <w:qFormat/>
    <w:pPr>
      <w:spacing w:line="324" w:lineRule="exact"/>
      <w:ind w:left="1130"/>
    </w:pPr>
    <w:rPr>
      <w:rFonts w:ascii="微软雅黑" w:hAnsi="微软雅黑" w:eastAsia="微软雅黑" w:cs="微软雅黑"/>
      <w:b/>
      <w:bCs/>
      <w:sz w:val="21"/>
      <w:szCs w:val="21"/>
      <w:lang w:val="en-US" w:eastAsia="zh-CN" w:bidi="ar-SA"/>
    </w:rPr>
  </w:style>
  <w:style w:styleId="TOC5" w:type="paragraph">
    <w:name w:val="TOC 5"/>
    <w:basedOn w:val="Normal"/>
    <w:uiPriority w:val="1"/>
    <w:qFormat/>
    <w:pPr>
      <w:spacing w:line="335" w:lineRule="exact"/>
      <w:ind w:left="1512"/>
    </w:pPr>
    <w:rPr>
      <w:rFonts w:ascii="Microsoft JhengHei" w:hAnsi="Microsoft JhengHei" w:eastAsia="Microsoft JhengHei" w:cs="Microsoft JhengHei"/>
      <w:b/>
      <w:bCs/>
      <w:sz w:val="21"/>
      <w:szCs w:val="21"/>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27"/>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2960"/>
      <w:outlineLvl w:val="2"/>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1080" w:hanging="530"/>
    </w:pPr>
    <w:rPr>
      <w:rFonts w:ascii="宋体" w:hAnsi="宋体" w:eastAsia="宋体" w:cs="宋体"/>
      <w:lang w:val="en-US" w:eastAsia="zh-CN" w:bidi="ar-SA"/>
    </w:rPr>
  </w:style>
  <w:style w:styleId="TableParagraph" w:type="paragraph">
    <w:name w:val="Table Paragraph"/>
    <w:basedOn w:val="Normal"/>
    <w:uiPriority w:val="1"/>
    <w:qFormat/>
    <w:pPr>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2023-06-02T03:09:37Z</dcterms:created>
  <dcterms:modified xsi:type="dcterms:W3CDTF">2023-06-02T03:09:37Z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