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计划书操作手册</w:t>
      </w:r>
    </w:p>
    <w:p>
      <w:pPr>
        <w:rPr>
          <w:rFonts w:hint="eastAsia"/>
          <w:lang w:val="en-US" w:eastAsia="zh-CN"/>
        </w:rPr>
      </w:pPr>
      <w:r>
        <w:rPr>
          <w:rFonts w:hint="eastAsia"/>
          <w:lang w:val="en-US" w:eastAsia="zh-CN"/>
        </w:rPr>
        <w:t>测试环境链接：</w:t>
      </w:r>
      <w:r>
        <w:rPr>
          <w:rFonts w:hint="eastAsia"/>
          <w:lang w:val="en-US" w:eastAsia="zh-CN"/>
        </w:rPr>
        <w:fldChar w:fldCharType="begin"/>
      </w:r>
      <w:r>
        <w:rPr>
          <w:rFonts w:hint="eastAsia"/>
          <w:lang w:val="en-US" w:eastAsia="zh-CN"/>
        </w:rPr>
        <w:instrText xml:space="preserve"> HYPERLINK "https://m.baoxianxia.com.cn/bms-web/login" </w:instrText>
      </w:r>
      <w:r>
        <w:rPr>
          <w:rFonts w:hint="eastAsia"/>
          <w:lang w:val="en-US" w:eastAsia="zh-CN"/>
        </w:rPr>
        <w:fldChar w:fldCharType="separate"/>
      </w:r>
      <w:r>
        <w:rPr>
          <w:rStyle w:val="4"/>
          <w:rFonts w:hint="eastAsia"/>
          <w:lang w:val="en-US" w:eastAsia="zh-CN"/>
        </w:rPr>
        <w:t>https://m.baoxianxia.com.cn/bms-web/login</w:t>
      </w:r>
      <w:r>
        <w:rPr>
          <w:rStyle w:val="4"/>
          <w:rFonts w:hint="eastAsia"/>
          <w:lang w:val="en-US" w:eastAsia="zh-CN"/>
        </w:rPr>
        <w:br w:type="textWrapping"/>
      </w:r>
      <w:r>
        <w:rPr>
          <w:rFonts w:hint="eastAsia"/>
          <w:lang w:val="en-US" w:eastAsia="zh-CN"/>
        </w:rPr>
        <w:fldChar w:fldCharType="end"/>
      </w:r>
      <w:r>
        <w:rPr>
          <w:rFonts w:hint="eastAsia"/>
          <w:lang w:val="en-US" w:eastAsia="zh-CN"/>
        </w:rPr>
        <w:t>账号：admin</w:t>
      </w:r>
      <w:r>
        <w:rPr>
          <w:rFonts w:hint="eastAsia"/>
          <w:lang w:val="en-US" w:eastAsia="zh-CN"/>
        </w:rPr>
        <w:br w:type="textWrapping"/>
      </w:r>
      <w:r>
        <w:rPr>
          <w:rFonts w:hint="eastAsia"/>
          <w:lang w:val="en-US" w:eastAsia="zh-CN"/>
        </w:rPr>
        <w:t>密码：qwer@test</w:t>
      </w:r>
    </w:p>
    <w:p>
      <w:pPr>
        <w:rPr>
          <w:rFonts w:hint="eastAsia"/>
          <w:lang w:val="en-US" w:eastAsia="zh-CN"/>
        </w:rPr>
      </w:pPr>
      <w:r>
        <w:rPr>
          <w:rFonts w:hint="eastAsia"/>
          <w:lang w:val="en-US" w:eastAsia="zh-CN"/>
        </w:rPr>
        <w:t>生产环境链接：</w:t>
      </w:r>
      <w:r>
        <w:rPr>
          <w:rFonts w:hint="eastAsia"/>
          <w:lang w:val="en-US" w:eastAsia="zh-CN"/>
        </w:rPr>
        <w:fldChar w:fldCharType="begin"/>
      </w:r>
      <w:r>
        <w:rPr>
          <w:rFonts w:hint="eastAsia"/>
          <w:lang w:val="en-US" w:eastAsia="zh-CN"/>
        </w:rPr>
        <w:instrText xml:space="preserve"> HYPERLINK "https://sparta.zrbx.com/bms-web/home" </w:instrText>
      </w:r>
      <w:r>
        <w:rPr>
          <w:rFonts w:hint="eastAsia"/>
          <w:lang w:val="en-US" w:eastAsia="zh-CN"/>
        </w:rPr>
        <w:fldChar w:fldCharType="separate"/>
      </w:r>
      <w:r>
        <w:rPr>
          <w:rStyle w:val="4"/>
          <w:rFonts w:hint="eastAsia"/>
          <w:lang w:val="en-US" w:eastAsia="zh-CN"/>
        </w:rPr>
        <w:t>https://sparta.zrbx.com/bms-web/home</w:t>
      </w:r>
      <w:r>
        <w:rPr>
          <w:rFonts w:hint="eastAsia"/>
          <w:lang w:val="en-US" w:eastAsia="zh-CN"/>
        </w:rPr>
        <w:fldChar w:fldCharType="end"/>
      </w:r>
    </w:p>
    <w:p>
      <w:pPr>
        <w:rPr>
          <w:rFonts w:hint="default"/>
          <w:lang w:val="en-US" w:eastAsia="zh-CN"/>
        </w:rPr>
      </w:pPr>
      <w:r>
        <w:rPr>
          <w:rFonts w:hint="eastAsia"/>
          <w:lang w:val="en-US" w:eastAsia="zh-CN"/>
        </w:rPr>
        <w:t>账号：admin</w:t>
      </w:r>
      <w:r>
        <w:rPr>
          <w:rFonts w:hint="eastAsia"/>
          <w:lang w:val="en-US" w:eastAsia="zh-CN"/>
        </w:rPr>
        <w:br w:type="textWrapping"/>
      </w:r>
      <w:r>
        <w:rPr>
          <w:rFonts w:hint="eastAsia"/>
          <w:lang w:val="en-US" w:eastAsia="zh-CN"/>
        </w:rPr>
        <w:t>密码：qwer0000</w:t>
      </w:r>
    </w:p>
    <w:p>
      <w:pPr>
        <w:numPr>
          <w:ilvl w:val="0"/>
          <w:numId w:val="0"/>
        </w:numPr>
        <w:rPr>
          <w:rFonts w:hint="eastAsia"/>
          <w:b/>
          <w:bCs/>
          <w:lang w:val="en-US" w:eastAsia="zh-CN"/>
        </w:rPr>
      </w:pPr>
      <w:r>
        <w:rPr>
          <w:rFonts w:hint="eastAsia"/>
          <w:b/>
          <w:bCs/>
          <w:lang w:val="en-US" w:eastAsia="zh-CN"/>
        </w:rPr>
        <w:t>（一）拆解计划书产品（先在测试环境拆解，测试完成后同步到生产环境）</w:t>
      </w:r>
    </w:p>
    <w:p>
      <w:pPr>
        <w:numPr>
          <w:ilvl w:val="0"/>
          <w:numId w:val="0"/>
        </w:numPr>
        <w:rPr>
          <w:rFonts w:hint="eastAsia"/>
          <w:lang w:val="en-US" w:eastAsia="zh-CN"/>
        </w:rPr>
      </w:pPr>
      <w:r>
        <w:rPr>
          <w:rFonts w:hint="eastAsia"/>
          <w:lang w:val="en-US" w:eastAsia="zh-CN"/>
        </w:rPr>
        <w:t>点击“产品管理”——“产品管理列表”</w:t>
      </w:r>
    </w:p>
    <w:p>
      <w:pPr>
        <w:numPr>
          <w:ilvl w:val="0"/>
          <w:numId w:val="0"/>
        </w:numPr>
      </w:pPr>
      <w:r>
        <w:drawing>
          <wp:inline distT="0" distB="0" distL="114300" distR="114300">
            <wp:extent cx="5268595" cy="3241675"/>
            <wp:effectExtent l="0" t="0" r="190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8595" cy="3241675"/>
                    </a:xfrm>
                    <a:prstGeom prst="rect">
                      <a:avLst/>
                    </a:prstGeom>
                    <a:noFill/>
                    <a:ln>
                      <a:noFill/>
                    </a:ln>
                  </pic:spPr>
                </pic:pic>
              </a:graphicData>
            </a:graphic>
          </wp:inline>
        </w:drawing>
      </w:r>
    </w:p>
    <w:p>
      <w:pPr>
        <w:numPr>
          <w:ilvl w:val="0"/>
          <w:numId w:val="0"/>
        </w:numPr>
        <w:rPr>
          <w:rFonts w:hint="default"/>
          <w:lang w:val="en-US" w:eastAsia="zh-CN"/>
        </w:rPr>
      </w:pPr>
      <w:r>
        <w:rPr>
          <w:rFonts w:hint="eastAsia"/>
          <w:lang w:val="en-US" w:eastAsia="zh-CN"/>
        </w:rPr>
        <w:t>拆解新产品时，点击产品列表旁的“新增”</w:t>
      </w:r>
    </w:p>
    <w:p>
      <w:pPr>
        <w:numPr>
          <w:ilvl w:val="0"/>
          <w:numId w:val="0"/>
        </w:numPr>
      </w:pPr>
      <w:r>
        <w:drawing>
          <wp:inline distT="0" distB="0" distL="114300" distR="114300">
            <wp:extent cx="5263515" cy="1960880"/>
            <wp:effectExtent l="0" t="0" r="6985"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3515" cy="1960880"/>
                    </a:xfrm>
                    <a:prstGeom prst="rect">
                      <a:avLst/>
                    </a:prstGeom>
                    <a:noFill/>
                    <a:ln>
                      <a:noFill/>
                    </a:ln>
                  </pic:spPr>
                </pic:pic>
              </a:graphicData>
            </a:graphic>
          </wp:inline>
        </w:drawing>
      </w:r>
    </w:p>
    <w:p>
      <w:pPr>
        <w:numPr>
          <w:ilvl w:val="0"/>
          <w:numId w:val="0"/>
        </w:numPr>
        <w:rPr>
          <w:rFonts w:hint="default"/>
          <w:lang w:val="en-US" w:eastAsia="zh-CN"/>
        </w:rPr>
      </w:pPr>
      <w:r>
        <w:rPr>
          <w:rFonts w:hint="eastAsia"/>
          <w:lang w:val="en-US" w:eastAsia="zh-CN"/>
        </w:rPr>
        <w:t>拆解产品主要分为七个步骤：基本信息—展示配置（产品工厂）—责任配置—算费配置—利益演示—投保规则—材料上传</w:t>
      </w:r>
    </w:p>
    <w:p>
      <w:pPr>
        <w:numPr>
          <w:ilvl w:val="0"/>
          <w:numId w:val="0"/>
        </w:numPr>
      </w:pPr>
      <w:r>
        <w:drawing>
          <wp:inline distT="0" distB="0" distL="114300" distR="114300">
            <wp:extent cx="5264785" cy="1525905"/>
            <wp:effectExtent l="0" t="0" r="5715"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4785" cy="1525905"/>
                    </a:xfrm>
                    <a:prstGeom prst="rect">
                      <a:avLst/>
                    </a:prstGeom>
                    <a:noFill/>
                    <a:ln>
                      <a:noFill/>
                    </a:ln>
                  </pic:spPr>
                </pic:pic>
              </a:graphicData>
            </a:graphic>
          </wp:inline>
        </w:drawing>
      </w:r>
    </w:p>
    <w:p>
      <w:pPr>
        <w:numPr>
          <w:ilvl w:val="0"/>
          <w:numId w:val="1"/>
        </w:numPr>
        <w:rPr>
          <w:rFonts w:hint="eastAsia"/>
          <w:lang w:val="en-US" w:eastAsia="zh-CN"/>
        </w:rPr>
      </w:pPr>
      <w:r>
        <w:rPr>
          <w:rFonts w:hint="eastAsia"/>
          <w:lang w:val="en-US" w:eastAsia="zh-CN"/>
        </w:rPr>
        <w:t>基本信息</w:t>
      </w:r>
    </w:p>
    <w:p>
      <w:pPr>
        <w:numPr>
          <w:ilvl w:val="0"/>
          <w:numId w:val="2"/>
        </w:numPr>
        <w:rPr>
          <w:rFonts w:hint="default"/>
          <w:lang w:val="en-US" w:eastAsia="zh-CN"/>
        </w:rPr>
      </w:pPr>
      <w:r>
        <w:rPr>
          <w:rFonts w:hint="eastAsia"/>
          <w:lang w:val="en-US" w:eastAsia="zh-CN"/>
        </w:rPr>
        <w:t>产品编码是自动生成的，其他信息都需要自己填</w:t>
      </w:r>
    </w:p>
    <w:p>
      <w:pPr>
        <w:numPr>
          <w:ilvl w:val="0"/>
          <w:numId w:val="0"/>
        </w:numPr>
      </w:pPr>
      <w:r>
        <w:drawing>
          <wp:inline distT="0" distB="0" distL="114300" distR="114300">
            <wp:extent cx="5273675" cy="3144520"/>
            <wp:effectExtent l="0" t="0" r="9525"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73675" cy="3144520"/>
                    </a:xfrm>
                    <a:prstGeom prst="rect">
                      <a:avLst/>
                    </a:prstGeom>
                    <a:noFill/>
                    <a:ln>
                      <a:noFill/>
                    </a:ln>
                  </pic:spPr>
                </pic:pic>
              </a:graphicData>
            </a:graphic>
          </wp:inline>
        </w:drawing>
      </w:r>
    </w:p>
    <w:p>
      <w:pPr>
        <w:numPr>
          <w:ilvl w:val="0"/>
          <w:numId w:val="0"/>
        </w:numPr>
        <w:rPr>
          <w:rFonts w:hint="default" w:eastAsiaTheme="minorEastAsia"/>
          <w:lang w:val="en-US" w:eastAsia="zh-CN"/>
        </w:rPr>
      </w:pPr>
      <w:r>
        <w:rPr>
          <w:rFonts w:hint="eastAsia"/>
          <w:lang w:val="en-US" w:eastAsia="zh-CN"/>
        </w:rPr>
        <w:t>2、新增的产品，“绑定数据中心产品”可以先去列表里搜索一下，没有搜索到就选择无绑定产品，再点击“确定”即可</w:t>
      </w:r>
    </w:p>
    <w:p>
      <w:pPr>
        <w:numPr>
          <w:ilvl w:val="0"/>
          <w:numId w:val="0"/>
        </w:numPr>
      </w:pPr>
      <w:r>
        <w:drawing>
          <wp:inline distT="0" distB="0" distL="114300" distR="114300">
            <wp:extent cx="5087620" cy="2440940"/>
            <wp:effectExtent l="0" t="0" r="5080" b="1016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5087620" cy="2440940"/>
                    </a:xfrm>
                    <a:prstGeom prst="rect">
                      <a:avLst/>
                    </a:prstGeom>
                    <a:noFill/>
                    <a:ln>
                      <a:noFill/>
                    </a:ln>
                  </pic:spPr>
                </pic:pic>
              </a:graphicData>
            </a:graphic>
          </wp:inline>
        </w:drawing>
      </w:r>
    </w:p>
    <w:p>
      <w:pPr>
        <w:numPr>
          <w:ilvl w:val="0"/>
          <w:numId w:val="0"/>
        </w:numPr>
        <w:rPr>
          <w:rFonts w:hint="default" w:eastAsiaTheme="minorEastAsia"/>
          <w:lang w:val="en-US" w:eastAsia="zh-CN"/>
        </w:rPr>
      </w:pPr>
      <w:r>
        <w:rPr>
          <w:rFonts w:hint="eastAsia"/>
          <w:lang w:val="en-US" w:eastAsia="zh-CN"/>
        </w:rPr>
        <w:t>3、新增的计划书产品，险种分类一般选择个险，直投产品会选择网销或是短险（具体请咨询产品经理）</w:t>
      </w:r>
    </w:p>
    <w:p>
      <w:pPr>
        <w:numPr>
          <w:ilvl w:val="0"/>
          <w:numId w:val="0"/>
        </w:numPr>
      </w:pPr>
      <w:r>
        <w:drawing>
          <wp:inline distT="0" distB="0" distL="114300" distR="114300">
            <wp:extent cx="5269230" cy="1471295"/>
            <wp:effectExtent l="0" t="0" r="127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a:stretch>
                      <a:fillRect/>
                    </a:stretch>
                  </pic:blipFill>
                  <pic:spPr>
                    <a:xfrm>
                      <a:off x="0" y="0"/>
                      <a:ext cx="5269230" cy="1471295"/>
                    </a:xfrm>
                    <a:prstGeom prst="rect">
                      <a:avLst/>
                    </a:prstGeom>
                    <a:noFill/>
                    <a:ln>
                      <a:noFill/>
                    </a:ln>
                  </pic:spPr>
                </pic:pic>
              </a:graphicData>
            </a:graphic>
          </wp:inline>
        </w:drawing>
      </w:r>
    </w:p>
    <w:p>
      <w:pPr>
        <w:numPr>
          <w:ilvl w:val="0"/>
          <w:numId w:val="0"/>
        </w:numPr>
      </w:pPr>
      <w:r>
        <w:drawing>
          <wp:inline distT="0" distB="0" distL="114300" distR="114300">
            <wp:extent cx="4947920" cy="2388870"/>
            <wp:effectExtent l="0" t="0" r="5080" b="1143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4947920" cy="2388870"/>
                    </a:xfrm>
                    <a:prstGeom prst="rect">
                      <a:avLst/>
                    </a:prstGeom>
                    <a:noFill/>
                    <a:ln>
                      <a:noFill/>
                    </a:ln>
                  </pic:spPr>
                </pic:pic>
              </a:graphicData>
            </a:graphic>
          </wp:inline>
        </w:drawing>
      </w:r>
    </w:p>
    <w:p>
      <w:pPr>
        <w:numPr>
          <w:ilvl w:val="0"/>
          <w:numId w:val="3"/>
        </w:numPr>
        <w:rPr>
          <w:rFonts w:hint="eastAsia"/>
          <w:lang w:val="en-US" w:eastAsia="zh-CN"/>
        </w:rPr>
      </w:pPr>
      <w:r>
        <w:rPr>
          <w:rFonts w:hint="eastAsia"/>
          <w:lang w:val="en-US" w:eastAsia="zh-CN"/>
        </w:rPr>
        <w:t>产品名称：根据保险条款上的全程填写，可直接复制产品条款上的名称，简称，即省略保司和险种类别，例如：产品名称为：鼎诚鼎峰鑫享终身寿险，产品简称：鼎峰鑫享</w:t>
      </w:r>
    </w:p>
    <w:p>
      <w:pPr>
        <w:widowControl w:val="0"/>
        <w:numPr>
          <w:ilvl w:val="0"/>
          <w:numId w:val="3"/>
        </w:numPr>
        <w:ind w:left="0" w:leftChars="0" w:firstLine="0" w:firstLineChars="0"/>
        <w:jc w:val="both"/>
        <w:rPr>
          <w:rFonts w:hint="default"/>
          <w:lang w:val="en-US" w:eastAsia="zh-CN"/>
        </w:rPr>
      </w:pPr>
      <w:r>
        <w:rPr>
          <w:rFonts w:hint="eastAsia"/>
          <w:lang w:val="en-US" w:eastAsia="zh-CN"/>
        </w:rPr>
        <w:t>保险公司：根据条款上注明的保司去选择</w:t>
      </w:r>
    </w:p>
    <w:p>
      <w:pPr>
        <w:widowControl w:val="0"/>
        <w:numPr>
          <w:ilvl w:val="0"/>
          <w:numId w:val="0"/>
        </w:numPr>
        <w:jc w:val="both"/>
      </w:pPr>
      <w:r>
        <w:drawing>
          <wp:inline distT="0" distB="0" distL="114300" distR="114300">
            <wp:extent cx="5267960" cy="2461260"/>
            <wp:effectExtent l="0" t="0" r="254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
                    <a:stretch>
                      <a:fillRect/>
                    </a:stretch>
                  </pic:blipFill>
                  <pic:spPr>
                    <a:xfrm>
                      <a:off x="0" y="0"/>
                      <a:ext cx="5267960" cy="2461260"/>
                    </a:xfrm>
                    <a:prstGeom prst="rect">
                      <a:avLst/>
                    </a:prstGeom>
                    <a:noFill/>
                    <a:ln>
                      <a:noFill/>
                    </a:ln>
                  </pic:spPr>
                </pic:pic>
              </a:graphicData>
            </a:graphic>
          </wp:inline>
        </w:drawing>
      </w:r>
    </w:p>
    <w:p>
      <w:pPr>
        <w:widowControl w:val="0"/>
        <w:numPr>
          <w:ilvl w:val="0"/>
          <w:numId w:val="0"/>
        </w:numPr>
        <w:jc w:val="both"/>
        <w:rPr>
          <w:rFonts w:hint="default"/>
          <w:lang w:val="en-US" w:eastAsia="zh-CN"/>
        </w:rPr>
      </w:pPr>
      <w:r>
        <w:rPr>
          <w:rFonts w:hint="eastAsia"/>
          <w:lang w:val="en-US" w:eastAsia="zh-CN"/>
        </w:rPr>
        <w:t>6、产品属性：大部分都是一般产品，夫妻互保是指夫妻两人同时投保的（如甜蜜家），家庭单是指多倍保人，夫妻互保和家庭单很少</w:t>
      </w:r>
    </w:p>
    <w:p>
      <w:pPr>
        <w:widowControl w:val="0"/>
        <w:numPr>
          <w:ilvl w:val="0"/>
          <w:numId w:val="0"/>
        </w:numPr>
        <w:jc w:val="both"/>
      </w:pPr>
      <w:r>
        <w:drawing>
          <wp:inline distT="0" distB="0" distL="114300" distR="114300">
            <wp:extent cx="5270500" cy="1330960"/>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a:stretch>
                      <a:fillRect/>
                    </a:stretch>
                  </pic:blipFill>
                  <pic:spPr>
                    <a:xfrm>
                      <a:off x="0" y="0"/>
                      <a:ext cx="5270500" cy="1330960"/>
                    </a:xfrm>
                    <a:prstGeom prst="rect">
                      <a:avLst/>
                    </a:prstGeom>
                    <a:noFill/>
                    <a:ln>
                      <a:noFill/>
                    </a:ln>
                  </pic:spPr>
                </pic:pic>
              </a:graphicData>
            </a:graphic>
          </wp:inline>
        </w:drawing>
      </w:r>
    </w:p>
    <w:p>
      <w:pPr>
        <w:widowControl w:val="0"/>
        <w:numPr>
          <w:ilvl w:val="0"/>
          <w:numId w:val="0"/>
        </w:numPr>
        <w:jc w:val="both"/>
        <w:rPr>
          <w:rFonts w:hint="default" w:eastAsiaTheme="minorEastAsia"/>
          <w:lang w:val="en-US" w:eastAsia="zh-CN"/>
        </w:rPr>
      </w:pPr>
      <w:r>
        <w:rPr>
          <w:rFonts w:hint="eastAsia"/>
          <w:lang w:val="en-US" w:eastAsia="zh-CN"/>
        </w:rPr>
        <w:t>7、推送：分为无、寿险核心和财险核心，直投用到的，一般产品就选择无，若需要配置推送到寿险和财险核心，产品经理会说的</w:t>
      </w:r>
    </w:p>
    <w:p>
      <w:pPr>
        <w:widowControl w:val="0"/>
        <w:numPr>
          <w:ilvl w:val="0"/>
          <w:numId w:val="0"/>
        </w:numPr>
        <w:ind w:leftChars="0"/>
        <w:jc w:val="both"/>
        <w:rPr>
          <w:rFonts w:hint="eastAsia"/>
          <w:lang w:val="en-US" w:eastAsia="zh-CN"/>
        </w:rPr>
      </w:pPr>
    </w:p>
    <w:p>
      <w:pPr>
        <w:widowControl w:val="0"/>
        <w:numPr>
          <w:ilvl w:val="0"/>
          <w:numId w:val="0"/>
        </w:numPr>
        <w:ind w:leftChars="0"/>
        <w:jc w:val="both"/>
        <w:rPr>
          <w:rFonts w:hint="eastAsia"/>
          <w:lang w:val="en-US" w:eastAsia="zh-CN"/>
        </w:rPr>
      </w:pPr>
    </w:p>
    <w:p>
      <w:pPr>
        <w:widowControl w:val="0"/>
        <w:numPr>
          <w:ilvl w:val="0"/>
          <w:numId w:val="0"/>
        </w:numPr>
        <w:ind w:leftChars="0"/>
        <w:jc w:val="both"/>
      </w:pPr>
      <w:r>
        <w:drawing>
          <wp:inline distT="0" distB="0" distL="114300" distR="114300">
            <wp:extent cx="5265420" cy="1301115"/>
            <wp:effectExtent l="0" t="0" r="508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5265420" cy="1301115"/>
                    </a:xfrm>
                    <a:prstGeom prst="rect">
                      <a:avLst/>
                    </a:prstGeom>
                    <a:noFill/>
                    <a:ln>
                      <a:noFill/>
                    </a:ln>
                  </pic:spPr>
                </pic:pic>
              </a:graphicData>
            </a:graphic>
          </wp:inline>
        </w:drawing>
      </w:r>
    </w:p>
    <w:p>
      <w:pPr>
        <w:widowControl w:val="0"/>
        <w:numPr>
          <w:ilvl w:val="0"/>
          <w:numId w:val="0"/>
        </w:numPr>
        <w:ind w:leftChars="0"/>
        <w:jc w:val="both"/>
        <w:rPr>
          <w:rFonts w:hint="default"/>
          <w:lang w:val="en-US" w:eastAsia="zh-CN"/>
        </w:rPr>
      </w:pPr>
      <w:r>
        <w:rPr>
          <w:rFonts w:hint="eastAsia"/>
          <w:lang w:val="en-US" w:eastAsia="zh-CN"/>
        </w:rPr>
        <w:t>8、主附险：指险种的性质，一般附加险的名称里会带有附加两字，主附险皆可是指有些险种既能当主险又可以当附加险使用，目前基本上没选过这个选项</w:t>
      </w:r>
    </w:p>
    <w:p>
      <w:pPr>
        <w:widowControl w:val="0"/>
        <w:numPr>
          <w:ilvl w:val="0"/>
          <w:numId w:val="0"/>
        </w:numPr>
        <w:ind w:leftChars="0"/>
        <w:jc w:val="both"/>
      </w:pPr>
      <w:r>
        <w:drawing>
          <wp:inline distT="0" distB="0" distL="114300" distR="114300">
            <wp:extent cx="5271135" cy="1498600"/>
            <wp:effectExtent l="0" t="0" r="1206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5271135" cy="1498600"/>
                    </a:xfrm>
                    <a:prstGeom prst="rect">
                      <a:avLst/>
                    </a:prstGeom>
                    <a:noFill/>
                    <a:ln>
                      <a:noFill/>
                    </a:ln>
                  </pic:spPr>
                </pic:pic>
              </a:graphicData>
            </a:graphic>
          </wp:inline>
        </w:drawing>
      </w:r>
    </w:p>
    <w:p>
      <w:pPr>
        <w:widowControl w:val="0"/>
        <w:numPr>
          <w:ilvl w:val="0"/>
          <w:numId w:val="4"/>
        </w:numPr>
        <w:ind w:leftChars="0"/>
        <w:jc w:val="both"/>
        <w:rPr>
          <w:rFonts w:hint="eastAsia"/>
          <w:lang w:val="en-US" w:eastAsia="zh-CN"/>
        </w:rPr>
      </w:pPr>
      <w:r>
        <w:rPr>
          <w:rFonts w:hint="eastAsia"/>
          <w:lang w:val="en-US" w:eastAsia="zh-CN"/>
        </w:rPr>
        <w:t>保额：针对有些险种保额是定值，且条款或投保规则中明确规定保额为主险或附加险首年保费才能在这里选择，一般没有规定的选择无默认值即可</w:t>
      </w:r>
    </w:p>
    <w:p>
      <w:pPr>
        <w:widowControl w:val="0"/>
        <w:numPr>
          <w:ilvl w:val="0"/>
          <w:numId w:val="0"/>
        </w:numPr>
        <w:jc w:val="both"/>
      </w:pPr>
      <w:r>
        <w:drawing>
          <wp:inline distT="0" distB="0" distL="114300" distR="114300">
            <wp:extent cx="3778250" cy="2317750"/>
            <wp:effectExtent l="0" t="0" r="635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5"/>
                    <a:stretch>
                      <a:fillRect/>
                    </a:stretch>
                  </pic:blipFill>
                  <pic:spPr>
                    <a:xfrm>
                      <a:off x="0" y="0"/>
                      <a:ext cx="3778250" cy="2317750"/>
                    </a:xfrm>
                    <a:prstGeom prst="rect">
                      <a:avLst/>
                    </a:prstGeom>
                    <a:noFill/>
                    <a:ln>
                      <a:noFill/>
                    </a:ln>
                  </pic:spPr>
                </pic:pic>
              </a:graphicData>
            </a:graphic>
          </wp:inline>
        </w:drawing>
      </w:r>
    </w:p>
    <w:p>
      <w:pPr>
        <w:widowControl w:val="0"/>
        <w:numPr>
          <w:ilvl w:val="0"/>
          <w:numId w:val="0"/>
        </w:numPr>
        <w:jc w:val="both"/>
        <w:rPr>
          <w:rFonts w:hint="default" w:eastAsiaTheme="minorEastAsia"/>
          <w:lang w:val="en-US" w:eastAsia="zh-CN"/>
        </w:rPr>
      </w:pPr>
      <w:r>
        <w:rPr>
          <w:rFonts w:hint="eastAsia"/>
          <w:lang w:val="en-US" w:eastAsia="zh-CN"/>
        </w:rPr>
        <w:t>10、险种关联类型：默认两者皆可，现在这个字段没有用到，特殊直投流程拆解时也默认选择不存在</w:t>
      </w:r>
    </w:p>
    <w:p>
      <w:pPr>
        <w:widowControl w:val="0"/>
        <w:numPr>
          <w:ilvl w:val="0"/>
          <w:numId w:val="0"/>
        </w:numPr>
        <w:jc w:val="both"/>
      </w:pPr>
      <w:r>
        <w:drawing>
          <wp:inline distT="0" distB="0" distL="114300" distR="114300">
            <wp:extent cx="5266690" cy="2189480"/>
            <wp:effectExtent l="0" t="0" r="3810"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6"/>
                    <a:stretch>
                      <a:fillRect/>
                    </a:stretch>
                  </pic:blipFill>
                  <pic:spPr>
                    <a:xfrm>
                      <a:off x="0" y="0"/>
                      <a:ext cx="5266690" cy="2189480"/>
                    </a:xfrm>
                    <a:prstGeom prst="rect">
                      <a:avLst/>
                    </a:prstGeom>
                    <a:noFill/>
                    <a:ln>
                      <a:noFill/>
                    </a:ln>
                  </pic:spPr>
                </pic:pic>
              </a:graphicData>
            </a:graphic>
          </wp:inline>
        </w:drawing>
      </w:r>
    </w:p>
    <w:p>
      <w:pPr>
        <w:widowControl w:val="0"/>
        <w:numPr>
          <w:ilvl w:val="0"/>
          <w:numId w:val="0"/>
        </w:numPr>
        <w:jc w:val="both"/>
        <w:rPr>
          <w:rFonts w:hint="default" w:eastAsiaTheme="minorEastAsia"/>
          <w:lang w:val="en-US" w:eastAsia="zh-CN"/>
        </w:rPr>
      </w:pPr>
      <w:r>
        <w:rPr>
          <w:rFonts w:hint="eastAsia"/>
          <w:lang w:val="en-US" w:eastAsia="zh-CN"/>
        </w:rPr>
        <w:t>11、销售方式：没有明确规定按份数的，一般选择按计划，计划编码是自动生成的，若产品没有可选责任，则只有一个计划，计划名称取产品名称即可；若产品有多个可选责任，可点击“添加计划”，计划名称需要按照费率表上的计划名称来确定；</w:t>
      </w:r>
      <w:r>
        <w:rPr>
          <w:rFonts w:hint="eastAsia"/>
          <w:highlight w:val="red"/>
          <w:lang w:val="en-US" w:eastAsia="zh-CN"/>
        </w:rPr>
        <w:t>对于固定保额保费的产品</w:t>
      </w:r>
      <w:r>
        <w:rPr>
          <w:rFonts w:hint="eastAsia"/>
          <w:lang w:val="en-US" w:eastAsia="zh-CN"/>
        </w:rPr>
        <w:t>（大多数医疗险），</w:t>
      </w:r>
      <w:r>
        <w:rPr>
          <w:rFonts w:hint="eastAsia"/>
          <w:highlight w:val="red"/>
          <w:lang w:val="en-US" w:eastAsia="zh-CN"/>
        </w:rPr>
        <w:t>需要填写计划保额</w:t>
      </w:r>
      <w:r>
        <w:rPr>
          <w:rFonts w:hint="eastAsia"/>
          <w:lang w:val="en-US" w:eastAsia="zh-CN"/>
        </w:rPr>
        <w:t>，即险种的总保障额度</w:t>
      </w:r>
    </w:p>
    <w:p>
      <w:pPr>
        <w:widowControl w:val="0"/>
        <w:numPr>
          <w:ilvl w:val="0"/>
          <w:numId w:val="0"/>
        </w:numPr>
        <w:jc w:val="both"/>
      </w:pPr>
      <w:r>
        <w:drawing>
          <wp:inline distT="0" distB="0" distL="114300" distR="114300">
            <wp:extent cx="5271135" cy="2403475"/>
            <wp:effectExtent l="0" t="0" r="1206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7"/>
                    <a:stretch>
                      <a:fillRect/>
                    </a:stretch>
                  </pic:blipFill>
                  <pic:spPr>
                    <a:xfrm>
                      <a:off x="0" y="0"/>
                      <a:ext cx="5271135" cy="2403475"/>
                    </a:xfrm>
                    <a:prstGeom prst="rect">
                      <a:avLst/>
                    </a:prstGeom>
                    <a:noFill/>
                    <a:ln>
                      <a:noFill/>
                    </a:ln>
                  </pic:spPr>
                </pic:pic>
              </a:graphicData>
            </a:graphic>
          </wp:inline>
        </w:drawing>
      </w:r>
    </w:p>
    <w:p>
      <w:pPr>
        <w:widowControl w:val="0"/>
        <w:numPr>
          <w:ilvl w:val="0"/>
          <w:numId w:val="5"/>
        </w:numPr>
        <w:jc w:val="both"/>
        <w:rPr>
          <w:rFonts w:hint="eastAsia"/>
          <w:lang w:val="en-US" w:eastAsia="zh-CN"/>
        </w:rPr>
      </w:pPr>
      <w:r>
        <w:rPr>
          <w:rFonts w:hint="eastAsia"/>
          <w:lang w:val="en-US" w:eastAsia="zh-CN"/>
        </w:rPr>
        <w:t>产品logo选择图片上传即可</w:t>
      </w:r>
    </w:p>
    <w:p>
      <w:pPr>
        <w:widowControl w:val="0"/>
        <w:numPr>
          <w:ilvl w:val="0"/>
          <w:numId w:val="5"/>
        </w:numPr>
        <w:jc w:val="both"/>
        <w:rPr>
          <w:rFonts w:hint="eastAsia"/>
          <w:lang w:val="en-US" w:eastAsia="zh-CN"/>
        </w:rPr>
      </w:pPr>
      <w:r>
        <w:rPr>
          <w:rFonts w:hint="eastAsia"/>
          <w:lang w:val="en-US" w:eastAsia="zh-CN"/>
        </w:rPr>
        <w:t>产品分类：根据产品名称产品类型选择即可</w:t>
      </w:r>
    </w:p>
    <w:p>
      <w:pPr>
        <w:widowControl w:val="0"/>
        <w:numPr>
          <w:ilvl w:val="0"/>
          <w:numId w:val="0"/>
        </w:numPr>
        <w:jc w:val="both"/>
      </w:pPr>
      <w:r>
        <w:drawing>
          <wp:inline distT="0" distB="0" distL="114300" distR="114300">
            <wp:extent cx="5273675" cy="1660525"/>
            <wp:effectExtent l="0" t="0" r="9525"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8"/>
                    <a:stretch>
                      <a:fillRect/>
                    </a:stretch>
                  </pic:blipFill>
                  <pic:spPr>
                    <a:xfrm>
                      <a:off x="0" y="0"/>
                      <a:ext cx="5273675" cy="1660525"/>
                    </a:xfrm>
                    <a:prstGeom prst="rect">
                      <a:avLst/>
                    </a:prstGeom>
                    <a:noFill/>
                    <a:ln>
                      <a:noFill/>
                    </a:ln>
                  </pic:spPr>
                </pic:pic>
              </a:graphicData>
            </a:graphic>
          </wp:inline>
        </w:drawing>
      </w:r>
    </w:p>
    <w:p>
      <w:pPr>
        <w:widowControl w:val="0"/>
        <w:numPr>
          <w:ilvl w:val="0"/>
          <w:numId w:val="0"/>
        </w:numPr>
        <w:jc w:val="both"/>
        <w:rPr>
          <w:rFonts w:hint="default" w:eastAsiaTheme="minorEastAsia"/>
          <w:lang w:val="en-US" w:eastAsia="zh-CN"/>
        </w:rPr>
      </w:pPr>
      <w:r>
        <w:rPr>
          <w:rFonts w:hint="eastAsia"/>
          <w:lang w:val="en-US" w:eastAsia="zh-CN"/>
        </w:rPr>
        <w:t>14、特殊属性：一般产品都选择无，万能险和转换年金目前只泰康产品开放，其他公司的产品还没开发</w:t>
      </w:r>
    </w:p>
    <w:p>
      <w:pPr>
        <w:widowControl w:val="0"/>
        <w:numPr>
          <w:ilvl w:val="0"/>
          <w:numId w:val="0"/>
        </w:numPr>
        <w:jc w:val="both"/>
      </w:pPr>
      <w:r>
        <w:drawing>
          <wp:inline distT="0" distB="0" distL="114300" distR="114300">
            <wp:extent cx="5265420" cy="1864360"/>
            <wp:effectExtent l="0" t="0" r="508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9"/>
                    <a:stretch>
                      <a:fillRect/>
                    </a:stretch>
                  </pic:blipFill>
                  <pic:spPr>
                    <a:xfrm>
                      <a:off x="0" y="0"/>
                      <a:ext cx="5265420" cy="1864360"/>
                    </a:xfrm>
                    <a:prstGeom prst="rect">
                      <a:avLst/>
                    </a:prstGeom>
                    <a:noFill/>
                    <a:ln>
                      <a:noFill/>
                    </a:ln>
                  </pic:spPr>
                </pic:pic>
              </a:graphicData>
            </a:graphic>
          </wp:inline>
        </w:drawing>
      </w:r>
    </w:p>
    <w:p>
      <w:pPr>
        <w:widowControl w:val="0"/>
        <w:numPr>
          <w:ilvl w:val="0"/>
          <w:numId w:val="0"/>
        </w:numPr>
        <w:jc w:val="both"/>
        <w:rPr>
          <w:rFonts w:hint="eastAsia"/>
          <w:lang w:val="en-US" w:eastAsia="zh-CN"/>
        </w:rPr>
      </w:pPr>
      <w:r>
        <w:rPr>
          <w:rFonts w:hint="eastAsia"/>
          <w:lang w:val="en-US" w:eastAsia="zh-CN"/>
        </w:rPr>
        <w:t>以上基本信息填完之后，选择“下一步”</w:t>
      </w:r>
    </w:p>
    <w:p>
      <w:pPr>
        <w:widowControl w:val="0"/>
        <w:numPr>
          <w:ilvl w:val="0"/>
          <w:numId w:val="1"/>
        </w:numPr>
        <w:ind w:left="0" w:leftChars="0" w:firstLine="0" w:firstLineChars="0"/>
        <w:jc w:val="both"/>
        <w:rPr>
          <w:rFonts w:hint="eastAsia"/>
          <w:lang w:val="en-US" w:eastAsia="zh-CN"/>
        </w:rPr>
      </w:pPr>
      <w:r>
        <w:rPr>
          <w:rFonts w:hint="eastAsia"/>
          <w:lang w:val="en-US" w:eastAsia="zh-CN"/>
        </w:rPr>
        <w:t>展示配置（新开发的功能，还在测试中）</w:t>
      </w:r>
    </w:p>
    <w:p>
      <w:pPr>
        <w:widowControl w:val="0"/>
        <w:numPr>
          <w:ilvl w:val="0"/>
          <w:numId w:val="0"/>
        </w:numPr>
        <w:ind w:leftChars="0"/>
        <w:jc w:val="both"/>
        <w:rPr>
          <w:rFonts w:hint="eastAsia"/>
          <w:lang w:val="en-US" w:eastAsia="zh-CN"/>
        </w:rPr>
      </w:pPr>
      <w:r>
        <w:rPr>
          <w:rFonts w:hint="eastAsia"/>
          <w:lang w:val="en-US" w:eastAsia="zh-CN"/>
        </w:rPr>
        <w:t>必填项：渠道分类、投保年龄和保险期间可以根据投保规则内容填写</w:t>
      </w:r>
    </w:p>
    <w:p>
      <w:pPr>
        <w:widowControl w:val="0"/>
        <w:numPr>
          <w:ilvl w:val="0"/>
          <w:numId w:val="0"/>
        </w:numPr>
        <w:ind w:leftChars="0"/>
        <w:jc w:val="both"/>
        <w:rPr>
          <w:rFonts w:hint="eastAsia"/>
          <w:lang w:val="en-US" w:eastAsia="zh-CN"/>
        </w:rPr>
      </w:pPr>
      <w:r>
        <w:rPr>
          <w:rFonts w:hint="eastAsia"/>
          <w:lang w:val="en-US" w:eastAsia="zh-CN"/>
        </w:rPr>
        <w:t>Banner图和长图根据资料上传</w:t>
      </w:r>
    </w:p>
    <w:p>
      <w:pPr>
        <w:widowControl w:val="0"/>
        <w:numPr>
          <w:ilvl w:val="0"/>
          <w:numId w:val="0"/>
        </w:numPr>
        <w:ind w:leftChars="0"/>
        <w:jc w:val="both"/>
        <w:rPr>
          <w:rFonts w:hint="default"/>
          <w:lang w:val="en-US" w:eastAsia="zh-CN"/>
        </w:rPr>
      </w:pPr>
      <w:r>
        <w:rPr>
          <w:rFonts w:hint="eastAsia"/>
          <w:lang w:val="en-US" w:eastAsia="zh-CN"/>
        </w:rPr>
        <w:t>分享配置选择需要分享的方式就行</w:t>
      </w:r>
    </w:p>
    <w:p>
      <w:pPr>
        <w:widowControl w:val="0"/>
        <w:numPr>
          <w:ilvl w:val="0"/>
          <w:numId w:val="0"/>
        </w:numPr>
        <w:ind w:leftChars="0"/>
        <w:jc w:val="both"/>
      </w:pPr>
      <w:r>
        <w:drawing>
          <wp:inline distT="0" distB="0" distL="114300" distR="114300">
            <wp:extent cx="5272405" cy="1982470"/>
            <wp:effectExtent l="0" t="0" r="10795" b="1143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0"/>
                    <a:stretch>
                      <a:fillRect/>
                    </a:stretch>
                  </pic:blipFill>
                  <pic:spPr>
                    <a:xfrm>
                      <a:off x="0" y="0"/>
                      <a:ext cx="5272405" cy="1982470"/>
                    </a:xfrm>
                    <a:prstGeom prst="rect">
                      <a:avLst/>
                    </a:prstGeom>
                    <a:noFill/>
                    <a:ln>
                      <a:noFill/>
                    </a:ln>
                  </pic:spPr>
                </pic:pic>
              </a:graphicData>
            </a:graphic>
          </wp:inline>
        </w:drawing>
      </w:r>
    </w:p>
    <w:p>
      <w:pPr>
        <w:widowControl w:val="0"/>
        <w:numPr>
          <w:ilvl w:val="0"/>
          <w:numId w:val="0"/>
        </w:numPr>
        <w:ind w:leftChars="0"/>
        <w:jc w:val="both"/>
        <w:rPr>
          <w:rFonts w:hint="eastAsia"/>
          <w:lang w:val="en-US" w:eastAsia="zh-CN"/>
        </w:rPr>
      </w:pPr>
      <w:r>
        <w:rPr>
          <w:rFonts w:hint="eastAsia"/>
          <w:lang w:val="en-US" w:eastAsia="zh-CN"/>
        </w:rPr>
        <w:t>展示配置填完后，选择下一步</w:t>
      </w:r>
    </w:p>
    <w:p>
      <w:pPr>
        <w:widowControl w:val="0"/>
        <w:numPr>
          <w:ilvl w:val="0"/>
          <w:numId w:val="0"/>
        </w:numPr>
        <w:ind w:leftChars="0"/>
        <w:jc w:val="both"/>
        <w:rPr>
          <w:rFonts w:hint="default"/>
          <w:lang w:val="en-US" w:eastAsia="zh-CN"/>
        </w:rPr>
      </w:pPr>
      <w:r>
        <w:rPr>
          <w:rFonts w:hint="eastAsia"/>
          <w:lang w:val="en-US" w:eastAsia="zh-CN"/>
        </w:rPr>
        <w:t>三、责任配置，点击“新增”，条款上有几条责任就新增几条</w:t>
      </w:r>
    </w:p>
    <w:p>
      <w:pPr>
        <w:widowControl w:val="0"/>
        <w:numPr>
          <w:ilvl w:val="0"/>
          <w:numId w:val="0"/>
        </w:numPr>
        <w:ind w:leftChars="0"/>
        <w:jc w:val="both"/>
      </w:pPr>
      <w:r>
        <w:drawing>
          <wp:inline distT="0" distB="0" distL="114300" distR="114300">
            <wp:extent cx="5264785" cy="2407920"/>
            <wp:effectExtent l="0" t="0" r="5715" b="508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1"/>
                    <a:stretch>
                      <a:fillRect/>
                    </a:stretch>
                  </pic:blipFill>
                  <pic:spPr>
                    <a:xfrm>
                      <a:off x="0" y="0"/>
                      <a:ext cx="5264785" cy="2407920"/>
                    </a:xfrm>
                    <a:prstGeom prst="rect">
                      <a:avLst/>
                    </a:prstGeom>
                    <a:noFill/>
                    <a:ln>
                      <a:noFill/>
                    </a:ln>
                  </pic:spPr>
                </pic:pic>
              </a:graphicData>
            </a:graphic>
          </wp:inline>
        </w:drawing>
      </w:r>
    </w:p>
    <w:p>
      <w:pPr>
        <w:widowControl w:val="0"/>
        <w:numPr>
          <w:ilvl w:val="0"/>
          <w:numId w:val="0"/>
        </w:numPr>
        <w:ind w:leftChars="0"/>
        <w:jc w:val="both"/>
        <w:rPr>
          <w:rFonts w:hint="default"/>
          <w:lang w:val="en-US" w:eastAsia="zh-CN"/>
        </w:rPr>
      </w:pPr>
      <w:r>
        <w:rPr>
          <w:rFonts w:hint="eastAsia"/>
          <w:lang w:val="en-US" w:eastAsia="zh-CN"/>
        </w:rPr>
        <w:t>1、责任编码是自动生成的，保障分类根据责任名称来选择，保障分类有健康保障（重疾险）、医疗保障（医疗险）、身故保障、伤残保障（寿险、意外）、固定领取（年金险）、保费豁免（豁免险）</w:t>
      </w:r>
    </w:p>
    <w:p>
      <w:pPr>
        <w:widowControl w:val="0"/>
        <w:numPr>
          <w:ilvl w:val="0"/>
          <w:numId w:val="0"/>
        </w:numPr>
        <w:ind w:leftChars="0"/>
        <w:jc w:val="both"/>
      </w:pPr>
      <w:r>
        <w:drawing>
          <wp:inline distT="0" distB="0" distL="114300" distR="114300">
            <wp:extent cx="5273675" cy="2663190"/>
            <wp:effectExtent l="0" t="0" r="9525"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2"/>
                    <a:stretch>
                      <a:fillRect/>
                    </a:stretch>
                  </pic:blipFill>
                  <pic:spPr>
                    <a:xfrm>
                      <a:off x="0" y="0"/>
                      <a:ext cx="5273675" cy="2663190"/>
                    </a:xfrm>
                    <a:prstGeom prst="rect">
                      <a:avLst/>
                    </a:prstGeom>
                    <a:noFill/>
                    <a:ln>
                      <a:noFill/>
                    </a:ln>
                  </pic:spPr>
                </pic:pic>
              </a:graphicData>
            </a:graphic>
          </wp:inline>
        </w:drawing>
      </w:r>
    </w:p>
    <w:p>
      <w:pPr>
        <w:widowControl w:val="0"/>
        <w:numPr>
          <w:ilvl w:val="0"/>
          <w:numId w:val="2"/>
        </w:numPr>
        <w:ind w:left="0" w:leftChars="0" w:firstLine="0" w:firstLineChars="0"/>
        <w:jc w:val="both"/>
        <w:rPr>
          <w:rFonts w:hint="eastAsia"/>
          <w:lang w:val="en-US" w:eastAsia="zh-CN"/>
        </w:rPr>
      </w:pPr>
      <w:r>
        <w:rPr>
          <w:rFonts w:hint="eastAsia"/>
          <w:lang w:val="en-US" w:eastAsia="zh-CN"/>
        </w:rPr>
        <w:t>一级责任分类：重疾、医疗、意外、寿险、年金险、财产险、豁免根据保障分类来选择</w:t>
      </w:r>
    </w:p>
    <w:p>
      <w:pPr>
        <w:widowControl w:val="0"/>
        <w:numPr>
          <w:ilvl w:val="0"/>
          <w:numId w:val="0"/>
        </w:numPr>
        <w:ind w:leftChars="0"/>
        <w:jc w:val="both"/>
        <w:rPr>
          <w:rFonts w:hint="default"/>
          <w:lang w:val="en-US" w:eastAsia="zh-CN"/>
        </w:rPr>
      </w:pPr>
      <w:r>
        <w:rPr>
          <w:rFonts w:hint="eastAsia"/>
          <w:lang w:val="en-US" w:eastAsia="zh-CN"/>
        </w:rPr>
        <w:t xml:space="preserve">   二级责任分类：根据一级责任分类去选择</w:t>
      </w:r>
    </w:p>
    <w:p>
      <w:pPr>
        <w:widowControl w:val="0"/>
        <w:numPr>
          <w:ilvl w:val="0"/>
          <w:numId w:val="0"/>
        </w:numPr>
        <w:ind w:leftChars="0"/>
        <w:jc w:val="both"/>
      </w:pPr>
      <w:r>
        <w:drawing>
          <wp:inline distT="0" distB="0" distL="114300" distR="114300">
            <wp:extent cx="5273675" cy="2872740"/>
            <wp:effectExtent l="0" t="0" r="9525" b="1016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3"/>
                    <a:stretch>
                      <a:fillRect/>
                    </a:stretch>
                  </pic:blipFill>
                  <pic:spPr>
                    <a:xfrm>
                      <a:off x="0" y="0"/>
                      <a:ext cx="5273675" cy="2872740"/>
                    </a:xfrm>
                    <a:prstGeom prst="rect">
                      <a:avLst/>
                    </a:prstGeom>
                    <a:noFill/>
                    <a:ln>
                      <a:noFill/>
                    </a:ln>
                  </pic:spPr>
                </pic:pic>
              </a:graphicData>
            </a:graphic>
          </wp:inline>
        </w:drawing>
      </w:r>
    </w:p>
    <w:p>
      <w:pPr>
        <w:widowControl w:val="0"/>
        <w:numPr>
          <w:ilvl w:val="0"/>
          <w:numId w:val="0"/>
        </w:numPr>
        <w:ind w:leftChars="0"/>
        <w:jc w:val="both"/>
        <w:rPr>
          <w:rFonts w:hint="default"/>
          <w:lang w:val="en-US" w:eastAsia="zh-CN"/>
        </w:rPr>
      </w:pPr>
      <w:r>
        <w:rPr>
          <w:rFonts w:hint="eastAsia"/>
          <w:lang w:val="en-US" w:eastAsia="zh-CN"/>
        </w:rPr>
        <w:t>3、责任名称：复制产品条款上的责任名称即可，责任保额单位为万元，责任特色是责任描述，这个描述内容最好跟保险师的内容保持一致</w:t>
      </w:r>
    </w:p>
    <w:p>
      <w:pPr>
        <w:widowControl w:val="0"/>
        <w:numPr>
          <w:ilvl w:val="0"/>
          <w:numId w:val="0"/>
        </w:numPr>
        <w:ind w:leftChars="0"/>
        <w:jc w:val="both"/>
      </w:pPr>
      <w:r>
        <w:drawing>
          <wp:inline distT="0" distB="0" distL="114300" distR="114300">
            <wp:extent cx="5268595" cy="3411855"/>
            <wp:effectExtent l="0" t="0" r="1905"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4"/>
                    <a:stretch>
                      <a:fillRect/>
                    </a:stretch>
                  </pic:blipFill>
                  <pic:spPr>
                    <a:xfrm>
                      <a:off x="0" y="0"/>
                      <a:ext cx="5268595" cy="3411855"/>
                    </a:xfrm>
                    <a:prstGeom prst="rect">
                      <a:avLst/>
                    </a:prstGeom>
                    <a:noFill/>
                    <a:ln>
                      <a:noFill/>
                    </a:ln>
                  </pic:spPr>
                </pic:pic>
              </a:graphicData>
            </a:graphic>
          </wp:inline>
        </w:drawing>
      </w:r>
    </w:p>
    <w:p>
      <w:pPr>
        <w:widowControl w:val="0"/>
        <w:numPr>
          <w:ilvl w:val="0"/>
          <w:numId w:val="2"/>
        </w:numPr>
        <w:ind w:left="0" w:leftChars="0" w:firstLine="0" w:firstLineChars="0"/>
        <w:jc w:val="both"/>
        <w:rPr>
          <w:rFonts w:hint="eastAsia"/>
          <w:lang w:val="en-US" w:eastAsia="zh-CN"/>
        </w:rPr>
      </w:pPr>
      <w:r>
        <w:rPr>
          <w:rFonts w:hint="eastAsia"/>
          <w:lang w:val="en-US" w:eastAsia="zh-CN"/>
        </w:rPr>
        <w:t>演示公式：根据不同的限制条件，一条条的配置，点击“添加”即可新增一条</w:t>
      </w:r>
    </w:p>
    <w:p>
      <w:pPr>
        <w:widowControl w:val="0"/>
        <w:numPr>
          <w:ilvl w:val="0"/>
          <w:numId w:val="0"/>
        </w:numPr>
        <w:ind w:leftChars="0"/>
        <w:jc w:val="both"/>
        <w:rPr>
          <w:rFonts w:hint="default"/>
          <w:lang w:val="en-US" w:eastAsia="zh-CN"/>
        </w:rPr>
      </w:pPr>
      <w:r>
        <w:rPr>
          <w:rFonts w:hint="eastAsia"/>
          <w:lang w:val="en-US" w:eastAsia="zh-CN"/>
        </w:rPr>
        <w:t>根据责任描述，可以选择条件型（需要限制年龄、交费期间、保单年度或是保障计划）、非条件型（无限制条件）和SQL语句（复杂的可以询问开发）</w:t>
      </w:r>
    </w:p>
    <w:p>
      <w:pPr>
        <w:widowControl w:val="0"/>
        <w:numPr>
          <w:ilvl w:val="0"/>
          <w:numId w:val="0"/>
        </w:numPr>
        <w:ind w:leftChars="0"/>
        <w:jc w:val="both"/>
      </w:pPr>
      <w:r>
        <w:drawing>
          <wp:inline distT="0" distB="0" distL="114300" distR="114300">
            <wp:extent cx="5270500" cy="2105660"/>
            <wp:effectExtent l="0" t="0" r="0" b="254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5"/>
                    <a:stretch>
                      <a:fillRect/>
                    </a:stretch>
                  </pic:blipFill>
                  <pic:spPr>
                    <a:xfrm>
                      <a:off x="0" y="0"/>
                      <a:ext cx="5270500" cy="2105660"/>
                    </a:xfrm>
                    <a:prstGeom prst="rect">
                      <a:avLst/>
                    </a:prstGeom>
                    <a:noFill/>
                    <a:ln>
                      <a:noFill/>
                    </a:ln>
                  </pic:spPr>
                </pic:pic>
              </a:graphicData>
            </a:graphic>
          </wp:inline>
        </w:drawing>
      </w:r>
    </w:p>
    <w:p>
      <w:pPr>
        <w:widowControl w:val="0"/>
        <w:numPr>
          <w:ilvl w:val="0"/>
          <w:numId w:val="0"/>
        </w:numPr>
        <w:ind w:leftChars="0"/>
        <w:jc w:val="both"/>
      </w:pPr>
      <w:r>
        <w:drawing>
          <wp:inline distT="0" distB="0" distL="114300" distR="114300">
            <wp:extent cx="5267960" cy="2674620"/>
            <wp:effectExtent l="0" t="0" r="2540" b="508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6"/>
                    <a:stretch>
                      <a:fillRect/>
                    </a:stretch>
                  </pic:blipFill>
                  <pic:spPr>
                    <a:xfrm>
                      <a:off x="0" y="0"/>
                      <a:ext cx="5267960" cy="2674620"/>
                    </a:xfrm>
                    <a:prstGeom prst="rect">
                      <a:avLst/>
                    </a:prstGeom>
                    <a:noFill/>
                    <a:ln>
                      <a:noFill/>
                    </a:ln>
                  </pic:spPr>
                </pic:pic>
              </a:graphicData>
            </a:graphic>
          </wp:inline>
        </w:drawing>
      </w:r>
    </w:p>
    <w:p>
      <w:pPr>
        <w:widowControl w:val="0"/>
        <w:numPr>
          <w:ilvl w:val="0"/>
          <w:numId w:val="1"/>
        </w:numPr>
        <w:ind w:left="0" w:leftChars="0" w:firstLine="0" w:firstLineChars="0"/>
        <w:jc w:val="both"/>
        <w:rPr>
          <w:rFonts w:hint="eastAsia"/>
          <w:lang w:val="en-US" w:eastAsia="zh-CN"/>
        </w:rPr>
      </w:pPr>
      <w:r>
        <w:rPr>
          <w:rFonts w:hint="eastAsia"/>
          <w:lang w:val="en-US" w:eastAsia="zh-CN"/>
        </w:rPr>
        <w:t>算费配置</w:t>
      </w:r>
    </w:p>
    <w:p>
      <w:pPr>
        <w:widowControl w:val="0"/>
        <w:numPr>
          <w:ilvl w:val="0"/>
          <w:numId w:val="6"/>
        </w:numPr>
        <w:ind w:leftChars="0"/>
        <w:jc w:val="both"/>
        <w:rPr>
          <w:rFonts w:hint="eastAsia"/>
          <w:lang w:val="en-US" w:eastAsia="zh-CN"/>
        </w:rPr>
      </w:pPr>
      <w:r>
        <w:rPr>
          <w:rFonts w:hint="eastAsia"/>
          <w:lang w:val="en-US" w:eastAsia="zh-CN"/>
        </w:rPr>
        <w:t>计算方式：保额算保费、保费算保额、保额保费固定、保费算保费、仅适用于托管产品</w:t>
      </w:r>
    </w:p>
    <w:p>
      <w:pPr>
        <w:widowControl w:val="0"/>
        <w:numPr>
          <w:ilvl w:val="0"/>
          <w:numId w:val="0"/>
        </w:numPr>
        <w:jc w:val="both"/>
        <w:rPr>
          <w:rFonts w:hint="eastAsia"/>
          <w:lang w:val="en-US" w:eastAsia="zh-CN"/>
        </w:rPr>
      </w:pPr>
      <w:r>
        <w:rPr>
          <w:rFonts w:hint="eastAsia"/>
          <w:lang w:val="en-US" w:eastAsia="zh-CN"/>
        </w:rPr>
        <w:t>计算方式根据费率表上的换算比例选择，一般来说大部分医疗险都是保额保费固定</w:t>
      </w:r>
    </w:p>
    <w:p>
      <w:pPr>
        <w:widowControl w:val="0"/>
        <w:numPr>
          <w:ilvl w:val="0"/>
          <w:numId w:val="0"/>
        </w:numPr>
        <w:jc w:val="both"/>
        <w:rPr>
          <w:rFonts w:hint="eastAsia"/>
          <w:lang w:val="en-US" w:eastAsia="zh-CN"/>
        </w:rPr>
      </w:pPr>
      <w:r>
        <w:rPr>
          <w:rFonts w:hint="eastAsia"/>
          <w:lang w:val="en-US" w:eastAsia="zh-CN"/>
        </w:rPr>
        <w:t>保费算保费是万能账户才会选择的，万能账户没有费率表</w:t>
      </w:r>
    </w:p>
    <w:p>
      <w:pPr>
        <w:widowControl w:val="0"/>
        <w:numPr>
          <w:ilvl w:val="0"/>
          <w:numId w:val="0"/>
        </w:numPr>
        <w:jc w:val="both"/>
        <w:rPr>
          <w:rFonts w:hint="eastAsia"/>
          <w:lang w:val="en-US" w:eastAsia="zh-CN"/>
        </w:rPr>
      </w:pPr>
      <w:r>
        <w:rPr>
          <w:rFonts w:hint="eastAsia"/>
          <w:lang w:val="en-US" w:eastAsia="zh-CN"/>
        </w:rPr>
        <w:t>仅适用于托管产品：拆解托管产品时选择的</w:t>
      </w:r>
    </w:p>
    <w:p>
      <w:pPr>
        <w:widowControl w:val="0"/>
        <w:numPr>
          <w:ilvl w:val="0"/>
          <w:numId w:val="0"/>
        </w:numPr>
        <w:jc w:val="both"/>
        <w:rPr>
          <w:rFonts w:hint="default"/>
          <w:lang w:val="en-US" w:eastAsia="zh-CN"/>
        </w:rPr>
      </w:pPr>
    </w:p>
    <w:p>
      <w:pPr>
        <w:widowControl w:val="0"/>
        <w:numPr>
          <w:ilvl w:val="0"/>
          <w:numId w:val="0"/>
        </w:numPr>
        <w:ind w:leftChars="0"/>
        <w:jc w:val="both"/>
      </w:pPr>
      <w:r>
        <w:drawing>
          <wp:inline distT="0" distB="0" distL="114300" distR="114300">
            <wp:extent cx="5270500" cy="3274060"/>
            <wp:effectExtent l="0" t="0" r="0" b="254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7"/>
                    <a:stretch>
                      <a:fillRect/>
                    </a:stretch>
                  </pic:blipFill>
                  <pic:spPr>
                    <a:xfrm>
                      <a:off x="0" y="0"/>
                      <a:ext cx="5270500" cy="3274060"/>
                    </a:xfrm>
                    <a:prstGeom prst="rect">
                      <a:avLst/>
                    </a:prstGeom>
                    <a:noFill/>
                    <a:ln>
                      <a:noFill/>
                    </a:ln>
                  </pic:spPr>
                </pic:pic>
              </a:graphicData>
            </a:graphic>
          </wp:inline>
        </w:drawing>
      </w:r>
    </w:p>
    <w:p>
      <w:pPr>
        <w:widowControl w:val="0"/>
        <w:numPr>
          <w:ilvl w:val="0"/>
          <w:numId w:val="0"/>
        </w:numPr>
        <w:ind w:leftChars="0"/>
        <w:jc w:val="both"/>
        <w:rPr>
          <w:rFonts w:hint="default"/>
          <w:lang w:val="en-US" w:eastAsia="zh-CN"/>
        </w:rPr>
      </w:pPr>
      <w:r>
        <w:rPr>
          <w:rFonts w:hint="eastAsia"/>
          <w:lang w:val="en-US" w:eastAsia="zh-CN"/>
        </w:rPr>
        <w:t>2、交费频率：一般选择年交，有些产品需要选择月交，在方框里填入费率表上标明的系数就行</w:t>
      </w:r>
    </w:p>
    <w:p>
      <w:pPr>
        <w:widowControl w:val="0"/>
        <w:numPr>
          <w:ilvl w:val="0"/>
          <w:numId w:val="0"/>
        </w:numPr>
        <w:ind w:leftChars="0"/>
        <w:jc w:val="both"/>
      </w:pPr>
      <w:r>
        <w:drawing>
          <wp:inline distT="0" distB="0" distL="114300" distR="114300">
            <wp:extent cx="5266690" cy="2591435"/>
            <wp:effectExtent l="0" t="0" r="3810" b="12065"/>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28"/>
                    <a:stretch>
                      <a:fillRect/>
                    </a:stretch>
                  </pic:blipFill>
                  <pic:spPr>
                    <a:xfrm>
                      <a:off x="0" y="0"/>
                      <a:ext cx="5266690" cy="2591435"/>
                    </a:xfrm>
                    <a:prstGeom prst="rect">
                      <a:avLst/>
                    </a:prstGeom>
                    <a:noFill/>
                    <a:ln>
                      <a:noFill/>
                    </a:ln>
                  </pic:spPr>
                </pic:pic>
              </a:graphicData>
            </a:graphic>
          </wp:inline>
        </w:drawing>
      </w:r>
    </w:p>
    <w:p>
      <w:pPr>
        <w:widowControl w:val="0"/>
        <w:numPr>
          <w:ilvl w:val="0"/>
          <w:numId w:val="0"/>
        </w:numPr>
        <w:ind w:leftChars="0"/>
        <w:jc w:val="both"/>
        <w:rPr>
          <w:rFonts w:hint="default"/>
          <w:lang w:val="en-US" w:eastAsia="zh-CN"/>
        </w:rPr>
      </w:pPr>
      <w:r>
        <w:rPr>
          <w:rFonts w:hint="eastAsia"/>
          <w:lang w:val="en-US" w:eastAsia="zh-CN"/>
        </w:rPr>
        <w:t>3、换算比例：在费率表上去寻找，例如1000元保额，则计算方式为保额算保费，换算比例为1000元；1000元保费，则计算方式为保费算保额，换算比例为1000元</w:t>
      </w:r>
    </w:p>
    <w:p>
      <w:pPr>
        <w:widowControl w:val="0"/>
        <w:numPr>
          <w:ilvl w:val="0"/>
          <w:numId w:val="0"/>
        </w:numPr>
        <w:ind w:leftChars="0"/>
        <w:jc w:val="both"/>
      </w:pPr>
      <w:r>
        <w:drawing>
          <wp:inline distT="0" distB="0" distL="114300" distR="114300">
            <wp:extent cx="5271135" cy="2630170"/>
            <wp:effectExtent l="0" t="0" r="12065" b="11430"/>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29"/>
                    <a:stretch>
                      <a:fillRect/>
                    </a:stretch>
                  </pic:blipFill>
                  <pic:spPr>
                    <a:xfrm>
                      <a:off x="0" y="0"/>
                      <a:ext cx="5271135" cy="2630170"/>
                    </a:xfrm>
                    <a:prstGeom prst="rect">
                      <a:avLst/>
                    </a:prstGeom>
                    <a:noFill/>
                    <a:ln>
                      <a:noFill/>
                    </a:ln>
                  </pic:spPr>
                </pic:pic>
              </a:graphicData>
            </a:graphic>
          </wp:inline>
        </w:drawing>
      </w:r>
    </w:p>
    <w:p>
      <w:pPr>
        <w:widowControl w:val="0"/>
        <w:numPr>
          <w:ilvl w:val="0"/>
          <w:numId w:val="0"/>
        </w:numPr>
        <w:ind w:leftChars="0"/>
        <w:jc w:val="both"/>
        <w:rPr>
          <w:rFonts w:hint="default"/>
          <w:lang w:val="en-US" w:eastAsia="zh-CN"/>
        </w:rPr>
      </w:pPr>
      <w:r>
        <w:rPr>
          <w:rFonts w:hint="eastAsia"/>
          <w:lang w:val="en-US" w:eastAsia="zh-CN"/>
        </w:rPr>
        <w:t>4、费率表导入：先选择文件类型，现在的费率表格式都是坐标系型，具体格式见excel表格。选择文件类型后——点击上传——保存</w:t>
      </w:r>
    </w:p>
    <w:p>
      <w:pPr>
        <w:widowControl w:val="0"/>
        <w:numPr>
          <w:ilvl w:val="0"/>
          <w:numId w:val="0"/>
        </w:numPr>
        <w:ind w:leftChars="0"/>
        <w:jc w:val="both"/>
      </w:pPr>
      <w:r>
        <w:drawing>
          <wp:inline distT="0" distB="0" distL="114300" distR="114300">
            <wp:extent cx="5266690" cy="2956560"/>
            <wp:effectExtent l="0" t="0" r="3810" b="2540"/>
            <wp:docPr id="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pic:cNvPicPr>
                      <a:picLocks noChangeAspect="1"/>
                    </pic:cNvPicPr>
                  </pic:nvPicPr>
                  <pic:blipFill>
                    <a:blip r:embed="rId30"/>
                    <a:stretch>
                      <a:fillRect/>
                    </a:stretch>
                  </pic:blipFill>
                  <pic:spPr>
                    <a:xfrm>
                      <a:off x="0" y="0"/>
                      <a:ext cx="5266690" cy="2956560"/>
                    </a:xfrm>
                    <a:prstGeom prst="rect">
                      <a:avLst/>
                    </a:prstGeom>
                    <a:noFill/>
                    <a:ln>
                      <a:noFill/>
                    </a:ln>
                  </pic:spPr>
                </pic:pic>
              </a:graphicData>
            </a:graphic>
          </wp:inline>
        </w:drawing>
      </w:r>
    </w:p>
    <w:p>
      <w:pPr>
        <w:widowControl w:val="0"/>
        <w:numPr>
          <w:numId w:val="0"/>
        </w:numPr>
        <w:ind w:leftChars="0"/>
        <w:jc w:val="both"/>
        <w:rPr>
          <w:rFonts w:hint="eastAsia"/>
          <w:lang w:val="en-US" w:eastAsia="zh-CN"/>
        </w:rPr>
      </w:pPr>
      <w:r>
        <w:rPr>
          <w:rFonts w:hint="eastAsia"/>
          <w:lang w:val="en-US" w:eastAsia="zh-CN"/>
        </w:rPr>
        <w:t>五、利益演示</w:t>
      </w:r>
    </w:p>
    <w:p>
      <w:pPr>
        <w:widowControl w:val="0"/>
        <w:numPr>
          <w:numId w:val="0"/>
        </w:numPr>
        <w:ind w:leftChars="0"/>
        <w:jc w:val="both"/>
        <w:rPr>
          <w:rFonts w:hint="eastAsia"/>
          <w:lang w:val="en-US" w:eastAsia="zh-CN"/>
        </w:rPr>
      </w:pPr>
      <w:r>
        <w:rPr>
          <w:rFonts w:hint="eastAsia"/>
          <w:lang w:val="en-US" w:eastAsia="zh-CN"/>
        </w:rPr>
        <w:t>1、是否展示利益演示：除了万能账户和豁免险，一般产品都要选择展示，这个利益演示来源于责任下配置的演示公式</w:t>
      </w:r>
    </w:p>
    <w:p>
      <w:pPr>
        <w:widowControl w:val="0"/>
        <w:numPr>
          <w:numId w:val="0"/>
        </w:numPr>
        <w:ind w:leftChars="0"/>
        <w:jc w:val="both"/>
        <w:rPr>
          <w:rFonts w:hint="eastAsia"/>
          <w:lang w:val="en-US" w:eastAsia="zh-CN"/>
        </w:rPr>
      </w:pPr>
      <w:r>
        <w:rPr>
          <w:rFonts w:hint="eastAsia"/>
          <w:lang w:val="en-US" w:eastAsia="zh-CN"/>
        </w:rPr>
        <w:t>2、现价表是否选择计算系数，一般情况下选择不需要</w:t>
      </w:r>
    </w:p>
    <w:p>
      <w:pPr>
        <w:widowControl w:val="0"/>
        <w:numPr>
          <w:ilvl w:val="0"/>
          <w:numId w:val="0"/>
        </w:numPr>
        <w:ind w:leftChars="0"/>
        <w:jc w:val="both"/>
      </w:pPr>
      <w:r>
        <w:drawing>
          <wp:inline distT="0" distB="0" distL="114300" distR="114300">
            <wp:extent cx="5270500" cy="3139440"/>
            <wp:effectExtent l="0" t="0" r="0" b="10160"/>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31"/>
                    <a:stretch>
                      <a:fillRect/>
                    </a:stretch>
                  </pic:blipFill>
                  <pic:spPr>
                    <a:xfrm>
                      <a:off x="0" y="0"/>
                      <a:ext cx="5270500" cy="3139440"/>
                    </a:xfrm>
                    <a:prstGeom prst="rect">
                      <a:avLst/>
                    </a:prstGeom>
                    <a:noFill/>
                    <a:ln>
                      <a:noFill/>
                    </a:ln>
                  </pic:spPr>
                </pic:pic>
              </a:graphicData>
            </a:graphic>
          </wp:inline>
        </w:drawing>
      </w:r>
    </w:p>
    <w:p>
      <w:pPr>
        <w:widowControl w:val="0"/>
        <w:numPr>
          <w:ilvl w:val="0"/>
          <w:numId w:val="0"/>
        </w:numPr>
        <w:ind w:leftChars="0"/>
        <w:jc w:val="both"/>
      </w:pPr>
    </w:p>
    <w:p>
      <w:pPr>
        <w:widowControl w:val="0"/>
        <w:numPr>
          <w:ilvl w:val="0"/>
          <w:numId w:val="0"/>
        </w:numPr>
        <w:ind w:leftChars="0"/>
        <w:jc w:val="both"/>
        <w:rPr>
          <w:rFonts w:hint="default"/>
          <w:lang w:val="en-US" w:eastAsia="zh-CN"/>
        </w:rPr>
      </w:pPr>
      <w:r>
        <w:rPr>
          <w:rFonts w:hint="eastAsia"/>
          <w:lang w:val="en-US" w:eastAsia="zh-CN"/>
        </w:rPr>
        <w:t>3、演示项选择：根据配置的责任来选择，除了豁免责任和年度限额没有演示公式，其他配置了责任演示公式的责任都要选上，并且每一款产品都要选择以下三个选项：保费、累计保费、保单年度</w:t>
      </w:r>
    </w:p>
    <w:p>
      <w:pPr>
        <w:widowControl w:val="0"/>
        <w:numPr>
          <w:ilvl w:val="0"/>
          <w:numId w:val="0"/>
        </w:numPr>
        <w:ind w:leftChars="0"/>
        <w:jc w:val="both"/>
      </w:pPr>
    </w:p>
    <w:p>
      <w:pPr>
        <w:widowControl w:val="0"/>
        <w:numPr>
          <w:ilvl w:val="0"/>
          <w:numId w:val="0"/>
        </w:numPr>
        <w:ind w:leftChars="0"/>
        <w:jc w:val="both"/>
      </w:pPr>
    </w:p>
    <w:p>
      <w:pPr>
        <w:widowControl w:val="0"/>
        <w:numPr>
          <w:ilvl w:val="0"/>
          <w:numId w:val="0"/>
        </w:numPr>
        <w:ind w:leftChars="0"/>
        <w:jc w:val="both"/>
      </w:pPr>
    </w:p>
    <w:p>
      <w:pPr>
        <w:widowControl w:val="0"/>
        <w:numPr>
          <w:ilvl w:val="0"/>
          <w:numId w:val="0"/>
        </w:numPr>
        <w:ind w:leftChars="0"/>
        <w:jc w:val="both"/>
      </w:pPr>
    </w:p>
    <w:p>
      <w:pPr>
        <w:widowControl w:val="0"/>
        <w:numPr>
          <w:ilvl w:val="0"/>
          <w:numId w:val="0"/>
        </w:numPr>
        <w:ind w:leftChars="0"/>
        <w:jc w:val="both"/>
      </w:pPr>
    </w:p>
    <w:p>
      <w:pPr>
        <w:widowControl w:val="0"/>
        <w:numPr>
          <w:ilvl w:val="0"/>
          <w:numId w:val="0"/>
        </w:numPr>
        <w:ind w:leftChars="0"/>
        <w:jc w:val="both"/>
      </w:pPr>
      <w:r>
        <w:rPr>
          <w:rFonts w:hint="eastAsia"/>
          <w:lang w:val="en-US" w:eastAsia="zh-CN"/>
        </w:rPr>
        <w:t>3、演示项选择：根据配置的责任来选择，除了豁免责任和年度限额没有演示公式，其他配置了责任演示公式的责任都要选上，并且每一款产品都要选择以下三个选项：保费、累计保费、保单年度</w:t>
      </w:r>
    </w:p>
    <w:p>
      <w:pPr>
        <w:widowControl w:val="0"/>
        <w:numPr>
          <w:ilvl w:val="0"/>
          <w:numId w:val="0"/>
        </w:numPr>
        <w:ind w:leftChars="0"/>
        <w:jc w:val="both"/>
      </w:pPr>
      <w:r>
        <w:drawing>
          <wp:inline distT="0" distB="0" distL="114300" distR="114300">
            <wp:extent cx="3124200" cy="3606800"/>
            <wp:effectExtent l="0" t="0" r="0" b="0"/>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32"/>
                    <a:stretch>
                      <a:fillRect/>
                    </a:stretch>
                  </pic:blipFill>
                  <pic:spPr>
                    <a:xfrm>
                      <a:off x="0" y="0"/>
                      <a:ext cx="3124200" cy="3606800"/>
                    </a:xfrm>
                    <a:prstGeom prst="rect">
                      <a:avLst/>
                    </a:prstGeom>
                    <a:noFill/>
                    <a:ln>
                      <a:noFill/>
                    </a:ln>
                  </pic:spPr>
                </pic:pic>
              </a:graphicData>
            </a:graphic>
          </wp:inline>
        </w:drawing>
      </w:r>
    </w:p>
    <w:p>
      <w:pPr>
        <w:widowControl w:val="0"/>
        <w:numPr>
          <w:ilvl w:val="0"/>
          <w:numId w:val="2"/>
        </w:numPr>
        <w:ind w:left="0" w:leftChars="0" w:firstLine="0" w:firstLineChars="0"/>
        <w:jc w:val="both"/>
        <w:rPr>
          <w:rFonts w:hint="eastAsia"/>
          <w:lang w:val="en-US" w:eastAsia="zh-CN"/>
        </w:rPr>
      </w:pPr>
      <w:r>
        <w:rPr>
          <w:rFonts w:hint="eastAsia"/>
          <w:lang w:val="en-US" w:eastAsia="zh-CN"/>
        </w:rPr>
        <w:t>现金价值</w:t>
      </w:r>
    </w:p>
    <w:p>
      <w:pPr>
        <w:widowControl w:val="0"/>
        <w:numPr>
          <w:numId w:val="0"/>
        </w:numPr>
        <w:ind w:leftChars="0"/>
        <w:jc w:val="both"/>
        <w:rPr>
          <w:rFonts w:hint="default"/>
          <w:lang w:val="en-US" w:eastAsia="zh-CN"/>
        </w:rPr>
      </w:pPr>
      <w:r>
        <w:rPr>
          <w:rFonts w:hint="eastAsia"/>
          <w:lang w:val="en-US" w:eastAsia="zh-CN"/>
        </w:rPr>
        <w:t>当产品资料里有现金价值表时，我们要做成系统能识别的表格，上传文件，并且在演示项里选择现金价值这一项，数据类型一般是导入表格，文件类型根据处理的现价表类型去选择（类型一般是根据原始现价表格式确定），计算方式和换算比例有的现价表上会标示，如若没有标明，则换算比例同费率表</w:t>
      </w:r>
    </w:p>
    <w:p>
      <w:pPr>
        <w:widowControl w:val="0"/>
        <w:numPr>
          <w:numId w:val="0"/>
        </w:numPr>
        <w:ind w:leftChars="0"/>
        <w:jc w:val="both"/>
      </w:pPr>
      <w:r>
        <w:drawing>
          <wp:inline distT="0" distB="0" distL="114300" distR="114300">
            <wp:extent cx="5267325" cy="3038475"/>
            <wp:effectExtent l="0" t="0" r="3175" b="9525"/>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33"/>
                    <a:stretch>
                      <a:fillRect/>
                    </a:stretch>
                  </pic:blipFill>
                  <pic:spPr>
                    <a:xfrm>
                      <a:off x="0" y="0"/>
                      <a:ext cx="5267325" cy="3038475"/>
                    </a:xfrm>
                    <a:prstGeom prst="rect">
                      <a:avLst/>
                    </a:prstGeom>
                    <a:noFill/>
                    <a:ln>
                      <a:noFill/>
                    </a:ln>
                  </pic:spPr>
                </pic:pic>
              </a:graphicData>
            </a:graphic>
          </wp:inline>
        </w:drawing>
      </w:r>
    </w:p>
    <w:p>
      <w:pPr>
        <w:widowControl w:val="0"/>
        <w:numPr>
          <w:numId w:val="0"/>
        </w:numPr>
        <w:ind w:leftChars="0"/>
        <w:jc w:val="both"/>
        <w:rPr>
          <w:rFonts w:hint="default"/>
          <w:lang w:val="en-US" w:eastAsia="zh-CN"/>
        </w:rPr>
      </w:pPr>
    </w:p>
    <w:p>
      <w:pPr>
        <w:widowControl w:val="0"/>
        <w:numPr>
          <w:ilvl w:val="0"/>
          <w:numId w:val="7"/>
        </w:numPr>
        <w:ind w:leftChars="0"/>
        <w:jc w:val="both"/>
        <w:rPr>
          <w:rFonts w:hint="eastAsia"/>
          <w:lang w:val="en-US" w:eastAsia="zh-CN"/>
        </w:rPr>
      </w:pPr>
      <w:r>
        <w:rPr>
          <w:rFonts w:hint="eastAsia"/>
          <w:lang w:val="en-US" w:eastAsia="zh-CN"/>
        </w:rPr>
        <w:t>投保规则</w:t>
      </w:r>
    </w:p>
    <w:p>
      <w:pPr>
        <w:widowControl w:val="0"/>
        <w:numPr>
          <w:numId w:val="0"/>
        </w:numPr>
        <w:jc w:val="both"/>
        <w:rPr>
          <w:rFonts w:hint="eastAsia"/>
          <w:lang w:val="en-US" w:eastAsia="zh-CN"/>
        </w:rPr>
      </w:pPr>
      <w:r>
        <w:rPr>
          <w:rFonts w:hint="eastAsia"/>
          <w:lang w:val="en-US" w:eastAsia="zh-CN"/>
        </w:rPr>
        <w:t>1、基本规则：年龄、性别、社保、职业类别根据投保规则来填写</w:t>
      </w:r>
    </w:p>
    <w:p>
      <w:pPr>
        <w:widowControl w:val="0"/>
        <w:numPr>
          <w:numId w:val="0"/>
        </w:numPr>
        <w:jc w:val="both"/>
        <w:rPr>
          <w:rFonts w:hint="default"/>
          <w:lang w:val="en-US" w:eastAsia="zh-CN"/>
        </w:rPr>
      </w:pPr>
      <w:r>
        <w:rPr>
          <w:rFonts w:hint="eastAsia"/>
          <w:lang w:val="en-US" w:eastAsia="zh-CN"/>
        </w:rPr>
        <w:t>证件类别、证件类型、投被关系、生效日期和犹豫期天数（直投需要按规则填写）一般都是采用默认值，不对其加以修改</w:t>
      </w:r>
    </w:p>
    <w:p>
      <w:pPr>
        <w:widowControl w:val="0"/>
        <w:numPr>
          <w:numId w:val="0"/>
        </w:numPr>
        <w:ind w:leftChars="0"/>
        <w:jc w:val="both"/>
      </w:pPr>
      <w:r>
        <w:drawing>
          <wp:inline distT="0" distB="0" distL="114300" distR="114300">
            <wp:extent cx="5273040" cy="3131185"/>
            <wp:effectExtent l="0" t="0" r="10160" b="5715"/>
            <wp:docPr id="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pic:cNvPicPr>
                      <a:picLocks noChangeAspect="1"/>
                    </pic:cNvPicPr>
                  </pic:nvPicPr>
                  <pic:blipFill>
                    <a:blip r:embed="rId34"/>
                    <a:stretch>
                      <a:fillRect/>
                    </a:stretch>
                  </pic:blipFill>
                  <pic:spPr>
                    <a:xfrm>
                      <a:off x="0" y="0"/>
                      <a:ext cx="5273040" cy="3131185"/>
                    </a:xfrm>
                    <a:prstGeom prst="rect">
                      <a:avLst/>
                    </a:prstGeom>
                    <a:noFill/>
                    <a:ln>
                      <a:noFill/>
                    </a:ln>
                  </pic:spPr>
                </pic:pic>
              </a:graphicData>
            </a:graphic>
          </wp:inline>
        </w:drawing>
      </w:r>
    </w:p>
    <w:p>
      <w:pPr>
        <w:widowControl w:val="0"/>
        <w:numPr>
          <w:numId w:val="0"/>
        </w:numPr>
        <w:ind w:leftChars="0"/>
        <w:jc w:val="both"/>
        <w:rPr>
          <w:rFonts w:hint="default"/>
          <w:lang w:val="en-US" w:eastAsia="zh-CN"/>
        </w:rPr>
      </w:pPr>
      <w:r>
        <w:drawing>
          <wp:inline distT="0" distB="0" distL="114300" distR="114300">
            <wp:extent cx="5274310" cy="2557145"/>
            <wp:effectExtent l="0" t="0" r="8890" b="8255"/>
            <wp:docPr id="3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
                    <pic:cNvPicPr>
                      <a:picLocks noChangeAspect="1"/>
                    </pic:cNvPicPr>
                  </pic:nvPicPr>
                  <pic:blipFill>
                    <a:blip r:embed="rId35"/>
                    <a:stretch>
                      <a:fillRect/>
                    </a:stretch>
                  </pic:blipFill>
                  <pic:spPr>
                    <a:xfrm>
                      <a:off x="0" y="0"/>
                      <a:ext cx="5274310" cy="2557145"/>
                    </a:xfrm>
                    <a:prstGeom prst="rect">
                      <a:avLst/>
                    </a:prstGeom>
                    <a:noFill/>
                    <a:ln>
                      <a:noFill/>
                    </a:ln>
                  </pic:spPr>
                </pic:pic>
              </a:graphicData>
            </a:graphic>
          </wp:inline>
        </w:drawing>
      </w:r>
      <w:r>
        <w:rPr>
          <w:rFonts w:hint="eastAsia"/>
          <w:lang w:val="en-US" w:eastAsia="zh-CN"/>
        </w:rPr>
        <w:t>2、保额保费规则：根据投保规则的规定填写</w:t>
      </w:r>
    </w:p>
    <w:p>
      <w:pPr>
        <w:widowControl w:val="0"/>
        <w:numPr>
          <w:numId w:val="0"/>
        </w:numPr>
        <w:ind w:leftChars="0"/>
        <w:jc w:val="both"/>
      </w:pPr>
      <w:r>
        <w:drawing>
          <wp:inline distT="0" distB="0" distL="114300" distR="114300">
            <wp:extent cx="5273675" cy="872490"/>
            <wp:effectExtent l="0" t="0" r="9525" b="3810"/>
            <wp:docPr id="3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7"/>
                    <pic:cNvPicPr>
                      <a:picLocks noChangeAspect="1"/>
                    </pic:cNvPicPr>
                  </pic:nvPicPr>
                  <pic:blipFill>
                    <a:blip r:embed="rId36"/>
                    <a:stretch>
                      <a:fillRect/>
                    </a:stretch>
                  </pic:blipFill>
                  <pic:spPr>
                    <a:xfrm>
                      <a:off x="0" y="0"/>
                      <a:ext cx="5273675" cy="872490"/>
                    </a:xfrm>
                    <a:prstGeom prst="rect">
                      <a:avLst/>
                    </a:prstGeom>
                    <a:noFill/>
                    <a:ln>
                      <a:noFill/>
                    </a:ln>
                  </pic:spPr>
                </pic:pic>
              </a:graphicData>
            </a:graphic>
          </wp:inline>
        </w:drawing>
      </w:r>
    </w:p>
    <w:p>
      <w:pPr>
        <w:widowControl w:val="0"/>
        <w:numPr>
          <w:numId w:val="0"/>
        </w:numPr>
        <w:ind w:leftChars="0"/>
        <w:jc w:val="both"/>
        <w:rPr>
          <w:rFonts w:hint="eastAsia"/>
          <w:lang w:val="en-US" w:eastAsia="zh-CN"/>
        </w:rPr>
      </w:pPr>
      <w:r>
        <w:rPr>
          <w:rFonts w:hint="eastAsia"/>
          <w:lang w:val="en-US" w:eastAsia="zh-CN"/>
        </w:rPr>
        <w:t>3、其他特殊规则</w:t>
      </w:r>
    </w:p>
    <w:p>
      <w:pPr>
        <w:widowControl w:val="0"/>
        <w:numPr>
          <w:numId w:val="0"/>
        </w:numPr>
        <w:ind w:leftChars="0"/>
        <w:jc w:val="both"/>
        <w:rPr>
          <w:rFonts w:hint="eastAsia"/>
          <w:lang w:val="en-US" w:eastAsia="zh-CN"/>
        </w:rPr>
      </w:pPr>
      <w:r>
        <w:rPr>
          <w:rFonts w:hint="eastAsia"/>
          <w:lang w:val="en-US" w:eastAsia="zh-CN"/>
        </w:rPr>
        <w:t>这里配置的产品自身的规则，费率表上各交费期间对应最大投保年龄之外的年龄费率为空，我们需要对那些为空的进行限制，否则app会报错</w:t>
      </w:r>
    </w:p>
    <w:p>
      <w:pPr>
        <w:widowControl w:val="0"/>
        <w:numPr>
          <w:numId w:val="0"/>
        </w:numPr>
        <w:ind w:leftChars="0"/>
        <w:jc w:val="both"/>
        <w:rPr>
          <w:rFonts w:hint="eastAsia"/>
          <w:lang w:val="en-US" w:eastAsia="zh-CN"/>
        </w:rPr>
      </w:pPr>
      <w:r>
        <w:rPr>
          <w:rFonts w:hint="eastAsia"/>
          <w:lang w:val="en-US" w:eastAsia="zh-CN"/>
        </w:rPr>
        <w:t>简单的费率表规则可以自己生成，复杂的费率表规则需要自己录入，比如多计划或是有领取年龄的年金险，这一类产品的规则我们需要自己手动录入</w:t>
      </w:r>
    </w:p>
    <w:p>
      <w:pPr>
        <w:widowControl w:val="0"/>
        <w:numPr>
          <w:numId w:val="0"/>
        </w:numPr>
        <w:ind w:leftChars="0"/>
        <w:jc w:val="both"/>
        <w:rPr>
          <w:rFonts w:hint="default"/>
          <w:lang w:val="en-US" w:eastAsia="zh-CN"/>
        </w:rPr>
      </w:pPr>
      <w:r>
        <w:rPr>
          <w:rFonts w:hint="eastAsia"/>
          <w:lang w:val="en-US" w:eastAsia="zh-CN"/>
        </w:rPr>
        <w:t>在配置规则这里，年龄、交费期间、保障期间、领取年龄、保障计划格式要注意，为[</w:t>
      </w:r>
      <w:r>
        <w:rPr>
          <w:rFonts w:hint="default"/>
          <w:lang w:val="en-US" w:eastAsia="zh-CN"/>
        </w:rPr>
        <w:t>“</w:t>
      </w:r>
      <w:r>
        <w:rPr>
          <w:rFonts w:hint="eastAsia"/>
          <w:lang w:val="en-US" w:eastAsia="zh-CN"/>
        </w:rPr>
        <w:t>年龄数字+y/计划编码</w:t>
      </w:r>
      <w:r>
        <w:rPr>
          <w:rFonts w:hint="default"/>
          <w:lang w:val="en-US" w:eastAsia="zh-CN"/>
        </w:rPr>
        <w:t>”</w:t>
      </w:r>
      <w:r>
        <w:rPr>
          <w:rFonts w:hint="eastAsia"/>
          <w:lang w:val="en-US" w:eastAsia="zh-CN"/>
        </w:rPr>
        <w:t>]，如["51y","52y","53y","54y","55y"]、["20y"]</w:t>
      </w:r>
    </w:p>
    <w:p>
      <w:pPr>
        <w:widowControl w:val="0"/>
        <w:numPr>
          <w:numId w:val="0"/>
        </w:numPr>
        <w:ind w:leftChars="0"/>
        <w:jc w:val="both"/>
      </w:pPr>
      <w:r>
        <w:drawing>
          <wp:inline distT="0" distB="0" distL="114300" distR="114300">
            <wp:extent cx="5264150" cy="1152525"/>
            <wp:effectExtent l="0" t="0" r="6350" b="3175"/>
            <wp:docPr id="3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9"/>
                    <pic:cNvPicPr>
                      <a:picLocks noChangeAspect="1"/>
                    </pic:cNvPicPr>
                  </pic:nvPicPr>
                  <pic:blipFill>
                    <a:blip r:embed="rId37"/>
                    <a:stretch>
                      <a:fillRect/>
                    </a:stretch>
                  </pic:blipFill>
                  <pic:spPr>
                    <a:xfrm>
                      <a:off x="0" y="0"/>
                      <a:ext cx="5264150" cy="1152525"/>
                    </a:xfrm>
                    <a:prstGeom prst="rect">
                      <a:avLst/>
                    </a:prstGeom>
                    <a:noFill/>
                    <a:ln>
                      <a:noFill/>
                    </a:ln>
                  </pic:spPr>
                </pic:pic>
              </a:graphicData>
            </a:graphic>
          </wp:inline>
        </w:drawing>
      </w:r>
    </w:p>
    <w:p>
      <w:pPr>
        <w:widowControl w:val="0"/>
        <w:numPr>
          <w:numId w:val="0"/>
        </w:numPr>
        <w:ind w:leftChars="0"/>
        <w:jc w:val="both"/>
        <w:rPr>
          <w:rFonts w:hint="eastAsia"/>
          <w:lang w:val="en-US" w:eastAsia="zh-CN"/>
        </w:rPr>
      </w:pPr>
      <w:r>
        <w:rPr>
          <w:rFonts w:hint="eastAsia"/>
          <w:lang w:val="en-US" w:eastAsia="zh-CN"/>
        </w:rPr>
        <w:t>最低保额保费也要在这里再限制一遍</w:t>
      </w:r>
    </w:p>
    <w:p>
      <w:pPr>
        <w:widowControl w:val="0"/>
        <w:numPr>
          <w:numId w:val="0"/>
        </w:numPr>
        <w:ind w:leftChars="0"/>
        <w:jc w:val="both"/>
        <w:rPr>
          <w:rFonts w:hint="eastAsia"/>
          <w:lang w:val="en-US" w:eastAsia="zh-CN"/>
        </w:rPr>
      </w:pPr>
      <w:r>
        <w:rPr>
          <w:rFonts w:hint="eastAsia"/>
          <w:lang w:val="en-US" w:eastAsia="zh-CN"/>
        </w:rPr>
        <w:t>4、产品搭配规则</w:t>
      </w:r>
    </w:p>
    <w:p>
      <w:pPr>
        <w:widowControl w:val="0"/>
        <w:numPr>
          <w:numId w:val="0"/>
        </w:numPr>
        <w:ind w:leftChars="0"/>
        <w:jc w:val="both"/>
        <w:rPr>
          <w:rFonts w:hint="default"/>
          <w:lang w:val="en-US" w:eastAsia="zh-CN"/>
        </w:rPr>
      </w:pPr>
      <w:r>
        <w:rPr>
          <w:rFonts w:hint="eastAsia"/>
          <w:lang w:val="en-US" w:eastAsia="zh-CN"/>
        </w:rPr>
        <w:t>这里主要是配置主附险搭配，如果这款产品是一款主险，且需要搭配附加险，就在这里去添加附加险。</w:t>
      </w:r>
    </w:p>
    <w:p>
      <w:pPr>
        <w:widowControl w:val="0"/>
        <w:numPr>
          <w:numId w:val="0"/>
        </w:numPr>
        <w:ind w:leftChars="0"/>
        <w:jc w:val="both"/>
      </w:pPr>
      <w:r>
        <w:drawing>
          <wp:inline distT="0" distB="0" distL="114300" distR="114300">
            <wp:extent cx="5267325" cy="993775"/>
            <wp:effectExtent l="0" t="0" r="3175" b="9525"/>
            <wp:docPr id="3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0"/>
                    <pic:cNvPicPr>
                      <a:picLocks noChangeAspect="1"/>
                    </pic:cNvPicPr>
                  </pic:nvPicPr>
                  <pic:blipFill>
                    <a:blip r:embed="rId38"/>
                    <a:stretch>
                      <a:fillRect/>
                    </a:stretch>
                  </pic:blipFill>
                  <pic:spPr>
                    <a:xfrm>
                      <a:off x="0" y="0"/>
                      <a:ext cx="5267325" cy="993775"/>
                    </a:xfrm>
                    <a:prstGeom prst="rect">
                      <a:avLst/>
                    </a:prstGeom>
                    <a:noFill/>
                    <a:ln>
                      <a:noFill/>
                    </a:ln>
                  </pic:spPr>
                </pic:pic>
              </a:graphicData>
            </a:graphic>
          </wp:inline>
        </w:drawing>
      </w:r>
    </w:p>
    <w:p>
      <w:pPr>
        <w:widowControl w:val="0"/>
        <w:numPr>
          <w:numId w:val="0"/>
        </w:numPr>
        <w:ind w:leftChars="0"/>
        <w:jc w:val="both"/>
        <w:rPr>
          <w:rFonts w:hint="eastAsia"/>
          <w:lang w:val="en-US" w:eastAsia="zh-CN"/>
        </w:rPr>
      </w:pPr>
      <w:r>
        <w:rPr>
          <w:rFonts w:hint="eastAsia"/>
          <w:lang w:val="en-US" w:eastAsia="zh-CN"/>
        </w:rPr>
        <w:t>当主险搭配附加险有条件限制时，需要选择“有特殊规则”，适用于一般选择两者皆可，强关联选择否，限制类型分为条件型（主险满足什么条件时，附加险才能满足啥）、非条件型（如附加险保额同主险）和js引擎脚本（这个可以咨询开发）</w:t>
      </w:r>
    </w:p>
    <w:p>
      <w:pPr>
        <w:widowControl w:val="0"/>
        <w:numPr>
          <w:numId w:val="0"/>
        </w:numPr>
        <w:ind w:leftChars="0"/>
        <w:jc w:val="both"/>
        <w:rPr>
          <w:rFonts w:hint="default"/>
          <w:lang w:val="en-US" w:eastAsia="zh-CN"/>
        </w:rPr>
      </w:pPr>
      <w:r>
        <w:rPr>
          <w:rFonts w:hint="eastAsia"/>
          <w:lang w:val="en-US" w:eastAsia="zh-CN"/>
        </w:rPr>
        <w:t>限制方式目前系统只支持提示，控件限制暂时还不能实现</w:t>
      </w:r>
    </w:p>
    <w:p>
      <w:pPr>
        <w:widowControl w:val="0"/>
        <w:numPr>
          <w:numId w:val="0"/>
        </w:numPr>
        <w:ind w:leftChars="0"/>
        <w:jc w:val="both"/>
      </w:pPr>
      <w:r>
        <w:drawing>
          <wp:inline distT="0" distB="0" distL="114300" distR="114300">
            <wp:extent cx="5273675" cy="3665220"/>
            <wp:effectExtent l="0" t="0" r="9525" b="5080"/>
            <wp:docPr id="3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1"/>
                    <pic:cNvPicPr>
                      <a:picLocks noChangeAspect="1"/>
                    </pic:cNvPicPr>
                  </pic:nvPicPr>
                  <pic:blipFill>
                    <a:blip r:embed="rId39"/>
                    <a:stretch>
                      <a:fillRect/>
                    </a:stretch>
                  </pic:blipFill>
                  <pic:spPr>
                    <a:xfrm>
                      <a:off x="0" y="0"/>
                      <a:ext cx="5273675" cy="3665220"/>
                    </a:xfrm>
                    <a:prstGeom prst="rect">
                      <a:avLst/>
                    </a:prstGeom>
                    <a:noFill/>
                    <a:ln>
                      <a:noFill/>
                    </a:ln>
                  </pic:spPr>
                </pic:pic>
              </a:graphicData>
            </a:graphic>
          </wp:inline>
        </w:drawing>
      </w:r>
    </w:p>
    <w:p>
      <w:pPr>
        <w:widowControl w:val="0"/>
        <w:numPr>
          <w:ilvl w:val="0"/>
          <w:numId w:val="7"/>
        </w:numPr>
        <w:ind w:left="0" w:leftChars="0" w:firstLine="0" w:firstLineChars="0"/>
        <w:jc w:val="both"/>
        <w:rPr>
          <w:rFonts w:hint="eastAsia"/>
          <w:lang w:val="en-US" w:eastAsia="zh-CN"/>
        </w:rPr>
      </w:pPr>
      <w:r>
        <w:rPr>
          <w:rFonts w:hint="eastAsia"/>
          <w:lang w:val="en-US" w:eastAsia="zh-CN"/>
        </w:rPr>
        <w:t>材料上传</w:t>
      </w:r>
    </w:p>
    <w:p>
      <w:pPr>
        <w:widowControl w:val="0"/>
        <w:numPr>
          <w:numId w:val="0"/>
        </w:numPr>
        <w:ind w:leftChars="0"/>
        <w:jc w:val="both"/>
        <w:rPr>
          <w:rFonts w:hint="eastAsia"/>
          <w:lang w:val="en-US" w:eastAsia="zh-CN"/>
        </w:rPr>
      </w:pPr>
      <w:r>
        <w:rPr>
          <w:rFonts w:hint="eastAsia"/>
          <w:lang w:val="en-US" w:eastAsia="zh-CN"/>
        </w:rPr>
        <w:t>计划书产品一般上传条款、费率表和投保规则即可；直投产品要上传的资料较多且需要时常修改</w:t>
      </w:r>
    </w:p>
    <w:p>
      <w:pPr>
        <w:widowControl w:val="0"/>
        <w:numPr>
          <w:numId w:val="0"/>
        </w:numPr>
        <w:ind w:leftChars="0"/>
        <w:jc w:val="both"/>
        <w:rPr>
          <w:rFonts w:hint="default"/>
          <w:lang w:val="en-US" w:eastAsia="zh-CN"/>
        </w:rPr>
      </w:pPr>
      <w:r>
        <w:rPr>
          <w:rFonts w:hint="eastAsia"/>
          <w:lang w:val="en-US" w:eastAsia="zh-CN"/>
        </w:rPr>
        <w:t>点击上传材料，材料类型可供选择，选择对应的名称即可，条款等文件一般是上传pdf格式。</w:t>
      </w:r>
    </w:p>
    <w:p>
      <w:pPr>
        <w:widowControl w:val="0"/>
        <w:numPr>
          <w:numId w:val="0"/>
        </w:numPr>
        <w:ind w:leftChars="0"/>
        <w:jc w:val="both"/>
      </w:pPr>
      <w:r>
        <w:drawing>
          <wp:inline distT="0" distB="0" distL="114300" distR="114300">
            <wp:extent cx="5267325" cy="1977390"/>
            <wp:effectExtent l="0" t="0" r="3175" b="3810"/>
            <wp:docPr id="3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2"/>
                    <pic:cNvPicPr>
                      <a:picLocks noChangeAspect="1"/>
                    </pic:cNvPicPr>
                  </pic:nvPicPr>
                  <pic:blipFill>
                    <a:blip r:embed="rId40"/>
                    <a:stretch>
                      <a:fillRect/>
                    </a:stretch>
                  </pic:blipFill>
                  <pic:spPr>
                    <a:xfrm>
                      <a:off x="0" y="0"/>
                      <a:ext cx="5267325" cy="1977390"/>
                    </a:xfrm>
                    <a:prstGeom prst="rect">
                      <a:avLst/>
                    </a:prstGeom>
                    <a:noFill/>
                    <a:ln>
                      <a:noFill/>
                    </a:ln>
                  </pic:spPr>
                </pic:pic>
              </a:graphicData>
            </a:graphic>
          </wp:inline>
        </w:drawing>
      </w:r>
    </w:p>
    <w:p>
      <w:pPr>
        <w:widowControl w:val="0"/>
        <w:numPr>
          <w:numId w:val="0"/>
        </w:numPr>
        <w:ind w:leftChars="0"/>
        <w:jc w:val="both"/>
      </w:pPr>
      <w:r>
        <w:drawing>
          <wp:inline distT="0" distB="0" distL="114300" distR="114300">
            <wp:extent cx="5270500" cy="3256280"/>
            <wp:effectExtent l="0" t="0" r="0" b="7620"/>
            <wp:docPr id="4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3"/>
                    <pic:cNvPicPr>
                      <a:picLocks noChangeAspect="1"/>
                    </pic:cNvPicPr>
                  </pic:nvPicPr>
                  <pic:blipFill>
                    <a:blip r:embed="rId41"/>
                    <a:stretch>
                      <a:fillRect/>
                    </a:stretch>
                  </pic:blipFill>
                  <pic:spPr>
                    <a:xfrm>
                      <a:off x="0" y="0"/>
                      <a:ext cx="5270500" cy="3256280"/>
                    </a:xfrm>
                    <a:prstGeom prst="rect">
                      <a:avLst/>
                    </a:prstGeom>
                    <a:noFill/>
                    <a:ln>
                      <a:noFill/>
                    </a:ln>
                  </pic:spPr>
                </pic:pic>
              </a:graphicData>
            </a:graphic>
          </wp:inline>
        </w:drawing>
      </w:r>
    </w:p>
    <w:p>
      <w:pPr>
        <w:widowControl w:val="0"/>
        <w:numPr>
          <w:numId w:val="0"/>
        </w:numPr>
        <w:ind w:leftChars="0"/>
        <w:jc w:val="both"/>
        <w:rPr>
          <w:rFonts w:hint="default"/>
          <w:lang w:val="en-US" w:eastAsia="zh-CN"/>
        </w:rPr>
      </w:pPr>
      <w:r>
        <w:rPr>
          <w:rFonts w:hint="eastAsia"/>
          <w:lang w:val="en-US" w:eastAsia="zh-CN"/>
        </w:rPr>
        <w:t>计划书产品选择否就行，直投的有一些资料是需要阅读的，那些资料，产品会告诉的，然后选择了阅读，文档关联角色要选投保人</w:t>
      </w:r>
    </w:p>
    <w:p>
      <w:pPr>
        <w:widowControl w:val="0"/>
        <w:numPr>
          <w:numId w:val="0"/>
        </w:numPr>
        <w:ind w:leftChars="0"/>
        <w:jc w:val="both"/>
      </w:pPr>
      <w:r>
        <w:drawing>
          <wp:inline distT="0" distB="0" distL="114300" distR="114300">
            <wp:extent cx="4660900" cy="2914650"/>
            <wp:effectExtent l="0" t="0" r="0" b="6350"/>
            <wp:docPr id="4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4"/>
                    <pic:cNvPicPr>
                      <a:picLocks noChangeAspect="1"/>
                    </pic:cNvPicPr>
                  </pic:nvPicPr>
                  <pic:blipFill>
                    <a:blip r:embed="rId42"/>
                    <a:stretch>
                      <a:fillRect/>
                    </a:stretch>
                  </pic:blipFill>
                  <pic:spPr>
                    <a:xfrm>
                      <a:off x="0" y="0"/>
                      <a:ext cx="4660900" cy="2914650"/>
                    </a:xfrm>
                    <a:prstGeom prst="rect">
                      <a:avLst/>
                    </a:prstGeom>
                    <a:noFill/>
                    <a:ln>
                      <a:noFill/>
                    </a:ln>
                  </pic:spPr>
                </pic:pic>
              </a:graphicData>
            </a:graphic>
          </wp:inline>
        </w:drawing>
      </w:r>
    </w:p>
    <w:p>
      <w:pPr>
        <w:widowControl w:val="0"/>
        <w:numPr>
          <w:numId w:val="0"/>
        </w:numPr>
        <w:ind w:leftChars="0"/>
        <w:jc w:val="both"/>
        <w:rPr>
          <w:rFonts w:hint="eastAsia"/>
          <w:lang w:val="en-US" w:eastAsia="zh-CN"/>
        </w:rPr>
      </w:pPr>
      <w:r>
        <w:rPr>
          <w:rFonts w:hint="eastAsia"/>
          <w:lang w:val="en-US" w:eastAsia="zh-CN"/>
        </w:rPr>
        <w:t>这几步都完成之后，在产品列表页面，点击启售就可以在测试环境搜索到这款产品了</w:t>
      </w:r>
    </w:p>
    <w:p>
      <w:pPr>
        <w:widowControl w:val="0"/>
        <w:numPr>
          <w:numId w:val="0"/>
        </w:numPr>
        <w:ind w:leftChars="0"/>
        <w:jc w:val="both"/>
        <w:rPr>
          <w:rFonts w:hint="eastAsia"/>
          <w:lang w:val="en-US" w:eastAsia="zh-CN"/>
        </w:rPr>
      </w:pPr>
    </w:p>
    <w:p>
      <w:pPr>
        <w:widowControl w:val="0"/>
        <w:numPr>
          <w:ilvl w:val="0"/>
          <w:numId w:val="8"/>
        </w:numPr>
        <w:ind w:leftChars="0"/>
        <w:jc w:val="both"/>
        <w:rPr>
          <w:rFonts w:hint="eastAsia"/>
          <w:b/>
          <w:bCs/>
          <w:lang w:val="en-US" w:eastAsia="zh-CN"/>
        </w:rPr>
      </w:pPr>
      <w:r>
        <w:rPr>
          <w:rFonts w:hint="eastAsia"/>
          <w:b/>
          <w:bCs/>
          <w:lang w:val="en-US" w:eastAsia="zh-CN"/>
        </w:rPr>
        <w:t>托管产品拆解（直接在生产环境拆解）</w:t>
      </w:r>
    </w:p>
    <w:p>
      <w:pPr>
        <w:numPr>
          <w:ilvl w:val="0"/>
          <w:numId w:val="0"/>
        </w:numPr>
        <w:rPr>
          <w:rFonts w:hint="eastAsia"/>
          <w:lang w:val="en-US" w:eastAsia="zh-CN"/>
        </w:rPr>
      </w:pPr>
      <w:r>
        <w:rPr>
          <w:rFonts w:hint="eastAsia"/>
          <w:lang w:val="en-US" w:eastAsia="zh-CN"/>
        </w:rPr>
        <w:t>点击“产品管理”——“产品管理列表”</w:t>
      </w:r>
    </w:p>
    <w:p>
      <w:pPr>
        <w:numPr>
          <w:ilvl w:val="0"/>
          <w:numId w:val="0"/>
        </w:numPr>
      </w:pPr>
      <w:bookmarkStart w:id="0" w:name="_GoBack"/>
      <w:r>
        <w:drawing>
          <wp:inline distT="0" distB="0" distL="114300" distR="114300">
            <wp:extent cx="5268595" cy="3241675"/>
            <wp:effectExtent l="0" t="0" r="1905"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4"/>
                    <a:stretch>
                      <a:fillRect/>
                    </a:stretch>
                  </pic:blipFill>
                  <pic:spPr>
                    <a:xfrm>
                      <a:off x="0" y="0"/>
                      <a:ext cx="5268595" cy="3241675"/>
                    </a:xfrm>
                    <a:prstGeom prst="rect">
                      <a:avLst/>
                    </a:prstGeom>
                    <a:noFill/>
                    <a:ln>
                      <a:noFill/>
                    </a:ln>
                  </pic:spPr>
                </pic:pic>
              </a:graphicData>
            </a:graphic>
          </wp:inline>
        </w:drawing>
      </w:r>
      <w:bookmarkEnd w:id="0"/>
    </w:p>
    <w:p>
      <w:pPr>
        <w:numPr>
          <w:ilvl w:val="0"/>
          <w:numId w:val="0"/>
        </w:numPr>
        <w:rPr>
          <w:rFonts w:hint="default"/>
          <w:lang w:val="en-US" w:eastAsia="zh-CN"/>
        </w:rPr>
      </w:pPr>
      <w:r>
        <w:rPr>
          <w:rFonts w:hint="eastAsia"/>
          <w:lang w:val="en-US" w:eastAsia="zh-CN"/>
        </w:rPr>
        <w:t>拆解新产品时，点击产品列表旁的“新增”</w:t>
      </w:r>
    </w:p>
    <w:p>
      <w:pPr>
        <w:numPr>
          <w:ilvl w:val="0"/>
          <w:numId w:val="0"/>
        </w:numPr>
      </w:pPr>
      <w:r>
        <w:drawing>
          <wp:inline distT="0" distB="0" distL="114300" distR="114300">
            <wp:extent cx="5263515" cy="1960880"/>
            <wp:effectExtent l="0" t="0" r="6985" b="762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5"/>
                    <a:stretch>
                      <a:fillRect/>
                    </a:stretch>
                  </pic:blipFill>
                  <pic:spPr>
                    <a:xfrm>
                      <a:off x="0" y="0"/>
                      <a:ext cx="5263515" cy="1960880"/>
                    </a:xfrm>
                    <a:prstGeom prst="rect">
                      <a:avLst/>
                    </a:prstGeom>
                    <a:noFill/>
                    <a:ln>
                      <a:noFill/>
                    </a:ln>
                  </pic:spPr>
                </pic:pic>
              </a:graphicData>
            </a:graphic>
          </wp:inline>
        </w:drawing>
      </w:r>
    </w:p>
    <w:p>
      <w:pPr>
        <w:widowControl w:val="0"/>
        <w:numPr>
          <w:numId w:val="0"/>
        </w:numPr>
        <w:jc w:val="both"/>
        <w:rPr>
          <w:rFonts w:hint="eastAsia"/>
          <w:lang w:val="en-US" w:eastAsia="zh-CN"/>
        </w:rPr>
      </w:pPr>
      <w:r>
        <w:rPr>
          <w:rFonts w:hint="eastAsia"/>
          <w:lang w:val="en-US" w:eastAsia="zh-CN"/>
        </w:rPr>
        <w:t>拆解产品主要分为七个步骤：基本信息—责任配置—算费配置（选择仅适用于托管产品）</w:t>
      </w:r>
    </w:p>
    <w:p>
      <w:pPr>
        <w:widowControl w:val="0"/>
        <w:numPr>
          <w:numId w:val="0"/>
        </w:numPr>
        <w:jc w:val="both"/>
        <w:rPr>
          <w:rFonts w:hint="eastAsia"/>
          <w:lang w:val="en-US" w:eastAsia="zh-CN"/>
        </w:rPr>
      </w:pPr>
      <w:r>
        <w:rPr>
          <w:rFonts w:hint="eastAsia"/>
          <w:lang w:val="en-US" w:eastAsia="zh-CN"/>
        </w:rPr>
        <w:t>如果是自己新增的产品需要录入这三块，如果是通过代理人ocr识别的保单，基本信息和算费配置系统会自己取值，我们只要补充责任描述和利益演示公式即可</w:t>
      </w:r>
    </w:p>
    <w:p>
      <w:pPr>
        <w:widowControl w:val="0"/>
        <w:numPr>
          <w:numId w:val="0"/>
        </w:numPr>
        <w:jc w:val="both"/>
        <w:rPr>
          <w:rFonts w:hint="eastAsia"/>
          <w:lang w:val="en-US" w:eastAsia="zh-CN"/>
        </w:rPr>
      </w:pPr>
      <w:r>
        <w:rPr>
          <w:rFonts w:hint="eastAsia"/>
          <w:lang w:val="en-US" w:eastAsia="zh-CN"/>
        </w:rPr>
        <w:t>这三块配置完成之后，返回产品列表页面，点击拆解完成即可</w:t>
      </w:r>
    </w:p>
    <w:p>
      <w:pPr>
        <w:widowControl w:val="0"/>
        <w:numPr>
          <w:numId w:val="0"/>
        </w:numPr>
        <w:jc w:val="both"/>
      </w:pPr>
      <w:r>
        <w:drawing>
          <wp:inline distT="0" distB="0" distL="114300" distR="114300">
            <wp:extent cx="5267960" cy="2366645"/>
            <wp:effectExtent l="0" t="0" r="2540" b="8255"/>
            <wp:docPr id="4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5"/>
                    <pic:cNvPicPr>
                      <a:picLocks noChangeAspect="1"/>
                    </pic:cNvPicPr>
                  </pic:nvPicPr>
                  <pic:blipFill>
                    <a:blip r:embed="rId43"/>
                    <a:stretch>
                      <a:fillRect/>
                    </a:stretch>
                  </pic:blipFill>
                  <pic:spPr>
                    <a:xfrm>
                      <a:off x="0" y="0"/>
                      <a:ext cx="5267960" cy="2366645"/>
                    </a:xfrm>
                    <a:prstGeom prst="rect">
                      <a:avLst/>
                    </a:prstGeom>
                    <a:noFill/>
                    <a:ln>
                      <a:noFill/>
                    </a:ln>
                  </pic:spPr>
                </pic:pic>
              </a:graphicData>
            </a:graphic>
          </wp:inline>
        </w:drawing>
      </w:r>
    </w:p>
    <w:p>
      <w:pPr>
        <w:widowControl w:val="0"/>
        <w:numPr>
          <w:numId w:val="0"/>
        </w:numPr>
        <w:jc w:val="both"/>
        <w:rPr>
          <w:rFonts w:hint="eastAsia"/>
          <w:lang w:val="en-US" w:eastAsia="zh-CN"/>
        </w:rPr>
      </w:pPr>
      <w:r>
        <w:rPr>
          <w:rFonts w:hint="eastAsia"/>
          <w:lang w:val="en-US" w:eastAsia="zh-CN"/>
        </w:rPr>
        <w:t>如果ocr识别的产品，因为名称问题，我们产品库已经录入来的，我们可以在ocr名称那个输入框填入识别的名称，然后将产品上架再下架就行</w:t>
      </w:r>
    </w:p>
    <w:p>
      <w:pPr>
        <w:widowControl w:val="0"/>
        <w:numPr>
          <w:numId w:val="0"/>
        </w:numPr>
        <w:jc w:val="both"/>
        <w:rPr>
          <w:rFonts w:hint="default"/>
          <w:lang w:val="en-US" w:eastAsia="zh-CN"/>
        </w:rPr>
      </w:pPr>
      <w:r>
        <w:drawing>
          <wp:inline distT="0" distB="0" distL="114300" distR="114300">
            <wp:extent cx="5273675" cy="2780030"/>
            <wp:effectExtent l="0" t="0" r="9525" b="1270"/>
            <wp:docPr id="4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6"/>
                    <pic:cNvPicPr>
                      <a:picLocks noChangeAspect="1"/>
                    </pic:cNvPicPr>
                  </pic:nvPicPr>
                  <pic:blipFill>
                    <a:blip r:embed="rId44"/>
                    <a:stretch>
                      <a:fillRect/>
                    </a:stretch>
                  </pic:blipFill>
                  <pic:spPr>
                    <a:xfrm>
                      <a:off x="0" y="0"/>
                      <a:ext cx="5273675" cy="2780030"/>
                    </a:xfrm>
                    <a:prstGeom prst="rect">
                      <a:avLst/>
                    </a:prstGeom>
                    <a:noFill/>
                    <a:ln>
                      <a:noFill/>
                    </a:ln>
                  </pic:spPr>
                </pic:pic>
              </a:graphicData>
            </a:graphic>
          </wp:inline>
        </w:drawing>
      </w:r>
    </w:p>
    <w:p>
      <w:pPr>
        <w:widowControl w:val="0"/>
        <w:numPr>
          <w:numId w:val="0"/>
        </w:numPr>
        <w:jc w:val="both"/>
        <w:rPr>
          <w:rFonts w:hint="eastAsia"/>
          <w:lang w:val="en-US" w:eastAsia="zh-CN"/>
        </w:rPr>
      </w:pPr>
    </w:p>
    <w:p>
      <w:pPr>
        <w:widowControl w:val="0"/>
        <w:numPr>
          <w:numId w:val="0"/>
        </w:numPr>
        <w:ind w:leftChars="0"/>
        <w:jc w:val="both"/>
        <w:rPr>
          <w:rFonts w:hint="default"/>
          <w:lang w:val="en-US" w:eastAsia="zh-CN"/>
        </w:rPr>
      </w:pPr>
    </w:p>
    <w:p>
      <w:pPr>
        <w:widowControl w:val="0"/>
        <w:numPr>
          <w:numId w:val="0"/>
        </w:numPr>
        <w:ind w:leftChars="0"/>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9F8D65"/>
    <w:multiLevelType w:val="singleLevel"/>
    <w:tmpl w:val="A19F8D65"/>
    <w:lvl w:ilvl="0" w:tentative="0">
      <w:start w:val="12"/>
      <w:numFmt w:val="decimal"/>
      <w:suff w:val="nothing"/>
      <w:lvlText w:val="%1、"/>
      <w:lvlJc w:val="left"/>
    </w:lvl>
  </w:abstractNum>
  <w:abstractNum w:abstractNumId="1">
    <w:nsid w:val="B321C9E6"/>
    <w:multiLevelType w:val="singleLevel"/>
    <w:tmpl w:val="B321C9E6"/>
    <w:lvl w:ilvl="0" w:tentative="0">
      <w:start w:val="4"/>
      <w:numFmt w:val="decimal"/>
      <w:suff w:val="nothing"/>
      <w:lvlText w:val="%1、"/>
      <w:lvlJc w:val="left"/>
    </w:lvl>
  </w:abstractNum>
  <w:abstractNum w:abstractNumId="2">
    <w:nsid w:val="C23A689A"/>
    <w:multiLevelType w:val="singleLevel"/>
    <w:tmpl w:val="C23A689A"/>
    <w:lvl w:ilvl="0" w:tentative="0">
      <w:start w:val="1"/>
      <w:numFmt w:val="decimal"/>
      <w:suff w:val="nothing"/>
      <w:lvlText w:val="%1、"/>
      <w:lvlJc w:val="left"/>
    </w:lvl>
  </w:abstractNum>
  <w:abstractNum w:abstractNumId="3">
    <w:nsid w:val="CE56B22B"/>
    <w:multiLevelType w:val="singleLevel"/>
    <w:tmpl w:val="CE56B22B"/>
    <w:lvl w:ilvl="0" w:tentative="0">
      <w:start w:val="9"/>
      <w:numFmt w:val="decimal"/>
      <w:suff w:val="nothing"/>
      <w:lvlText w:val="%1、"/>
      <w:lvlJc w:val="left"/>
    </w:lvl>
  </w:abstractNum>
  <w:abstractNum w:abstractNumId="4">
    <w:nsid w:val="F0811D49"/>
    <w:multiLevelType w:val="singleLevel"/>
    <w:tmpl w:val="F0811D49"/>
    <w:lvl w:ilvl="0" w:tentative="0">
      <w:start w:val="1"/>
      <w:numFmt w:val="chineseCounting"/>
      <w:suff w:val="nothing"/>
      <w:lvlText w:val="%1、"/>
      <w:lvlJc w:val="left"/>
      <w:rPr>
        <w:rFonts w:hint="eastAsia"/>
      </w:rPr>
    </w:lvl>
  </w:abstractNum>
  <w:abstractNum w:abstractNumId="5">
    <w:nsid w:val="04FF3F96"/>
    <w:multiLevelType w:val="singleLevel"/>
    <w:tmpl w:val="04FF3F96"/>
    <w:lvl w:ilvl="0" w:tentative="0">
      <w:start w:val="6"/>
      <w:numFmt w:val="chineseCounting"/>
      <w:suff w:val="nothing"/>
      <w:lvlText w:val="%1、"/>
      <w:lvlJc w:val="left"/>
      <w:rPr>
        <w:rFonts w:hint="eastAsia"/>
      </w:rPr>
    </w:lvl>
  </w:abstractNum>
  <w:abstractNum w:abstractNumId="6">
    <w:nsid w:val="2391E0D2"/>
    <w:multiLevelType w:val="singleLevel"/>
    <w:tmpl w:val="2391E0D2"/>
    <w:lvl w:ilvl="0" w:tentative="0">
      <w:start w:val="1"/>
      <w:numFmt w:val="decimal"/>
      <w:suff w:val="nothing"/>
      <w:lvlText w:val="%1、"/>
      <w:lvlJc w:val="left"/>
    </w:lvl>
  </w:abstractNum>
  <w:abstractNum w:abstractNumId="7">
    <w:nsid w:val="71FFED52"/>
    <w:multiLevelType w:val="singleLevel"/>
    <w:tmpl w:val="71FFED52"/>
    <w:lvl w:ilvl="0" w:tentative="0">
      <w:start w:val="2"/>
      <w:numFmt w:val="chineseCounting"/>
      <w:suff w:val="nothing"/>
      <w:lvlText w:val="（%1）"/>
      <w:lvlJc w:val="left"/>
      <w:rPr>
        <w:rFonts w:hint="eastAsia"/>
      </w:rPr>
    </w:lvl>
  </w:abstractNum>
  <w:num w:numId="1">
    <w:abstractNumId w:val="4"/>
  </w:num>
  <w:num w:numId="2">
    <w:abstractNumId w:val="2"/>
  </w:num>
  <w:num w:numId="3">
    <w:abstractNumId w:val="1"/>
  </w:num>
  <w:num w:numId="4">
    <w:abstractNumId w:val="3"/>
  </w:num>
  <w:num w:numId="5">
    <w:abstractNumId w:val="0"/>
  </w:num>
  <w:num w:numId="6">
    <w:abstractNumId w:val="6"/>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YjcwNjgxNzNhYjExMDgzZWI2NGI0YmE1ODUyYmMifQ=="/>
  </w:docVars>
  <w:rsids>
    <w:rsidRoot w:val="78F8683A"/>
    <w:rsid w:val="0F403A6D"/>
    <w:rsid w:val="0F8B311E"/>
    <w:rsid w:val="154A6E5D"/>
    <w:rsid w:val="1FCA360B"/>
    <w:rsid w:val="21D818E3"/>
    <w:rsid w:val="24B12ABC"/>
    <w:rsid w:val="27BA3720"/>
    <w:rsid w:val="28620B4C"/>
    <w:rsid w:val="29C235A5"/>
    <w:rsid w:val="2CD21D51"/>
    <w:rsid w:val="2FDC2DF1"/>
    <w:rsid w:val="33B43715"/>
    <w:rsid w:val="39AD08EF"/>
    <w:rsid w:val="3D5E4F88"/>
    <w:rsid w:val="3DCD2CC5"/>
    <w:rsid w:val="4B737462"/>
    <w:rsid w:val="501E4DB1"/>
    <w:rsid w:val="638C7C76"/>
    <w:rsid w:val="67B657F0"/>
    <w:rsid w:val="68821CC5"/>
    <w:rsid w:val="78F86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2898</Words>
  <Characters>3076</Characters>
  <Lines>0</Lines>
  <Paragraphs>0</Paragraphs>
  <TotalTime>6</TotalTime>
  <ScaleCrop>false</ScaleCrop>
  <LinksUpToDate>false</LinksUpToDate>
  <CharactersWithSpaces>3079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2023-06-07T07:27:00Z</dcterms:created>
  <dc:creator>木木</dc:creator>
  <cp:lastModifiedBy>木木</cp:lastModifiedBy>
  <dcterms:modified xsi:type="dcterms:W3CDTF">2023-06-09T09:40:50Z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02B89C4EEB0A412DB8B740BD8774FD04_11</vt:lpwstr>
  </property>
</Properties>
</file>