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34"/>
        <w:ind w:left="0" w:right="117" w:firstLine="0"/>
        <w:jc w:val="right"/>
        <w:rPr>
          <w:sz w:val="18"/>
        </w:rPr>
      </w:pPr>
      <w:r>
        <w:rPr/>
        <w:drawing>
          <wp:anchor distT="0" distB="0" distL="0" distR="0" allowOverlap="1" layoutInCell="1" locked="0" behindDoc="0" simplePos="0" relativeHeight="15728640">
            <wp:simplePos x="0" y="0"/>
            <wp:positionH relativeFrom="page">
              <wp:posOffset>6310248</wp:posOffset>
            </wp:positionH>
            <wp:positionV relativeFrom="paragraph">
              <wp:posOffset>229362</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spacing w:val="-2"/>
          <w:sz w:val="18"/>
        </w:rPr>
        <w:t>弘康人寿[2019</w:t>
      </w:r>
      <w:r>
        <w:rPr>
          <w:spacing w:val="-8"/>
          <w:sz w:val="18"/>
        </w:rPr>
        <w:t>]终身寿险 </w:t>
      </w:r>
      <w:r>
        <w:rPr>
          <w:spacing w:val="-2"/>
          <w:sz w:val="18"/>
        </w:rPr>
        <w:t>009</w:t>
      </w:r>
      <w:r>
        <w:rPr>
          <w:spacing w:val="-21"/>
          <w:sz w:val="18"/>
        </w:rPr>
        <w:t> 号</w:t>
      </w:r>
    </w:p>
    <w:p>
      <w:pPr>
        <w:pStyle w:val="BodyText"/>
        <w:rPr>
          <w:sz w:val="20"/>
        </w:rPr>
      </w:pPr>
    </w:p>
    <w:p>
      <w:pPr>
        <w:pStyle w:val="BodyText"/>
        <w:rPr>
          <w:sz w:val="20"/>
        </w:rPr>
      </w:pPr>
    </w:p>
    <w:p>
      <w:pPr>
        <w:pStyle w:val="BodyText"/>
        <w:spacing w:before="7"/>
        <w:rPr>
          <w:sz w:val="25"/>
        </w:rPr>
      </w:pPr>
    </w:p>
    <w:p>
      <w:pPr>
        <w:spacing w:after="0"/>
        <w:rPr>
          <w:sz w:val="25"/>
        </w:rPr>
        <w:sectPr>
          <w:type w:val="continuous"/>
          <w:pgSz w:w="11910" w:h="16840"/>
          <w:pgMar w:top="0" w:bottom="280" w:left="740" w:right="20"/>
        </w:sectPr>
      </w:pPr>
    </w:p>
    <w:p>
      <w:pPr>
        <w:pStyle w:val="Heading1"/>
        <w:spacing w:line="702" w:lineRule="exact"/>
        <w:ind w:left="2562" w:right="0"/>
        <w:jc w:val="left"/>
      </w:pPr>
      <w:r>
        <w:rPr>
          <w:w w:val="95"/>
        </w:rPr>
        <w:t>弘</w:t>
      </w:r>
      <w:r>
        <w:rPr>
          <w:w w:val="95"/>
        </w:rPr>
        <w:t>康</w:t>
      </w:r>
      <w:r>
        <w:rPr>
          <w:w w:val="95"/>
        </w:rPr>
        <w:t>人</w:t>
      </w:r>
      <w:r>
        <w:rPr>
          <w:w w:val="95"/>
        </w:rPr>
        <w:t>寿</w:t>
      </w:r>
      <w:r>
        <w:rPr>
          <w:w w:val="95"/>
        </w:rPr>
        <w:t>保</w:t>
      </w:r>
      <w:r>
        <w:rPr>
          <w:w w:val="95"/>
        </w:rPr>
        <w:t>险</w:t>
      </w:r>
      <w:r>
        <w:rPr>
          <w:w w:val="95"/>
        </w:rPr>
        <w:t>股</w:t>
      </w:r>
      <w:r>
        <w:rPr>
          <w:w w:val="95"/>
        </w:rPr>
        <w:t>份</w:t>
      </w:r>
      <w:r>
        <w:rPr>
          <w:w w:val="95"/>
        </w:rPr>
        <w:t>有</w:t>
      </w:r>
      <w:r>
        <w:rPr>
          <w:w w:val="95"/>
        </w:rPr>
        <w:t>限</w:t>
      </w:r>
      <w:r>
        <w:rPr>
          <w:w w:val="95"/>
        </w:rPr>
        <w:t>公</w:t>
      </w:r>
      <w:r>
        <w:rPr>
          <w:spacing w:val="-10"/>
          <w:w w:val="95"/>
        </w:rPr>
        <w:t>司</w:t>
      </w:r>
    </w:p>
    <w:p>
      <w:pPr>
        <w:spacing w:line="240" w:lineRule="auto" w:before="12"/>
        <w:rPr>
          <w:rFonts w:ascii="Microsoft JhengHei"/>
          <w:b/>
          <w:sz w:val="26"/>
        </w:rPr>
      </w:pPr>
      <w:r>
        <w:rPr/>
        <w:br w:type="column"/>
      </w:r>
      <w:r>
        <w:rPr>
          <w:rFonts w:ascii="Microsoft JhengHei"/>
          <w:b/>
          <w:sz w:val="26"/>
        </w:rPr>
      </w:r>
    </w:p>
    <w:p>
      <w:pPr>
        <w:spacing w:before="0"/>
        <w:ind w:left="964" w:right="0" w:firstLine="0"/>
        <w:jc w:val="left"/>
        <w:rPr>
          <w:sz w:val="18"/>
        </w:rPr>
      </w:pPr>
      <w:r>
        <w:rPr>
          <w:spacing w:val="-1"/>
          <w:sz w:val="18"/>
        </w:rPr>
        <w:t>请扫描以查询验证条款</w:t>
      </w:r>
    </w:p>
    <w:p>
      <w:pPr>
        <w:spacing w:after="0"/>
        <w:jc w:val="left"/>
        <w:rPr>
          <w:sz w:val="18"/>
        </w:rPr>
        <w:sectPr>
          <w:type w:val="continuous"/>
          <w:pgSz w:w="11910" w:h="16840"/>
          <w:pgMar w:top="0" w:bottom="280" w:left="740" w:right="20"/>
          <w:cols w:num="2" w:equalWidth="0">
            <w:col w:w="7863" w:space="40"/>
            <w:col w:w="3247"/>
          </w:cols>
        </w:sectPr>
      </w:pPr>
    </w:p>
    <w:p>
      <w:pPr>
        <w:pStyle w:val="Heading1"/>
      </w:pPr>
      <w:r>
        <w:rPr>
          <w:spacing w:val="-22"/>
          <w:w w:val="95"/>
        </w:rPr>
        <w:t>弘康悦</w:t>
      </w:r>
      <w:r>
        <w:rPr>
          <w:spacing w:val="-22"/>
          <w:w w:val="95"/>
        </w:rPr>
        <w:t>享</w:t>
      </w:r>
      <w:r>
        <w:rPr>
          <w:spacing w:val="-22"/>
          <w:w w:val="95"/>
        </w:rPr>
        <w:t>长</w:t>
      </w:r>
      <w:r>
        <w:rPr>
          <w:spacing w:val="-22"/>
          <w:w w:val="95"/>
        </w:rPr>
        <w:t>盈终身寿</w:t>
      </w:r>
      <w:r>
        <w:rPr>
          <w:spacing w:val="-22"/>
          <w:w w:val="95"/>
        </w:rPr>
        <w:t>险</w:t>
      </w:r>
      <w:r>
        <w:rPr>
          <w:spacing w:val="-22"/>
          <w:w w:val="95"/>
        </w:rPr>
        <w:t>（</w:t>
      </w:r>
      <w:r>
        <w:rPr>
          <w:spacing w:val="-22"/>
          <w:w w:val="95"/>
        </w:rPr>
        <w:t>投</w:t>
      </w:r>
      <w:r>
        <w:rPr>
          <w:spacing w:val="-22"/>
          <w:w w:val="95"/>
        </w:rPr>
        <w:t>资连结</w:t>
      </w:r>
      <w:r>
        <w:rPr>
          <w:spacing w:val="-22"/>
          <w:w w:val="95"/>
        </w:rPr>
        <w:t>型</w:t>
      </w:r>
      <w:r>
        <w:rPr>
          <w:spacing w:val="-22"/>
          <w:w w:val="95"/>
        </w:rPr>
        <w:t>）</w:t>
      </w:r>
      <w:r>
        <w:rPr>
          <w:spacing w:val="-22"/>
          <w:w w:val="95"/>
        </w:rPr>
        <w:t>条</w:t>
      </w:r>
      <w:r>
        <w:rPr>
          <w:spacing w:val="-22"/>
          <w:w w:val="95"/>
        </w:rPr>
        <w:t>款</w:t>
      </w:r>
    </w:p>
    <w:p>
      <w:pPr>
        <w:spacing w:line="795" w:lineRule="exact" w:before="0"/>
        <w:ind w:left="1433" w:right="2151" w:firstLine="0"/>
        <w:jc w:val="center"/>
        <w:rPr>
          <w:rFonts w:ascii="Microsoft JhengHei" w:eastAsia="Microsoft JhengHei"/>
          <w:b/>
          <w:sz w:val="44"/>
        </w:rPr>
      </w:pPr>
      <w:r>
        <w:rPr>
          <w:rFonts w:ascii="Microsoft JhengHei" w:eastAsia="Microsoft JhengHei"/>
          <w:b/>
          <w:w w:val="95"/>
          <w:sz w:val="44"/>
        </w:rPr>
        <w:t>阅</w:t>
      </w:r>
      <w:r>
        <w:rPr>
          <w:rFonts w:ascii="Microsoft JhengHei" w:eastAsia="Microsoft JhengHei"/>
          <w:b/>
          <w:w w:val="95"/>
          <w:sz w:val="44"/>
        </w:rPr>
        <w:t>读</w:t>
      </w:r>
      <w:r>
        <w:rPr>
          <w:rFonts w:ascii="Microsoft JhengHei" w:eastAsia="Microsoft JhengHei"/>
          <w:b/>
          <w:w w:val="95"/>
          <w:sz w:val="44"/>
        </w:rPr>
        <w:t>指</w:t>
      </w:r>
      <w:r>
        <w:rPr>
          <w:rFonts w:ascii="Microsoft JhengHei" w:eastAsia="Microsoft JhengHei"/>
          <w:b/>
          <w:spacing w:val="-10"/>
          <w:w w:val="95"/>
          <w:sz w:val="44"/>
        </w:rPr>
        <w:t>引</w:t>
      </w:r>
    </w:p>
    <w:p>
      <w:pPr>
        <w:pStyle w:val="BodyText"/>
        <w:spacing w:before="113"/>
        <w:ind w:left="1433" w:right="2091"/>
        <w:jc w:val="center"/>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1"/>
        </w:rPr>
        <w:t>引</w:t>
      </w:r>
      <w:r>
        <w:rPr>
          <w:spacing w:val="-63"/>
          <w:position w:val="-7"/>
        </w:rPr>
        <w:t>．</w:t>
      </w:r>
      <w:r>
        <w:rPr>
          <w:spacing w:val="-149"/>
        </w:rPr>
        <w:t>有</w:t>
      </w:r>
      <w:r>
        <w:rPr>
          <w:spacing w:val="-63"/>
          <w:position w:val="-7"/>
        </w:rPr>
        <w:t>．</w:t>
      </w:r>
      <w:r>
        <w:rPr>
          <w:spacing w:val="-151"/>
        </w:rPr>
        <w:t>助</w:t>
      </w:r>
      <w:r>
        <w:rPr>
          <w:spacing w:val="-63"/>
          <w:position w:val="-7"/>
        </w:rPr>
        <w:t>．</w:t>
      </w:r>
      <w:r>
        <w:rPr>
          <w:spacing w:val="-149"/>
        </w:rPr>
        <w:t>于</w:t>
      </w:r>
      <w:r>
        <w:rPr>
          <w:spacing w:val="-63"/>
          <w:position w:val="-7"/>
        </w:rPr>
        <w:t>．</w:t>
      </w:r>
      <w:r>
        <w:rPr>
          <w:spacing w:val="-151"/>
        </w:rPr>
        <w:t>您</w:t>
      </w:r>
      <w:r>
        <w:rPr>
          <w:spacing w:val="-63"/>
          <w:position w:val="-7"/>
        </w:rPr>
        <w:t>．</w:t>
      </w:r>
      <w:r>
        <w:rPr>
          <w:spacing w:val="-149"/>
        </w:rPr>
        <w:t>理</w:t>
      </w:r>
      <w:r>
        <w:rPr>
          <w:spacing w:val="-63"/>
          <w:position w:val="-7"/>
        </w:rPr>
        <w:t>．</w:t>
      </w:r>
      <w:r>
        <w:rPr>
          <w:spacing w:val="-151"/>
        </w:rPr>
        <w:t>解</w:t>
      </w:r>
      <w:r>
        <w:rPr>
          <w:spacing w:val="-63"/>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2"/>
        </w:rPr>
        <w:t>本</w:t>
      </w:r>
      <w:r>
        <w:rPr>
          <w:spacing w:val="-63"/>
          <w:position w:val="-7"/>
        </w:rPr>
        <w:t>．</w:t>
      </w:r>
      <w:r>
        <w:rPr>
          <w:spacing w:val="-149"/>
        </w:rPr>
        <w:t>合</w:t>
      </w:r>
      <w:r>
        <w:rPr>
          <w:spacing w:val="-63"/>
          <w:position w:val="-7"/>
        </w:rPr>
        <w:t>．</w:t>
      </w:r>
      <w:r>
        <w:rPr>
          <w:spacing w:val="-151"/>
        </w:rPr>
        <w:t>同</w:t>
      </w:r>
      <w:r>
        <w:rPr>
          <w:spacing w:val="-63"/>
          <w:position w:val="-7"/>
        </w:rPr>
        <w:t>．</w:t>
      </w:r>
      <w:r>
        <w:rPr>
          <w:spacing w:val="-149"/>
        </w:rPr>
        <w:t>内</w:t>
      </w:r>
      <w:r>
        <w:rPr>
          <w:spacing w:val="-63"/>
          <w:position w:val="-7"/>
        </w:rPr>
        <w:t>．</w:t>
      </w:r>
      <w:r>
        <w:rPr>
          <w:spacing w:val="-151"/>
        </w:rPr>
        <w:t>容</w:t>
      </w:r>
      <w:r>
        <w:rPr>
          <w:spacing w:val="-63"/>
          <w:position w:val="-7"/>
        </w:rPr>
        <w:t>．</w:t>
      </w:r>
      <w:r>
        <w:rPr>
          <w:spacing w:val="-149"/>
        </w:rPr>
        <w:t>的</w:t>
      </w:r>
      <w:r>
        <w:rPr>
          <w:spacing w:val="-63"/>
          <w:position w:val="-7"/>
        </w:rPr>
        <w:t>．</w:t>
      </w:r>
      <w:r>
        <w:rPr>
          <w:spacing w:val="-151"/>
        </w:rPr>
        <w:t>解</w:t>
      </w:r>
      <w:r>
        <w:rPr>
          <w:spacing w:val="-63"/>
          <w:position w:val="-7"/>
        </w:rPr>
        <w:t>．</w:t>
      </w:r>
      <w:r>
        <w:rPr>
          <w:spacing w:val="-149"/>
        </w:rPr>
        <w:t>释</w:t>
      </w:r>
      <w:r>
        <w:rPr>
          <w:spacing w:val="-63"/>
          <w:position w:val="-7"/>
        </w:rPr>
        <w:t>．</w:t>
      </w:r>
      <w:r>
        <w:rPr>
          <w:spacing w:val="-149"/>
        </w:rPr>
        <w:t>以</w:t>
      </w:r>
      <w:r>
        <w:rPr>
          <w:spacing w:val="-63"/>
          <w:position w:val="-7"/>
        </w:rPr>
        <w:t>．</w:t>
      </w:r>
      <w:r>
        <w:rPr>
          <w:spacing w:val="-151"/>
        </w:rPr>
        <w:t>条</w:t>
      </w:r>
      <w:r>
        <w:rPr>
          <w:spacing w:val="-63"/>
          <w:position w:val="-7"/>
        </w:rPr>
        <w:t>．</w:t>
      </w:r>
      <w:r>
        <w:rPr>
          <w:spacing w:val="-149"/>
        </w:rPr>
        <w:t>款</w:t>
      </w:r>
      <w:r>
        <w:rPr>
          <w:spacing w:val="-63"/>
          <w:position w:val="-7"/>
        </w:rPr>
        <w:t>．</w:t>
      </w:r>
      <w:r>
        <w:rPr>
          <w:spacing w:val="-152"/>
        </w:rPr>
        <w:t>为</w:t>
      </w:r>
      <w:r>
        <w:rPr>
          <w:spacing w:val="-63"/>
          <w:position w:val="-7"/>
        </w:rPr>
        <w:t>．</w:t>
      </w:r>
      <w:r>
        <w:rPr>
          <w:spacing w:val="-149"/>
        </w:rPr>
        <w:t>准</w:t>
      </w:r>
      <w:r>
        <w:rPr>
          <w:spacing w:val="-63"/>
          <w:position w:val="-7"/>
        </w:rPr>
        <w:t>．</w:t>
      </w:r>
      <w:r>
        <w:rPr>
          <w:spacing w:val="-151"/>
        </w:rPr>
        <w:t>。</w:t>
      </w:r>
      <w:r>
        <w:rPr>
          <w:spacing w:val="-10"/>
          <w:position w:val="-7"/>
        </w:rPr>
        <w:t>．</w:t>
      </w:r>
    </w:p>
    <w:p>
      <w:pPr>
        <w:pStyle w:val="BodyText"/>
        <w:spacing w:before="8"/>
        <w:rPr>
          <w:sz w:val="22"/>
        </w:rPr>
      </w:pPr>
    </w:p>
    <w:p>
      <w:pPr>
        <w:spacing w:line="374" w:lineRule="exact" w:before="0"/>
        <w:ind w:left="1120" w:right="0" w:firstLine="0"/>
        <w:jc w:val="left"/>
        <w:rPr>
          <w:rFonts w:ascii="Microsoft JhengHei" w:eastAsia="Microsoft JhengHei"/>
          <w:b/>
          <w:sz w:val="21"/>
        </w:rPr>
      </w:pPr>
      <w:r>
        <w:rPr/>
        <w:drawing>
          <wp:anchor distT="0" distB="0" distL="0" distR="0" allowOverlap="1" layoutInCell="1" locked="0" behindDoc="1" simplePos="0" relativeHeight="486501376">
            <wp:simplePos x="0" y="0"/>
            <wp:positionH relativeFrom="page">
              <wp:posOffset>530351</wp:posOffset>
            </wp:positionH>
            <wp:positionV relativeFrom="paragraph">
              <wp:posOffset>-80189</wp:posOffset>
            </wp:positionV>
            <wp:extent cx="6502653" cy="7413701"/>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502653" cy="7413701"/>
                    </a:xfrm>
                    <a:prstGeom prst="rect">
                      <a:avLst/>
                    </a:prstGeom>
                  </pic:spPr>
                </pic:pic>
              </a:graphicData>
            </a:graphic>
          </wp:anchor>
        </w:drawing>
      </w:r>
      <w:r>
        <w:rPr/>
        <w:pict>
          <v:shapetype id="_x0000_t202" o:spt="202" coordsize="21600,21600" path="m,l,21600r21600,l21600,xe">
            <v:stroke joinstyle="miter"/>
            <v:path gradientshapeok="t" o:connecttype="rect"/>
          </v:shapetype>
          <v:shape style="position:absolute;margin-left:47.400002pt;margin-top:-1.99269pt;width:24.55pt;height:27.5pt;mso-position-horizontal-relative:page;mso-position-vertical-relative:paragraph;z-index:15729664" type="#_x0000_t202" id="docshape1" filled="false" stroked="false">
            <v:textbox inset="0,0,0,0">
              <w:txbxContent>
                <w:p>
                  <w:pPr>
                    <w:spacing w:before="0"/>
                    <w:ind w:left="0" w:right="0" w:firstLine="0"/>
                    <w:jc w:val="left"/>
                    <w:rPr>
                      <w:rFonts w:ascii="Wingdings 2" w:hAnsi="Wingdings 2"/>
                      <w:b/>
                      <w:sz w:val="52"/>
                    </w:rPr>
                  </w:pPr>
                  <w:r>
                    <w:rPr>
                      <w:rFonts w:ascii="Wingdings 2" w:hAnsi="Wingdings 2"/>
                      <w:b/>
                      <w:w w:val="100"/>
                      <w:sz w:val="52"/>
                    </w:rPr>
                    <w:t></w:t>
                  </w:r>
                </w:p>
              </w:txbxContent>
            </v:textbox>
            <w10:wrap type="none"/>
          </v:shape>
        </w:pict>
      </w:r>
      <w:r>
        <w:rPr>
          <w:rFonts w:ascii="Microsoft JhengHei" w:eastAsia="Microsoft JhengHei"/>
          <w:b/>
          <w:spacing w:val="-4"/>
          <w:sz w:val="21"/>
        </w:rPr>
        <w:t>您拥有的重要权益</w:t>
      </w:r>
    </w:p>
    <w:p>
      <w:pPr>
        <w:pStyle w:val="ListParagraph"/>
        <w:numPr>
          <w:ilvl w:val="0"/>
          <w:numId w:val="1"/>
        </w:numPr>
        <w:tabs>
          <w:tab w:pos="1705" w:val="left" w:leader="none"/>
          <w:tab w:pos="1706" w:val="left" w:leader="none"/>
          <w:tab w:pos="9689" w:val="right" w:leader="dot"/>
        </w:tabs>
        <w:spacing w:line="257" w:lineRule="exact" w:before="0" w:after="0"/>
        <w:ind w:left="1706" w:right="0" w:hanging="526"/>
        <w:jc w:val="left"/>
        <w:rPr>
          <w:sz w:val="21"/>
        </w:rPr>
      </w:pPr>
      <w:r>
        <w:rPr>
          <w:spacing w:val="-2"/>
          <w:sz w:val="21"/>
        </w:rPr>
        <w:t>签收本合同之</w:t>
      </w:r>
      <w:r>
        <w:rPr>
          <w:spacing w:val="-2"/>
          <w:sz w:val="21"/>
        </w:rPr>
        <w:t>日</w:t>
      </w:r>
      <w:r>
        <w:rPr>
          <w:spacing w:val="-2"/>
          <w:sz w:val="21"/>
        </w:rPr>
        <w:t>起</w:t>
      </w:r>
      <w:r>
        <w:rPr>
          <w:spacing w:val="-2"/>
          <w:sz w:val="21"/>
        </w:rPr>
        <w:t>15日内（</w:t>
      </w:r>
      <w:r>
        <w:rPr>
          <w:spacing w:val="-2"/>
          <w:sz w:val="21"/>
        </w:rPr>
        <w:t>含</w:t>
      </w:r>
      <w:r>
        <w:rPr>
          <w:spacing w:val="-2"/>
          <w:sz w:val="21"/>
        </w:rPr>
        <w:t>第15日）为犹豫</w:t>
      </w:r>
      <w:r>
        <w:rPr>
          <w:spacing w:val="-10"/>
          <w:sz w:val="21"/>
        </w:rPr>
        <w:t>期</w:t>
      </w:r>
      <w:r>
        <w:rPr>
          <w:rFonts w:ascii="Times New Roman" w:hAnsi="Times New Roman" w:eastAsia="Times New Roman"/>
          <w:sz w:val="21"/>
        </w:rPr>
        <w:tab/>
      </w:r>
      <w:r>
        <w:rPr>
          <w:spacing w:val="-5"/>
          <w:sz w:val="21"/>
        </w:rPr>
        <w:t>1.4</w:t>
      </w:r>
    </w:p>
    <w:p>
      <w:pPr>
        <w:pStyle w:val="ListParagraph"/>
        <w:numPr>
          <w:ilvl w:val="0"/>
          <w:numId w:val="1"/>
        </w:numPr>
        <w:tabs>
          <w:tab w:pos="1705" w:val="left" w:leader="none"/>
          <w:tab w:pos="1706" w:val="left" w:leader="none"/>
          <w:tab w:pos="9689" w:val="right" w:leader="dot"/>
        </w:tabs>
        <w:spacing w:line="240" w:lineRule="auto" w:before="43" w:after="0"/>
        <w:ind w:left="1706" w:right="0" w:hanging="526"/>
        <w:jc w:val="left"/>
        <w:rPr>
          <w:sz w:val="21"/>
        </w:rPr>
      </w:pPr>
      <w:r>
        <w:rPr>
          <w:spacing w:val="-2"/>
          <w:sz w:val="21"/>
        </w:rPr>
        <w:t>被保险人可以享受本合同</w:t>
      </w:r>
      <w:r>
        <w:rPr>
          <w:spacing w:val="-2"/>
          <w:sz w:val="21"/>
        </w:rPr>
        <w:t>提</w:t>
      </w:r>
      <w:r>
        <w:rPr>
          <w:spacing w:val="-2"/>
          <w:sz w:val="21"/>
        </w:rPr>
        <w:t>供</w:t>
      </w:r>
      <w:r>
        <w:rPr>
          <w:spacing w:val="-2"/>
          <w:sz w:val="21"/>
        </w:rPr>
        <w:t>的</w:t>
      </w:r>
      <w:r>
        <w:rPr>
          <w:spacing w:val="-2"/>
          <w:sz w:val="21"/>
        </w:rPr>
        <w:t>保</w:t>
      </w:r>
      <w:r>
        <w:rPr>
          <w:spacing w:val="-10"/>
          <w:sz w:val="21"/>
        </w:rPr>
        <w:t>障</w:t>
      </w:r>
      <w:r>
        <w:rPr>
          <w:rFonts w:ascii="Times New Roman" w:hAnsi="Times New Roman" w:eastAsia="Times New Roman"/>
          <w:sz w:val="21"/>
        </w:rPr>
        <w:tab/>
      </w:r>
      <w:r>
        <w:rPr>
          <w:spacing w:val="-5"/>
          <w:sz w:val="21"/>
        </w:rPr>
        <w:t>2.1</w:t>
      </w:r>
    </w:p>
    <w:p>
      <w:pPr>
        <w:pStyle w:val="ListParagraph"/>
        <w:numPr>
          <w:ilvl w:val="0"/>
          <w:numId w:val="1"/>
        </w:numPr>
        <w:tabs>
          <w:tab w:pos="1705" w:val="left" w:leader="none"/>
          <w:tab w:pos="1706" w:val="left" w:leader="none"/>
          <w:tab w:pos="9689" w:val="right" w:leader="dot"/>
        </w:tabs>
        <w:spacing w:line="240" w:lineRule="auto" w:before="43" w:after="0"/>
        <w:ind w:left="1706" w:right="0" w:hanging="526"/>
        <w:jc w:val="left"/>
        <w:rPr>
          <w:sz w:val="21"/>
        </w:rPr>
      </w:pPr>
      <w:r>
        <w:rPr>
          <w:spacing w:val="-2"/>
          <w:sz w:val="21"/>
        </w:rPr>
        <w:t>您有解除合同的权</w:t>
      </w:r>
      <w:r>
        <w:rPr>
          <w:spacing w:val="-10"/>
          <w:sz w:val="21"/>
        </w:rPr>
        <w:t>利</w:t>
      </w:r>
      <w:r>
        <w:rPr>
          <w:rFonts w:ascii="Times New Roman" w:hAnsi="Times New Roman" w:eastAsia="Times New Roman"/>
          <w:sz w:val="21"/>
        </w:rPr>
        <w:tab/>
      </w:r>
      <w:r>
        <w:rPr>
          <w:spacing w:val="-5"/>
          <w:sz w:val="21"/>
        </w:rPr>
        <w:t>8.1</w:t>
      </w:r>
    </w:p>
    <w:p>
      <w:pPr>
        <w:spacing w:line="374" w:lineRule="exact" w:before="137"/>
        <w:ind w:left="1120" w:right="0" w:firstLine="0"/>
        <w:jc w:val="left"/>
        <w:rPr>
          <w:rFonts w:ascii="Microsoft JhengHei" w:eastAsia="Microsoft JhengHei"/>
          <w:b/>
          <w:sz w:val="21"/>
        </w:rPr>
      </w:pPr>
      <w:r>
        <w:rPr/>
        <w:pict>
          <v:shape style="position:absolute;margin-left:47.400002pt;margin-top:4.857305pt;width:24.55pt;height:27.5pt;mso-position-horizontal-relative:page;mso-position-vertical-relative:paragraph;z-index:15730176" type="#_x0000_t202" id="docshape2" filled="false" stroked="false">
            <v:textbox inset="0,0,0,0">
              <w:txbxContent>
                <w:p>
                  <w:pPr>
                    <w:spacing w:before="0"/>
                    <w:ind w:left="0" w:right="0" w:firstLine="0"/>
                    <w:jc w:val="left"/>
                    <w:rPr>
                      <w:rFonts w:ascii="Wingdings 2" w:hAnsi="Wingdings 2"/>
                      <w:b/>
                      <w:sz w:val="52"/>
                    </w:rPr>
                  </w:pPr>
                  <w:r>
                    <w:rPr>
                      <w:rFonts w:ascii="Wingdings 2" w:hAnsi="Wingdings 2"/>
                      <w:b/>
                      <w:w w:val="100"/>
                      <w:sz w:val="52"/>
                    </w:rPr>
                    <w:t></w:t>
                  </w:r>
                </w:p>
              </w:txbxContent>
            </v:textbox>
            <w10:wrap type="none"/>
          </v:shape>
        </w:pict>
      </w:r>
      <w:r>
        <w:rPr>
          <w:rFonts w:ascii="Microsoft JhengHei" w:eastAsia="Microsoft JhengHei"/>
          <w:b/>
          <w:spacing w:val="-3"/>
          <w:sz w:val="21"/>
        </w:rPr>
        <w:t>您应当特别注意的事项</w:t>
      </w:r>
    </w:p>
    <w:p>
      <w:pPr>
        <w:pStyle w:val="ListParagraph"/>
        <w:numPr>
          <w:ilvl w:val="0"/>
          <w:numId w:val="1"/>
        </w:numPr>
        <w:tabs>
          <w:tab w:pos="1705" w:val="left" w:leader="none"/>
          <w:tab w:pos="1706" w:val="left" w:leader="none"/>
        </w:tabs>
        <w:spacing w:line="257" w:lineRule="exact" w:before="0" w:after="0"/>
        <w:ind w:left="1706" w:right="0" w:hanging="526"/>
        <w:jc w:val="left"/>
        <w:rPr>
          <w:sz w:val="21"/>
        </w:rPr>
      </w:pPr>
      <w:r>
        <w:rPr>
          <w:spacing w:val="-2"/>
          <w:sz w:val="21"/>
        </w:rPr>
        <w:t>在某些情况下，我们不承担保险责任 ………………………………1.4;2.2;3.2;7.1;9.2</w:t>
      </w:r>
    </w:p>
    <w:p>
      <w:pPr>
        <w:pStyle w:val="ListParagraph"/>
        <w:numPr>
          <w:ilvl w:val="0"/>
          <w:numId w:val="1"/>
        </w:numPr>
        <w:tabs>
          <w:tab w:pos="1705" w:val="left" w:leader="none"/>
          <w:tab w:pos="1706" w:val="left" w:leader="none"/>
          <w:tab w:pos="9689" w:val="right" w:leader="dot"/>
        </w:tabs>
        <w:spacing w:line="240" w:lineRule="auto" w:before="43" w:after="0"/>
        <w:ind w:left="1706" w:right="0" w:hanging="526"/>
        <w:jc w:val="left"/>
        <w:rPr>
          <w:sz w:val="21"/>
        </w:rPr>
      </w:pPr>
      <w:r>
        <w:rPr>
          <w:spacing w:val="-2"/>
          <w:sz w:val="21"/>
        </w:rPr>
        <w:t>保险事故发生后请您及时</w:t>
      </w:r>
      <w:r>
        <w:rPr>
          <w:spacing w:val="-2"/>
          <w:sz w:val="21"/>
        </w:rPr>
        <w:t>通</w:t>
      </w:r>
      <w:r>
        <w:rPr>
          <w:spacing w:val="-2"/>
          <w:sz w:val="21"/>
        </w:rPr>
        <w:t>知</w:t>
      </w:r>
      <w:r>
        <w:rPr>
          <w:spacing w:val="-2"/>
          <w:sz w:val="21"/>
        </w:rPr>
        <w:t>我</w:t>
      </w:r>
      <w:r>
        <w:rPr>
          <w:spacing w:val="-10"/>
          <w:sz w:val="21"/>
        </w:rPr>
        <w:t>们</w:t>
      </w:r>
      <w:r>
        <w:rPr>
          <w:rFonts w:ascii="Times New Roman" w:hAnsi="Times New Roman" w:eastAsia="Times New Roman"/>
          <w:sz w:val="21"/>
        </w:rPr>
        <w:tab/>
      </w:r>
      <w:r>
        <w:rPr>
          <w:spacing w:val="-5"/>
          <w:sz w:val="21"/>
        </w:rPr>
        <w:t>3.2</w:t>
      </w:r>
    </w:p>
    <w:p>
      <w:pPr>
        <w:pStyle w:val="ListParagraph"/>
        <w:numPr>
          <w:ilvl w:val="0"/>
          <w:numId w:val="1"/>
        </w:numPr>
        <w:tabs>
          <w:tab w:pos="1705" w:val="left" w:leader="none"/>
          <w:tab w:pos="1706" w:val="left" w:leader="none"/>
          <w:tab w:pos="9689" w:val="right" w:leader="dot"/>
        </w:tabs>
        <w:spacing w:line="240" w:lineRule="auto" w:before="43" w:after="0"/>
        <w:ind w:left="1706" w:right="0" w:hanging="526"/>
        <w:jc w:val="left"/>
        <w:rPr>
          <w:sz w:val="21"/>
        </w:rPr>
      </w:pPr>
      <w:r>
        <w:rPr>
          <w:spacing w:val="-2"/>
          <w:sz w:val="21"/>
        </w:rPr>
        <w:t>您将完全承担投资账户的</w:t>
      </w:r>
      <w:r>
        <w:rPr>
          <w:spacing w:val="-2"/>
          <w:sz w:val="21"/>
        </w:rPr>
        <w:t>风</w:t>
      </w:r>
      <w:r>
        <w:rPr>
          <w:spacing w:val="-10"/>
          <w:sz w:val="21"/>
        </w:rPr>
        <w:t>险</w:t>
      </w:r>
      <w:r>
        <w:rPr>
          <w:rFonts w:ascii="Times New Roman" w:hAnsi="Times New Roman" w:eastAsia="Times New Roman"/>
          <w:sz w:val="21"/>
        </w:rPr>
        <w:tab/>
      </w:r>
      <w:r>
        <w:rPr>
          <w:spacing w:val="-5"/>
          <w:sz w:val="21"/>
        </w:rPr>
        <w:t>4.1</w:t>
      </w:r>
    </w:p>
    <w:p>
      <w:pPr>
        <w:pStyle w:val="ListParagraph"/>
        <w:numPr>
          <w:ilvl w:val="0"/>
          <w:numId w:val="1"/>
        </w:numPr>
        <w:tabs>
          <w:tab w:pos="1705" w:val="left" w:leader="none"/>
          <w:tab w:pos="1706" w:val="left" w:leader="none"/>
          <w:tab w:pos="9692" w:val="right" w:leader="dot"/>
        </w:tabs>
        <w:spacing w:line="240" w:lineRule="auto" w:before="43" w:after="0"/>
        <w:ind w:left="1706" w:right="0" w:hanging="526"/>
        <w:jc w:val="left"/>
        <w:rPr>
          <w:sz w:val="21"/>
        </w:rPr>
      </w:pPr>
      <w:r>
        <w:rPr>
          <w:spacing w:val="-2"/>
          <w:sz w:val="21"/>
        </w:rPr>
        <w:t>您应当按时交纳保</w:t>
      </w:r>
      <w:r>
        <w:rPr>
          <w:spacing w:val="-2"/>
          <w:sz w:val="21"/>
        </w:rPr>
        <w:t>险</w:t>
      </w:r>
      <w:r>
        <w:rPr>
          <w:spacing w:val="-10"/>
          <w:sz w:val="21"/>
        </w:rPr>
        <w:t>费</w:t>
      </w:r>
      <w:r>
        <w:rPr>
          <w:rFonts w:ascii="Times New Roman" w:hAnsi="Times New Roman" w:eastAsia="Times New Roman"/>
          <w:sz w:val="21"/>
        </w:rPr>
        <w:tab/>
      </w:r>
      <w:r>
        <w:rPr>
          <w:spacing w:val="-5"/>
          <w:sz w:val="21"/>
        </w:rPr>
        <w:t>5.1</w:t>
      </w:r>
    </w:p>
    <w:p>
      <w:pPr>
        <w:pStyle w:val="ListParagraph"/>
        <w:numPr>
          <w:ilvl w:val="0"/>
          <w:numId w:val="1"/>
        </w:numPr>
        <w:tabs>
          <w:tab w:pos="1705" w:val="left" w:leader="none"/>
          <w:tab w:pos="1706" w:val="left" w:leader="none"/>
          <w:tab w:pos="9689" w:val="right" w:leader="dot"/>
        </w:tabs>
        <w:spacing w:line="240" w:lineRule="auto" w:before="43" w:after="0"/>
        <w:ind w:left="1706" w:right="0" w:hanging="526"/>
        <w:jc w:val="left"/>
        <w:rPr>
          <w:sz w:val="21"/>
        </w:rPr>
      </w:pPr>
      <w:r>
        <w:rPr>
          <w:spacing w:val="-2"/>
          <w:sz w:val="21"/>
        </w:rPr>
        <w:t>解除合同会给您造成一定</w:t>
      </w:r>
      <w:r>
        <w:rPr>
          <w:spacing w:val="-2"/>
          <w:sz w:val="21"/>
        </w:rPr>
        <w:t>的</w:t>
      </w:r>
      <w:r>
        <w:rPr>
          <w:spacing w:val="-2"/>
          <w:sz w:val="21"/>
        </w:rPr>
        <w:t>损</w:t>
      </w:r>
      <w:r>
        <w:rPr>
          <w:spacing w:val="-2"/>
          <w:sz w:val="21"/>
        </w:rPr>
        <w:t>失，请您慎重决</w:t>
      </w:r>
      <w:r>
        <w:rPr>
          <w:spacing w:val="-10"/>
          <w:sz w:val="21"/>
        </w:rPr>
        <w:t>策</w:t>
      </w:r>
      <w:r>
        <w:rPr>
          <w:rFonts w:ascii="Times New Roman" w:hAnsi="Times New Roman" w:eastAsia="Times New Roman"/>
          <w:sz w:val="21"/>
        </w:rPr>
        <w:tab/>
      </w:r>
      <w:r>
        <w:rPr>
          <w:spacing w:val="-5"/>
          <w:sz w:val="21"/>
        </w:rPr>
        <w:t>8.1</w:t>
      </w:r>
    </w:p>
    <w:p>
      <w:pPr>
        <w:pStyle w:val="ListParagraph"/>
        <w:numPr>
          <w:ilvl w:val="0"/>
          <w:numId w:val="1"/>
        </w:numPr>
        <w:tabs>
          <w:tab w:pos="1705" w:val="left" w:leader="none"/>
          <w:tab w:pos="1706" w:val="left" w:leader="none"/>
          <w:tab w:pos="9689" w:val="right" w:leader="dot"/>
        </w:tabs>
        <w:spacing w:line="240" w:lineRule="auto" w:before="43" w:after="0"/>
        <w:ind w:left="1706" w:right="0" w:hanging="526"/>
        <w:jc w:val="left"/>
        <w:rPr>
          <w:sz w:val="21"/>
        </w:rPr>
      </w:pPr>
      <w:r>
        <w:rPr>
          <w:spacing w:val="-2"/>
          <w:sz w:val="21"/>
        </w:rPr>
        <w:t>您有如实告知的义</w:t>
      </w:r>
      <w:r>
        <w:rPr>
          <w:spacing w:val="-10"/>
          <w:sz w:val="21"/>
        </w:rPr>
        <w:t>务</w:t>
      </w:r>
      <w:r>
        <w:rPr>
          <w:rFonts w:ascii="Times New Roman" w:hAnsi="Times New Roman" w:eastAsia="Times New Roman"/>
          <w:sz w:val="21"/>
        </w:rPr>
        <w:tab/>
      </w:r>
      <w:r>
        <w:rPr>
          <w:spacing w:val="-5"/>
          <w:sz w:val="21"/>
        </w:rPr>
        <w:t>9.2</w:t>
      </w:r>
    </w:p>
    <w:p>
      <w:pPr>
        <w:pStyle w:val="ListParagraph"/>
        <w:numPr>
          <w:ilvl w:val="0"/>
          <w:numId w:val="1"/>
        </w:numPr>
        <w:tabs>
          <w:tab w:pos="1705" w:val="left" w:leader="none"/>
          <w:tab w:pos="1706" w:val="left" w:leader="none"/>
          <w:tab w:pos="9584" w:val="right" w:leader="dot"/>
        </w:tabs>
        <w:spacing w:line="240" w:lineRule="auto" w:before="43" w:after="0"/>
        <w:ind w:left="1706" w:right="0" w:hanging="526"/>
        <w:jc w:val="left"/>
        <w:rPr>
          <w:sz w:val="21"/>
        </w:rPr>
      </w:pPr>
      <w:r>
        <w:rPr>
          <w:spacing w:val="-2"/>
          <w:sz w:val="21"/>
        </w:rPr>
        <w:t>我们对一些重要术语进行</w:t>
      </w:r>
      <w:r>
        <w:rPr>
          <w:spacing w:val="-2"/>
          <w:sz w:val="21"/>
        </w:rPr>
        <w:t>了</w:t>
      </w:r>
      <w:r>
        <w:rPr>
          <w:spacing w:val="-2"/>
          <w:sz w:val="21"/>
        </w:rPr>
        <w:t>解</w:t>
      </w:r>
      <w:r>
        <w:rPr>
          <w:spacing w:val="-2"/>
          <w:sz w:val="21"/>
        </w:rPr>
        <w:t>释，并作了显著标识，</w:t>
      </w:r>
      <w:r>
        <w:rPr>
          <w:spacing w:val="-2"/>
          <w:sz w:val="21"/>
        </w:rPr>
        <w:t>请</w:t>
      </w:r>
      <w:r>
        <w:rPr>
          <w:spacing w:val="-2"/>
          <w:sz w:val="21"/>
        </w:rPr>
        <w:t>您</w:t>
      </w:r>
      <w:r>
        <w:rPr>
          <w:spacing w:val="-2"/>
          <w:sz w:val="21"/>
        </w:rPr>
        <w:t>注</w:t>
      </w:r>
      <w:r>
        <w:rPr>
          <w:spacing w:val="-10"/>
          <w:sz w:val="21"/>
        </w:rPr>
        <w:t>意</w:t>
      </w:r>
      <w:r>
        <w:rPr>
          <w:rFonts w:ascii="Times New Roman" w:hAnsi="Times New Roman" w:eastAsia="Times New Roman"/>
          <w:sz w:val="21"/>
        </w:rPr>
        <w:tab/>
      </w:r>
      <w:r>
        <w:rPr>
          <w:spacing w:val="-5"/>
          <w:sz w:val="21"/>
        </w:rPr>
        <w:t>11</w:t>
      </w:r>
    </w:p>
    <w:p>
      <w:pPr>
        <w:tabs>
          <w:tab w:pos="1120" w:val="left" w:leader="none"/>
        </w:tabs>
        <w:spacing w:line="482" w:lineRule="exact" w:before="97"/>
        <w:ind w:left="207" w:right="0" w:firstLine="0"/>
        <w:jc w:val="left"/>
        <w:rPr>
          <w:rFonts w:ascii="Microsoft JhengHei" w:hAnsi="Microsoft JhengHei" w:eastAsia="Microsoft JhengHei"/>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Microsoft JhengHei" w:hAnsi="Microsoft JhengHei" w:eastAsia="Microsoft JhengHei"/>
          <w:b/>
          <w:spacing w:val="-3"/>
          <w:sz w:val="21"/>
        </w:rPr>
        <w:t>条款是保险合同的重要内容，为充分保障您的权益，请您仔细阅读本条款。</w:t>
      </w:r>
    </w:p>
    <w:p>
      <w:pPr>
        <w:tabs>
          <w:tab w:pos="1120" w:val="left" w:leader="none"/>
        </w:tabs>
        <w:spacing w:line="482" w:lineRule="exact" w:before="0"/>
        <w:ind w:left="207" w:right="0" w:firstLine="0"/>
        <w:jc w:val="left"/>
        <w:rPr>
          <w:rFonts w:ascii="Microsoft JhengHei" w:hAnsi="Microsoft JhengHei" w:eastAsia="Microsoft JhengHei"/>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Microsoft JhengHei" w:hAnsi="Microsoft JhengHei" w:eastAsia="Microsoft JhengHei"/>
          <w:b/>
          <w:spacing w:val="-3"/>
          <w:sz w:val="21"/>
        </w:rPr>
        <w:t>条款目录</w:t>
      </w:r>
    </w:p>
    <w:p>
      <w:pPr>
        <w:spacing w:after="0" w:line="482" w:lineRule="exact"/>
        <w:jc w:val="left"/>
        <w:rPr>
          <w:rFonts w:ascii="Microsoft JhengHei" w:hAnsi="Microsoft JhengHei" w:eastAsia="Microsoft JhengHei"/>
          <w:sz w:val="21"/>
        </w:rPr>
        <w:sectPr>
          <w:type w:val="continuous"/>
          <w:pgSz w:w="11910" w:h="16840"/>
          <w:pgMar w:top="0" w:bottom="280" w:left="740" w:right="20"/>
        </w:sectPr>
      </w:pPr>
    </w:p>
    <w:p>
      <w:pPr>
        <w:pStyle w:val="ListParagraph"/>
        <w:numPr>
          <w:ilvl w:val="1"/>
          <w:numId w:val="1"/>
        </w:numPr>
        <w:tabs>
          <w:tab w:pos="1525" w:val="left" w:leader="none"/>
        </w:tabs>
        <w:spacing w:line="382" w:lineRule="exact" w:before="0" w:after="0"/>
        <w:ind w:left="1524" w:right="0" w:hanging="213"/>
        <w:jc w:val="left"/>
        <w:rPr>
          <w:rFonts w:ascii="Microsoft JhengHei" w:eastAsia="Microsoft JhengHei"/>
          <w:b/>
          <w:sz w:val="21"/>
        </w:rPr>
      </w:pPr>
      <w:r>
        <w:rPr/>
        <w:pict>
          <v:shape style="position:absolute;margin-left:109.68pt;margin-top:20.172661pt;width:419.15pt;height:57.2pt;mso-position-horizontal-relative:page;mso-position-vertical-relative:paragraph;z-index:15730688" type="#_x0000_t202" id="docshape3"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40"/>
                    <w:gridCol w:w="2030"/>
                    <w:gridCol w:w="875"/>
                    <w:gridCol w:w="1926"/>
                    <w:gridCol w:w="3112"/>
                  </w:tblGrid>
                  <w:tr>
                    <w:trPr>
                      <w:trHeight w:val="261" w:hRule="atLeast"/>
                    </w:trPr>
                    <w:tc>
                      <w:tcPr>
                        <w:tcW w:w="440" w:type="dxa"/>
                      </w:tcPr>
                      <w:p>
                        <w:pPr>
                          <w:pStyle w:val="TableParagraph"/>
                          <w:spacing w:line="241" w:lineRule="exact" w:before="0"/>
                          <w:ind w:left="58" w:right="42"/>
                          <w:jc w:val="center"/>
                          <w:rPr>
                            <w:sz w:val="21"/>
                          </w:rPr>
                        </w:pPr>
                        <w:r>
                          <w:rPr>
                            <w:spacing w:val="-5"/>
                            <w:sz w:val="21"/>
                          </w:rPr>
                          <w:t>1.1</w:t>
                        </w:r>
                      </w:p>
                    </w:tc>
                    <w:tc>
                      <w:tcPr>
                        <w:tcW w:w="2030" w:type="dxa"/>
                      </w:tcPr>
                      <w:p>
                        <w:pPr>
                          <w:pStyle w:val="TableParagraph"/>
                          <w:spacing w:line="241" w:lineRule="exact" w:before="0"/>
                          <w:ind w:left="52"/>
                          <w:rPr>
                            <w:sz w:val="21"/>
                          </w:rPr>
                        </w:pPr>
                        <w:r>
                          <w:rPr>
                            <w:spacing w:val="-4"/>
                            <w:sz w:val="21"/>
                          </w:rPr>
                          <w:t>合同构成</w:t>
                        </w:r>
                      </w:p>
                    </w:tc>
                    <w:tc>
                      <w:tcPr>
                        <w:tcW w:w="875" w:type="dxa"/>
                      </w:tcPr>
                      <w:p>
                        <w:pPr>
                          <w:pStyle w:val="TableParagraph"/>
                          <w:spacing w:line="241" w:lineRule="exact" w:before="0"/>
                          <w:ind w:right="51"/>
                          <w:jc w:val="right"/>
                          <w:rPr>
                            <w:sz w:val="21"/>
                          </w:rPr>
                        </w:pPr>
                        <w:r>
                          <w:rPr>
                            <w:spacing w:val="-5"/>
                            <w:sz w:val="21"/>
                          </w:rPr>
                          <w:t>4.1</w:t>
                        </w:r>
                      </w:p>
                    </w:tc>
                    <w:tc>
                      <w:tcPr>
                        <w:tcW w:w="1926" w:type="dxa"/>
                      </w:tcPr>
                      <w:p>
                        <w:pPr>
                          <w:pStyle w:val="TableParagraph"/>
                          <w:spacing w:line="241" w:lineRule="exact" w:before="0"/>
                          <w:ind w:left="51"/>
                          <w:rPr>
                            <w:sz w:val="21"/>
                          </w:rPr>
                        </w:pPr>
                        <w:r>
                          <w:rPr>
                            <w:spacing w:val="-4"/>
                            <w:sz w:val="21"/>
                          </w:rPr>
                          <w:t>投资账户</w:t>
                        </w:r>
                      </w:p>
                    </w:tc>
                    <w:tc>
                      <w:tcPr>
                        <w:tcW w:w="3112" w:type="dxa"/>
                      </w:tcPr>
                      <w:p>
                        <w:pPr>
                          <w:pStyle w:val="TableParagraph"/>
                          <w:spacing w:line="242" w:lineRule="exact" w:before="0"/>
                          <w:ind w:left="612"/>
                          <w:rPr>
                            <w:rFonts w:ascii="Microsoft JhengHei" w:eastAsia="Microsoft JhengHei"/>
                            <w:b/>
                            <w:sz w:val="21"/>
                          </w:rPr>
                        </w:pPr>
                        <w:r>
                          <w:rPr>
                            <w:rFonts w:ascii="微软雅黑" w:eastAsia="微软雅黑"/>
                            <w:b/>
                            <w:sz w:val="21"/>
                          </w:rPr>
                          <w:t>7.</w:t>
                        </w:r>
                        <w:r>
                          <w:rPr>
                            <w:rFonts w:ascii="微软雅黑" w:eastAsia="微软雅黑"/>
                            <w:b/>
                            <w:spacing w:val="62"/>
                            <w:sz w:val="21"/>
                          </w:rPr>
                          <w:t> </w:t>
                        </w:r>
                        <w:r>
                          <w:rPr>
                            <w:rFonts w:ascii="Microsoft JhengHei" w:eastAsia="Microsoft JhengHei"/>
                            <w:b/>
                            <w:spacing w:val="-1"/>
                            <w:sz w:val="21"/>
                          </w:rPr>
                          <w:t>合同效力的中止与恢复</w:t>
                        </w:r>
                      </w:p>
                    </w:tc>
                  </w:tr>
                  <w:tr>
                    <w:trPr>
                      <w:trHeight w:val="311" w:hRule="atLeast"/>
                    </w:trPr>
                    <w:tc>
                      <w:tcPr>
                        <w:tcW w:w="440" w:type="dxa"/>
                      </w:tcPr>
                      <w:p>
                        <w:pPr>
                          <w:pStyle w:val="TableParagraph"/>
                          <w:ind w:left="58" w:right="42"/>
                          <w:jc w:val="center"/>
                          <w:rPr>
                            <w:sz w:val="21"/>
                          </w:rPr>
                        </w:pPr>
                        <w:r>
                          <w:rPr>
                            <w:spacing w:val="-5"/>
                            <w:sz w:val="21"/>
                          </w:rPr>
                          <w:t>1.2</w:t>
                        </w:r>
                      </w:p>
                    </w:tc>
                    <w:tc>
                      <w:tcPr>
                        <w:tcW w:w="2030" w:type="dxa"/>
                      </w:tcPr>
                      <w:p>
                        <w:pPr>
                          <w:pStyle w:val="TableParagraph"/>
                          <w:ind w:left="52"/>
                          <w:rPr>
                            <w:sz w:val="21"/>
                          </w:rPr>
                        </w:pPr>
                        <w:r>
                          <w:rPr>
                            <w:spacing w:val="-4"/>
                            <w:sz w:val="21"/>
                          </w:rPr>
                          <w:t>合同成立与生效</w:t>
                        </w:r>
                      </w:p>
                    </w:tc>
                    <w:tc>
                      <w:tcPr>
                        <w:tcW w:w="875" w:type="dxa"/>
                      </w:tcPr>
                      <w:p>
                        <w:pPr>
                          <w:pStyle w:val="TableParagraph"/>
                          <w:ind w:right="51"/>
                          <w:jc w:val="right"/>
                          <w:rPr>
                            <w:sz w:val="21"/>
                          </w:rPr>
                        </w:pPr>
                        <w:r>
                          <w:rPr>
                            <w:spacing w:val="-5"/>
                            <w:sz w:val="21"/>
                          </w:rPr>
                          <w:t>4.2</w:t>
                        </w:r>
                      </w:p>
                    </w:tc>
                    <w:tc>
                      <w:tcPr>
                        <w:tcW w:w="1926" w:type="dxa"/>
                      </w:tcPr>
                      <w:p>
                        <w:pPr>
                          <w:pStyle w:val="TableParagraph"/>
                          <w:ind w:left="51"/>
                          <w:rPr>
                            <w:sz w:val="21"/>
                          </w:rPr>
                        </w:pPr>
                        <w:r>
                          <w:rPr>
                            <w:spacing w:val="-4"/>
                            <w:sz w:val="21"/>
                          </w:rPr>
                          <w:t>投资账户管理</w:t>
                        </w:r>
                      </w:p>
                    </w:tc>
                    <w:tc>
                      <w:tcPr>
                        <w:tcW w:w="3112" w:type="dxa"/>
                      </w:tcPr>
                      <w:p>
                        <w:pPr>
                          <w:pStyle w:val="TableParagraph"/>
                          <w:ind w:left="823"/>
                          <w:rPr>
                            <w:sz w:val="21"/>
                          </w:rPr>
                        </w:pPr>
                        <w:r>
                          <w:rPr>
                            <w:sz w:val="21"/>
                          </w:rPr>
                          <w:t>7.1</w:t>
                        </w:r>
                        <w:r>
                          <w:rPr>
                            <w:spacing w:val="-4"/>
                            <w:sz w:val="21"/>
                          </w:rPr>
                          <w:t> 合同效力中止</w:t>
                        </w:r>
                      </w:p>
                    </w:tc>
                  </w:tr>
                  <w:tr>
                    <w:trPr>
                      <w:trHeight w:val="311" w:hRule="atLeast"/>
                    </w:trPr>
                    <w:tc>
                      <w:tcPr>
                        <w:tcW w:w="440" w:type="dxa"/>
                      </w:tcPr>
                      <w:p>
                        <w:pPr>
                          <w:pStyle w:val="TableParagraph"/>
                          <w:ind w:left="58" w:right="42"/>
                          <w:jc w:val="center"/>
                          <w:rPr>
                            <w:sz w:val="21"/>
                          </w:rPr>
                        </w:pPr>
                        <w:r>
                          <w:rPr>
                            <w:spacing w:val="-5"/>
                            <w:sz w:val="21"/>
                          </w:rPr>
                          <w:t>1.3</w:t>
                        </w:r>
                      </w:p>
                    </w:tc>
                    <w:tc>
                      <w:tcPr>
                        <w:tcW w:w="2030" w:type="dxa"/>
                      </w:tcPr>
                      <w:p>
                        <w:pPr>
                          <w:pStyle w:val="TableParagraph"/>
                          <w:ind w:left="52"/>
                          <w:rPr>
                            <w:sz w:val="21"/>
                          </w:rPr>
                        </w:pPr>
                        <w:r>
                          <w:rPr>
                            <w:spacing w:val="-4"/>
                            <w:sz w:val="21"/>
                          </w:rPr>
                          <w:t>投保年龄</w:t>
                        </w:r>
                      </w:p>
                    </w:tc>
                    <w:tc>
                      <w:tcPr>
                        <w:tcW w:w="875" w:type="dxa"/>
                      </w:tcPr>
                      <w:p>
                        <w:pPr>
                          <w:pStyle w:val="TableParagraph"/>
                          <w:ind w:right="51"/>
                          <w:jc w:val="right"/>
                          <w:rPr>
                            <w:sz w:val="21"/>
                          </w:rPr>
                        </w:pPr>
                        <w:r>
                          <w:rPr>
                            <w:spacing w:val="-5"/>
                            <w:sz w:val="21"/>
                          </w:rPr>
                          <w:t>4.3</w:t>
                        </w:r>
                      </w:p>
                    </w:tc>
                    <w:tc>
                      <w:tcPr>
                        <w:tcW w:w="1926" w:type="dxa"/>
                      </w:tcPr>
                      <w:p>
                        <w:pPr>
                          <w:pStyle w:val="TableParagraph"/>
                          <w:ind w:left="51"/>
                          <w:rPr>
                            <w:sz w:val="21"/>
                          </w:rPr>
                        </w:pPr>
                        <w:r>
                          <w:rPr>
                            <w:spacing w:val="-4"/>
                            <w:sz w:val="21"/>
                          </w:rPr>
                          <w:t>投资账户评估</w:t>
                        </w:r>
                      </w:p>
                    </w:tc>
                    <w:tc>
                      <w:tcPr>
                        <w:tcW w:w="3112" w:type="dxa"/>
                      </w:tcPr>
                      <w:p>
                        <w:pPr>
                          <w:pStyle w:val="TableParagraph"/>
                          <w:ind w:left="823"/>
                          <w:rPr>
                            <w:sz w:val="21"/>
                          </w:rPr>
                        </w:pPr>
                        <w:r>
                          <w:rPr>
                            <w:sz w:val="21"/>
                          </w:rPr>
                          <w:t>7.2</w:t>
                        </w:r>
                        <w:r>
                          <w:rPr>
                            <w:spacing w:val="-4"/>
                            <w:sz w:val="21"/>
                          </w:rPr>
                          <w:t> 合同效力恢复</w:t>
                        </w:r>
                      </w:p>
                    </w:tc>
                  </w:tr>
                  <w:tr>
                    <w:trPr>
                      <w:trHeight w:val="261" w:hRule="atLeast"/>
                    </w:trPr>
                    <w:tc>
                      <w:tcPr>
                        <w:tcW w:w="440" w:type="dxa"/>
                      </w:tcPr>
                      <w:p>
                        <w:pPr>
                          <w:pStyle w:val="TableParagraph"/>
                          <w:spacing w:line="220" w:lineRule="exact"/>
                          <w:ind w:left="58" w:right="42"/>
                          <w:jc w:val="center"/>
                          <w:rPr>
                            <w:sz w:val="21"/>
                          </w:rPr>
                        </w:pPr>
                        <w:r>
                          <w:rPr>
                            <w:spacing w:val="-5"/>
                            <w:sz w:val="21"/>
                          </w:rPr>
                          <w:t>1.4</w:t>
                        </w:r>
                      </w:p>
                    </w:tc>
                    <w:tc>
                      <w:tcPr>
                        <w:tcW w:w="2030" w:type="dxa"/>
                      </w:tcPr>
                      <w:p>
                        <w:pPr>
                          <w:pStyle w:val="TableParagraph"/>
                          <w:spacing w:line="220" w:lineRule="exact"/>
                          <w:ind w:left="52"/>
                          <w:rPr>
                            <w:sz w:val="21"/>
                          </w:rPr>
                        </w:pPr>
                        <w:r>
                          <w:rPr>
                            <w:spacing w:val="-5"/>
                            <w:sz w:val="21"/>
                          </w:rPr>
                          <w:t>犹豫期</w:t>
                        </w:r>
                      </w:p>
                    </w:tc>
                    <w:tc>
                      <w:tcPr>
                        <w:tcW w:w="875" w:type="dxa"/>
                      </w:tcPr>
                      <w:p>
                        <w:pPr>
                          <w:pStyle w:val="TableParagraph"/>
                          <w:spacing w:line="220" w:lineRule="exact"/>
                          <w:ind w:right="51"/>
                          <w:jc w:val="right"/>
                          <w:rPr>
                            <w:sz w:val="21"/>
                          </w:rPr>
                        </w:pPr>
                        <w:r>
                          <w:rPr>
                            <w:spacing w:val="-5"/>
                            <w:sz w:val="21"/>
                          </w:rPr>
                          <w:t>4.4</w:t>
                        </w:r>
                      </w:p>
                    </w:tc>
                    <w:tc>
                      <w:tcPr>
                        <w:tcW w:w="1926" w:type="dxa"/>
                      </w:tcPr>
                      <w:p>
                        <w:pPr>
                          <w:pStyle w:val="TableParagraph"/>
                          <w:spacing w:line="220" w:lineRule="exact"/>
                          <w:ind w:left="51"/>
                          <w:rPr>
                            <w:sz w:val="21"/>
                          </w:rPr>
                        </w:pPr>
                        <w:r>
                          <w:rPr>
                            <w:spacing w:val="-4"/>
                            <w:sz w:val="21"/>
                          </w:rPr>
                          <w:t>投资单位价格</w:t>
                        </w:r>
                      </w:p>
                    </w:tc>
                    <w:tc>
                      <w:tcPr>
                        <w:tcW w:w="3112" w:type="dxa"/>
                      </w:tcPr>
                      <w:p>
                        <w:pPr>
                          <w:pStyle w:val="TableParagraph"/>
                          <w:spacing w:line="242" w:lineRule="exact" w:before="0"/>
                          <w:ind w:left="612"/>
                          <w:rPr>
                            <w:rFonts w:ascii="Microsoft JhengHei" w:eastAsia="Microsoft JhengHei"/>
                            <w:b/>
                            <w:sz w:val="21"/>
                          </w:rPr>
                        </w:pPr>
                        <w:r>
                          <w:rPr>
                            <w:rFonts w:ascii="微软雅黑" w:eastAsia="微软雅黑"/>
                            <w:b/>
                            <w:w w:val="52"/>
                            <w:sz w:val="21"/>
                          </w:rPr>
                          <w:t>8</w:t>
                        </w:r>
                        <w:r>
                          <w:rPr>
                            <w:rFonts w:ascii="微软雅黑" w:eastAsia="微软雅黑"/>
                            <w:b/>
                            <w:w w:val="147"/>
                            <w:sz w:val="21"/>
                          </w:rPr>
                          <w:t>.</w:t>
                        </w:r>
                        <w:r>
                          <w:rPr>
                            <w:rFonts w:ascii="Microsoft JhengHei" w:eastAsia="Microsoft JhengHei"/>
                            <w:b/>
                            <w:spacing w:val="-2"/>
                            <w:sz w:val="21"/>
                          </w:rPr>
                          <w:t>合同解除和变更</w:t>
                        </w:r>
                      </w:p>
                    </w:tc>
                  </w:tr>
                </w:tbl>
                <w:p>
                  <w:pPr>
                    <w:pStyle w:val="BodyText"/>
                  </w:pPr>
                </w:p>
              </w:txbxContent>
            </v:textbox>
            <w10:wrap type="none"/>
          </v:shape>
        </w:pict>
      </w:r>
      <w:r>
        <w:rPr>
          <w:rFonts w:ascii="Microsoft JhengHei" w:eastAsia="Microsoft JhengHei"/>
          <w:b/>
          <w:spacing w:val="-2"/>
          <w:sz w:val="21"/>
        </w:rPr>
        <w:t>您与我们订立的合同</w:t>
      </w:r>
    </w:p>
    <w:p>
      <w:pPr>
        <w:pStyle w:val="ListParagraph"/>
        <w:numPr>
          <w:ilvl w:val="0"/>
          <w:numId w:val="2"/>
        </w:numPr>
        <w:tabs>
          <w:tab w:pos="1176" w:val="left" w:leader="none"/>
        </w:tabs>
        <w:spacing w:line="382" w:lineRule="exact" w:before="0" w:after="0"/>
        <w:ind w:left="1176" w:right="0" w:hanging="213"/>
        <w:jc w:val="left"/>
        <w:rPr>
          <w:rFonts w:ascii="Microsoft JhengHei" w:eastAsia="Microsoft JhengHei"/>
          <w:b/>
          <w:sz w:val="21"/>
        </w:rPr>
      </w:pPr>
      <w:r>
        <w:rPr>
          <w:rFonts w:ascii="Microsoft JhengHei" w:eastAsia="Microsoft JhengHei"/>
          <w:b/>
          <w:sz w:val="21"/>
        </w:rPr>
        <w:br w:type="column"/>
      </w:r>
      <w:r>
        <w:rPr>
          <w:rFonts w:ascii="Microsoft JhengHei" w:eastAsia="Microsoft JhengHei"/>
          <w:b/>
          <w:spacing w:val="-2"/>
          <w:sz w:val="21"/>
        </w:rPr>
        <w:t>投资账户运作</w:t>
      </w:r>
    </w:p>
    <w:p>
      <w:pPr>
        <w:pStyle w:val="BodyText"/>
        <w:spacing w:before="62"/>
        <w:ind w:left="1312"/>
      </w:pPr>
      <w:r>
        <w:rPr/>
        <w:br w:type="column"/>
      </w:r>
      <w:r>
        <w:rPr/>
        <w:t>6.9</w:t>
      </w:r>
      <w:r>
        <w:rPr>
          <w:spacing w:val="-4"/>
        </w:rPr>
        <w:t> 保单贷款</w:t>
      </w:r>
    </w:p>
    <w:p>
      <w:pPr>
        <w:spacing w:after="0"/>
        <w:sectPr>
          <w:type w:val="continuous"/>
          <w:pgSz w:w="11910" w:h="16840"/>
          <w:pgMar w:top="0" w:bottom="280" w:left="740" w:right="20"/>
          <w:cols w:num="3" w:equalWidth="0">
            <w:col w:w="3425" w:space="40"/>
            <w:col w:w="2483" w:space="289"/>
            <w:col w:w="4913"/>
          </w:cols>
        </w:sectPr>
      </w:pPr>
    </w:p>
    <w:p>
      <w:pPr>
        <w:pStyle w:val="BodyText"/>
        <w:rPr>
          <w:sz w:val="20"/>
        </w:rPr>
      </w:pPr>
    </w:p>
    <w:p>
      <w:pPr>
        <w:pStyle w:val="BodyText"/>
        <w:rPr>
          <w:sz w:val="20"/>
        </w:rPr>
      </w:pPr>
    </w:p>
    <w:p>
      <w:pPr>
        <w:pStyle w:val="BodyText"/>
        <w:rPr>
          <w:sz w:val="20"/>
        </w:rPr>
      </w:pPr>
    </w:p>
    <w:p>
      <w:pPr>
        <w:pStyle w:val="BodyText"/>
        <w:rPr>
          <w:sz w:val="20"/>
        </w:rPr>
      </w:pPr>
    </w:p>
    <w:p>
      <w:pPr>
        <w:pStyle w:val="ListParagraph"/>
        <w:numPr>
          <w:ilvl w:val="1"/>
          <w:numId w:val="2"/>
        </w:numPr>
        <w:tabs>
          <w:tab w:pos="1525" w:val="left" w:leader="none"/>
        </w:tabs>
        <w:spacing w:line="385" w:lineRule="exact" w:before="146" w:after="0"/>
        <w:ind w:left="1524" w:right="0" w:hanging="213"/>
        <w:jc w:val="left"/>
        <w:rPr>
          <w:rFonts w:ascii="Microsoft JhengHei" w:eastAsia="Microsoft JhengHei"/>
          <w:b/>
          <w:sz w:val="21"/>
        </w:rPr>
      </w:pPr>
      <w:r>
        <w:rPr>
          <w:rFonts w:ascii="Microsoft JhengHei" w:eastAsia="Microsoft JhengHei"/>
          <w:b/>
          <w:spacing w:val="-2"/>
          <w:sz w:val="21"/>
        </w:rPr>
        <w:t>我们提供的保障</w:t>
      </w:r>
    </w:p>
    <w:p>
      <w:pPr>
        <w:pStyle w:val="ListParagraph"/>
        <w:numPr>
          <w:ilvl w:val="2"/>
          <w:numId w:val="2"/>
        </w:numPr>
        <w:tabs>
          <w:tab w:pos="1946" w:val="left" w:leader="none"/>
        </w:tabs>
        <w:spacing w:line="265" w:lineRule="exact" w:before="0" w:after="0"/>
        <w:ind w:left="1946" w:right="0" w:hanging="423"/>
        <w:jc w:val="left"/>
        <w:rPr>
          <w:sz w:val="21"/>
        </w:rPr>
      </w:pPr>
      <w:r>
        <w:rPr>
          <w:spacing w:val="-4"/>
          <w:sz w:val="21"/>
        </w:rPr>
        <w:t>保险责任</w:t>
      </w:r>
    </w:p>
    <w:p>
      <w:pPr>
        <w:pStyle w:val="ListParagraph"/>
        <w:numPr>
          <w:ilvl w:val="2"/>
          <w:numId w:val="2"/>
        </w:numPr>
        <w:tabs>
          <w:tab w:pos="1946" w:val="left" w:leader="none"/>
        </w:tabs>
        <w:spacing w:line="240" w:lineRule="auto" w:before="43" w:after="0"/>
        <w:ind w:left="1946" w:right="0" w:hanging="423"/>
        <w:jc w:val="left"/>
        <w:rPr>
          <w:sz w:val="21"/>
        </w:rPr>
      </w:pPr>
      <w:r>
        <w:rPr>
          <w:spacing w:val="-4"/>
          <w:sz w:val="21"/>
        </w:rPr>
        <w:t>责任免除</w:t>
      </w:r>
    </w:p>
    <w:p>
      <w:pPr>
        <w:pStyle w:val="ListParagraph"/>
        <w:numPr>
          <w:ilvl w:val="2"/>
          <w:numId w:val="2"/>
        </w:numPr>
        <w:tabs>
          <w:tab w:pos="1946" w:val="left" w:leader="none"/>
        </w:tabs>
        <w:spacing w:line="278" w:lineRule="auto" w:before="43" w:after="0"/>
        <w:ind w:left="1943" w:right="0" w:hanging="420"/>
        <w:jc w:val="left"/>
        <w:rPr>
          <w:sz w:val="21"/>
        </w:rPr>
      </w:pPr>
      <w:r>
        <w:rPr>
          <w:spacing w:val="-2"/>
          <w:sz w:val="21"/>
        </w:rPr>
        <w:t>未成年人身故保险金</w:t>
      </w:r>
      <w:r>
        <w:rPr>
          <w:spacing w:val="-6"/>
          <w:sz w:val="21"/>
        </w:rPr>
        <w:t>限制</w:t>
      </w:r>
    </w:p>
    <w:p>
      <w:pPr>
        <w:spacing w:line="240" w:lineRule="auto" w:before="0"/>
        <w:rPr>
          <w:sz w:val="20"/>
        </w:rPr>
      </w:pPr>
      <w:r>
        <w:rPr/>
        <w:br w:type="column"/>
      </w:r>
      <w:r>
        <w:rPr>
          <w:sz w:val="20"/>
        </w:rPr>
      </w:r>
    </w:p>
    <w:p>
      <w:pPr>
        <w:pStyle w:val="BodyText"/>
        <w:rPr>
          <w:sz w:val="20"/>
        </w:rPr>
      </w:pPr>
    </w:p>
    <w:p>
      <w:pPr>
        <w:pStyle w:val="BodyText"/>
        <w:rPr>
          <w:sz w:val="20"/>
        </w:rPr>
      </w:pPr>
    </w:p>
    <w:p>
      <w:pPr>
        <w:pStyle w:val="BodyText"/>
        <w:rPr>
          <w:sz w:val="20"/>
        </w:rPr>
      </w:pPr>
    </w:p>
    <w:p>
      <w:pPr>
        <w:pStyle w:val="BodyText"/>
        <w:spacing w:before="10"/>
        <w:rPr>
          <w:sz w:val="16"/>
        </w:rPr>
      </w:pPr>
    </w:p>
    <w:p>
      <w:pPr>
        <w:pStyle w:val="ListParagraph"/>
        <w:numPr>
          <w:ilvl w:val="1"/>
          <w:numId w:val="3"/>
        </w:numPr>
        <w:tabs>
          <w:tab w:pos="974" w:val="left" w:leader="none"/>
        </w:tabs>
        <w:spacing w:line="240" w:lineRule="auto" w:before="0" w:after="0"/>
        <w:ind w:left="973" w:right="0" w:hanging="424"/>
        <w:jc w:val="left"/>
        <w:rPr>
          <w:sz w:val="21"/>
        </w:rPr>
      </w:pPr>
      <w:r>
        <w:rPr>
          <w:spacing w:val="-4"/>
          <w:sz w:val="21"/>
        </w:rPr>
        <w:t>资产管理费</w:t>
      </w:r>
    </w:p>
    <w:p>
      <w:pPr>
        <w:pStyle w:val="ListParagraph"/>
        <w:numPr>
          <w:ilvl w:val="1"/>
          <w:numId w:val="3"/>
        </w:numPr>
        <w:tabs>
          <w:tab w:pos="974" w:val="left" w:leader="none"/>
        </w:tabs>
        <w:spacing w:line="240" w:lineRule="auto" w:before="43" w:after="0"/>
        <w:ind w:left="973" w:right="0" w:hanging="424"/>
        <w:jc w:val="left"/>
        <w:rPr>
          <w:sz w:val="21"/>
        </w:rPr>
      </w:pPr>
      <w:r>
        <w:rPr>
          <w:spacing w:val="-3"/>
          <w:sz w:val="21"/>
        </w:rPr>
        <w:t>资产交易认可的规定</w:t>
      </w:r>
    </w:p>
    <w:p>
      <w:pPr>
        <w:pStyle w:val="ListParagraph"/>
        <w:numPr>
          <w:ilvl w:val="1"/>
          <w:numId w:val="3"/>
        </w:numPr>
        <w:tabs>
          <w:tab w:pos="974" w:val="left" w:leader="none"/>
        </w:tabs>
        <w:spacing w:line="240" w:lineRule="auto" w:before="43" w:after="0"/>
        <w:ind w:left="973" w:right="0" w:hanging="424"/>
        <w:jc w:val="left"/>
        <w:rPr>
          <w:sz w:val="21"/>
        </w:rPr>
      </w:pPr>
      <w:r>
        <w:rPr>
          <w:spacing w:val="-3"/>
          <w:sz w:val="21"/>
        </w:rPr>
        <w:t>特殊情况下交易的规定</w:t>
      </w:r>
    </w:p>
    <w:p>
      <w:pPr>
        <w:pStyle w:val="ListParagraph"/>
        <w:numPr>
          <w:ilvl w:val="1"/>
          <w:numId w:val="3"/>
        </w:numPr>
        <w:tabs>
          <w:tab w:pos="974" w:val="left" w:leader="none"/>
        </w:tabs>
        <w:spacing w:line="220" w:lineRule="auto" w:before="60" w:after="0"/>
        <w:ind w:left="339" w:right="418" w:firstLine="211"/>
        <w:jc w:val="left"/>
        <w:rPr>
          <w:rFonts w:ascii="Microsoft JhengHei" w:eastAsia="Microsoft JhengHei"/>
          <w:b/>
          <w:sz w:val="21"/>
        </w:rPr>
      </w:pPr>
      <w:r>
        <w:rPr>
          <w:spacing w:val="-2"/>
          <w:sz w:val="21"/>
        </w:rPr>
        <w:t>巨额卖出申请处理</w:t>
      </w:r>
      <w:r>
        <w:rPr>
          <w:spacing w:val="-2"/>
          <w:sz w:val="21"/>
        </w:rPr>
        <w:t> </w:t>
      </w:r>
      <w:r>
        <w:rPr>
          <w:rFonts w:ascii="微软雅黑" w:eastAsia="微软雅黑"/>
          <w:b/>
          <w:spacing w:val="-2"/>
          <w:sz w:val="21"/>
        </w:rPr>
        <w:t>5.</w:t>
      </w:r>
      <w:r>
        <w:rPr>
          <w:rFonts w:ascii="Microsoft JhengHei" w:eastAsia="Microsoft JhengHei"/>
          <w:b/>
          <w:spacing w:val="-2"/>
          <w:sz w:val="21"/>
        </w:rPr>
        <w:t>保险费的交纳</w:t>
      </w:r>
    </w:p>
    <w:p>
      <w:pPr>
        <w:spacing w:line="240" w:lineRule="auto" w:before="0"/>
        <w:rPr>
          <w:rFonts w:ascii="Microsoft JhengHei"/>
          <w:b/>
          <w:sz w:val="20"/>
        </w:rPr>
      </w:pPr>
      <w:r>
        <w:rPr/>
        <w:br w:type="column"/>
      </w:r>
      <w:r>
        <w:rPr>
          <w:rFonts w:ascii="Microsoft JhengHei"/>
          <w:b/>
          <w:sz w:val="20"/>
        </w:rPr>
      </w:r>
    </w:p>
    <w:p>
      <w:pPr>
        <w:pStyle w:val="BodyText"/>
        <w:rPr>
          <w:rFonts w:ascii="Microsoft JhengHei"/>
          <w:b/>
          <w:sz w:val="20"/>
        </w:rPr>
      </w:pPr>
    </w:p>
    <w:p>
      <w:pPr>
        <w:pStyle w:val="BodyText"/>
        <w:spacing w:before="8"/>
        <w:rPr>
          <w:rFonts w:ascii="Microsoft JhengHei"/>
          <w:b/>
          <w:sz w:val="27"/>
        </w:rPr>
      </w:pPr>
    </w:p>
    <w:p>
      <w:pPr>
        <w:pStyle w:val="ListParagraph"/>
        <w:numPr>
          <w:ilvl w:val="1"/>
          <w:numId w:val="4"/>
        </w:numPr>
        <w:tabs>
          <w:tab w:pos="981" w:val="left" w:leader="none"/>
        </w:tabs>
        <w:spacing w:line="278" w:lineRule="auto" w:before="0" w:after="0"/>
        <w:ind w:left="977" w:right="1493" w:hanging="420"/>
        <w:jc w:val="left"/>
        <w:rPr>
          <w:sz w:val="21"/>
        </w:rPr>
      </w:pPr>
      <w:r>
        <w:rPr>
          <w:spacing w:val="-2"/>
          <w:sz w:val="21"/>
        </w:rPr>
        <w:t>您解除合同的手续</w:t>
      </w:r>
      <w:r>
        <w:rPr>
          <w:spacing w:val="-4"/>
          <w:sz w:val="21"/>
        </w:rPr>
        <w:t>及风险</w:t>
      </w:r>
    </w:p>
    <w:p>
      <w:pPr>
        <w:pStyle w:val="ListParagraph"/>
        <w:numPr>
          <w:ilvl w:val="1"/>
          <w:numId w:val="4"/>
        </w:numPr>
        <w:tabs>
          <w:tab w:pos="981" w:val="left" w:leader="none"/>
        </w:tabs>
        <w:spacing w:line="269" w:lineRule="exact" w:before="0" w:after="0"/>
        <w:ind w:left="980" w:right="0" w:hanging="424"/>
        <w:jc w:val="left"/>
        <w:rPr>
          <w:sz w:val="21"/>
        </w:rPr>
      </w:pPr>
      <w:r>
        <w:rPr>
          <w:spacing w:val="-4"/>
          <w:sz w:val="21"/>
        </w:rPr>
        <w:t>合同内容变更</w:t>
      </w:r>
    </w:p>
    <w:p>
      <w:pPr>
        <w:pStyle w:val="ListParagraph"/>
        <w:numPr>
          <w:ilvl w:val="1"/>
          <w:numId w:val="4"/>
        </w:numPr>
        <w:tabs>
          <w:tab w:pos="981" w:val="left" w:leader="none"/>
        </w:tabs>
        <w:spacing w:line="220" w:lineRule="auto" w:before="60" w:after="0"/>
        <w:ind w:left="346" w:right="1695" w:firstLine="211"/>
        <w:jc w:val="left"/>
        <w:rPr>
          <w:rFonts w:ascii="Microsoft JhengHei" w:eastAsia="Microsoft JhengHei"/>
          <w:b/>
          <w:sz w:val="21"/>
        </w:rPr>
      </w:pPr>
      <w:r>
        <w:rPr>
          <w:spacing w:val="-2"/>
          <w:w w:val="110"/>
          <w:sz w:val="21"/>
        </w:rPr>
        <w:t>联系方式变更 </w:t>
      </w:r>
      <w:r>
        <w:rPr>
          <w:rFonts w:ascii="微软雅黑" w:eastAsia="微软雅黑"/>
          <w:b/>
          <w:w w:val="52"/>
          <w:sz w:val="21"/>
        </w:rPr>
        <w:t>9</w:t>
      </w:r>
      <w:r>
        <w:rPr>
          <w:rFonts w:ascii="微软雅黑" w:eastAsia="微软雅黑"/>
          <w:b/>
          <w:w w:val="147"/>
          <w:sz w:val="21"/>
        </w:rPr>
        <w:t>.</w:t>
      </w:r>
      <w:r>
        <w:rPr>
          <w:rFonts w:ascii="Microsoft JhengHei" w:eastAsia="Microsoft JhengHei"/>
          <w:b/>
          <w:spacing w:val="-2"/>
          <w:sz w:val="21"/>
        </w:rPr>
        <w:t>明确说明与如实告知</w:t>
      </w:r>
    </w:p>
    <w:p>
      <w:pPr>
        <w:spacing w:after="0" w:line="220" w:lineRule="auto"/>
        <w:jc w:val="left"/>
        <w:rPr>
          <w:rFonts w:ascii="Microsoft JhengHei" w:eastAsia="Microsoft JhengHei"/>
          <w:sz w:val="21"/>
        </w:rPr>
        <w:sectPr>
          <w:type w:val="continuous"/>
          <w:pgSz w:w="11910" w:h="16840"/>
          <w:pgMar w:top="0" w:bottom="280" w:left="740" w:right="20"/>
          <w:cols w:num="3" w:equalWidth="0">
            <w:col w:w="3838" w:space="40"/>
            <w:col w:w="3074" w:space="39"/>
            <w:col w:w="4159"/>
          </w:cols>
        </w:sectPr>
      </w:pPr>
    </w:p>
    <w:p>
      <w:pPr>
        <w:pStyle w:val="BodyText"/>
        <w:rPr>
          <w:rFonts w:ascii="Microsoft JhengHei"/>
          <w:b/>
          <w:sz w:val="2"/>
        </w:rPr>
      </w:pPr>
    </w:p>
    <w:tbl>
      <w:tblPr>
        <w:tblW w:w="0" w:type="auto"/>
        <w:jc w:val="left"/>
        <w:tblInd w:w="10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93"/>
        <w:gridCol w:w="2134"/>
        <w:gridCol w:w="769"/>
        <w:gridCol w:w="2347"/>
        <w:gridCol w:w="772"/>
        <w:gridCol w:w="157"/>
        <w:gridCol w:w="2255"/>
      </w:tblGrid>
      <w:tr>
        <w:trPr>
          <w:trHeight w:val="261" w:hRule="atLeast"/>
        </w:trPr>
        <w:tc>
          <w:tcPr>
            <w:tcW w:w="1793" w:type="dxa"/>
          </w:tcPr>
          <w:p>
            <w:pPr>
              <w:pStyle w:val="TableParagraph"/>
              <w:spacing w:line="241" w:lineRule="exact" w:before="0"/>
              <w:ind w:right="50"/>
              <w:jc w:val="right"/>
              <w:rPr>
                <w:sz w:val="21"/>
              </w:rPr>
            </w:pPr>
            <w:r>
              <w:rPr>
                <w:spacing w:val="-5"/>
                <w:sz w:val="21"/>
              </w:rPr>
              <w:t>2.4</w:t>
            </w:r>
          </w:p>
        </w:tc>
        <w:tc>
          <w:tcPr>
            <w:tcW w:w="2134" w:type="dxa"/>
          </w:tcPr>
          <w:p>
            <w:pPr>
              <w:pStyle w:val="TableParagraph"/>
              <w:spacing w:line="241" w:lineRule="exact" w:before="0"/>
              <w:ind w:left="53"/>
              <w:rPr>
                <w:sz w:val="21"/>
              </w:rPr>
            </w:pPr>
            <w:r>
              <w:rPr>
                <w:spacing w:val="-4"/>
                <w:sz w:val="21"/>
              </w:rPr>
              <w:t>基本保险金额</w:t>
            </w:r>
          </w:p>
        </w:tc>
        <w:tc>
          <w:tcPr>
            <w:tcW w:w="3116" w:type="dxa"/>
            <w:gridSpan w:val="2"/>
          </w:tcPr>
          <w:p>
            <w:pPr>
              <w:pStyle w:val="TableParagraph"/>
              <w:spacing w:line="241" w:lineRule="exact" w:before="0"/>
              <w:ind w:left="401"/>
              <w:rPr>
                <w:sz w:val="21"/>
              </w:rPr>
            </w:pPr>
            <w:r>
              <w:rPr>
                <w:sz w:val="21"/>
              </w:rPr>
              <w:t>5.1</w:t>
            </w:r>
            <w:r>
              <w:rPr>
                <w:spacing w:val="-4"/>
                <w:sz w:val="21"/>
              </w:rPr>
              <w:t> 保险费的交纳</w:t>
            </w:r>
          </w:p>
        </w:tc>
        <w:tc>
          <w:tcPr>
            <w:tcW w:w="772" w:type="dxa"/>
          </w:tcPr>
          <w:p>
            <w:pPr>
              <w:pStyle w:val="TableParagraph"/>
              <w:spacing w:line="241" w:lineRule="exact" w:before="0"/>
              <w:ind w:right="47"/>
              <w:jc w:val="right"/>
              <w:rPr>
                <w:sz w:val="21"/>
              </w:rPr>
            </w:pPr>
            <w:r>
              <w:rPr>
                <w:spacing w:val="-5"/>
                <w:sz w:val="21"/>
              </w:rPr>
              <w:t>9.1</w:t>
            </w:r>
          </w:p>
        </w:tc>
        <w:tc>
          <w:tcPr>
            <w:tcW w:w="2412" w:type="dxa"/>
            <w:gridSpan w:val="2"/>
          </w:tcPr>
          <w:p>
            <w:pPr>
              <w:pStyle w:val="TableParagraph"/>
              <w:spacing w:line="241" w:lineRule="exact" w:before="0"/>
              <w:ind w:left="56"/>
              <w:rPr>
                <w:sz w:val="21"/>
              </w:rPr>
            </w:pPr>
            <w:r>
              <w:rPr>
                <w:spacing w:val="-4"/>
                <w:sz w:val="21"/>
              </w:rPr>
              <w:t>明确说明</w:t>
            </w:r>
          </w:p>
        </w:tc>
      </w:tr>
      <w:tr>
        <w:trPr>
          <w:trHeight w:val="311" w:hRule="atLeast"/>
        </w:trPr>
        <w:tc>
          <w:tcPr>
            <w:tcW w:w="1793" w:type="dxa"/>
          </w:tcPr>
          <w:p>
            <w:pPr>
              <w:pStyle w:val="TableParagraph"/>
              <w:ind w:right="50"/>
              <w:jc w:val="right"/>
              <w:rPr>
                <w:sz w:val="21"/>
              </w:rPr>
            </w:pPr>
            <w:r>
              <w:rPr>
                <w:spacing w:val="-5"/>
                <w:sz w:val="21"/>
              </w:rPr>
              <w:t>2.5</w:t>
            </w:r>
          </w:p>
        </w:tc>
        <w:tc>
          <w:tcPr>
            <w:tcW w:w="2134" w:type="dxa"/>
          </w:tcPr>
          <w:p>
            <w:pPr>
              <w:pStyle w:val="TableParagraph"/>
              <w:ind w:left="53"/>
              <w:rPr>
                <w:sz w:val="21"/>
              </w:rPr>
            </w:pPr>
            <w:r>
              <w:rPr>
                <w:spacing w:val="-3"/>
                <w:sz w:val="21"/>
              </w:rPr>
              <w:t>基本保险金额的变更</w:t>
            </w:r>
          </w:p>
        </w:tc>
        <w:tc>
          <w:tcPr>
            <w:tcW w:w="3116" w:type="dxa"/>
            <w:gridSpan w:val="2"/>
          </w:tcPr>
          <w:p>
            <w:pPr>
              <w:pStyle w:val="TableParagraph"/>
              <w:spacing w:line="292" w:lineRule="exact" w:before="0"/>
              <w:ind w:left="189"/>
              <w:rPr>
                <w:rFonts w:ascii="Microsoft JhengHei" w:eastAsia="Microsoft JhengHei"/>
                <w:b/>
                <w:sz w:val="21"/>
              </w:rPr>
            </w:pPr>
            <w:r>
              <w:rPr>
                <w:rFonts w:ascii="微软雅黑" w:eastAsia="微软雅黑"/>
                <w:b/>
                <w:sz w:val="21"/>
              </w:rPr>
              <w:t>6.</w:t>
            </w:r>
            <w:r>
              <w:rPr>
                <w:rFonts w:ascii="Microsoft JhengHei" w:eastAsia="Microsoft JhengHei"/>
                <w:b/>
                <w:spacing w:val="-2"/>
                <w:sz w:val="21"/>
              </w:rPr>
              <w:t>保单账户管理</w:t>
            </w:r>
          </w:p>
        </w:tc>
        <w:tc>
          <w:tcPr>
            <w:tcW w:w="772" w:type="dxa"/>
          </w:tcPr>
          <w:p>
            <w:pPr>
              <w:pStyle w:val="TableParagraph"/>
              <w:ind w:right="47"/>
              <w:jc w:val="right"/>
              <w:rPr>
                <w:sz w:val="21"/>
              </w:rPr>
            </w:pPr>
            <w:r>
              <w:rPr>
                <w:spacing w:val="-5"/>
                <w:sz w:val="21"/>
              </w:rPr>
              <w:t>9.2</w:t>
            </w:r>
          </w:p>
        </w:tc>
        <w:tc>
          <w:tcPr>
            <w:tcW w:w="2412" w:type="dxa"/>
            <w:gridSpan w:val="2"/>
          </w:tcPr>
          <w:p>
            <w:pPr>
              <w:pStyle w:val="TableParagraph"/>
              <w:ind w:left="56"/>
              <w:rPr>
                <w:sz w:val="21"/>
              </w:rPr>
            </w:pPr>
            <w:r>
              <w:rPr>
                <w:spacing w:val="-4"/>
                <w:sz w:val="21"/>
              </w:rPr>
              <w:t>如实告知</w:t>
            </w:r>
          </w:p>
        </w:tc>
      </w:tr>
      <w:tr>
        <w:trPr>
          <w:trHeight w:val="312" w:hRule="atLeast"/>
        </w:trPr>
        <w:tc>
          <w:tcPr>
            <w:tcW w:w="1793" w:type="dxa"/>
          </w:tcPr>
          <w:p>
            <w:pPr>
              <w:pStyle w:val="TableParagraph"/>
              <w:ind w:right="50"/>
              <w:jc w:val="right"/>
              <w:rPr>
                <w:sz w:val="21"/>
              </w:rPr>
            </w:pPr>
            <w:r>
              <w:rPr>
                <w:spacing w:val="-5"/>
                <w:sz w:val="21"/>
              </w:rPr>
              <w:t>2.6</w:t>
            </w:r>
          </w:p>
        </w:tc>
        <w:tc>
          <w:tcPr>
            <w:tcW w:w="2134" w:type="dxa"/>
          </w:tcPr>
          <w:p>
            <w:pPr>
              <w:pStyle w:val="TableParagraph"/>
              <w:ind w:left="53"/>
              <w:rPr>
                <w:sz w:val="21"/>
              </w:rPr>
            </w:pPr>
            <w:r>
              <w:rPr>
                <w:spacing w:val="-4"/>
                <w:sz w:val="21"/>
              </w:rPr>
              <w:t>保险期间</w:t>
            </w:r>
          </w:p>
        </w:tc>
        <w:tc>
          <w:tcPr>
            <w:tcW w:w="3116" w:type="dxa"/>
            <w:gridSpan w:val="2"/>
          </w:tcPr>
          <w:p>
            <w:pPr>
              <w:pStyle w:val="TableParagraph"/>
              <w:ind w:left="401"/>
              <w:rPr>
                <w:sz w:val="21"/>
              </w:rPr>
            </w:pPr>
            <w:r>
              <w:rPr>
                <w:sz w:val="21"/>
              </w:rPr>
              <w:t>6.1</w:t>
            </w:r>
            <w:r>
              <w:rPr>
                <w:spacing w:val="-4"/>
                <w:sz w:val="21"/>
              </w:rPr>
              <w:t> 保单账户</w:t>
            </w:r>
          </w:p>
        </w:tc>
        <w:tc>
          <w:tcPr>
            <w:tcW w:w="772" w:type="dxa"/>
          </w:tcPr>
          <w:p>
            <w:pPr>
              <w:pStyle w:val="TableParagraph"/>
              <w:ind w:right="47"/>
              <w:jc w:val="right"/>
              <w:rPr>
                <w:sz w:val="21"/>
              </w:rPr>
            </w:pPr>
            <w:r>
              <w:rPr>
                <w:spacing w:val="-5"/>
                <w:sz w:val="21"/>
              </w:rPr>
              <w:t>9.3</w:t>
            </w:r>
          </w:p>
        </w:tc>
        <w:tc>
          <w:tcPr>
            <w:tcW w:w="2412" w:type="dxa"/>
            <w:gridSpan w:val="2"/>
          </w:tcPr>
          <w:p>
            <w:pPr>
              <w:pStyle w:val="TableParagraph"/>
              <w:ind w:left="56"/>
              <w:rPr>
                <w:sz w:val="21"/>
              </w:rPr>
            </w:pPr>
            <w:r>
              <w:rPr>
                <w:spacing w:val="-4"/>
                <w:sz w:val="21"/>
              </w:rPr>
              <w:t>本公司合同解除权</w:t>
            </w:r>
          </w:p>
        </w:tc>
      </w:tr>
      <w:tr>
        <w:trPr>
          <w:trHeight w:val="261" w:hRule="atLeast"/>
        </w:trPr>
        <w:tc>
          <w:tcPr>
            <w:tcW w:w="1793" w:type="dxa"/>
          </w:tcPr>
          <w:p>
            <w:pPr>
              <w:pStyle w:val="TableParagraph"/>
              <w:spacing w:line="220" w:lineRule="exact"/>
              <w:ind w:right="50"/>
              <w:jc w:val="right"/>
              <w:rPr>
                <w:sz w:val="21"/>
              </w:rPr>
            </w:pPr>
            <w:r>
              <w:rPr>
                <w:spacing w:val="-5"/>
                <w:sz w:val="21"/>
              </w:rPr>
              <w:t>2.7</w:t>
            </w:r>
          </w:p>
        </w:tc>
        <w:tc>
          <w:tcPr>
            <w:tcW w:w="2134" w:type="dxa"/>
          </w:tcPr>
          <w:p>
            <w:pPr>
              <w:pStyle w:val="TableParagraph"/>
              <w:spacing w:line="220" w:lineRule="exact"/>
              <w:ind w:left="53"/>
              <w:rPr>
                <w:sz w:val="21"/>
              </w:rPr>
            </w:pPr>
            <w:r>
              <w:rPr>
                <w:spacing w:val="-4"/>
                <w:sz w:val="21"/>
              </w:rPr>
              <w:t>持续奖金</w:t>
            </w:r>
          </w:p>
        </w:tc>
        <w:tc>
          <w:tcPr>
            <w:tcW w:w="3116" w:type="dxa"/>
            <w:gridSpan w:val="2"/>
          </w:tcPr>
          <w:p>
            <w:pPr>
              <w:pStyle w:val="TableParagraph"/>
              <w:spacing w:line="220" w:lineRule="exact"/>
              <w:ind w:left="401"/>
              <w:rPr>
                <w:sz w:val="21"/>
              </w:rPr>
            </w:pPr>
            <w:r>
              <w:rPr>
                <w:sz w:val="21"/>
              </w:rPr>
              <w:t>6.2</w:t>
            </w:r>
            <w:r>
              <w:rPr>
                <w:spacing w:val="-4"/>
                <w:sz w:val="21"/>
              </w:rPr>
              <w:t> 保单账户价值</w:t>
            </w:r>
          </w:p>
        </w:tc>
        <w:tc>
          <w:tcPr>
            <w:tcW w:w="772" w:type="dxa"/>
          </w:tcPr>
          <w:p>
            <w:pPr>
              <w:pStyle w:val="TableParagraph"/>
              <w:spacing w:before="0"/>
              <w:rPr>
                <w:rFonts w:ascii="Times New Roman"/>
                <w:sz w:val="18"/>
              </w:rPr>
            </w:pPr>
          </w:p>
        </w:tc>
        <w:tc>
          <w:tcPr>
            <w:tcW w:w="2412" w:type="dxa"/>
            <w:gridSpan w:val="2"/>
          </w:tcPr>
          <w:p>
            <w:pPr>
              <w:pStyle w:val="TableParagraph"/>
              <w:spacing w:line="220" w:lineRule="exact"/>
              <w:ind w:left="53"/>
              <w:rPr>
                <w:sz w:val="21"/>
              </w:rPr>
            </w:pPr>
            <w:r>
              <w:rPr>
                <w:spacing w:val="-4"/>
                <w:sz w:val="21"/>
              </w:rPr>
              <w:t>的限制</w:t>
            </w:r>
          </w:p>
        </w:tc>
      </w:tr>
      <w:tr>
        <w:trPr>
          <w:trHeight w:val="362" w:hRule="atLeast"/>
        </w:trPr>
        <w:tc>
          <w:tcPr>
            <w:tcW w:w="10227" w:type="dxa"/>
            <w:gridSpan w:val="7"/>
          </w:tcPr>
          <w:p>
            <w:pPr>
              <w:pStyle w:val="TableParagraph"/>
              <w:tabs>
                <w:tab w:pos="4328" w:val="left" w:leader="none"/>
                <w:tab w:pos="7237" w:val="left" w:leader="none"/>
              </w:tabs>
              <w:spacing w:line="339" w:lineRule="exact" w:before="3"/>
              <w:ind w:left="1212"/>
              <w:rPr>
                <w:rFonts w:ascii="Microsoft JhengHei" w:eastAsia="Microsoft JhengHei"/>
                <w:b/>
                <w:sz w:val="21"/>
              </w:rPr>
            </w:pPr>
            <w:r>
              <w:rPr>
                <w:rFonts w:ascii="微软雅黑" w:eastAsia="微软雅黑"/>
                <w:b/>
                <w:w w:val="52"/>
                <w:sz w:val="21"/>
              </w:rPr>
              <w:t>3</w:t>
            </w:r>
            <w:r>
              <w:rPr>
                <w:rFonts w:ascii="微软雅黑" w:eastAsia="微软雅黑"/>
                <w:b/>
                <w:w w:val="147"/>
                <w:sz w:val="21"/>
              </w:rPr>
              <w:t>.</w:t>
            </w:r>
            <w:r>
              <w:rPr>
                <w:rFonts w:ascii="Microsoft JhengHei" w:eastAsia="Microsoft JhengHei"/>
                <w:b/>
                <w:sz w:val="21"/>
              </w:rPr>
              <w:t>保险金的申</w:t>
            </w:r>
            <w:r>
              <w:rPr>
                <w:rFonts w:ascii="Microsoft JhengHei" w:eastAsia="Microsoft JhengHei"/>
                <w:b/>
                <w:spacing w:val="-10"/>
                <w:sz w:val="21"/>
              </w:rPr>
              <w:t>请</w:t>
            </w:r>
            <w:r>
              <w:rPr>
                <w:rFonts w:ascii="Microsoft JhengHei" w:eastAsia="Microsoft JhengHei"/>
                <w:b/>
                <w:sz w:val="21"/>
              </w:rPr>
              <w:tab/>
            </w:r>
            <w:r>
              <w:rPr>
                <w:sz w:val="21"/>
              </w:rPr>
              <w:t>6.3</w:t>
            </w:r>
            <w:r>
              <w:rPr>
                <w:spacing w:val="-11"/>
                <w:sz w:val="21"/>
              </w:rPr>
              <w:t> </w:t>
            </w:r>
            <w:r>
              <w:rPr>
                <w:sz w:val="21"/>
              </w:rPr>
              <w:t>投资方式选</w:t>
            </w:r>
            <w:r>
              <w:rPr>
                <w:spacing w:val="-10"/>
                <w:sz w:val="21"/>
              </w:rPr>
              <w:t>择</w:t>
            </w:r>
            <w:r>
              <w:rPr>
                <w:sz w:val="21"/>
              </w:rPr>
              <w:tab/>
            </w:r>
            <w:r>
              <w:rPr>
                <w:rFonts w:ascii="微软雅黑" w:eastAsia="微软雅黑"/>
                <w:b/>
                <w:w w:val="68"/>
                <w:sz w:val="21"/>
              </w:rPr>
              <w:t>10</w:t>
            </w:r>
            <w:r>
              <w:rPr>
                <w:rFonts w:ascii="微软雅黑" w:eastAsia="微软雅黑"/>
                <w:b/>
                <w:w w:val="163"/>
                <w:sz w:val="21"/>
              </w:rPr>
              <w:t>.</w:t>
            </w:r>
            <w:r>
              <w:rPr>
                <w:rFonts w:ascii="Microsoft JhengHei" w:eastAsia="Microsoft JhengHei"/>
                <w:b/>
                <w:sz w:val="21"/>
              </w:rPr>
              <w:t>其他需要关注的事</w:t>
            </w:r>
            <w:r>
              <w:rPr>
                <w:rFonts w:ascii="Microsoft JhengHei" w:eastAsia="Microsoft JhengHei"/>
                <w:b/>
                <w:spacing w:val="-10"/>
                <w:sz w:val="21"/>
              </w:rPr>
              <w:t>项</w:t>
            </w:r>
          </w:p>
        </w:tc>
      </w:tr>
      <w:tr>
        <w:trPr>
          <w:trHeight w:val="311" w:hRule="atLeast"/>
        </w:trPr>
        <w:tc>
          <w:tcPr>
            <w:tcW w:w="1793" w:type="dxa"/>
          </w:tcPr>
          <w:p>
            <w:pPr>
              <w:pStyle w:val="TableParagraph"/>
              <w:ind w:right="50"/>
              <w:jc w:val="right"/>
              <w:rPr>
                <w:sz w:val="21"/>
              </w:rPr>
            </w:pPr>
            <w:r>
              <w:rPr>
                <w:spacing w:val="-5"/>
                <w:sz w:val="21"/>
              </w:rPr>
              <w:t>3.1</w:t>
            </w:r>
          </w:p>
        </w:tc>
        <w:tc>
          <w:tcPr>
            <w:tcW w:w="2134" w:type="dxa"/>
          </w:tcPr>
          <w:p>
            <w:pPr>
              <w:pStyle w:val="TableParagraph"/>
              <w:ind w:left="53"/>
              <w:rPr>
                <w:sz w:val="21"/>
              </w:rPr>
            </w:pPr>
            <w:r>
              <w:rPr>
                <w:spacing w:val="-5"/>
                <w:sz w:val="21"/>
              </w:rPr>
              <w:t>受益人</w:t>
            </w:r>
          </w:p>
        </w:tc>
        <w:tc>
          <w:tcPr>
            <w:tcW w:w="769" w:type="dxa"/>
          </w:tcPr>
          <w:p>
            <w:pPr>
              <w:pStyle w:val="TableParagraph"/>
              <w:ind w:right="50"/>
              <w:jc w:val="right"/>
              <w:rPr>
                <w:sz w:val="21"/>
              </w:rPr>
            </w:pPr>
            <w:r>
              <w:rPr>
                <w:spacing w:val="-5"/>
                <w:sz w:val="21"/>
              </w:rPr>
              <w:t>6.4</w:t>
            </w:r>
          </w:p>
        </w:tc>
        <w:tc>
          <w:tcPr>
            <w:tcW w:w="2347" w:type="dxa"/>
          </w:tcPr>
          <w:p>
            <w:pPr>
              <w:pStyle w:val="TableParagraph"/>
              <w:ind w:left="54"/>
              <w:rPr>
                <w:sz w:val="21"/>
              </w:rPr>
            </w:pPr>
            <w:r>
              <w:rPr>
                <w:spacing w:val="-4"/>
                <w:sz w:val="21"/>
              </w:rPr>
              <w:t>投资单位数的确定</w:t>
            </w:r>
          </w:p>
        </w:tc>
        <w:tc>
          <w:tcPr>
            <w:tcW w:w="929" w:type="dxa"/>
            <w:gridSpan w:val="2"/>
          </w:tcPr>
          <w:p>
            <w:pPr>
              <w:pStyle w:val="TableParagraph"/>
              <w:ind w:left="405"/>
              <w:rPr>
                <w:sz w:val="21"/>
              </w:rPr>
            </w:pPr>
            <w:r>
              <w:rPr>
                <w:spacing w:val="-4"/>
                <w:sz w:val="21"/>
              </w:rPr>
              <w:t>10.1</w:t>
            </w:r>
          </w:p>
        </w:tc>
        <w:tc>
          <w:tcPr>
            <w:tcW w:w="2255" w:type="dxa"/>
          </w:tcPr>
          <w:p>
            <w:pPr>
              <w:pStyle w:val="TableParagraph"/>
              <w:ind w:left="2"/>
              <w:rPr>
                <w:sz w:val="21"/>
              </w:rPr>
            </w:pPr>
            <w:r>
              <w:rPr>
                <w:spacing w:val="-4"/>
                <w:sz w:val="21"/>
              </w:rPr>
              <w:t>年龄性别错误</w:t>
            </w:r>
          </w:p>
        </w:tc>
      </w:tr>
      <w:tr>
        <w:trPr>
          <w:trHeight w:val="311" w:hRule="atLeast"/>
        </w:trPr>
        <w:tc>
          <w:tcPr>
            <w:tcW w:w="1793" w:type="dxa"/>
          </w:tcPr>
          <w:p>
            <w:pPr>
              <w:pStyle w:val="TableParagraph"/>
              <w:ind w:right="50"/>
              <w:jc w:val="right"/>
              <w:rPr>
                <w:sz w:val="21"/>
              </w:rPr>
            </w:pPr>
            <w:r>
              <w:rPr>
                <w:spacing w:val="-5"/>
                <w:sz w:val="21"/>
              </w:rPr>
              <w:t>3.2</w:t>
            </w:r>
          </w:p>
        </w:tc>
        <w:tc>
          <w:tcPr>
            <w:tcW w:w="2134" w:type="dxa"/>
          </w:tcPr>
          <w:p>
            <w:pPr>
              <w:pStyle w:val="TableParagraph"/>
              <w:ind w:left="53"/>
              <w:rPr>
                <w:sz w:val="21"/>
              </w:rPr>
            </w:pPr>
            <w:r>
              <w:rPr>
                <w:spacing w:val="-4"/>
                <w:sz w:val="21"/>
              </w:rPr>
              <w:t>保险事故通知</w:t>
            </w:r>
          </w:p>
        </w:tc>
        <w:tc>
          <w:tcPr>
            <w:tcW w:w="769" w:type="dxa"/>
          </w:tcPr>
          <w:p>
            <w:pPr>
              <w:pStyle w:val="TableParagraph"/>
              <w:ind w:right="50"/>
              <w:jc w:val="right"/>
              <w:rPr>
                <w:sz w:val="21"/>
              </w:rPr>
            </w:pPr>
            <w:r>
              <w:rPr>
                <w:spacing w:val="-5"/>
                <w:sz w:val="21"/>
              </w:rPr>
              <w:t>6.5</w:t>
            </w:r>
          </w:p>
        </w:tc>
        <w:tc>
          <w:tcPr>
            <w:tcW w:w="2347" w:type="dxa"/>
          </w:tcPr>
          <w:p>
            <w:pPr>
              <w:pStyle w:val="TableParagraph"/>
              <w:ind w:left="54"/>
              <w:rPr>
                <w:sz w:val="21"/>
              </w:rPr>
            </w:pPr>
            <w:r>
              <w:rPr>
                <w:spacing w:val="-3"/>
                <w:sz w:val="21"/>
              </w:rPr>
              <w:t>保单账户投资资金的转</w:t>
            </w:r>
          </w:p>
        </w:tc>
        <w:tc>
          <w:tcPr>
            <w:tcW w:w="929" w:type="dxa"/>
            <w:gridSpan w:val="2"/>
          </w:tcPr>
          <w:p>
            <w:pPr>
              <w:pStyle w:val="TableParagraph"/>
              <w:ind w:left="405"/>
              <w:rPr>
                <w:sz w:val="21"/>
              </w:rPr>
            </w:pPr>
            <w:r>
              <w:rPr>
                <w:spacing w:val="-4"/>
                <w:sz w:val="21"/>
              </w:rPr>
              <w:t>10.2</w:t>
            </w:r>
          </w:p>
        </w:tc>
        <w:tc>
          <w:tcPr>
            <w:tcW w:w="2255" w:type="dxa"/>
          </w:tcPr>
          <w:p>
            <w:pPr>
              <w:pStyle w:val="TableParagraph"/>
              <w:ind w:left="2"/>
              <w:rPr>
                <w:sz w:val="21"/>
              </w:rPr>
            </w:pPr>
            <w:r>
              <w:rPr>
                <w:spacing w:val="-4"/>
                <w:sz w:val="21"/>
              </w:rPr>
              <w:t>未还款项</w:t>
            </w:r>
          </w:p>
        </w:tc>
      </w:tr>
      <w:tr>
        <w:trPr>
          <w:trHeight w:val="311" w:hRule="atLeast"/>
        </w:trPr>
        <w:tc>
          <w:tcPr>
            <w:tcW w:w="1793" w:type="dxa"/>
          </w:tcPr>
          <w:p>
            <w:pPr>
              <w:pStyle w:val="TableParagraph"/>
              <w:ind w:right="50"/>
              <w:jc w:val="right"/>
              <w:rPr>
                <w:sz w:val="21"/>
              </w:rPr>
            </w:pPr>
            <w:r>
              <w:rPr>
                <w:spacing w:val="-5"/>
                <w:sz w:val="21"/>
              </w:rPr>
              <w:t>3.3</w:t>
            </w:r>
          </w:p>
        </w:tc>
        <w:tc>
          <w:tcPr>
            <w:tcW w:w="2134" w:type="dxa"/>
          </w:tcPr>
          <w:p>
            <w:pPr>
              <w:pStyle w:val="TableParagraph"/>
              <w:ind w:left="53"/>
              <w:rPr>
                <w:sz w:val="21"/>
              </w:rPr>
            </w:pPr>
            <w:r>
              <w:rPr>
                <w:spacing w:val="-4"/>
                <w:sz w:val="21"/>
              </w:rPr>
              <w:t>保险金申请</w:t>
            </w:r>
          </w:p>
        </w:tc>
        <w:tc>
          <w:tcPr>
            <w:tcW w:w="769" w:type="dxa"/>
          </w:tcPr>
          <w:p>
            <w:pPr>
              <w:pStyle w:val="TableParagraph"/>
              <w:spacing w:before="0"/>
              <w:rPr>
                <w:rFonts w:ascii="Times New Roman"/>
                <w:sz w:val="20"/>
              </w:rPr>
            </w:pPr>
          </w:p>
        </w:tc>
        <w:tc>
          <w:tcPr>
            <w:tcW w:w="2347" w:type="dxa"/>
          </w:tcPr>
          <w:p>
            <w:pPr>
              <w:pStyle w:val="TableParagraph"/>
              <w:ind w:left="52"/>
              <w:rPr>
                <w:sz w:val="21"/>
              </w:rPr>
            </w:pPr>
            <w:r>
              <w:rPr>
                <w:w w:val="100"/>
                <w:sz w:val="21"/>
              </w:rPr>
              <w:t>换</w:t>
            </w:r>
          </w:p>
        </w:tc>
        <w:tc>
          <w:tcPr>
            <w:tcW w:w="929" w:type="dxa"/>
            <w:gridSpan w:val="2"/>
          </w:tcPr>
          <w:p>
            <w:pPr>
              <w:pStyle w:val="TableParagraph"/>
              <w:ind w:left="405"/>
              <w:rPr>
                <w:sz w:val="21"/>
              </w:rPr>
            </w:pPr>
            <w:r>
              <w:rPr>
                <w:spacing w:val="-4"/>
                <w:sz w:val="21"/>
              </w:rPr>
              <w:t>10.3</w:t>
            </w:r>
          </w:p>
        </w:tc>
        <w:tc>
          <w:tcPr>
            <w:tcW w:w="2255" w:type="dxa"/>
          </w:tcPr>
          <w:p>
            <w:pPr>
              <w:pStyle w:val="TableParagraph"/>
              <w:ind w:left="2"/>
              <w:rPr>
                <w:sz w:val="21"/>
              </w:rPr>
            </w:pPr>
            <w:r>
              <w:rPr>
                <w:spacing w:val="-4"/>
                <w:sz w:val="21"/>
              </w:rPr>
              <w:t>争议处理</w:t>
            </w:r>
          </w:p>
        </w:tc>
      </w:tr>
      <w:tr>
        <w:trPr>
          <w:trHeight w:val="311" w:hRule="atLeast"/>
        </w:trPr>
        <w:tc>
          <w:tcPr>
            <w:tcW w:w="1793" w:type="dxa"/>
          </w:tcPr>
          <w:p>
            <w:pPr>
              <w:pStyle w:val="TableParagraph"/>
              <w:ind w:right="50"/>
              <w:jc w:val="right"/>
              <w:rPr>
                <w:sz w:val="21"/>
              </w:rPr>
            </w:pPr>
            <w:r>
              <w:rPr>
                <w:spacing w:val="-5"/>
                <w:sz w:val="21"/>
              </w:rPr>
              <w:t>3.4</w:t>
            </w:r>
          </w:p>
        </w:tc>
        <w:tc>
          <w:tcPr>
            <w:tcW w:w="2134" w:type="dxa"/>
          </w:tcPr>
          <w:p>
            <w:pPr>
              <w:pStyle w:val="TableParagraph"/>
              <w:ind w:left="53"/>
              <w:rPr>
                <w:sz w:val="21"/>
              </w:rPr>
            </w:pPr>
            <w:r>
              <w:rPr>
                <w:spacing w:val="-4"/>
                <w:sz w:val="21"/>
              </w:rPr>
              <w:t>宣告死亡的处理</w:t>
            </w:r>
          </w:p>
        </w:tc>
        <w:tc>
          <w:tcPr>
            <w:tcW w:w="769" w:type="dxa"/>
          </w:tcPr>
          <w:p>
            <w:pPr>
              <w:pStyle w:val="TableParagraph"/>
              <w:ind w:right="50"/>
              <w:jc w:val="right"/>
              <w:rPr>
                <w:sz w:val="21"/>
              </w:rPr>
            </w:pPr>
            <w:r>
              <w:rPr>
                <w:spacing w:val="-5"/>
                <w:sz w:val="21"/>
              </w:rPr>
              <w:t>6.6</w:t>
            </w:r>
          </w:p>
        </w:tc>
        <w:tc>
          <w:tcPr>
            <w:tcW w:w="2347" w:type="dxa"/>
          </w:tcPr>
          <w:p>
            <w:pPr>
              <w:pStyle w:val="TableParagraph"/>
              <w:ind w:left="54"/>
              <w:rPr>
                <w:sz w:val="21"/>
              </w:rPr>
            </w:pPr>
            <w:r>
              <w:rPr>
                <w:spacing w:val="-4"/>
                <w:sz w:val="21"/>
              </w:rPr>
              <w:t>部分领取</w:t>
            </w:r>
          </w:p>
        </w:tc>
        <w:tc>
          <w:tcPr>
            <w:tcW w:w="929" w:type="dxa"/>
            <w:gridSpan w:val="2"/>
          </w:tcPr>
          <w:p>
            <w:pPr>
              <w:pStyle w:val="TableParagraph"/>
              <w:spacing w:line="292" w:lineRule="exact" w:before="0"/>
              <w:ind w:left="194" w:right="-15"/>
              <w:rPr>
                <w:rFonts w:ascii="Microsoft JhengHei" w:eastAsia="Microsoft JhengHei"/>
                <w:b/>
                <w:sz w:val="21"/>
              </w:rPr>
            </w:pPr>
            <w:r>
              <w:rPr>
                <w:rFonts w:ascii="微软雅黑" w:eastAsia="微软雅黑"/>
                <w:b/>
                <w:w w:val="73"/>
                <w:sz w:val="21"/>
              </w:rPr>
              <w:t>11</w:t>
            </w:r>
            <w:r>
              <w:rPr>
                <w:rFonts w:ascii="微软雅黑" w:eastAsia="微软雅黑"/>
                <w:b/>
                <w:w w:val="168"/>
                <w:sz w:val="21"/>
              </w:rPr>
              <w:t>.</w:t>
            </w:r>
            <w:r>
              <w:rPr>
                <w:rFonts w:ascii="Microsoft JhengHei" w:eastAsia="Microsoft JhengHei"/>
                <w:b/>
                <w:w w:val="105"/>
                <w:sz w:val="21"/>
              </w:rPr>
              <w:t>释</w:t>
            </w:r>
            <w:r>
              <w:rPr>
                <w:rFonts w:ascii="Microsoft JhengHei" w:eastAsia="Microsoft JhengHei"/>
                <w:b/>
                <w:spacing w:val="-10"/>
                <w:w w:val="105"/>
                <w:sz w:val="21"/>
              </w:rPr>
              <w:t>义</w:t>
            </w:r>
          </w:p>
        </w:tc>
        <w:tc>
          <w:tcPr>
            <w:tcW w:w="2255" w:type="dxa"/>
          </w:tcPr>
          <w:p>
            <w:pPr>
              <w:pStyle w:val="TableParagraph"/>
              <w:spacing w:before="0"/>
              <w:rPr>
                <w:rFonts w:ascii="Times New Roman"/>
                <w:sz w:val="20"/>
              </w:rPr>
            </w:pPr>
          </w:p>
        </w:tc>
      </w:tr>
      <w:tr>
        <w:trPr>
          <w:trHeight w:val="311" w:hRule="atLeast"/>
        </w:trPr>
        <w:tc>
          <w:tcPr>
            <w:tcW w:w="1793" w:type="dxa"/>
          </w:tcPr>
          <w:p>
            <w:pPr>
              <w:pStyle w:val="TableParagraph"/>
              <w:ind w:right="50"/>
              <w:jc w:val="right"/>
              <w:rPr>
                <w:sz w:val="21"/>
              </w:rPr>
            </w:pPr>
            <w:r>
              <w:rPr>
                <w:spacing w:val="-5"/>
                <w:sz w:val="21"/>
              </w:rPr>
              <w:t>3.5</w:t>
            </w:r>
          </w:p>
        </w:tc>
        <w:tc>
          <w:tcPr>
            <w:tcW w:w="2134" w:type="dxa"/>
          </w:tcPr>
          <w:p>
            <w:pPr>
              <w:pStyle w:val="TableParagraph"/>
              <w:ind w:left="53"/>
              <w:rPr>
                <w:sz w:val="21"/>
              </w:rPr>
            </w:pPr>
            <w:r>
              <w:rPr>
                <w:spacing w:val="-4"/>
                <w:sz w:val="21"/>
              </w:rPr>
              <w:t>保险金的给付</w:t>
            </w:r>
          </w:p>
        </w:tc>
        <w:tc>
          <w:tcPr>
            <w:tcW w:w="769" w:type="dxa"/>
          </w:tcPr>
          <w:p>
            <w:pPr>
              <w:pStyle w:val="TableParagraph"/>
              <w:ind w:right="50"/>
              <w:jc w:val="right"/>
              <w:rPr>
                <w:sz w:val="21"/>
              </w:rPr>
            </w:pPr>
            <w:r>
              <w:rPr>
                <w:spacing w:val="-5"/>
                <w:sz w:val="21"/>
              </w:rPr>
              <w:t>6.7</w:t>
            </w:r>
          </w:p>
        </w:tc>
        <w:tc>
          <w:tcPr>
            <w:tcW w:w="2347" w:type="dxa"/>
          </w:tcPr>
          <w:p>
            <w:pPr>
              <w:pStyle w:val="TableParagraph"/>
              <w:ind w:left="54"/>
              <w:rPr>
                <w:sz w:val="21"/>
              </w:rPr>
            </w:pPr>
            <w:r>
              <w:rPr>
                <w:spacing w:val="-4"/>
                <w:sz w:val="21"/>
              </w:rPr>
              <w:t>费用收取</w:t>
            </w:r>
          </w:p>
        </w:tc>
        <w:tc>
          <w:tcPr>
            <w:tcW w:w="929" w:type="dxa"/>
            <w:gridSpan w:val="2"/>
          </w:tcPr>
          <w:p>
            <w:pPr>
              <w:pStyle w:val="TableParagraph"/>
              <w:spacing w:before="0"/>
              <w:rPr>
                <w:rFonts w:ascii="Times New Roman"/>
                <w:sz w:val="20"/>
              </w:rPr>
            </w:pPr>
          </w:p>
        </w:tc>
        <w:tc>
          <w:tcPr>
            <w:tcW w:w="2255" w:type="dxa"/>
          </w:tcPr>
          <w:p>
            <w:pPr>
              <w:pStyle w:val="TableParagraph"/>
              <w:spacing w:before="0"/>
              <w:rPr>
                <w:rFonts w:ascii="Times New Roman"/>
                <w:sz w:val="20"/>
              </w:rPr>
            </w:pPr>
          </w:p>
        </w:tc>
      </w:tr>
      <w:tr>
        <w:trPr>
          <w:trHeight w:val="310" w:hRule="atLeast"/>
        </w:trPr>
        <w:tc>
          <w:tcPr>
            <w:tcW w:w="1793" w:type="dxa"/>
            <w:tcBorders>
              <w:bottom w:val="single" w:sz="4" w:space="0" w:color="000000"/>
            </w:tcBorders>
          </w:tcPr>
          <w:p>
            <w:pPr>
              <w:pStyle w:val="TableParagraph"/>
              <w:ind w:right="50"/>
              <w:jc w:val="right"/>
              <w:rPr>
                <w:sz w:val="21"/>
              </w:rPr>
            </w:pPr>
            <w:r>
              <w:rPr>
                <w:spacing w:val="-5"/>
                <w:sz w:val="21"/>
              </w:rPr>
              <w:t>3.6</w:t>
            </w:r>
          </w:p>
        </w:tc>
        <w:tc>
          <w:tcPr>
            <w:tcW w:w="2134" w:type="dxa"/>
            <w:tcBorders>
              <w:bottom w:val="single" w:sz="4" w:space="0" w:color="000000"/>
            </w:tcBorders>
          </w:tcPr>
          <w:p>
            <w:pPr>
              <w:pStyle w:val="TableParagraph"/>
              <w:ind w:left="53"/>
              <w:rPr>
                <w:sz w:val="21"/>
              </w:rPr>
            </w:pPr>
            <w:r>
              <w:rPr>
                <w:spacing w:val="-4"/>
                <w:sz w:val="21"/>
              </w:rPr>
              <w:t>诉讼时效</w:t>
            </w:r>
          </w:p>
        </w:tc>
        <w:tc>
          <w:tcPr>
            <w:tcW w:w="769" w:type="dxa"/>
            <w:tcBorders>
              <w:bottom w:val="single" w:sz="4" w:space="0" w:color="000000"/>
            </w:tcBorders>
          </w:tcPr>
          <w:p>
            <w:pPr>
              <w:pStyle w:val="TableParagraph"/>
              <w:ind w:right="50"/>
              <w:jc w:val="right"/>
              <w:rPr>
                <w:sz w:val="21"/>
              </w:rPr>
            </w:pPr>
            <w:r>
              <w:rPr>
                <w:spacing w:val="-5"/>
                <w:sz w:val="21"/>
              </w:rPr>
              <w:t>6.8</w:t>
            </w:r>
          </w:p>
        </w:tc>
        <w:tc>
          <w:tcPr>
            <w:tcW w:w="2347" w:type="dxa"/>
            <w:tcBorders>
              <w:bottom w:val="single" w:sz="4" w:space="0" w:color="000000"/>
            </w:tcBorders>
          </w:tcPr>
          <w:p>
            <w:pPr>
              <w:pStyle w:val="TableParagraph"/>
              <w:ind w:left="54"/>
              <w:rPr>
                <w:sz w:val="21"/>
              </w:rPr>
            </w:pPr>
            <w:r>
              <w:rPr>
                <w:spacing w:val="-5"/>
                <w:sz w:val="21"/>
              </w:rPr>
              <w:t>宽限期</w:t>
            </w:r>
          </w:p>
        </w:tc>
        <w:tc>
          <w:tcPr>
            <w:tcW w:w="929" w:type="dxa"/>
            <w:gridSpan w:val="2"/>
            <w:tcBorders>
              <w:bottom w:val="single" w:sz="4" w:space="0" w:color="000000"/>
            </w:tcBorders>
          </w:tcPr>
          <w:p>
            <w:pPr>
              <w:pStyle w:val="TableParagraph"/>
              <w:spacing w:before="0"/>
              <w:rPr>
                <w:rFonts w:ascii="Times New Roman"/>
                <w:sz w:val="20"/>
              </w:rPr>
            </w:pPr>
          </w:p>
        </w:tc>
        <w:tc>
          <w:tcPr>
            <w:tcW w:w="2255" w:type="dxa"/>
            <w:tcBorders>
              <w:bottom w:val="single" w:sz="4" w:space="0" w:color="000000"/>
            </w:tcBorders>
          </w:tcPr>
          <w:p>
            <w:pPr>
              <w:pStyle w:val="TableParagraph"/>
              <w:spacing w:before="0"/>
              <w:rPr>
                <w:rFonts w:ascii="Times New Roman"/>
                <w:sz w:val="20"/>
              </w:rPr>
            </w:pPr>
          </w:p>
        </w:tc>
      </w:tr>
    </w:tbl>
    <w:p>
      <w:pPr>
        <w:spacing w:after="0"/>
        <w:rPr>
          <w:rFonts w:ascii="Times New Roman"/>
          <w:sz w:val="20"/>
        </w:rPr>
        <w:sectPr>
          <w:type w:val="continuous"/>
          <w:pgSz w:w="11910" w:h="16840"/>
          <w:pgMar w:top="0" w:bottom="280" w:left="740" w:right="20"/>
        </w:sectPr>
      </w:pPr>
    </w:p>
    <w:p>
      <w:pPr>
        <w:pStyle w:val="Heading1"/>
        <w:spacing w:line="594" w:lineRule="exact"/>
        <w:ind w:right="2152"/>
      </w:pPr>
      <w:r>
        <w:rPr>
          <w:w w:val="95"/>
        </w:rPr>
        <w:t>弘</w:t>
      </w:r>
      <w:r>
        <w:rPr>
          <w:w w:val="95"/>
        </w:rPr>
        <w:t>康</w:t>
      </w:r>
      <w:r>
        <w:rPr>
          <w:w w:val="95"/>
        </w:rPr>
        <w:t>人</w:t>
      </w:r>
      <w:r>
        <w:rPr>
          <w:w w:val="95"/>
        </w:rPr>
        <w:t>寿</w:t>
      </w:r>
      <w:r>
        <w:rPr>
          <w:w w:val="95"/>
        </w:rPr>
        <w:t>保</w:t>
      </w:r>
      <w:r>
        <w:rPr>
          <w:w w:val="95"/>
        </w:rPr>
        <w:t>险</w:t>
      </w:r>
      <w:r>
        <w:rPr>
          <w:w w:val="95"/>
        </w:rPr>
        <w:t>股</w:t>
      </w:r>
      <w:r>
        <w:rPr>
          <w:w w:val="95"/>
        </w:rPr>
        <w:t>份</w:t>
      </w:r>
      <w:r>
        <w:rPr>
          <w:w w:val="95"/>
        </w:rPr>
        <w:t>有</w:t>
      </w:r>
      <w:r>
        <w:rPr>
          <w:w w:val="95"/>
        </w:rPr>
        <w:t>限</w:t>
      </w:r>
      <w:r>
        <w:rPr>
          <w:w w:val="95"/>
        </w:rPr>
        <w:t>公</w:t>
      </w:r>
      <w:r>
        <w:rPr>
          <w:spacing w:val="-10"/>
          <w:w w:val="95"/>
        </w:rPr>
        <w:t>司</w:t>
      </w:r>
    </w:p>
    <w:p>
      <w:pPr>
        <w:spacing w:line="717" w:lineRule="exact" w:before="0"/>
        <w:ind w:left="1433" w:right="2153" w:firstLine="0"/>
        <w:jc w:val="center"/>
        <w:rPr>
          <w:rFonts w:ascii="Microsoft JhengHei" w:eastAsia="Microsoft JhengHei"/>
          <w:b/>
          <w:sz w:val="44"/>
        </w:rPr>
      </w:pPr>
      <w:r>
        <w:rPr>
          <w:rFonts w:ascii="Microsoft JhengHei" w:eastAsia="Microsoft JhengHei"/>
          <w:b/>
          <w:spacing w:val="-22"/>
          <w:w w:val="95"/>
          <w:sz w:val="44"/>
        </w:rPr>
        <w:t>弘康悦</w:t>
      </w:r>
      <w:r>
        <w:rPr>
          <w:rFonts w:ascii="Microsoft JhengHei" w:eastAsia="Microsoft JhengHei"/>
          <w:b/>
          <w:spacing w:val="-22"/>
          <w:w w:val="95"/>
          <w:sz w:val="44"/>
        </w:rPr>
        <w:t>享</w:t>
      </w:r>
      <w:r>
        <w:rPr>
          <w:rFonts w:ascii="Microsoft JhengHei" w:eastAsia="Microsoft JhengHei"/>
          <w:b/>
          <w:spacing w:val="-22"/>
          <w:w w:val="95"/>
          <w:sz w:val="44"/>
        </w:rPr>
        <w:t>长</w:t>
      </w:r>
      <w:r>
        <w:rPr>
          <w:rFonts w:ascii="Microsoft JhengHei" w:eastAsia="Microsoft JhengHei"/>
          <w:b/>
          <w:spacing w:val="-22"/>
          <w:w w:val="95"/>
          <w:sz w:val="44"/>
        </w:rPr>
        <w:t>盈终身寿</w:t>
      </w:r>
      <w:r>
        <w:rPr>
          <w:rFonts w:ascii="Microsoft JhengHei" w:eastAsia="Microsoft JhengHei"/>
          <w:b/>
          <w:spacing w:val="-22"/>
          <w:w w:val="95"/>
          <w:sz w:val="44"/>
        </w:rPr>
        <w:t>险</w:t>
      </w:r>
      <w:r>
        <w:rPr>
          <w:rFonts w:ascii="Microsoft JhengHei" w:eastAsia="Microsoft JhengHei"/>
          <w:b/>
          <w:spacing w:val="-22"/>
          <w:w w:val="95"/>
          <w:sz w:val="44"/>
        </w:rPr>
        <w:t>（</w:t>
      </w:r>
      <w:r>
        <w:rPr>
          <w:rFonts w:ascii="Microsoft JhengHei" w:eastAsia="Microsoft JhengHei"/>
          <w:b/>
          <w:spacing w:val="-22"/>
          <w:w w:val="95"/>
          <w:sz w:val="44"/>
        </w:rPr>
        <w:t>投</w:t>
      </w:r>
      <w:r>
        <w:rPr>
          <w:rFonts w:ascii="Microsoft JhengHei" w:eastAsia="Microsoft JhengHei"/>
          <w:b/>
          <w:spacing w:val="-22"/>
          <w:w w:val="95"/>
          <w:sz w:val="44"/>
        </w:rPr>
        <w:t>资连结</w:t>
      </w:r>
      <w:r>
        <w:rPr>
          <w:rFonts w:ascii="Microsoft JhengHei" w:eastAsia="Microsoft JhengHei"/>
          <w:b/>
          <w:spacing w:val="-22"/>
          <w:w w:val="95"/>
          <w:sz w:val="44"/>
        </w:rPr>
        <w:t>型</w:t>
      </w:r>
      <w:r>
        <w:rPr>
          <w:rFonts w:ascii="Microsoft JhengHei" w:eastAsia="Microsoft JhengHei"/>
          <w:b/>
          <w:spacing w:val="-22"/>
          <w:w w:val="95"/>
          <w:sz w:val="44"/>
        </w:rPr>
        <w:t>）</w:t>
      </w:r>
      <w:r>
        <w:rPr>
          <w:rFonts w:ascii="Microsoft JhengHei" w:eastAsia="Microsoft JhengHei"/>
          <w:b/>
          <w:spacing w:val="-22"/>
          <w:w w:val="95"/>
          <w:sz w:val="44"/>
        </w:rPr>
        <w:t>条</w:t>
      </w:r>
      <w:r>
        <w:rPr>
          <w:rFonts w:ascii="Microsoft JhengHei" w:eastAsia="Microsoft JhengHei"/>
          <w:b/>
          <w:spacing w:val="-22"/>
          <w:w w:val="95"/>
          <w:sz w:val="44"/>
        </w:rPr>
        <w:t>款</w:t>
      </w:r>
    </w:p>
    <w:p>
      <w:pPr>
        <w:pStyle w:val="BodyText"/>
        <w:spacing w:before="8"/>
        <w:rPr>
          <w:rFonts w:ascii="Microsoft JhengHei"/>
          <w:b/>
          <w:sz w:val="31"/>
        </w:rPr>
      </w:pPr>
    </w:p>
    <w:p>
      <w:pPr>
        <w:pStyle w:val="BodyText"/>
        <w:tabs>
          <w:tab w:pos="9101" w:val="left" w:leader="none"/>
        </w:tabs>
        <w:spacing w:line="278" w:lineRule="auto" w:before="1"/>
        <w:ind w:left="280" w:right="995"/>
      </w:pPr>
      <w:r>
        <w:rPr>
          <w:spacing w:val="-2"/>
        </w:rPr>
        <w:t>在</w:t>
      </w:r>
      <w:r>
        <w:rPr>
          <w:spacing w:val="-2"/>
        </w:rPr>
        <w:t>本</w:t>
      </w:r>
      <w:r>
        <w:rPr>
          <w:spacing w:val="-2"/>
        </w:rPr>
        <w:t>条款中，“您”指投</w:t>
      </w:r>
      <w:r>
        <w:rPr>
          <w:spacing w:val="-2"/>
        </w:rPr>
        <w:t>保</w:t>
      </w:r>
      <w:r>
        <w:rPr>
          <w:spacing w:val="-2"/>
        </w:rPr>
        <w:t>人</w:t>
      </w:r>
      <w:r>
        <w:rPr>
          <w:spacing w:val="-2"/>
        </w:rPr>
        <w:t>，“我们”和“本公司”指弘康人寿保险股份有限公司</w:t>
      </w:r>
      <w:r>
        <w:rPr>
          <w:spacing w:val="-108"/>
        </w:rPr>
        <w:t>，</w:t>
      </w:r>
      <w:r>
        <w:rPr/>
        <w:t>“</w:t>
      </w:r>
      <w:r>
        <w:rPr>
          <w:spacing w:val="-2"/>
        </w:rPr>
        <w:t>本合</w:t>
      </w:r>
      <w:r>
        <w:rPr/>
        <w:tab/>
      </w:r>
      <w:r>
        <w:rPr>
          <w:spacing w:val="-2"/>
        </w:rPr>
        <w:t>同”指您</w:t>
      </w:r>
      <w:r>
        <w:rPr>
          <w:spacing w:val="-2"/>
        </w:rPr>
        <w:t>与</w:t>
      </w:r>
      <w:r>
        <w:rPr>
          <w:spacing w:val="-2"/>
        </w:rPr>
        <w:t>我</w:t>
      </w:r>
      <w:r>
        <w:rPr>
          <w:spacing w:val="-2"/>
        </w:rPr>
        <w:t>们</w:t>
      </w:r>
      <w:r>
        <w:rPr>
          <w:spacing w:val="-2"/>
        </w:rPr>
        <w:t>之间订立的“弘康悦</w:t>
      </w:r>
      <w:r>
        <w:rPr>
          <w:spacing w:val="-2"/>
        </w:rPr>
        <w:t>享</w:t>
      </w:r>
      <w:r>
        <w:rPr>
          <w:spacing w:val="-2"/>
        </w:rPr>
        <w:t>长</w:t>
      </w:r>
      <w:r>
        <w:rPr>
          <w:spacing w:val="-2"/>
        </w:rPr>
        <w:t>盈终身寿险（投资连</w:t>
      </w:r>
      <w:r>
        <w:rPr>
          <w:spacing w:val="-2"/>
        </w:rPr>
        <w:t>结</w:t>
      </w:r>
      <w:r>
        <w:rPr>
          <w:spacing w:val="-2"/>
        </w:rPr>
        <w:t>型</w:t>
      </w:r>
      <w:r>
        <w:rPr>
          <w:spacing w:val="-2"/>
        </w:rPr>
        <w:t>）合同</w:t>
      </w:r>
      <w:r>
        <w:rPr>
          <w:spacing w:val="-106"/>
        </w:rPr>
        <w:t>”</w:t>
      </w:r>
      <w:r>
        <w:rPr>
          <w:spacing w:val="-2"/>
        </w:rPr>
        <w:t>。</w:t>
      </w:r>
    </w:p>
    <w:p>
      <w:pPr>
        <w:pStyle w:val="Heading2"/>
        <w:numPr>
          <w:ilvl w:val="0"/>
          <w:numId w:val="5"/>
        </w:numPr>
        <w:tabs>
          <w:tab w:pos="1439" w:val="left" w:leader="none"/>
          <w:tab w:pos="1440" w:val="left" w:leader="none"/>
        </w:tabs>
        <w:spacing w:line="240" w:lineRule="auto" w:before="159" w:after="0"/>
        <w:ind w:left="1439" w:right="0" w:hanging="1052"/>
        <w:jc w:val="left"/>
        <w:rPr>
          <w:rFonts w:ascii="微软雅黑" w:eastAsia="微软雅黑"/>
        </w:rPr>
      </w:pPr>
      <w:r>
        <w:rPr/>
        <w:drawing>
          <wp:anchor distT="0" distB="0" distL="0" distR="0" allowOverlap="1" layoutInCell="1" locked="0" behindDoc="0" simplePos="0" relativeHeight="15731200">
            <wp:simplePos x="0" y="0"/>
            <wp:positionH relativeFrom="page">
              <wp:posOffset>647700</wp:posOffset>
            </wp:positionH>
            <wp:positionV relativeFrom="paragraph">
              <wp:posOffset>369200</wp:posOffset>
            </wp:positionV>
            <wp:extent cx="6264783" cy="12192"/>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6264783" cy="12192"/>
                    </a:xfrm>
                    <a:prstGeom prst="rect">
                      <a:avLst/>
                    </a:prstGeom>
                  </pic:spPr>
                </pic:pic>
              </a:graphicData>
            </a:graphic>
          </wp:anchor>
        </w:drawing>
      </w:r>
      <w:r>
        <w:rPr>
          <w:spacing w:val="-2"/>
        </w:rPr>
        <w:t>您与我们订立的合同</w:t>
      </w:r>
    </w:p>
    <w:p>
      <w:pPr>
        <w:pStyle w:val="ListParagraph"/>
        <w:numPr>
          <w:ilvl w:val="1"/>
          <w:numId w:val="5"/>
        </w:numPr>
        <w:tabs>
          <w:tab w:pos="1439" w:val="left" w:leader="none"/>
          <w:tab w:pos="1440" w:val="left" w:leader="none"/>
          <w:tab w:pos="2908" w:val="left" w:leader="none"/>
        </w:tabs>
        <w:spacing w:line="256" w:lineRule="auto" w:before="159" w:after="0"/>
        <w:ind w:left="2908" w:right="1104" w:hanging="2521"/>
        <w:jc w:val="both"/>
        <w:rPr>
          <w:sz w:val="21"/>
        </w:rPr>
      </w:pPr>
      <w:r>
        <w:rPr>
          <w:rFonts w:ascii="Microsoft JhengHei" w:eastAsia="Microsoft JhengHei"/>
          <w:b/>
          <w:spacing w:val="-4"/>
          <w:sz w:val="21"/>
        </w:rPr>
        <w:t>合</w:t>
      </w:r>
      <w:r>
        <w:rPr>
          <w:rFonts w:ascii="Microsoft JhengHei" w:eastAsia="Microsoft JhengHei"/>
          <w:b/>
          <w:spacing w:val="-4"/>
          <w:sz w:val="21"/>
        </w:rPr>
        <w:t>同</w:t>
      </w:r>
      <w:r>
        <w:rPr>
          <w:rFonts w:ascii="Microsoft JhengHei" w:eastAsia="Microsoft JhengHei"/>
          <w:b/>
          <w:spacing w:val="-4"/>
          <w:sz w:val="21"/>
        </w:rPr>
        <w:t>构</w:t>
      </w:r>
      <w:r>
        <w:rPr>
          <w:rFonts w:ascii="Microsoft JhengHei" w:eastAsia="Microsoft JhengHei"/>
          <w:b/>
          <w:spacing w:val="-4"/>
          <w:sz w:val="21"/>
        </w:rPr>
        <w:t>成</w:t>
      </w:r>
      <w:r>
        <w:rPr>
          <w:rFonts w:ascii="Microsoft JhengHei" w:eastAsia="Microsoft JhengHei"/>
          <w:b/>
          <w:sz w:val="21"/>
        </w:rPr>
        <w:tab/>
      </w:r>
      <w:r>
        <w:rPr>
          <w:spacing w:val="-2"/>
          <w:sz w:val="21"/>
        </w:rPr>
        <w:t>本</w:t>
      </w:r>
      <w:r>
        <w:rPr>
          <w:spacing w:val="-2"/>
          <w:sz w:val="21"/>
        </w:rPr>
        <w:t>合</w:t>
      </w:r>
      <w:r>
        <w:rPr>
          <w:spacing w:val="-2"/>
          <w:sz w:val="21"/>
        </w:rPr>
        <w:t>同是您与我们约定保</w:t>
      </w:r>
      <w:r>
        <w:rPr>
          <w:spacing w:val="-2"/>
          <w:sz w:val="21"/>
        </w:rPr>
        <w:t>险</w:t>
      </w:r>
      <w:r>
        <w:rPr>
          <w:spacing w:val="-2"/>
          <w:sz w:val="21"/>
        </w:rPr>
        <w:t>权</w:t>
      </w:r>
      <w:r>
        <w:rPr>
          <w:spacing w:val="-2"/>
          <w:sz w:val="21"/>
        </w:rPr>
        <w:t>利义务关系的协议，</w:t>
      </w:r>
      <w:r>
        <w:rPr>
          <w:spacing w:val="-2"/>
          <w:sz w:val="21"/>
        </w:rPr>
        <w:t>包</w:t>
      </w:r>
      <w:r>
        <w:rPr>
          <w:spacing w:val="-2"/>
          <w:sz w:val="21"/>
        </w:rPr>
        <w:t>括</w:t>
      </w:r>
      <w:r>
        <w:rPr>
          <w:spacing w:val="-2"/>
          <w:sz w:val="21"/>
        </w:rPr>
        <w:t>本保险</w:t>
      </w:r>
      <w:r>
        <w:rPr>
          <w:spacing w:val="-2"/>
          <w:sz w:val="21"/>
        </w:rPr>
        <w:t>条</w:t>
      </w:r>
      <w:r>
        <w:rPr>
          <w:spacing w:val="-2"/>
          <w:sz w:val="21"/>
        </w:rPr>
        <w:t>款</w:t>
      </w:r>
      <w:r>
        <w:rPr>
          <w:spacing w:val="-2"/>
          <w:sz w:val="21"/>
        </w:rPr>
        <w:t>、保险单或</w:t>
      </w:r>
      <w:r>
        <w:rPr>
          <w:spacing w:val="-2"/>
          <w:sz w:val="21"/>
        </w:rPr>
        <w:t>其</w:t>
      </w:r>
      <w:r>
        <w:rPr>
          <w:spacing w:val="-2"/>
          <w:sz w:val="21"/>
        </w:rPr>
        <w:t>他</w:t>
      </w:r>
      <w:r>
        <w:rPr>
          <w:spacing w:val="-2"/>
          <w:sz w:val="21"/>
        </w:rPr>
        <w:t>保险凭证、投保单、</w:t>
      </w:r>
      <w:r>
        <w:rPr>
          <w:spacing w:val="-2"/>
          <w:sz w:val="21"/>
        </w:rPr>
        <w:t>与</w:t>
      </w:r>
      <w:r>
        <w:rPr>
          <w:spacing w:val="-2"/>
          <w:sz w:val="21"/>
        </w:rPr>
        <w:t>保</w:t>
      </w:r>
      <w:r>
        <w:rPr>
          <w:spacing w:val="-2"/>
          <w:sz w:val="21"/>
        </w:rPr>
        <w:t>险合同有关的投保文件、合法有效的声明、变更</w:t>
      </w:r>
      <w:r>
        <w:rPr>
          <w:spacing w:val="-2"/>
          <w:sz w:val="21"/>
        </w:rPr>
        <w:t>申</w:t>
      </w:r>
      <w:r>
        <w:rPr>
          <w:spacing w:val="-2"/>
          <w:sz w:val="21"/>
        </w:rPr>
        <w:t>请</w:t>
      </w:r>
      <w:r>
        <w:rPr>
          <w:spacing w:val="-2"/>
          <w:sz w:val="21"/>
        </w:rPr>
        <w:t>书、批注、批单及其</w:t>
      </w:r>
      <w:r>
        <w:rPr>
          <w:spacing w:val="-2"/>
          <w:sz w:val="21"/>
        </w:rPr>
        <w:t>他</w:t>
      </w:r>
      <w:r>
        <w:rPr>
          <w:spacing w:val="-2"/>
          <w:sz w:val="21"/>
        </w:rPr>
        <w:t>您</w:t>
      </w:r>
      <w:r>
        <w:rPr>
          <w:spacing w:val="-2"/>
          <w:sz w:val="21"/>
        </w:rPr>
        <w:t>与我们共同认可的书</w:t>
      </w:r>
      <w:r>
        <w:rPr>
          <w:spacing w:val="-2"/>
          <w:sz w:val="21"/>
        </w:rPr>
        <w:t>面</w:t>
      </w:r>
      <w:r>
        <w:rPr>
          <w:spacing w:val="-2"/>
          <w:sz w:val="21"/>
        </w:rPr>
        <w:t>协</w:t>
      </w:r>
      <w:r>
        <w:rPr>
          <w:spacing w:val="-2"/>
          <w:sz w:val="21"/>
        </w:rPr>
        <w:t>议。</w:t>
      </w:r>
    </w:p>
    <w:p>
      <w:pPr>
        <w:pStyle w:val="BodyText"/>
        <w:spacing w:before="1"/>
        <w:rPr>
          <w:sz w:val="13"/>
        </w:rPr>
      </w:pPr>
    </w:p>
    <w:p>
      <w:pPr>
        <w:spacing w:after="0"/>
        <w:rPr>
          <w:sz w:val="13"/>
        </w:rPr>
        <w:sectPr>
          <w:pgSz w:w="11910" w:h="16840"/>
          <w:pgMar w:top="1120" w:bottom="280" w:left="740" w:right="20"/>
        </w:sectPr>
      </w:pPr>
    </w:p>
    <w:p>
      <w:pPr>
        <w:pStyle w:val="ListParagraph"/>
        <w:numPr>
          <w:ilvl w:val="1"/>
          <w:numId w:val="5"/>
        </w:numPr>
        <w:tabs>
          <w:tab w:pos="1439" w:val="left" w:leader="none"/>
          <w:tab w:pos="1440" w:val="left" w:leader="none"/>
        </w:tabs>
        <w:spacing w:line="192" w:lineRule="auto" w:before="58" w:after="0"/>
        <w:ind w:left="1439" w:right="0" w:hanging="1052"/>
        <w:jc w:val="left"/>
        <w:rPr>
          <w:rFonts w:ascii="Microsoft JhengHei" w:eastAsia="Microsoft JhengHei"/>
          <w:b/>
          <w:sz w:val="21"/>
        </w:rPr>
      </w:pPr>
      <w:r>
        <w:rPr>
          <w:rFonts w:ascii="Microsoft JhengHei" w:eastAsia="Microsoft JhengHei"/>
          <w:b/>
          <w:spacing w:val="-2"/>
          <w:sz w:val="21"/>
        </w:rPr>
        <w:t>合同成立与</w:t>
      </w:r>
      <w:r>
        <w:rPr>
          <w:rFonts w:ascii="Microsoft JhengHei" w:eastAsia="Microsoft JhengHei"/>
          <w:b/>
          <w:spacing w:val="-6"/>
          <w:sz w:val="21"/>
        </w:rPr>
        <w:t>生效</w:t>
      </w:r>
    </w:p>
    <w:p>
      <w:pPr>
        <w:pStyle w:val="BodyText"/>
        <w:spacing w:before="72"/>
        <w:ind w:left="372"/>
      </w:pPr>
      <w:r>
        <w:rPr/>
        <w:br w:type="column"/>
      </w:r>
      <w:r>
        <w:rPr>
          <w:spacing w:val="-3"/>
        </w:rPr>
        <w:t>一、您提出保险申请、我们同意承保，本合同成立。</w:t>
      </w:r>
    </w:p>
    <w:p>
      <w:pPr>
        <w:pStyle w:val="BodyText"/>
        <w:spacing w:line="278" w:lineRule="auto" w:before="43"/>
        <w:ind w:left="793" w:right="1103" w:hanging="421"/>
        <w:jc w:val="both"/>
      </w:pPr>
      <w:r>
        <w:rPr>
          <w:spacing w:val="-2"/>
        </w:rPr>
        <w:t>二、除另有约定外，自本合同成立、本公司收取保险费并签发保险单后次日零</w:t>
      </w:r>
      <w:r>
        <w:rPr>
          <w:spacing w:val="-2"/>
        </w:rPr>
        <w:t>时起本合同生效，生效日应载于保险单上。本公司自生效日的零时起开始</w:t>
      </w:r>
      <w:r>
        <w:rPr>
          <w:spacing w:val="-2"/>
        </w:rPr>
        <w:t>承担本合同约定的保险责任。</w:t>
      </w:r>
    </w:p>
    <w:p>
      <w:pPr>
        <w:pStyle w:val="BodyText"/>
        <w:spacing w:line="180" w:lineRule="auto"/>
        <w:ind w:left="372"/>
      </w:pPr>
      <w:r>
        <w:rPr>
          <w:spacing w:val="-6"/>
        </w:rPr>
        <w:t>三、</w:t>
      </w:r>
      <w:r>
        <w:rPr>
          <w:rFonts w:ascii="Microsoft JhengHei" w:eastAsia="Microsoft JhengHei"/>
          <w:b/>
          <w:spacing w:val="-149"/>
        </w:rPr>
        <w:t>保</w:t>
      </w:r>
      <w:r>
        <w:rPr>
          <w:spacing w:val="-63"/>
          <w:position w:val="-7"/>
        </w:rPr>
        <w:t>．</w:t>
      </w:r>
      <w:r>
        <w:rPr>
          <w:rFonts w:ascii="Microsoft JhengHei" w:eastAsia="Microsoft JhengHei"/>
          <w:b/>
          <w:spacing w:val="-149"/>
        </w:rPr>
        <w:t>单</w:t>
      </w:r>
      <w:r>
        <w:rPr>
          <w:spacing w:val="-63"/>
          <w:position w:val="-7"/>
        </w:rPr>
        <w:t>．</w:t>
      </w:r>
      <w:r>
        <w:rPr>
          <w:rFonts w:ascii="Microsoft JhengHei" w:eastAsia="Microsoft JhengHei"/>
          <w:b/>
          <w:spacing w:val="-149"/>
        </w:rPr>
        <w:t>年</w:t>
      </w:r>
      <w:r>
        <w:rPr>
          <w:spacing w:val="-63"/>
          <w:position w:val="-7"/>
        </w:rPr>
        <w:t>．</w:t>
      </w:r>
      <w:r>
        <w:rPr>
          <w:rFonts w:ascii="Microsoft JhengHei" w:eastAsia="Microsoft JhengHei"/>
          <w:b/>
          <w:spacing w:val="-149"/>
        </w:rPr>
        <w:t>度</w:t>
      </w:r>
      <w:r>
        <w:rPr>
          <w:spacing w:val="-6"/>
          <w:position w:val="-7"/>
        </w:rPr>
        <w:t>．</w:t>
      </w:r>
      <w:r>
        <w:rPr>
          <w:spacing w:val="-20"/>
        </w:rPr>
        <w:t>(见 </w:t>
      </w:r>
      <w:r>
        <w:rPr>
          <w:spacing w:val="-6"/>
        </w:rPr>
        <w:t>11.1)、</w:t>
      </w:r>
      <w:r>
        <w:rPr>
          <w:rFonts w:ascii="Microsoft JhengHei" w:eastAsia="Microsoft JhengHei"/>
          <w:b/>
          <w:spacing w:val="-149"/>
        </w:rPr>
        <w:t>保</w:t>
      </w:r>
      <w:r>
        <w:rPr>
          <w:spacing w:val="-63"/>
          <w:position w:val="-7"/>
        </w:rPr>
        <w:t>．</w:t>
      </w:r>
      <w:r>
        <w:rPr>
          <w:rFonts w:ascii="Microsoft JhengHei" w:eastAsia="Microsoft JhengHei"/>
          <w:b/>
          <w:spacing w:val="-149"/>
        </w:rPr>
        <w:t>单</w:t>
      </w:r>
      <w:r>
        <w:rPr>
          <w:spacing w:val="-63"/>
          <w:position w:val="-7"/>
        </w:rPr>
        <w:t>．</w:t>
      </w:r>
      <w:r>
        <w:rPr>
          <w:rFonts w:ascii="Microsoft JhengHei" w:eastAsia="Microsoft JhengHei"/>
          <w:b/>
          <w:spacing w:val="-149"/>
        </w:rPr>
        <w:t>周</w:t>
      </w:r>
      <w:r>
        <w:rPr>
          <w:spacing w:val="-63"/>
          <w:position w:val="-7"/>
        </w:rPr>
        <w:t>．</w:t>
      </w:r>
      <w:r>
        <w:rPr>
          <w:rFonts w:ascii="Microsoft JhengHei" w:eastAsia="Microsoft JhengHei"/>
          <w:b/>
          <w:spacing w:val="-149"/>
        </w:rPr>
        <w:t>年</w:t>
      </w:r>
      <w:r>
        <w:rPr>
          <w:spacing w:val="-63"/>
          <w:position w:val="-7"/>
        </w:rPr>
        <w:t>．</w:t>
      </w:r>
      <w:r>
        <w:rPr>
          <w:rFonts w:ascii="Microsoft JhengHei" w:eastAsia="Microsoft JhengHei"/>
          <w:b/>
          <w:spacing w:val="-149"/>
        </w:rPr>
        <w:t>日</w:t>
      </w:r>
      <w:r>
        <w:rPr>
          <w:spacing w:val="-6"/>
          <w:position w:val="-7"/>
        </w:rPr>
        <w:t>．</w:t>
      </w:r>
      <w:r>
        <w:rPr>
          <w:spacing w:val="-20"/>
        </w:rPr>
        <w:t>(见 </w:t>
      </w:r>
      <w:r>
        <w:rPr>
          <w:spacing w:val="-6"/>
        </w:rPr>
        <w:t>11.2</w:t>
      </w:r>
      <w:r>
        <w:rPr>
          <w:spacing w:val="-7"/>
        </w:rPr>
        <w:t>)均以生效日进行计算。</w:t>
      </w:r>
    </w:p>
    <w:p>
      <w:pPr>
        <w:spacing w:after="0" w:line="180" w:lineRule="auto"/>
        <w:sectPr>
          <w:type w:val="continuous"/>
          <w:pgSz w:w="11910" w:h="16840"/>
          <w:pgMar w:top="0" w:bottom="280" w:left="740" w:right="20"/>
          <w:cols w:num="2" w:equalWidth="0">
            <w:col w:w="2496" w:space="40"/>
            <w:col w:w="8614"/>
          </w:cols>
        </w:sectPr>
      </w:pPr>
    </w:p>
    <w:p>
      <w:pPr>
        <w:pStyle w:val="BodyText"/>
        <w:spacing w:before="4"/>
        <w:rPr>
          <w:sz w:val="16"/>
        </w:rPr>
      </w:pPr>
    </w:p>
    <w:p>
      <w:pPr>
        <w:pStyle w:val="ListParagraph"/>
        <w:numPr>
          <w:ilvl w:val="1"/>
          <w:numId w:val="5"/>
        </w:numPr>
        <w:tabs>
          <w:tab w:pos="1439" w:val="left" w:leader="none"/>
          <w:tab w:pos="1440" w:val="left" w:leader="none"/>
          <w:tab w:pos="2929" w:val="left" w:leader="none"/>
        </w:tabs>
        <w:spacing w:line="240" w:lineRule="auto" w:before="5" w:after="0"/>
        <w:ind w:left="1439" w:right="0" w:hanging="1052"/>
        <w:jc w:val="both"/>
        <w:rPr>
          <w:sz w:val="21"/>
        </w:rPr>
      </w:pPr>
      <w:r>
        <w:rPr>
          <w:rFonts w:ascii="Microsoft JhengHei" w:eastAsia="Microsoft JhengHei"/>
          <w:b/>
          <w:sz w:val="21"/>
        </w:rPr>
        <w:t>投保年</w:t>
      </w:r>
      <w:r>
        <w:rPr>
          <w:rFonts w:ascii="Microsoft JhengHei" w:eastAsia="Microsoft JhengHei"/>
          <w:b/>
          <w:spacing w:val="-10"/>
          <w:sz w:val="21"/>
        </w:rPr>
        <w:t>龄</w:t>
      </w:r>
      <w:r>
        <w:rPr>
          <w:rFonts w:ascii="Microsoft JhengHei" w:eastAsia="Microsoft JhengHei"/>
          <w:b/>
          <w:sz w:val="21"/>
        </w:rPr>
        <w:tab/>
      </w:r>
      <w:r>
        <w:rPr>
          <w:spacing w:val="-4"/>
          <w:sz w:val="21"/>
        </w:rPr>
        <w:t>指</w:t>
      </w:r>
      <w:r>
        <w:rPr>
          <w:spacing w:val="-4"/>
          <w:sz w:val="21"/>
        </w:rPr>
        <w:t>投</w:t>
      </w:r>
      <w:r>
        <w:rPr>
          <w:spacing w:val="-4"/>
          <w:sz w:val="21"/>
        </w:rPr>
        <w:t>保时被保险人的年龄，</w:t>
      </w:r>
      <w:r>
        <w:rPr>
          <w:spacing w:val="-4"/>
          <w:sz w:val="21"/>
        </w:rPr>
        <w:t>投</w:t>
      </w:r>
      <w:r>
        <w:rPr>
          <w:spacing w:val="-4"/>
          <w:sz w:val="21"/>
        </w:rPr>
        <w:t>保年龄以</w:t>
      </w:r>
      <w:r>
        <w:rPr>
          <w:rFonts w:ascii="Microsoft JhengHei" w:eastAsia="Microsoft JhengHei"/>
          <w:b/>
          <w:spacing w:val="-149"/>
          <w:sz w:val="21"/>
        </w:rPr>
        <w:t>周</w:t>
      </w:r>
      <w:r>
        <w:rPr>
          <w:spacing w:val="-63"/>
          <w:position w:val="-7"/>
          <w:sz w:val="21"/>
        </w:rPr>
        <w:t>．</w:t>
      </w:r>
      <w:r>
        <w:rPr>
          <w:rFonts w:ascii="Microsoft JhengHei" w:eastAsia="Microsoft JhengHei"/>
          <w:b/>
          <w:spacing w:val="-149"/>
          <w:sz w:val="21"/>
        </w:rPr>
        <w:t>岁</w:t>
      </w:r>
      <w:r>
        <w:rPr>
          <w:spacing w:val="-4"/>
          <w:position w:val="-7"/>
          <w:sz w:val="21"/>
        </w:rPr>
        <w:t>．</w:t>
      </w:r>
      <w:r>
        <w:rPr>
          <w:spacing w:val="-4"/>
          <w:sz w:val="21"/>
        </w:rPr>
        <w:t>(</w:t>
      </w:r>
      <w:r>
        <w:rPr>
          <w:spacing w:val="-4"/>
          <w:sz w:val="21"/>
        </w:rPr>
        <w:t>见</w:t>
      </w:r>
      <w:r>
        <w:rPr>
          <w:spacing w:val="-41"/>
          <w:sz w:val="21"/>
        </w:rPr>
        <w:t> </w:t>
      </w:r>
      <w:r>
        <w:rPr>
          <w:spacing w:val="-4"/>
          <w:sz w:val="21"/>
        </w:rPr>
        <w:t>11.3)计算</w:t>
      </w:r>
      <w:r>
        <w:rPr>
          <w:spacing w:val="-10"/>
          <w:sz w:val="21"/>
        </w:rPr>
        <w:t>。</w:t>
      </w:r>
    </w:p>
    <w:p>
      <w:pPr>
        <w:pStyle w:val="ListParagraph"/>
        <w:numPr>
          <w:ilvl w:val="1"/>
          <w:numId w:val="5"/>
        </w:numPr>
        <w:tabs>
          <w:tab w:pos="1439" w:val="left" w:leader="none"/>
          <w:tab w:pos="1440" w:val="left" w:leader="none"/>
          <w:tab w:pos="2908" w:val="left" w:leader="none"/>
        </w:tabs>
        <w:spacing w:line="385" w:lineRule="exact" w:before="186" w:after="0"/>
        <w:ind w:left="1439" w:right="0" w:hanging="1052"/>
        <w:jc w:val="both"/>
        <w:rPr>
          <w:sz w:val="21"/>
        </w:rPr>
      </w:pPr>
      <w:r>
        <w:rPr>
          <w:rFonts w:ascii="Microsoft JhengHei" w:eastAsia="Microsoft JhengHei"/>
          <w:b/>
          <w:sz w:val="21"/>
        </w:rPr>
        <w:t>犹豫</w:t>
      </w:r>
      <w:r>
        <w:rPr>
          <w:rFonts w:ascii="Microsoft JhengHei" w:eastAsia="Microsoft JhengHei"/>
          <w:b/>
          <w:spacing w:val="-10"/>
          <w:sz w:val="21"/>
        </w:rPr>
        <w:t>期</w:t>
      </w:r>
      <w:r>
        <w:rPr>
          <w:rFonts w:ascii="Microsoft JhengHei" w:eastAsia="Microsoft JhengHei"/>
          <w:b/>
          <w:sz w:val="21"/>
        </w:rPr>
        <w:tab/>
      </w:r>
      <w:r>
        <w:rPr>
          <w:sz w:val="21"/>
        </w:rPr>
        <w:t>一、您收到本合同并书面签收或按照本公司要求的其他方式对本合同进行</w:t>
      </w:r>
      <w:r>
        <w:rPr>
          <w:spacing w:val="-10"/>
          <w:sz w:val="21"/>
        </w:rPr>
        <w:t>确</w:t>
      </w:r>
    </w:p>
    <w:p>
      <w:pPr>
        <w:pStyle w:val="BodyText"/>
        <w:spacing w:line="278" w:lineRule="auto"/>
        <w:ind w:left="3329" w:right="1103"/>
        <w:jc w:val="both"/>
      </w:pPr>
      <w:r>
        <w:rPr>
          <w:w w:val="95"/>
        </w:rPr>
        <w:t>认</w:t>
      </w:r>
      <w:r>
        <w:rPr>
          <w:w w:val="95"/>
        </w:rPr>
        <w:t>之</w:t>
      </w:r>
      <w:r>
        <w:rPr>
          <w:w w:val="95"/>
        </w:rPr>
        <w:t>日起 15 日内（含第 15 日）为犹豫期。请</w:t>
      </w:r>
      <w:r>
        <w:rPr>
          <w:w w:val="95"/>
        </w:rPr>
        <w:t>您</w:t>
      </w:r>
      <w:r>
        <w:rPr>
          <w:w w:val="95"/>
        </w:rPr>
        <w:t>仔</w:t>
      </w:r>
      <w:r>
        <w:rPr>
          <w:w w:val="95"/>
        </w:rPr>
        <w:t>细</w:t>
      </w:r>
      <w:r>
        <w:rPr>
          <w:w w:val="95"/>
        </w:rPr>
        <w:t>阅</w:t>
      </w:r>
      <w:r>
        <w:rPr>
          <w:w w:val="95"/>
        </w:rPr>
        <w:t>读本合同的各项</w:t>
      </w:r>
      <w:r>
        <w:rPr>
          <w:w w:val="95"/>
        </w:rPr>
        <w:t>内</w:t>
      </w:r>
      <w:r>
        <w:rPr>
          <w:spacing w:val="-2"/>
        </w:rPr>
        <w:t>容，特别是责任免除条款、合同解除条款以及如实告知条款等内容。若您</w:t>
      </w:r>
      <w:r>
        <w:rPr>
          <w:spacing w:val="-2"/>
        </w:rPr>
        <w:t>认为本合同与您的需求不相符，您可以在此期间提出解除本合同。</w:t>
      </w:r>
    </w:p>
    <w:p>
      <w:pPr>
        <w:pStyle w:val="BodyText"/>
        <w:spacing w:line="278" w:lineRule="auto"/>
        <w:ind w:left="3329" w:right="1101" w:hanging="421"/>
        <w:jc w:val="both"/>
      </w:pPr>
      <w:r>
        <w:rPr>
          <w:spacing w:val="-6"/>
        </w:rPr>
        <w:t>二、如果在犹豫期内将保险费转入投资账户</w:t>
      </w:r>
      <w:r>
        <w:rPr>
          <w:spacing w:val="-2"/>
        </w:rPr>
        <w:t>（即本合同生效后立即投资的</w:t>
      </w:r>
      <w:r>
        <w:rPr>
          <w:spacing w:val="-84"/>
        </w:rPr>
        <w:t>）</w:t>
      </w:r>
      <w:r>
        <w:rPr>
          <w:spacing w:val="-43"/>
        </w:rPr>
        <w:t>，并</w:t>
      </w:r>
      <w:r>
        <w:rPr>
          <w:spacing w:val="-2"/>
        </w:rPr>
        <w:t>且在犹豫期内提出解除本合同，我们将在扣除不超过 10</w:t>
      </w:r>
      <w:r>
        <w:rPr>
          <w:spacing w:val="-3"/>
        </w:rPr>
        <w:t> 元的工本费后向</w:t>
      </w:r>
    </w:p>
    <w:p>
      <w:pPr>
        <w:pStyle w:val="BodyText"/>
        <w:spacing w:line="180" w:lineRule="auto"/>
        <w:ind w:left="3329"/>
        <w:jc w:val="both"/>
      </w:pPr>
      <w:r>
        <w:rPr>
          <w:spacing w:val="-6"/>
        </w:rPr>
        <w:t>您退还我们接到解除合同申请书之日下一个</w:t>
      </w:r>
      <w:r>
        <w:rPr>
          <w:rFonts w:ascii="Microsoft JhengHei" w:eastAsia="Microsoft JhengHei"/>
          <w:b/>
          <w:spacing w:val="-149"/>
        </w:rPr>
        <w:t>资</w:t>
      </w:r>
      <w:r>
        <w:rPr>
          <w:spacing w:val="-63"/>
          <w:position w:val="-7"/>
        </w:rPr>
        <w:t>．</w:t>
      </w:r>
      <w:r>
        <w:rPr>
          <w:rFonts w:ascii="Microsoft JhengHei" w:eastAsia="Microsoft JhengHei"/>
          <w:b/>
          <w:spacing w:val="-149"/>
        </w:rPr>
        <w:t>产</w:t>
      </w:r>
      <w:r>
        <w:rPr>
          <w:spacing w:val="-63"/>
          <w:position w:val="-7"/>
        </w:rPr>
        <w:t>．</w:t>
      </w:r>
      <w:r>
        <w:rPr>
          <w:rFonts w:ascii="Microsoft JhengHei" w:eastAsia="Microsoft JhengHei"/>
          <w:b/>
          <w:spacing w:val="-149"/>
        </w:rPr>
        <w:t>评</w:t>
      </w:r>
      <w:r>
        <w:rPr>
          <w:spacing w:val="-63"/>
          <w:position w:val="-7"/>
        </w:rPr>
        <w:t>．</w:t>
      </w:r>
      <w:r>
        <w:rPr>
          <w:rFonts w:ascii="Microsoft JhengHei" w:eastAsia="Microsoft JhengHei"/>
          <w:b/>
          <w:spacing w:val="-149"/>
        </w:rPr>
        <w:t>估</w:t>
      </w:r>
      <w:r>
        <w:rPr>
          <w:spacing w:val="-63"/>
          <w:position w:val="-7"/>
        </w:rPr>
        <w:t>．</w:t>
      </w:r>
      <w:r>
        <w:rPr>
          <w:rFonts w:ascii="Microsoft JhengHei" w:eastAsia="Microsoft JhengHei"/>
          <w:b/>
          <w:spacing w:val="-149"/>
        </w:rPr>
        <w:t>日</w:t>
      </w:r>
      <w:r>
        <w:rPr>
          <w:spacing w:val="-6"/>
          <w:position w:val="-7"/>
        </w:rPr>
        <w:t>．</w:t>
      </w:r>
      <w:r>
        <w:rPr>
          <w:spacing w:val="-6"/>
        </w:rPr>
        <w:t>（</w:t>
      </w:r>
      <w:r>
        <w:rPr>
          <w:spacing w:val="-27"/>
        </w:rPr>
        <w:t>见 </w:t>
      </w:r>
      <w:r>
        <w:rPr>
          <w:spacing w:val="-6"/>
        </w:rPr>
        <w:t>11.4）</w:t>
      </w:r>
      <w:r>
        <w:rPr>
          <w:spacing w:val="-8"/>
        </w:rPr>
        <w:t>的保单</w:t>
      </w:r>
    </w:p>
    <w:p>
      <w:pPr>
        <w:pStyle w:val="BodyText"/>
        <w:spacing w:before="52"/>
        <w:ind w:left="3329"/>
      </w:pPr>
      <w:r>
        <w:rPr>
          <w:spacing w:val="-3"/>
        </w:rPr>
        <w:t>账户价值以及除资产管理费之外的其他已收取的各项费用。</w:t>
      </w:r>
    </w:p>
    <w:p>
      <w:pPr>
        <w:pStyle w:val="BodyText"/>
        <w:spacing w:line="278" w:lineRule="auto" w:before="43"/>
        <w:ind w:left="3329" w:right="1101" w:hanging="421"/>
        <w:jc w:val="both"/>
      </w:pPr>
      <w:r>
        <w:rPr>
          <w:spacing w:val="-2"/>
        </w:rPr>
        <w:t>三、如果未在犹豫期内将保险费转入投资账户，并且在犹豫期内提出解除本合</w:t>
      </w:r>
      <w:r>
        <w:rPr>
          <w:spacing w:val="-2"/>
        </w:rPr>
        <w:t>同，我们将在扣除不超过 </w:t>
      </w:r>
      <w:r>
        <w:rPr/>
        <w:t>10</w:t>
      </w:r>
      <w:r>
        <w:rPr>
          <w:spacing w:val="-5"/>
        </w:rPr>
        <w:t> 元的工本费后向您无息退还您所交纳的保险</w:t>
      </w:r>
      <w:r>
        <w:rPr>
          <w:spacing w:val="-6"/>
        </w:rPr>
        <w:t>费。</w:t>
      </w:r>
    </w:p>
    <w:p>
      <w:pPr>
        <w:spacing w:line="192" w:lineRule="auto" w:before="0"/>
        <w:ind w:left="3329" w:right="1101" w:hanging="421"/>
        <w:jc w:val="left"/>
        <w:rPr>
          <w:rFonts w:ascii="Microsoft JhengHei" w:eastAsia="Microsoft JhengHei"/>
          <w:b/>
          <w:sz w:val="21"/>
        </w:rPr>
      </w:pPr>
      <w:r>
        <w:rPr>
          <w:spacing w:val="-2"/>
          <w:sz w:val="21"/>
        </w:rPr>
        <w:t>四、您在犹豫期内提出解除合同时需填写解除合同申请书。</w:t>
      </w:r>
      <w:r>
        <w:rPr>
          <w:rFonts w:ascii="微软雅黑" w:eastAsia="微软雅黑"/>
          <w:b/>
          <w:spacing w:val="-2"/>
          <w:sz w:val="21"/>
        </w:rPr>
        <w:t>自我们收到解除合</w:t>
      </w:r>
      <w:r>
        <w:rPr>
          <w:rFonts w:ascii="微软雅黑" w:eastAsia="微软雅黑"/>
          <w:b/>
          <w:spacing w:val="-2"/>
          <w:sz w:val="21"/>
        </w:rPr>
        <w:t>同申请书时起，本合同终止，我们自本合同生效日起不承担保险责任</w:t>
      </w:r>
      <w:r>
        <w:rPr>
          <w:rFonts w:ascii="Microsoft JhengHei" w:eastAsia="Microsoft JhengHei"/>
          <w:b/>
          <w:spacing w:val="-2"/>
          <w:sz w:val="21"/>
        </w:rPr>
        <w:t>。</w:t>
      </w:r>
    </w:p>
    <w:p>
      <w:pPr>
        <w:pStyle w:val="Heading2"/>
        <w:numPr>
          <w:ilvl w:val="0"/>
          <w:numId w:val="5"/>
        </w:numPr>
        <w:tabs>
          <w:tab w:pos="1439" w:val="left" w:leader="none"/>
          <w:tab w:pos="1440" w:val="left" w:leader="none"/>
        </w:tabs>
        <w:spacing w:line="240" w:lineRule="auto" w:before="145" w:after="0"/>
        <w:ind w:left="1439" w:right="0" w:hanging="1052"/>
        <w:jc w:val="both"/>
        <w:rPr>
          <w:rFonts w:ascii="微软雅黑" w:eastAsia="微软雅黑"/>
        </w:rPr>
      </w:pPr>
      <w:r>
        <w:rPr/>
        <w:drawing>
          <wp:anchor distT="0" distB="0" distL="0" distR="0" allowOverlap="1" layoutInCell="1" locked="0" behindDoc="1" simplePos="0" relativeHeight="486503936">
            <wp:simplePos x="0" y="0"/>
            <wp:positionH relativeFrom="page">
              <wp:posOffset>647700</wp:posOffset>
            </wp:positionH>
            <wp:positionV relativeFrom="paragraph">
              <wp:posOffset>340498</wp:posOffset>
            </wp:positionV>
            <wp:extent cx="6264783" cy="12192"/>
            <wp:effectExtent l="0" t="0" r="0" b="0"/>
            <wp:wrapNone/>
            <wp:docPr id="7" name="image3.png"/>
            <wp:cNvGraphicFramePr>
              <a:graphicFrameLocks noChangeAspect="1"/>
            </wp:cNvGraphicFramePr>
            <a:graphic>
              <a:graphicData uri="http://schemas.openxmlformats.org/drawingml/2006/picture">
                <pic:pic>
                  <pic:nvPicPr>
                    <pic:cNvPr id="8" name="image3.png"/>
                    <pic:cNvPicPr/>
                  </pic:nvPicPr>
                  <pic:blipFill>
                    <a:blip r:embed="rId7" cstate="print"/>
                    <a:stretch>
                      <a:fillRect/>
                    </a:stretch>
                  </pic:blipFill>
                  <pic:spPr>
                    <a:xfrm>
                      <a:off x="0" y="0"/>
                      <a:ext cx="6264783" cy="12192"/>
                    </a:xfrm>
                    <a:prstGeom prst="rect">
                      <a:avLst/>
                    </a:prstGeom>
                  </pic:spPr>
                </pic:pic>
              </a:graphicData>
            </a:graphic>
          </wp:anchor>
        </w:drawing>
      </w:r>
      <w:r>
        <w:rPr>
          <w:spacing w:val="-2"/>
        </w:rPr>
        <w:t>我们提供的保障</w:t>
      </w:r>
    </w:p>
    <w:p>
      <w:pPr>
        <w:pStyle w:val="ListParagraph"/>
        <w:numPr>
          <w:ilvl w:val="1"/>
          <w:numId w:val="5"/>
        </w:numPr>
        <w:tabs>
          <w:tab w:pos="1439" w:val="left" w:leader="none"/>
          <w:tab w:pos="1440" w:val="left" w:leader="none"/>
          <w:tab w:pos="2908" w:val="left" w:leader="none"/>
        </w:tabs>
        <w:spacing w:line="240" w:lineRule="auto" w:before="148" w:after="0"/>
        <w:ind w:left="1439" w:right="0" w:hanging="1052"/>
        <w:jc w:val="left"/>
        <w:rPr>
          <w:sz w:val="21"/>
        </w:rPr>
      </w:pPr>
      <w:r>
        <w:rPr>
          <w:rFonts w:ascii="Microsoft JhengHei" w:eastAsia="Microsoft JhengHei"/>
          <w:b/>
          <w:sz w:val="21"/>
        </w:rPr>
        <w:t>保险责</w:t>
      </w:r>
      <w:r>
        <w:rPr>
          <w:rFonts w:ascii="Microsoft JhengHei" w:eastAsia="Microsoft JhengHei"/>
          <w:b/>
          <w:spacing w:val="-10"/>
          <w:sz w:val="21"/>
        </w:rPr>
        <w:t>任</w:t>
      </w:r>
      <w:r>
        <w:rPr>
          <w:rFonts w:ascii="Microsoft JhengHei" w:eastAsia="Microsoft JhengHei"/>
          <w:b/>
          <w:sz w:val="21"/>
        </w:rPr>
        <w:tab/>
      </w:r>
      <w:r>
        <w:rPr>
          <w:spacing w:val="-2"/>
          <w:sz w:val="21"/>
        </w:rPr>
        <w:t>在</w:t>
      </w:r>
      <w:r>
        <w:rPr>
          <w:spacing w:val="-2"/>
          <w:sz w:val="21"/>
        </w:rPr>
        <w:t>本</w:t>
      </w:r>
      <w:r>
        <w:rPr>
          <w:spacing w:val="-2"/>
          <w:sz w:val="21"/>
        </w:rPr>
        <w:t>合同有效期间内，我</w:t>
      </w:r>
      <w:r>
        <w:rPr>
          <w:spacing w:val="-2"/>
          <w:sz w:val="21"/>
        </w:rPr>
        <w:t>们</w:t>
      </w:r>
      <w:r>
        <w:rPr>
          <w:spacing w:val="-2"/>
          <w:sz w:val="21"/>
        </w:rPr>
        <w:t>按</w:t>
      </w:r>
      <w:r>
        <w:rPr>
          <w:spacing w:val="-2"/>
          <w:sz w:val="21"/>
        </w:rPr>
        <w:t>照以下约定承担保险</w:t>
      </w:r>
      <w:r>
        <w:rPr>
          <w:spacing w:val="-2"/>
          <w:sz w:val="21"/>
        </w:rPr>
        <w:t>责</w:t>
      </w:r>
      <w:r>
        <w:rPr>
          <w:spacing w:val="-2"/>
          <w:sz w:val="21"/>
        </w:rPr>
        <w:t>任</w:t>
      </w:r>
      <w:r>
        <w:rPr>
          <w:spacing w:val="-10"/>
          <w:sz w:val="21"/>
        </w:rPr>
        <w:t>：</w:t>
      </w:r>
    </w:p>
    <w:p>
      <w:pPr>
        <w:pStyle w:val="BodyText"/>
        <w:tabs>
          <w:tab w:pos="2908" w:val="left" w:leader="none"/>
        </w:tabs>
        <w:spacing w:line="213" w:lineRule="auto" w:before="161"/>
        <w:ind w:left="3329" w:right="1298" w:hanging="1890"/>
      </w:pPr>
      <w:r>
        <w:rPr>
          <w:rFonts w:ascii="Microsoft JhengHei" w:eastAsia="Microsoft JhengHei"/>
          <w:b/>
          <w:spacing w:val="-2"/>
          <w:position w:val="-1"/>
          <w:sz w:val="24"/>
        </w:rPr>
        <w:t>身</w:t>
      </w:r>
      <w:r>
        <w:rPr>
          <w:rFonts w:ascii="Microsoft JhengHei" w:eastAsia="Microsoft JhengHei"/>
          <w:b/>
          <w:spacing w:val="-2"/>
          <w:position w:val="-1"/>
          <w:sz w:val="24"/>
        </w:rPr>
        <w:t>故</w:t>
      </w:r>
      <w:r>
        <w:rPr>
          <w:rFonts w:ascii="Microsoft JhengHei" w:eastAsia="Microsoft JhengHei"/>
          <w:b/>
          <w:spacing w:val="-2"/>
          <w:position w:val="-1"/>
          <w:sz w:val="24"/>
        </w:rPr>
        <w:t>保</w:t>
      </w:r>
      <w:r>
        <w:rPr>
          <w:rFonts w:ascii="Microsoft JhengHei" w:eastAsia="Microsoft JhengHei"/>
          <w:b/>
          <w:spacing w:val="-2"/>
          <w:position w:val="-1"/>
          <w:sz w:val="24"/>
        </w:rPr>
        <w:t>险金</w:t>
      </w:r>
      <w:r>
        <w:rPr>
          <w:rFonts w:ascii="Microsoft JhengHei" w:eastAsia="Microsoft JhengHei"/>
          <w:b/>
          <w:position w:val="-1"/>
          <w:sz w:val="24"/>
        </w:rPr>
        <w:tab/>
      </w:r>
      <w:r>
        <w:rPr>
          <w:spacing w:val="-2"/>
        </w:rPr>
        <w:t>一、若</w:t>
      </w:r>
      <w:r>
        <w:rPr>
          <w:spacing w:val="-2"/>
        </w:rPr>
        <w:t>被</w:t>
      </w:r>
      <w:r>
        <w:rPr>
          <w:spacing w:val="-2"/>
        </w:rPr>
        <w:t>保险人身故，且我们</w:t>
      </w:r>
      <w:r>
        <w:rPr>
          <w:spacing w:val="-2"/>
        </w:rPr>
        <w:t>收</w:t>
      </w:r>
      <w:r>
        <w:rPr>
          <w:spacing w:val="-2"/>
        </w:rPr>
        <w:t>到</w:t>
      </w:r>
      <w:r>
        <w:rPr>
          <w:spacing w:val="-2"/>
        </w:rPr>
        <w:t>理赔申请书和本合同</w:t>
      </w:r>
      <w:r>
        <w:rPr>
          <w:spacing w:val="-2"/>
        </w:rPr>
        <w:t>规</w:t>
      </w:r>
      <w:r>
        <w:rPr>
          <w:spacing w:val="-2"/>
        </w:rPr>
        <w:t>定</w:t>
      </w:r>
      <w:r>
        <w:rPr>
          <w:spacing w:val="-2"/>
        </w:rPr>
        <w:t>的所有证明</w:t>
      </w:r>
      <w:r>
        <w:rPr>
          <w:spacing w:val="-2"/>
        </w:rPr>
        <w:t>文</w:t>
      </w:r>
      <w:r>
        <w:rPr>
          <w:spacing w:val="-2"/>
        </w:rPr>
        <w:t>件</w:t>
      </w:r>
      <w:r>
        <w:rPr>
          <w:spacing w:val="-2"/>
        </w:rPr>
        <w:t>材</w:t>
      </w:r>
      <w:r>
        <w:rPr>
          <w:spacing w:val="-2"/>
        </w:rPr>
        <w:t>料</w:t>
      </w:r>
      <w:r>
        <w:rPr>
          <w:spacing w:val="-2"/>
        </w:rPr>
        <w:t>当日保险费尚未转入</w:t>
      </w:r>
      <w:r>
        <w:rPr>
          <w:spacing w:val="-2"/>
        </w:rPr>
        <w:t>投</w:t>
      </w:r>
      <w:r>
        <w:rPr>
          <w:spacing w:val="-2"/>
        </w:rPr>
        <w:t>资</w:t>
      </w:r>
      <w:r>
        <w:rPr>
          <w:spacing w:val="-2"/>
        </w:rPr>
        <w:t>账户，我们向身故保</w:t>
      </w:r>
      <w:r>
        <w:rPr>
          <w:spacing w:val="-2"/>
        </w:rPr>
        <w:t>险</w:t>
      </w:r>
      <w:r>
        <w:rPr>
          <w:spacing w:val="-2"/>
        </w:rPr>
        <w:t>金</w:t>
      </w:r>
      <w:r>
        <w:rPr>
          <w:spacing w:val="-2"/>
        </w:rPr>
        <w:t>受益人给付</w:t>
      </w:r>
      <w:r>
        <w:rPr>
          <w:spacing w:val="-2"/>
        </w:rPr>
        <w:t>身</w:t>
      </w:r>
      <w:r>
        <w:rPr>
          <w:spacing w:val="-10"/>
        </w:rPr>
        <w:t>故</w:t>
      </w:r>
    </w:p>
    <w:p>
      <w:pPr>
        <w:pStyle w:val="BodyText"/>
        <w:spacing w:line="278" w:lineRule="auto" w:before="48"/>
        <w:ind w:left="3329" w:right="3507"/>
      </w:pPr>
      <w:r>
        <w:rPr>
          <w:spacing w:val="-2"/>
        </w:rPr>
        <w:t>保险金，本合同终止。身故保险金的数额为：</w:t>
      </w:r>
      <w:r>
        <w:rPr>
          <w:spacing w:val="-2"/>
        </w:rPr>
        <w:t>基本保险金额+已交保险费×（1+风险比例）</w:t>
      </w:r>
      <w:r>
        <w:rPr>
          <w:spacing w:val="-10"/>
        </w:rPr>
        <w:t>。</w:t>
      </w:r>
    </w:p>
    <w:p>
      <w:pPr>
        <w:pStyle w:val="BodyText"/>
        <w:spacing w:line="278" w:lineRule="auto"/>
        <w:ind w:left="3329" w:right="1298" w:hanging="421"/>
      </w:pPr>
      <w:r>
        <w:rPr>
          <w:spacing w:val="-2"/>
        </w:rPr>
        <w:t>二、若被保险人身故，且我们收到理赔申请书和本合同规定的所有证明文件</w:t>
      </w:r>
      <w:r>
        <w:rPr>
          <w:spacing w:val="-3"/>
        </w:rPr>
        <w:t>材料当日保险费已经转入投资账户，我们向身故保险金受益人给付身故</w:t>
      </w:r>
    </w:p>
    <w:p>
      <w:pPr>
        <w:spacing w:after="0" w:line="278" w:lineRule="auto"/>
        <w:sectPr>
          <w:type w:val="continuous"/>
          <w:pgSz w:w="11910" w:h="16840"/>
          <w:pgMar w:top="0" w:bottom="280" w:left="740" w:right="20"/>
        </w:sectPr>
      </w:pPr>
    </w:p>
    <w:p>
      <w:pPr>
        <w:pStyle w:val="BodyText"/>
        <w:spacing w:before="57"/>
        <w:ind w:left="3329"/>
      </w:pPr>
      <w:r>
        <w:rPr>
          <w:spacing w:val="-3"/>
        </w:rPr>
        <w:t>保险金，本合同终止。身故保险金的数额为：</w:t>
      </w:r>
    </w:p>
    <w:p>
      <w:pPr>
        <w:pStyle w:val="BodyText"/>
        <w:spacing w:line="278" w:lineRule="auto" w:before="43"/>
        <w:ind w:left="3329" w:right="1195"/>
      </w:pPr>
      <w:r>
        <w:rPr>
          <w:spacing w:val="-2"/>
        </w:rPr>
        <w:t>基本保险金额+我们收到理赔申请书和本合同规定的所有证明文件材料的</w:t>
      </w:r>
      <w:r>
        <w:rPr>
          <w:spacing w:val="-2"/>
        </w:rPr>
        <w:t>下一个资产评估日保单账户价值×（1+风险比例）。</w:t>
      </w:r>
    </w:p>
    <w:p>
      <w:pPr>
        <w:pStyle w:val="BodyText"/>
        <w:spacing w:before="4"/>
        <w:rPr>
          <w:sz w:val="24"/>
        </w:rPr>
      </w:pPr>
    </w:p>
    <w:p>
      <w:pPr>
        <w:pStyle w:val="BodyText"/>
        <w:spacing w:before="1" w:after="20"/>
        <w:ind w:left="3329"/>
      </w:pPr>
      <w:r>
        <w:rPr>
          <w:spacing w:val="-3"/>
        </w:rPr>
        <w:t>上述“风险比例”的取值如下：</w:t>
      </w:r>
    </w:p>
    <w:tbl>
      <w:tblPr>
        <w:tblW w:w="0" w:type="auto"/>
        <w:jc w:val="left"/>
        <w:tblInd w:w="2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031"/>
        <w:gridCol w:w="3090"/>
      </w:tblGrid>
      <w:tr>
        <w:trPr>
          <w:trHeight w:val="381" w:hRule="atLeast"/>
        </w:trPr>
        <w:tc>
          <w:tcPr>
            <w:tcW w:w="4031" w:type="dxa"/>
          </w:tcPr>
          <w:p>
            <w:pPr>
              <w:pStyle w:val="TableParagraph"/>
              <w:spacing w:line="204" w:lineRule="auto" w:before="0"/>
              <w:ind w:left="150" w:right="138"/>
              <w:jc w:val="center"/>
              <w:rPr>
                <w:sz w:val="21"/>
              </w:rPr>
            </w:pPr>
            <w:r>
              <w:rPr>
                <w:rFonts w:ascii="Microsoft JhengHei" w:eastAsia="Microsoft JhengHei"/>
                <w:b/>
                <w:spacing w:val="-149"/>
                <w:sz w:val="21"/>
              </w:rPr>
              <w:t>到</w:t>
            </w:r>
            <w:r>
              <w:rPr>
                <w:spacing w:val="-63"/>
                <w:position w:val="-7"/>
                <w:sz w:val="21"/>
              </w:rPr>
              <w:t>．</w:t>
            </w:r>
            <w:r>
              <w:rPr>
                <w:rFonts w:ascii="Microsoft JhengHei" w:eastAsia="Microsoft JhengHei"/>
                <w:b/>
                <w:spacing w:val="-149"/>
                <w:sz w:val="21"/>
              </w:rPr>
              <w:t>达</w:t>
            </w:r>
            <w:r>
              <w:rPr>
                <w:spacing w:val="-63"/>
                <w:position w:val="-7"/>
                <w:sz w:val="21"/>
              </w:rPr>
              <w:t>．</w:t>
            </w:r>
            <w:r>
              <w:rPr>
                <w:rFonts w:ascii="Microsoft JhengHei" w:eastAsia="Microsoft JhengHei"/>
                <w:b/>
                <w:spacing w:val="-149"/>
                <w:sz w:val="21"/>
              </w:rPr>
              <w:t>年</w:t>
            </w:r>
            <w:r>
              <w:rPr>
                <w:spacing w:val="-63"/>
                <w:position w:val="-7"/>
                <w:sz w:val="21"/>
              </w:rPr>
              <w:t>．</w:t>
            </w:r>
            <w:r>
              <w:rPr>
                <w:rFonts w:ascii="Microsoft JhengHei" w:eastAsia="Microsoft JhengHei"/>
                <w:b/>
                <w:spacing w:val="-149"/>
                <w:sz w:val="21"/>
              </w:rPr>
              <w:t>龄</w:t>
            </w:r>
            <w:r>
              <w:rPr>
                <w:spacing w:val="-22"/>
                <w:position w:val="-7"/>
                <w:sz w:val="21"/>
              </w:rPr>
              <w:t>．</w:t>
            </w:r>
            <w:r>
              <w:rPr>
                <w:spacing w:val="-32"/>
                <w:sz w:val="21"/>
              </w:rPr>
              <w:t>(见 </w:t>
            </w:r>
            <w:r>
              <w:rPr>
                <w:spacing w:val="-22"/>
                <w:sz w:val="21"/>
              </w:rPr>
              <w:t>11.5)</w:t>
            </w:r>
          </w:p>
        </w:tc>
        <w:tc>
          <w:tcPr>
            <w:tcW w:w="3090" w:type="dxa"/>
          </w:tcPr>
          <w:p>
            <w:pPr>
              <w:pStyle w:val="TableParagraph"/>
              <w:spacing w:before="58"/>
              <w:ind w:left="1113" w:right="1102"/>
              <w:jc w:val="center"/>
              <w:rPr>
                <w:sz w:val="21"/>
              </w:rPr>
            </w:pPr>
            <w:r>
              <w:rPr>
                <w:spacing w:val="-4"/>
                <w:sz w:val="21"/>
              </w:rPr>
              <w:t>风险比例</w:t>
            </w:r>
          </w:p>
        </w:tc>
      </w:tr>
      <w:tr>
        <w:trPr>
          <w:trHeight w:val="311" w:hRule="atLeast"/>
        </w:trPr>
        <w:tc>
          <w:tcPr>
            <w:tcW w:w="4031" w:type="dxa"/>
          </w:tcPr>
          <w:p>
            <w:pPr>
              <w:pStyle w:val="TableParagraph"/>
              <w:ind w:left="150" w:right="141"/>
              <w:jc w:val="center"/>
              <w:rPr>
                <w:sz w:val="21"/>
              </w:rPr>
            </w:pPr>
            <w:r>
              <w:rPr>
                <w:spacing w:val="-2"/>
                <w:sz w:val="21"/>
              </w:rPr>
              <w:t>18</w:t>
            </w:r>
            <w:r>
              <w:rPr>
                <w:spacing w:val="-35"/>
                <w:sz w:val="21"/>
              </w:rPr>
              <w:t> 至 </w:t>
            </w:r>
            <w:r>
              <w:rPr>
                <w:spacing w:val="-2"/>
                <w:sz w:val="21"/>
              </w:rPr>
              <w:t>40</w:t>
            </w:r>
            <w:r>
              <w:rPr>
                <w:spacing w:val="-22"/>
                <w:sz w:val="21"/>
              </w:rPr>
              <w:t> 周岁</w:t>
            </w:r>
          </w:p>
        </w:tc>
        <w:tc>
          <w:tcPr>
            <w:tcW w:w="3090" w:type="dxa"/>
          </w:tcPr>
          <w:p>
            <w:pPr>
              <w:pStyle w:val="TableParagraph"/>
              <w:ind w:left="1113" w:right="1097"/>
              <w:jc w:val="center"/>
              <w:rPr>
                <w:sz w:val="21"/>
              </w:rPr>
            </w:pPr>
            <w:r>
              <w:rPr>
                <w:spacing w:val="-5"/>
                <w:sz w:val="21"/>
              </w:rPr>
              <w:t>60%</w:t>
            </w:r>
          </w:p>
        </w:tc>
      </w:tr>
      <w:tr>
        <w:trPr>
          <w:trHeight w:val="311" w:hRule="atLeast"/>
        </w:trPr>
        <w:tc>
          <w:tcPr>
            <w:tcW w:w="4031" w:type="dxa"/>
          </w:tcPr>
          <w:p>
            <w:pPr>
              <w:pStyle w:val="TableParagraph"/>
              <w:ind w:left="150" w:right="141"/>
              <w:jc w:val="center"/>
              <w:rPr>
                <w:sz w:val="21"/>
              </w:rPr>
            </w:pPr>
            <w:r>
              <w:rPr>
                <w:spacing w:val="-2"/>
                <w:sz w:val="21"/>
              </w:rPr>
              <w:t>41</w:t>
            </w:r>
            <w:r>
              <w:rPr>
                <w:spacing w:val="-35"/>
                <w:sz w:val="21"/>
              </w:rPr>
              <w:t> 至 </w:t>
            </w:r>
            <w:r>
              <w:rPr>
                <w:spacing w:val="-2"/>
                <w:sz w:val="21"/>
              </w:rPr>
              <w:t>60</w:t>
            </w:r>
            <w:r>
              <w:rPr>
                <w:spacing w:val="-22"/>
                <w:sz w:val="21"/>
              </w:rPr>
              <w:t> 周岁</w:t>
            </w:r>
          </w:p>
        </w:tc>
        <w:tc>
          <w:tcPr>
            <w:tcW w:w="3090" w:type="dxa"/>
          </w:tcPr>
          <w:p>
            <w:pPr>
              <w:pStyle w:val="TableParagraph"/>
              <w:ind w:left="1113" w:right="1097"/>
              <w:jc w:val="center"/>
              <w:rPr>
                <w:sz w:val="21"/>
              </w:rPr>
            </w:pPr>
            <w:r>
              <w:rPr>
                <w:spacing w:val="-5"/>
                <w:sz w:val="21"/>
              </w:rPr>
              <w:t>40%</w:t>
            </w:r>
          </w:p>
        </w:tc>
      </w:tr>
      <w:tr>
        <w:trPr>
          <w:trHeight w:val="313" w:hRule="atLeast"/>
        </w:trPr>
        <w:tc>
          <w:tcPr>
            <w:tcW w:w="4031" w:type="dxa"/>
          </w:tcPr>
          <w:p>
            <w:pPr>
              <w:pStyle w:val="TableParagraph"/>
              <w:spacing w:before="25"/>
              <w:ind w:left="150" w:right="141"/>
              <w:jc w:val="center"/>
              <w:rPr>
                <w:sz w:val="21"/>
              </w:rPr>
            </w:pPr>
            <w:r>
              <w:rPr>
                <w:spacing w:val="-2"/>
                <w:sz w:val="21"/>
              </w:rPr>
              <w:t>17</w:t>
            </w:r>
            <w:r>
              <w:rPr>
                <w:spacing w:val="-18"/>
                <w:sz w:val="21"/>
              </w:rPr>
              <w:t> 周岁</w:t>
            </w:r>
            <w:r>
              <w:rPr>
                <w:spacing w:val="-2"/>
                <w:sz w:val="21"/>
              </w:rPr>
              <w:t>（含）</w:t>
            </w:r>
            <w:r>
              <w:rPr>
                <w:spacing w:val="-14"/>
                <w:sz w:val="21"/>
              </w:rPr>
              <w:t>以下或 </w:t>
            </w:r>
            <w:r>
              <w:rPr>
                <w:spacing w:val="-2"/>
                <w:sz w:val="21"/>
              </w:rPr>
              <w:t>61</w:t>
            </w:r>
            <w:r>
              <w:rPr>
                <w:spacing w:val="-18"/>
                <w:sz w:val="21"/>
              </w:rPr>
              <w:t> 周岁</w:t>
            </w:r>
            <w:r>
              <w:rPr>
                <w:spacing w:val="-2"/>
                <w:sz w:val="21"/>
              </w:rPr>
              <w:t>（含）</w:t>
            </w:r>
            <w:r>
              <w:rPr>
                <w:spacing w:val="-6"/>
                <w:sz w:val="21"/>
              </w:rPr>
              <w:t>以上</w:t>
            </w:r>
          </w:p>
        </w:tc>
        <w:tc>
          <w:tcPr>
            <w:tcW w:w="3090" w:type="dxa"/>
          </w:tcPr>
          <w:p>
            <w:pPr>
              <w:pStyle w:val="TableParagraph"/>
              <w:spacing w:before="25"/>
              <w:ind w:left="1113" w:right="1097"/>
              <w:jc w:val="center"/>
              <w:rPr>
                <w:sz w:val="21"/>
              </w:rPr>
            </w:pPr>
            <w:r>
              <w:rPr>
                <w:spacing w:val="-5"/>
                <w:sz w:val="21"/>
              </w:rPr>
              <w:t>20%</w:t>
            </w:r>
          </w:p>
        </w:tc>
      </w:tr>
    </w:tbl>
    <w:p>
      <w:pPr>
        <w:pStyle w:val="BodyText"/>
        <w:spacing w:before="1"/>
        <w:rPr>
          <w:sz w:val="14"/>
        </w:rPr>
      </w:pPr>
    </w:p>
    <w:p>
      <w:pPr>
        <w:pStyle w:val="ListParagraph"/>
        <w:numPr>
          <w:ilvl w:val="1"/>
          <w:numId w:val="5"/>
        </w:numPr>
        <w:tabs>
          <w:tab w:pos="1439" w:val="left" w:leader="none"/>
          <w:tab w:pos="1440" w:val="left" w:leader="none"/>
          <w:tab w:pos="2944" w:val="left" w:leader="none"/>
        </w:tabs>
        <w:spacing w:line="352" w:lineRule="exact" w:before="0" w:after="0"/>
        <w:ind w:left="1439" w:right="0" w:hanging="1052"/>
        <w:jc w:val="left"/>
        <w:rPr>
          <w:rFonts w:ascii="微软雅黑" w:eastAsia="微软雅黑"/>
          <w:b/>
          <w:sz w:val="21"/>
        </w:rPr>
      </w:pPr>
      <w:r>
        <w:rPr>
          <w:rFonts w:ascii="Microsoft JhengHei" w:eastAsia="Microsoft JhengHei"/>
          <w:b/>
          <w:sz w:val="21"/>
        </w:rPr>
        <w:t>责任免</w:t>
      </w:r>
      <w:r>
        <w:rPr>
          <w:rFonts w:ascii="Microsoft JhengHei" w:eastAsia="Microsoft JhengHei"/>
          <w:b/>
          <w:spacing w:val="-10"/>
          <w:sz w:val="21"/>
        </w:rPr>
        <w:t>除</w:t>
      </w:r>
      <w:r>
        <w:rPr>
          <w:rFonts w:ascii="Microsoft JhengHei" w:eastAsia="Microsoft JhengHei"/>
          <w:b/>
          <w:sz w:val="21"/>
        </w:rPr>
        <w:tab/>
      </w:r>
      <w:r>
        <w:rPr>
          <w:sz w:val="21"/>
        </w:rPr>
        <w:t>一、</w:t>
      </w:r>
      <w:r>
        <w:rPr>
          <w:rFonts w:ascii="微软雅黑" w:eastAsia="微软雅黑"/>
          <w:b/>
          <w:sz w:val="21"/>
        </w:rPr>
        <w:t>因下列情形之一导致被保险人身故的，我们不承担给付身故保险金的</w:t>
      </w:r>
      <w:r>
        <w:rPr>
          <w:rFonts w:ascii="微软雅黑" w:eastAsia="微软雅黑"/>
          <w:b/>
          <w:spacing w:val="-10"/>
          <w:sz w:val="21"/>
        </w:rPr>
        <w:t>责</w:t>
      </w:r>
    </w:p>
    <w:p>
      <w:pPr>
        <w:spacing w:line="312" w:lineRule="exact" w:before="0"/>
        <w:ind w:left="3365" w:right="0" w:firstLine="0"/>
        <w:jc w:val="left"/>
        <w:rPr>
          <w:rFonts w:ascii="微软雅黑" w:eastAsia="微软雅黑"/>
          <w:b/>
          <w:sz w:val="21"/>
        </w:rPr>
      </w:pPr>
      <w:r>
        <w:rPr>
          <w:rFonts w:ascii="微软雅黑" w:eastAsia="微软雅黑"/>
          <w:b/>
          <w:spacing w:val="-5"/>
          <w:sz w:val="21"/>
        </w:rPr>
        <w:t>任：</w:t>
      </w:r>
    </w:p>
    <w:p>
      <w:pPr>
        <w:spacing w:line="312" w:lineRule="exact" w:before="0"/>
        <w:ind w:left="3365" w:right="0" w:firstLine="0"/>
        <w:jc w:val="left"/>
        <w:rPr>
          <w:rFonts w:ascii="微软雅黑" w:eastAsia="微软雅黑"/>
          <w:b/>
          <w:sz w:val="21"/>
        </w:rPr>
      </w:pPr>
      <w:r>
        <w:rPr>
          <w:rFonts w:ascii="微软雅黑" w:eastAsia="微软雅黑"/>
          <w:b/>
          <w:spacing w:val="-1"/>
          <w:sz w:val="21"/>
        </w:rPr>
        <w:t>(一) 投保人对被保险人的故意杀害、故意伤害；</w:t>
      </w:r>
    </w:p>
    <w:p>
      <w:pPr>
        <w:spacing w:line="312" w:lineRule="exact" w:before="0"/>
        <w:ind w:left="3365" w:right="0" w:firstLine="0"/>
        <w:jc w:val="left"/>
        <w:rPr>
          <w:rFonts w:ascii="微软雅黑" w:eastAsia="微软雅黑"/>
          <w:b/>
          <w:sz w:val="21"/>
        </w:rPr>
      </w:pPr>
      <w:r>
        <w:rPr>
          <w:rFonts w:ascii="微软雅黑" w:eastAsia="微软雅黑"/>
          <w:b/>
          <w:spacing w:val="-1"/>
          <w:sz w:val="21"/>
        </w:rPr>
        <w:t>(二) 被保险人故意犯罪或抗拒依法采取的刑事强制措施；</w:t>
      </w:r>
    </w:p>
    <w:p>
      <w:pPr>
        <w:spacing w:line="194" w:lineRule="auto" w:before="16"/>
        <w:ind w:left="3785" w:right="1104" w:hanging="420"/>
        <w:jc w:val="left"/>
        <w:rPr>
          <w:rFonts w:ascii="微软雅黑" w:eastAsia="微软雅黑"/>
          <w:b/>
          <w:sz w:val="21"/>
        </w:rPr>
      </w:pPr>
      <w:r>
        <w:rPr>
          <w:rFonts w:ascii="微软雅黑" w:eastAsia="微软雅黑"/>
          <w:b/>
          <w:spacing w:val="-2"/>
          <w:w w:val="110"/>
          <w:sz w:val="21"/>
        </w:rPr>
        <w:t>(</w:t>
      </w:r>
      <w:r>
        <w:rPr>
          <w:rFonts w:ascii="微软雅黑" w:eastAsia="微软雅黑"/>
          <w:b/>
          <w:spacing w:val="-2"/>
          <w:sz w:val="21"/>
        </w:rPr>
        <w:t>三</w:t>
      </w:r>
      <w:r>
        <w:rPr>
          <w:rFonts w:ascii="微软雅黑" w:eastAsia="微软雅黑"/>
          <w:b/>
          <w:spacing w:val="-9"/>
          <w:w w:val="110"/>
          <w:sz w:val="21"/>
        </w:rPr>
        <w:t>) </w:t>
      </w:r>
      <w:r>
        <w:rPr>
          <w:rFonts w:ascii="微软雅黑" w:eastAsia="微软雅黑"/>
          <w:b/>
          <w:spacing w:val="-2"/>
          <w:sz w:val="21"/>
        </w:rPr>
        <w:t>被保险人自本合同成立（若曾复效，则自本合同最后复效）</w:t>
      </w:r>
      <w:r>
        <w:rPr>
          <w:rFonts w:ascii="微软雅黑" w:eastAsia="微软雅黑"/>
          <w:b/>
          <w:spacing w:val="-5"/>
          <w:sz w:val="21"/>
        </w:rPr>
        <w:t>之日起 </w:t>
      </w:r>
      <w:r>
        <w:rPr>
          <w:rFonts w:ascii="微软雅黑" w:eastAsia="微软雅黑"/>
          <w:b/>
          <w:spacing w:val="-2"/>
          <w:sz w:val="21"/>
        </w:rPr>
        <w:t>2</w:t>
      </w:r>
      <w:r>
        <w:rPr>
          <w:rFonts w:ascii="微软雅黑" w:eastAsia="微软雅黑"/>
          <w:b/>
          <w:spacing w:val="-2"/>
          <w:sz w:val="21"/>
        </w:rPr>
        <w:t>年内自杀，但被保险人自杀时为无民事行为能力人的除外</w:t>
      </w:r>
      <w:r>
        <w:rPr>
          <w:rFonts w:ascii="微软雅黑" w:eastAsia="微软雅黑"/>
          <w:b/>
          <w:spacing w:val="-2"/>
          <w:w w:val="155"/>
          <w:sz w:val="21"/>
        </w:rPr>
        <w:t>;</w:t>
      </w:r>
    </w:p>
    <w:p>
      <w:pPr>
        <w:spacing w:line="192" w:lineRule="auto" w:before="0"/>
        <w:ind w:left="3365" w:right="0" w:firstLine="0"/>
        <w:jc w:val="left"/>
        <w:rPr>
          <w:rFonts w:ascii="微软雅黑" w:eastAsia="微软雅黑"/>
          <w:b/>
          <w:sz w:val="21"/>
        </w:rPr>
      </w:pPr>
      <w:r>
        <w:rPr>
          <w:rFonts w:ascii="微软雅黑" w:eastAsia="微软雅黑"/>
          <w:b/>
          <w:spacing w:val="-2"/>
          <w:sz w:val="21"/>
        </w:rPr>
        <w:t>(四) 被保险人主动吸食或注射</w:t>
      </w:r>
      <w:r>
        <w:rPr>
          <w:rFonts w:ascii="微软雅黑" w:eastAsia="微软雅黑"/>
          <w:b/>
          <w:spacing w:val="-149"/>
          <w:sz w:val="21"/>
        </w:rPr>
        <w:t>毒</w:t>
      </w:r>
      <w:r>
        <w:rPr>
          <w:spacing w:val="-63"/>
          <w:position w:val="-7"/>
          <w:sz w:val="21"/>
        </w:rPr>
        <w:t>．</w:t>
      </w:r>
      <w:r>
        <w:rPr>
          <w:rFonts w:ascii="微软雅黑" w:eastAsia="微软雅黑"/>
          <w:b/>
          <w:spacing w:val="-149"/>
          <w:sz w:val="21"/>
        </w:rPr>
        <w:t>品</w:t>
      </w:r>
      <w:r>
        <w:rPr>
          <w:spacing w:val="-2"/>
          <w:position w:val="-7"/>
          <w:sz w:val="21"/>
        </w:rPr>
        <w:t>．</w:t>
      </w:r>
      <w:r>
        <w:rPr>
          <w:spacing w:val="-2"/>
          <w:sz w:val="21"/>
        </w:rPr>
        <w:t>（</w:t>
      </w:r>
      <w:r>
        <w:rPr>
          <w:spacing w:val="-26"/>
          <w:sz w:val="21"/>
        </w:rPr>
        <w:t>见 </w:t>
      </w:r>
      <w:r>
        <w:rPr>
          <w:spacing w:val="16"/>
          <w:sz w:val="21"/>
        </w:rPr>
        <w:t>11.</w:t>
      </w:r>
      <w:r>
        <w:rPr>
          <w:spacing w:val="13"/>
          <w:sz w:val="21"/>
        </w:rPr>
        <w:t>6</w:t>
      </w:r>
      <w:r>
        <w:rPr>
          <w:spacing w:val="-92"/>
          <w:sz w:val="21"/>
        </w:rPr>
        <w:t>）</w:t>
      </w:r>
      <w:r>
        <w:rPr>
          <w:rFonts w:ascii="微软雅黑" w:eastAsia="微软雅黑"/>
          <w:b/>
          <w:spacing w:val="16"/>
          <w:sz w:val="21"/>
        </w:rPr>
        <w:t>；</w:t>
      </w:r>
    </w:p>
    <w:p>
      <w:pPr>
        <w:spacing w:line="218" w:lineRule="auto" w:before="8"/>
        <w:ind w:left="3785" w:right="1104" w:hanging="420"/>
        <w:jc w:val="left"/>
        <w:rPr>
          <w:rFonts w:ascii="微软雅黑" w:eastAsia="微软雅黑"/>
          <w:b/>
          <w:sz w:val="21"/>
        </w:rPr>
      </w:pPr>
      <w:r>
        <w:rPr>
          <w:rFonts w:ascii="微软雅黑" w:eastAsia="微软雅黑"/>
          <w:b/>
          <w:spacing w:val="-10"/>
          <w:sz w:val="21"/>
        </w:rPr>
        <w:t>(五) 被保险人</w:t>
      </w:r>
      <w:r>
        <w:rPr>
          <w:rFonts w:ascii="微软雅黑" w:eastAsia="微软雅黑"/>
          <w:b/>
          <w:spacing w:val="-149"/>
          <w:sz w:val="21"/>
        </w:rPr>
        <w:t>酒</w:t>
      </w:r>
      <w:r>
        <w:rPr>
          <w:spacing w:val="-63"/>
          <w:position w:val="-7"/>
          <w:sz w:val="21"/>
        </w:rPr>
        <w:t>．</w:t>
      </w:r>
      <w:r>
        <w:rPr>
          <w:rFonts w:ascii="微软雅黑" w:eastAsia="微软雅黑"/>
          <w:b/>
          <w:spacing w:val="-149"/>
          <w:sz w:val="21"/>
        </w:rPr>
        <w:t>后</w:t>
      </w:r>
      <w:r>
        <w:rPr>
          <w:spacing w:val="-63"/>
          <w:position w:val="-7"/>
          <w:sz w:val="21"/>
        </w:rPr>
        <w:t>．</w:t>
      </w:r>
      <w:r>
        <w:rPr>
          <w:rFonts w:ascii="微软雅黑" w:eastAsia="微软雅黑"/>
          <w:b/>
          <w:spacing w:val="-149"/>
          <w:sz w:val="21"/>
        </w:rPr>
        <w:t>驾</w:t>
      </w:r>
      <w:r>
        <w:rPr>
          <w:spacing w:val="-63"/>
          <w:position w:val="-7"/>
          <w:sz w:val="21"/>
        </w:rPr>
        <w:t>．</w:t>
      </w:r>
      <w:r>
        <w:rPr>
          <w:rFonts w:ascii="微软雅黑" w:eastAsia="微软雅黑"/>
          <w:b/>
          <w:spacing w:val="-149"/>
          <w:sz w:val="21"/>
        </w:rPr>
        <w:t>驶</w:t>
      </w:r>
      <w:r>
        <w:rPr>
          <w:spacing w:val="-10"/>
          <w:position w:val="-7"/>
          <w:sz w:val="21"/>
        </w:rPr>
        <w:t>．</w:t>
      </w:r>
      <w:r>
        <w:rPr>
          <w:spacing w:val="-10"/>
          <w:sz w:val="21"/>
        </w:rPr>
        <w:t>（</w:t>
      </w:r>
      <w:r>
        <w:rPr>
          <w:spacing w:val="-33"/>
          <w:sz w:val="21"/>
        </w:rPr>
        <w:t>见 </w:t>
      </w:r>
      <w:r>
        <w:rPr>
          <w:spacing w:val="12"/>
          <w:sz w:val="21"/>
        </w:rPr>
        <w:t>11</w:t>
      </w:r>
      <w:r>
        <w:rPr>
          <w:spacing w:val="9"/>
          <w:sz w:val="21"/>
        </w:rPr>
        <w:t>.</w:t>
      </w:r>
      <w:r>
        <w:rPr>
          <w:spacing w:val="12"/>
          <w:sz w:val="21"/>
        </w:rPr>
        <w:t>7</w:t>
      </w:r>
      <w:r>
        <w:rPr>
          <w:spacing w:val="-96"/>
          <w:sz w:val="21"/>
        </w:rPr>
        <w:t>）</w:t>
      </w:r>
      <w:r>
        <w:rPr>
          <w:rFonts w:ascii="微软雅黑" w:eastAsia="微软雅黑"/>
          <w:b/>
          <w:spacing w:val="-80"/>
          <w:sz w:val="21"/>
        </w:rPr>
        <w:t>、无</w:t>
      </w:r>
      <w:r>
        <w:rPr>
          <w:spacing w:val="-63"/>
          <w:position w:val="-7"/>
          <w:sz w:val="21"/>
        </w:rPr>
        <w:t>．</w:t>
      </w:r>
      <w:r>
        <w:rPr>
          <w:rFonts w:ascii="微软雅黑" w:eastAsia="微软雅黑"/>
          <w:b/>
          <w:spacing w:val="-149"/>
          <w:sz w:val="21"/>
        </w:rPr>
        <w:t>有</w:t>
      </w:r>
      <w:r>
        <w:rPr>
          <w:spacing w:val="-63"/>
          <w:position w:val="-7"/>
          <w:sz w:val="21"/>
        </w:rPr>
        <w:t>．</w:t>
      </w:r>
      <w:r>
        <w:rPr>
          <w:rFonts w:ascii="微软雅黑" w:eastAsia="微软雅黑"/>
          <w:b/>
          <w:spacing w:val="-149"/>
          <w:sz w:val="21"/>
        </w:rPr>
        <w:t>效</w:t>
      </w:r>
      <w:r>
        <w:rPr>
          <w:spacing w:val="-63"/>
          <w:position w:val="-7"/>
          <w:sz w:val="21"/>
        </w:rPr>
        <w:t>．</w:t>
      </w:r>
      <w:r>
        <w:rPr>
          <w:rFonts w:ascii="微软雅黑" w:eastAsia="微软雅黑"/>
          <w:b/>
          <w:spacing w:val="-149"/>
          <w:sz w:val="21"/>
        </w:rPr>
        <w:t>驾</w:t>
      </w:r>
      <w:r>
        <w:rPr>
          <w:spacing w:val="-63"/>
          <w:position w:val="-7"/>
          <w:sz w:val="21"/>
        </w:rPr>
        <w:t>．</w:t>
      </w:r>
      <w:r>
        <w:rPr>
          <w:rFonts w:ascii="微软雅黑" w:eastAsia="微软雅黑"/>
          <w:b/>
          <w:spacing w:val="-149"/>
          <w:sz w:val="21"/>
        </w:rPr>
        <w:t>驶</w:t>
      </w:r>
      <w:r>
        <w:rPr>
          <w:spacing w:val="-63"/>
          <w:position w:val="-7"/>
          <w:sz w:val="21"/>
        </w:rPr>
        <w:t>．</w:t>
      </w:r>
      <w:r>
        <w:rPr>
          <w:rFonts w:ascii="微软雅黑" w:eastAsia="微软雅黑"/>
          <w:b/>
          <w:spacing w:val="-149"/>
          <w:sz w:val="21"/>
        </w:rPr>
        <w:t>证</w:t>
      </w:r>
      <w:r>
        <w:rPr>
          <w:spacing w:val="-63"/>
          <w:position w:val="-7"/>
          <w:sz w:val="21"/>
        </w:rPr>
        <w:t>．</w:t>
      </w:r>
      <w:r>
        <w:rPr>
          <w:rFonts w:ascii="微软雅黑" w:eastAsia="微软雅黑"/>
          <w:b/>
          <w:spacing w:val="-149"/>
          <w:sz w:val="21"/>
        </w:rPr>
        <w:t>驾</w:t>
      </w:r>
      <w:r>
        <w:rPr>
          <w:spacing w:val="-63"/>
          <w:position w:val="-7"/>
          <w:sz w:val="21"/>
        </w:rPr>
        <w:t>．</w:t>
      </w:r>
      <w:r>
        <w:rPr>
          <w:rFonts w:ascii="微软雅黑" w:eastAsia="微软雅黑"/>
          <w:b/>
          <w:spacing w:val="-149"/>
          <w:sz w:val="21"/>
        </w:rPr>
        <w:t>驶</w:t>
      </w:r>
      <w:r>
        <w:rPr>
          <w:spacing w:val="-10"/>
          <w:position w:val="-7"/>
          <w:sz w:val="21"/>
        </w:rPr>
        <w:t>．</w:t>
      </w:r>
      <w:r>
        <w:rPr>
          <w:spacing w:val="-10"/>
          <w:sz w:val="21"/>
        </w:rPr>
        <w:t>（</w:t>
      </w:r>
      <w:r>
        <w:rPr>
          <w:spacing w:val="-32"/>
          <w:sz w:val="21"/>
        </w:rPr>
        <w:t>见 </w:t>
      </w:r>
      <w:r>
        <w:rPr>
          <w:spacing w:val="-10"/>
          <w:sz w:val="21"/>
        </w:rPr>
        <w:t>11.8）</w:t>
      </w:r>
      <w:r>
        <w:rPr>
          <w:rFonts w:ascii="微软雅黑" w:eastAsia="微软雅黑"/>
          <w:b/>
          <w:spacing w:val="-10"/>
          <w:sz w:val="21"/>
        </w:rPr>
        <w:t>或驾驶</w:t>
      </w:r>
      <w:r>
        <w:rPr>
          <w:rFonts w:ascii="微软雅黑" w:eastAsia="微软雅黑"/>
          <w:b/>
          <w:spacing w:val="-149"/>
          <w:sz w:val="21"/>
        </w:rPr>
        <w:t>无</w:t>
      </w:r>
      <w:r>
        <w:rPr>
          <w:spacing w:val="-63"/>
          <w:position w:val="-7"/>
          <w:sz w:val="21"/>
        </w:rPr>
        <w:t>．</w:t>
      </w:r>
      <w:r>
        <w:rPr>
          <w:rFonts w:ascii="微软雅黑" w:eastAsia="微软雅黑"/>
          <w:b/>
          <w:spacing w:val="-149"/>
          <w:sz w:val="21"/>
        </w:rPr>
        <w:t>有</w:t>
      </w:r>
      <w:r>
        <w:rPr>
          <w:spacing w:val="-63"/>
          <w:position w:val="-7"/>
          <w:sz w:val="21"/>
        </w:rPr>
        <w:t>．</w:t>
      </w:r>
      <w:r>
        <w:rPr>
          <w:rFonts w:ascii="微软雅黑" w:eastAsia="微软雅黑"/>
          <w:b/>
          <w:spacing w:val="-149"/>
          <w:sz w:val="21"/>
        </w:rPr>
        <w:t>效</w:t>
      </w:r>
      <w:r>
        <w:rPr>
          <w:spacing w:val="-63"/>
          <w:position w:val="-7"/>
          <w:sz w:val="21"/>
        </w:rPr>
        <w:t>．</w:t>
      </w:r>
      <w:r>
        <w:rPr>
          <w:rFonts w:ascii="微软雅黑" w:eastAsia="微软雅黑"/>
          <w:b/>
          <w:spacing w:val="-149"/>
          <w:sz w:val="21"/>
        </w:rPr>
        <w:t>行</w:t>
      </w:r>
      <w:r>
        <w:rPr>
          <w:spacing w:val="-63"/>
          <w:position w:val="-7"/>
          <w:sz w:val="21"/>
        </w:rPr>
        <w:t>．</w:t>
      </w:r>
      <w:r>
        <w:rPr>
          <w:rFonts w:ascii="微软雅黑" w:eastAsia="微软雅黑"/>
          <w:b/>
          <w:spacing w:val="-149"/>
          <w:sz w:val="21"/>
        </w:rPr>
        <w:t>驶</w:t>
      </w:r>
      <w:r>
        <w:rPr>
          <w:spacing w:val="-63"/>
          <w:position w:val="-7"/>
          <w:sz w:val="21"/>
        </w:rPr>
        <w:t>．</w:t>
      </w:r>
      <w:r>
        <w:rPr>
          <w:rFonts w:ascii="微软雅黑" w:eastAsia="微软雅黑"/>
          <w:b/>
          <w:spacing w:val="-149"/>
          <w:sz w:val="21"/>
        </w:rPr>
        <w:t>证</w:t>
      </w:r>
      <w:r>
        <w:rPr>
          <w:spacing w:val="-2"/>
          <w:position w:val="-7"/>
          <w:sz w:val="21"/>
        </w:rPr>
        <w:t>．</w:t>
      </w:r>
      <w:r>
        <w:rPr>
          <w:spacing w:val="-2"/>
          <w:sz w:val="21"/>
        </w:rPr>
        <w:t>（</w:t>
      </w:r>
      <w:r>
        <w:rPr>
          <w:spacing w:val="-27"/>
          <w:sz w:val="21"/>
        </w:rPr>
        <w:t>见 </w:t>
      </w:r>
      <w:r>
        <w:rPr>
          <w:spacing w:val="-2"/>
          <w:sz w:val="21"/>
        </w:rPr>
        <w:t>11.9）</w:t>
      </w:r>
      <w:r>
        <w:rPr>
          <w:rFonts w:ascii="微软雅黑" w:eastAsia="微软雅黑"/>
          <w:b/>
          <w:spacing w:val="-76"/>
          <w:sz w:val="21"/>
        </w:rPr>
        <w:t>的机</w:t>
      </w:r>
      <w:r>
        <w:rPr>
          <w:spacing w:val="-63"/>
          <w:position w:val="-7"/>
          <w:sz w:val="21"/>
        </w:rPr>
        <w:t>．</w:t>
      </w:r>
      <w:r>
        <w:rPr>
          <w:rFonts w:ascii="微软雅黑" w:eastAsia="微软雅黑"/>
          <w:b/>
          <w:spacing w:val="-149"/>
          <w:sz w:val="21"/>
        </w:rPr>
        <w:t>动</w:t>
      </w:r>
      <w:r>
        <w:rPr>
          <w:spacing w:val="-63"/>
          <w:position w:val="-7"/>
          <w:sz w:val="21"/>
        </w:rPr>
        <w:t>．</w:t>
      </w:r>
      <w:r>
        <w:rPr>
          <w:rFonts w:ascii="微软雅黑" w:eastAsia="微软雅黑"/>
          <w:b/>
          <w:spacing w:val="-149"/>
          <w:sz w:val="21"/>
        </w:rPr>
        <w:t>车</w:t>
      </w:r>
      <w:r>
        <w:rPr>
          <w:spacing w:val="-2"/>
          <w:position w:val="-7"/>
          <w:sz w:val="21"/>
        </w:rPr>
        <w:t>．</w:t>
      </w:r>
      <w:r>
        <w:rPr>
          <w:spacing w:val="-2"/>
          <w:sz w:val="21"/>
        </w:rPr>
        <w:t>（</w:t>
      </w:r>
      <w:r>
        <w:rPr>
          <w:spacing w:val="-28"/>
          <w:sz w:val="21"/>
        </w:rPr>
        <w:t>见 </w:t>
      </w:r>
      <w:r>
        <w:rPr>
          <w:spacing w:val="13"/>
          <w:sz w:val="21"/>
        </w:rPr>
        <w:t>11</w:t>
      </w:r>
      <w:r>
        <w:rPr>
          <w:spacing w:val="10"/>
          <w:sz w:val="21"/>
        </w:rPr>
        <w:t>.</w:t>
      </w:r>
      <w:r>
        <w:rPr>
          <w:spacing w:val="13"/>
          <w:sz w:val="21"/>
        </w:rPr>
        <w:t>10</w:t>
      </w:r>
      <w:r>
        <w:rPr>
          <w:spacing w:val="-95"/>
          <w:sz w:val="21"/>
        </w:rPr>
        <w:t>）</w:t>
      </w:r>
      <w:r>
        <w:rPr>
          <w:rFonts w:ascii="微软雅黑" w:eastAsia="微软雅黑"/>
          <w:b/>
          <w:spacing w:val="13"/>
          <w:sz w:val="21"/>
        </w:rPr>
        <w:t>；</w:t>
      </w:r>
    </w:p>
    <w:p>
      <w:pPr>
        <w:spacing w:line="194" w:lineRule="auto" w:before="23"/>
        <w:ind w:left="3785" w:right="1106" w:hanging="420"/>
        <w:jc w:val="both"/>
        <w:rPr>
          <w:rFonts w:ascii="微软雅黑" w:eastAsia="微软雅黑"/>
          <w:b/>
          <w:sz w:val="21"/>
        </w:rPr>
      </w:pPr>
      <w:r>
        <w:rPr>
          <w:rFonts w:ascii="微软雅黑" w:eastAsia="微软雅黑"/>
          <w:b/>
          <w:spacing w:val="-5"/>
          <w:sz w:val="21"/>
        </w:rPr>
        <w:t>(六) 战争、军事冲突、暴乱、恐怖活动或武装叛乱</w:t>
      </w:r>
      <w:r>
        <w:rPr>
          <w:rFonts w:ascii="微软雅黑" w:eastAsia="微软雅黑"/>
          <w:b/>
          <w:spacing w:val="-2"/>
          <w:sz w:val="21"/>
        </w:rPr>
        <w:t>（以上行为以政府宣告</w:t>
      </w:r>
      <w:r>
        <w:rPr>
          <w:rFonts w:ascii="微软雅黑" w:eastAsia="微软雅黑"/>
          <w:b/>
          <w:spacing w:val="-2"/>
          <w:w w:val="105"/>
          <w:sz w:val="21"/>
        </w:rPr>
        <w:t>或</w:t>
      </w:r>
      <w:r>
        <w:rPr>
          <w:rFonts w:ascii="微软雅黑" w:eastAsia="微软雅黑"/>
          <w:b/>
          <w:spacing w:val="-2"/>
          <w:w w:val="105"/>
          <w:sz w:val="21"/>
        </w:rPr>
        <w:t>认</w:t>
      </w:r>
      <w:r>
        <w:rPr>
          <w:rFonts w:ascii="微软雅黑" w:eastAsia="微软雅黑"/>
          <w:b/>
          <w:spacing w:val="-2"/>
          <w:w w:val="105"/>
          <w:sz w:val="21"/>
        </w:rPr>
        <w:t>定</w:t>
      </w:r>
      <w:r>
        <w:rPr>
          <w:rFonts w:ascii="微软雅黑" w:eastAsia="微软雅黑"/>
          <w:b/>
          <w:spacing w:val="-2"/>
          <w:w w:val="105"/>
          <w:sz w:val="21"/>
        </w:rPr>
        <w:t>为</w:t>
      </w:r>
      <w:r>
        <w:rPr>
          <w:rFonts w:ascii="微软雅黑" w:eastAsia="微软雅黑"/>
          <w:b/>
          <w:spacing w:val="-2"/>
          <w:w w:val="105"/>
          <w:sz w:val="21"/>
        </w:rPr>
        <w:t>准</w:t>
      </w:r>
      <w:r>
        <w:rPr>
          <w:rFonts w:ascii="微软雅黑" w:eastAsia="微软雅黑"/>
          <w:b/>
          <w:spacing w:val="-106"/>
          <w:w w:val="105"/>
          <w:sz w:val="21"/>
        </w:rPr>
        <w:t>）</w:t>
      </w:r>
      <w:r>
        <w:rPr>
          <w:rFonts w:ascii="微软雅黑" w:eastAsia="微软雅黑"/>
          <w:b/>
          <w:w w:val="105"/>
          <w:sz w:val="21"/>
        </w:rPr>
        <w:t>；</w:t>
      </w:r>
    </w:p>
    <w:p>
      <w:pPr>
        <w:spacing w:line="294" w:lineRule="exact" w:before="0"/>
        <w:ind w:left="3365" w:right="0" w:firstLine="0"/>
        <w:jc w:val="both"/>
        <w:rPr>
          <w:rFonts w:ascii="微软雅黑" w:eastAsia="微软雅黑"/>
          <w:b/>
          <w:sz w:val="21"/>
        </w:rPr>
      </w:pPr>
      <w:r>
        <w:rPr>
          <w:rFonts w:ascii="微软雅黑" w:eastAsia="微软雅黑"/>
          <w:b/>
          <w:spacing w:val="-1"/>
          <w:sz w:val="21"/>
        </w:rPr>
        <w:t>(七) 核爆炸、核辐射或核污染。</w:t>
      </w:r>
    </w:p>
    <w:p>
      <w:pPr>
        <w:spacing w:line="199" w:lineRule="auto" w:before="10"/>
        <w:ind w:left="3365" w:right="1101" w:hanging="421"/>
        <w:jc w:val="both"/>
        <w:rPr>
          <w:rFonts w:ascii="微软雅黑" w:eastAsia="微软雅黑"/>
          <w:b/>
          <w:sz w:val="21"/>
        </w:rPr>
      </w:pPr>
      <w:r>
        <w:rPr>
          <w:spacing w:val="-1"/>
          <w:w w:val="100"/>
          <w:sz w:val="21"/>
        </w:rPr>
        <w:t>二、</w:t>
      </w:r>
      <w:r>
        <w:rPr>
          <w:rFonts w:ascii="微软雅黑" w:eastAsia="微软雅黑"/>
          <w:b/>
          <w:spacing w:val="-4"/>
          <w:w w:val="100"/>
          <w:sz w:val="21"/>
        </w:rPr>
        <w:t>发生上述第</w:t>
      </w:r>
      <w:r>
        <w:rPr>
          <w:rFonts w:ascii="微软雅黑" w:eastAsia="微软雅黑"/>
          <w:b/>
          <w:w w:val="100"/>
          <w:sz w:val="21"/>
        </w:rPr>
        <w:t>（一</w:t>
      </w:r>
      <w:r>
        <w:rPr>
          <w:rFonts w:ascii="微软雅黑" w:eastAsia="微软雅黑"/>
          <w:b/>
          <w:spacing w:val="-20"/>
          <w:w w:val="100"/>
          <w:sz w:val="21"/>
        </w:rPr>
        <w:t>）</w:t>
      </w:r>
      <w:r>
        <w:rPr>
          <w:rFonts w:ascii="微软雅黑" w:eastAsia="微软雅黑"/>
          <w:b/>
          <w:spacing w:val="-5"/>
          <w:w w:val="100"/>
          <w:sz w:val="21"/>
        </w:rPr>
        <w:t>种情形导致被保险人身故的，本合同终止，若保险费尚</w:t>
      </w:r>
      <w:r>
        <w:rPr>
          <w:rFonts w:ascii="微软雅黑" w:eastAsia="微软雅黑"/>
          <w:b/>
          <w:spacing w:val="-9"/>
          <w:w w:val="100"/>
          <w:sz w:val="21"/>
        </w:rPr>
        <w:t>未转入投资账户，我们向投保人之外的其他权利人退还本合同已交纳保险费；若保险费已经转入投资账户，我们向投保人之外的其他权利人退还我</w:t>
      </w:r>
      <w:r>
        <w:rPr>
          <w:rFonts w:ascii="微软雅黑" w:eastAsia="微软雅黑"/>
          <w:b/>
          <w:spacing w:val="1"/>
          <w:w w:val="100"/>
          <w:sz w:val="21"/>
        </w:rPr>
        <w:t>们收到理赔申请书和本合同规定的所有证明文件材料后的下一个资产评估日的本合同的</w:t>
      </w:r>
      <w:r>
        <w:rPr>
          <w:rFonts w:ascii="微软雅黑" w:eastAsia="微软雅黑"/>
          <w:b/>
          <w:spacing w:val="-149"/>
          <w:w w:val="100"/>
          <w:sz w:val="21"/>
        </w:rPr>
        <w:t>现</w:t>
      </w:r>
      <w:r>
        <w:rPr>
          <w:spacing w:val="-63"/>
          <w:w w:val="100"/>
          <w:position w:val="-7"/>
          <w:sz w:val="21"/>
        </w:rPr>
        <w:t>．</w:t>
      </w:r>
      <w:r>
        <w:rPr>
          <w:rFonts w:ascii="微软雅黑" w:eastAsia="微软雅黑"/>
          <w:b/>
          <w:spacing w:val="-152"/>
          <w:w w:val="100"/>
          <w:sz w:val="21"/>
        </w:rPr>
        <w:t>金</w:t>
      </w:r>
      <w:r>
        <w:rPr>
          <w:spacing w:val="-63"/>
          <w:w w:val="100"/>
          <w:position w:val="-7"/>
          <w:sz w:val="21"/>
        </w:rPr>
        <w:t>．</w:t>
      </w:r>
      <w:r>
        <w:rPr>
          <w:rFonts w:ascii="微软雅黑" w:eastAsia="微软雅黑"/>
          <w:b/>
          <w:spacing w:val="-149"/>
          <w:w w:val="100"/>
          <w:sz w:val="21"/>
        </w:rPr>
        <w:t>价</w:t>
      </w:r>
      <w:r>
        <w:rPr>
          <w:spacing w:val="-63"/>
          <w:w w:val="100"/>
          <w:position w:val="-7"/>
          <w:sz w:val="21"/>
        </w:rPr>
        <w:t>．</w:t>
      </w:r>
      <w:r>
        <w:rPr>
          <w:rFonts w:ascii="微软雅黑" w:eastAsia="微软雅黑"/>
          <w:b/>
          <w:spacing w:val="-149"/>
          <w:w w:val="100"/>
          <w:sz w:val="21"/>
        </w:rPr>
        <w:t>值</w:t>
      </w:r>
      <w:r>
        <w:rPr>
          <w:spacing w:val="-63"/>
          <w:w w:val="100"/>
          <w:position w:val="-7"/>
          <w:sz w:val="21"/>
        </w:rPr>
        <w:t>．</w:t>
      </w:r>
      <w:r>
        <w:rPr>
          <w:spacing w:val="-2"/>
          <w:w w:val="100"/>
          <w:sz w:val="21"/>
        </w:rPr>
        <w:t>(见</w:t>
      </w:r>
      <w:r>
        <w:rPr>
          <w:spacing w:val="-53"/>
          <w:sz w:val="21"/>
        </w:rPr>
        <w:t> </w:t>
      </w:r>
      <w:r>
        <w:rPr>
          <w:w w:val="100"/>
          <w:sz w:val="21"/>
        </w:rPr>
        <w:t>11</w:t>
      </w:r>
      <w:r>
        <w:rPr>
          <w:spacing w:val="-3"/>
          <w:w w:val="100"/>
          <w:sz w:val="21"/>
        </w:rPr>
        <w:t>.</w:t>
      </w:r>
      <w:r>
        <w:rPr>
          <w:w w:val="100"/>
          <w:sz w:val="21"/>
        </w:rPr>
        <w:t>11</w:t>
      </w:r>
      <w:r>
        <w:rPr>
          <w:spacing w:val="-3"/>
          <w:w w:val="100"/>
          <w:sz w:val="21"/>
        </w:rPr>
        <w:t>)</w:t>
      </w:r>
      <w:r>
        <w:rPr>
          <w:rFonts w:ascii="微软雅黑" w:eastAsia="微软雅黑"/>
          <w:b/>
          <w:spacing w:val="-4"/>
          <w:w w:val="100"/>
          <w:sz w:val="21"/>
        </w:rPr>
        <w:t>，其他权利人按照被保险人第一顺序法定继承人、第二顺序法定继承人的顺序确定。</w:t>
      </w:r>
    </w:p>
    <w:p>
      <w:pPr>
        <w:spacing w:line="194" w:lineRule="auto" w:before="0"/>
        <w:ind w:left="3365" w:right="1103" w:hanging="421"/>
        <w:jc w:val="both"/>
        <w:rPr>
          <w:rFonts w:ascii="微软雅黑" w:eastAsia="微软雅黑"/>
          <w:b/>
          <w:sz w:val="21"/>
        </w:rPr>
      </w:pPr>
      <w:r>
        <w:rPr>
          <w:spacing w:val="-2"/>
          <w:sz w:val="21"/>
        </w:rPr>
        <w:t>三、</w:t>
      </w:r>
      <w:r>
        <w:rPr>
          <w:rFonts w:ascii="微软雅黑" w:eastAsia="微软雅黑"/>
          <w:b/>
          <w:spacing w:val="-2"/>
          <w:sz w:val="21"/>
        </w:rPr>
        <w:t>发生上述其他情形导致被保险人身故的，本合同终止，若保险费尚未转入</w:t>
      </w:r>
      <w:r>
        <w:rPr>
          <w:rFonts w:ascii="微软雅黑" w:eastAsia="微软雅黑"/>
          <w:b/>
          <w:spacing w:val="-2"/>
          <w:sz w:val="21"/>
        </w:rPr>
        <w:t>投资账户，我们向您退还本合同已交纳保险费；若保险费已经转入投资账</w:t>
      </w:r>
      <w:r>
        <w:rPr>
          <w:rFonts w:ascii="微软雅黑" w:eastAsia="微软雅黑"/>
          <w:b/>
          <w:spacing w:val="-11"/>
          <w:sz w:val="21"/>
        </w:rPr>
        <w:t>户，我们向您退还我们收到理赔申请书和本合同规定的所有证明文件材料</w:t>
      </w:r>
      <w:r>
        <w:rPr>
          <w:rFonts w:ascii="微软雅黑" w:eastAsia="微软雅黑"/>
          <w:b/>
          <w:spacing w:val="-2"/>
          <w:sz w:val="21"/>
        </w:rPr>
        <w:t>后的下一个资产评估日的本合同的现金价值。</w:t>
      </w:r>
    </w:p>
    <w:p>
      <w:pPr>
        <w:spacing w:line="194" w:lineRule="auto" w:before="0"/>
        <w:ind w:left="3365" w:right="1104" w:hanging="421"/>
        <w:jc w:val="both"/>
        <w:rPr>
          <w:rFonts w:ascii="微软雅黑" w:eastAsia="微软雅黑"/>
          <w:b/>
          <w:sz w:val="21"/>
        </w:rPr>
      </w:pPr>
      <w:r>
        <w:rPr>
          <w:spacing w:val="-2"/>
          <w:sz w:val="21"/>
        </w:rPr>
        <w:t>四、</w:t>
      </w:r>
      <w:r>
        <w:rPr>
          <w:rFonts w:ascii="微软雅黑" w:eastAsia="微软雅黑"/>
          <w:b/>
          <w:spacing w:val="-2"/>
          <w:sz w:val="21"/>
        </w:rPr>
        <w:t>如果您曾申请增加基本保险金额，若被保险人在增加的部分生效之日起 </w:t>
      </w:r>
      <w:r>
        <w:rPr>
          <w:rFonts w:ascii="微软雅黑" w:eastAsia="微软雅黑"/>
          <w:b/>
          <w:spacing w:val="-2"/>
          <w:sz w:val="21"/>
        </w:rPr>
        <w:t>2</w:t>
      </w:r>
      <w:r>
        <w:rPr>
          <w:rFonts w:ascii="微软雅黑" w:eastAsia="微软雅黑"/>
          <w:b/>
          <w:spacing w:val="-2"/>
          <w:sz w:val="21"/>
        </w:rPr>
        <w:t>年内因自杀导致身故，我们对该部分不承担给付保险金责任，但被保险人</w:t>
      </w:r>
      <w:r>
        <w:rPr>
          <w:rFonts w:ascii="微软雅黑" w:eastAsia="微软雅黑"/>
          <w:b/>
          <w:spacing w:val="-2"/>
          <w:sz w:val="21"/>
        </w:rPr>
        <w:t>自杀时为无民事行为能力人的除外。</w:t>
      </w:r>
    </w:p>
    <w:p>
      <w:pPr>
        <w:pStyle w:val="BodyText"/>
        <w:spacing w:before="1"/>
        <w:rPr>
          <w:rFonts w:ascii="微软雅黑"/>
          <w:b/>
          <w:sz w:val="26"/>
        </w:rPr>
      </w:pPr>
    </w:p>
    <w:p>
      <w:pPr>
        <w:spacing w:after="0"/>
        <w:rPr>
          <w:rFonts w:ascii="微软雅黑"/>
          <w:sz w:val="26"/>
        </w:rPr>
        <w:sectPr>
          <w:pgSz w:w="11910" w:h="16840"/>
          <w:pgMar w:top="1080" w:bottom="280" w:left="740" w:right="20"/>
        </w:sectPr>
      </w:pPr>
    </w:p>
    <w:p>
      <w:pPr>
        <w:pStyle w:val="ListParagraph"/>
        <w:numPr>
          <w:ilvl w:val="1"/>
          <w:numId w:val="5"/>
        </w:numPr>
        <w:tabs>
          <w:tab w:pos="1439" w:val="left" w:leader="none"/>
          <w:tab w:pos="1440" w:val="left" w:leader="none"/>
        </w:tabs>
        <w:spacing w:line="192" w:lineRule="auto" w:before="58" w:after="0"/>
        <w:ind w:left="1439" w:right="0" w:hanging="1052"/>
        <w:jc w:val="both"/>
        <w:rPr>
          <w:rFonts w:ascii="Microsoft JhengHei" w:eastAsia="Microsoft JhengHei"/>
          <w:b/>
          <w:sz w:val="21"/>
        </w:rPr>
      </w:pPr>
      <w:r>
        <w:rPr>
          <w:rFonts w:ascii="Microsoft JhengHei" w:eastAsia="Microsoft JhengHei"/>
          <w:b/>
          <w:spacing w:val="-2"/>
          <w:sz w:val="21"/>
        </w:rPr>
        <w:t>未成年人身</w:t>
      </w:r>
      <w:r>
        <w:rPr>
          <w:rFonts w:ascii="Microsoft JhengHei" w:eastAsia="Microsoft JhengHei"/>
          <w:b/>
          <w:spacing w:val="-2"/>
          <w:sz w:val="21"/>
        </w:rPr>
        <w:t>故保险金限</w:t>
      </w:r>
      <w:r>
        <w:rPr>
          <w:rFonts w:ascii="Microsoft JhengHei" w:eastAsia="Microsoft JhengHei"/>
          <w:b/>
          <w:spacing w:val="-10"/>
          <w:sz w:val="21"/>
        </w:rPr>
        <w:t>制</w:t>
      </w:r>
    </w:p>
    <w:p>
      <w:pPr>
        <w:pStyle w:val="BodyText"/>
        <w:spacing w:line="278" w:lineRule="auto" w:before="71"/>
        <w:ind w:left="372" w:right="1103"/>
        <w:jc w:val="both"/>
      </w:pPr>
      <w:r>
        <w:rPr/>
        <w:br w:type="column"/>
      </w:r>
      <w:r>
        <w:rPr>
          <w:spacing w:val="-2"/>
        </w:rPr>
        <w:t>为未成年子女投保的人身保险，在被保险人成年之前，因被保险人身故给付的</w:t>
      </w:r>
      <w:r>
        <w:rPr>
          <w:spacing w:val="-2"/>
        </w:rPr>
        <w:t>保险金总和不得超过国务院保险监督管理机构规定的限额，对身故给付保险金</w:t>
      </w:r>
      <w:r>
        <w:rPr>
          <w:spacing w:val="-2"/>
        </w:rPr>
        <w:t>额总和的约定也不得超过前述限额。</w:t>
      </w:r>
    </w:p>
    <w:p>
      <w:pPr>
        <w:spacing w:after="0" w:line="278" w:lineRule="auto"/>
        <w:jc w:val="both"/>
        <w:sectPr>
          <w:type w:val="continuous"/>
          <w:pgSz w:w="11910" w:h="16840"/>
          <w:pgMar w:top="0" w:bottom="280" w:left="740" w:right="20"/>
          <w:cols w:num="2" w:equalWidth="0">
            <w:col w:w="2496" w:space="40"/>
            <w:col w:w="8614"/>
          </w:cols>
        </w:sectPr>
      </w:pPr>
    </w:p>
    <w:p>
      <w:pPr>
        <w:pStyle w:val="BodyText"/>
        <w:spacing w:before="9"/>
        <w:rPr>
          <w:sz w:val="13"/>
        </w:rPr>
      </w:pPr>
    </w:p>
    <w:p>
      <w:pPr>
        <w:spacing w:after="0"/>
        <w:rPr>
          <w:sz w:val="13"/>
        </w:rPr>
        <w:sectPr>
          <w:type w:val="continuous"/>
          <w:pgSz w:w="11910" w:h="16840"/>
          <w:pgMar w:top="0" w:bottom="280" w:left="740" w:right="20"/>
        </w:sectPr>
      </w:pPr>
    </w:p>
    <w:p>
      <w:pPr>
        <w:pStyle w:val="ListParagraph"/>
        <w:numPr>
          <w:ilvl w:val="1"/>
          <w:numId w:val="5"/>
        </w:numPr>
        <w:tabs>
          <w:tab w:pos="1439" w:val="left" w:leader="none"/>
          <w:tab w:pos="1440" w:val="left" w:leader="none"/>
        </w:tabs>
        <w:spacing w:line="192" w:lineRule="auto" w:before="58" w:after="0"/>
        <w:ind w:left="1439" w:right="0" w:hanging="1052"/>
        <w:jc w:val="left"/>
        <w:rPr>
          <w:rFonts w:ascii="Microsoft JhengHei" w:eastAsia="Microsoft JhengHei"/>
          <w:b/>
          <w:sz w:val="21"/>
        </w:rPr>
      </w:pPr>
      <w:r>
        <w:rPr>
          <w:rFonts w:ascii="Microsoft JhengHei" w:eastAsia="Microsoft JhengHei"/>
          <w:b/>
          <w:spacing w:val="-2"/>
          <w:sz w:val="21"/>
        </w:rPr>
        <w:t>基本保险金</w:t>
      </w:r>
      <w:r>
        <w:rPr>
          <w:rFonts w:ascii="Microsoft JhengHei" w:eastAsia="Microsoft JhengHei"/>
          <w:b/>
          <w:spacing w:val="-10"/>
          <w:sz w:val="21"/>
        </w:rPr>
        <w:t>额</w:t>
      </w:r>
    </w:p>
    <w:p>
      <w:pPr>
        <w:pStyle w:val="BodyText"/>
        <w:spacing w:line="278" w:lineRule="auto" w:before="72"/>
        <w:ind w:left="372" w:right="1104"/>
        <w:jc w:val="both"/>
      </w:pPr>
      <w:r>
        <w:rPr/>
        <w:br w:type="column"/>
      </w:r>
      <w:r>
        <w:rPr>
          <w:spacing w:val="-2"/>
        </w:rPr>
        <w:t>本合同的基本保险金额由您在投保时与我们约定，并在保险单中载明。投保时</w:t>
      </w:r>
      <w:r>
        <w:rPr>
          <w:spacing w:val="-2"/>
        </w:rPr>
        <w:t>的基本保险金额须符合我们当时的投保规则。若该金额发生变更，则以变更后</w:t>
      </w:r>
      <w:r>
        <w:rPr>
          <w:spacing w:val="-2"/>
        </w:rPr>
        <w:t>的金额为基本保险金额。基本保险金额最低可以为零。</w:t>
      </w:r>
    </w:p>
    <w:p>
      <w:pPr>
        <w:spacing w:after="0" w:line="278" w:lineRule="auto"/>
        <w:jc w:val="both"/>
        <w:sectPr>
          <w:type w:val="continuous"/>
          <w:pgSz w:w="11910" w:h="16840"/>
          <w:pgMar w:top="0" w:bottom="280" w:left="740" w:right="20"/>
          <w:cols w:num="2" w:equalWidth="0">
            <w:col w:w="2496" w:space="40"/>
            <w:col w:w="8614"/>
          </w:cols>
        </w:sectPr>
      </w:pPr>
    </w:p>
    <w:p>
      <w:pPr>
        <w:pStyle w:val="BodyText"/>
        <w:spacing w:before="6"/>
        <w:rPr>
          <w:sz w:val="13"/>
        </w:rPr>
      </w:pPr>
    </w:p>
    <w:p>
      <w:pPr>
        <w:pStyle w:val="ListParagraph"/>
        <w:numPr>
          <w:ilvl w:val="1"/>
          <w:numId w:val="5"/>
        </w:numPr>
        <w:tabs>
          <w:tab w:pos="1439" w:val="left" w:leader="none"/>
          <w:tab w:pos="1440" w:val="left" w:leader="none"/>
          <w:tab w:pos="2908" w:val="left" w:leader="none"/>
        </w:tabs>
        <w:spacing w:line="240" w:lineRule="auto" w:before="2" w:after="0"/>
        <w:ind w:left="1439" w:right="0" w:hanging="1052"/>
        <w:jc w:val="left"/>
        <w:rPr>
          <w:sz w:val="21"/>
        </w:rPr>
      </w:pPr>
      <w:r>
        <w:rPr>
          <w:rFonts w:ascii="Microsoft JhengHei" w:eastAsia="Microsoft JhengHei"/>
          <w:b/>
          <w:sz w:val="21"/>
        </w:rPr>
        <w:t>基本保险</w:t>
      </w:r>
      <w:r>
        <w:rPr>
          <w:rFonts w:ascii="Microsoft JhengHei" w:eastAsia="Microsoft JhengHei"/>
          <w:b/>
          <w:spacing w:val="-10"/>
          <w:sz w:val="21"/>
        </w:rPr>
        <w:t>金</w:t>
      </w:r>
      <w:r>
        <w:rPr>
          <w:rFonts w:ascii="Microsoft JhengHei" w:eastAsia="Microsoft JhengHei"/>
          <w:b/>
          <w:sz w:val="21"/>
        </w:rPr>
        <w:tab/>
      </w:r>
      <w:r>
        <w:rPr>
          <w:spacing w:val="-2"/>
          <w:sz w:val="21"/>
        </w:rPr>
        <w:t>在</w:t>
      </w:r>
      <w:r>
        <w:rPr>
          <w:spacing w:val="-2"/>
          <w:sz w:val="21"/>
        </w:rPr>
        <w:t>本</w:t>
      </w:r>
      <w:r>
        <w:rPr>
          <w:spacing w:val="-2"/>
          <w:sz w:val="21"/>
        </w:rPr>
        <w:t>合同保险期间内，经</w:t>
      </w:r>
      <w:r>
        <w:rPr>
          <w:spacing w:val="-2"/>
          <w:sz w:val="21"/>
        </w:rPr>
        <w:t>我</w:t>
      </w:r>
      <w:r>
        <w:rPr>
          <w:spacing w:val="-2"/>
          <w:sz w:val="21"/>
        </w:rPr>
        <w:t>们</w:t>
      </w:r>
      <w:r>
        <w:rPr>
          <w:spacing w:val="-2"/>
          <w:sz w:val="21"/>
        </w:rPr>
        <w:t>同意，您可以变更基</w:t>
      </w:r>
      <w:r>
        <w:rPr>
          <w:spacing w:val="-2"/>
          <w:sz w:val="21"/>
        </w:rPr>
        <w:t>本</w:t>
      </w:r>
      <w:r>
        <w:rPr>
          <w:spacing w:val="-2"/>
          <w:sz w:val="21"/>
        </w:rPr>
        <w:t>保</w:t>
      </w:r>
      <w:r>
        <w:rPr>
          <w:spacing w:val="-2"/>
          <w:sz w:val="21"/>
        </w:rPr>
        <w:t>险金额</w:t>
      </w:r>
      <w:r>
        <w:rPr>
          <w:spacing w:val="-10"/>
          <w:sz w:val="21"/>
        </w:rPr>
        <w:t>。</w:t>
      </w:r>
    </w:p>
    <w:p>
      <w:pPr>
        <w:spacing w:after="0" w:line="240" w:lineRule="auto"/>
        <w:jc w:val="left"/>
        <w:rPr>
          <w:sz w:val="21"/>
        </w:rPr>
        <w:sectPr>
          <w:type w:val="continuous"/>
          <w:pgSz w:w="11910" w:h="16840"/>
          <w:pgMar w:top="0" w:bottom="280" w:left="740" w:right="20"/>
        </w:sectPr>
      </w:pPr>
    </w:p>
    <w:tbl>
      <w:tblPr>
        <w:tblW w:w="0" w:type="auto"/>
        <w:jc w:val="left"/>
        <w:tblInd w:w="3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34"/>
        <w:gridCol w:w="1702"/>
        <w:gridCol w:w="7421"/>
      </w:tblGrid>
      <w:tr>
        <w:trPr>
          <w:trHeight w:val="375" w:hRule="atLeast"/>
        </w:trPr>
        <w:tc>
          <w:tcPr>
            <w:tcW w:w="734" w:type="dxa"/>
            <w:vMerge w:val="restart"/>
          </w:tcPr>
          <w:p>
            <w:pPr>
              <w:pStyle w:val="TableParagraph"/>
              <w:spacing w:before="0"/>
              <w:rPr>
                <w:rFonts w:ascii="Times New Roman"/>
                <w:sz w:val="20"/>
              </w:rPr>
            </w:pPr>
          </w:p>
        </w:tc>
        <w:tc>
          <w:tcPr>
            <w:tcW w:w="1702" w:type="dxa"/>
          </w:tcPr>
          <w:p>
            <w:pPr>
              <w:pStyle w:val="TableParagraph"/>
              <w:spacing w:line="288" w:lineRule="exact" w:before="0"/>
              <w:ind w:left="367"/>
              <w:rPr>
                <w:rFonts w:ascii="Microsoft JhengHei" w:eastAsia="Microsoft JhengHei"/>
                <w:b/>
                <w:sz w:val="21"/>
              </w:rPr>
            </w:pPr>
            <w:r>
              <w:rPr>
                <w:rFonts w:ascii="Microsoft JhengHei" w:eastAsia="Microsoft JhengHei"/>
                <w:b/>
                <w:spacing w:val="-3"/>
                <w:sz w:val="21"/>
              </w:rPr>
              <w:t>额的变更</w:t>
            </w:r>
          </w:p>
        </w:tc>
        <w:tc>
          <w:tcPr>
            <w:tcW w:w="7421" w:type="dxa"/>
          </w:tcPr>
          <w:p>
            <w:pPr>
              <w:pStyle w:val="TableParagraph"/>
              <w:spacing w:before="0"/>
              <w:rPr>
                <w:rFonts w:ascii="Times New Roman"/>
                <w:sz w:val="20"/>
              </w:rPr>
            </w:pPr>
          </w:p>
        </w:tc>
      </w:tr>
      <w:tr>
        <w:trPr>
          <w:trHeight w:val="768" w:hRule="atLeast"/>
        </w:trPr>
        <w:tc>
          <w:tcPr>
            <w:tcW w:w="734" w:type="dxa"/>
            <w:vMerge/>
            <w:tcBorders>
              <w:top w:val="nil"/>
            </w:tcBorders>
          </w:tcPr>
          <w:p>
            <w:pPr>
              <w:rPr>
                <w:sz w:val="2"/>
                <w:szCs w:val="2"/>
              </w:rPr>
            </w:pPr>
          </w:p>
        </w:tc>
        <w:tc>
          <w:tcPr>
            <w:tcW w:w="1702" w:type="dxa"/>
          </w:tcPr>
          <w:p>
            <w:pPr>
              <w:pStyle w:val="TableParagraph"/>
              <w:spacing w:line="379" w:lineRule="exact" w:before="37"/>
              <w:ind w:left="367"/>
              <w:rPr>
                <w:rFonts w:ascii="Microsoft JhengHei" w:eastAsia="Microsoft JhengHei"/>
                <w:b/>
                <w:sz w:val="24"/>
              </w:rPr>
            </w:pPr>
            <w:r>
              <w:rPr>
                <w:rFonts w:ascii="Microsoft JhengHei" w:eastAsia="Microsoft JhengHei"/>
                <w:b/>
                <w:spacing w:val="-2"/>
                <w:sz w:val="24"/>
              </w:rPr>
              <w:t>申请增加基</w:t>
            </w:r>
          </w:p>
          <w:p>
            <w:pPr>
              <w:pStyle w:val="TableParagraph"/>
              <w:spacing w:line="333" w:lineRule="exact" w:before="0"/>
              <w:ind w:left="367"/>
              <w:rPr>
                <w:rFonts w:ascii="Microsoft JhengHei" w:eastAsia="Microsoft JhengHei"/>
                <w:b/>
                <w:sz w:val="24"/>
              </w:rPr>
            </w:pPr>
            <w:r>
              <w:rPr>
                <w:rFonts w:ascii="Microsoft JhengHei" w:eastAsia="Microsoft JhengHei"/>
                <w:b/>
                <w:spacing w:val="-2"/>
                <w:sz w:val="24"/>
              </w:rPr>
              <w:t>本保险金额</w:t>
            </w:r>
          </w:p>
        </w:tc>
        <w:tc>
          <w:tcPr>
            <w:tcW w:w="7421" w:type="dxa"/>
          </w:tcPr>
          <w:p>
            <w:pPr>
              <w:pStyle w:val="TableParagraph"/>
              <w:spacing w:line="310" w:lineRule="atLeast" w:before="115"/>
              <w:ind w:left="134" w:right="140"/>
              <w:rPr>
                <w:sz w:val="21"/>
              </w:rPr>
            </w:pPr>
            <w:r>
              <w:rPr>
                <w:spacing w:val="-2"/>
                <w:sz w:val="21"/>
              </w:rPr>
              <w:t>您可以向我们申请增加本合同的基本保险金额。在申请增加基本保险金额时，</w:t>
            </w:r>
            <w:r>
              <w:rPr>
                <w:spacing w:val="-2"/>
                <w:sz w:val="21"/>
              </w:rPr>
              <w:t>必须同时满足以下条件：</w:t>
            </w:r>
          </w:p>
        </w:tc>
      </w:tr>
      <w:tr>
        <w:trPr>
          <w:trHeight w:val="302" w:hRule="atLeast"/>
        </w:trPr>
        <w:tc>
          <w:tcPr>
            <w:tcW w:w="734" w:type="dxa"/>
            <w:vMerge/>
            <w:tcBorders>
              <w:top w:val="nil"/>
            </w:tcBorders>
          </w:tcPr>
          <w:p>
            <w:pPr>
              <w:rPr>
                <w:sz w:val="2"/>
                <w:szCs w:val="2"/>
              </w:rPr>
            </w:pPr>
          </w:p>
        </w:tc>
        <w:tc>
          <w:tcPr>
            <w:tcW w:w="1702" w:type="dxa"/>
          </w:tcPr>
          <w:p>
            <w:pPr>
              <w:pStyle w:val="TableParagraph"/>
              <w:spacing w:before="0"/>
              <w:rPr>
                <w:rFonts w:ascii="Times New Roman"/>
                <w:sz w:val="20"/>
              </w:rPr>
            </w:pPr>
          </w:p>
        </w:tc>
        <w:tc>
          <w:tcPr>
            <w:tcW w:w="7421" w:type="dxa"/>
          </w:tcPr>
          <w:p>
            <w:pPr>
              <w:pStyle w:val="TableParagraph"/>
              <w:spacing w:before="11"/>
              <w:ind w:left="134"/>
              <w:rPr>
                <w:sz w:val="21"/>
              </w:rPr>
            </w:pPr>
            <w:r>
              <w:rPr>
                <w:spacing w:val="-2"/>
                <w:sz w:val="21"/>
              </w:rPr>
              <w:t>(一)在被保险人60</w:t>
            </w:r>
            <w:r>
              <w:rPr>
                <w:spacing w:val="-3"/>
                <w:sz w:val="21"/>
              </w:rPr>
              <w:t>周岁的保单周年日之前申请；</w:t>
            </w:r>
          </w:p>
        </w:tc>
      </w:tr>
      <w:tr>
        <w:trPr>
          <w:trHeight w:val="499" w:hRule="atLeast"/>
        </w:trPr>
        <w:tc>
          <w:tcPr>
            <w:tcW w:w="734" w:type="dxa"/>
            <w:vMerge/>
            <w:tcBorders>
              <w:top w:val="nil"/>
            </w:tcBorders>
          </w:tcPr>
          <w:p>
            <w:pPr>
              <w:rPr>
                <w:sz w:val="2"/>
                <w:szCs w:val="2"/>
              </w:rPr>
            </w:pPr>
          </w:p>
        </w:tc>
        <w:tc>
          <w:tcPr>
            <w:tcW w:w="1702" w:type="dxa"/>
          </w:tcPr>
          <w:p>
            <w:pPr>
              <w:pStyle w:val="TableParagraph"/>
              <w:spacing w:before="0"/>
              <w:rPr>
                <w:rFonts w:ascii="Times New Roman"/>
                <w:sz w:val="20"/>
              </w:rPr>
            </w:pPr>
          </w:p>
        </w:tc>
        <w:tc>
          <w:tcPr>
            <w:tcW w:w="7421" w:type="dxa"/>
          </w:tcPr>
          <w:p>
            <w:pPr>
              <w:pStyle w:val="TableParagraph"/>
              <w:spacing w:line="199" w:lineRule="auto" w:before="0"/>
              <w:ind w:left="134"/>
              <w:rPr>
                <w:sz w:val="21"/>
              </w:rPr>
            </w:pPr>
            <w:r>
              <w:rPr>
                <w:spacing w:val="-10"/>
                <w:sz w:val="21"/>
              </w:rPr>
              <w:t>(二)经我们审核同意后，增加的部分从下一个</w:t>
            </w:r>
            <w:r>
              <w:rPr>
                <w:rFonts w:ascii="Microsoft JhengHei" w:eastAsia="Microsoft JhengHei"/>
                <w:b/>
                <w:spacing w:val="-149"/>
                <w:sz w:val="21"/>
              </w:rPr>
              <w:t>扣</w:t>
            </w:r>
            <w:r>
              <w:rPr>
                <w:spacing w:val="-63"/>
                <w:position w:val="-7"/>
                <w:sz w:val="21"/>
              </w:rPr>
              <w:t>．</w:t>
            </w:r>
            <w:r>
              <w:rPr>
                <w:rFonts w:ascii="Microsoft JhengHei" w:eastAsia="Microsoft JhengHei"/>
                <w:b/>
                <w:spacing w:val="-149"/>
                <w:sz w:val="21"/>
              </w:rPr>
              <w:t>除</w:t>
            </w:r>
            <w:r>
              <w:rPr>
                <w:spacing w:val="-63"/>
                <w:position w:val="-7"/>
                <w:sz w:val="21"/>
              </w:rPr>
              <w:t>．</w:t>
            </w:r>
            <w:r>
              <w:rPr>
                <w:rFonts w:ascii="Microsoft JhengHei" w:eastAsia="Microsoft JhengHei"/>
                <w:b/>
                <w:spacing w:val="-149"/>
                <w:sz w:val="21"/>
              </w:rPr>
              <w:t>日</w:t>
            </w:r>
            <w:r>
              <w:rPr>
                <w:spacing w:val="-137"/>
                <w:position w:val="-7"/>
                <w:sz w:val="21"/>
              </w:rPr>
              <w:t>．</w:t>
            </w:r>
            <w:r>
              <w:rPr>
                <w:spacing w:val="-3"/>
                <w:sz w:val="21"/>
              </w:rPr>
              <w:t>（</w:t>
            </w:r>
            <w:r>
              <w:rPr>
                <w:spacing w:val="-4"/>
                <w:sz w:val="21"/>
              </w:rPr>
              <w:t>见11.12）</w:t>
            </w:r>
            <w:r>
              <w:rPr>
                <w:spacing w:val="-5"/>
                <w:sz w:val="21"/>
              </w:rPr>
              <w:t>的零时起生效。</w:t>
            </w:r>
          </w:p>
        </w:tc>
      </w:tr>
      <w:tr>
        <w:trPr>
          <w:trHeight w:val="888" w:hRule="atLeast"/>
        </w:trPr>
        <w:tc>
          <w:tcPr>
            <w:tcW w:w="734" w:type="dxa"/>
            <w:vMerge/>
            <w:tcBorders>
              <w:top w:val="nil"/>
            </w:tcBorders>
          </w:tcPr>
          <w:p>
            <w:pPr>
              <w:rPr>
                <w:sz w:val="2"/>
                <w:szCs w:val="2"/>
              </w:rPr>
            </w:pPr>
          </w:p>
        </w:tc>
        <w:tc>
          <w:tcPr>
            <w:tcW w:w="1702" w:type="dxa"/>
          </w:tcPr>
          <w:p>
            <w:pPr>
              <w:pStyle w:val="TableParagraph"/>
              <w:spacing w:line="172" w:lineRule="auto" w:before="117"/>
              <w:ind w:left="367" w:right="130"/>
              <w:rPr>
                <w:rFonts w:ascii="Microsoft JhengHei" w:eastAsia="Microsoft JhengHei"/>
                <w:b/>
                <w:sz w:val="24"/>
              </w:rPr>
            </w:pPr>
            <w:r>
              <w:rPr>
                <w:rFonts w:ascii="Microsoft JhengHei" w:eastAsia="Microsoft JhengHei"/>
                <w:b/>
                <w:spacing w:val="-2"/>
                <w:sz w:val="24"/>
              </w:rPr>
              <w:t>申请减少基</w:t>
            </w:r>
            <w:r>
              <w:rPr>
                <w:rFonts w:ascii="Microsoft JhengHei" w:eastAsia="Microsoft JhengHei"/>
                <w:b/>
                <w:spacing w:val="-2"/>
                <w:sz w:val="24"/>
              </w:rPr>
              <w:t>本保险金额</w:t>
            </w:r>
          </w:p>
        </w:tc>
        <w:tc>
          <w:tcPr>
            <w:tcW w:w="7421" w:type="dxa"/>
          </w:tcPr>
          <w:p>
            <w:pPr>
              <w:pStyle w:val="TableParagraph"/>
              <w:spacing w:line="278" w:lineRule="auto" w:before="147"/>
              <w:ind w:left="134" w:right="153"/>
              <w:rPr>
                <w:sz w:val="21"/>
              </w:rPr>
            </w:pPr>
            <w:r>
              <w:rPr>
                <w:spacing w:val="-2"/>
                <w:sz w:val="21"/>
              </w:rPr>
              <w:t>您可以向我们申请减少本合同的基本保险金额。经我们同意后，减少的部分从</w:t>
            </w:r>
            <w:r>
              <w:rPr>
                <w:spacing w:val="-2"/>
                <w:sz w:val="21"/>
              </w:rPr>
              <w:t>下一个扣除日的零时起效力终止。</w:t>
            </w:r>
          </w:p>
        </w:tc>
      </w:tr>
      <w:tr>
        <w:trPr>
          <w:trHeight w:val="543" w:hRule="atLeast"/>
        </w:trPr>
        <w:tc>
          <w:tcPr>
            <w:tcW w:w="734" w:type="dxa"/>
          </w:tcPr>
          <w:p>
            <w:pPr>
              <w:pStyle w:val="TableParagraph"/>
              <w:spacing w:before="72"/>
              <w:ind w:left="50"/>
              <w:rPr>
                <w:rFonts w:ascii="微软雅黑"/>
                <w:b/>
                <w:sz w:val="21"/>
              </w:rPr>
            </w:pPr>
            <w:r>
              <w:rPr>
                <w:rFonts w:ascii="微软雅黑"/>
                <w:b/>
                <w:spacing w:val="-5"/>
                <w:sz w:val="21"/>
              </w:rPr>
              <w:t>2.6</w:t>
            </w:r>
          </w:p>
        </w:tc>
        <w:tc>
          <w:tcPr>
            <w:tcW w:w="1702" w:type="dxa"/>
          </w:tcPr>
          <w:p>
            <w:pPr>
              <w:pStyle w:val="TableParagraph"/>
              <w:spacing w:before="70"/>
              <w:ind w:left="367"/>
              <w:rPr>
                <w:rFonts w:ascii="Microsoft JhengHei" w:eastAsia="Microsoft JhengHei"/>
                <w:b/>
                <w:sz w:val="21"/>
              </w:rPr>
            </w:pPr>
            <w:r>
              <w:rPr>
                <w:rFonts w:ascii="Microsoft JhengHei" w:eastAsia="Microsoft JhengHei"/>
                <w:b/>
                <w:spacing w:val="-3"/>
                <w:sz w:val="21"/>
              </w:rPr>
              <w:t>保险期间</w:t>
            </w:r>
          </w:p>
        </w:tc>
        <w:tc>
          <w:tcPr>
            <w:tcW w:w="7421" w:type="dxa"/>
          </w:tcPr>
          <w:p>
            <w:pPr>
              <w:pStyle w:val="TableParagraph"/>
              <w:spacing w:before="139"/>
              <w:ind w:left="134"/>
              <w:rPr>
                <w:sz w:val="21"/>
              </w:rPr>
            </w:pPr>
            <w:r>
              <w:rPr>
                <w:spacing w:val="-3"/>
                <w:sz w:val="21"/>
              </w:rPr>
              <w:t>本合同的保险期间为终身，自本合同生效日零时起计算。</w:t>
            </w:r>
          </w:p>
        </w:tc>
      </w:tr>
      <w:tr>
        <w:trPr>
          <w:trHeight w:val="375" w:hRule="atLeast"/>
        </w:trPr>
        <w:tc>
          <w:tcPr>
            <w:tcW w:w="734" w:type="dxa"/>
          </w:tcPr>
          <w:p>
            <w:pPr>
              <w:pStyle w:val="TableParagraph"/>
              <w:spacing w:line="287" w:lineRule="exact" w:before="68"/>
              <w:ind w:left="50"/>
              <w:rPr>
                <w:rFonts w:ascii="微软雅黑"/>
                <w:b/>
                <w:sz w:val="21"/>
              </w:rPr>
            </w:pPr>
            <w:r>
              <w:rPr>
                <w:rFonts w:ascii="微软雅黑"/>
                <w:b/>
                <w:spacing w:val="-5"/>
                <w:sz w:val="21"/>
              </w:rPr>
              <w:t>2.7</w:t>
            </w:r>
          </w:p>
        </w:tc>
        <w:tc>
          <w:tcPr>
            <w:tcW w:w="1702" w:type="dxa"/>
          </w:tcPr>
          <w:p>
            <w:pPr>
              <w:pStyle w:val="TableParagraph"/>
              <w:spacing w:line="289" w:lineRule="exact" w:before="66"/>
              <w:ind w:left="367"/>
              <w:rPr>
                <w:rFonts w:ascii="Microsoft JhengHei" w:eastAsia="Microsoft JhengHei"/>
                <w:b/>
                <w:sz w:val="21"/>
              </w:rPr>
            </w:pPr>
            <w:r>
              <w:rPr>
                <w:rFonts w:ascii="Microsoft JhengHei" w:eastAsia="Microsoft JhengHei"/>
                <w:b/>
                <w:spacing w:val="-3"/>
                <w:sz w:val="21"/>
              </w:rPr>
              <w:t>持续奖金</w:t>
            </w:r>
          </w:p>
        </w:tc>
        <w:tc>
          <w:tcPr>
            <w:tcW w:w="7421" w:type="dxa"/>
          </w:tcPr>
          <w:p>
            <w:pPr>
              <w:pStyle w:val="TableParagraph"/>
              <w:spacing w:line="220" w:lineRule="exact" w:before="136"/>
              <w:ind w:left="134"/>
              <w:rPr>
                <w:sz w:val="21"/>
              </w:rPr>
            </w:pPr>
            <w:r>
              <w:rPr>
                <w:spacing w:val="-8"/>
                <w:sz w:val="21"/>
              </w:rPr>
              <w:t>一、若本合同在第 </w:t>
            </w:r>
            <w:r>
              <w:rPr>
                <w:spacing w:val="-2"/>
                <w:sz w:val="21"/>
              </w:rPr>
              <w:t>5</w:t>
            </w:r>
            <w:r>
              <w:rPr>
                <w:spacing w:val="-11"/>
                <w:sz w:val="21"/>
              </w:rPr>
              <w:t> 个保单周年日时持续有效，我们将按照您在前 </w:t>
            </w:r>
            <w:r>
              <w:rPr>
                <w:spacing w:val="-2"/>
                <w:sz w:val="21"/>
              </w:rPr>
              <w:t>5</w:t>
            </w:r>
            <w:r>
              <w:rPr>
                <w:spacing w:val="-16"/>
                <w:sz w:val="21"/>
              </w:rPr>
              <w:t> 个保单</w:t>
            </w:r>
          </w:p>
        </w:tc>
      </w:tr>
    </w:tbl>
    <w:p>
      <w:pPr>
        <w:pStyle w:val="BodyText"/>
        <w:spacing w:before="82"/>
        <w:ind w:left="3329"/>
        <w:jc w:val="both"/>
      </w:pPr>
      <w:r>
        <w:rPr>
          <w:spacing w:val="-5"/>
        </w:rPr>
        <w:t>年度内累计已交纳保险费数额的 </w:t>
      </w:r>
      <w:r>
        <w:rPr>
          <w:spacing w:val="-2"/>
        </w:rPr>
        <w:t>1</w:t>
      </w:r>
      <w:r>
        <w:rPr>
          <w:spacing w:val="-3"/>
        </w:rPr>
        <w:t>%派发持续奖金。</w:t>
      </w:r>
    </w:p>
    <w:p>
      <w:pPr>
        <w:pStyle w:val="BodyText"/>
        <w:spacing w:line="278" w:lineRule="auto" w:before="43"/>
        <w:ind w:left="3329" w:right="1298"/>
        <w:jc w:val="both"/>
      </w:pPr>
      <w:r>
        <w:rPr>
          <w:w w:val="95"/>
        </w:rPr>
        <w:t>若</w:t>
      </w:r>
      <w:r>
        <w:rPr>
          <w:w w:val="95"/>
        </w:rPr>
        <w:t>本</w:t>
      </w:r>
      <w:r>
        <w:rPr>
          <w:w w:val="95"/>
        </w:rPr>
        <w:t>合同在第</w:t>
      </w:r>
      <w:r>
        <w:rPr>
          <w:spacing w:val="35"/>
        </w:rPr>
        <w:t> </w:t>
      </w:r>
      <w:r>
        <w:rPr>
          <w:w w:val="95"/>
        </w:rPr>
        <w:t>6</w:t>
      </w:r>
      <w:r>
        <w:rPr>
          <w:spacing w:val="29"/>
        </w:rPr>
        <w:t> </w:t>
      </w:r>
      <w:r>
        <w:rPr>
          <w:w w:val="95"/>
        </w:rPr>
        <w:t>个保单周</w:t>
      </w:r>
      <w:r>
        <w:rPr>
          <w:w w:val="95"/>
        </w:rPr>
        <w:t>年</w:t>
      </w:r>
      <w:r>
        <w:rPr>
          <w:w w:val="95"/>
        </w:rPr>
        <w:t>日</w:t>
      </w:r>
      <w:r>
        <w:rPr>
          <w:w w:val="95"/>
        </w:rPr>
        <w:t>及以后各个保单周年</w:t>
      </w:r>
      <w:r>
        <w:rPr>
          <w:w w:val="95"/>
        </w:rPr>
        <w:t>日</w:t>
      </w:r>
      <w:r>
        <w:rPr>
          <w:w w:val="95"/>
        </w:rPr>
        <w:t>持</w:t>
      </w:r>
      <w:r>
        <w:rPr>
          <w:w w:val="95"/>
        </w:rPr>
        <w:t>续有效，我</w:t>
      </w:r>
      <w:r>
        <w:rPr>
          <w:w w:val="95"/>
        </w:rPr>
        <w:t>们</w:t>
      </w:r>
      <w:r>
        <w:rPr>
          <w:w w:val="95"/>
        </w:rPr>
        <w:t>将</w:t>
      </w:r>
      <w:r>
        <w:rPr>
          <w:spacing w:val="-2"/>
        </w:rPr>
        <w:t>在每个保单周年日按照该保单周年日的前一个保单年度已交纳保险费数</w:t>
      </w:r>
      <w:r>
        <w:rPr>
          <w:spacing w:val="-15"/>
        </w:rPr>
        <w:t>额的 </w:t>
      </w:r>
      <w:r>
        <w:rPr/>
        <w:t>1%派发持续奖金。</w:t>
      </w:r>
    </w:p>
    <w:p>
      <w:pPr>
        <w:pStyle w:val="BodyText"/>
        <w:spacing w:line="278" w:lineRule="auto"/>
        <w:ind w:left="3329" w:right="1101" w:hanging="421"/>
        <w:jc w:val="both"/>
      </w:pPr>
      <w:r>
        <w:rPr>
          <w:spacing w:val="-2"/>
        </w:rPr>
        <w:t>二、持续奖金将按您当时保单账户中各投资账户价值的比例分配进入各投资账</w:t>
      </w:r>
      <w:r>
        <w:rPr>
          <w:spacing w:val="-2"/>
        </w:rPr>
        <w:t>户，当时保单账户价值及保单账户增加的投资单位数按照持续奖金发放日</w:t>
      </w:r>
      <w:r>
        <w:rPr>
          <w:spacing w:val="-2"/>
        </w:rPr>
        <w:t>的下一个资产评估日的投资单位价格计算。</w:t>
      </w:r>
    </w:p>
    <w:p>
      <w:pPr>
        <w:pStyle w:val="BodyText"/>
        <w:spacing w:before="8"/>
        <w:rPr>
          <w:sz w:val="10"/>
        </w:rPr>
      </w:pPr>
    </w:p>
    <w:p>
      <w:pPr>
        <w:pStyle w:val="Heading2"/>
        <w:numPr>
          <w:ilvl w:val="0"/>
          <w:numId w:val="5"/>
        </w:numPr>
        <w:tabs>
          <w:tab w:pos="1439" w:val="left" w:leader="none"/>
          <w:tab w:pos="1440" w:val="left" w:leader="none"/>
        </w:tabs>
        <w:spacing w:line="432" w:lineRule="exact" w:before="0" w:after="0"/>
        <w:ind w:left="1439" w:right="0" w:hanging="1052"/>
        <w:jc w:val="left"/>
        <w:rPr>
          <w:rFonts w:ascii="微软雅黑" w:eastAsia="微软雅黑"/>
        </w:rPr>
      </w:pPr>
      <w:r>
        <w:rPr/>
        <w:drawing>
          <wp:anchor distT="0" distB="0" distL="0" distR="0" allowOverlap="1" layoutInCell="1" locked="0" behindDoc="1" simplePos="0" relativeHeight="486504448">
            <wp:simplePos x="0" y="0"/>
            <wp:positionH relativeFrom="page">
              <wp:posOffset>647700</wp:posOffset>
            </wp:positionH>
            <wp:positionV relativeFrom="paragraph">
              <wp:posOffset>240371</wp:posOffset>
            </wp:positionV>
            <wp:extent cx="6264783" cy="12191"/>
            <wp:effectExtent l="0" t="0" r="0" b="0"/>
            <wp:wrapNone/>
            <wp:docPr id="9" name="image4.png"/>
            <wp:cNvGraphicFramePr>
              <a:graphicFrameLocks noChangeAspect="1"/>
            </wp:cNvGraphicFramePr>
            <a:graphic>
              <a:graphicData uri="http://schemas.openxmlformats.org/drawingml/2006/picture">
                <pic:pic>
                  <pic:nvPicPr>
                    <pic:cNvPr id="10" name="image4.png"/>
                    <pic:cNvPicPr/>
                  </pic:nvPicPr>
                  <pic:blipFill>
                    <a:blip r:embed="rId8" cstate="print"/>
                    <a:stretch>
                      <a:fillRect/>
                    </a:stretch>
                  </pic:blipFill>
                  <pic:spPr>
                    <a:xfrm>
                      <a:off x="0" y="0"/>
                      <a:ext cx="6264783" cy="12191"/>
                    </a:xfrm>
                    <a:prstGeom prst="rect">
                      <a:avLst/>
                    </a:prstGeom>
                  </pic:spPr>
                </pic:pic>
              </a:graphicData>
            </a:graphic>
          </wp:anchor>
        </w:drawing>
      </w:r>
      <w:r>
        <w:rPr>
          <w:spacing w:val="-2"/>
        </w:rPr>
        <w:t>保险金的申请</w:t>
      </w:r>
    </w:p>
    <w:p>
      <w:pPr>
        <w:pStyle w:val="ListParagraph"/>
        <w:numPr>
          <w:ilvl w:val="1"/>
          <w:numId w:val="5"/>
        </w:numPr>
        <w:tabs>
          <w:tab w:pos="1439" w:val="left" w:leader="none"/>
          <w:tab w:pos="1440" w:val="left" w:leader="none"/>
          <w:tab w:pos="2908" w:val="left" w:leader="none"/>
        </w:tabs>
        <w:spacing w:line="385" w:lineRule="exact" w:before="128" w:after="0"/>
        <w:ind w:left="1439" w:right="0" w:hanging="1052"/>
        <w:jc w:val="left"/>
        <w:rPr>
          <w:sz w:val="21"/>
        </w:rPr>
      </w:pPr>
      <w:r>
        <w:rPr>
          <w:rFonts w:ascii="Microsoft JhengHei" w:eastAsia="Microsoft JhengHei"/>
          <w:b/>
          <w:sz w:val="21"/>
        </w:rPr>
        <w:t>受益</w:t>
      </w:r>
      <w:r>
        <w:rPr>
          <w:rFonts w:ascii="Microsoft JhengHei" w:eastAsia="Microsoft JhengHei"/>
          <w:b/>
          <w:spacing w:val="-10"/>
          <w:sz w:val="21"/>
        </w:rPr>
        <w:t>人</w:t>
      </w:r>
      <w:r>
        <w:rPr>
          <w:rFonts w:ascii="Microsoft JhengHei" w:eastAsia="Microsoft JhengHei"/>
          <w:b/>
          <w:sz w:val="21"/>
        </w:rPr>
        <w:tab/>
      </w:r>
      <w:r>
        <w:rPr>
          <w:spacing w:val="-2"/>
          <w:sz w:val="21"/>
        </w:rPr>
        <w:t>一、您</w:t>
      </w:r>
      <w:r>
        <w:rPr>
          <w:spacing w:val="-2"/>
          <w:sz w:val="21"/>
        </w:rPr>
        <w:t>或</w:t>
      </w:r>
      <w:r>
        <w:rPr>
          <w:spacing w:val="-2"/>
          <w:sz w:val="21"/>
        </w:rPr>
        <w:t>被保险人可以指定一</w:t>
      </w:r>
      <w:r>
        <w:rPr>
          <w:spacing w:val="-2"/>
          <w:sz w:val="21"/>
        </w:rPr>
        <w:t>人</w:t>
      </w:r>
      <w:r>
        <w:rPr>
          <w:spacing w:val="-2"/>
          <w:sz w:val="21"/>
        </w:rPr>
        <w:t>或</w:t>
      </w:r>
      <w:r>
        <w:rPr>
          <w:spacing w:val="-2"/>
          <w:sz w:val="21"/>
        </w:rPr>
        <w:t>多人为保险金受益人。保险金受益人为多</w:t>
      </w:r>
      <w:r>
        <w:rPr>
          <w:spacing w:val="-10"/>
          <w:sz w:val="21"/>
        </w:rPr>
        <w:t>人</w:t>
      </w:r>
    </w:p>
    <w:p>
      <w:pPr>
        <w:pStyle w:val="BodyText"/>
        <w:spacing w:line="278" w:lineRule="auto"/>
        <w:ind w:left="3329" w:right="1104"/>
      </w:pPr>
      <w:r>
        <w:rPr>
          <w:spacing w:val="-2"/>
        </w:rPr>
        <w:t>时，可以确定受益顺序和受益份额；未确定受益顺序和受益份额的，各受</w:t>
      </w:r>
      <w:r>
        <w:rPr>
          <w:spacing w:val="-2"/>
        </w:rPr>
        <w:t>益人按照相同顺序和相等份额享有受益权。</w:t>
      </w:r>
    </w:p>
    <w:p>
      <w:pPr>
        <w:pStyle w:val="BodyText"/>
        <w:spacing w:line="278" w:lineRule="auto"/>
        <w:ind w:left="3329" w:right="1101" w:hanging="421"/>
      </w:pPr>
      <w:r>
        <w:rPr>
          <w:spacing w:val="-2"/>
        </w:rPr>
        <w:t>二、被保险人为无民事行为能力人或者限制民事行为能力人的，可以由其监护</w:t>
      </w:r>
      <w:r>
        <w:rPr>
          <w:spacing w:val="-2"/>
        </w:rPr>
        <w:t>人指定受益人。</w:t>
      </w:r>
    </w:p>
    <w:p>
      <w:pPr>
        <w:pStyle w:val="BodyText"/>
        <w:spacing w:line="278" w:lineRule="auto"/>
        <w:ind w:left="3329" w:right="1104" w:hanging="421"/>
      </w:pPr>
      <w:r>
        <w:rPr>
          <w:spacing w:val="-2"/>
        </w:rPr>
        <w:t>三、您或被保险人可以变更保险金受益人并书面通知我们。我们收到变更保险</w:t>
      </w:r>
      <w:r>
        <w:rPr>
          <w:spacing w:val="-2"/>
        </w:rPr>
        <w:t>金受益人的书面通知后，在保险合同上批注或附贴批单。</w:t>
      </w:r>
    </w:p>
    <w:p>
      <w:pPr>
        <w:pStyle w:val="BodyText"/>
        <w:spacing w:line="269" w:lineRule="exact"/>
        <w:ind w:left="2908"/>
      </w:pPr>
      <w:r>
        <w:rPr>
          <w:spacing w:val="-3"/>
        </w:rPr>
        <w:t>四、您在指定和变更身故保险金受益人时，必须经被保险人同意。</w:t>
      </w:r>
    </w:p>
    <w:p>
      <w:pPr>
        <w:pStyle w:val="BodyText"/>
        <w:spacing w:line="278" w:lineRule="auto" w:before="38"/>
        <w:ind w:left="3329" w:right="1104" w:hanging="421"/>
      </w:pPr>
      <w:r>
        <w:rPr>
          <w:spacing w:val="-2"/>
        </w:rPr>
        <w:t>五、被保险人身故后，遇有下列情形之一的，保险金作为被保险人的遗产，由</w:t>
      </w:r>
      <w:r>
        <w:rPr>
          <w:spacing w:val="-2"/>
        </w:rPr>
        <w:t>我们依照《中华人民共和国继承法》的规定履行给付保险金的义务：</w:t>
      </w:r>
    </w:p>
    <w:p>
      <w:pPr>
        <w:pStyle w:val="BodyText"/>
        <w:spacing w:line="269" w:lineRule="exact"/>
        <w:ind w:left="3329"/>
      </w:pPr>
      <w:r>
        <w:rPr>
          <w:spacing w:val="-3"/>
        </w:rPr>
        <w:t>(一)没有指定受益人的；</w:t>
      </w:r>
    </w:p>
    <w:p>
      <w:pPr>
        <w:pStyle w:val="BodyText"/>
        <w:spacing w:before="43"/>
        <w:ind w:left="3329"/>
      </w:pPr>
      <w:r>
        <w:rPr>
          <w:spacing w:val="-3"/>
        </w:rPr>
        <w:t>(二)受益人指定不明无法确定的；</w:t>
      </w:r>
    </w:p>
    <w:p>
      <w:pPr>
        <w:pStyle w:val="BodyText"/>
        <w:spacing w:before="43"/>
        <w:ind w:left="3329"/>
      </w:pPr>
      <w:r>
        <w:rPr>
          <w:spacing w:val="-3"/>
        </w:rPr>
        <w:t>(三)受益人先于被保险人身故，没有其他受益人的；</w:t>
      </w:r>
    </w:p>
    <w:p>
      <w:pPr>
        <w:pStyle w:val="BodyText"/>
        <w:spacing w:before="43"/>
        <w:ind w:left="3329"/>
      </w:pPr>
      <w:r>
        <w:rPr>
          <w:spacing w:val="-3"/>
        </w:rPr>
        <w:t>(四)受益人依法丧失受益权或放弃受益权，没有其他受益人的。</w:t>
      </w:r>
    </w:p>
    <w:p>
      <w:pPr>
        <w:pStyle w:val="BodyText"/>
        <w:spacing w:line="278" w:lineRule="auto" w:before="43"/>
        <w:ind w:left="3329" w:right="1101" w:hanging="421"/>
      </w:pPr>
      <w:r>
        <w:rPr>
          <w:spacing w:val="-2"/>
        </w:rPr>
        <w:t>六、受益人与被保险人在同一事件中身故，且无法确定身故先后顺序的，推定</w:t>
      </w:r>
      <w:r>
        <w:rPr>
          <w:spacing w:val="-2"/>
        </w:rPr>
        <w:t>受益人先于被保险人身故。</w:t>
      </w:r>
    </w:p>
    <w:p>
      <w:pPr>
        <w:pStyle w:val="BodyText"/>
        <w:spacing w:line="278" w:lineRule="auto" w:before="1"/>
        <w:ind w:left="3329" w:right="1101" w:hanging="421"/>
      </w:pPr>
      <w:r>
        <w:rPr>
          <w:spacing w:val="-2"/>
        </w:rPr>
        <w:t>七、受益人故意造成被保险人身故、伤残、疾病的，或故意杀害被保险人未遂</w:t>
      </w:r>
      <w:r>
        <w:rPr>
          <w:spacing w:val="-2"/>
        </w:rPr>
        <w:t>的，该受益人丧失受益权。</w:t>
      </w:r>
    </w:p>
    <w:p>
      <w:pPr>
        <w:pStyle w:val="BodyText"/>
        <w:spacing w:before="8"/>
        <w:rPr>
          <w:sz w:val="10"/>
        </w:rPr>
      </w:pPr>
    </w:p>
    <w:p>
      <w:pPr>
        <w:spacing w:after="0"/>
        <w:rPr>
          <w:sz w:val="10"/>
        </w:rPr>
        <w:sectPr>
          <w:pgSz w:w="11910" w:h="16840"/>
          <w:pgMar w:top="1160" w:bottom="280" w:left="740" w:right="20"/>
        </w:sectPr>
      </w:pPr>
    </w:p>
    <w:p>
      <w:pPr>
        <w:pStyle w:val="ListParagraph"/>
        <w:numPr>
          <w:ilvl w:val="1"/>
          <w:numId w:val="5"/>
        </w:numPr>
        <w:tabs>
          <w:tab w:pos="1439" w:val="left" w:leader="none"/>
          <w:tab w:pos="1440" w:val="left" w:leader="none"/>
        </w:tabs>
        <w:spacing w:line="192" w:lineRule="auto" w:before="58" w:after="0"/>
        <w:ind w:left="1439" w:right="0" w:hanging="1052"/>
        <w:jc w:val="left"/>
        <w:rPr>
          <w:rFonts w:ascii="Microsoft JhengHei" w:eastAsia="Microsoft JhengHei"/>
          <w:b/>
          <w:sz w:val="21"/>
        </w:rPr>
      </w:pPr>
      <w:r>
        <w:rPr>
          <w:rFonts w:ascii="Microsoft JhengHei" w:eastAsia="Microsoft JhengHei"/>
          <w:b/>
          <w:spacing w:val="-2"/>
          <w:sz w:val="21"/>
        </w:rPr>
        <w:t>保险事故通</w:t>
      </w:r>
      <w:r>
        <w:rPr>
          <w:rFonts w:ascii="Microsoft JhengHei" w:eastAsia="Microsoft JhengHei"/>
          <w:b/>
          <w:spacing w:val="-10"/>
          <w:sz w:val="21"/>
        </w:rPr>
        <w:t>知</w:t>
      </w:r>
    </w:p>
    <w:p>
      <w:pPr>
        <w:spacing w:line="312" w:lineRule="exact" w:before="32"/>
        <w:ind w:left="372" w:right="1103" w:firstLine="0"/>
        <w:jc w:val="both"/>
        <w:rPr>
          <w:sz w:val="21"/>
        </w:rPr>
      </w:pPr>
      <w:r>
        <w:rPr/>
        <w:br w:type="column"/>
      </w:r>
      <w:r>
        <w:rPr>
          <w:spacing w:val="-3"/>
          <w:w w:val="100"/>
          <w:sz w:val="21"/>
        </w:rPr>
        <w:t>您、被保险人或受益人应于知道保险事故发生之日起</w:t>
      </w:r>
      <w:r>
        <w:rPr>
          <w:spacing w:val="-7"/>
          <w:sz w:val="21"/>
        </w:rPr>
        <w:t> </w:t>
      </w:r>
      <w:r>
        <w:rPr>
          <w:w w:val="100"/>
          <w:sz w:val="21"/>
        </w:rPr>
        <w:t>10</w:t>
      </w:r>
      <w:r>
        <w:rPr>
          <w:spacing w:val="-9"/>
          <w:sz w:val="21"/>
        </w:rPr>
        <w:t> </w:t>
      </w:r>
      <w:r>
        <w:rPr>
          <w:spacing w:val="-3"/>
          <w:w w:val="100"/>
          <w:sz w:val="21"/>
        </w:rPr>
        <w:t>日内通知我们。</w:t>
      </w:r>
      <w:r>
        <w:rPr>
          <w:rFonts w:ascii="微软雅黑" w:eastAsia="微软雅黑"/>
          <w:b/>
          <w:w w:val="100"/>
          <w:sz w:val="21"/>
        </w:rPr>
        <w:t>若故</w:t>
      </w:r>
      <w:r>
        <w:rPr>
          <w:rFonts w:ascii="微软雅黑" w:eastAsia="微软雅黑"/>
          <w:b/>
          <w:spacing w:val="-5"/>
          <w:w w:val="100"/>
          <w:sz w:val="21"/>
        </w:rPr>
        <w:t>意或者因重大过失未及时通知，致使保险事故的性质、原因、损失程度等难以</w:t>
      </w:r>
      <w:r>
        <w:rPr>
          <w:rFonts w:ascii="微软雅黑" w:eastAsia="微软雅黑"/>
          <w:b/>
          <w:spacing w:val="-6"/>
          <w:w w:val="100"/>
          <w:sz w:val="21"/>
        </w:rPr>
        <w:t>确定的，我们对无法确定的部分，不承担给付保险金的责任</w:t>
      </w:r>
      <w:r>
        <w:rPr>
          <w:spacing w:val="-5"/>
          <w:w w:val="100"/>
          <w:sz w:val="21"/>
        </w:rPr>
        <w:t>，但我们通过其他</w:t>
      </w:r>
      <w:r>
        <w:rPr>
          <w:spacing w:val="3"/>
          <w:w w:val="100"/>
          <w:sz w:val="21"/>
        </w:rPr>
        <w:t>途径已经及时知道或应当及时知道保险事故发生或虽未及时通知但不影响我</w:t>
      </w:r>
      <w:r>
        <w:rPr>
          <w:spacing w:val="-3"/>
          <w:w w:val="100"/>
          <w:sz w:val="21"/>
        </w:rPr>
        <w:t>们确定保险事故的性质、原因、损失程度的除外。</w:t>
      </w:r>
    </w:p>
    <w:p>
      <w:pPr>
        <w:spacing w:after="0" w:line="312" w:lineRule="exact"/>
        <w:jc w:val="both"/>
        <w:rPr>
          <w:sz w:val="21"/>
        </w:rPr>
        <w:sectPr>
          <w:type w:val="continuous"/>
          <w:pgSz w:w="11910" w:h="16840"/>
          <w:pgMar w:top="0" w:bottom="280" w:left="740" w:right="20"/>
          <w:cols w:num="2" w:equalWidth="0">
            <w:col w:w="2496" w:space="40"/>
            <w:col w:w="8614"/>
          </w:cols>
        </w:sectPr>
      </w:pPr>
    </w:p>
    <w:p>
      <w:pPr>
        <w:pStyle w:val="ListParagraph"/>
        <w:numPr>
          <w:ilvl w:val="1"/>
          <w:numId w:val="5"/>
        </w:numPr>
        <w:tabs>
          <w:tab w:pos="1439" w:val="left" w:leader="none"/>
          <w:tab w:pos="1440" w:val="left" w:leader="none"/>
          <w:tab w:pos="2908" w:val="left" w:leader="none"/>
        </w:tabs>
        <w:spacing w:line="377" w:lineRule="exact" w:before="0" w:after="0"/>
        <w:ind w:left="1439" w:right="0" w:hanging="1052"/>
        <w:jc w:val="left"/>
        <w:rPr>
          <w:sz w:val="21"/>
        </w:rPr>
      </w:pPr>
      <w:r>
        <w:rPr>
          <w:rFonts w:ascii="Microsoft JhengHei" w:eastAsia="Microsoft JhengHei"/>
          <w:b/>
          <w:sz w:val="21"/>
        </w:rPr>
        <w:t>保险金申</w:t>
      </w:r>
      <w:r>
        <w:rPr>
          <w:rFonts w:ascii="Microsoft JhengHei" w:eastAsia="Microsoft JhengHei"/>
          <w:b/>
          <w:spacing w:val="-10"/>
          <w:sz w:val="21"/>
        </w:rPr>
        <w:t>请</w:t>
      </w:r>
      <w:r>
        <w:rPr>
          <w:rFonts w:ascii="Microsoft JhengHei" w:eastAsia="Microsoft JhengHei"/>
          <w:b/>
          <w:sz w:val="21"/>
        </w:rPr>
        <w:tab/>
      </w:r>
      <w:r>
        <w:rPr>
          <w:spacing w:val="-2"/>
          <w:sz w:val="21"/>
        </w:rPr>
        <w:t>在</w:t>
      </w:r>
      <w:r>
        <w:rPr>
          <w:spacing w:val="-2"/>
          <w:sz w:val="21"/>
        </w:rPr>
        <w:t>申</w:t>
      </w:r>
      <w:r>
        <w:rPr>
          <w:spacing w:val="-2"/>
          <w:sz w:val="21"/>
        </w:rPr>
        <w:t>请保险金时，请按照</w:t>
      </w:r>
      <w:r>
        <w:rPr>
          <w:spacing w:val="-2"/>
          <w:sz w:val="21"/>
        </w:rPr>
        <w:t>下</w:t>
      </w:r>
      <w:r>
        <w:rPr>
          <w:spacing w:val="-2"/>
          <w:sz w:val="21"/>
        </w:rPr>
        <w:t>列</w:t>
      </w:r>
      <w:r>
        <w:rPr>
          <w:spacing w:val="-2"/>
          <w:sz w:val="21"/>
        </w:rPr>
        <w:t>方式办</w:t>
      </w:r>
      <w:r>
        <w:rPr>
          <w:spacing w:val="-2"/>
          <w:sz w:val="21"/>
        </w:rPr>
        <w:t>理</w:t>
      </w:r>
      <w:r>
        <w:rPr>
          <w:spacing w:val="-10"/>
          <w:sz w:val="21"/>
        </w:rPr>
        <w:t>：</w:t>
      </w:r>
    </w:p>
    <w:p>
      <w:pPr>
        <w:pStyle w:val="BodyText"/>
        <w:rPr>
          <w:sz w:val="10"/>
        </w:rPr>
      </w:pPr>
    </w:p>
    <w:p>
      <w:pPr>
        <w:spacing w:after="0"/>
        <w:rPr>
          <w:sz w:val="10"/>
        </w:rPr>
        <w:sectPr>
          <w:pgSz w:w="11910" w:h="16840"/>
          <w:pgMar w:top="1080" w:bottom="280" w:left="740" w:right="20"/>
        </w:sectPr>
      </w:pPr>
    </w:p>
    <w:p>
      <w:pPr>
        <w:pStyle w:val="Heading2"/>
        <w:spacing w:line="172" w:lineRule="auto" w:before="63"/>
      </w:pPr>
      <w:r>
        <w:rPr>
          <w:spacing w:val="-2"/>
        </w:rPr>
        <w:t>身故保险金</w:t>
      </w:r>
      <w:r>
        <w:rPr>
          <w:spacing w:val="-6"/>
        </w:rPr>
        <w:t>申请</w:t>
      </w:r>
    </w:p>
    <w:p>
      <w:pPr>
        <w:pStyle w:val="BodyText"/>
        <w:spacing w:line="278" w:lineRule="auto" w:before="92"/>
        <w:ind w:left="226" w:right="1106"/>
      </w:pPr>
      <w:r>
        <w:rPr/>
        <w:br w:type="column"/>
      </w:r>
      <w:r>
        <w:rPr>
          <w:spacing w:val="-2"/>
        </w:rPr>
        <w:t>由保险金受益人或被保险人的继承人作为申请人填写保险金给付申请书，并提</w:t>
      </w:r>
      <w:r>
        <w:rPr>
          <w:spacing w:val="-2"/>
        </w:rPr>
        <w:t>供下列证明和资料：</w:t>
      </w:r>
    </w:p>
    <w:p>
      <w:pPr>
        <w:spacing w:line="180" w:lineRule="auto" w:before="0"/>
        <w:ind w:left="226" w:right="0" w:firstLine="0"/>
        <w:jc w:val="left"/>
        <w:rPr>
          <w:sz w:val="21"/>
        </w:rPr>
      </w:pPr>
      <w:r>
        <w:rPr>
          <w:spacing w:val="-10"/>
          <w:sz w:val="21"/>
        </w:rPr>
        <w:t>一、申请人的</w:t>
      </w:r>
      <w:r>
        <w:rPr>
          <w:rFonts w:ascii="Microsoft JhengHei" w:eastAsia="Microsoft JhengHei"/>
          <w:b/>
          <w:spacing w:val="-149"/>
          <w:sz w:val="21"/>
        </w:rPr>
        <w:t>有</w:t>
      </w:r>
      <w:r>
        <w:rPr>
          <w:spacing w:val="-63"/>
          <w:position w:val="-7"/>
          <w:sz w:val="21"/>
        </w:rPr>
        <w:t>．</w:t>
      </w:r>
      <w:r>
        <w:rPr>
          <w:rFonts w:ascii="Microsoft JhengHei" w:eastAsia="Microsoft JhengHei"/>
          <w:b/>
          <w:spacing w:val="-149"/>
          <w:sz w:val="21"/>
        </w:rPr>
        <w:t>效</w:t>
      </w:r>
      <w:r>
        <w:rPr>
          <w:spacing w:val="-63"/>
          <w:position w:val="-7"/>
          <w:sz w:val="21"/>
        </w:rPr>
        <w:t>．</w:t>
      </w:r>
      <w:r>
        <w:rPr>
          <w:rFonts w:ascii="Microsoft JhengHei" w:eastAsia="Microsoft JhengHei"/>
          <w:b/>
          <w:spacing w:val="-149"/>
          <w:sz w:val="21"/>
        </w:rPr>
        <w:t>身</w:t>
      </w:r>
      <w:r>
        <w:rPr>
          <w:spacing w:val="-63"/>
          <w:position w:val="-7"/>
          <w:sz w:val="21"/>
        </w:rPr>
        <w:t>．</w:t>
      </w:r>
      <w:r>
        <w:rPr>
          <w:rFonts w:ascii="Microsoft JhengHei" w:eastAsia="Microsoft JhengHei"/>
          <w:b/>
          <w:spacing w:val="-149"/>
          <w:sz w:val="21"/>
        </w:rPr>
        <w:t>份</w:t>
      </w:r>
      <w:r>
        <w:rPr>
          <w:spacing w:val="-63"/>
          <w:position w:val="-7"/>
          <w:sz w:val="21"/>
        </w:rPr>
        <w:t>．</w:t>
      </w:r>
      <w:r>
        <w:rPr>
          <w:rFonts w:ascii="Microsoft JhengHei" w:eastAsia="Microsoft JhengHei"/>
          <w:b/>
          <w:spacing w:val="-149"/>
          <w:sz w:val="21"/>
        </w:rPr>
        <w:t>证</w:t>
      </w:r>
      <w:r>
        <w:rPr>
          <w:spacing w:val="-63"/>
          <w:position w:val="-7"/>
          <w:sz w:val="21"/>
        </w:rPr>
        <w:t>．</w:t>
      </w:r>
      <w:r>
        <w:rPr>
          <w:rFonts w:ascii="Microsoft JhengHei" w:eastAsia="Microsoft JhengHei"/>
          <w:b/>
          <w:spacing w:val="-149"/>
          <w:sz w:val="21"/>
        </w:rPr>
        <w:t>件</w:t>
      </w:r>
      <w:r>
        <w:rPr>
          <w:spacing w:val="-10"/>
          <w:position w:val="-7"/>
          <w:sz w:val="21"/>
        </w:rPr>
        <w:t>．</w:t>
      </w:r>
      <w:r>
        <w:rPr>
          <w:spacing w:val="-10"/>
          <w:sz w:val="21"/>
        </w:rPr>
        <w:t>（</w:t>
      </w:r>
      <w:r>
        <w:rPr>
          <w:spacing w:val="-23"/>
          <w:sz w:val="21"/>
        </w:rPr>
        <w:t>见 </w:t>
      </w:r>
      <w:r>
        <w:rPr>
          <w:spacing w:val="-10"/>
          <w:sz w:val="21"/>
        </w:rPr>
        <w:t>11.13）；</w:t>
      </w:r>
    </w:p>
    <w:p>
      <w:pPr>
        <w:pStyle w:val="BodyText"/>
        <w:spacing w:line="259" w:lineRule="auto"/>
        <w:ind w:left="647" w:right="1101" w:hanging="421"/>
      </w:pPr>
      <w:r>
        <w:rPr>
          <w:spacing w:val="-2"/>
        </w:rPr>
        <w:t>二、国家卫生行政部门认定的</w:t>
      </w:r>
      <w:r>
        <w:rPr>
          <w:rFonts w:ascii="Microsoft JhengHei" w:eastAsia="Microsoft JhengHei"/>
          <w:b/>
          <w:spacing w:val="-149"/>
        </w:rPr>
        <w:t>医</w:t>
      </w:r>
      <w:r>
        <w:rPr>
          <w:spacing w:val="-63"/>
          <w:position w:val="-7"/>
        </w:rPr>
        <w:t>．</w:t>
      </w:r>
      <w:r>
        <w:rPr>
          <w:rFonts w:ascii="Microsoft JhengHei" w:eastAsia="Microsoft JhengHei"/>
          <w:b/>
          <w:spacing w:val="-149"/>
        </w:rPr>
        <w:t>疗</w:t>
      </w:r>
      <w:r>
        <w:rPr>
          <w:spacing w:val="-63"/>
          <w:position w:val="-7"/>
        </w:rPr>
        <w:t>．</w:t>
      </w:r>
      <w:r>
        <w:rPr>
          <w:rFonts w:ascii="Microsoft JhengHei" w:eastAsia="Microsoft JhengHei"/>
          <w:b/>
          <w:spacing w:val="-149"/>
        </w:rPr>
        <w:t>机</w:t>
      </w:r>
      <w:r>
        <w:rPr>
          <w:spacing w:val="-63"/>
          <w:position w:val="-7"/>
        </w:rPr>
        <w:t>．</w:t>
      </w:r>
      <w:r>
        <w:rPr>
          <w:rFonts w:ascii="Microsoft JhengHei" w:eastAsia="Microsoft JhengHei"/>
          <w:b/>
          <w:spacing w:val="-149"/>
        </w:rPr>
        <w:t>构</w:t>
      </w:r>
      <w:r>
        <w:rPr>
          <w:spacing w:val="-2"/>
          <w:position w:val="-7"/>
        </w:rPr>
        <w:t>．</w:t>
      </w:r>
      <w:r>
        <w:rPr>
          <w:spacing w:val="-10"/>
        </w:rPr>
        <w:t>(见 </w:t>
      </w:r>
      <w:r>
        <w:rPr>
          <w:spacing w:val="-2"/>
        </w:rPr>
        <w:t>11.14)、公安部门或其他相关机构</w:t>
      </w:r>
      <w:r>
        <w:rPr>
          <w:spacing w:val="-2"/>
        </w:rPr>
        <w:t>出具的被保险人死亡证明；</w:t>
      </w:r>
    </w:p>
    <w:p>
      <w:pPr>
        <w:pStyle w:val="BodyText"/>
        <w:spacing w:before="7"/>
        <w:ind w:left="226"/>
      </w:pPr>
      <w:r>
        <w:rPr>
          <w:spacing w:val="-3"/>
        </w:rPr>
        <w:t>三、被保险人的户籍注销证明；</w:t>
      </w:r>
    </w:p>
    <w:p>
      <w:pPr>
        <w:pStyle w:val="BodyText"/>
        <w:spacing w:before="43"/>
        <w:ind w:left="226"/>
      </w:pPr>
      <w:r>
        <w:rPr>
          <w:spacing w:val="-3"/>
        </w:rPr>
        <w:t>四、所能提供的与确认保险事故的性质、原因等有关的其他资料。</w:t>
      </w:r>
    </w:p>
    <w:p>
      <w:pPr>
        <w:spacing w:after="0"/>
        <w:sectPr>
          <w:type w:val="continuous"/>
          <w:pgSz w:w="11910" w:h="16840"/>
          <w:pgMar w:top="0" w:bottom="280" w:left="740" w:right="20"/>
          <w:cols w:num="2" w:equalWidth="0">
            <w:col w:w="2642" w:space="40"/>
            <w:col w:w="8468"/>
          </w:cols>
        </w:sectPr>
      </w:pPr>
    </w:p>
    <w:p>
      <w:pPr>
        <w:pStyle w:val="BodyText"/>
        <w:spacing w:before="10"/>
        <w:rPr>
          <w:sz w:val="13"/>
        </w:rPr>
      </w:pPr>
    </w:p>
    <w:p>
      <w:pPr>
        <w:spacing w:after="0"/>
        <w:rPr>
          <w:sz w:val="13"/>
        </w:rPr>
        <w:sectPr>
          <w:type w:val="continuous"/>
          <w:pgSz w:w="11910" w:h="16840"/>
          <w:pgMar w:top="0" w:bottom="280" w:left="740" w:right="20"/>
        </w:sectPr>
      </w:pPr>
    </w:p>
    <w:p>
      <w:pPr>
        <w:pStyle w:val="Heading2"/>
        <w:spacing w:line="172" w:lineRule="auto" w:before="63"/>
      </w:pPr>
      <w:r>
        <w:rPr>
          <w:spacing w:val="-2"/>
        </w:rPr>
        <w:t>特别注意事</w:t>
      </w:r>
      <w:r>
        <w:rPr>
          <w:spacing w:val="-10"/>
        </w:rPr>
        <w:t>项</w:t>
      </w:r>
    </w:p>
    <w:p>
      <w:pPr>
        <w:pStyle w:val="BodyText"/>
        <w:spacing w:line="278" w:lineRule="auto" w:before="92"/>
        <w:ind w:left="683" w:right="1101" w:hanging="421"/>
      </w:pPr>
      <w:r>
        <w:rPr/>
        <w:br w:type="column"/>
      </w:r>
      <w:r>
        <w:rPr>
          <w:spacing w:val="-6"/>
        </w:rPr>
        <w:t>一、委托他人领取保险金时，受托人还必须提供本人的有效身份证件及委托人</w:t>
      </w:r>
      <w:r>
        <w:rPr>
          <w:spacing w:val="-2"/>
        </w:rPr>
        <w:t>亲笔签名的授权委托书。</w:t>
      </w:r>
    </w:p>
    <w:p>
      <w:pPr>
        <w:pStyle w:val="BodyText"/>
        <w:spacing w:line="278" w:lineRule="auto"/>
        <w:ind w:left="683" w:right="1101" w:hanging="421"/>
      </w:pPr>
      <w:r>
        <w:rPr>
          <w:spacing w:val="-2"/>
        </w:rPr>
        <w:t>二、保险金作为被保险人遗产时，继承人还必须提供可证明其合法继承权的相</w:t>
      </w:r>
      <w:r>
        <w:rPr>
          <w:spacing w:val="-2"/>
        </w:rPr>
        <w:t>关权利文件。</w:t>
      </w:r>
    </w:p>
    <w:p>
      <w:pPr>
        <w:pStyle w:val="BodyText"/>
        <w:spacing w:line="278" w:lineRule="auto"/>
        <w:ind w:left="683" w:right="1101" w:hanging="421"/>
        <w:jc w:val="both"/>
      </w:pPr>
      <w:r>
        <w:rPr>
          <w:spacing w:val="-8"/>
          <w:w w:val="100"/>
        </w:rPr>
        <w:t>三、受益人、被保险人或者继承人为无民事行为能力人或者限制民事行为能力</w:t>
      </w:r>
      <w:r>
        <w:rPr>
          <w:spacing w:val="-9"/>
          <w:w w:val="100"/>
        </w:rPr>
        <w:t>人时，由其合法监护人代其申请领取保险金，其合法监护人还必须提供受</w:t>
      </w:r>
      <w:r>
        <w:rPr>
          <w:spacing w:val="1"/>
          <w:w w:val="100"/>
        </w:rPr>
        <w:t>益人或者继承人为无民事行为能力人或者限制民事行为能力人的证明和</w:t>
      </w:r>
      <w:r>
        <w:rPr>
          <w:spacing w:val="-3"/>
          <w:w w:val="100"/>
        </w:rPr>
        <w:t>监护人具有合法监护权的证明。</w:t>
      </w:r>
    </w:p>
    <w:p>
      <w:pPr>
        <w:pStyle w:val="BodyText"/>
        <w:spacing w:line="278" w:lineRule="auto"/>
        <w:ind w:left="683" w:right="1110" w:hanging="421"/>
      </w:pPr>
      <w:r>
        <w:rPr>
          <w:w w:val="100"/>
        </w:rPr>
        <w:t>四、上述申请资料不完整的，我们将及时一次性通知申请人补充提供有关资料。</w:t>
      </w:r>
    </w:p>
    <w:p>
      <w:pPr>
        <w:spacing w:after="0" w:line="278" w:lineRule="auto"/>
        <w:sectPr>
          <w:type w:val="continuous"/>
          <w:pgSz w:w="11910" w:h="16840"/>
          <w:pgMar w:top="0" w:bottom="280" w:left="740" w:right="20"/>
          <w:cols w:num="2" w:equalWidth="0">
            <w:col w:w="2642" w:space="40"/>
            <w:col w:w="8468"/>
          </w:cols>
        </w:sectPr>
      </w:pPr>
    </w:p>
    <w:p>
      <w:pPr>
        <w:pStyle w:val="BodyText"/>
        <w:spacing w:before="2"/>
        <w:rPr>
          <w:sz w:val="12"/>
        </w:rPr>
      </w:pPr>
    </w:p>
    <w:p>
      <w:pPr>
        <w:spacing w:after="0"/>
        <w:rPr>
          <w:sz w:val="12"/>
        </w:rPr>
        <w:sectPr>
          <w:type w:val="continuous"/>
          <w:pgSz w:w="11910" w:h="16840"/>
          <w:pgMar w:top="0" w:bottom="280" w:left="740" w:right="20"/>
        </w:sectPr>
      </w:pPr>
    </w:p>
    <w:p>
      <w:pPr>
        <w:pStyle w:val="ListParagraph"/>
        <w:numPr>
          <w:ilvl w:val="1"/>
          <w:numId w:val="5"/>
        </w:numPr>
        <w:tabs>
          <w:tab w:pos="1439" w:val="left" w:leader="none"/>
          <w:tab w:pos="1440" w:val="left" w:leader="none"/>
        </w:tabs>
        <w:spacing w:line="192" w:lineRule="auto" w:before="58" w:after="0"/>
        <w:ind w:left="1439" w:right="0" w:hanging="1052"/>
        <w:jc w:val="left"/>
        <w:rPr>
          <w:rFonts w:ascii="Microsoft JhengHei" w:eastAsia="Microsoft JhengHei"/>
          <w:b/>
          <w:sz w:val="21"/>
        </w:rPr>
      </w:pPr>
      <w:r>
        <w:rPr>
          <w:rFonts w:ascii="Microsoft JhengHei" w:eastAsia="Microsoft JhengHei"/>
          <w:b/>
          <w:spacing w:val="-2"/>
          <w:sz w:val="21"/>
        </w:rPr>
        <w:t>宣告死亡的</w:t>
      </w:r>
      <w:r>
        <w:rPr>
          <w:rFonts w:ascii="Microsoft JhengHei" w:eastAsia="Microsoft JhengHei"/>
          <w:b/>
          <w:spacing w:val="-6"/>
          <w:sz w:val="21"/>
        </w:rPr>
        <w:t>处理</w:t>
      </w:r>
    </w:p>
    <w:p>
      <w:pPr>
        <w:pStyle w:val="BodyText"/>
        <w:spacing w:line="278" w:lineRule="auto" w:before="72"/>
        <w:ind w:left="790" w:right="1106" w:hanging="421"/>
        <w:jc w:val="both"/>
      </w:pPr>
      <w:r>
        <w:rPr/>
        <w:br w:type="column"/>
      </w:r>
      <w:r>
        <w:rPr>
          <w:spacing w:val="-4"/>
          <w:w w:val="100"/>
        </w:rPr>
        <w:t>一、若被保险人在本合同有效期间内被人民法院宣告死亡，保险金申请人在申</w:t>
      </w:r>
      <w:r>
        <w:rPr>
          <w:spacing w:val="3"/>
          <w:w w:val="100"/>
        </w:rPr>
        <w:t>请身故保险金时还须提供人民法院出具的具有最终法律效力的宣告死亡</w:t>
      </w:r>
      <w:r>
        <w:rPr>
          <w:w w:val="100"/>
        </w:rPr>
        <w:t>证明文件。</w:t>
      </w:r>
    </w:p>
    <w:p>
      <w:pPr>
        <w:pStyle w:val="BodyText"/>
        <w:spacing w:line="278" w:lineRule="auto"/>
        <w:ind w:left="790" w:right="1106" w:hanging="421"/>
        <w:jc w:val="both"/>
      </w:pPr>
      <w:r>
        <w:rPr>
          <w:spacing w:val="-4"/>
          <w:w w:val="100"/>
        </w:rPr>
        <w:t>二、被保险人在本合同有效期间内被人民法院宣告死亡的，我们将以人民法院</w:t>
      </w:r>
      <w:r>
        <w:rPr>
          <w:spacing w:val="3"/>
          <w:w w:val="100"/>
        </w:rPr>
        <w:t>出具的具有最终法律效力的宣告死亡证明文件所确定的死亡日期为被保</w:t>
      </w:r>
      <w:r>
        <w:rPr>
          <w:spacing w:val="-1"/>
          <w:w w:val="100"/>
        </w:rPr>
        <w:t>险人身故日。</w:t>
      </w:r>
    </w:p>
    <w:p>
      <w:pPr>
        <w:pStyle w:val="BodyText"/>
        <w:spacing w:line="278" w:lineRule="auto"/>
        <w:ind w:left="790" w:right="1101" w:hanging="421"/>
        <w:jc w:val="both"/>
      </w:pPr>
      <w:r>
        <w:rPr>
          <w:spacing w:val="-2"/>
        </w:rPr>
        <w:t>三、若被保险人在人民法院宣告死亡之后重新出现或确知其没有死亡，保险金</w:t>
      </w:r>
      <w:r>
        <w:rPr>
          <w:spacing w:val="-1"/>
        </w:rPr>
        <w:t>申请人应于知道或应当知道被保险人生还消息之日起 </w:t>
      </w:r>
      <w:r>
        <w:rPr/>
        <w:t>30</w:t>
      </w:r>
      <w:r>
        <w:rPr>
          <w:spacing w:val="-5"/>
        </w:rPr>
        <w:t> 日内将已领取的</w:t>
      </w:r>
      <w:r>
        <w:rPr>
          <w:spacing w:val="-2"/>
        </w:rPr>
        <w:t>身故保险金一次性返还给我们，本合同的效力由您和我们双方依法协商处</w:t>
      </w:r>
      <w:r>
        <w:rPr>
          <w:spacing w:val="-6"/>
        </w:rPr>
        <w:t>理。</w:t>
      </w:r>
    </w:p>
    <w:p>
      <w:pPr>
        <w:spacing w:after="0" w:line="278" w:lineRule="auto"/>
        <w:jc w:val="both"/>
        <w:sectPr>
          <w:type w:val="continuous"/>
          <w:pgSz w:w="11910" w:h="16840"/>
          <w:pgMar w:top="0" w:bottom="280" w:left="740" w:right="20"/>
          <w:cols w:num="2" w:equalWidth="0">
            <w:col w:w="2496" w:space="40"/>
            <w:col w:w="8614"/>
          </w:cols>
        </w:sectPr>
      </w:pPr>
    </w:p>
    <w:p>
      <w:pPr>
        <w:pStyle w:val="BodyText"/>
        <w:spacing w:before="2"/>
        <w:rPr>
          <w:sz w:val="12"/>
        </w:rPr>
      </w:pPr>
    </w:p>
    <w:p>
      <w:pPr>
        <w:spacing w:after="0"/>
        <w:rPr>
          <w:sz w:val="12"/>
        </w:rPr>
        <w:sectPr>
          <w:type w:val="continuous"/>
          <w:pgSz w:w="11910" w:h="16840"/>
          <w:pgMar w:top="0" w:bottom="280" w:left="740" w:right="20"/>
        </w:sectPr>
      </w:pPr>
    </w:p>
    <w:p>
      <w:pPr>
        <w:pStyle w:val="ListParagraph"/>
        <w:numPr>
          <w:ilvl w:val="1"/>
          <w:numId w:val="5"/>
        </w:numPr>
        <w:tabs>
          <w:tab w:pos="1439" w:val="left" w:leader="none"/>
          <w:tab w:pos="1440" w:val="left" w:leader="none"/>
        </w:tabs>
        <w:spacing w:line="192" w:lineRule="auto" w:before="57" w:after="0"/>
        <w:ind w:left="1439" w:right="0" w:hanging="1052"/>
        <w:jc w:val="left"/>
        <w:rPr>
          <w:rFonts w:ascii="Microsoft JhengHei" w:eastAsia="Microsoft JhengHei"/>
          <w:b/>
          <w:sz w:val="21"/>
        </w:rPr>
      </w:pPr>
      <w:r>
        <w:rPr>
          <w:rFonts w:ascii="Microsoft JhengHei" w:eastAsia="Microsoft JhengHei"/>
          <w:b/>
          <w:spacing w:val="-2"/>
          <w:sz w:val="21"/>
        </w:rPr>
        <w:t>保险金的给</w:t>
      </w:r>
      <w:r>
        <w:rPr>
          <w:rFonts w:ascii="Microsoft JhengHei" w:eastAsia="Microsoft JhengHei"/>
          <w:b/>
          <w:spacing w:val="-10"/>
          <w:sz w:val="21"/>
        </w:rPr>
        <w:t>付</w:t>
      </w:r>
    </w:p>
    <w:p>
      <w:pPr>
        <w:pStyle w:val="BodyText"/>
        <w:spacing w:before="71"/>
        <w:ind w:right="1101"/>
        <w:jc w:val="right"/>
      </w:pPr>
      <w:r>
        <w:rPr/>
        <w:br w:type="column"/>
      </w:r>
      <w:r>
        <w:rPr>
          <w:spacing w:val="-6"/>
        </w:rPr>
        <w:t>一、我们在收到保险金给付申请书及本合同约定的资料后，将在 </w:t>
      </w:r>
      <w:r>
        <w:rPr>
          <w:spacing w:val="-4"/>
        </w:rPr>
        <w:t>5</w:t>
      </w:r>
      <w:r>
        <w:rPr>
          <w:spacing w:val="-11"/>
        </w:rPr>
        <w:t> 日内作出核</w:t>
      </w:r>
    </w:p>
    <w:p>
      <w:pPr>
        <w:pStyle w:val="BodyText"/>
        <w:spacing w:before="43"/>
        <w:ind w:right="1101"/>
        <w:jc w:val="right"/>
      </w:pPr>
      <w:r>
        <w:rPr>
          <w:spacing w:val="-4"/>
        </w:rPr>
        <w:t>定；情形复杂的，在 </w:t>
      </w:r>
      <w:r>
        <w:rPr>
          <w:spacing w:val="-2"/>
        </w:rPr>
        <w:t>30</w:t>
      </w:r>
      <w:r>
        <w:rPr>
          <w:spacing w:val="-7"/>
        </w:rPr>
        <w:t> 日内作出核定。对属于保险责任的，我们在与受</w:t>
      </w:r>
    </w:p>
    <w:p>
      <w:pPr>
        <w:pStyle w:val="BodyText"/>
        <w:spacing w:before="43"/>
        <w:ind w:left="808"/>
      </w:pPr>
      <w:r>
        <w:rPr>
          <w:spacing w:val="-6"/>
        </w:rPr>
        <w:t>益人达成给付保险金的协议后 </w:t>
      </w:r>
      <w:r>
        <w:rPr>
          <w:spacing w:val="-2"/>
        </w:rPr>
        <w:t>10</w:t>
      </w:r>
      <w:r>
        <w:rPr>
          <w:spacing w:val="-10"/>
        </w:rPr>
        <w:t> 日内，履行给付保险金义务。</w:t>
      </w:r>
    </w:p>
    <w:p>
      <w:pPr>
        <w:pStyle w:val="BodyText"/>
        <w:spacing w:line="278" w:lineRule="auto" w:before="43"/>
        <w:ind w:left="808" w:right="1101" w:hanging="421"/>
      </w:pPr>
      <w:r>
        <w:rPr>
          <w:spacing w:val="-2"/>
        </w:rPr>
        <w:t>二、我们未及时履行前款规定义务的，除支付保险金外，应当赔偿受益人因此</w:t>
      </w:r>
      <w:r>
        <w:rPr>
          <w:spacing w:val="-2"/>
        </w:rPr>
        <w:t>受到的损失。</w:t>
      </w:r>
    </w:p>
    <w:p>
      <w:pPr>
        <w:pStyle w:val="BodyText"/>
        <w:spacing w:line="278" w:lineRule="auto"/>
        <w:ind w:left="808" w:right="1101" w:hanging="421"/>
      </w:pPr>
      <w:r>
        <w:rPr>
          <w:spacing w:val="-5"/>
        </w:rPr>
        <w:t>三、对不属于保险责任的，我们自作出核定之日起 </w:t>
      </w:r>
      <w:r>
        <w:rPr>
          <w:spacing w:val="-2"/>
        </w:rPr>
        <w:t>3</w:t>
      </w:r>
      <w:r>
        <w:rPr>
          <w:spacing w:val="-10"/>
        </w:rPr>
        <w:t> 日内向受益人发出拒绝给</w:t>
      </w:r>
      <w:r>
        <w:rPr>
          <w:spacing w:val="-2"/>
        </w:rPr>
        <w:t>付保险金通知书并说明理由。</w:t>
      </w:r>
    </w:p>
    <w:p>
      <w:pPr>
        <w:pStyle w:val="BodyText"/>
        <w:spacing w:line="278" w:lineRule="auto"/>
        <w:ind w:left="808" w:right="1101" w:hanging="421"/>
        <w:jc w:val="both"/>
      </w:pPr>
      <w:r>
        <w:rPr>
          <w:spacing w:val="-1"/>
        </w:rPr>
        <w:t>四、我们在收到保险金给付申请书及本合同约定的资料之日起 </w:t>
      </w:r>
      <w:r>
        <w:rPr/>
        <w:t>60</w:t>
      </w:r>
      <w:r>
        <w:rPr>
          <w:spacing w:val="-5"/>
        </w:rPr>
        <w:t> 日内，对给</w:t>
      </w:r>
      <w:r>
        <w:rPr>
          <w:spacing w:val="-2"/>
        </w:rPr>
        <w:t>付保险金的数额不能确定的，根据已有资料可以确定的数额先予支付；我</w:t>
      </w:r>
      <w:r>
        <w:rPr>
          <w:spacing w:val="-2"/>
        </w:rPr>
        <w:t>们最终确定给付保险金的数额后，再给付相应的差额。</w:t>
      </w:r>
    </w:p>
    <w:p>
      <w:pPr>
        <w:spacing w:after="0" w:line="278" w:lineRule="auto"/>
        <w:jc w:val="both"/>
        <w:sectPr>
          <w:type w:val="continuous"/>
          <w:pgSz w:w="11910" w:h="16840"/>
          <w:pgMar w:top="0" w:bottom="280" w:left="740" w:right="20"/>
          <w:cols w:num="2" w:equalWidth="0">
            <w:col w:w="2496" w:space="60"/>
            <w:col w:w="8594"/>
          </w:cols>
        </w:sectPr>
      </w:pPr>
    </w:p>
    <w:p>
      <w:pPr>
        <w:pStyle w:val="BodyText"/>
        <w:rPr>
          <w:sz w:val="12"/>
        </w:rPr>
      </w:pPr>
    </w:p>
    <w:p>
      <w:pPr>
        <w:pStyle w:val="ListParagraph"/>
        <w:numPr>
          <w:ilvl w:val="1"/>
          <w:numId w:val="5"/>
        </w:numPr>
        <w:tabs>
          <w:tab w:pos="1439" w:val="left" w:leader="none"/>
          <w:tab w:pos="1440" w:val="left" w:leader="none"/>
          <w:tab w:pos="2908" w:val="left" w:leader="none"/>
        </w:tabs>
        <w:spacing w:line="235" w:lineRule="auto" w:before="8" w:after="0"/>
        <w:ind w:left="2908" w:right="1298" w:hanging="2521"/>
        <w:jc w:val="left"/>
        <w:rPr>
          <w:sz w:val="21"/>
        </w:rPr>
      </w:pPr>
      <w:r>
        <w:rPr>
          <w:rFonts w:ascii="Microsoft JhengHei" w:eastAsia="Microsoft JhengHei"/>
          <w:b/>
          <w:spacing w:val="-4"/>
          <w:sz w:val="21"/>
        </w:rPr>
        <w:t>诉</w:t>
      </w:r>
      <w:r>
        <w:rPr>
          <w:rFonts w:ascii="Microsoft JhengHei" w:eastAsia="Microsoft JhengHei"/>
          <w:b/>
          <w:spacing w:val="-4"/>
          <w:sz w:val="21"/>
        </w:rPr>
        <w:t>讼</w:t>
      </w:r>
      <w:r>
        <w:rPr>
          <w:rFonts w:ascii="Microsoft JhengHei" w:eastAsia="Microsoft JhengHei"/>
          <w:b/>
          <w:spacing w:val="-4"/>
          <w:sz w:val="21"/>
        </w:rPr>
        <w:t>时</w:t>
      </w:r>
      <w:r>
        <w:rPr>
          <w:rFonts w:ascii="Microsoft JhengHei" w:eastAsia="Microsoft JhengHei"/>
          <w:b/>
          <w:spacing w:val="-4"/>
          <w:sz w:val="21"/>
        </w:rPr>
        <w:t>效</w:t>
      </w:r>
      <w:r>
        <w:rPr>
          <w:rFonts w:ascii="Microsoft JhengHei" w:eastAsia="Microsoft JhengHei"/>
          <w:b/>
          <w:sz w:val="21"/>
        </w:rPr>
        <w:tab/>
      </w:r>
      <w:r>
        <w:rPr>
          <w:sz w:val="21"/>
        </w:rPr>
        <w:t>申请人向我们请求给付保</w:t>
      </w:r>
      <w:r>
        <w:rPr>
          <w:sz w:val="21"/>
        </w:rPr>
        <w:t>险金的诉讼时效期间为</w:t>
      </w:r>
      <w:r>
        <w:rPr>
          <w:spacing w:val="-52"/>
          <w:sz w:val="21"/>
        </w:rPr>
        <w:t> </w:t>
      </w:r>
      <w:r>
        <w:rPr>
          <w:sz w:val="21"/>
        </w:rPr>
        <w:t>5</w:t>
      </w:r>
      <w:r>
        <w:rPr>
          <w:spacing w:val="-55"/>
          <w:sz w:val="21"/>
        </w:rPr>
        <w:t> </w:t>
      </w:r>
      <w:r>
        <w:rPr>
          <w:sz w:val="21"/>
        </w:rPr>
        <w:t>年，自其知道或者应</w:t>
      </w:r>
      <w:r>
        <w:rPr>
          <w:sz w:val="21"/>
        </w:rPr>
        <w:t>当知</w:t>
      </w:r>
      <w:r>
        <w:rPr>
          <w:spacing w:val="-2"/>
          <w:sz w:val="21"/>
        </w:rPr>
        <w:t>道</w:t>
      </w:r>
      <w:r>
        <w:rPr>
          <w:spacing w:val="-2"/>
          <w:sz w:val="21"/>
        </w:rPr>
        <w:t>保</w:t>
      </w:r>
      <w:r>
        <w:rPr>
          <w:spacing w:val="-2"/>
          <w:sz w:val="21"/>
        </w:rPr>
        <w:t>险事故发生之日起计</w:t>
      </w:r>
      <w:r>
        <w:rPr>
          <w:spacing w:val="-2"/>
          <w:sz w:val="21"/>
        </w:rPr>
        <w:t>算</w:t>
      </w:r>
      <w:r>
        <w:rPr>
          <w:spacing w:val="-2"/>
          <w:sz w:val="21"/>
        </w:rPr>
        <w:t>。</w:t>
      </w:r>
    </w:p>
    <w:p>
      <w:pPr>
        <w:spacing w:after="0" w:line="235" w:lineRule="auto"/>
        <w:jc w:val="left"/>
        <w:rPr>
          <w:sz w:val="21"/>
        </w:rPr>
        <w:sectPr>
          <w:type w:val="continuous"/>
          <w:pgSz w:w="11910" w:h="16840"/>
          <w:pgMar w:top="0" w:bottom="280" w:left="740" w:right="20"/>
        </w:sectPr>
      </w:pPr>
    </w:p>
    <w:p>
      <w:pPr>
        <w:pStyle w:val="ListParagraph"/>
        <w:numPr>
          <w:ilvl w:val="0"/>
          <w:numId w:val="5"/>
        </w:numPr>
        <w:tabs>
          <w:tab w:pos="1439" w:val="left" w:leader="none"/>
          <w:tab w:pos="1440" w:val="left" w:leader="none"/>
        </w:tabs>
        <w:spacing w:line="474" w:lineRule="exact" w:before="0" w:after="0"/>
        <w:ind w:left="1439" w:right="0" w:hanging="1052"/>
        <w:jc w:val="left"/>
        <w:rPr>
          <w:rFonts w:ascii="微软雅黑" w:eastAsia="微软雅黑"/>
          <w:b/>
          <w:sz w:val="28"/>
        </w:rPr>
      </w:pPr>
      <w:r>
        <w:rPr>
          <w:rFonts w:ascii="Microsoft JhengHei" w:eastAsia="Microsoft JhengHei"/>
          <w:b/>
          <w:spacing w:val="-2"/>
          <w:sz w:val="28"/>
        </w:rPr>
        <w:t>投资账户运作</w:t>
      </w:r>
    </w:p>
    <w:p>
      <w:pPr>
        <w:pStyle w:val="BodyText"/>
        <w:spacing w:before="3"/>
        <w:rPr>
          <w:rFonts w:ascii="Microsoft JhengHei"/>
          <w:b/>
          <w:sz w:val="2"/>
        </w:rPr>
      </w:pPr>
      <w:r>
        <w:rPr/>
        <w:drawing>
          <wp:anchor distT="0" distB="0" distL="0" distR="0" allowOverlap="1" layoutInCell="1" locked="0" behindDoc="0" simplePos="0" relativeHeight="8">
            <wp:simplePos x="0" y="0"/>
            <wp:positionH relativeFrom="page">
              <wp:posOffset>647700</wp:posOffset>
            </wp:positionH>
            <wp:positionV relativeFrom="paragraph">
              <wp:posOffset>40994</wp:posOffset>
            </wp:positionV>
            <wp:extent cx="6303046" cy="12573"/>
            <wp:effectExtent l="0" t="0" r="0" b="0"/>
            <wp:wrapTopAndBottom/>
            <wp:docPr id="11" name="image3.png"/>
            <wp:cNvGraphicFramePr>
              <a:graphicFrameLocks noChangeAspect="1"/>
            </wp:cNvGraphicFramePr>
            <a:graphic>
              <a:graphicData uri="http://schemas.openxmlformats.org/drawingml/2006/picture">
                <pic:pic>
                  <pic:nvPicPr>
                    <pic:cNvPr id="12" name="image3.png"/>
                    <pic:cNvPicPr/>
                  </pic:nvPicPr>
                  <pic:blipFill>
                    <a:blip r:embed="rId7" cstate="print"/>
                    <a:stretch>
                      <a:fillRect/>
                    </a:stretch>
                  </pic:blipFill>
                  <pic:spPr>
                    <a:xfrm>
                      <a:off x="0" y="0"/>
                      <a:ext cx="6303046" cy="12573"/>
                    </a:xfrm>
                    <a:prstGeom prst="rect">
                      <a:avLst/>
                    </a:prstGeom>
                  </pic:spPr>
                </pic:pic>
              </a:graphicData>
            </a:graphic>
          </wp:anchor>
        </w:drawing>
      </w:r>
    </w:p>
    <w:p>
      <w:pPr>
        <w:pStyle w:val="ListParagraph"/>
        <w:numPr>
          <w:ilvl w:val="1"/>
          <w:numId w:val="5"/>
        </w:numPr>
        <w:tabs>
          <w:tab w:pos="1439" w:val="left" w:leader="none"/>
          <w:tab w:pos="1440" w:val="left" w:leader="none"/>
          <w:tab w:pos="2908" w:val="left" w:leader="none"/>
        </w:tabs>
        <w:spacing w:line="312" w:lineRule="exact" w:before="192" w:after="0"/>
        <w:ind w:left="2908" w:right="1291" w:hanging="2521"/>
        <w:jc w:val="left"/>
        <w:rPr>
          <w:sz w:val="21"/>
        </w:rPr>
      </w:pPr>
      <w:r>
        <w:rPr>
          <w:rFonts w:ascii="Microsoft JhengHei" w:eastAsia="Microsoft JhengHei"/>
          <w:b/>
          <w:spacing w:val="-4"/>
          <w:sz w:val="21"/>
        </w:rPr>
        <w:t>投</w:t>
      </w:r>
      <w:r>
        <w:rPr>
          <w:rFonts w:ascii="Microsoft JhengHei" w:eastAsia="Microsoft JhengHei"/>
          <w:b/>
          <w:spacing w:val="-4"/>
          <w:sz w:val="21"/>
        </w:rPr>
        <w:t>资</w:t>
      </w:r>
      <w:r>
        <w:rPr>
          <w:rFonts w:ascii="Microsoft JhengHei" w:eastAsia="Microsoft JhengHei"/>
          <w:b/>
          <w:spacing w:val="-4"/>
          <w:sz w:val="21"/>
        </w:rPr>
        <w:t>账</w:t>
      </w:r>
      <w:r>
        <w:rPr>
          <w:rFonts w:ascii="Microsoft JhengHei" w:eastAsia="Microsoft JhengHei"/>
          <w:b/>
          <w:spacing w:val="-4"/>
          <w:sz w:val="21"/>
        </w:rPr>
        <w:t>户</w:t>
      </w:r>
      <w:r>
        <w:rPr>
          <w:rFonts w:ascii="Microsoft JhengHei" w:eastAsia="Microsoft JhengHei"/>
          <w:b/>
          <w:sz w:val="21"/>
        </w:rPr>
        <w:tab/>
      </w:r>
      <w:r>
        <w:rPr>
          <w:spacing w:val="-2"/>
          <w:sz w:val="21"/>
        </w:rPr>
        <w:t>为</w:t>
      </w:r>
      <w:r>
        <w:rPr>
          <w:spacing w:val="-2"/>
          <w:sz w:val="21"/>
        </w:rPr>
        <w:t>履</w:t>
      </w:r>
      <w:r>
        <w:rPr>
          <w:spacing w:val="-2"/>
          <w:sz w:val="21"/>
        </w:rPr>
        <w:t>行投资连结保险产品</w:t>
      </w:r>
      <w:r>
        <w:rPr>
          <w:spacing w:val="-2"/>
          <w:sz w:val="21"/>
        </w:rPr>
        <w:t>的</w:t>
      </w:r>
      <w:r>
        <w:rPr>
          <w:spacing w:val="-2"/>
          <w:sz w:val="21"/>
        </w:rPr>
        <w:t>保</w:t>
      </w:r>
      <w:r>
        <w:rPr>
          <w:spacing w:val="-2"/>
          <w:sz w:val="21"/>
        </w:rPr>
        <w:t>险责任，我们依照国</w:t>
      </w:r>
      <w:r>
        <w:rPr>
          <w:spacing w:val="-2"/>
          <w:sz w:val="21"/>
        </w:rPr>
        <w:t>家</w:t>
      </w:r>
      <w:r>
        <w:rPr>
          <w:spacing w:val="-2"/>
          <w:sz w:val="21"/>
        </w:rPr>
        <w:t>政</w:t>
      </w:r>
      <w:r>
        <w:rPr>
          <w:spacing w:val="-2"/>
          <w:sz w:val="21"/>
        </w:rPr>
        <w:t>策和相关适用的法</w:t>
      </w:r>
      <w:r>
        <w:rPr>
          <w:spacing w:val="40"/>
          <w:sz w:val="21"/>
        </w:rPr>
        <w:t> </w:t>
      </w:r>
      <w:r>
        <w:rPr>
          <w:spacing w:val="-2"/>
          <w:sz w:val="21"/>
        </w:rPr>
        <w:t>律</w:t>
      </w:r>
      <w:r>
        <w:rPr>
          <w:spacing w:val="-2"/>
          <w:sz w:val="21"/>
        </w:rPr>
        <w:t>、</w:t>
      </w:r>
      <w:r>
        <w:rPr>
          <w:spacing w:val="-2"/>
          <w:sz w:val="21"/>
        </w:rPr>
        <w:t>法规、规章及规定，</w:t>
      </w:r>
      <w:r>
        <w:rPr>
          <w:spacing w:val="-2"/>
          <w:sz w:val="21"/>
        </w:rPr>
        <w:t>为</w:t>
      </w:r>
      <w:r>
        <w:rPr>
          <w:spacing w:val="-2"/>
          <w:sz w:val="21"/>
        </w:rPr>
        <w:t>投</w:t>
      </w:r>
      <w:r>
        <w:rPr>
          <w:spacing w:val="-2"/>
          <w:sz w:val="21"/>
        </w:rPr>
        <w:t>资连结保险产品的资</w:t>
      </w:r>
      <w:r>
        <w:rPr>
          <w:spacing w:val="-2"/>
          <w:sz w:val="21"/>
        </w:rPr>
        <w:t>金</w:t>
      </w:r>
      <w:r>
        <w:rPr>
          <w:spacing w:val="-2"/>
          <w:sz w:val="21"/>
        </w:rPr>
        <w:t>运</w:t>
      </w:r>
      <w:r>
        <w:rPr>
          <w:spacing w:val="-2"/>
          <w:sz w:val="21"/>
        </w:rPr>
        <w:t>作设立一个或数</w:t>
      </w:r>
      <w:r>
        <w:rPr>
          <w:spacing w:val="-2"/>
          <w:sz w:val="21"/>
        </w:rPr>
        <w:t>个</w:t>
      </w:r>
      <w:r>
        <w:rPr>
          <w:spacing w:val="-2"/>
          <w:sz w:val="21"/>
        </w:rPr>
        <w:t>专</w:t>
      </w:r>
      <w:r>
        <w:rPr>
          <w:spacing w:val="-2"/>
          <w:sz w:val="21"/>
        </w:rPr>
        <w:t>用</w:t>
      </w:r>
      <w:r>
        <w:rPr>
          <w:spacing w:val="-2"/>
          <w:sz w:val="21"/>
        </w:rPr>
        <w:t>投</w:t>
      </w:r>
      <w:r>
        <w:rPr>
          <w:spacing w:val="-2"/>
          <w:sz w:val="21"/>
        </w:rPr>
        <w:t>资账户。投资账户的</w:t>
      </w:r>
      <w:r>
        <w:rPr>
          <w:spacing w:val="-2"/>
          <w:sz w:val="21"/>
        </w:rPr>
        <w:t>投</w:t>
      </w:r>
      <w:r>
        <w:rPr>
          <w:spacing w:val="-2"/>
          <w:sz w:val="21"/>
        </w:rPr>
        <w:t>资</w:t>
      </w:r>
      <w:r>
        <w:rPr>
          <w:spacing w:val="-2"/>
          <w:sz w:val="21"/>
        </w:rPr>
        <w:t>组合及运作方式由我</w:t>
      </w:r>
      <w:r>
        <w:rPr>
          <w:spacing w:val="-2"/>
          <w:sz w:val="21"/>
        </w:rPr>
        <w:t>们</w:t>
      </w:r>
      <w:r>
        <w:rPr>
          <w:spacing w:val="-2"/>
          <w:sz w:val="21"/>
        </w:rPr>
        <w:t>决</w:t>
      </w:r>
      <w:r>
        <w:rPr>
          <w:spacing w:val="-2"/>
          <w:sz w:val="21"/>
        </w:rPr>
        <w:t>定。</w:t>
      </w:r>
      <w:r>
        <w:rPr>
          <w:rFonts w:ascii="微软雅黑" w:eastAsia="微软雅黑"/>
          <w:b/>
          <w:spacing w:val="-2"/>
          <w:sz w:val="21"/>
        </w:rPr>
        <w:t>各</w:t>
      </w:r>
      <w:r>
        <w:rPr>
          <w:rFonts w:ascii="微软雅黑" w:eastAsia="微软雅黑"/>
          <w:b/>
          <w:spacing w:val="-2"/>
          <w:sz w:val="21"/>
        </w:rPr>
        <w:t>投</w:t>
      </w:r>
      <w:r>
        <w:rPr>
          <w:rFonts w:ascii="微软雅黑" w:eastAsia="微软雅黑"/>
          <w:b/>
          <w:spacing w:val="-2"/>
          <w:sz w:val="21"/>
        </w:rPr>
        <w:t>资</w:t>
      </w:r>
      <w:r>
        <w:rPr>
          <w:rFonts w:ascii="微软雅黑" w:eastAsia="微软雅黑"/>
          <w:b/>
          <w:spacing w:val="-2"/>
          <w:sz w:val="21"/>
        </w:rPr>
        <w:t>账</w:t>
      </w:r>
      <w:r>
        <w:rPr>
          <w:rFonts w:ascii="微软雅黑" w:eastAsia="微软雅黑"/>
          <w:b/>
          <w:spacing w:val="-2"/>
          <w:sz w:val="21"/>
        </w:rPr>
        <w:t>户</w:t>
      </w:r>
      <w:r>
        <w:rPr>
          <w:rFonts w:ascii="微软雅黑" w:eastAsia="微软雅黑"/>
          <w:b/>
          <w:spacing w:val="-2"/>
          <w:sz w:val="21"/>
        </w:rPr>
        <w:t>的</w:t>
      </w:r>
      <w:r>
        <w:rPr>
          <w:rFonts w:ascii="微软雅黑" w:eastAsia="微软雅黑"/>
          <w:b/>
          <w:spacing w:val="-2"/>
          <w:sz w:val="21"/>
        </w:rPr>
        <w:t>投</w:t>
      </w:r>
      <w:r>
        <w:rPr>
          <w:rFonts w:ascii="微软雅黑" w:eastAsia="微软雅黑"/>
          <w:b/>
          <w:spacing w:val="-2"/>
          <w:sz w:val="21"/>
        </w:rPr>
        <w:t>资</w:t>
      </w:r>
      <w:r>
        <w:rPr>
          <w:rFonts w:ascii="微软雅黑" w:eastAsia="微软雅黑"/>
          <w:b/>
          <w:spacing w:val="-2"/>
          <w:sz w:val="21"/>
        </w:rPr>
        <w:t>风</w:t>
      </w:r>
      <w:r>
        <w:rPr>
          <w:rFonts w:ascii="微软雅黑" w:eastAsia="微软雅黑"/>
          <w:b/>
          <w:spacing w:val="-2"/>
          <w:sz w:val="21"/>
        </w:rPr>
        <w:t>险</w:t>
      </w:r>
      <w:r>
        <w:rPr>
          <w:rFonts w:ascii="微软雅黑" w:eastAsia="微软雅黑"/>
          <w:b/>
          <w:spacing w:val="-2"/>
          <w:sz w:val="21"/>
        </w:rPr>
        <w:t>完</w:t>
      </w:r>
      <w:r>
        <w:rPr>
          <w:rFonts w:ascii="微软雅黑" w:eastAsia="微软雅黑"/>
          <w:b/>
          <w:spacing w:val="-2"/>
          <w:sz w:val="21"/>
        </w:rPr>
        <w:t>全</w:t>
      </w:r>
      <w:r>
        <w:rPr>
          <w:rFonts w:ascii="微软雅黑" w:eastAsia="微软雅黑"/>
          <w:b/>
          <w:spacing w:val="-2"/>
          <w:sz w:val="21"/>
        </w:rPr>
        <w:t>由</w:t>
      </w:r>
      <w:r>
        <w:rPr>
          <w:rFonts w:ascii="微软雅黑" w:eastAsia="微软雅黑"/>
          <w:b/>
          <w:spacing w:val="-2"/>
          <w:sz w:val="21"/>
        </w:rPr>
        <w:t>您</w:t>
      </w:r>
      <w:r>
        <w:rPr>
          <w:rFonts w:ascii="微软雅黑" w:eastAsia="微软雅黑"/>
          <w:b/>
          <w:spacing w:val="-2"/>
          <w:sz w:val="21"/>
        </w:rPr>
        <w:t>承</w:t>
      </w:r>
      <w:r>
        <w:rPr>
          <w:rFonts w:ascii="微软雅黑" w:eastAsia="微软雅黑"/>
          <w:b/>
          <w:spacing w:val="-2"/>
          <w:sz w:val="21"/>
        </w:rPr>
        <w:t>担。</w:t>
      </w:r>
      <w:r>
        <w:rPr>
          <w:spacing w:val="-2"/>
          <w:sz w:val="21"/>
        </w:rPr>
        <w:t>投</w:t>
      </w:r>
      <w:r>
        <w:rPr>
          <w:spacing w:val="-2"/>
          <w:sz w:val="21"/>
        </w:rPr>
        <w:t>资</w:t>
      </w:r>
      <w:r>
        <w:rPr>
          <w:spacing w:val="-2"/>
          <w:sz w:val="21"/>
        </w:rPr>
        <w:t>账</w:t>
      </w:r>
      <w:r>
        <w:rPr>
          <w:spacing w:val="-2"/>
          <w:sz w:val="21"/>
        </w:rPr>
        <w:t>户价值划分为等额单</w:t>
      </w:r>
      <w:r>
        <w:rPr>
          <w:spacing w:val="-2"/>
          <w:sz w:val="21"/>
        </w:rPr>
        <w:t>位</w:t>
      </w:r>
      <w:r>
        <w:rPr>
          <w:spacing w:val="-2"/>
          <w:sz w:val="21"/>
        </w:rPr>
        <w:t>，以投资单位数计</w:t>
      </w:r>
      <w:r>
        <w:rPr>
          <w:spacing w:val="-2"/>
          <w:sz w:val="21"/>
        </w:rPr>
        <w:t>量</w:t>
      </w:r>
      <w:r>
        <w:rPr>
          <w:spacing w:val="-2"/>
          <w:sz w:val="21"/>
        </w:rPr>
        <w:t>。</w:t>
      </w:r>
      <w:r>
        <w:rPr>
          <w:spacing w:val="-2"/>
          <w:sz w:val="21"/>
        </w:rPr>
        <w:t>投</w:t>
      </w:r>
      <w:r>
        <w:rPr>
          <w:spacing w:val="-2"/>
          <w:sz w:val="21"/>
        </w:rPr>
        <w:t>资</w:t>
      </w:r>
      <w:r>
        <w:rPr>
          <w:spacing w:val="-2"/>
          <w:sz w:val="21"/>
        </w:rPr>
        <w:t>账户由独立会计师事</w:t>
      </w:r>
      <w:r>
        <w:rPr>
          <w:spacing w:val="-2"/>
          <w:sz w:val="21"/>
        </w:rPr>
        <w:t>务</w:t>
      </w:r>
      <w:r>
        <w:rPr>
          <w:spacing w:val="-2"/>
          <w:sz w:val="21"/>
        </w:rPr>
        <w:t>所</w:t>
      </w:r>
      <w:r>
        <w:rPr>
          <w:spacing w:val="-2"/>
          <w:sz w:val="21"/>
        </w:rPr>
        <w:t>定期进行审计。我们</w:t>
      </w:r>
      <w:r>
        <w:rPr>
          <w:spacing w:val="-2"/>
          <w:sz w:val="21"/>
        </w:rPr>
        <w:t>提</w:t>
      </w:r>
      <w:r>
        <w:rPr>
          <w:spacing w:val="-2"/>
          <w:sz w:val="21"/>
        </w:rPr>
        <w:t>供</w:t>
      </w:r>
      <w:r>
        <w:rPr>
          <w:spacing w:val="-2"/>
          <w:sz w:val="21"/>
        </w:rPr>
        <w:t>的投资账户如下，</w:t>
      </w:r>
      <w:r>
        <w:rPr>
          <w:spacing w:val="-2"/>
          <w:sz w:val="21"/>
        </w:rPr>
        <w:t>资</w:t>
      </w:r>
      <w:r>
        <w:rPr>
          <w:spacing w:val="-2"/>
          <w:sz w:val="21"/>
        </w:rPr>
        <w:t>产</w:t>
      </w:r>
      <w:r>
        <w:rPr>
          <w:spacing w:val="-2"/>
          <w:sz w:val="21"/>
        </w:rPr>
        <w:t>在</w:t>
      </w:r>
      <w:r>
        <w:rPr>
          <w:spacing w:val="-2"/>
          <w:sz w:val="21"/>
        </w:rPr>
        <w:t>不同投资账户之间的</w:t>
      </w:r>
      <w:r>
        <w:rPr>
          <w:spacing w:val="-2"/>
          <w:sz w:val="21"/>
        </w:rPr>
        <w:t>分</w:t>
      </w:r>
      <w:r>
        <w:rPr>
          <w:spacing w:val="-2"/>
          <w:sz w:val="21"/>
        </w:rPr>
        <w:t>配</w:t>
      </w:r>
      <w:r>
        <w:rPr>
          <w:spacing w:val="-2"/>
          <w:sz w:val="21"/>
        </w:rPr>
        <w:t>比例由您和我们根据</w:t>
      </w:r>
      <w:r>
        <w:rPr>
          <w:spacing w:val="-2"/>
          <w:sz w:val="21"/>
        </w:rPr>
        <w:t>约</w:t>
      </w:r>
      <w:r>
        <w:rPr>
          <w:spacing w:val="-2"/>
          <w:sz w:val="21"/>
        </w:rPr>
        <w:t>定</w:t>
      </w:r>
      <w:r>
        <w:rPr>
          <w:spacing w:val="-2"/>
          <w:sz w:val="21"/>
        </w:rPr>
        <w:t>的投资计划确定，</w:t>
      </w:r>
      <w:r>
        <w:rPr>
          <w:spacing w:val="-2"/>
          <w:sz w:val="21"/>
        </w:rPr>
        <w:t>投</w:t>
      </w:r>
      <w:r>
        <w:rPr>
          <w:sz w:val="21"/>
        </w:rPr>
        <w:t>资账户资金的转换按照第</w:t>
      </w:r>
      <w:r>
        <w:rPr>
          <w:spacing w:val="-15"/>
          <w:sz w:val="21"/>
        </w:rPr>
        <w:t> </w:t>
      </w:r>
      <w:r>
        <w:rPr>
          <w:sz w:val="21"/>
        </w:rPr>
        <w:t>6</w:t>
      </w:r>
      <w:r>
        <w:rPr>
          <w:spacing w:val="-12"/>
          <w:sz w:val="21"/>
        </w:rPr>
        <w:t> </w:t>
      </w:r>
      <w:r>
        <w:rPr>
          <w:sz w:val="21"/>
        </w:rPr>
        <w:t>条第</w:t>
      </w:r>
      <w:r>
        <w:rPr>
          <w:spacing w:val="-15"/>
          <w:sz w:val="21"/>
        </w:rPr>
        <w:t> </w:t>
      </w:r>
      <w:r>
        <w:rPr>
          <w:sz w:val="21"/>
        </w:rPr>
        <w:t>6.5</w:t>
      </w:r>
      <w:r>
        <w:rPr>
          <w:spacing w:val="-15"/>
          <w:sz w:val="21"/>
        </w:rPr>
        <w:t> </w:t>
      </w:r>
      <w:r>
        <w:rPr>
          <w:sz w:val="21"/>
        </w:rPr>
        <w:t>款的规定进行。</w:t>
      </w:r>
    </w:p>
    <w:p>
      <w:pPr>
        <w:pStyle w:val="BodyText"/>
        <w:spacing w:before="9"/>
        <w:rPr>
          <w:sz w:val="13"/>
        </w:rPr>
      </w:pPr>
    </w:p>
    <w:p>
      <w:pPr>
        <w:spacing w:after="0"/>
        <w:rPr>
          <w:sz w:val="13"/>
        </w:rPr>
        <w:sectPr>
          <w:pgSz w:w="11910" w:h="16840"/>
          <w:pgMar w:top="1200" w:bottom="280" w:left="740" w:right="20"/>
        </w:sectPr>
      </w:pPr>
    </w:p>
    <w:p>
      <w:pPr>
        <w:pStyle w:val="Heading2"/>
        <w:spacing w:line="172" w:lineRule="auto"/>
      </w:pPr>
      <w:r>
        <w:rPr>
          <w:spacing w:val="-8"/>
        </w:rPr>
        <w:t>弘云 </w:t>
      </w:r>
      <w:r>
        <w:rPr>
          <w:spacing w:val="-8"/>
          <w:w w:val="95"/>
        </w:rPr>
        <w:t>1</w:t>
      </w:r>
      <w:r>
        <w:rPr>
          <w:spacing w:val="-8"/>
        </w:rPr>
        <w:t> 号投</w:t>
      </w:r>
      <w:r>
        <w:rPr>
          <w:spacing w:val="-4"/>
        </w:rPr>
        <w:t>资账户</w:t>
      </w:r>
    </w:p>
    <w:p>
      <w:pPr>
        <w:pStyle w:val="BodyText"/>
        <w:spacing w:line="273" w:lineRule="auto" w:before="82"/>
        <w:ind w:left="252" w:right="1104" w:firstLine="420"/>
      </w:pPr>
      <w:r>
        <w:rPr/>
        <w:br w:type="column"/>
      </w:r>
      <w:r>
        <w:rPr>
          <w:spacing w:val="-3"/>
          <w:w w:val="96"/>
          <w:sz w:val="22"/>
        </w:rPr>
        <w:t>账户投资范围：</w:t>
      </w:r>
      <w:r>
        <w:rPr>
          <w:spacing w:val="-4"/>
          <w:w w:val="100"/>
        </w:rPr>
        <w:t>本账户主要投资于银行存款、债券、债权投资计划、不动</w:t>
      </w:r>
      <w:r>
        <w:rPr>
          <w:spacing w:val="-3"/>
          <w:w w:val="100"/>
        </w:rPr>
        <w:t>产相关金融产品、其他金融资产及上市权益类资产等投资工具。</w:t>
      </w:r>
    </w:p>
    <w:p>
      <w:pPr>
        <w:spacing w:line="293" w:lineRule="exact" w:before="0"/>
        <w:ind w:left="673" w:right="0" w:firstLine="0"/>
        <w:jc w:val="left"/>
        <w:rPr>
          <w:sz w:val="21"/>
        </w:rPr>
      </w:pPr>
      <w:r>
        <w:rPr>
          <w:w w:val="95"/>
          <w:sz w:val="22"/>
        </w:rPr>
        <w:t>资</w:t>
      </w:r>
      <w:r>
        <w:rPr>
          <w:w w:val="95"/>
          <w:sz w:val="22"/>
        </w:rPr>
        <w:t>产</w:t>
      </w:r>
      <w:r>
        <w:rPr>
          <w:w w:val="95"/>
          <w:sz w:val="22"/>
        </w:rPr>
        <w:t>配置比例</w:t>
      </w:r>
      <w:r>
        <w:rPr>
          <w:w w:val="95"/>
          <w:sz w:val="25"/>
        </w:rPr>
        <w:t>：</w:t>
      </w:r>
      <w:r>
        <w:rPr>
          <w:w w:val="95"/>
          <w:sz w:val="21"/>
        </w:rPr>
        <w:t>银行</w:t>
      </w:r>
      <w:r>
        <w:rPr>
          <w:w w:val="95"/>
          <w:sz w:val="21"/>
        </w:rPr>
        <w:t>存</w:t>
      </w:r>
      <w:r>
        <w:rPr>
          <w:w w:val="95"/>
          <w:sz w:val="21"/>
        </w:rPr>
        <w:t>款</w:t>
      </w:r>
      <w:r>
        <w:rPr>
          <w:w w:val="95"/>
          <w:sz w:val="21"/>
        </w:rPr>
        <w:t>等</w:t>
      </w:r>
      <w:r>
        <w:rPr>
          <w:w w:val="95"/>
          <w:sz w:val="21"/>
        </w:rPr>
        <w:t>流</w:t>
      </w:r>
      <w:r>
        <w:rPr>
          <w:w w:val="95"/>
          <w:sz w:val="21"/>
        </w:rPr>
        <w:t>动性资产的投资余额</w:t>
      </w:r>
      <w:r>
        <w:rPr>
          <w:w w:val="95"/>
          <w:sz w:val="21"/>
        </w:rPr>
        <w:t>不</w:t>
      </w:r>
      <w:r>
        <w:rPr>
          <w:w w:val="95"/>
          <w:sz w:val="21"/>
        </w:rPr>
        <w:t>低</w:t>
      </w:r>
      <w:r>
        <w:rPr>
          <w:w w:val="95"/>
          <w:sz w:val="21"/>
        </w:rPr>
        <w:t>于账户价值</w:t>
      </w:r>
      <w:r>
        <w:rPr>
          <w:w w:val="95"/>
          <w:sz w:val="21"/>
        </w:rPr>
        <w:t>的</w:t>
      </w:r>
      <w:r>
        <w:rPr>
          <w:spacing w:val="-5"/>
          <w:w w:val="95"/>
          <w:sz w:val="21"/>
        </w:rPr>
        <w:t>5%；</w:t>
      </w:r>
    </w:p>
    <w:p>
      <w:pPr>
        <w:pStyle w:val="BodyText"/>
        <w:spacing w:line="278" w:lineRule="auto" w:before="25"/>
        <w:ind w:left="252" w:right="1104"/>
        <w:jc w:val="both"/>
      </w:pPr>
      <w:r>
        <w:rPr>
          <w:spacing w:val="-2"/>
        </w:rPr>
        <w:t>债券等固定收益类资产合计占账户价值的比例为0-50</w:t>
      </w:r>
      <w:r>
        <w:rPr>
          <w:spacing w:val="-8"/>
        </w:rPr>
        <w:t>%；基础设施投资计划、不</w:t>
      </w:r>
      <w:r>
        <w:rPr>
          <w:spacing w:val="-9"/>
        </w:rPr>
        <w:t>动产相关金融产品、其他金融资产的投资余额合计不得超过账户价值的</w:t>
      </w:r>
      <w:r>
        <w:rPr>
          <w:spacing w:val="-2"/>
        </w:rPr>
        <w:t>75</w:t>
      </w:r>
      <w:r>
        <w:rPr>
          <w:spacing w:val="-22"/>
        </w:rPr>
        <w:t>%，其</w:t>
      </w:r>
      <w:r>
        <w:rPr>
          <w:spacing w:val="-2"/>
        </w:rPr>
        <w:t>中单一项目的投资余额不得超过账户价值的50%；上市权益类资产的比例为账</w:t>
      </w:r>
      <w:r>
        <w:rPr>
          <w:spacing w:val="-2"/>
        </w:rPr>
        <w:t>户价值的0-20%。</w:t>
      </w:r>
    </w:p>
    <w:p>
      <w:pPr>
        <w:spacing w:line="271" w:lineRule="exact" w:before="0"/>
        <w:ind w:left="673" w:right="0" w:firstLine="0"/>
        <w:jc w:val="left"/>
        <w:rPr>
          <w:sz w:val="21"/>
        </w:rPr>
      </w:pPr>
      <w:r>
        <w:rPr>
          <w:w w:val="95"/>
          <w:sz w:val="22"/>
        </w:rPr>
        <w:t>账</w:t>
      </w:r>
      <w:r>
        <w:rPr>
          <w:w w:val="95"/>
          <w:sz w:val="22"/>
        </w:rPr>
        <w:t>户</w:t>
      </w:r>
      <w:r>
        <w:rPr>
          <w:w w:val="95"/>
          <w:sz w:val="22"/>
        </w:rPr>
        <w:t>主要风险：</w:t>
      </w:r>
      <w:r>
        <w:rPr>
          <w:w w:val="95"/>
          <w:sz w:val="21"/>
        </w:rPr>
        <w:t>政策风险</w:t>
      </w:r>
      <w:r>
        <w:rPr>
          <w:w w:val="95"/>
          <w:sz w:val="21"/>
        </w:rPr>
        <w:t>、</w:t>
      </w:r>
      <w:r>
        <w:rPr>
          <w:w w:val="95"/>
          <w:sz w:val="21"/>
        </w:rPr>
        <w:t>市</w:t>
      </w:r>
      <w:r>
        <w:rPr>
          <w:w w:val="95"/>
          <w:sz w:val="21"/>
        </w:rPr>
        <w:t>场风险、信用风险及</w:t>
      </w:r>
      <w:r>
        <w:rPr>
          <w:w w:val="95"/>
          <w:sz w:val="21"/>
        </w:rPr>
        <w:t>流</w:t>
      </w:r>
      <w:r>
        <w:rPr>
          <w:w w:val="95"/>
          <w:sz w:val="21"/>
        </w:rPr>
        <w:t>动</w:t>
      </w:r>
      <w:r>
        <w:rPr>
          <w:spacing w:val="-3"/>
          <w:w w:val="95"/>
          <w:sz w:val="21"/>
        </w:rPr>
        <w:t>性风险。</w:t>
      </w:r>
    </w:p>
    <w:p>
      <w:pPr>
        <w:spacing w:after="0" w:line="271" w:lineRule="exact"/>
        <w:jc w:val="left"/>
        <w:rPr>
          <w:sz w:val="21"/>
        </w:rPr>
        <w:sectPr>
          <w:type w:val="continuous"/>
          <w:pgSz w:w="11910" w:h="16840"/>
          <w:pgMar w:top="0" w:bottom="280" w:left="740" w:right="20"/>
          <w:cols w:num="2" w:equalWidth="0">
            <w:col w:w="2616" w:space="40"/>
            <w:col w:w="8494"/>
          </w:cols>
        </w:sectPr>
      </w:pPr>
    </w:p>
    <w:p>
      <w:pPr>
        <w:pStyle w:val="BodyText"/>
        <w:spacing w:before="7"/>
        <w:rPr>
          <w:sz w:val="13"/>
        </w:rPr>
      </w:pPr>
    </w:p>
    <w:p>
      <w:pPr>
        <w:spacing w:after="0"/>
        <w:rPr>
          <w:sz w:val="13"/>
        </w:rPr>
        <w:sectPr>
          <w:type w:val="continuous"/>
          <w:pgSz w:w="11910" w:h="16840"/>
          <w:pgMar w:top="0" w:bottom="280" w:left="740" w:right="20"/>
        </w:sectPr>
      </w:pPr>
    </w:p>
    <w:p>
      <w:pPr>
        <w:pStyle w:val="Heading2"/>
        <w:spacing w:line="172" w:lineRule="auto"/>
      </w:pPr>
      <w:r>
        <w:rPr>
          <w:spacing w:val="-5"/>
        </w:rPr>
        <w:t>弘云 </w:t>
      </w:r>
      <w:r>
        <w:rPr/>
        <w:t>2</w:t>
      </w:r>
      <w:r>
        <w:rPr>
          <w:spacing w:val="-6"/>
        </w:rPr>
        <w:t> 号投</w:t>
      </w:r>
      <w:r>
        <w:rPr>
          <w:spacing w:val="-4"/>
        </w:rPr>
        <w:t>资账户</w:t>
      </w:r>
    </w:p>
    <w:p>
      <w:pPr>
        <w:pStyle w:val="BodyText"/>
        <w:spacing w:line="276" w:lineRule="auto" w:before="82"/>
        <w:ind w:left="211" w:right="1298" w:firstLine="420"/>
      </w:pPr>
      <w:r>
        <w:rPr/>
        <w:br w:type="column"/>
      </w:r>
      <w:r>
        <w:rPr>
          <w:spacing w:val="-3"/>
          <w:w w:val="96"/>
          <w:sz w:val="22"/>
        </w:rPr>
        <w:t>账户投资范围：</w:t>
      </w:r>
      <w:r>
        <w:rPr>
          <w:spacing w:val="-3"/>
          <w:w w:val="100"/>
        </w:rPr>
        <w:t>本账户主要投资于上市权益类资产、银行存款、债券、债券回购、债权投资计划、不动产相关金融产品、其他金融资产等投资工</w:t>
      </w:r>
      <w:r>
        <w:rPr>
          <w:spacing w:val="-3"/>
          <w:w w:val="100"/>
        </w:rPr>
        <w:t> 具。</w:t>
      </w:r>
    </w:p>
    <w:p>
      <w:pPr>
        <w:pStyle w:val="BodyText"/>
        <w:spacing w:line="278" w:lineRule="auto"/>
        <w:ind w:left="211" w:right="1101" w:firstLine="420"/>
        <w:jc w:val="both"/>
      </w:pPr>
      <w:r>
        <w:rPr>
          <w:w w:val="95"/>
          <w:sz w:val="22"/>
        </w:rPr>
        <w:t>资</w:t>
      </w:r>
      <w:r>
        <w:rPr>
          <w:w w:val="95"/>
          <w:sz w:val="22"/>
        </w:rPr>
        <w:t>产</w:t>
      </w:r>
      <w:r>
        <w:rPr>
          <w:w w:val="95"/>
          <w:sz w:val="22"/>
        </w:rPr>
        <w:t>配置比例：</w:t>
      </w:r>
      <w:r>
        <w:rPr>
          <w:w w:val="95"/>
        </w:rPr>
        <w:t>银行存款</w:t>
      </w:r>
      <w:r>
        <w:rPr>
          <w:w w:val="95"/>
        </w:rPr>
        <w:t>等</w:t>
      </w:r>
      <w:r>
        <w:rPr>
          <w:w w:val="95"/>
        </w:rPr>
        <w:t>流</w:t>
      </w:r>
      <w:r>
        <w:rPr>
          <w:w w:val="95"/>
        </w:rPr>
        <w:t>动性资产不低于账户</w:t>
      </w:r>
      <w:r>
        <w:rPr>
          <w:w w:val="95"/>
        </w:rPr>
        <w:t>总</w:t>
      </w:r>
      <w:r>
        <w:rPr>
          <w:w w:val="95"/>
        </w:rPr>
        <w:t>资</w:t>
      </w:r>
      <w:r>
        <w:rPr>
          <w:w w:val="95"/>
        </w:rPr>
        <w:t>产的 5%；</w:t>
      </w:r>
      <w:r>
        <w:rPr>
          <w:w w:val="95"/>
        </w:rPr>
        <w:t>债</w:t>
      </w:r>
      <w:r>
        <w:rPr>
          <w:w w:val="95"/>
        </w:rPr>
        <w:t>券</w:t>
      </w:r>
      <w:r>
        <w:rPr>
          <w:w w:val="95"/>
        </w:rPr>
        <w:t>、</w:t>
      </w:r>
      <w:r>
        <w:rPr>
          <w:w w:val="95"/>
        </w:rPr>
        <w:t>债</w:t>
      </w:r>
      <w:r>
        <w:rPr>
          <w:spacing w:val="-2"/>
        </w:rPr>
        <w:t>券回购等固定收益类资产合计占账户总资产的比例为 </w:t>
      </w:r>
      <w:r>
        <w:rPr/>
        <w:t>0-70%；基础设施投资计</w:t>
      </w:r>
      <w:r>
        <w:rPr>
          <w:spacing w:val="-2"/>
        </w:rPr>
        <w:t>划、不动产相关金融产品投资余额不高于账户总资产的 </w:t>
      </w:r>
      <w:r>
        <w:rPr/>
        <w:t>50%；基础设施投资计</w:t>
      </w:r>
      <w:r>
        <w:rPr>
          <w:spacing w:val="-2"/>
        </w:rPr>
        <w:t>划、不动产相关金融产品、其他金融资产的投资余额合计不高于账户总资产的 </w:t>
      </w:r>
      <w:r>
        <w:rPr>
          <w:spacing w:val="-4"/>
        </w:rPr>
        <w:t>75%，其中单一项目的投资余额不得超过账户价值的 50%；上市权益类资产的比</w:t>
      </w:r>
      <w:r>
        <w:rPr>
          <w:spacing w:val="-5"/>
        </w:rPr>
        <w:t>例为账户总资产的 </w:t>
      </w:r>
      <w:r>
        <w:rPr/>
        <w:t>0-30%。</w:t>
      </w:r>
    </w:p>
    <w:p>
      <w:pPr>
        <w:spacing w:line="267" w:lineRule="exact" w:before="0"/>
        <w:ind w:left="632" w:right="0" w:firstLine="0"/>
        <w:jc w:val="left"/>
        <w:rPr>
          <w:sz w:val="21"/>
        </w:rPr>
      </w:pPr>
      <w:r>
        <w:rPr>
          <w:w w:val="95"/>
          <w:sz w:val="22"/>
        </w:rPr>
        <w:t>账</w:t>
      </w:r>
      <w:r>
        <w:rPr>
          <w:w w:val="95"/>
          <w:sz w:val="22"/>
        </w:rPr>
        <w:t>户</w:t>
      </w:r>
      <w:r>
        <w:rPr>
          <w:w w:val="95"/>
          <w:sz w:val="22"/>
        </w:rPr>
        <w:t>主要风险：</w:t>
      </w:r>
      <w:r>
        <w:rPr>
          <w:w w:val="95"/>
          <w:sz w:val="21"/>
        </w:rPr>
        <w:t>市场风险</w:t>
      </w:r>
      <w:r>
        <w:rPr>
          <w:w w:val="95"/>
          <w:sz w:val="21"/>
        </w:rPr>
        <w:t>、</w:t>
      </w:r>
      <w:r>
        <w:rPr>
          <w:w w:val="95"/>
          <w:sz w:val="21"/>
        </w:rPr>
        <w:t>利</w:t>
      </w:r>
      <w:r>
        <w:rPr>
          <w:w w:val="95"/>
          <w:sz w:val="21"/>
        </w:rPr>
        <w:t>率风险、信用风险及</w:t>
      </w:r>
      <w:r>
        <w:rPr>
          <w:w w:val="95"/>
          <w:sz w:val="21"/>
        </w:rPr>
        <w:t>流</w:t>
      </w:r>
      <w:r>
        <w:rPr>
          <w:w w:val="95"/>
          <w:sz w:val="21"/>
        </w:rPr>
        <w:t>动</w:t>
      </w:r>
      <w:r>
        <w:rPr>
          <w:spacing w:val="-3"/>
          <w:w w:val="95"/>
          <w:sz w:val="21"/>
        </w:rPr>
        <w:t>性风险。</w:t>
      </w:r>
    </w:p>
    <w:p>
      <w:pPr>
        <w:spacing w:after="0" w:line="267" w:lineRule="exact"/>
        <w:jc w:val="left"/>
        <w:rPr>
          <w:sz w:val="21"/>
        </w:rPr>
        <w:sectPr>
          <w:type w:val="continuous"/>
          <w:pgSz w:w="11910" w:h="16840"/>
          <w:pgMar w:top="0" w:bottom="280" w:left="740" w:right="20"/>
          <w:cols w:num="2" w:equalWidth="0">
            <w:col w:w="2657" w:space="40"/>
            <w:col w:w="8453"/>
          </w:cols>
        </w:sectPr>
      </w:pPr>
    </w:p>
    <w:p>
      <w:pPr>
        <w:pStyle w:val="BodyText"/>
        <w:spacing w:before="3"/>
        <w:rPr>
          <w:sz w:val="13"/>
        </w:rPr>
      </w:pPr>
    </w:p>
    <w:p>
      <w:pPr>
        <w:spacing w:after="0"/>
        <w:rPr>
          <w:sz w:val="13"/>
        </w:rPr>
        <w:sectPr>
          <w:type w:val="continuous"/>
          <w:pgSz w:w="11910" w:h="16840"/>
          <w:pgMar w:top="0" w:bottom="280" w:left="740" w:right="20"/>
        </w:sectPr>
      </w:pPr>
    </w:p>
    <w:p>
      <w:pPr>
        <w:pStyle w:val="Heading2"/>
        <w:spacing w:line="172" w:lineRule="auto"/>
      </w:pPr>
      <w:r>
        <w:rPr>
          <w:spacing w:val="-5"/>
        </w:rPr>
        <w:t>弘云 </w:t>
      </w:r>
      <w:r>
        <w:rPr/>
        <w:t>4</w:t>
      </w:r>
      <w:r>
        <w:rPr>
          <w:spacing w:val="-6"/>
        </w:rPr>
        <w:t> 号投</w:t>
      </w:r>
      <w:r>
        <w:rPr>
          <w:spacing w:val="-4"/>
        </w:rPr>
        <w:t>资账户</w:t>
      </w:r>
    </w:p>
    <w:p>
      <w:pPr>
        <w:pStyle w:val="BodyText"/>
        <w:spacing w:line="273" w:lineRule="auto" w:before="81"/>
        <w:ind w:left="211" w:right="1104" w:firstLine="420"/>
      </w:pPr>
      <w:r>
        <w:rPr/>
        <w:br w:type="column"/>
      </w:r>
      <w:r>
        <w:rPr>
          <w:spacing w:val="-3"/>
          <w:w w:val="96"/>
          <w:sz w:val="22"/>
        </w:rPr>
        <w:t>账户投资范围：</w:t>
      </w:r>
      <w:r>
        <w:rPr>
          <w:spacing w:val="-4"/>
          <w:w w:val="100"/>
        </w:rPr>
        <w:t>本账户主要投资于银行存款、债券、债权投资计划、不动</w:t>
      </w:r>
      <w:r>
        <w:rPr>
          <w:spacing w:val="-3"/>
          <w:w w:val="100"/>
        </w:rPr>
        <w:t>产相关金融产品、其他金融资产及上市权益类资产等投资工具。</w:t>
      </w:r>
    </w:p>
    <w:p>
      <w:pPr>
        <w:pStyle w:val="BodyText"/>
        <w:spacing w:line="278" w:lineRule="auto"/>
        <w:ind w:left="211" w:right="998" w:firstLine="420"/>
      </w:pPr>
      <w:r>
        <w:rPr>
          <w:spacing w:val="-2"/>
          <w:sz w:val="22"/>
        </w:rPr>
        <w:t>资</w:t>
      </w:r>
      <w:r>
        <w:rPr>
          <w:spacing w:val="-2"/>
          <w:sz w:val="22"/>
        </w:rPr>
        <w:t>产</w:t>
      </w:r>
      <w:r>
        <w:rPr>
          <w:spacing w:val="-2"/>
          <w:sz w:val="22"/>
        </w:rPr>
        <w:t>配置比例：</w:t>
      </w:r>
      <w:r>
        <w:rPr>
          <w:spacing w:val="-4"/>
        </w:rPr>
        <w:t>银行存款等流动性资产的投资余额不低于账户价值的 </w:t>
      </w:r>
      <w:r>
        <w:rPr>
          <w:spacing w:val="-2"/>
        </w:rPr>
        <w:t>5%；</w:t>
      </w:r>
      <w:r>
        <w:rPr/>
        <w:t>债券等固定收益类资产合计占账户价值的比例为 0-50%；基础设施投资计划、</w:t>
      </w:r>
      <w:r>
        <w:rPr>
          <w:spacing w:val="-9"/>
        </w:rPr>
        <w:t>不动产相关金融产品、其他金融资产的投资余额合计不得超过账户价值的 </w:t>
      </w:r>
      <w:r>
        <w:rPr/>
        <w:t>75%，其中单一项目的投资余额不得超过账户价值的 50%；上市权益类资产的比例为</w:t>
      </w:r>
      <w:r>
        <w:rPr>
          <w:spacing w:val="-7"/>
        </w:rPr>
        <w:t>账户价值的 </w:t>
      </w:r>
      <w:r>
        <w:rPr/>
        <w:t>0-30%。</w:t>
      </w:r>
    </w:p>
    <w:p>
      <w:pPr>
        <w:spacing w:line="266" w:lineRule="exact" w:before="0"/>
        <w:ind w:left="632" w:right="0" w:firstLine="0"/>
        <w:jc w:val="left"/>
        <w:rPr>
          <w:sz w:val="21"/>
        </w:rPr>
      </w:pPr>
      <w:r>
        <w:rPr>
          <w:w w:val="95"/>
          <w:sz w:val="22"/>
        </w:rPr>
        <w:t>账</w:t>
      </w:r>
      <w:r>
        <w:rPr>
          <w:w w:val="95"/>
          <w:sz w:val="22"/>
        </w:rPr>
        <w:t>户</w:t>
      </w:r>
      <w:r>
        <w:rPr>
          <w:w w:val="95"/>
          <w:sz w:val="22"/>
        </w:rPr>
        <w:t>主要风险：</w:t>
      </w:r>
      <w:r>
        <w:rPr>
          <w:w w:val="95"/>
          <w:sz w:val="21"/>
        </w:rPr>
        <w:t>政策风险</w:t>
      </w:r>
      <w:r>
        <w:rPr>
          <w:w w:val="95"/>
          <w:sz w:val="21"/>
        </w:rPr>
        <w:t>、</w:t>
      </w:r>
      <w:r>
        <w:rPr>
          <w:w w:val="95"/>
          <w:sz w:val="21"/>
        </w:rPr>
        <w:t>市</w:t>
      </w:r>
      <w:r>
        <w:rPr>
          <w:w w:val="95"/>
          <w:sz w:val="21"/>
        </w:rPr>
        <w:t>场风险、信用风险及</w:t>
      </w:r>
      <w:r>
        <w:rPr>
          <w:w w:val="95"/>
          <w:sz w:val="21"/>
        </w:rPr>
        <w:t>流</w:t>
      </w:r>
      <w:r>
        <w:rPr>
          <w:w w:val="95"/>
          <w:sz w:val="21"/>
        </w:rPr>
        <w:t>动</w:t>
      </w:r>
      <w:r>
        <w:rPr>
          <w:spacing w:val="-3"/>
          <w:w w:val="95"/>
          <w:sz w:val="21"/>
        </w:rPr>
        <w:t>性风险。</w:t>
      </w:r>
    </w:p>
    <w:p>
      <w:pPr>
        <w:spacing w:after="0" w:line="266" w:lineRule="exact"/>
        <w:jc w:val="left"/>
        <w:rPr>
          <w:sz w:val="21"/>
        </w:rPr>
        <w:sectPr>
          <w:type w:val="continuous"/>
          <w:pgSz w:w="11910" w:h="16840"/>
          <w:pgMar w:top="0" w:bottom="280" w:left="740" w:right="20"/>
          <w:cols w:num="2" w:equalWidth="0">
            <w:col w:w="2657" w:space="40"/>
            <w:col w:w="8453"/>
          </w:cols>
        </w:sectPr>
      </w:pPr>
    </w:p>
    <w:p>
      <w:pPr>
        <w:pStyle w:val="BodyText"/>
        <w:spacing w:before="4"/>
        <w:rPr>
          <w:sz w:val="13"/>
        </w:rPr>
      </w:pPr>
    </w:p>
    <w:p>
      <w:pPr>
        <w:spacing w:after="0"/>
        <w:rPr>
          <w:sz w:val="13"/>
        </w:rPr>
        <w:sectPr>
          <w:type w:val="continuous"/>
          <w:pgSz w:w="11910" w:h="16840"/>
          <w:pgMar w:top="0" w:bottom="280" w:left="740" w:right="20"/>
        </w:sectPr>
      </w:pPr>
    </w:p>
    <w:p>
      <w:pPr>
        <w:pStyle w:val="Heading2"/>
        <w:spacing w:line="172" w:lineRule="auto" w:before="63"/>
      </w:pPr>
      <w:r>
        <w:rPr>
          <w:spacing w:val="-5"/>
        </w:rPr>
        <w:t>稳赢 </w:t>
      </w:r>
      <w:r>
        <w:rPr/>
        <w:t>5</w:t>
      </w:r>
      <w:r>
        <w:rPr>
          <w:spacing w:val="-6"/>
        </w:rPr>
        <w:t> 号投</w:t>
      </w:r>
      <w:r>
        <w:rPr>
          <w:spacing w:val="-4"/>
        </w:rPr>
        <w:t>资账户</w:t>
      </w:r>
    </w:p>
    <w:p>
      <w:pPr>
        <w:pStyle w:val="BodyText"/>
        <w:spacing w:line="273" w:lineRule="auto" w:before="82"/>
        <w:ind w:left="211" w:right="1104" w:firstLine="420"/>
      </w:pPr>
      <w:r>
        <w:rPr/>
        <w:br w:type="column"/>
      </w:r>
      <w:r>
        <w:rPr>
          <w:spacing w:val="-3"/>
          <w:w w:val="96"/>
          <w:sz w:val="22"/>
        </w:rPr>
        <w:t>账户投资范围：</w:t>
      </w:r>
      <w:r>
        <w:rPr>
          <w:spacing w:val="-4"/>
          <w:w w:val="100"/>
        </w:rPr>
        <w:t>本账户主要投资于银行存款、债券、债权投资计划、不动</w:t>
      </w:r>
      <w:r>
        <w:rPr>
          <w:spacing w:val="-3"/>
          <w:w w:val="100"/>
        </w:rPr>
        <w:t>产相关金融产品、其他金融资产及上市权益类资产等投资工具。</w:t>
      </w:r>
    </w:p>
    <w:p>
      <w:pPr>
        <w:pStyle w:val="BodyText"/>
        <w:spacing w:line="278" w:lineRule="auto"/>
        <w:ind w:left="211" w:right="998" w:firstLine="420"/>
      </w:pPr>
      <w:r>
        <w:rPr>
          <w:spacing w:val="-2"/>
          <w:sz w:val="22"/>
        </w:rPr>
        <w:t>资</w:t>
      </w:r>
      <w:r>
        <w:rPr>
          <w:spacing w:val="-2"/>
          <w:sz w:val="22"/>
        </w:rPr>
        <w:t>产</w:t>
      </w:r>
      <w:r>
        <w:rPr>
          <w:spacing w:val="-2"/>
          <w:sz w:val="22"/>
        </w:rPr>
        <w:t>配置比例：</w:t>
      </w:r>
      <w:r>
        <w:rPr>
          <w:spacing w:val="-4"/>
        </w:rPr>
        <w:t>银行存款等流动性资产的投资余额不低于账户价值的 </w:t>
      </w:r>
      <w:r>
        <w:rPr>
          <w:spacing w:val="-2"/>
        </w:rPr>
        <w:t>5%；</w:t>
      </w:r>
      <w:r>
        <w:rPr/>
        <w:t>债券等固定收益类资产合计占账户价值的比例为 0-50%；基础设施投资计划、</w:t>
      </w:r>
      <w:r>
        <w:rPr>
          <w:spacing w:val="-9"/>
        </w:rPr>
        <w:t>不动产相关金融产品、其他金融资产的投资余额合计不得超过账户价值的 </w:t>
      </w:r>
      <w:r>
        <w:rPr/>
        <w:t>75%，其中单一项目的投资余额不得超过账户价值的 50%；上市权益类资产的比例为</w:t>
      </w:r>
      <w:r>
        <w:rPr>
          <w:spacing w:val="-7"/>
        </w:rPr>
        <w:t>账户价值的 </w:t>
      </w:r>
      <w:r>
        <w:rPr/>
        <w:t>0-20%。</w:t>
      </w:r>
    </w:p>
    <w:p>
      <w:pPr>
        <w:spacing w:line="266" w:lineRule="exact" w:before="0"/>
        <w:ind w:left="632" w:right="0" w:firstLine="0"/>
        <w:jc w:val="left"/>
        <w:rPr>
          <w:sz w:val="21"/>
        </w:rPr>
      </w:pPr>
      <w:r>
        <w:rPr>
          <w:w w:val="95"/>
          <w:sz w:val="22"/>
        </w:rPr>
        <w:t>账</w:t>
      </w:r>
      <w:r>
        <w:rPr>
          <w:w w:val="95"/>
          <w:sz w:val="22"/>
        </w:rPr>
        <w:t>户</w:t>
      </w:r>
      <w:r>
        <w:rPr>
          <w:w w:val="95"/>
          <w:sz w:val="22"/>
        </w:rPr>
        <w:t>主要风险：</w:t>
      </w:r>
      <w:r>
        <w:rPr>
          <w:w w:val="95"/>
          <w:sz w:val="21"/>
        </w:rPr>
        <w:t>政策风险</w:t>
      </w:r>
      <w:r>
        <w:rPr>
          <w:w w:val="95"/>
          <w:sz w:val="21"/>
        </w:rPr>
        <w:t>、</w:t>
      </w:r>
      <w:r>
        <w:rPr>
          <w:w w:val="95"/>
          <w:sz w:val="21"/>
        </w:rPr>
        <w:t>市</w:t>
      </w:r>
      <w:r>
        <w:rPr>
          <w:w w:val="95"/>
          <w:sz w:val="21"/>
        </w:rPr>
        <w:t>场风险、信用风险及</w:t>
      </w:r>
      <w:r>
        <w:rPr>
          <w:w w:val="95"/>
          <w:sz w:val="21"/>
        </w:rPr>
        <w:t>流</w:t>
      </w:r>
      <w:r>
        <w:rPr>
          <w:w w:val="95"/>
          <w:sz w:val="21"/>
        </w:rPr>
        <w:t>动</w:t>
      </w:r>
      <w:r>
        <w:rPr>
          <w:spacing w:val="-3"/>
          <w:w w:val="95"/>
          <w:sz w:val="21"/>
        </w:rPr>
        <w:t>性风险。</w:t>
      </w:r>
    </w:p>
    <w:p>
      <w:pPr>
        <w:spacing w:after="0" w:line="266" w:lineRule="exact"/>
        <w:jc w:val="left"/>
        <w:rPr>
          <w:sz w:val="21"/>
        </w:rPr>
        <w:sectPr>
          <w:type w:val="continuous"/>
          <w:pgSz w:w="11910" w:h="16840"/>
          <w:pgMar w:top="0" w:bottom="280" w:left="740" w:right="20"/>
          <w:cols w:num="2" w:equalWidth="0">
            <w:col w:w="2657" w:space="40"/>
            <w:col w:w="8453"/>
          </w:cols>
        </w:sectPr>
      </w:pPr>
    </w:p>
    <w:p>
      <w:pPr>
        <w:pStyle w:val="Heading2"/>
        <w:spacing w:line="172" w:lineRule="auto" w:before="35"/>
      </w:pPr>
      <w:r>
        <w:rPr>
          <w:spacing w:val="-2"/>
        </w:rPr>
        <w:t>平稳增利型</w:t>
      </w:r>
      <w:r>
        <w:rPr>
          <w:spacing w:val="-4"/>
        </w:rPr>
        <w:t>投资账户</w:t>
      </w:r>
    </w:p>
    <w:p>
      <w:pPr>
        <w:pStyle w:val="BodyText"/>
        <w:spacing w:line="273" w:lineRule="auto" w:before="55"/>
        <w:ind w:left="226" w:right="1104" w:firstLine="420"/>
      </w:pPr>
      <w:r>
        <w:rPr/>
        <w:br w:type="column"/>
      </w:r>
      <w:r>
        <w:rPr>
          <w:spacing w:val="-3"/>
          <w:w w:val="96"/>
          <w:sz w:val="22"/>
        </w:rPr>
        <w:t>账户投资范围：</w:t>
      </w:r>
      <w:r>
        <w:rPr>
          <w:spacing w:val="-5"/>
          <w:w w:val="100"/>
        </w:rPr>
        <w:t>本账户主要投资于上市权益类资产、银行存款、债券、债</w:t>
      </w:r>
      <w:r>
        <w:rPr>
          <w:spacing w:val="-4"/>
          <w:w w:val="100"/>
        </w:rPr>
        <w:t>券回购、债权投资计划、不动产相关金融产品、其他金融资产等投资工具。</w:t>
      </w:r>
    </w:p>
    <w:p>
      <w:pPr>
        <w:pStyle w:val="BodyText"/>
        <w:spacing w:line="278" w:lineRule="auto"/>
        <w:ind w:left="226" w:right="1101" w:firstLine="420"/>
        <w:jc w:val="both"/>
      </w:pPr>
      <w:r>
        <w:rPr>
          <w:w w:val="95"/>
          <w:sz w:val="22"/>
        </w:rPr>
        <w:t>资</w:t>
      </w:r>
      <w:r>
        <w:rPr>
          <w:w w:val="95"/>
          <w:sz w:val="22"/>
        </w:rPr>
        <w:t>产</w:t>
      </w:r>
      <w:r>
        <w:rPr>
          <w:w w:val="95"/>
          <w:sz w:val="22"/>
        </w:rPr>
        <w:t>配置</w:t>
      </w:r>
      <w:r>
        <w:rPr>
          <w:w w:val="95"/>
          <w:sz w:val="22"/>
        </w:rPr>
        <w:t>比</w:t>
      </w:r>
      <w:r>
        <w:rPr>
          <w:w w:val="95"/>
          <w:sz w:val="22"/>
        </w:rPr>
        <w:t>例</w:t>
      </w:r>
      <w:r>
        <w:rPr>
          <w:w w:val="95"/>
          <w:sz w:val="22"/>
        </w:rPr>
        <w:t>：</w:t>
      </w:r>
      <w:r>
        <w:rPr>
          <w:w w:val="95"/>
        </w:rPr>
        <w:t>银行</w:t>
      </w:r>
      <w:r>
        <w:rPr>
          <w:w w:val="95"/>
        </w:rPr>
        <w:t>存</w:t>
      </w:r>
      <w:r>
        <w:rPr>
          <w:w w:val="95"/>
        </w:rPr>
        <w:t>款</w:t>
      </w:r>
      <w:r>
        <w:rPr>
          <w:w w:val="95"/>
        </w:rPr>
        <w:t>等</w:t>
      </w:r>
      <w:r>
        <w:rPr>
          <w:w w:val="95"/>
        </w:rPr>
        <w:t>流</w:t>
      </w:r>
      <w:r>
        <w:rPr>
          <w:w w:val="95"/>
        </w:rPr>
        <w:t>动性资产不低于账户价值的 5%；上市</w:t>
      </w:r>
      <w:r>
        <w:rPr>
          <w:w w:val="95"/>
        </w:rPr>
        <w:t>权</w:t>
      </w:r>
      <w:r>
        <w:rPr>
          <w:w w:val="95"/>
        </w:rPr>
        <w:t>益</w:t>
      </w:r>
      <w:r>
        <w:rPr>
          <w:w w:val="95"/>
        </w:rPr>
        <w:t>类</w:t>
      </w:r>
      <w:r>
        <w:rPr>
          <w:spacing w:val="-3"/>
        </w:rPr>
        <w:t>资产的比例为账户价值的 </w:t>
      </w:r>
      <w:r>
        <w:rPr/>
        <w:t>0-25%；债券、债券回购等固定收益类资产合计占账</w:t>
      </w:r>
      <w:r>
        <w:rPr>
          <w:spacing w:val="-4"/>
        </w:rPr>
        <w:t>户价值的比例为 </w:t>
      </w:r>
      <w:r>
        <w:rPr/>
        <w:t>0-90%；基础设施投资计划、不动产相关金融产品的比例为账</w:t>
      </w:r>
      <w:r>
        <w:rPr>
          <w:spacing w:val="-6"/>
        </w:rPr>
        <w:t>户价值的 </w:t>
      </w:r>
      <w:r>
        <w:rPr/>
        <w:t>0-45%；基础设施投资计划、不动产相关金融产品及其他金融资产的投资余额合计不高于账户价值的 75%,其中单一项目的投资余额不得超过账户</w:t>
      </w:r>
      <w:r>
        <w:rPr>
          <w:spacing w:val="-10"/>
        </w:rPr>
        <w:t>价值的 </w:t>
      </w:r>
      <w:r>
        <w:rPr/>
        <w:t>50%。</w:t>
      </w:r>
    </w:p>
    <w:p>
      <w:pPr>
        <w:spacing w:before="57"/>
        <w:ind w:left="647" w:right="0" w:firstLine="0"/>
        <w:jc w:val="left"/>
        <w:rPr>
          <w:sz w:val="21"/>
        </w:rPr>
      </w:pPr>
      <w:r>
        <w:rPr>
          <w:w w:val="95"/>
          <w:sz w:val="22"/>
        </w:rPr>
        <w:t>账</w:t>
      </w:r>
      <w:r>
        <w:rPr>
          <w:w w:val="95"/>
          <w:sz w:val="22"/>
        </w:rPr>
        <w:t>户</w:t>
      </w:r>
      <w:r>
        <w:rPr>
          <w:w w:val="95"/>
          <w:sz w:val="22"/>
        </w:rPr>
        <w:t>主要风险：</w:t>
      </w:r>
      <w:r>
        <w:rPr>
          <w:w w:val="95"/>
          <w:sz w:val="21"/>
        </w:rPr>
        <w:t>市场风险</w:t>
      </w:r>
      <w:r>
        <w:rPr>
          <w:w w:val="95"/>
          <w:sz w:val="21"/>
        </w:rPr>
        <w:t>、</w:t>
      </w:r>
      <w:r>
        <w:rPr>
          <w:w w:val="95"/>
          <w:sz w:val="21"/>
        </w:rPr>
        <w:t>利</w:t>
      </w:r>
      <w:r>
        <w:rPr>
          <w:w w:val="95"/>
          <w:sz w:val="21"/>
        </w:rPr>
        <w:t>率风险、信用风险及</w:t>
      </w:r>
      <w:r>
        <w:rPr>
          <w:w w:val="95"/>
          <w:sz w:val="21"/>
        </w:rPr>
        <w:t>流</w:t>
      </w:r>
      <w:r>
        <w:rPr>
          <w:w w:val="95"/>
          <w:sz w:val="21"/>
        </w:rPr>
        <w:t>动</w:t>
      </w:r>
      <w:r>
        <w:rPr>
          <w:spacing w:val="-3"/>
          <w:w w:val="95"/>
          <w:sz w:val="21"/>
        </w:rPr>
        <w:t>性风险。</w:t>
      </w:r>
    </w:p>
    <w:p>
      <w:pPr>
        <w:spacing w:after="0"/>
        <w:jc w:val="left"/>
        <w:rPr>
          <w:sz w:val="21"/>
        </w:rPr>
        <w:sectPr>
          <w:pgSz w:w="11910" w:h="16840"/>
          <w:pgMar w:top="1300" w:bottom="280" w:left="740" w:right="20"/>
          <w:cols w:num="2" w:equalWidth="0">
            <w:col w:w="2642" w:space="40"/>
            <w:col w:w="8468"/>
          </w:cols>
        </w:sectPr>
      </w:pPr>
    </w:p>
    <w:p>
      <w:pPr>
        <w:pStyle w:val="BodyText"/>
        <w:rPr>
          <w:sz w:val="20"/>
        </w:rPr>
      </w:pPr>
    </w:p>
    <w:p>
      <w:pPr>
        <w:spacing w:after="0"/>
        <w:rPr>
          <w:sz w:val="20"/>
        </w:rPr>
        <w:sectPr>
          <w:type w:val="continuous"/>
          <w:pgSz w:w="11910" w:h="16840"/>
          <w:pgMar w:top="0" w:bottom="280" w:left="740" w:right="20"/>
        </w:sectPr>
      </w:pPr>
    </w:p>
    <w:p>
      <w:pPr>
        <w:pStyle w:val="Heading2"/>
        <w:spacing w:line="172" w:lineRule="auto"/>
      </w:pPr>
      <w:r>
        <w:rPr>
          <w:spacing w:val="-5"/>
        </w:rPr>
        <w:t>增利 </w:t>
      </w:r>
      <w:r>
        <w:rPr/>
        <w:t>90</w:t>
      </w:r>
      <w:r>
        <w:rPr>
          <w:spacing w:val="-6"/>
        </w:rPr>
        <w:t> 投资</w:t>
      </w:r>
      <w:r>
        <w:rPr>
          <w:spacing w:val="-6"/>
        </w:rPr>
        <w:t>账户</w:t>
      </w:r>
    </w:p>
    <w:p>
      <w:pPr>
        <w:pStyle w:val="BodyText"/>
        <w:spacing w:line="273" w:lineRule="auto" w:before="82"/>
        <w:ind w:left="70" w:right="1104" w:firstLine="420"/>
      </w:pPr>
      <w:r>
        <w:rPr/>
        <w:br w:type="column"/>
      </w:r>
      <w:r>
        <w:rPr>
          <w:spacing w:val="-3"/>
          <w:w w:val="96"/>
          <w:sz w:val="22"/>
        </w:rPr>
        <w:t>账户投资范围：</w:t>
      </w:r>
      <w:r>
        <w:rPr>
          <w:spacing w:val="-5"/>
          <w:w w:val="100"/>
        </w:rPr>
        <w:t>本账户主要投资于上市权益类资产、银行存款、债券、债</w:t>
      </w:r>
      <w:r>
        <w:rPr>
          <w:spacing w:val="-4"/>
          <w:w w:val="100"/>
        </w:rPr>
        <w:t>券回购、债权投资计划、不动产相关金融产品、其他金融资产等投资工具。</w:t>
      </w:r>
    </w:p>
    <w:p>
      <w:pPr>
        <w:pStyle w:val="BodyText"/>
        <w:spacing w:line="278" w:lineRule="auto"/>
        <w:ind w:left="70" w:right="1101" w:firstLine="420"/>
        <w:jc w:val="both"/>
      </w:pPr>
      <w:r>
        <w:rPr>
          <w:w w:val="95"/>
          <w:sz w:val="22"/>
        </w:rPr>
        <w:t>资</w:t>
      </w:r>
      <w:r>
        <w:rPr>
          <w:w w:val="95"/>
          <w:sz w:val="22"/>
        </w:rPr>
        <w:t>产</w:t>
      </w:r>
      <w:r>
        <w:rPr>
          <w:w w:val="95"/>
          <w:sz w:val="22"/>
        </w:rPr>
        <w:t>配置</w:t>
      </w:r>
      <w:r>
        <w:rPr>
          <w:w w:val="95"/>
          <w:sz w:val="22"/>
        </w:rPr>
        <w:t>比</w:t>
      </w:r>
      <w:r>
        <w:rPr>
          <w:w w:val="95"/>
          <w:sz w:val="22"/>
        </w:rPr>
        <w:t>例</w:t>
      </w:r>
      <w:r>
        <w:rPr>
          <w:w w:val="95"/>
          <w:sz w:val="22"/>
        </w:rPr>
        <w:t>：</w:t>
      </w:r>
      <w:r>
        <w:rPr>
          <w:w w:val="95"/>
        </w:rPr>
        <w:t>银行</w:t>
      </w:r>
      <w:r>
        <w:rPr>
          <w:w w:val="95"/>
        </w:rPr>
        <w:t>存</w:t>
      </w:r>
      <w:r>
        <w:rPr>
          <w:w w:val="95"/>
        </w:rPr>
        <w:t>款</w:t>
      </w:r>
      <w:r>
        <w:rPr>
          <w:w w:val="95"/>
        </w:rPr>
        <w:t>等</w:t>
      </w:r>
      <w:r>
        <w:rPr>
          <w:w w:val="95"/>
        </w:rPr>
        <w:t>流</w:t>
      </w:r>
      <w:r>
        <w:rPr>
          <w:w w:val="95"/>
        </w:rPr>
        <w:t>动性资产不低于账户</w:t>
      </w:r>
      <w:r>
        <w:rPr>
          <w:w w:val="95"/>
        </w:rPr>
        <w:t>总</w:t>
      </w:r>
      <w:r>
        <w:rPr>
          <w:w w:val="95"/>
        </w:rPr>
        <w:t>资</w:t>
      </w:r>
      <w:r>
        <w:rPr>
          <w:w w:val="95"/>
        </w:rPr>
        <w:t>产的 5%；上</w:t>
      </w:r>
      <w:r>
        <w:rPr>
          <w:w w:val="95"/>
        </w:rPr>
        <w:t>市</w:t>
      </w:r>
      <w:r>
        <w:rPr>
          <w:w w:val="95"/>
        </w:rPr>
        <w:t>权</w:t>
      </w:r>
      <w:r>
        <w:rPr>
          <w:w w:val="95"/>
        </w:rPr>
        <w:t>益</w:t>
      </w:r>
      <w:r>
        <w:rPr>
          <w:spacing w:val="-2"/>
        </w:rPr>
        <w:t>类资产的比例为账户总资产的 </w:t>
      </w:r>
      <w:r>
        <w:rPr/>
        <w:t>0-40%；债券、债券回购等固定收益类资产合计</w:t>
      </w:r>
      <w:r>
        <w:rPr>
          <w:spacing w:val="-3"/>
        </w:rPr>
        <w:t>占账户总资产的比例为 </w:t>
      </w:r>
      <w:r>
        <w:rPr/>
        <w:t>0-60%；基础设施投资计划、不动产相关金融产品、其他金融资产的投资余额合计不高于账户总资产的 75%,其中单一项目的投资余</w:t>
      </w:r>
      <w:r>
        <w:rPr>
          <w:spacing w:val="-4"/>
        </w:rPr>
        <w:t>额不得超过账户价值的 </w:t>
      </w:r>
      <w:r>
        <w:rPr/>
        <w:t>50%。</w:t>
      </w:r>
    </w:p>
    <w:p>
      <w:pPr>
        <w:spacing w:before="57"/>
        <w:ind w:left="490" w:right="0" w:firstLine="0"/>
        <w:jc w:val="left"/>
        <w:rPr>
          <w:sz w:val="21"/>
        </w:rPr>
      </w:pPr>
      <w:r>
        <w:rPr>
          <w:w w:val="95"/>
          <w:sz w:val="22"/>
        </w:rPr>
        <w:t>账</w:t>
      </w:r>
      <w:r>
        <w:rPr>
          <w:w w:val="95"/>
          <w:sz w:val="22"/>
        </w:rPr>
        <w:t>户</w:t>
      </w:r>
      <w:r>
        <w:rPr>
          <w:w w:val="95"/>
          <w:sz w:val="22"/>
        </w:rPr>
        <w:t>主要风险：</w:t>
      </w:r>
      <w:r>
        <w:rPr>
          <w:w w:val="95"/>
          <w:sz w:val="21"/>
        </w:rPr>
        <w:t>市场风险</w:t>
      </w:r>
      <w:r>
        <w:rPr>
          <w:w w:val="95"/>
          <w:sz w:val="21"/>
        </w:rPr>
        <w:t>、</w:t>
      </w:r>
      <w:r>
        <w:rPr>
          <w:w w:val="95"/>
          <w:sz w:val="21"/>
        </w:rPr>
        <w:t>利</w:t>
      </w:r>
      <w:r>
        <w:rPr>
          <w:w w:val="95"/>
          <w:sz w:val="21"/>
        </w:rPr>
        <w:t>率风险、信用风险及</w:t>
      </w:r>
      <w:r>
        <w:rPr>
          <w:w w:val="95"/>
          <w:sz w:val="21"/>
        </w:rPr>
        <w:t>流</w:t>
      </w:r>
      <w:r>
        <w:rPr>
          <w:w w:val="95"/>
          <w:sz w:val="21"/>
        </w:rPr>
        <w:t>动</w:t>
      </w:r>
      <w:r>
        <w:rPr>
          <w:spacing w:val="-3"/>
          <w:w w:val="95"/>
          <w:sz w:val="21"/>
        </w:rPr>
        <w:t>性风险。</w:t>
      </w:r>
    </w:p>
    <w:p>
      <w:pPr>
        <w:spacing w:after="0"/>
        <w:jc w:val="left"/>
        <w:rPr>
          <w:sz w:val="21"/>
        </w:rPr>
        <w:sectPr>
          <w:type w:val="continuous"/>
          <w:pgSz w:w="11910" w:h="16840"/>
          <w:pgMar w:top="0" w:bottom="280" w:left="740" w:right="20"/>
          <w:cols w:num="2" w:equalWidth="0">
            <w:col w:w="2799" w:space="40"/>
            <w:col w:w="8311"/>
          </w:cols>
        </w:sectPr>
      </w:pPr>
    </w:p>
    <w:p>
      <w:pPr>
        <w:pStyle w:val="BodyText"/>
        <w:spacing w:before="10"/>
        <w:rPr>
          <w:sz w:val="19"/>
        </w:rPr>
      </w:pPr>
    </w:p>
    <w:p>
      <w:pPr>
        <w:spacing w:after="0"/>
        <w:rPr>
          <w:sz w:val="19"/>
        </w:rPr>
        <w:sectPr>
          <w:type w:val="continuous"/>
          <w:pgSz w:w="11910" w:h="16840"/>
          <w:pgMar w:top="0" w:bottom="280" w:left="740" w:right="20"/>
        </w:sectPr>
      </w:pPr>
    </w:p>
    <w:p>
      <w:pPr>
        <w:pStyle w:val="Heading2"/>
        <w:spacing w:line="172" w:lineRule="auto" w:before="63"/>
      </w:pPr>
      <w:r>
        <w:rPr>
          <w:spacing w:val="-2"/>
        </w:rPr>
        <w:t>增利灵活型</w:t>
      </w:r>
      <w:r>
        <w:rPr>
          <w:spacing w:val="-4"/>
        </w:rPr>
        <w:t>投资账户</w:t>
      </w:r>
    </w:p>
    <w:p>
      <w:pPr>
        <w:pStyle w:val="BodyText"/>
        <w:spacing w:line="273" w:lineRule="auto" w:before="82"/>
        <w:ind w:left="226" w:right="1104" w:firstLine="420"/>
      </w:pPr>
      <w:r>
        <w:rPr/>
        <w:br w:type="column"/>
      </w:r>
      <w:r>
        <w:rPr>
          <w:spacing w:val="-3"/>
          <w:w w:val="96"/>
          <w:sz w:val="22"/>
        </w:rPr>
        <w:t>账户投资范围：</w:t>
      </w:r>
      <w:r>
        <w:rPr>
          <w:spacing w:val="-5"/>
          <w:w w:val="100"/>
        </w:rPr>
        <w:t>本账户主要投资于上市权益类资产、银行存款、债券、债</w:t>
      </w:r>
      <w:r>
        <w:rPr>
          <w:spacing w:val="-4"/>
          <w:w w:val="100"/>
        </w:rPr>
        <w:t>券回购、债权投资计划、不动产相关金融产品、其他金融资产等投资工具。</w:t>
      </w:r>
    </w:p>
    <w:p>
      <w:pPr>
        <w:pStyle w:val="BodyText"/>
        <w:spacing w:line="278" w:lineRule="auto"/>
        <w:ind w:left="226" w:right="1101" w:firstLine="420"/>
        <w:jc w:val="both"/>
      </w:pPr>
      <w:r>
        <w:rPr>
          <w:w w:val="95"/>
          <w:sz w:val="22"/>
        </w:rPr>
        <w:t>资</w:t>
      </w:r>
      <w:r>
        <w:rPr>
          <w:w w:val="95"/>
          <w:sz w:val="22"/>
        </w:rPr>
        <w:t>产</w:t>
      </w:r>
      <w:r>
        <w:rPr>
          <w:w w:val="95"/>
          <w:sz w:val="22"/>
        </w:rPr>
        <w:t>配置</w:t>
      </w:r>
      <w:r>
        <w:rPr>
          <w:w w:val="95"/>
          <w:sz w:val="22"/>
        </w:rPr>
        <w:t>比</w:t>
      </w:r>
      <w:r>
        <w:rPr>
          <w:w w:val="95"/>
          <w:sz w:val="22"/>
        </w:rPr>
        <w:t>例</w:t>
      </w:r>
      <w:r>
        <w:rPr>
          <w:w w:val="95"/>
          <w:sz w:val="22"/>
        </w:rPr>
        <w:t>：</w:t>
      </w:r>
      <w:r>
        <w:rPr>
          <w:w w:val="95"/>
        </w:rPr>
        <w:t>银行</w:t>
      </w:r>
      <w:r>
        <w:rPr>
          <w:w w:val="95"/>
        </w:rPr>
        <w:t>存</w:t>
      </w:r>
      <w:r>
        <w:rPr>
          <w:w w:val="95"/>
        </w:rPr>
        <w:t>款</w:t>
      </w:r>
      <w:r>
        <w:rPr>
          <w:w w:val="95"/>
        </w:rPr>
        <w:t>等</w:t>
      </w:r>
      <w:r>
        <w:rPr>
          <w:w w:val="95"/>
        </w:rPr>
        <w:t>流</w:t>
      </w:r>
      <w:r>
        <w:rPr>
          <w:w w:val="95"/>
        </w:rPr>
        <w:t>动性资产不低于账户</w:t>
      </w:r>
      <w:r>
        <w:rPr>
          <w:w w:val="95"/>
        </w:rPr>
        <w:t>总</w:t>
      </w:r>
      <w:r>
        <w:rPr>
          <w:w w:val="95"/>
        </w:rPr>
        <w:t>资</w:t>
      </w:r>
      <w:r>
        <w:rPr>
          <w:w w:val="95"/>
        </w:rPr>
        <w:t>产的 5%；上</w:t>
      </w:r>
      <w:r>
        <w:rPr>
          <w:w w:val="95"/>
        </w:rPr>
        <w:t>市</w:t>
      </w:r>
      <w:r>
        <w:rPr>
          <w:w w:val="95"/>
        </w:rPr>
        <w:t>权</w:t>
      </w:r>
      <w:r>
        <w:rPr>
          <w:w w:val="95"/>
        </w:rPr>
        <w:t>益</w:t>
      </w:r>
      <w:r>
        <w:rPr>
          <w:spacing w:val="-2"/>
        </w:rPr>
        <w:t>类资产的比例为账户总资产的 </w:t>
      </w:r>
      <w:r>
        <w:rPr/>
        <w:t>0-40%；债券、债券回购等固定收益类资产合计</w:t>
      </w:r>
      <w:r>
        <w:rPr>
          <w:spacing w:val="-3"/>
        </w:rPr>
        <w:t>占账户总资产的比例为 </w:t>
      </w:r>
      <w:r>
        <w:rPr/>
        <w:t>0-90%；基础设施投资计划、不动产相关金融产品的比</w:t>
      </w:r>
      <w:r>
        <w:rPr>
          <w:spacing w:val="-4"/>
        </w:rPr>
        <w:t>例为账户总资产的 </w:t>
      </w:r>
      <w:r>
        <w:rPr/>
        <w:t>0-40%；基础设施投资计划、不动产相关金融产品、其他金融资产的投资余额合计不高于账户总资产的 75%,其中单一项目的投资余额不</w:t>
      </w:r>
      <w:r>
        <w:rPr>
          <w:spacing w:val="-5"/>
        </w:rPr>
        <w:t>得超过账户价值的 </w:t>
      </w:r>
      <w:r>
        <w:rPr/>
        <w:t>50%。</w:t>
      </w:r>
    </w:p>
    <w:p>
      <w:pPr>
        <w:spacing w:before="58"/>
        <w:ind w:left="646" w:right="0" w:firstLine="0"/>
        <w:jc w:val="left"/>
        <w:rPr>
          <w:sz w:val="21"/>
        </w:rPr>
      </w:pPr>
      <w:r>
        <w:rPr>
          <w:w w:val="95"/>
          <w:sz w:val="22"/>
        </w:rPr>
        <w:t>账</w:t>
      </w:r>
      <w:r>
        <w:rPr>
          <w:w w:val="95"/>
          <w:sz w:val="22"/>
        </w:rPr>
        <w:t>户</w:t>
      </w:r>
      <w:r>
        <w:rPr>
          <w:w w:val="95"/>
          <w:sz w:val="22"/>
        </w:rPr>
        <w:t>主要风险：</w:t>
      </w:r>
      <w:r>
        <w:rPr>
          <w:w w:val="95"/>
          <w:sz w:val="21"/>
        </w:rPr>
        <w:t>市场风险</w:t>
      </w:r>
      <w:r>
        <w:rPr>
          <w:w w:val="95"/>
          <w:sz w:val="21"/>
        </w:rPr>
        <w:t>、</w:t>
      </w:r>
      <w:r>
        <w:rPr>
          <w:w w:val="95"/>
          <w:sz w:val="21"/>
        </w:rPr>
        <w:t>利</w:t>
      </w:r>
      <w:r>
        <w:rPr>
          <w:w w:val="95"/>
          <w:sz w:val="21"/>
        </w:rPr>
        <w:t>率风险、信用风险及</w:t>
      </w:r>
      <w:r>
        <w:rPr>
          <w:w w:val="95"/>
          <w:sz w:val="21"/>
        </w:rPr>
        <w:t>流</w:t>
      </w:r>
      <w:r>
        <w:rPr>
          <w:w w:val="95"/>
          <w:sz w:val="21"/>
        </w:rPr>
        <w:t>动</w:t>
      </w:r>
      <w:r>
        <w:rPr>
          <w:spacing w:val="-3"/>
          <w:w w:val="95"/>
          <w:sz w:val="21"/>
        </w:rPr>
        <w:t>性风险。</w:t>
      </w:r>
    </w:p>
    <w:p>
      <w:pPr>
        <w:spacing w:after="0"/>
        <w:jc w:val="left"/>
        <w:rPr>
          <w:sz w:val="21"/>
        </w:rPr>
        <w:sectPr>
          <w:type w:val="continuous"/>
          <w:pgSz w:w="11910" w:h="16840"/>
          <w:pgMar w:top="0" w:bottom="280" w:left="740" w:right="20"/>
          <w:cols w:num="2" w:equalWidth="0">
            <w:col w:w="2643" w:space="40"/>
            <w:col w:w="8467"/>
          </w:cols>
        </w:sectPr>
      </w:pPr>
    </w:p>
    <w:p>
      <w:pPr>
        <w:pStyle w:val="BodyText"/>
        <w:spacing w:before="12"/>
        <w:rPr>
          <w:sz w:val="19"/>
        </w:rPr>
      </w:pPr>
    </w:p>
    <w:p>
      <w:pPr>
        <w:spacing w:after="0"/>
        <w:rPr>
          <w:sz w:val="19"/>
        </w:rPr>
        <w:sectPr>
          <w:type w:val="continuous"/>
          <w:pgSz w:w="11910" w:h="16840"/>
          <w:pgMar w:top="0" w:bottom="280" w:left="740" w:right="20"/>
        </w:sectPr>
      </w:pPr>
    </w:p>
    <w:p>
      <w:pPr>
        <w:pStyle w:val="Heading2"/>
        <w:spacing w:line="172" w:lineRule="auto"/>
      </w:pPr>
      <w:r>
        <w:rPr>
          <w:spacing w:val="-2"/>
        </w:rPr>
        <w:t>价值精选型</w:t>
      </w:r>
      <w:r>
        <w:rPr>
          <w:spacing w:val="-4"/>
        </w:rPr>
        <w:t>投资账户</w:t>
      </w:r>
    </w:p>
    <w:p>
      <w:pPr>
        <w:pStyle w:val="BodyText"/>
        <w:spacing w:line="273" w:lineRule="auto" w:before="81"/>
        <w:ind w:left="226" w:right="1104" w:firstLine="420"/>
      </w:pPr>
      <w:r>
        <w:rPr/>
        <w:br w:type="column"/>
      </w:r>
      <w:r>
        <w:rPr>
          <w:spacing w:val="-3"/>
          <w:w w:val="96"/>
          <w:sz w:val="22"/>
        </w:rPr>
        <w:t>账户投资范围：</w:t>
      </w:r>
      <w:r>
        <w:rPr>
          <w:spacing w:val="-5"/>
          <w:w w:val="100"/>
        </w:rPr>
        <w:t>本账户主要投资于上市权益类资产、银行存款、债券、债</w:t>
      </w:r>
      <w:r>
        <w:rPr>
          <w:spacing w:val="-4"/>
          <w:w w:val="100"/>
        </w:rPr>
        <w:t>券回购、债权投资计划、不动产相关金融产品、其他金融资产等投资工具。</w:t>
      </w:r>
    </w:p>
    <w:p>
      <w:pPr>
        <w:pStyle w:val="BodyText"/>
        <w:spacing w:line="278" w:lineRule="auto"/>
        <w:ind w:left="226" w:right="1101" w:firstLine="420"/>
        <w:jc w:val="both"/>
      </w:pPr>
      <w:r>
        <w:rPr>
          <w:w w:val="95"/>
          <w:sz w:val="22"/>
        </w:rPr>
        <w:t>资</w:t>
      </w:r>
      <w:r>
        <w:rPr>
          <w:w w:val="95"/>
          <w:sz w:val="22"/>
        </w:rPr>
        <w:t>产</w:t>
      </w:r>
      <w:r>
        <w:rPr>
          <w:w w:val="95"/>
          <w:sz w:val="22"/>
        </w:rPr>
        <w:t>配置</w:t>
      </w:r>
      <w:r>
        <w:rPr>
          <w:w w:val="95"/>
          <w:sz w:val="22"/>
        </w:rPr>
        <w:t>比</w:t>
      </w:r>
      <w:r>
        <w:rPr>
          <w:w w:val="95"/>
          <w:sz w:val="22"/>
        </w:rPr>
        <w:t>例</w:t>
      </w:r>
      <w:r>
        <w:rPr>
          <w:w w:val="95"/>
          <w:sz w:val="22"/>
        </w:rPr>
        <w:t>：</w:t>
      </w:r>
      <w:r>
        <w:rPr>
          <w:w w:val="95"/>
        </w:rPr>
        <w:t>银行</w:t>
      </w:r>
      <w:r>
        <w:rPr>
          <w:w w:val="95"/>
        </w:rPr>
        <w:t>存</w:t>
      </w:r>
      <w:r>
        <w:rPr>
          <w:w w:val="95"/>
        </w:rPr>
        <w:t>款</w:t>
      </w:r>
      <w:r>
        <w:rPr>
          <w:w w:val="95"/>
        </w:rPr>
        <w:t>等</w:t>
      </w:r>
      <w:r>
        <w:rPr>
          <w:w w:val="95"/>
        </w:rPr>
        <w:t>流</w:t>
      </w:r>
      <w:r>
        <w:rPr>
          <w:w w:val="95"/>
        </w:rPr>
        <w:t>动性资产不低于账户</w:t>
      </w:r>
      <w:r>
        <w:rPr>
          <w:w w:val="95"/>
        </w:rPr>
        <w:t>总</w:t>
      </w:r>
      <w:r>
        <w:rPr>
          <w:w w:val="95"/>
        </w:rPr>
        <w:t>资</w:t>
      </w:r>
      <w:r>
        <w:rPr>
          <w:w w:val="95"/>
        </w:rPr>
        <w:t>产的 5%；上</w:t>
      </w:r>
      <w:r>
        <w:rPr>
          <w:w w:val="95"/>
        </w:rPr>
        <w:t>市</w:t>
      </w:r>
      <w:r>
        <w:rPr>
          <w:w w:val="95"/>
        </w:rPr>
        <w:t>权</w:t>
      </w:r>
      <w:r>
        <w:rPr>
          <w:w w:val="95"/>
        </w:rPr>
        <w:t>益</w:t>
      </w:r>
      <w:r>
        <w:rPr>
          <w:spacing w:val="-2"/>
        </w:rPr>
        <w:t>类资产的比例为账户总资产的 </w:t>
      </w:r>
      <w:r>
        <w:rPr/>
        <w:t>0-80%；债券、债券回购等固定收益类资产合计</w:t>
      </w:r>
      <w:r>
        <w:rPr>
          <w:spacing w:val="-3"/>
        </w:rPr>
        <w:t>占账户总资产的比例为 </w:t>
      </w:r>
      <w:r>
        <w:rPr/>
        <w:t>0-90%；基础设施投资计划、不动产相关金融产品、其他金融资产的投资余额合计不高于账户总资产的 75%,其中单一项目的投资余额不得超过账户价值的 50%。</w:t>
      </w:r>
    </w:p>
    <w:p>
      <w:pPr>
        <w:spacing w:before="58"/>
        <w:ind w:left="646" w:right="0" w:firstLine="0"/>
        <w:jc w:val="left"/>
        <w:rPr>
          <w:sz w:val="21"/>
        </w:rPr>
      </w:pPr>
      <w:r>
        <w:rPr>
          <w:w w:val="95"/>
          <w:sz w:val="22"/>
        </w:rPr>
        <w:t>账</w:t>
      </w:r>
      <w:r>
        <w:rPr>
          <w:w w:val="95"/>
          <w:sz w:val="22"/>
        </w:rPr>
        <w:t>户</w:t>
      </w:r>
      <w:r>
        <w:rPr>
          <w:w w:val="95"/>
          <w:sz w:val="22"/>
        </w:rPr>
        <w:t>主要风险：</w:t>
      </w:r>
      <w:r>
        <w:rPr>
          <w:w w:val="95"/>
          <w:sz w:val="21"/>
        </w:rPr>
        <w:t>市场风险</w:t>
      </w:r>
      <w:r>
        <w:rPr>
          <w:w w:val="95"/>
          <w:sz w:val="21"/>
        </w:rPr>
        <w:t>、</w:t>
      </w:r>
      <w:r>
        <w:rPr>
          <w:w w:val="95"/>
          <w:sz w:val="21"/>
        </w:rPr>
        <w:t>利</w:t>
      </w:r>
      <w:r>
        <w:rPr>
          <w:w w:val="95"/>
          <w:sz w:val="21"/>
        </w:rPr>
        <w:t>率风险、信用风险及</w:t>
      </w:r>
      <w:r>
        <w:rPr>
          <w:w w:val="95"/>
          <w:sz w:val="21"/>
        </w:rPr>
        <w:t>流</w:t>
      </w:r>
      <w:r>
        <w:rPr>
          <w:w w:val="95"/>
          <w:sz w:val="21"/>
        </w:rPr>
        <w:t>动</w:t>
      </w:r>
      <w:r>
        <w:rPr>
          <w:spacing w:val="-3"/>
          <w:w w:val="95"/>
          <w:sz w:val="21"/>
        </w:rPr>
        <w:t>性风险。</w:t>
      </w:r>
    </w:p>
    <w:p>
      <w:pPr>
        <w:spacing w:after="0"/>
        <w:jc w:val="left"/>
        <w:rPr>
          <w:sz w:val="21"/>
        </w:rPr>
        <w:sectPr>
          <w:type w:val="continuous"/>
          <w:pgSz w:w="11910" w:h="16840"/>
          <w:pgMar w:top="0" w:bottom="280" w:left="740" w:right="20"/>
          <w:cols w:num="2" w:equalWidth="0">
            <w:col w:w="2643" w:space="40"/>
            <w:col w:w="8467"/>
          </w:cols>
        </w:sectPr>
      </w:pPr>
    </w:p>
    <w:p>
      <w:pPr>
        <w:pStyle w:val="Heading2"/>
        <w:spacing w:line="172" w:lineRule="auto" w:before="47"/>
      </w:pPr>
      <w:r>
        <w:rPr>
          <w:spacing w:val="-2"/>
        </w:rPr>
        <w:t>趋势增长投</w:t>
      </w:r>
      <w:r>
        <w:rPr>
          <w:spacing w:val="-4"/>
        </w:rPr>
        <w:t>资账户</w:t>
      </w:r>
    </w:p>
    <w:p>
      <w:pPr>
        <w:pStyle w:val="BodyText"/>
        <w:spacing w:line="276" w:lineRule="auto" w:before="67"/>
        <w:ind w:left="226" w:right="1101" w:firstLine="420"/>
        <w:jc w:val="both"/>
      </w:pPr>
      <w:r>
        <w:rPr/>
        <w:br w:type="column"/>
      </w:r>
      <w:r>
        <w:rPr>
          <w:spacing w:val="-3"/>
          <w:w w:val="96"/>
          <w:sz w:val="22"/>
        </w:rPr>
        <w:t>账户投资范围：</w:t>
      </w:r>
      <w:r>
        <w:rPr>
          <w:spacing w:val="-5"/>
          <w:w w:val="100"/>
        </w:rPr>
        <w:t>本账户主要投资于公开发行上市的股票、封闭式基金、开放式基金以及其他权益类资产，债券、债权投资计划、集合资金信托计划、货</w:t>
      </w:r>
      <w:r>
        <w:rPr>
          <w:spacing w:val="-4"/>
          <w:w w:val="100"/>
        </w:rPr>
        <w:t>币市场工具、其他金融资产等投资工具。</w:t>
      </w:r>
    </w:p>
    <w:p>
      <w:pPr>
        <w:pStyle w:val="BodyText"/>
        <w:spacing w:line="278" w:lineRule="auto"/>
        <w:ind w:left="226" w:right="996" w:firstLine="420"/>
      </w:pPr>
      <w:r>
        <w:rPr>
          <w:spacing w:val="-2"/>
          <w:sz w:val="22"/>
        </w:rPr>
        <w:t>资</w:t>
      </w:r>
      <w:r>
        <w:rPr>
          <w:spacing w:val="-2"/>
          <w:sz w:val="22"/>
        </w:rPr>
        <w:t>产</w:t>
      </w:r>
      <w:r>
        <w:rPr>
          <w:spacing w:val="-2"/>
          <w:sz w:val="22"/>
        </w:rPr>
        <w:t>配置比例：</w:t>
      </w:r>
      <w:r>
        <w:rPr>
          <w:spacing w:val="-2"/>
        </w:rPr>
        <w:t>股票、封闭式基金、开放式基金以及其他权益类资产的投</w:t>
      </w:r>
      <w:r>
        <w:rPr/>
        <w:t>资比例为账户价值的 0-90%；债券、债券回购等固定收益类资产合计占账户价</w:t>
      </w:r>
      <w:r>
        <w:rPr>
          <w:spacing w:val="-20"/>
        </w:rPr>
        <w:t>值的 </w:t>
      </w:r>
      <w:r>
        <w:rPr>
          <w:spacing w:val="-4"/>
        </w:rPr>
        <w:t>0-50</w:t>
      </w:r>
      <w:r>
        <w:rPr>
          <w:spacing w:val="-7"/>
        </w:rPr>
        <w:t>%；流动性资产的投资余额不低于账户价值的 </w:t>
      </w:r>
      <w:r>
        <w:rPr>
          <w:spacing w:val="-4"/>
        </w:rPr>
        <w:t>5%；基础设施投资计划、</w:t>
      </w:r>
      <w:r>
        <w:rPr/>
        <w:t>不动产相关金融产品、其他金融资产的投资余额不超过账户价值的 75%，其中</w:t>
      </w:r>
      <w:r>
        <w:rPr>
          <w:spacing w:val="-3"/>
        </w:rPr>
        <w:t>单一项目的投资余额不超过账户价值的 </w:t>
      </w:r>
      <w:r>
        <w:rPr/>
        <w:t>50%。</w:t>
      </w:r>
    </w:p>
    <w:p>
      <w:pPr>
        <w:spacing w:line="266" w:lineRule="exact" w:before="0"/>
        <w:ind w:left="649" w:right="0" w:firstLine="0"/>
        <w:jc w:val="left"/>
        <w:rPr>
          <w:sz w:val="21"/>
        </w:rPr>
      </w:pPr>
      <w:r>
        <w:rPr>
          <w:w w:val="95"/>
          <w:sz w:val="22"/>
        </w:rPr>
        <w:t>账户主要风险：</w:t>
      </w:r>
      <w:r>
        <w:rPr>
          <w:w w:val="95"/>
          <w:sz w:val="21"/>
        </w:rPr>
        <w:t>市场</w:t>
      </w:r>
      <w:r>
        <w:rPr>
          <w:w w:val="95"/>
          <w:sz w:val="21"/>
        </w:rPr>
        <w:t>风</w:t>
      </w:r>
      <w:r>
        <w:rPr>
          <w:w w:val="95"/>
          <w:sz w:val="21"/>
        </w:rPr>
        <w:t>险</w:t>
      </w:r>
      <w:r>
        <w:rPr>
          <w:w w:val="95"/>
          <w:sz w:val="21"/>
        </w:rPr>
        <w:t>、政策风险、信用风</w:t>
      </w:r>
      <w:r>
        <w:rPr>
          <w:w w:val="95"/>
          <w:sz w:val="21"/>
        </w:rPr>
        <w:t>险</w:t>
      </w:r>
      <w:r>
        <w:rPr>
          <w:w w:val="95"/>
          <w:sz w:val="21"/>
        </w:rPr>
        <w:t>及</w:t>
      </w:r>
      <w:r>
        <w:rPr>
          <w:spacing w:val="-2"/>
          <w:w w:val="95"/>
          <w:sz w:val="21"/>
        </w:rPr>
        <w:t>流动性风险。</w:t>
      </w:r>
    </w:p>
    <w:p>
      <w:pPr>
        <w:spacing w:after="0" w:line="266" w:lineRule="exact"/>
        <w:jc w:val="left"/>
        <w:rPr>
          <w:sz w:val="21"/>
        </w:rPr>
        <w:sectPr>
          <w:pgSz w:w="11910" w:h="16840"/>
          <w:pgMar w:top="1060" w:bottom="280" w:left="740" w:right="20"/>
          <w:cols w:num="2" w:equalWidth="0">
            <w:col w:w="2642" w:space="40"/>
            <w:col w:w="8468"/>
          </w:cols>
        </w:sectPr>
      </w:pPr>
    </w:p>
    <w:p>
      <w:pPr>
        <w:pStyle w:val="BodyText"/>
        <w:spacing w:before="3"/>
        <w:rPr>
          <w:sz w:val="19"/>
        </w:rPr>
      </w:pPr>
    </w:p>
    <w:p>
      <w:pPr>
        <w:spacing w:after="0"/>
        <w:rPr>
          <w:sz w:val="19"/>
        </w:rPr>
        <w:sectPr>
          <w:type w:val="continuous"/>
          <w:pgSz w:w="11910" w:h="16840"/>
          <w:pgMar w:top="0" w:bottom="280" w:left="740" w:right="20"/>
        </w:sectPr>
      </w:pPr>
    </w:p>
    <w:p>
      <w:pPr>
        <w:pStyle w:val="Heading2"/>
        <w:spacing w:line="172" w:lineRule="auto"/>
      </w:pPr>
      <w:r>
        <w:rPr>
          <w:spacing w:val="-2"/>
        </w:rPr>
        <w:t>新兴动力投</w:t>
      </w:r>
      <w:r>
        <w:rPr>
          <w:spacing w:val="-4"/>
        </w:rPr>
        <w:t>资账户</w:t>
      </w:r>
    </w:p>
    <w:p>
      <w:pPr>
        <w:pStyle w:val="BodyText"/>
        <w:spacing w:line="276" w:lineRule="auto" w:before="82"/>
        <w:ind w:left="226" w:right="1101" w:firstLine="420"/>
        <w:jc w:val="both"/>
      </w:pPr>
      <w:r>
        <w:rPr/>
        <w:br w:type="column"/>
      </w:r>
      <w:r>
        <w:rPr>
          <w:spacing w:val="-3"/>
          <w:w w:val="96"/>
          <w:sz w:val="22"/>
        </w:rPr>
        <w:t>账户投资范围：</w:t>
      </w:r>
      <w:r>
        <w:rPr>
          <w:spacing w:val="-5"/>
          <w:w w:val="100"/>
        </w:rPr>
        <w:t>本账户主要投资于公开发行上市的股票、封闭式基金、开放式基金以及其他权益类资产，债券、债权投资计划、集合资金信托计划、货</w:t>
      </w:r>
      <w:r>
        <w:rPr>
          <w:spacing w:val="-4"/>
          <w:w w:val="100"/>
        </w:rPr>
        <w:t>币市场工具、其他金融资产等投资工具。</w:t>
      </w:r>
    </w:p>
    <w:p>
      <w:pPr>
        <w:pStyle w:val="BodyText"/>
        <w:spacing w:line="278" w:lineRule="auto"/>
        <w:ind w:left="226" w:right="995" w:firstLine="420"/>
      </w:pPr>
      <w:r>
        <w:rPr>
          <w:spacing w:val="-2"/>
          <w:sz w:val="22"/>
        </w:rPr>
        <w:t>资</w:t>
      </w:r>
      <w:r>
        <w:rPr>
          <w:spacing w:val="-2"/>
          <w:sz w:val="22"/>
        </w:rPr>
        <w:t>产</w:t>
      </w:r>
      <w:r>
        <w:rPr>
          <w:spacing w:val="-2"/>
          <w:sz w:val="22"/>
        </w:rPr>
        <w:t>配置比例：</w:t>
      </w:r>
      <w:r>
        <w:rPr>
          <w:spacing w:val="-2"/>
        </w:rPr>
        <w:t>股票、封闭式基金、开放式基金以及其他权益类资产的投</w:t>
      </w:r>
      <w:r>
        <w:rPr/>
        <w:t>资比例为账户价值的 0-90%；债券、债券回购等固定收益类资产合计占账户价</w:t>
      </w:r>
      <w:r>
        <w:rPr>
          <w:spacing w:val="-20"/>
        </w:rPr>
        <w:t>值的 </w:t>
      </w:r>
      <w:r>
        <w:rPr>
          <w:spacing w:val="-4"/>
        </w:rPr>
        <w:t>0-60</w:t>
      </w:r>
      <w:r>
        <w:rPr>
          <w:spacing w:val="-7"/>
        </w:rPr>
        <w:t>%；流动性资产的投资余额不低于账户价值的 </w:t>
      </w:r>
      <w:r>
        <w:rPr>
          <w:spacing w:val="-4"/>
        </w:rPr>
        <w:t>5%；基础设施投资计划、</w:t>
      </w:r>
      <w:r>
        <w:rPr/>
        <w:t>不动产相关金融产品、其他金融资产的投资余额不超过账户价值的 75%，其中</w:t>
      </w:r>
      <w:r>
        <w:rPr>
          <w:spacing w:val="-3"/>
        </w:rPr>
        <w:t>单一项目的投资余额不超过账户价值的 </w:t>
      </w:r>
      <w:r>
        <w:rPr/>
        <w:t>50%。</w:t>
      </w:r>
    </w:p>
    <w:p>
      <w:pPr>
        <w:spacing w:line="267" w:lineRule="exact" w:before="0"/>
        <w:ind w:left="226" w:right="0" w:firstLine="0"/>
        <w:jc w:val="left"/>
        <w:rPr>
          <w:sz w:val="21"/>
        </w:rPr>
      </w:pPr>
      <w:r>
        <w:rPr>
          <w:w w:val="95"/>
          <w:sz w:val="22"/>
        </w:rPr>
        <w:t>账</w:t>
      </w:r>
      <w:r>
        <w:rPr>
          <w:w w:val="95"/>
          <w:sz w:val="22"/>
        </w:rPr>
        <w:t>户</w:t>
      </w:r>
      <w:r>
        <w:rPr>
          <w:w w:val="95"/>
          <w:sz w:val="22"/>
        </w:rPr>
        <w:t>主要风险：</w:t>
      </w:r>
      <w:r>
        <w:rPr>
          <w:w w:val="95"/>
          <w:sz w:val="21"/>
        </w:rPr>
        <w:t>市场风险、政策风险、信用风险及</w:t>
      </w:r>
      <w:r>
        <w:rPr>
          <w:w w:val="95"/>
          <w:sz w:val="21"/>
        </w:rPr>
        <w:t>流</w:t>
      </w:r>
      <w:r>
        <w:rPr>
          <w:w w:val="95"/>
          <w:sz w:val="21"/>
        </w:rPr>
        <w:t>动</w:t>
      </w:r>
      <w:r>
        <w:rPr>
          <w:spacing w:val="-3"/>
          <w:w w:val="95"/>
          <w:sz w:val="21"/>
        </w:rPr>
        <w:t>性风险。</w:t>
      </w:r>
    </w:p>
    <w:p>
      <w:pPr>
        <w:spacing w:after="0" w:line="267" w:lineRule="exact"/>
        <w:jc w:val="left"/>
        <w:rPr>
          <w:sz w:val="21"/>
        </w:rPr>
        <w:sectPr>
          <w:type w:val="continuous"/>
          <w:pgSz w:w="11910" w:h="16840"/>
          <w:pgMar w:top="0" w:bottom="280" w:left="740" w:right="20"/>
          <w:cols w:num="2" w:equalWidth="0">
            <w:col w:w="2643" w:space="40"/>
            <w:col w:w="8467"/>
          </w:cols>
        </w:sectPr>
      </w:pPr>
    </w:p>
    <w:p>
      <w:pPr>
        <w:pStyle w:val="BodyText"/>
        <w:spacing w:before="11"/>
        <w:rPr>
          <w:sz w:val="16"/>
        </w:rPr>
      </w:pPr>
    </w:p>
    <w:p>
      <w:pPr>
        <w:spacing w:after="0"/>
        <w:rPr>
          <w:sz w:val="16"/>
        </w:rPr>
        <w:sectPr>
          <w:type w:val="continuous"/>
          <w:pgSz w:w="11910" w:h="16840"/>
          <w:pgMar w:top="0" w:bottom="280" w:left="740" w:right="20"/>
        </w:sectPr>
      </w:pPr>
    </w:p>
    <w:p>
      <w:pPr>
        <w:pStyle w:val="ListParagraph"/>
        <w:numPr>
          <w:ilvl w:val="1"/>
          <w:numId w:val="5"/>
        </w:numPr>
        <w:tabs>
          <w:tab w:pos="1439" w:val="left" w:leader="none"/>
          <w:tab w:pos="1440" w:val="left" w:leader="none"/>
        </w:tabs>
        <w:spacing w:line="192" w:lineRule="auto" w:before="57" w:after="0"/>
        <w:ind w:left="1439" w:right="0" w:hanging="1052"/>
        <w:jc w:val="left"/>
        <w:rPr>
          <w:rFonts w:ascii="Microsoft JhengHei" w:eastAsia="Microsoft JhengHei"/>
          <w:b/>
          <w:sz w:val="21"/>
        </w:rPr>
      </w:pPr>
      <w:r>
        <w:rPr>
          <w:rFonts w:ascii="Microsoft JhengHei" w:eastAsia="Microsoft JhengHei"/>
          <w:b/>
          <w:spacing w:val="-2"/>
          <w:sz w:val="21"/>
        </w:rPr>
        <w:t>投资账户管</w:t>
      </w:r>
      <w:r>
        <w:rPr>
          <w:rFonts w:ascii="Microsoft JhengHei" w:eastAsia="Microsoft JhengHei"/>
          <w:b/>
          <w:spacing w:val="-10"/>
          <w:sz w:val="21"/>
        </w:rPr>
        <w:t>理</w:t>
      </w:r>
    </w:p>
    <w:p>
      <w:pPr>
        <w:spacing w:line="312" w:lineRule="exact" w:before="32"/>
        <w:ind w:left="372" w:right="1103" w:firstLine="0"/>
        <w:jc w:val="both"/>
        <w:rPr>
          <w:rFonts w:ascii="微软雅黑" w:eastAsia="微软雅黑"/>
          <w:b/>
          <w:sz w:val="21"/>
        </w:rPr>
      </w:pPr>
      <w:r>
        <w:rPr/>
        <w:br w:type="column"/>
      </w:r>
      <w:r>
        <w:rPr>
          <w:spacing w:val="-2"/>
          <w:sz w:val="21"/>
        </w:rPr>
        <w:t>在充分保障您利益的前提下，我们可在按照相关规定履行规定程序后增设新的</w:t>
      </w:r>
      <w:r>
        <w:rPr>
          <w:spacing w:val="-2"/>
          <w:sz w:val="21"/>
        </w:rPr>
        <w:t>投资账户或合并、分立、关闭投资账户，或者合并、分解投资账户中的投资单</w:t>
      </w:r>
      <w:r>
        <w:rPr>
          <w:spacing w:val="-2"/>
          <w:sz w:val="21"/>
        </w:rPr>
        <w:t>位，或停止投资账户的转换。在合并、分解投资账户中的投资单位时，各投资</w:t>
      </w:r>
      <w:r>
        <w:rPr>
          <w:spacing w:val="-2"/>
          <w:sz w:val="21"/>
        </w:rPr>
        <w:t>账户价值不变。</w:t>
      </w:r>
      <w:r>
        <w:rPr>
          <w:rFonts w:ascii="微软雅黑" w:eastAsia="微软雅黑"/>
          <w:b/>
          <w:spacing w:val="-2"/>
          <w:sz w:val="21"/>
        </w:rPr>
        <w:t>在符合相关适用的法律、法规、规章及规定的前提下，我们有</w:t>
      </w:r>
      <w:r>
        <w:rPr>
          <w:rFonts w:ascii="微软雅黑" w:eastAsia="微软雅黑"/>
          <w:b/>
          <w:spacing w:val="-2"/>
          <w:sz w:val="21"/>
        </w:rPr>
        <w:t>权将投资账户全部或部分委托给我们以外的金融机构管理。</w:t>
      </w:r>
    </w:p>
    <w:p>
      <w:pPr>
        <w:spacing w:after="0" w:line="312" w:lineRule="exact"/>
        <w:jc w:val="both"/>
        <w:rPr>
          <w:rFonts w:ascii="微软雅黑" w:eastAsia="微软雅黑"/>
          <w:sz w:val="21"/>
        </w:rPr>
        <w:sectPr>
          <w:type w:val="continuous"/>
          <w:pgSz w:w="11910" w:h="16840"/>
          <w:pgMar w:top="0" w:bottom="280" w:left="740" w:right="20"/>
          <w:cols w:num="2" w:equalWidth="0">
            <w:col w:w="2496" w:space="40"/>
            <w:col w:w="8614"/>
          </w:cols>
        </w:sectPr>
      </w:pPr>
    </w:p>
    <w:p>
      <w:pPr>
        <w:pStyle w:val="BodyText"/>
        <w:spacing w:before="12"/>
        <w:rPr>
          <w:rFonts w:ascii="微软雅黑"/>
          <w:b/>
          <w:sz w:val="10"/>
        </w:rPr>
      </w:pPr>
    </w:p>
    <w:p>
      <w:pPr>
        <w:spacing w:after="0"/>
        <w:rPr>
          <w:rFonts w:ascii="微软雅黑"/>
          <w:sz w:val="10"/>
        </w:rPr>
        <w:sectPr>
          <w:type w:val="continuous"/>
          <w:pgSz w:w="11910" w:h="16840"/>
          <w:pgMar w:top="0" w:bottom="280" w:left="740" w:right="20"/>
        </w:sectPr>
      </w:pPr>
    </w:p>
    <w:p>
      <w:pPr>
        <w:pStyle w:val="ListParagraph"/>
        <w:numPr>
          <w:ilvl w:val="1"/>
          <w:numId w:val="5"/>
        </w:numPr>
        <w:tabs>
          <w:tab w:pos="1439" w:val="left" w:leader="none"/>
          <w:tab w:pos="1440" w:val="left" w:leader="none"/>
        </w:tabs>
        <w:spacing w:line="192" w:lineRule="auto" w:before="58" w:after="0"/>
        <w:ind w:left="1439" w:right="0" w:hanging="1052"/>
        <w:jc w:val="left"/>
        <w:rPr>
          <w:rFonts w:ascii="Microsoft JhengHei" w:eastAsia="Microsoft JhengHei"/>
          <w:b/>
          <w:sz w:val="21"/>
        </w:rPr>
      </w:pPr>
      <w:r>
        <w:rPr>
          <w:rFonts w:ascii="Microsoft JhengHei" w:eastAsia="Microsoft JhengHei"/>
          <w:b/>
          <w:spacing w:val="-2"/>
          <w:sz w:val="21"/>
        </w:rPr>
        <w:t>投资账户评</w:t>
      </w:r>
      <w:r>
        <w:rPr>
          <w:rFonts w:ascii="Microsoft JhengHei" w:eastAsia="Microsoft JhengHei"/>
          <w:b/>
          <w:spacing w:val="-10"/>
          <w:sz w:val="21"/>
        </w:rPr>
        <w:t>估</w:t>
      </w:r>
    </w:p>
    <w:p>
      <w:pPr>
        <w:pStyle w:val="BodyText"/>
        <w:spacing w:line="278" w:lineRule="auto" w:before="71"/>
        <w:ind w:left="805" w:right="1101" w:hanging="433"/>
        <w:jc w:val="both"/>
      </w:pPr>
      <w:r>
        <w:rPr/>
        <w:br w:type="column"/>
      </w:r>
      <w:r>
        <w:rPr>
          <w:spacing w:val="3"/>
          <w:w w:val="100"/>
        </w:rPr>
        <w:t>一、我们在每个资产评估日对投资账户价值进行评估。资产评估日由我们确</w:t>
      </w:r>
      <w:r>
        <w:rPr>
          <w:spacing w:val="-6"/>
          <w:w w:val="100"/>
        </w:rPr>
        <w:t>定，正常情况下，我们每个工作日对投资账户价值评估一次并计算出投资</w:t>
      </w:r>
      <w:r>
        <w:rPr>
          <w:spacing w:val="-4"/>
          <w:w w:val="100"/>
        </w:rPr>
        <w:t>单位价值。</w:t>
      </w:r>
    </w:p>
    <w:p>
      <w:pPr>
        <w:pStyle w:val="BodyText"/>
        <w:spacing w:line="278" w:lineRule="auto"/>
        <w:ind w:left="769" w:right="2004"/>
        <w:jc w:val="both"/>
      </w:pPr>
      <w:r>
        <w:rPr>
          <w:spacing w:val="-8"/>
        </w:rPr>
        <w:t>(一) 投资账户价值 = 该投资账户总资产 – 该投资账户总负债</w:t>
      </w:r>
      <w:r>
        <w:rPr/>
        <w:t> </w:t>
      </w:r>
      <w:r>
        <w:rPr>
          <w:spacing w:val="-7"/>
        </w:rPr>
        <w:t>(二) 投资账户总资产和总负债按照相关规定确定。</w:t>
      </w:r>
    </w:p>
    <w:p>
      <w:pPr>
        <w:pStyle w:val="BodyText"/>
        <w:spacing w:line="257" w:lineRule="exact"/>
        <w:ind w:left="769"/>
        <w:jc w:val="both"/>
      </w:pPr>
      <w:r>
        <w:rPr>
          <w:spacing w:val="-11"/>
        </w:rPr>
        <w:t>(三) 投资单位价值 = 投资账户价值/投资账户的投资单位数</w:t>
      </w:r>
    </w:p>
    <w:p>
      <w:pPr>
        <w:spacing w:line="194" w:lineRule="auto" w:before="41"/>
        <w:ind w:left="805" w:right="1104" w:hanging="433"/>
        <w:jc w:val="both"/>
        <w:rPr>
          <w:rFonts w:ascii="微软雅黑" w:eastAsia="微软雅黑"/>
          <w:b/>
          <w:sz w:val="21"/>
        </w:rPr>
      </w:pPr>
      <w:r>
        <w:rPr>
          <w:sz w:val="21"/>
        </w:rPr>
        <w:t>二、</w:t>
      </w:r>
      <w:r>
        <w:rPr>
          <w:rFonts w:ascii="微软雅黑" w:eastAsia="微软雅黑"/>
          <w:b/>
          <w:spacing w:val="-1"/>
          <w:sz w:val="21"/>
        </w:rPr>
        <w:t>如果因投资账户所涉及的证券交易所停市或其他我们不可控制的外部客观</w:t>
      </w:r>
      <w:r>
        <w:rPr>
          <w:rFonts w:ascii="微软雅黑" w:eastAsia="微软雅黑"/>
          <w:b/>
          <w:spacing w:val="-3"/>
          <w:sz w:val="21"/>
        </w:rPr>
        <w:t>因素，致使我们无法评估投资账户价值的，我们可以暂停或延迟投资账户</w:t>
      </w:r>
      <w:r>
        <w:rPr>
          <w:rFonts w:ascii="微软雅黑" w:eastAsia="微软雅黑"/>
          <w:b/>
          <w:spacing w:val="-4"/>
          <w:sz w:val="21"/>
        </w:rPr>
        <w:t>评估。</w:t>
      </w:r>
    </w:p>
    <w:p>
      <w:pPr>
        <w:spacing w:after="0" w:line="194" w:lineRule="auto"/>
        <w:jc w:val="both"/>
        <w:rPr>
          <w:rFonts w:ascii="微软雅黑" w:eastAsia="微软雅黑"/>
          <w:sz w:val="21"/>
        </w:rPr>
        <w:sectPr>
          <w:type w:val="continuous"/>
          <w:pgSz w:w="11910" w:h="16840"/>
          <w:pgMar w:top="0" w:bottom="280" w:left="740" w:right="20"/>
          <w:cols w:num="2" w:equalWidth="0">
            <w:col w:w="2496" w:space="40"/>
            <w:col w:w="8614"/>
          </w:cols>
        </w:sectPr>
      </w:pPr>
    </w:p>
    <w:p>
      <w:pPr>
        <w:pStyle w:val="BodyText"/>
        <w:spacing w:before="16"/>
        <w:rPr>
          <w:rFonts w:ascii="微软雅黑"/>
          <w:b/>
          <w:sz w:val="8"/>
        </w:rPr>
      </w:pPr>
    </w:p>
    <w:p>
      <w:pPr>
        <w:spacing w:after="0"/>
        <w:rPr>
          <w:rFonts w:ascii="微软雅黑"/>
          <w:sz w:val="8"/>
        </w:rPr>
        <w:sectPr>
          <w:type w:val="continuous"/>
          <w:pgSz w:w="11910" w:h="16840"/>
          <w:pgMar w:top="0" w:bottom="280" w:left="740" w:right="20"/>
        </w:sectPr>
      </w:pPr>
    </w:p>
    <w:p>
      <w:pPr>
        <w:pStyle w:val="ListParagraph"/>
        <w:numPr>
          <w:ilvl w:val="1"/>
          <w:numId w:val="5"/>
        </w:numPr>
        <w:tabs>
          <w:tab w:pos="1439" w:val="left" w:leader="none"/>
          <w:tab w:pos="1440" w:val="left" w:leader="none"/>
        </w:tabs>
        <w:spacing w:line="192" w:lineRule="auto" w:before="58" w:after="0"/>
        <w:ind w:left="1439" w:right="0" w:hanging="1052"/>
        <w:jc w:val="left"/>
        <w:rPr>
          <w:rFonts w:ascii="Microsoft JhengHei" w:eastAsia="Microsoft JhengHei"/>
          <w:b/>
          <w:sz w:val="21"/>
        </w:rPr>
      </w:pPr>
      <w:r>
        <w:rPr>
          <w:rFonts w:ascii="Microsoft JhengHei" w:eastAsia="Microsoft JhengHei"/>
          <w:b/>
          <w:spacing w:val="-2"/>
          <w:sz w:val="21"/>
        </w:rPr>
        <w:t>投资单位价</w:t>
      </w:r>
      <w:r>
        <w:rPr>
          <w:rFonts w:ascii="Microsoft JhengHei" w:eastAsia="Microsoft JhengHei"/>
          <w:b/>
          <w:spacing w:val="-10"/>
          <w:sz w:val="21"/>
        </w:rPr>
        <w:t>格</w:t>
      </w:r>
    </w:p>
    <w:p>
      <w:pPr>
        <w:pStyle w:val="BodyText"/>
        <w:spacing w:line="278" w:lineRule="auto" w:before="72"/>
        <w:ind w:left="444" w:right="2139" w:hanging="72"/>
      </w:pPr>
      <w:r>
        <w:rPr/>
        <w:br w:type="column"/>
      </w:r>
      <w:r>
        <w:rPr>
          <w:spacing w:val="-2"/>
        </w:rPr>
        <w:t>投资单位价格根据各资产评估日的投资单位价值确定并予以公布。</w:t>
      </w:r>
      <w:r>
        <w:rPr>
          <w:spacing w:val="-2"/>
        </w:rPr>
        <w:t> (一)投资单位价格等于投资单位价值。</w:t>
      </w:r>
    </w:p>
    <w:p>
      <w:pPr>
        <w:pStyle w:val="BodyText"/>
        <w:spacing w:line="269" w:lineRule="exact"/>
        <w:ind w:left="444"/>
      </w:pPr>
      <w:r>
        <w:rPr>
          <w:spacing w:val="-2"/>
        </w:rPr>
        <w:t>(二)投资单位价格精确到小数点后8</w:t>
      </w:r>
      <w:r>
        <w:rPr>
          <w:spacing w:val="-6"/>
        </w:rPr>
        <w:t>位。</w:t>
      </w:r>
    </w:p>
    <w:p>
      <w:pPr>
        <w:pStyle w:val="BodyText"/>
        <w:spacing w:before="43"/>
        <w:ind w:left="444"/>
      </w:pPr>
      <w:r>
        <w:rPr>
          <w:spacing w:val="-3"/>
        </w:rPr>
        <w:t>(三)投资账户中的投资单位价格以人民币为单位计算。</w:t>
      </w:r>
    </w:p>
    <w:p>
      <w:pPr>
        <w:spacing w:after="0"/>
        <w:sectPr>
          <w:type w:val="continuous"/>
          <w:pgSz w:w="11910" w:h="16840"/>
          <w:pgMar w:top="0" w:bottom="280" w:left="740" w:right="20"/>
          <w:cols w:num="2" w:equalWidth="0">
            <w:col w:w="2496" w:space="40"/>
            <w:col w:w="8614"/>
          </w:cols>
        </w:sectPr>
      </w:pPr>
    </w:p>
    <w:p>
      <w:pPr>
        <w:pStyle w:val="BodyText"/>
        <w:spacing w:before="7"/>
        <w:rPr>
          <w:sz w:val="15"/>
        </w:rPr>
      </w:pPr>
    </w:p>
    <w:p>
      <w:pPr>
        <w:pStyle w:val="ListParagraph"/>
        <w:numPr>
          <w:ilvl w:val="1"/>
          <w:numId w:val="5"/>
        </w:numPr>
        <w:tabs>
          <w:tab w:pos="1439" w:val="left" w:leader="none"/>
          <w:tab w:pos="1440" w:val="left" w:leader="none"/>
          <w:tab w:pos="2908" w:val="left" w:leader="none"/>
        </w:tabs>
        <w:spacing w:line="235" w:lineRule="auto" w:before="8" w:after="0"/>
        <w:ind w:left="2908" w:right="1110" w:hanging="2521"/>
        <w:jc w:val="left"/>
        <w:rPr>
          <w:sz w:val="21"/>
        </w:rPr>
      </w:pPr>
      <w:r>
        <w:rPr>
          <w:rFonts w:ascii="Microsoft JhengHei" w:eastAsia="Microsoft JhengHei"/>
          <w:b/>
          <w:w w:val="100"/>
          <w:sz w:val="21"/>
        </w:rPr>
        <w:t>资产管理费</w:t>
      </w:r>
      <w:r>
        <w:rPr>
          <w:rFonts w:ascii="Microsoft JhengHei" w:eastAsia="Microsoft JhengHei"/>
          <w:b/>
          <w:sz w:val="21"/>
        </w:rPr>
        <w:tab/>
      </w:r>
      <w:r>
        <w:rPr>
          <w:spacing w:val="4"/>
          <w:w w:val="100"/>
          <w:sz w:val="21"/>
        </w:rPr>
        <w:t>我们在每</w:t>
      </w:r>
      <w:r>
        <w:rPr>
          <w:spacing w:val="6"/>
          <w:w w:val="100"/>
          <w:sz w:val="21"/>
        </w:rPr>
        <w:t>个</w:t>
      </w:r>
      <w:r>
        <w:rPr>
          <w:spacing w:val="4"/>
          <w:w w:val="100"/>
          <w:sz w:val="21"/>
        </w:rPr>
        <w:t>资产评估日按各投资账</w:t>
      </w:r>
      <w:r>
        <w:rPr>
          <w:spacing w:val="6"/>
          <w:w w:val="100"/>
          <w:sz w:val="21"/>
        </w:rPr>
        <w:t>户</w:t>
      </w:r>
      <w:r>
        <w:rPr>
          <w:spacing w:val="4"/>
          <w:w w:val="100"/>
          <w:sz w:val="21"/>
        </w:rPr>
        <w:t>资产净值的一定比例收</w:t>
      </w:r>
      <w:r>
        <w:rPr>
          <w:spacing w:val="6"/>
          <w:w w:val="100"/>
          <w:sz w:val="21"/>
        </w:rPr>
        <w:t>取</w:t>
      </w:r>
      <w:r>
        <w:rPr>
          <w:spacing w:val="4"/>
          <w:w w:val="100"/>
          <w:sz w:val="21"/>
        </w:rPr>
        <w:t>各投资账户</w:t>
      </w:r>
      <w:r>
        <w:rPr>
          <w:w w:val="100"/>
          <w:sz w:val="21"/>
        </w:rPr>
        <w:t>资产管</w:t>
      </w:r>
      <w:r>
        <w:rPr>
          <w:spacing w:val="-3"/>
          <w:w w:val="100"/>
          <w:sz w:val="21"/>
        </w:rPr>
        <w:t>理</w:t>
      </w:r>
      <w:r>
        <w:rPr>
          <w:w w:val="100"/>
          <w:sz w:val="21"/>
        </w:rPr>
        <w:t>费</w:t>
      </w:r>
      <w:r>
        <w:rPr>
          <w:spacing w:val="-3"/>
          <w:w w:val="100"/>
          <w:sz w:val="21"/>
        </w:rPr>
        <w:t>，</w:t>
      </w:r>
      <w:r>
        <w:rPr>
          <w:w w:val="100"/>
          <w:sz w:val="21"/>
        </w:rPr>
        <w:t>收</w:t>
      </w:r>
      <w:r>
        <w:rPr>
          <w:spacing w:val="-3"/>
          <w:w w:val="100"/>
          <w:sz w:val="21"/>
        </w:rPr>
        <w:t>取</w:t>
      </w:r>
      <w:r>
        <w:rPr>
          <w:w w:val="100"/>
          <w:sz w:val="21"/>
        </w:rPr>
        <w:t>标</w:t>
      </w:r>
      <w:r>
        <w:rPr>
          <w:spacing w:val="-3"/>
          <w:w w:val="100"/>
          <w:sz w:val="21"/>
        </w:rPr>
        <w:t>准</w:t>
      </w:r>
      <w:r>
        <w:rPr>
          <w:w w:val="100"/>
          <w:sz w:val="21"/>
        </w:rPr>
        <w:t>如</w:t>
      </w:r>
      <w:r>
        <w:rPr>
          <w:spacing w:val="-3"/>
          <w:w w:val="100"/>
          <w:sz w:val="21"/>
        </w:rPr>
        <w:t>下</w:t>
      </w:r>
      <w:r>
        <w:rPr>
          <w:w w:val="100"/>
          <w:sz w:val="21"/>
        </w:rPr>
        <w:t>：</w:t>
      </w:r>
    </w:p>
    <w:p>
      <w:pPr>
        <w:pStyle w:val="BodyText"/>
        <w:spacing w:line="278" w:lineRule="auto" w:before="43"/>
        <w:ind w:left="3405" w:right="1107" w:hanging="426"/>
      </w:pPr>
      <w:r>
        <w:rPr/>
        <w:t>(一)投资账户资产管理费 =该投资账户资产净值×距上次资产评估日天数×</w:t>
      </w:r>
      <w:r>
        <w:rPr>
          <w:spacing w:val="-2"/>
        </w:rPr>
        <w:t>资产管理费年收取比例/365；</w:t>
      </w:r>
    </w:p>
    <w:p>
      <w:pPr>
        <w:pStyle w:val="BodyText"/>
        <w:spacing w:line="278" w:lineRule="auto"/>
        <w:ind w:left="3405" w:right="2481" w:hanging="426"/>
      </w:pPr>
      <w:r>
        <w:rPr>
          <w:spacing w:val="-2"/>
        </w:rPr>
        <w:t>(二)投资账户资产净值扣除资产管理费后等于投资账户价值。</w:t>
      </w:r>
      <w:r>
        <w:rPr>
          <w:spacing w:val="-2"/>
        </w:rPr>
        <w:t>投资账户的资产管理费年收取标准如下：</w:t>
      </w:r>
    </w:p>
    <w:p>
      <w:pPr>
        <w:spacing w:after="0" w:line="278" w:lineRule="auto"/>
        <w:sectPr>
          <w:type w:val="continuous"/>
          <w:pgSz w:w="11910" w:h="16840"/>
          <w:pgMar w:top="0" w:bottom="280" w:left="740" w:right="20"/>
        </w:sectPr>
      </w:pPr>
    </w:p>
    <w:tbl>
      <w:tblPr>
        <w:tblW w:w="0" w:type="auto"/>
        <w:jc w:val="left"/>
        <w:tblInd w:w="30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382"/>
        <w:gridCol w:w="3406"/>
      </w:tblGrid>
      <w:tr>
        <w:trPr>
          <w:trHeight w:val="313" w:hRule="atLeast"/>
        </w:trPr>
        <w:tc>
          <w:tcPr>
            <w:tcW w:w="3382" w:type="dxa"/>
          </w:tcPr>
          <w:p>
            <w:pPr>
              <w:pStyle w:val="TableParagraph"/>
              <w:spacing w:before="19"/>
              <w:ind w:left="739" w:right="728"/>
              <w:jc w:val="center"/>
              <w:rPr>
                <w:sz w:val="21"/>
              </w:rPr>
            </w:pPr>
            <w:r>
              <w:rPr>
                <w:spacing w:val="-5"/>
                <w:sz w:val="21"/>
              </w:rPr>
              <w:t>账户</w:t>
            </w:r>
          </w:p>
        </w:tc>
        <w:tc>
          <w:tcPr>
            <w:tcW w:w="3406" w:type="dxa"/>
          </w:tcPr>
          <w:p>
            <w:pPr>
              <w:pStyle w:val="TableParagraph"/>
              <w:spacing w:before="19"/>
              <w:ind w:left="1170" w:right="1156"/>
              <w:jc w:val="center"/>
              <w:rPr>
                <w:sz w:val="21"/>
              </w:rPr>
            </w:pPr>
            <w:r>
              <w:rPr>
                <w:spacing w:val="-4"/>
                <w:sz w:val="21"/>
              </w:rPr>
              <w:t>年收取比例</w:t>
            </w:r>
          </w:p>
        </w:tc>
      </w:tr>
      <w:tr>
        <w:trPr>
          <w:trHeight w:val="312" w:hRule="atLeast"/>
        </w:trPr>
        <w:tc>
          <w:tcPr>
            <w:tcW w:w="3382" w:type="dxa"/>
          </w:tcPr>
          <w:p>
            <w:pPr>
              <w:pStyle w:val="TableParagraph"/>
              <w:spacing w:before="17"/>
              <w:ind w:left="736" w:right="730"/>
              <w:jc w:val="center"/>
              <w:rPr>
                <w:sz w:val="21"/>
              </w:rPr>
            </w:pPr>
            <w:r>
              <w:rPr>
                <w:spacing w:val="-2"/>
                <w:sz w:val="21"/>
              </w:rPr>
              <w:t>弘云1</w:t>
            </w:r>
            <w:r>
              <w:rPr>
                <w:spacing w:val="-4"/>
                <w:sz w:val="21"/>
              </w:rPr>
              <w:t>号投资账户</w:t>
            </w:r>
          </w:p>
        </w:tc>
        <w:tc>
          <w:tcPr>
            <w:tcW w:w="3406" w:type="dxa"/>
          </w:tcPr>
          <w:p>
            <w:pPr>
              <w:pStyle w:val="TableParagraph"/>
              <w:spacing w:before="17"/>
              <w:ind w:left="1170" w:right="1153"/>
              <w:jc w:val="center"/>
              <w:rPr>
                <w:sz w:val="21"/>
              </w:rPr>
            </w:pPr>
            <w:r>
              <w:rPr>
                <w:spacing w:val="-4"/>
                <w:sz w:val="21"/>
              </w:rPr>
              <w:t>1.0%</w:t>
            </w:r>
          </w:p>
        </w:tc>
      </w:tr>
      <w:tr>
        <w:trPr>
          <w:trHeight w:val="311" w:hRule="atLeast"/>
        </w:trPr>
        <w:tc>
          <w:tcPr>
            <w:tcW w:w="3382" w:type="dxa"/>
          </w:tcPr>
          <w:p>
            <w:pPr>
              <w:pStyle w:val="TableParagraph"/>
              <w:spacing w:before="17"/>
              <w:ind w:left="736" w:right="730"/>
              <w:jc w:val="center"/>
              <w:rPr>
                <w:sz w:val="21"/>
              </w:rPr>
            </w:pPr>
            <w:r>
              <w:rPr>
                <w:spacing w:val="-2"/>
                <w:sz w:val="21"/>
              </w:rPr>
              <w:t>弘云2</w:t>
            </w:r>
            <w:r>
              <w:rPr>
                <w:spacing w:val="-4"/>
                <w:sz w:val="21"/>
              </w:rPr>
              <w:t>号投资账户</w:t>
            </w:r>
          </w:p>
        </w:tc>
        <w:tc>
          <w:tcPr>
            <w:tcW w:w="3406" w:type="dxa"/>
          </w:tcPr>
          <w:p>
            <w:pPr>
              <w:pStyle w:val="TableParagraph"/>
              <w:spacing w:before="17"/>
              <w:ind w:left="1170" w:right="1153"/>
              <w:jc w:val="center"/>
              <w:rPr>
                <w:sz w:val="21"/>
              </w:rPr>
            </w:pPr>
            <w:r>
              <w:rPr>
                <w:spacing w:val="-4"/>
                <w:sz w:val="21"/>
              </w:rPr>
              <w:t>1.0%</w:t>
            </w:r>
          </w:p>
        </w:tc>
      </w:tr>
      <w:tr>
        <w:trPr>
          <w:trHeight w:val="311" w:hRule="atLeast"/>
        </w:trPr>
        <w:tc>
          <w:tcPr>
            <w:tcW w:w="3382" w:type="dxa"/>
          </w:tcPr>
          <w:p>
            <w:pPr>
              <w:pStyle w:val="TableParagraph"/>
              <w:spacing w:before="17"/>
              <w:ind w:left="739" w:right="730"/>
              <w:jc w:val="center"/>
              <w:rPr>
                <w:sz w:val="21"/>
              </w:rPr>
            </w:pPr>
            <w:r>
              <w:rPr>
                <w:spacing w:val="-2"/>
                <w:sz w:val="21"/>
              </w:rPr>
              <w:t>弘云4</w:t>
            </w:r>
            <w:r>
              <w:rPr>
                <w:spacing w:val="-4"/>
                <w:sz w:val="21"/>
              </w:rPr>
              <w:t>号投资账户</w:t>
            </w:r>
          </w:p>
        </w:tc>
        <w:tc>
          <w:tcPr>
            <w:tcW w:w="3406" w:type="dxa"/>
          </w:tcPr>
          <w:p>
            <w:pPr>
              <w:pStyle w:val="TableParagraph"/>
              <w:spacing w:before="17"/>
              <w:ind w:left="1170" w:right="1153"/>
              <w:jc w:val="center"/>
              <w:rPr>
                <w:sz w:val="21"/>
              </w:rPr>
            </w:pPr>
            <w:r>
              <w:rPr>
                <w:spacing w:val="-4"/>
                <w:sz w:val="21"/>
              </w:rPr>
              <w:t>1.0%</w:t>
            </w:r>
          </w:p>
        </w:tc>
      </w:tr>
      <w:tr>
        <w:trPr>
          <w:trHeight w:val="311" w:hRule="atLeast"/>
        </w:trPr>
        <w:tc>
          <w:tcPr>
            <w:tcW w:w="3382" w:type="dxa"/>
          </w:tcPr>
          <w:p>
            <w:pPr>
              <w:pStyle w:val="TableParagraph"/>
              <w:spacing w:before="17"/>
              <w:ind w:left="736" w:right="730"/>
              <w:jc w:val="center"/>
              <w:rPr>
                <w:sz w:val="21"/>
              </w:rPr>
            </w:pPr>
            <w:r>
              <w:rPr>
                <w:spacing w:val="-2"/>
                <w:sz w:val="21"/>
              </w:rPr>
              <w:t>稳赢5</w:t>
            </w:r>
            <w:r>
              <w:rPr>
                <w:spacing w:val="-4"/>
                <w:sz w:val="21"/>
              </w:rPr>
              <w:t>号投资账户</w:t>
            </w:r>
          </w:p>
        </w:tc>
        <w:tc>
          <w:tcPr>
            <w:tcW w:w="3406" w:type="dxa"/>
          </w:tcPr>
          <w:p>
            <w:pPr>
              <w:pStyle w:val="TableParagraph"/>
              <w:spacing w:before="17"/>
              <w:ind w:left="1170" w:right="1153"/>
              <w:jc w:val="center"/>
              <w:rPr>
                <w:sz w:val="21"/>
              </w:rPr>
            </w:pPr>
            <w:r>
              <w:rPr>
                <w:spacing w:val="-4"/>
                <w:sz w:val="21"/>
              </w:rPr>
              <w:t>1.0%</w:t>
            </w:r>
          </w:p>
        </w:tc>
      </w:tr>
      <w:tr>
        <w:trPr>
          <w:trHeight w:val="311" w:hRule="atLeast"/>
        </w:trPr>
        <w:tc>
          <w:tcPr>
            <w:tcW w:w="3382" w:type="dxa"/>
          </w:tcPr>
          <w:p>
            <w:pPr>
              <w:pStyle w:val="TableParagraph"/>
              <w:spacing w:before="17"/>
              <w:ind w:left="739" w:right="730"/>
              <w:jc w:val="center"/>
              <w:rPr>
                <w:sz w:val="21"/>
              </w:rPr>
            </w:pPr>
            <w:r>
              <w:rPr>
                <w:spacing w:val="-3"/>
                <w:sz w:val="21"/>
              </w:rPr>
              <w:t>平稳增利型投资账户</w:t>
            </w:r>
          </w:p>
        </w:tc>
        <w:tc>
          <w:tcPr>
            <w:tcW w:w="3406" w:type="dxa"/>
          </w:tcPr>
          <w:p>
            <w:pPr>
              <w:pStyle w:val="TableParagraph"/>
              <w:spacing w:before="17"/>
              <w:ind w:left="1170" w:right="1153"/>
              <w:jc w:val="center"/>
              <w:rPr>
                <w:sz w:val="21"/>
              </w:rPr>
            </w:pPr>
            <w:r>
              <w:rPr>
                <w:spacing w:val="-4"/>
                <w:sz w:val="21"/>
              </w:rPr>
              <w:t>1.2%</w:t>
            </w:r>
          </w:p>
        </w:tc>
      </w:tr>
      <w:tr>
        <w:trPr>
          <w:trHeight w:val="313" w:hRule="atLeast"/>
        </w:trPr>
        <w:tc>
          <w:tcPr>
            <w:tcW w:w="3382" w:type="dxa"/>
          </w:tcPr>
          <w:p>
            <w:pPr>
              <w:pStyle w:val="TableParagraph"/>
              <w:spacing w:before="19"/>
              <w:ind w:left="739" w:right="728"/>
              <w:jc w:val="center"/>
              <w:rPr>
                <w:sz w:val="21"/>
              </w:rPr>
            </w:pPr>
            <w:r>
              <w:rPr>
                <w:spacing w:val="-2"/>
                <w:sz w:val="21"/>
              </w:rPr>
              <w:t>增利90</w:t>
            </w:r>
            <w:r>
              <w:rPr>
                <w:spacing w:val="-4"/>
                <w:sz w:val="21"/>
              </w:rPr>
              <w:t>投资账户</w:t>
            </w:r>
          </w:p>
        </w:tc>
        <w:tc>
          <w:tcPr>
            <w:tcW w:w="3406" w:type="dxa"/>
          </w:tcPr>
          <w:p>
            <w:pPr>
              <w:pStyle w:val="TableParagraph"/>
              <w:spacing w:before="19"/>
              <w:ind w:left="1170" w:right="1153"/>
              <w:jc w:val="center"/>
              <w:rPr>
                <w:sz w:val="21"/>
              </w:rPr>
            </w:pPr>
            <w:r>
              <w:rPr>
                <w:spacing w:val="-4"/>
                <w:sz w:val="21"/>
              </w:rPr>
              <w:t>1.0%</w:t>
            </w:r>
          </w:p>
        </w:tc>
      </w:tr>
      <w:tr>
        <w:trPr>
          <w:trHeight w:val="311" w:hRule="atLeast"/>
        </w:trPr>
        <w:tc>
          <w:tcPr>
            <w:tcW w:w="3382" w:type="dxa"/>
          </w:tcPr>
          <w:p>
            <w:pPr>
              <w:pStyle w:val="TableParagraph"/>
              <w:spacing w:before="17"/>
              <w:ind w:left="739" w:right="730"/>
              <w:jc w:val="center"/>
              <w:rPr>
                <w:sz w:val="21"/>
              </w:rPr>
            </w:pPr>
            <w:r>
              <w:rPr>
                <w:spacing w:val="-3"/>
                <w:sz w:val="21"/>
              </w:rPr>
              <w:t>增利灵活型投资账户</w:t>
            </w:r>
          </w:p>
        </w:tc>
        <w:tc>
          <w:tcPr>
            <w:tcW w:w="3406" w:type="dxa"/>
          </w:tcPr>
          <w:p>
            <w:pPr>
              <w:pStyle w:val="TableParagraph"/>
              <w:spacing w:before="17"/>
              <w:ind w:left="1170" w:right="1153"/>
              <w:jc w:val="center"/>
              <w:rPr>
                <w:sz w:val="21"/>
              </w:rPr>
            </w:pPr>
            <w:r>
              <w:rPr>
                <w:spacing w:val="-4"/>
                <w:sz w:val="21"/>
              </w:rPr>
              <w:t>1.0%</w:t>
            </w:r>
          </w:p>
        </w:tc>
      </w:tr>
      <w:tr>
        <w:trPr>
          <w:trHeight w:val="311" w:hRule="atLeast"/>
        </w:trPr>
        <w:tc>
          <w:tcPr>
            <w:tcW w:w="3382" w:type="dxa"/>
          </w:tcPr>
          <w:p>
            <w:pPr>
              <w:pStyle w:val="TableParagraph"/>
              <w:spacing w:before="17"/>
              <w:ind w:left="739" w:right="730"/>
              <w:jc w:val="center"/>
              <w:rPr>
                <w:sz w:val="21"/>
              </w:rPr>
            </w:pPr>
            <w:r>
              <w:rPr>
                <w:spacing w:val="-3"/>
                <w:sz w:val="21"/>
              </w:rPr>
              <w:t>价值精选型投资账户</w:t>
            </w:r>
          </w:p>
        </w:tc>
        <w:tc>
          <w:tcPr>
            <w:tcW w:w="3406" w:type="dxa"/>
          </w:tcPr>
          <w:p>
            <w:pPr>
              <w:pStyle w:val="TableParagraph"/>
              <w:spacing w:before="17"/>
              <w:ind w:left="1170" w:right="1153"/>
              <w:jc w:val="center"/>
              <w:rPr>
                <w:sz w:val="21"/>
              </w:rPr>
            </w:pPr>
            <w:r>
              <w:rPr>
                <w:spacing w:val="-4"/>
                <w:sz w:val="21"/>
              </w:rPr>
              <w:t>1.0%</w:t>
            </w:r>
          </w:p>
        </w:tc>
      </w:tr>
      <w:tr>
        <w:trPr>
          <w:trHeight w:val="311" w:hRule="atLeast"/>
        </w:trPr>
        <w:tc>
          <w:tcPr>
            <w:tcW w:w="3382" w:type="dxa"/>
          </w:tcPr>
          <w:p>
            <w:pPr>
              <w:pStyle w:val="TableParagraph"/>
              <w:spacing w:before="17"/>
              <w:ind w:left="739" w:right="730"/>
              <w:jc w:val="center"/>
              <w:rPr>
                <w:sz w:val="21"/>
              </w:rPr>
            </w:pPr>
            <w:r>
              <w:rPr>
                <w:spacing w:val="-4"/>
                <w:sz w:val="21"/>
              </w:rPr>
              <w:t>趋势增长投资账户</w:t>
            </w:r>
          </w:p>
        </w:tc>
        <w:tc>
          <w:tcPr>
            <w:tcW w:w="3406" w:type="dxa"/>
          </w:tcPr>
          <w:p>
            <w:pPr>
              <w:pStyle w:val="TableParagraph"/>
              <w:spacing w:before="17"/>
              <w:ind w:left="1170" w:right="1153"/>
              <w:jc w:val="center"/>
              <w:rPr>
                <w:sz w:val="21"/>
              </w:rPr>
            </w:pPr>
            <w:r>
              <w:rPr>
                <w:spacing w:val="-4"/>
                <w:sz w:val="21"/>
              </w:rPr>
              <w:t>2.0%</w:t>
            </w:r>
          </w:p>
        </w:tc>
      </w:tr>
      <w:tr>
        <w:trPr>
          <w:trHeight w:val="311" w:hRule="atLeast"/>
        </w:trPr>
        <w:tc>
          <w:tcPr>
            <w:tcW w:w="3382" w:type="dxa"/>
          </w:tcPr>
          <w:p>
            <w:pPr>
              <w:pStyle w:val="TableParagraph"/>
              <w:spacing w:before="17"/>
              <w:ind w:left="739" w:right="730"/>
              <w:jc w:val="center"/>
              <w:rPr>
                <w:sz w:val="21"/>
              </w:rPr>
            </w:pPr>
            <w:r>
              <w:rPr>
                <w:spacing w:val="-4"/>
                <w:sz w:val="21"/>
              </w:rPr>
              <w:t>新兴动力投资账户</w:t>
            </w:r>
          </w:p>
        </w:tc>
        <w:tc>
          <w:tcPr>
            <w:tcW w:w="3406" w:type="dxa"/>
          </w:tcPr>
          <w:p>
            <w:pPr>
              <w:pStyle w:val="TableParagraph"/>
              <w:spacing w:before="17"/>
              <w:ind w:left="1170" w:right="1153"/>
              <w:jc w:val="center"/>
              <w:rPr>
                <w:sz w:val="21"/>
              </w:rPr>
            </w:pPr>
            <w:r>
              <w:rPr>
                <w:spacing w:val="-4"/>
                <w:sz w:val="21"/>
              </w:rPr>
              <w:t>1.2%</w:t>
            </w:r>
          </w:p>
        </w:tc>
      </w:tr>
    </w:tbl>
    <w:p>
      <w:pPr>
        <w:spacing w:line="194" w:lineRule="auto" w:before="9"/>
        <w:ind w:left="2908" w:right="1106" w:firstLine="0"/>
        <w:jc w:val="left"/>
        <w:rPr>
          <w:rFonts w:ascii="微软雅黑" w:eastAsia="微软雅黑"/>
          <w:b/>
          <w:sz w:val="21"/>
        </w:rPr>
      </w:pPr>
      <w:r>
        <w:rPr>
          <w:rFonts w:ascii="微软雅黑" w:eastAsia="微软雅黑"/>
          <w:b/>
          <w:spacing w:val="-2"/>
          <w:sz w:val="21"/>
        </w:rPr>
        <w:t>我们有权对资产管理费的收取标准进行调整，但资产管理费的年收取比例最高</w:t>
      </w:r>
      <w:r>
        <w:rPr>
          <w:rFonts w:ascii="微软雅黑" w:eastAsia="微软雅黑"/>
          <w:b/>
          <w:sz w:val="21"/>
        </w:rPr>
        <w:t>不超过 2.0%。</w:t>
      </w:r>
    </w:p>
    <w:p>
      <w:pPr>
        <w:pStyle w:val="BodyText"/>
        <w:spacing w:before="2"/>
        <w:rPr>
          <w:rFonts w:ascii="微软雅黑"/>
          <w:b/>
          <w:sz w:val="9"/>
        </w:rPr>
      </w:pPr>
    </w:p>
    <w:p>
      <w:pPr>
        <w:spacing w:after="0"/>
        <w:rPr>
          <w:rFonts w:ascii="微软雅黑"/>
          <w:sz w:val="9"/>
        </w:rPr>
        <w:sectPr>
          <w:pgSz w:w="11910" w:h="16840"/>
          <w:pgMar w:top="1120" w:bottom="280" w:left="740" w:right="20"/>
        </w:sectPr>
      </w:pPr>
    </w:p>
    <w:p>
      <w:pPr>
        <w:pStyle w:val="ListParagraph"/>
        <w:numPr>
          <w:ilvl w:val="1"/>
          <w:numId w:val="5"/>
        </w:numPr>
        <w:tabs>
          <w:tab w:pos="1439" w:val="left" w:leader="none"/>
          <w:tab w:pos="1440" w:val="left" w:leader="none"/>
        </w:tabs>
        <w:spacing w:line="192" w:lineRule="auto" w:before="58" w:after="0"/>
        <w:ind w:left="1439" w:right="0" w:hanging="1052"/>
        <w:jc w:val="left"/>
        <w:rPr>
          <w:rFonts w:ascii="Microsoft JhengHei" w:eastAsia="Microsoft JhengHei"/>
          <w:b/>
          <w:sz w:val="21"/>
        </w:rPr>
      </w:pPr>
      <w:r>
        <w:rPr>
          <w:rFonts w:ascii="Microsoft JhengHei" w:eastAsia="Microsoft JhengHei"/>
          <w:b/>
          <w:spacing w:val="-2"/>
          <w:sz w:val="21"/>
        </w:rPr>
        <w:t>资产交易认</w:t>
      </w:r>
      <w:r>
        <w:rPr>
          <w:rFonts w:ascii="Microsoft JhengHei" w:eastAsia="Microsoft JhengHei"/>
          <w:b/>
          <w:spacing w:val="-4"/>
          <w:sz w:val="21"/>
        </w:rPr>
        <w:t>可的规定</w:t>
      </w:r>
    </w:p>
    <w:p>
      <w:pPr>
        <w:pStyle w:val="BodyText"/>
        <w:spacing w:line="268" w:lineRule="auto" w:before="5"/>
        <w:ind w:left="372" w:right="1103"/>
        <w:jc w:val="both"/>
      </w:pPr>
      <w:r>
        <w:rPr/>
        <w:br w:type="column"/>
      </w:r>
      <w:r>
        <w:rPr>
          <w:spacing w:val="-2"/>
        </w:rPr>
        <w:t>任何投资单位的</w:t>
      </w:r>
      <w:r>
        <w:rPr>
          <w:rFonts w:ascii="Microsoft JhengHei" w:eastAsia="Microsoft JhengHei"/>
          <w:b/>
          <w:spacing w:val="-149"/>
        </w:rPr>
        <w:t>交</w:t>
      </w:r>
      <w:r>
        <w:rPr>
          <w:spacing w:val="-63"/>
          <w:position w:val="-7"/>
        </w:rPr>
        <w:t>．</w:t>
      </w:r>
      <w:r>
        <w:rPr>
          <w:rFonts w:ascii="Microsoft JhengHei" w:eastAsia="Microsoft JhengHei"/>
          <w:b/>
          <w:spacing w:val="-149"/>
        </w:rPr>
        <w:t>易</w:t>
      </w:r>
      <w:r>
        <w:rPr>
          <w:spacing w:val="-2"/>
          <w:position w:val="-7"/>
        </w:rPr>
        <w:t>．</w:t>
      </w:r>
      <w:r>
        <w:rPr>
          <w:spacing w:val="-10"/>
        </w:rPr>
        <w:t>(见 </w:t>
      </w:r>
      <w:r>
        <w:rPr>
          <w:spacing w:val="-2"/>
        </w:rPr>
        <w:t>11.15)申请需在资产评估日前经我们同意后才适合该</w:t>
      </w:r>
      <w:r>
        <w:rPr>
          <w:spacing w:val="-2"/>
        </w:rPr>
        <w:t>资产评估日，我们有权规定受理参加该次资产评估日交易的截止时间，迟于该</w:t>
      </w:r>
      <w:r>
        <w:rPr>
          <w:spacing w:val="-2"/>
        </w:rPr>
        <w:t>截止时间的交易申请，我们将在下一资产评估日为您进行相关交易。</w:t>
      </w:r>
    </w:p>
    <w:p>
      <w:pPr>
        <w:spacing w:after="0" w:line="268" w:lineRule="auto"/>
        <w:jc w:val="both"/>
        <w:sectPr>
          <w:type w:val="continuous"/>
          <w:pgSz w:w="11910" w:h="16840"/>
          <w:pgMar w:top="0" w:bottom="280" w:left="740" w:right="20"/>
          <w:cols w:num="2" w:equalWidth="0">
            <w:col w:w="2496" w:space="40"/>
            <w:col w:w="8614"/>
          </w:cols>
        </w:sectPr>
      </w:pPr>
    </w:p>
    <w:p>
      <w:pPr>
        <w:pStyle w:val="BodyText"/>
        <w:spacing w:before="5"/>
        <w:rPr>
          <w:sz w:val="12"/>
        </w:rPr>
      </w:pPr>
    </w:p>
    <w:p>
      <w:pPr>
        <w:spacing w:after="0"/>
        <w:rPr>
          <w:sz w:val="12"/>
        </w:rPr>
        <w:sectPr>
          <w:type w:val="continuous"/>
          <w:pgSz w:w="11910" w:h="16840"/>
          <w:pgMar w:top="0" w:bottom="280" w:left="740" w:right="20"/>
        </w:sectPr>
      </w:pPr>
    </w:p>
    <w:p>
      <w:pPr>
        <w:pStyle w:val="ListParagraph"/>
        <w:numPr>
          <w:ilvl w:val="1"/>
          <w:numId w:val="5"/>
        </w:numPr>
        <w:tabs>
          <w:tab w:pos="1439" w:val="left" w:leader="none"/>
          <w:tab w:pos="1440" w:val="left" w:leader="none"/>
        </w:tabs>
        <w:spacing w:line="192" w:lineRule="auto" w:before="58" w:after="0"/>
        <w:ind w:left="1439" w:right="0" w:hanging="1052"/>
        <w:jc w:val="left"/>
        <w:rPr>
          <w:rFonts w:ascii="Microsoft JhengHei" w:eastAsia="Microsoft JhengHei"/>
          <w:b/>
          <w:sz w:val="21"/>
        </w:rPr>
      </w:pPr>
      <w:r>
        <w:rPr>
          <w:rFonts w:ascii="Microsoft JhengHei" w:eastAsia="Microsoft JhengHei"/>
          <w:b/>
          <w:spacing w:val="-2"/>
          <w:sz w:val="21"/>
        </w:rPr>
        <w:t>特殊情况下交</w:t>
      </w:r>
      <w:r>
        <w:rPr>
          <w:rFonts w:ascii="Microsoft JhengHei" w:eastAsia="Microsoft JhengHei"/>
          <w:b/>
          <w:spacing w:val="-4"/>
          <w:sz w:val="21"/>
        </w:rPr>
        <w:t>易的规定</w:t>
      </w:r>
    </w:p>
    <w:p>
      <w:pPr>
        <w:spacing w:line="312" w:lineRule="exact" w:before="32"/>
        <w:ind w:left="161" w:right="1104" w:firstLine="0"/>
        <w:jc w:val="both"/>
        <w:rPr>
          <w:rFonts w:ascii="微软雅黑" w:eastAsia="微软雅黑"/>
          <w:b/>
          <w:sz w:val="21"/>
        </w:rPr>
      </w:pPr>
      <w:r>
        <w:rPr/>
        <w:br w:type="column"/>
      </w:r>
      <w:r>
        <w:rPr>
          <w:spacing w:val="-5"/>
          <w:w w:val="100"/>
          <w:sz w:val="21"/>
        </w:rPr>
        <w:t>在不违反相关的法律、法规、规章和规定的前提下，如果因发生非我们所能控制的特殊情况或不寻常的市场行为</w:t>
      </w:r>
      <w:r>
        <w:rPr>
          <w:spacing w:val="-3"/>
          <w:w w:val="100"/>
          <w:sz w:val="21"/>
        </w:rPr>
        <w:t>（诸如证券交易所休市和相关证券品种停止交易等</w:t>
      </w:r>
      <w:r>
        <w:rPr>
          <w:spacing w:val="-13"/>
          <w:w w:val="100"/>
          <w:sz w:val="21"/>
        </w:rPr>
        <w:t>）</w:t>
      </w:r>
      <w:r>
        <w:rPr>
          <w:spacing w:val="-14"/>
          <w:w w:val="100"/>
          <w:sz w:val="21"/>
        </w:rPr>
        <w:t>，</w:t>
      </w:r>
      <w:r>
        <w:rPr>
          <w:rFonts w:ascii="微软雅黑" w:eastAsia="微软雅黑"/>
          <w:b/>
          <w:spacing w:val="-4"/>
          <w:w w:val="100"/>
          <w:sz w:val="21"/>
        </w:rPr>
        <w:t>则我们延迟执行您买入或卖出投资单位数的申请，被延迟买入或卖</w:t>
      </w:r>
      <w:r>
        <w:rPr>
          <w:rFonts w:ascii="微软雅黑" w:eastAsia="微软雅黑"/>
          <w:b/>
          <w:spacing w:val="3"/>
          <w:w w:val="100"/>
          <w:sz w:val="21"/>
        </w:rPr>
        <w:t>出的投资单位将按其实际被买入或卖出时所对应的资产评估日的投资账户投</w:t>
      </w:r>
      <w:r>
        <w:rPr>
          <w:rFonts w:ascii="微软雅黑" w:eastAsia="微软雅黑"/>
          <w:b/>
          <w:w w:val="100"/>
          <w:sz w:val="21"/>
        </w:rPr>
        <w:t>资单位价格计算其买入或卖出金额。</w:t>
      </w:r>
    </w:p>
    <w:p>
      <w:pPr>
        <w:spacing w:after="0" w:line="312" w:lineRule="exact"/>
        <w:jc w:val="both"/>
        <w:rPr>
          <w:rFonts w:ascii="微软雅黑" w:eastAsia="微软雅黑"/>
          <w:sz w:val="21"/>
        </w:rPr>
        <w:sectPr>
          <w:type w:val="continuous"/>
          <w:pgSz w:w="11910" w:h="16840"/>
          <w:pgMar w:top="0" w:bottom="280" w:left="740" w:right="20"/>
          <w:cols w:num="2" w:equalWidth="0">
            <w:col w:w="2707" w:space="40"/>
            <w:col w:w="8403"/>
          </w:cols>
        </w:sectPr>
      </w:pPr>
    </w:p>
    <w:p>
      <w:pPr>
        <w:pStyle w:val="BodyText"/>
        <w:spacing w:before="12"/>
        <w:rPr>
          <w:rFonts w:ascii="微软雅黑"/>
          <w:b/>
          <w:sz w:val="10"/>
        </w:rPr>
      </w:pPr>
    </w:p>
    <w:p>
      <w:pPr>
        <w:spacing w:after="0"/>
        <w:rPr>
          <w:rFonts w:ascii="微软雅黑"/>
          <w:sz w:val="10"/>
        </w:rPr>
        <w:sectPr>
          <w:type w:val="continuous"/>
          <w:pgSz w:w="11910" w:h="16840"/>
          <w:pgMar w:top="0" w:bottom="280" w:left="740" w:right="20"/>
        </w:sectPr>
      </w:pPr>
    </w:p>
    <w:p>
      <w:pPr>
        <w:pStyle w:val="ListParagraph"/>
        <w:numPr>
          <w:ilvl w:val="1"/>
          <w:numId w:val="5"/>
        </w:numPr>
        <w:tabs>
          <w:tab w:pos="1439" w:val="left" w:leader="none"/>
          <w:tab w:pos="1440" w:val="left" w:leader="none"/>
        </w:tabs>
        <w:spacing w:line="192" w:lineRule="auto" w:before="58" w:after="0"/>
        <w:ind w:left="1439" w:right="0" w:hanging="1052"/>
        <w:jc w:val="left"/>
        <w:rPr>
          <w:rFonts w:ascii="Microsoft JhengHei" w:eastAsia="Microsoft JhengHei"/>
          <w:b/>
          <w:sz w:val="21"/>
        </w:rPr>
      </w:pPr>
      <w:r>
        <w:rPr>
          <w:rFonts w:ascii="Microsoft JhengHei" w:eastAsia="Microsoft JhengHei"/>
          <w:b/>
          <w:spacing w:val="-2"/>
          <w:sz w:val="21"/>
        </w:rPr>
        <w:t>巨额卖出申请</w:t>
      </w:r>
      <w:r>
        <w:rPr>
          <w:rFonts w:ascii="Microsoft JhengHei" w:eastAsia="Microsoft JhengHei"/>
          <w:b/>
          <w:spacing w:val="-6"/>
          <w:sz w:val="21"/>
        </w:rPr>
        <w:t>处理</w:t>
      </w:r>
    </w:p>
    <w:p>
      <w:pPr>
        <w:pStyle w:val="BodyText"/>
        <w:spacing w:line="268" w:lineRule="auto" w:before="5"/>
        <w:ind w:left="161" w:right="1103"/>
        <w:jc w:val="both"/>
      </w:pPr>
      <w:r>
        <w:rPr/>
        <w:br w:type="column"/>
      </w:r>
      <w:r>
        <w:rPr>
          <w:spacing w:val="-2"/>
        </w:rPr>
        <w:t>如果出现投资账户</w:t>
      </w:r>
      <w:r>
        <w:rPr>
          <w:rFonts w:ascii="Microsoft JhengHei" w:eastAsia="Microsoft JhengHei"/>
          <w:b/>
          <w:spacing w:val="-149"/>
        </w:rPr>
        <w:t>巨</w:t>
      </w:r>
      <w:r>
        <w:rPr>
          <w:spacing w:val="-63"/>
          <w:position w:val="-7"/>
        </w:rPr>
        <w:t>．</w:t>
      </w:r>
      <w:r>
        <w:rPr>
          <w:rFonts w:ascii="Microsoft JhengHei" w:eastAsia="Microsoft JhengHei"/>
          <w:b/>
          <w:spacing w:val="-149"/>
        </w:rPr>
        <w:t>额</w:t>
      </w:r>
      <w:r>
        <w:rPr>
          <w:spacing w:val="-63"/>
          <w:position w:val="-7"/>
        </w:rPr>
        <w:t>．</w:t>
      </w:r>
      <w:r>
        <w:rPr>
          <w:rFonts w:ascii="Microsoft JhengHei" w:eastAsia="Microsoft JhengHei"/>
          <w:b/>
          <w:spacing w:val="-149"/>
        </w:rPr>
        <w:t>卖</w:t>
      </w:r>
      <w:r>
        <w:rPr>
          <w:spacing w:val="-63"/>
          <w:position w:val="-7"/>
        </w:rPr>
        <w:t>．</w:t>
      </w:r>
      <w:r>
        <w:rPr>
          <w:rFonts w:ascii="Microsoft JhengHei" w:eastAsia="Microsoft JhengHei"/>
          <w:b/>
          <w:spacing w:val="-149"/>
        </w:rPr>
        <w:t>出</w:t>
      </w:r>
      <w:r>
        <w:rPr>
          <w:spacing w:val="-63"/>
          <w:position w:val="-7"/>
        </w:rPr>
        <w:t>．</w:t>
      </w:r>
      <w:r>
        <w:rPr>
          <w:rFonts w:ascii="Microsoft JhengHei" w:eastAsia="Microsoft JhengHei"/>
          <w:b/>
          <w:spacing w:val="-149"/>
        </w:rPr>
        <w:t>申</w:t>
      </w:r>
      <w:r>
        <w:rPr>
          <w:spacing w:val="-63"/>
          <w:position w:val="-7"/>
        </w:rPr>
        <w:t>．</w:t>
      </w:r>
      <w:r>
        <w:rPr>
          <w:rFonts w:ascii="Microsoft JhengHei" w:eastAsia="Microsoft JhengHei"/>
          <w:b/>
          <w:spacing w:val="-149"/>
        </w:rPr>
        <w:t>请</w:t>
      </w:r>
      <w:r>
        <w:rPr>
          <w:spacing w:val="-2"/>
          <w:position w:val="-7"/>
        </w:rPr>
        <w:t>．</w:t>
      </w:r>
      <w:r>
        <w:rPr>
          <w:spacing w:val="-10"/>
        </w:rPr>
        <w:t>(见 </w:t>
      </w:r>
      <w:r>
        <w:rPr>
          <w:spacing w:val="-2"/>
        </w:rPr>
        <w:t>11.16)，则我们可限制接受或延迟执行您</w:t>
      </w:r>
      <w:r>
        <w:rPr>
          <w:spacing w:val="-2"/>
        </w:rPr>
        <w:t>卖出投资单位数的申请，被延迟卖出的投资单位将按其实际被卖出时所对应的</w:t>
      </w:r>
      <w:r>
        <w:rPr>
          <w:spacing w:val="-2"/>
        </w:rPr>
        <w:t>资产评估日的投资账户投资单位价格计算其卖出金额。</w:t>
      </w:r>
    </w:p>
    <w:p>
      <w:pPr>
        <w:spacing w:after="0" w:line="268" w:lineRule="auto"/>
        <w:jc w:val="both"/>
        <w:sectPr>
          <w:type w:val="continuous"/>
          <w:pgSz w:w="11910" w:h="16840"/>
          <w:pgMar w:top="0" w:bottom="280" w:left="740" w:right="20"/>
          <w:cols w:num="2" w:equalWidth="0">
            <w:col w:w="2707" w:space="40"/>
            <w:col w:w="8403"/>
          </w:cols>
        </w:sectPr>
      </w:pPr>
    </w:p>
    <w:p>
      <w:pPr>
        <w:pStyle w:val="BodyText"/>
        <w:spacing w:before="1"/>
        <w:rPr>
          <w:sz w:val="11"/>
        </w:rPr>
      </w:pPr>
    </w:p>
    <w:p>
      <w:pPr>
        <w:pStyle w:val="Heading2"/>
        <w:numPr>
          <w:ilvl w:val="0"/>
          <w:numId w:val="5"/>
        </w:numPr>
        <w:tabs>
          <w:tab w:pos="1439" w:val="left" w:leader="none"/>
          <w:tab w:pos="1440" w:val="left" w:leader="none"/>
        </w:tabs>
        <w:spacing w:line="432" w:lineRule="exact" w:before="0" w:after="0"/>
        <w:ind w:left="1439" w:right="0" w:hanging="1052"/>
        <w:jc w:val="left"/>
        <w:rPr>
          <w:rFonts w:ascii="微软雅黑" w:eastAsia="微软雅黑"/>
        </w:rPr>
      </w:pPr>
      <w:r>
        <w:rPr/>
        <w:drawing>
          <wp:anchor distT="0" distB="0" distL="0" distR="0" allowOverlap="1" layoutInCell="1" locked="0" behindDoc="1" simplePos="0" relativeHeight="486505472">
            <wp:simplePos x="0" y="0"/>
            <wp:positionH relativeFrom="page">
              <wp:posOffset>647700</wp:posOffset>
            </wp:positionH>
            <wp:positionV relativeFrom="paragraph">
              <wp:posOffset>240270</wp:posOffset>
            </wp:positionV>
            <wp:extent cx="6264783" cy="12191"/>
            <wp:effectExtent l="0" t="0" r="0" b="0"/>
            <wp:wrapNone/>
            <wp:docPr id="13" name="image4.png"/>
            <wp:cNvGraphicFramePr>
              <a:graphicFrameLocks noChangeAspect="1"/>
            </wp:cNvGraphicFramePr>
            <a:graphic>
              <a:graphicData uri="http://schemas.openxmlformats.org/drawingml/2006/picture">
                <pic:pic>
                  <pic:nvPicPr>
                    <pic:cNvPr id="14" name="image4.png"/>
                    <pic:cNvPicPr/>
                  </pic:nvPicPr>
                  <pic:blipFill>
                    <a:blip r:embed="rId8" cstate="print"/>
                    <a:stretch>
                      <a:fillRect/>
                    </a:stretch>
                  </pic:blipFill>
                  <pic:spPr>
                    <a:xfrm>
                      <a:off x="0" y="0"/>
                      <a:ext cx="6264783" cy="12191"/>
                    </a:xfrm>
                    <a:prstGeom prst="rect">
                      <a:avLst/>
                    </a:prstGeom>
                  </pic:spPr>
                </pic:pic>
              </a:graphicData>
            </a:graphic>
          </wp:anchor>
        </w:drawing>
      </w:r>
      <w:r>
        <w:rPr>
          <w:spacing w:val="-2"/>
        </w:rPr>
        <w:t>保险费的交纳</w:t>
      </w:r>
    </w:p>
    <w:p>
      <w:pPr>
        <w:pStyle w:val="BodyText"/>
        <w:spacing w:before="12"/>
        <w:rPr>
          <w:rFonts w:ascii="Microsoft JhengHei"/>
          <w:b/>
          <w:sz w:val="6"/>
        </w:rPr>
      </w:pPr>
    </w:p>
    <w:p>
      <w:pPr>
        <w:spacing w:after="0"/>
        <w:rPr>
          <w:rFonts w:ascii="Microsoft JhengHei"/>
          <w:sz w:val="6"/>
        </w:rPr>
        <w:sectPr>
          <w:type w:val="continuous"/>
          <w:pgSz w:w="11910" w:h="16840"/>
          <w:pgMar w:top="0" w:bottom="280" w:left="740" w:right="20"/>
        </w:sectPr>
      </w:pPr>
    </w:p>
    <w:p>
      <w:pPr>
        <w:pStyle w:val="ListParagraph"/>
        <w:numPr>
          <w:ilvl w:val="1"/>
          <w:numId w:val="5"/>
        </w:numPr>
        <w:tabs>
          <w:tab w:pos="1439" w:val="left" w:leader="none"/>
          <w:tab w:pos="1440" w:val="left" w:leader="none"/>
        </w:tabs>
        <w:spacing w:line="192" w:lineRule="auto" w:before="58" w:after="0"/>
        <w:ind w:left="1439" w:right="0" w:hanging="1052"/>
        <w:jc w:val="left"/>
        <w:rPr>
          <w:rFonts w:ascii="Microsoft JhengHei" w:eastAsia="Microsoft JhengHei"/>
          <w:b/>
          <w:sz w:val="21"/>
        </w:rPr>
      </w:pPr>
      <w:r>
        <w:rPr>
          <w:rFonts w:ascii="Microsoft JhengHei" w:eastAsia="Microsoft JhengHei"/>
          <w:b/>
          <w:spacing w:val="-2"/>
          <w:sz w:val="21"/>
        </w:rPr>
        <w:t>保险费的交</w:t>
      </w:r>
      <w:r>
        <w:rPr>
          <w:rFonts w:ascii="Microsoft JhengHei" w:eastAsia="Microsoft JhengHei"/>
          <w:b/>
          <w:spacing w:val="-10"/>
          <w:sz w:val="21"/>
        </w:rPr>
        <w:t>纳</w:t>
      </w:r>
    </w:p>
    <w:p>
      <w:pPr>
        <w:pStyle w:val="BodyText"/>
        <w:spacing w:line="278" w:lineRule="auto" w:before="72"/>
        <w:ind w:left="808" w:right="1110" w:hanging="421"/>
      </w:pPr>
      <w:r>
        <w:rPr/>
        <w:br w:type="column"/>
      </w:r>
      <w:r>
        <w:rPr>
          <w:w w:val="100"/>
        </w:rPr>
        <w:t>一、本合同的保险费分为您在投保时一次性交付的保险费和保单生效后的追</w:t>
      </w:r>
      <w:r>
        <w:rPr>
          <w:spacing w:val="-1"/>
          <w:w w:val="100"/>
        </w:rPr>
        <w:t>加保险费。</w:t>
      </w:r>
    </w:p>
    <w:p>
      <w:pPr>
        <w:pStyle w:val="BodyText"/>
        <w:spacing w:line="278" w:lineRule="auto"/>
        <w:ind w:left="808" w:right="1101" w:hanging="421"/>
      </w:pPr>
      <w:r>
        <w:rPr>
          <w:spacing w:val="-2"/>
        </w:rPr>
        <w:t>二、本合同有效期间内，您可以根据您的需求随时追加保险费。追加保险费交</w:t>
      </w:r>
      <w:r>
        <w:rPr>
          <w:spacing w:val="-2"/>
        </w:rPr>
        <w:t>费金额须符合本公司当时的投保规定。</w:t>
      </w:r>
    </w:p>
    <w:p>
      <w:pPr>
        <w:spacing w:after="0" w:line="278" w:lineRule="auto"/>
        <w:sectPr>
          <w:type w:val="continuous"/>
          <w:pgSz w:w="11910" w:h="16840"/>
          <w:pgMar w:top="0" w:bottom="280" w:left="740" w:right="20"/>
          <w:cols w:num="2" w:equalWidth="0">
            <w:col w:w="2496" w:space="60"/>
            <w:col w:w="8594"/>
          </w:cols>
        </w:sectPr>
      </w:pPr>
    </w:p>
    <w:p>
      <w:pPr>
        <w:pStyle w:val="BodyText"/>
        <w:spacing w:before="10"/>
        <w:rPr>
          <w:sz w:val="10"/>
        </w:rPr>
      </w:pPr>
    </w:p>
    <w:p>
      <w:pPr>
        <w:pStyle w:val="Heading2"/>
        <w:numPr>
          <w:ilvl w:val="0"/>
          <w:numId w:val="5"/>
        </w:numPr>
        <w:tabs>
          <w:tab w:pos="1439" w:val="left" w:leader="none"/>
          <w:tab w:pos="1440" w:val="left" w:leader="none"/>
        </w:tabs>
        <w:spacing w:line="433" w:lineRule="exact" w:before="0" w:after="0"/>
        <w:ind w:left="1439" w:right="0" w:hanging="1052"/>
        <w:jc w:val="left"/>
        <w:rPr>
          <w:rFonts w:ascii="微软雅黑" w:eastAsia="微软雅黑"/>
        </w:rPr>
      </w:pPr>
      <w:r>
        <w:rPr/>
        <w:drawing>
          <wp:anchor distT="0" distB="0" distL="0" distR="0" allowOverlap="1" layoutInCell="1" locked="0" behindDoc="1" simplePos="0" relativeHeight="486505984">
            <wp:simplePos x="0" y="0"/>
            <wp:positionH relativeFrom="page">
              <wp:posOffset>647700</wp:posOffset>
            </wp:positionH>
            <wp:positionV relativeFrom="paragraph">
              <wp:posOffset>240707</wp:posOffset>
            </wp:positionV>
            <wp:extent cx="6264783" cy="12192"/>
            <wp:effectExtent l="0" t="0" r="0" b="0"/>
            <wp:wrapNone/>
            <wp:docPr id="15" name="image3.png"/>
            <wp:cNvGraphicFramePr>
              <a:graphicFrameLocks noChangeAspect="1"/>
            </wp:cNvGraphicFramePr>
            <a:graphic>
              <a:graphicData uri="http://schemas.openxmlformats.org/drawingml/2006/picture">
                <pic:pic>
                  <pic:nvPicPr>
                    <pic:cNvPr id="16" name="image3.png"/>
                    <pic:cNvPicPr/>
                  </pic:nvPicPr>
                  <pic:blipFill>
                    <a:blip r:embed="rId7" cstate="print"/>
                    <a:stretch>
                      <a:fillRect/>
                    </a:stretch>
                  </pic:blipFill>
                  <pic:spPr>
                    <a:xfrm>
                      <a:off x="0" y="0"/>
                      <a:ext cx="6264783" cy="12192"/>
                    </a:xfrm>
                    <a:prstGeom prst="rect">
                      <a:avLst/>
                    </a:prstGeom>
                  </pic:spPr>
                </pic:pic>
              </a:graphicData>
            </a:graphic>
          </wp:anchor>
        </w:drawing>
      </w:r>
      <w:r>
        <w:rPr>
          <w:spacing w:val="-2"/>
        </w:rPr>
        <w:t>保单账户管理</w:t>
      </w:r>
    </w:p>
    <w:p>
      <w:pPr>
        <w:pStyle w:val="ListParagraph"/>
        <w:numPr>
          <w:ilvl w:val="1"/>
          <w:numId w:val="5"/>
        </w:numPr>
        <w:tabs>
          <w:tab w:pos="1439" w:val="left" w:leader="none"/>
          <w:tab w:pos="1440" w:val="left" w:leader="none"/>
          <w:tab w:pos="2944" w:val="left" w:leader="none"/>
        </w:tabs>
        <w:spacing w:line="385" w:lineRule="exact" w:before="125" w:after="0"/>
        <w:ind w:left="1439" w:right="0" w:hanging="1052"/>
        <w:jc w:val="left"/>
        <w:rPr>
          <w:sz w:val="21"/>
        </w:rPr>
      </w:pPr>
      <w:r>
        <w:rPr>
          <w:rFonts w:ascii="Microsoft JhengHei" w:eastAsia="Microsoft JhengHei"/>
          <w:b/>
          <w:sz w:val="21"/>
        </w:rPr>
        <w:t>保单账</w:t>
      </w:r>
      <w:r>
        <w:rPr>
          <w:rFonts w:ascii="Microsoft JhengHei" w:eastAsia="Microsoft JhengHei"/>
          <w:b/>
          <w:spacing w:val="-10"/>
          <w:sz w:val="21"/>
        </w:rPr>
        <w:t>户</w:t>
      </w:r>
      <w:r>
        <w:rPr>
          <w:rFonts w:ascii="Microsoft JhengHei" w:eastAsia="Microsoft JhengHei"/>
          <w:b/>
          <w:sz w:val="21"/>
        </w:rPr>
        <w:tab/>
      </w:r>
      <w:r>
        <w:rPr>
          <w:spacing w:val="-4"/>
          <w:sz w:val="21"/>
        </w:rPr>
        <w:t>一、</w:t>
      </w:r>
      <w:r>
        <w:rPr>
          <w:spacing w:val="-4"/>
          <w:sz w:val="21"/>
        </w:rPr>
        <w:t>为</w:t>
      </w:r>
      <w:r>
        <w:rPr>
          <w:spacing w:val="-4"/>
          <w:sz w:val="21"/>
        </w:rPr>
        <w:t>履</w:t>
      </w:r>
      <w:r>
        <w:rPr>
          <w:spacing w:val="-4"/>
          <w:sz w:val="21"/>
        </w:rPr>
        <w:t>行本合同的保险责任，明确您的权益，我们将</w:t>
      </w:r>
      <w:r>
        <w:rPr>
          <w:spacing w:val="-4"/>
          <w:sz w:val="21"/>
        </w:rPr>
        <w:t>为</w:t>
      </w:r>
      <w:r>
        <w:rPr>
          <w:spacing w:val="-4"/>
          <w:sz w:val="21"/>
        </w:rPr>
        <w:t>您</w:t>
      </w:r>
      <w:r>
        <w:rPr>
          <w:spacing w:val="-4"/>
          <w:sz w:val="21"/>
        </w:rPr>
        <w:t>设立本合同的保</w:t>
      </w:r>
      <w:r>
        <w:rPr>
          <w:spacing w:val="-10"/>
          <w:sz w:val="21"/>
        </w:rPr>
        <w:t>单</w:t>
      </w:r>
    </w:p>
    <w:p>
      <w:pPr>
        <w:pStyle w:val="BodyText"/>
        <w:spacing w:line="278" w:lineRule="auto"/>
        <w:ind w:left="3365" w:right="1101"/>
      </w:pPr>
      <w:r>
        <w:rPr>
          <w:spacing w:val="-2"/>
        </w:rPr>
        <w:t>账户，记录您所持有的各投资账户的投资单位数。投资单位数精确到小数</w:t>
      </w:r>
      <w:r>
        <w:rPr>
          <w:spacing w:val="-2"/>
        </w:rPr>
        <w:t>点后8位。</w:t>
      </w:r>
    </w:p>
    <w:p>
      <w:pPr>
        <w:pStyle w:val="BodyText"/>
        <w:spacing w:line="278" w:lineRule="auto"/>
        <w:ind w:left="3365" w:right="1101" w:hanging="421"/>
      </w:pPr>
      <w:r>
        <w:rPr>
          <w:spacing w:val="-2"/>
        </w:rPr>
        <w:t>二、在本合同有效期内，我们每年向您提供一份保单状态报告，告知保单的具</w:t>
      </w:r>
      <w:r>
        <w:rPr>
          <w:spacing w:val="-4"/>
        </w:rPr>
        <w:t>体情况。</w:t>
      </w:r>
    </w:p>
    <w:p>
      <w:pPr>
        <w:pStyle w:val="BodyText"/>
        <w:spacing w:before="12"/>
        <w:rPr>
          <w:sz w:val="11"/>
        </w:rPr>
      </w:pPr>
    </w:p>
    <w:p>
      <w:pPr>
        <w:spacing w:after="0"/>
        <w:rPr>
          <w:sz w:val="11"/>
        </w:rPr>
        <w:sectPr>
          <w:type w:val="continuous"/>
          <w:pgSz w:w="11910" w:h="16840"/>
          <w:pgMar w:top="0" w:bottom="280" w:left="740" w:right="20"/>
        </w:sectPr>
      </w:pPr>
    </w:p>
    <w:p>
      <w:pPr>
        <w:pStyle w:val="ListParagraph"/>
        <w:numPr>
          <w:ilvl w:val="1"/>
          <w:numId w:val="5"/>
        </w:numPr>
        <w:tabs>
          <w:tab w:pos="1439" w:val="left" w:leader="none"/>
          <w:tab w:pos="1440" w:val="left" w:leader="none"/>
        </w:tabs>
        <w:spacing w:line="192" w:lineRule="auto" w:before="58" w:after="0"/>
        <w:ind w:left="1439" w:right="0" w:hanging="1052"/>
        <w:jc w:val="left"/>
        <w:rPr>
          <w:rFonts w:ascii="Microsoft JhengHei" w:eastAsia="Microsoft JhengHei"/>
          <w:b/>
          <w:sz w:val="21"/>
        </w:rPr>
      </w:pPr>
      <w:r>
        <w:rPr>
          <w:rFonts w:ascii="Microsoft JhengHei" w:eastAsia="Microsoft JhengHei"/>
          <w:b/>
          <w:spacing w:val="36"/>
          <w:sz w:val="21"/>
        </w:rPr>
        <w:t>保单账户价</w:t>
      </w:r>
      <w:r>
        <w:rPr>
          <w:rFonts w:ascii="Microsoft JhengHei" w:eastAsia="Microsoft JhengHei"/>
          <w:b/>
          <w:spacing w:val="-10"/>
          <w:sz w:val="21"/>
        </w:rPr>
        <w:t>值</w:t>
      </w:r>
    </w:p>
    <w:p>
      <w:pPr>
        <w:pStyle w:val="BodyText"/>
        <w:spacing w:line="278" w:lineRule="auto" w:before="71"/>
        <w:ind w:left="174" w:right="1298"/>
        <w:jc w:val="both"/>
      </w:pPr>
      <w:r>
        <w:rPr/>
        <w:br w:type="column"/>
      </w:r>
      <w:r>
        <w:rPr>
          <w:spacing w:val="-2"/>
        </w:rPr>
        <w:t>在任意一个资产评估日，您的保单账户价值等于您名下的保单账户中各投资</w:t>
      </w:r>
      <w:r>
        <w:rPr>
          <w:spacing w:val="-2"/>
        </w:rPr>
        <w:t>账户价值之和，各投资账户价值等于该投资账户中您拥有的投资单位数乘以</w:t>
      </w:r>
      <w:r>
        <w:rPr>
          <w:spacing w:val="-2"/>
        </w:rPr>
        <w:t>该资产评估日的投资单位价格。</w:t>
      </w:r>
    </w:p>
    <w:p>
      <w:pPr>
        <w:spacing w:after="0" w:line="278" w:lineRule="auto"/>
        <w:jc w:val="both"/>
        <w:sectPr>
          <w:type w:val="continuous"/>
          <w:pgSz w:w="11910" w:h="16840"/>
          <w:pgMar w:top="0" w:bottom="280" w:left="740" w:right="20"/>
          <w:cols w:num="2" w:equalWidth="0">
            <w:col w:w="2695" w:space="40"/>
            <w:col w:w="8415"/>
          </w:cols>
        </w:sectPr>
      </w:pPr>
    </w:p>
    <w:p>
      <w:pPr>
        <w:pStyle w:val="BodyText"/>
        <w:rPr>
          <w:sz w:val="12"/>
        </w:rPr>
      </w:pPr>
    </w:p>
    <w:p>
      <w:pPr>
        <w:pStyle w:val="ListParagraph"/>
        <w:numPr>
          <w:ilvl w:val="1"/>
          <w:numId w:val="5"/>
        </w:numPr>
        <w:tabs>
          <w:tab w:pos="1439" w:val="left" w:leader="none"/>
          <w:tab w:pos="1440" w:val="left" w:leader="none"/>
          <w:tab w:pos="2908" w:val="left" w:leader="none"/>
        </w:tabs>
        <w:spacing w:line="240" w:lineRule="auto" w:before="3" w:after="0"/>
        <w:ind w:left="1439" w:right="0" w:hanging="1052"/>
        <w:jc w:val="left"/>
        <w:rPr>
          <w:sz w:val="21"/>
        </w:rPr>
      </w:pPr>
      <w:r>
        <w:rPr>
          <w:rFonts w:ascii="Microsoft JhengHei" w:eastAsia="Microsoft JhengHei"/>
          <w:b/>
          <w:spacing w:val="50"/>
          <w:sz w:val="21"/>
        </w:rPr>
        <w:t>投资</w:t>
      </w:r>
      <w:r>
        <w:rPr>
          <w:rFonts w:ascii="Microsoft JhengHei" w:eastAsia="Microsoft JhengHei"/>
          <w:b/>
          <w:spacing w:val="47"/>
          <w:sz w:val="21"/>
        </w:rPr>
        <w:t>方</w:t>
      </w:r>
      <w:r>
        <w:rPr>
          <w:rFonts w:ascii="Microsoft JhengHei" w:eastAsia="Microsoft JhengHei"/>
          <w:b/>
          <w:spacing w:val="50"/>
          <w:sz w:val="21"/>
        </w:rPr>
        <w:t>式</w:t>
      </w:r>
      <w:r>
        <w:rPr>
          <w:rFonts w:ascii="Microsoft JhengHei" w:eastAsia="Microsoft JhengHei"/>
          <w:b/>
          <w:spacing w:val="-10"/>
          <w:sz w:val="21"/>
        </w:rPr>
        <w:t>选</w:t>
      </w:r>
      <w:r>
        <w:rPr>
          <w:rFonts w:ascii="Microsoft JhengHei" w:eastAsia="Microsoft JhengHei"/>
          <w:b/>
          <w:sz w:val="21"/>
        </w:rPr>
        <w:tab/>
      </w:r>
      <w:r>
        <w:rPr>
          <w:spacing w:val="-2"/>
          <w:sz w:val="21"/>
        </w:rPr>
        <w:t>您</w:t>
      </w:r>
      <w:r>
        <w:rPr>
          <w:spacing w:val="-2"/>
          <w:sz w:val="21"/>
        </w:rPr>
        <w:t>在</w:t>
      </w:r>
      <w:r>
        <w:rPr>
          <w:spacing w:val="-2"/>
          <w:sz w:val="21"/>
        </w:rPr>
        <w:t>投保时或交纳追加保</w:t>
      </w:r>
      <w:r>
        <w:rPr>
          <w:spacing w:val="-2"/>
          <w:sz w:val="21"/>
        </w:rPr>
        <w:t>险</w:t>
      </w:r>
      <w:r>
        <w:rPr>
          <w:spacing w:val="-2"/>
          <w:sz w:val="21"/>
        </w:rPr>
        <w:t>费</w:t>
      </w:r>
      <w:r>
        <w:rPr>
          <w:spacing w:val="-2"/>
          <w:sz w:val="21"/>
        </w:rPr>
        <w:t>时可以按照我们的规</w:t>
      </w:r>
      <w:r>
        <w:rPr>
          <w:spacing w:val="-2"/>
          <w:sz w:val="21"/>
        </w:rPr>
        <w:t>定</w:t>
      </w:r>
      <w:r>
        <w:rPr>
          <w:spacing w:val="-2"/>
          <w:sz w:val="21"/>
        </w:rPr>
        <w:t>选</w:t>
      </w:r>
      <w:r>
        <w:rPr>
          <w:spacing w:val="-2"/>
          <w:sz w:val="21"/>
        </w:rPr>
        <w:t>择一个或多个投</w:t>
      </w:r>
      <w:r>
        <w:rPr>
          <w:spacing w:val="-2"/>
          <w:sz w:val="21"/>
        </w:rPr>
        <w:t>资</w:t>
      </w:r>
      <w:r>
        <w:rPr>
          <w:spacing w:val="-10"/>
          <w:sz w:val="21"/>
        </w:rPr>
        <w:t>账</w:t>
      </w:r>
    </w:p>
    <w:p>
      <w:pPr>
        <w:spacing w:after="0" w:line="240" w:lineRule="auto"/>
        <w:jc w:val="left"/>
        <w:rPr>
          <w:sz w:val="21"/>
        </w:rPr>
        <w:sectPr>
          <w:type w:val="continuous"/>
          <w:pgSz w:w="11910" w:h="16840"/>
          <w:pgMar w:top="0" w:bottom="280" w:left="740" w:right="20"/>
        </w:sectPr>
      </w:pPr>
    </w:p>
    <w:p>
      <w:pPr>
        <w:pStyle w:val="BodyText"/>
        <w:tabs>
          <w:tab w:pos="2908" w:val="left" w:leader="none"/>
        </w:tabs>
        <w:spacing w:line="374" w:lineRule="exact"/>
        <w:ind w:left="1439"/>
      </w:pPr>
      <w:r>
        <w:rPr>
          <w:rFonts w:ascii="Microsoft JhengHei" w:eastAsia="Microsoft JhengHei"/>
          <w:b/>
          <w:spacing w:val="-10"/>
        </w:rPr>
        <w:t>择</w:t>
      </w:r>
      <w:r>
        <w:rPr>
          <w:rFonts w:ascii="Microsoft JhengHei" w:eastAsia="Microsoft JhengHei"/>
          <w:b/>
        </w:rPr>
        <w:tab/>
      </w:r>
      <w:r>
        <w:rPr>
          <w:spacing w:val="-2"/>
        </w:rPr>
        <w:t>户</w:t>
      </w:r>
      <w:r>
        <w:rPr>
          <w:spacing w:val="-2"/>
        </w:rPr>
        <w:t>并</w:t>
      </w:r>
      <w:r>
        <w:rPr>
          <w:spacing w:val="-2"/>
        </w:rPr>
        <w:t>约定保险费在各投资</w:t>
      </w:r>
      <w:r>
        <w:rPr>
          <w:spacing w:val="-2"/>
        </w:rPr>
        <w:t>账</w:t>
      </w:r>
      <w:r>
        <w:rPr>
          <w:spacing w:val="-2"/>
        </w:rPr>
        <w:t>户</w:t>
      </w:r>
      <w:r>
        <w:rPr>
          <w:spacing w:val="-2"/>
        </w:rPr>
        <w:t>间的分配比</w:t>
      </w:r>
      <w:r>
        <w:rPr>
          <w:spacing w:val="-2"/>
        </w:rPr>
        <w:t>例</w:t>
      </w:r>
      <w:r>
        <w:rPr>
          <w:spacing w:val="-10"/>
        </w:rPr>
        <w:t>。</w:t>
      </w:r>
    </w:p>
    <w:p>
      <w:pPr>
        <w:pStyle w:val="BodyText"/>
        <w:spacing w:before="11"/>
        <w:rPr>
          <w:sz w:val="11"/>
        </w:rPr>
      </w:pPr>
    </w:p>
    <w:p>
      <w:pPr>
        <w:spacing w:after="0"/>
        <w:rPr>
          <w:sz w:val="11"/>
        </w:rPr>
        <w:sectPr>
          <w:pgSz w:w="11910" w:h="16840"/>
          <w:pgMar w:top="1080" w:bottom="280" w:left="740" w:right="20"/>
        </w:sectPr>
      </w:pPr>
    </w:p>
    <w:p>
      <w:pPr>
        <w:pStyle w:val="ListParagraph"/>
        <w:numPr>
          <w:ilvl w:val="1"/>
          <w:numId w:val="5"/>
        </w:numPr>
        <w:tabs>
          <w:tab w:pos="1439" w:val="left" w:leader="none"/>
          <w:tab w:pos="1440" w:val="left" w:leader="none"/>
        </w:tabs>
        <w:spacing w:line="192" w:lineRule="auto" w:before="57" w:after="0"/>
        <w:ind w:left="1439" w:right="0" w:hanging="1052"/>
        <w:jc w:val="left"/>
        <w:rPr>
          <w:rFonts w:ascii="Microsoft JhengHei" w:eastAsia="Microsoft JhengHei"/>
          <w:b/>
          <w:sz w:val="21"/>
        </w:rPr>
      </w:pPr>
      <w:r>
        <w:rPr>
          <w:rFonts w:ascii="Microsoft JhengHei" w:eastAsia="Microsoft JhengHei"/>
          <w:b/>
          <w:spacing w:val="36"/>
          <w:sz w:val="21"/>
        </w:rPr>
        <w:t>投资单位数</w:t>
      </w:r>
      <w:r>
        <w:rPr>
          <w:rFonts w:ascii="Microsoft JhengHei" w:eastAsia="Microsoft JhengHei"/>
          <w:b/>
          <w:spacing w:val="-4"/>
          <w:sz w:val="21"/>
        </w:rPr>
        <w:t>的确定</w:t>
      </w:r>
    </w:p>
    <w:p>
      <w:pPr>
        <w:pStyle w:val="BodyText"/>
        <w:spacing w:line="278" w:lineRule="auto" w:before="71"/>
        <w:ind w:left="630" w:right="1053" w:hanging="421"/>
        <w:jc w:val="both"/>
      </w:pPr>
      <w:r>
        <w:rPr/>
        <w:br w:type="column"/>
      </w:r>
      <w:r>
        <w:rPr>
          <w:spacing w:val="-2"/>
        </w:rPr>
        <w:t>一、在扣除初始费用后，保险费将按您选择的投资方式分配到相应投资账户，</w:t>
      </w:r>
      <w:r>
        <w:rPr>
          <w:spacing w:val="-9"/>
        </w:rPr>
        <w:t>买入投资单位。您名下各投资账户中买入的投资单位数按如下公式进行计</w:t>
      </w:r>
      <w:r>
        <w:rPr>
          <w:spacing w:val="-2"/>
        </w:rPr>
        <w:t>算：买入的投资单位数=分配至该投资账户的保险费金额/该投资账户的投</w:t>
      </w:r>
      <w:r>
        <w:rPr>
          <w:spacing w:val="-2"/>
        </w:rPr>
        <w:t>资单位价格。</w:t>
      </w:r>
    </w:p>
    <w:p>
      <w:pPr>
        <w:pStyle w:val="BodyText"/>
        <w:spacing w:line="278" w:lineRule="auto"/>
        <w:ind w:left="630" w:right="1101" w:hanging="421"/>
        <w:jc w:val="both"/>
      </w:pPr>
      <w:r>
        <w:rPr>
          <w:spacing w:val="-2"/>
        </w:rPr>
        <w:t>二、对于在犹豫期满前我们收到的保险费，如果您选择在犹豫期内将保险费转</w:t>
      </w:r>
      <w:r>
        <w:rPr>
          <w:spacing w:val="-2"/>
        </w:rPr>
        <w:t>入投资账户，投资单位价格为我们收到每笔保险费后下一个资产评估日的</w:t>
      </w:r>
      <w:r>
        <w:rPr>
          <w:spacing w:val="-2"/>
        </w:rPr>
        <w:t>投资单位价格；如果您选择在犹豫期后将保险费转入投资账户，投资单位</w:t>
      </w:r>
      <w:r>
        <w:rPr>
          <w:spacing w:val="-2"/>
        </w:rPr>
        <w:t>价格为犹豫期后的下一个资产评估日的投资单位价格。</w:t>
      </w:r>
    </w:p>
    <w:p>
      <w:pPr>
        <w:pStyle w:val="BodyText"/>
        <w:spacing w:line="278" w:lineRule="auto"/>
        <w:ind w:left="630" w:right="1101" w:hanging="421"/>
      </w:pPr>
      <w:r>
        <w:rPr>
          <w:spacing w:val="-5"/>
        </w:rPr>
        <w:t>三、对于在犹豫期后我们收到的保险费，投资单位价格为我们收到每笔保险费</w:t>
      </w:r>
      <w:r>
        <w:rPr>
          <w:spacing w:val="-2"/>
        </w:rPr>
        <w:t>后下一个资产评估日的投资单位价格。</w:t>
      </w:r>
    </w:p>
    <w:p>
      <w:pPr>
        <w:spacing w:after="0" w:line="278" w:lineRule="auto"/>
        <w:sectPr>
          <w:type w:val="continuous"/>
          <w:pgSz w:w="11910" w:h="16840"/>
          <w:pgMar w:top="0" w:bottom="280" w:left="740" w:right="20"/>
          <w:cols w:num="2" w:equalWidth="0">
            <w:col w:w="2695" w:space="40"/>
            <w:col w:w="8415"/>
          </w:cols>
        </w:sectPr>
      </w:pPr>
    </w:p>
    <w:p>
      <w:pPr>
        <w:pStyle w:val="BodyText"/>
        <w:spacing w:before="2"/>
        <w:rPr>
          <w:sz w:val="12"/>
        </w:rPr>
      </w:pPr>
    </w:p>
    <w:p>
      <w:pPr>
        <w:spacing w:after="0"/>
        <w:rPr>
          <w:sz w:val="12"/>
        </w:rPr>
        <w:sectPr>
          <w:type w:val="continuous"/>
          <w:pgSz w:w="11910" w:h="16840"/>
          <w:pgMar w:top="0" w:bottom="280" w:left="740" w:right="20"/>
        </w:sectPr>
      </w:pPr>
    </w:p>
    <w:p>
      <w:pPr>
        <w:pStyle w:val="ListParagraph"/>
        <w:numPr>
          <w:ilvl w:val="1"/>
          <w:numId w:val="5"/>
        </w:numPr>
        <w:tabs>
          <w:tab w:pos="1439" w:val="left" w:leader="none"/>
          <w:tab w:pos="1440" w:val="left" w:leader="none"/>
        </w:tabs>
        <w:spacing w:line="194" w:lineRule="auto" w:before="55" w:after="0"/>
        <w:ind w:left="1439" w:right="0" w:hanging="1052"/>
        <w:jc w:val="both"/>
        <w:rPr>
          <w:rFonts w:ascii="Microsoft JhengHei" w:eastAsia="Microsoft JhengHei"/>
          <w:b/>
          <w:sz w:val="21"/>
        </w:rPr>
      </w:pPr>
      <w:r>
        <w:rPr>
          <w:rFonts w:ascii="Microsoft JhengHei" w:eastAsia="Microsoft JhengHei"/>
          <w:b/>
          <w:spacing w:val="36"/>
          <w:sz w:val="21"/>
        </w:rPr>
        <w:t>保单账户投</w:t>
      </w:r>
      <w:r>
        <w:rPr>
          <w:rFonts w:ascii="Microsoft JhengHei" w:eastAsia="Microsoft JhengHei"/>
          <w:b/>
          <w:spacing w:val="36"/>
          <w:sz w:val="21"/>
        </w:rPr>
        <w:t>资资金的转</w:t>
      </w:r>
      <w:r>
        <w:rPr>
          <w:rFonts w:ascii="Microsoft JhengHei" w:eastAsia="Microsoft JhengHei"/>
          <w:b/>
          <w:spacing w:val="-10"/>
          <w:sz w:val="21"/>
        </w:rPr>
        <w:t>换</w:t>
      </w:r>
    </w:p>
    <w:p>
      <w:pPr>
        <w:pStyle w:val="BodyText"/>
        <w:spacing w:line="278" w:lineRule="auto" w:before="71"/>
        <w:ind w:left="594" w:right="1101" w:hanging="421"/>
        <w:jc w:val="both"/>
      </w:pPr>
      <w:r>
        <w:rPr/>
        <w:br w:type="column"/>
      </w:r>
      <w:r>
        <w:rPr>
          <w:spacing w:val="-2"/>
        </w:rPr>
        <w:t>一、在本合同有效期内，您可以在犹豫期后向我们申请将您保单账户中的资金</w:t>
      </w:r>
      <w:r>
        <w:rPr>
          <w:spacing w:val="-2"/>
        </w:rPr>
        <w:t>从一个投资账户全部或部分转移至其他投资账户。经我们审核同意后，按</w:t>
      </w:r>
      <w:r>
        <w:rPr>
          <w:spacing w:val="-2"/>
        </w:rPr>
        <w:t>如下方式进行投资账户转换：</w:t>
      </w:r>
    </w:p>
    <w:p>
      <w:pPr>
        <w:pStyle w:val="BodyText"/>
        <w:spacing w:line="278" w:lineRule="auto" w:before="1"/>
        <w:ind w:left="954" w:right="1101" w:hanging="428"/>
        <w:jc w:val="both"/>
      </w:pPr>
      <w:r>
        <w:rPr>
          <w:spacing w:val="-2"/>
        </w:rPr>
        <w:t>(一)以转出投资账户的投资单位价格卖出转出的投资单位，并在收取投资</w:t>
      </w:r>
      <w:r>
        <w:rPr>
          <w:spacing w:val="-6"/>
        </w:rPr>
        <w:t>账户转换手续费后得到转出金额。转出金额 = 转出投资账户转出的投</w:t>
      </w:r>
      <w:r>
        <w:rPr>
          <w:spacing w:val="-2"/>
        </w:rPr>
        <w:t>资单位数×转出投资账户的投资单位价格-投资账户转换手续费</w:t>
      </w:r>
    </w:p>
    <w:p>
      <w:pPr>
        <w:pStyle w:val="BodyText"/>
        <w:spacing w:line="278" w:lineRule="auto"/>
        <w:ind w:left="954" w:right="1106" w:hanging="428"/>
        <w:jc w:val="both"/>
      </w:pPr>
      <w:r>
        <w:rPr>
          <w:spacing w:val="-2"/>
        </w:rPr>
        <w:t>(二)将转出金额按照投资计划规定的比例分配到转入的投资账户，得到转入投资账户的转入金额，以该投资账户的投资单位价格买入投资单位</w:t>
      </w:r>
      <w:r>
        <w:rPr>
          <w:spacing w:val="-6"/>
        </w:rPr>
        <w:t>数。</w:t>
      </w:r>
    </w:p>
    <w:p>
      <w:pPr>
        <w:pStyle w:val="BodyText"/>
        <w:spacing w:line="278" w:lineRule="auto"/>
        <w:ind w:left="954" w:right="1103" w:hanging="428"/>
        <w:jc w:val="both"/>
      </w:pPr>
      <w:r>
        <w:rPr/>
        <w:t>(三)转入投资单位数 = 转入投资账户的转入金额 /转入投资账户的投资</w:t>
      </w:r>
      <w:r>
        <w:rPr>
          <w:spacing w:val="-4"/>
        </w:rPr>
        <w:t>单位价格</w:t>
      </w:r>
    </w:p>
    <w:p>
      <w:pPr>
        <w:pStyle w:val="BodyText"/>
        <w:spacing w:line="278" w:lineRule="auto"/>
        <w:ind w:left="594" w:right="1101" w:hanging="421"/>
      </w:pPr>
      <w:r>
        <w:rPr>
          <w:spacing w:val="-2"/>
        </w:rPr>
        <w:t>二、每次转换的金额须符合转换时我们约定的最低限额。本条所指的投资单位</w:t>
      </w:r>
      <w:r>
        <w:rPr>
          <w:spacing w:val="-2"/>
        </w:rPr>
        <w:t>价格为我们收到转换申请书后下一个资产评估日的投资单位价格。</w:t>
      </w:r>
    </w:p>
    <w:p>
      <w:pPr>
        <w:spacing w:after="0" w:line="278" w:lineRule="auto"/>
        <w:sectPr>
          <w:type w:val="continuous"/>
          <w:pgSz w:w="11910" w:h="16840"/>
          <w:pgMar w:top="0" w:bottom="280" w:left="740" w:right="20"/>
          <w:cols w:num="2" w:equalWidth="0">
            <w:col w:w="2695" w:space="40"/>
            <w:col w:w="8415"/>
          </w:cols>
        </w:sectPr>
      </w:pPr>
    </w:p>
    <w:p>
      <w:pPr>
        <w:pStyle w:val="BodyText"/>
        <w:spacing w:before="12"/>
        <w:rPr>
          <w:sz w:val="11"/>
        </w:rPr>
      </w:pPr>
    </w:p>
    <w:p>
      <w:pPr>
        <w:pStyle w:val="ListParagraph"/>
        <w:numPr>
          <w:ilvl w:val="1"/>
          <w:numId w:val="5"/>
        </w:numPr>
        <w:tabs>
          <w:tab w:pos="1439" w:val="left" w:leader="none"/>
          <w:tab w:pos="1440" w:val="left" w:leader="none"/>
          <w:tab w:pos="2908" w:val="left" w:leader="none"/>
        </w:tabs>
        <w:spacing w:line="312" w:lineRule="exact" w:before="32" w:after="0"/>
        <w:ind w:left="2908" w:right="1103" w:hanging="2521"/>
        <w:jc w:val="both"/>
        <w:rPr>
          <w:sz w:val="21"/>
        </w:rPr>
      </w:pPr>
      <w:r>
        <w:rPr>
          <w:rFonts w:ascii="Microsoft JhengHei" w:eastAsia="Microsoft JhengHei"/>
          <w:b/>
          <w:spacing w:val="-4"/>
          <w:sz w:val="21"/>
        </w:rPr>
        <w:t>部</w:t>
      </w:r>
      <w:r>
        <w:rPr>
          <w:rFonts w:ascii="Microsoft JhengHei" w:eastAsia="Microsoft JhengHei"/>
          <w:b/>
          <w:spacing w:val="-4"/>
          <w:sz w:val="21"/>
        </w:rPr>
        <w:t>分</w:t>
      </w:r>
      <w:r>
        <w:rPr>
          <w:rFonts w:ascii="Microsoft JhengHei" w:eastAsia="Microsoft JhengHei"/>
          <w:b/>
          <w:spacing w:val="-4"/>
          <w:sz w:val="21"/>
        </w:rPr>
        <w:t>领</w:t>
      </w:r>
      <w:r>
        <w:rPr>
          <w:rFonts w:ascii="Microsoft JhengHei" w:eastAsia="Microsoft JhengHei"/>
          <w:b/>
          <w:spacing w:val="-4"/>
          <w:sz w:val="21"/>
        </w:rPr>
        <w:t>取</w:t>
      </w:r>
      <w:r>
        <w:rPr>
          <w:rFonts w:ascii="Microsoft JhengHei" w:eastAsia="Microsoft JhengHei"/>
          <w:b/>
          <w:sz w:val="21"/>
        </w:rPr>
        <w:tab/>
      </w:r>
      <w:r>
        <w:rPr>
          <w:spacing w:val="-2"/>
          <w:sz w:val="21"/>
        </w:rPr>
        <w:t>在</w:t>
      </w:r>
      <w:r>
        <w:rPr>
          <w:spacing w:val="-2"/>
          <w:sz w:val="21"/>
        </w:rPr>
        <w:t>本</w:t>
      </w:r>
      <w:r>
        <w:rPr>
          <w:spacing w:val="-2"/>
          <w:sz w:val="21"/>
        </w:rPr>
        <w:t>合同有效期内，您可</w:t>
      </w:r>
      <w:r>
        <w:rPr>
          <w:spacing w:val="-2"/>
          <w:sz w:val="21"/>
        </w:rPr>
        <w:t>以</w:t>
      </w:r>
      <w:r>
        <w:rPr>
          <w:spacing w:val="-2"/>
          <w:sz w:val="21"/>
        </w:rPr>
        <w:t>在</w:t>
      </w:r>
      <w:r>
        <w:rPr>
          <w:spacing w:val="-2"/>
          <w:sz w:val="21"/>
        </w:rPr>
        <w:t>保险费转入投资账户后向我们申请部分领取，经</w:t>
      </w:r>
      <w:r>
        <w:rPr>
          <w:spacing w:val="-2"/>
          <w:sz w:val="21"/>
        </w:rPr>
        <w:t>我</w:t>
      </w:r>
      <w:r>
        <w:rPr>
          <w:spacing w:val="-2"/>
          <w:sz w:val="21"/>
        </w:rPr>
        <w:t>们</w:t>
      </w:r>
      <w:r>
        <w:rPr>
          <w:spacing w:val="-2"/>
          <w:sz w:val="21"/>
        </w:rPr>
        <w:t>审核同</w:t>
      </w:r>
      <w:r>
        <w:rPr>
          <w:spacing w:val="-2"/>
          <w:sz w:val="21"/>
        </w:rPr>
        <w:t>意</w:t>
      </w:r>
      <w:r>
        <w:rPr>
          <w:spacing w:val="-2"/>
          <w:sz w:val="21"/>
        </w:rPr>
        <w:t>后</w:t>
      </w:r>
      <w:r>
        <w:rPr>
          <w:spacing w:val="-2"/>
          <w:sz w:val="21"/>
        </w:rPr>
        <w:t>，以卖出</w:t>
      </w:r>
      <w:r>
        <w:rPr>
          <w:spacing w:val="-2"/>
          <w:sz w:val="21"/>
        </w:rPr>
        <w:t>投</w:t>
      </w:r>
      <w:r>
        <w:rPr>
          <w:spacing w:val="-2"/>
          <w:sz w:val="21"/>
        </w:rPr>
        <w:t>资</w:t>
      </w:r>
      <w:r>
        <w:rPr>
          <w:spacing w:val="-2"/>
          <w:sz w:val="21"/>
        </w:rPr>
        <w:t>单位的方式领取部分</w:t>
      </w:r>
      <w:r>
        <w:rPr>
          <w:spacing w:val="-2"/>
          <w:sz w:val="21"/>
        </w:rPr>
        <w:t>保</w:t>
      </w:r>
      <w:r>
        <w:rPr>
          <w:spacing w:val="-2"/>
          <w:sz w:val="21"/>
        </w:rPr>
        <w:t>单</w:t>
      </w:r>
      <w:r>
        <w:rPr>
          <w:spacing w:val="-2"/>
          <w:sz w:val="21"/>
        </w:rPr>
        <w:t>账户价值。我们在收到</w:t>
      </w:r>
      <w:r>
        <w:rPr>
          <w:spacing w:val="-2"/>
          <w:sz w:val="21"/>
        </w:rPr>
        <w:t>部</w:t>
      </w:r>
      <w:r>
        <w:rPr>
          <w:spacing w:val="-2"/>
          <w:sz w:val="21"/>
        </w:rPr>
        <w:t>分</w:t>
      </w:r>
      <w:r>
        <w:rPr>
          <w:spacing w:val="-2"/>
          <w:sz w:val="21"/>
        </w:rPr>
        <w:t>领取申请书后，按照</w:t>
      </w:r>
      <w:r>
        <w:rPr>
          <w:spacing w:val="-2"/>
          <w:sz w:val="21"/>
        </w:rPr>
        <w:t>收</w:t>
      </w:r>
      <w:r>
        <w:rPr>
          <w:spacing w:val="-2"/>
          <w:sz w:val="21"/>
        </w:rPr>
        <w:t>到</w:t>
      </w:r>
      <w:r>
        <w:rPr>
          <w:spacing w:val="-2"/>
          <w:sz w:val="21"/>
        </w:rPr>
        <w:t>部分领取申请书的下</w:t>
      </w:r>
      <w:r>
        <w:rPr>
          <w:spacing w:val="-2"/>
          <w:sz w:val="21"/>
        </w:rPr>
        <w:t>一</w:t>
      </w:r>
      <w:r>
        <w:rPr>
          <w:spacing w:val="-2"/>
          <w:sz w:val="21"/>
        </w:rPr>
        <w:t>个</w:t>
      </w:r>
      <w:r>
        <w:rPr>
          <w:spacing w:val="-2"/>
          <w:sz w:val="21"/>
        </w:rPr>
        <w:t>资产评估日的投资单位</w:t>
      </w:r>
      <w:r>
        <w:rPr>
          <w:spacing w:val="-4"/>
          <w:sz w:val="21"/>
        </w:rPr>
        <w:t>价</w:t>
      </w:r>
      <w:r>
        <w:rPr>
          <w:spacing w:val="-4"/>
          <w:sz w:val="21"/>
        </w:rPr>
        <w:t>格</w:t>
      </w:r>
      <w:r>
        <w:rPr>
          <w:spacing w:val="-4"/>
          <w:sz w:val="21"/>
        </w:rPr>
        <w:t>计</w:t>
      </w:r>
      <w:r>
        <w:rPr>
          <w:spacing w:val="-4"/>
          <w:sz w:val="21"/>
        </w:rPr>
        <w:t>算</w:t>
      </w:r>
      <w:r>
        <w:rPr>
          <w:spacing w:val="-4"/>
          <w:sz w:val="21"/>
        </w:rPr>
        <w:t>。</w:t>
      </w:r>
    </w:p>
    <w:p>
      <w:pPr>
        <w:spacing w:line="194" w:lineRule="auto" w:before="25"/>
        <w:ind w:left="3329" w:right="1104" w:hanging="421"/>
        <w:jc w:val="both"/>
        <w:rPr>
          <w:rFonts w:ascii="微软雅黑" w:eastAsia="微软雅黑"/>
          <w:b/>
          <w:sz w:val="21"/>
        </w:rPr>
      </w:pPr>
      <w:r>
        <w:rPr>
          <w:spacing w:val="-1"/>
          <w:w w:val="100"/>
          <w:sz w:val="21"/>
        </w:rPr>
        <w:t>(一)</w:t>
      </w:r>
      <w:r>
        <w:rPr>
          <w:rFonts w:ascii="微软雅黑" w:eastAsia="微软雅黑"/>
          <w:b/>
          <w:spacing w:val="3"/>
          <w:w w:val="100"/>
          <w:sz w:val="21"/>
        </w:rPr>
        <w:t>您每次申请部分领取本合同保单账户价值的金额及每次领取后剩余的保</w:t>
      </w:r>
      <w:r>
        <w:rPr>
          <w:rFonts w:ascii="微软雅黑" w:eastAsia="微软雅黑"/>
          <w:b/>
          <w:spacing w:val="-5"/>
          <w:w w:val="100"/>
          <w:sz w:val="21"/>
        </w:rPr>
        <w:t>单账户价值应不低于我们当时规定的最低金额，低于此金额的，我们视您</w:t>
      </w:r>
      <w:r>
        <w:rPr>
          <w:rFonts w:ascii="微软雅黑" w:eastAsia="微软雅黑"/>
          <w:b/>
          <w:w w:val="100"/>
          <w:sz w:val="21"/>
        </w:rPr>
        <w:t>的申请为无效申请。</w:t>
      </w:r>
    </w:p>
    <w:p>
      <w:pPr>
        <w:spacing w:line="194" w:lineRule="auto" w:before="0"/>
        <w:ind w:left="3329" w:right="1107" w:hanging="421"/>
        <w:jc w:val="left"/>
        <w:rPr>
          <w:rFonts w:ascii="微软雅黑" w:eastAsia="微软雅黑"/>
          <w:b/>
          <w:sz w:val="21"/>
        </w:rPr>
      </w:pPr>
      <w:r>
        <w:rPr>
          <w:spacing w:val="-1"/>
          <w:w w:val="100"/>
          <w:sz w:val="21"/>
        </w:rPr>
        <w:t>(二)</w:t>
      </w:r>
      <w:r>
        <w:rPr>
          <w:rFonts w:ascii="微软雅黑" w:eastAsia="微软雅黑"/>
          <w:b/>
          <w:spacing w:val="4"/>
          <w:w w:val="100"/>
          <w:sz w:val="21"/>
        </w:rPr>
        <w:t>您每次部分领取的金额将在扣除本合同第</w:t>
      </w:r>
      <w:r>
        <w:rPr>
          <w:rFonts w:ascii="微软雅黑" w:eastAsia="微软雅黑"/>
          <w:b/>
          <w:spacing w:val="4"/>
          <w:w w:val="81"/>
          <w:sz w:val="21"/>
        </w:rPr>
        <w:t>6</w:t>
      </w:r>
      <w:r>
        <w:rPr>
          <w:rFonts w:ascii="微软雅黑" w:eastAsia="微软雅黑"/>
          <w:b/>
          <w:spacing w:val="5"/>
          <w:w w:val="100"/>
          <w:sz w:val="21"/>
        </w:rPr>
        <w:t>条第</w:t>
      </w:r>
      <w:r>
        <w:rPr>
          <w:rFonts w:ascii="微软雅黑" w:eastAsia="微软雅黑"/>
          <w:b/>
          <w:w w:val="99"/>
          <w:sz w:val="21"/>
        </w:rPr>
        <w:t>6.</w:t>
      </w:r>
      <w:r>
        <w:rPr>
          <w:rFonts w:ascii="微软雅黑" w:eastAsia="微软雅黑"/>
          <w:b/>
          <w:spacing w:val="5"/>
          <w:w w:val="99"/>
          <w:sz w:val="21"/>
        </w:rPr>
        <w:t>7</w:t>
      </w:r>
      <w:r>
        <w:rPr>
          <w:rFonts w:ascii="微软雅黑" w:eastAsia="微软雅黑"/>
          <w:b/>
          <w:spacing w:val="3"/>
          <w:w w:val="100"/>
          <w:sz w:val="21"/>
        </w:rPr>
        <w:t>款约定的退保费用后给付。</w:t>
      </w:r>
    </w:p>
    <w:p>
      <w:pPr>
        <w:pStyle w:val="ListParagraph"/>
        <w:numPr>
          <w:ilvl w:val="1"/>
          <w:numId w:val="5"/>
        </w:numPr>
        <w:tabs>
          <w:tab w:pos="1439" w:val="left" w:leader="none"/>
          <w:tab w:pos="1440" w:val="left" w:leader="none"/>
          <w:tab w:pos="2908" w:val="left" w:leader="none"/>
        </w:tabs>
        <w:spacing w:line="240" w:lineRule="auto" w:before="166" w:after="0"/>
        <w:ind w:left="1439" w:right="0" w:hanging="1052"/>
        <w:jc w:val="left"/>
        <w:rPr>
          <w:sz w:val="21"/>
        </w:rPr>
      </w:pPr>
      <w:r>
        <w:rPr>
          <w:rFonts w:ascii="Microsoft JhengHei" w:eastAsia="Microsoft JhengHei"/>
          <w:b/>
          <w:sz w:val="21"/>
        </w:rPr>
        <w:t>费用收</w:t>
      </w:r>
      <w:r>
        <w:rPr>
          <w:rFonts w:ascii="Microsoft JhengHei" w:eastAsia="Microsoft JhengHei"/>
          <w:b/>
          <w:spacing w:val="-10"/>
          <w:sz w:val="21"/>
        </w:rPr>
        <w:t>取</w:t>
      </w:r>
      <w:r>
        <w:rPr>
          <w:rFonts w:ascii="Microsoft JhengHei" w:eastAsia="Microsoft JhengHei"/>
          <w:b/>
          <w:sz w:val="21"/>
        </w:rPr>
        <w:tab/>
      </w:r>
      <w:r>
        <w:rPr>
          <w:spacing w:val="-2"/>
          <w:sz w:val="21"/>
        </w:rPr>
        <w:t>我</w:t>
      </w:r>
      <w:r>
        <w:rPr>
          <w:spacing w:val="-2"/>
          <w:sz w:val="21"/>
        </w:rPr>
        <w:t>们</w:t>
      </w:r>
      <w:r>
        <w:rPr>
          <w:spacing w:val="-2"/>
          <w:sz w:val="21"/>
        </w:rPr>
        <w:t>按以下约定收取相关</w:t>
      </w:r>
      <w:r>
        <w:rPr>
          <w:spacing w:val="-2"/>
          <w:sz w:val="21"/>
        </w:rPr>
        <w:t>费</w:t>
      </w:r>
      <w:r>
        <w:rPr>
          <w:spacing w:val="-2"/>
          <w:sz w:val="21"/>
        </w:rPr>
        <w:t>用</w:t>
      </w:r>
      <w:r>
        <w:rPr>
          <w:spacing w:val="-10"/>
          <w:sz w:val="21"/>
        </w:rPr>
        <w:t>：</w:t>
      </w:r>
    </w:p>
    <w:p>
      <w:pPr>
        <w:pStyle w:val="BodyText"/>
        <w:tabs>
          <w:tab w:pos="2908" w:val="left" w:leader="none"/>
        </w:tabs>
        <w:spacing w:line="213" w:lineRule="auto" w:before="162"/>
        <w:ind w:left="2908" w:right="1103" w:hanging="1469"/>
      </w:pPr>
      <w:r>
        <w:rPr>
          <w:rFonts w:ascii="Microsoft JhengHei" w:eastAsia="Microsoft JhengHei"/>
          <w:b/>
          <w:spacing w:val="-4"/>
          <w:position w:val="-1"/>
          <w:sz w:val="24"/>
        </w:rPr>
        <w:t>初</w:t>
      </w:r>
      <w:r>
        <w:rPr>
          <w:rFonts w:ascii="Microsoft JhengHei" w:eastAsia="Microsoft JhengHei"/>
          <w:b/>
          <w:spacing w:val="-4"/>
          <w:position w:val="-1"/>
          <w:sz w:val="24"/>
        </w:rPr>
        <w:t>始</w:t>
      </w:r>
      <w:r>
        <w:rPr>
          <w:rFonts w:ascii="Microsoft JhengHei" w:eastAsia="Microsoft JhengHei"/>
          <w:b/>
          <w:spacing w:val="-4"/>
          <w:position w:val="-1"/>
          <w:sz w:val="24"/>
        </w:rPr>
        <w:t>费</w:t>
      </w:r>
      <w:r>
        <w:rPr>
          <w:rFonts w:ascii="Microsoft JhengHei" w:eastAsia="Microsoft JhengHei"/>
          <w:b/>
          <w:spacing w:val="-4"/>
          <w:position w:val="-1"/>
          <w:sz w:val="24"/>
        </w:rPr>
        <w:t>用</w:t>
      </w:r>
      <w:r>
        <w:rPr>
          <w:rFonts w:ascii="Microsoft JhengHei" w:eastAsia="Microsoft JhengHei"/>
          <w:b/>
          <w:position w:val="-1"/>
          <w:sz w:val="24"/>
        </w:rPr>
        <w:tab/>
      </w:r>
      <w:r>
        <w:rPr>
          <w:spacing w:val="-2"/>
        </w:rPr>
        <w:t>您</w:t>
      </w:r>
      <w:r>
        <w:rPr>
          <w:spacing w:val="-2"/>
        </w:rPr>
        <w:t>每</w:t>
      </w:r>
      <w:r>
        <w:rPr>
          <w:spacing w:val="-2"/>
        </w:rPr>
        <w:t>次交纳保险费，</w:t>
      </w:r>
      <w:r>
        <w:rPr>
          <w:spacing w:val="-2"/>
        </w:rPr>
        <w:t>我</w:t>
      </w:r>
      <w:r>
        <w:rPr>
          <w:spacing w:val="-2"/>
        </w:rPr>
        <w:t>们</w:t>
      </w:r>
      <w:r>
        <w:rPr>
          <w:spacing w:val="-2"/>
        </w:rPr>
        <w:t>将</w:t>
      </w:r>
      <w:r>
        <w:rPr>
          <w:spacing w:val="-2"/>
        </w:rPr>
        <w:t>按</w:t>
      </w:r>
      <w:r>
        <w:rPr>
          <w:spacing w:val="-2"/>
        </w:rPr>
        <w:t>保险费的一定比例收</w:t>
      </w:r>
      <w:r>
        <w:rPr>
          <w:spacing w:val="-2"/>
        </w:rPr>
        <w:t>取</w:t>
      </w:r>
      <w:r>
        <w:rPr>
          <w:spacing w:val="-2"/>
        </w:rPr>
        <w:t>初</w:t>
      </w:r>
      <w:r>
        <w:rPr>
          <w:spacing w:val="-2"/>
        </w:rPr>
        <w:t>始</w:t>
      </w:r>
      <w:r>
        <w:rPr>
          <w:spacing w:val="-2"/>
        </w:rPr>
        <w:t>费</w:t>
      </w:r>
      <w:r>
        <w:rPr>
          <w:spacing w:val="-2"/>
        </w:rPr>
        <w:t>用</w:t>
      </w:r>
      <w:r>
        <w:rPr>
          <w:spacing w:val="-2"/>
        </w:rPr>
        <w:t>。本合同</w:t>
      </w:r>
      <w:r>
        <w:rPr>
          <w:spacing w:val="-2"/>
        </w:rPr>
        <w:t>初</w:t>
      </w:r>
      <w:r>
        <w:rPr>
          <w:spacing w:val="-2"/>
        </w:rPr>
        <w:t>始</w:t>
      </w:r>
      <w:r>
        <w:rPr>
          <w:spacing w:val="-2"/>
        </w:rPr>
        <w:t>费</w:t>
      </w:r>
      <w:r>
        <w:rPr/>
        <w:t>用比例为</w:t>
      </w:r>
      <w:r>
        <w:rPr>
          <w:spacing w:val="-40"/>
        </w:rPr>
        <w:t> </w:t>
      </w:r>
      <w:r>
        <w:rPr/>
        <w:t>1%。</w:t>
      </w:r>
    </w:p>
    <w:p>
      <w:pPr>
        <w:pStyle w:val="BodyText"/>
        <w:spacing w:before="1"/>
        <w:rPr>
          <w:sz w:val="17"/>
        </w:rPr>
      </w:pPr>
    </w:p>
    <w:p>
      <w:pPr>
        <w:pStyle w:val="BodyText"/>
        <w:tabs>
          <w:tab w:pos="2944" w:val="left" w:leader="none"/>
        </w:tabs>
        <w:spacing w:line="213" w:lineRule="auto" w:before="1"/>
        <w:ind w:left="3365" w:right="1105" w:hanging="1926"/>
      </w:pPr>
      <w:r>
        <w:rPr>
          <w:rFonts w:ascii="Microsoft JhengHei" w:eastAsia="Microsoft JhengHei"/>
          <w:b/>
          <w:position w:val="-1"/>
          <w:sz w:val="24"/>
        </w:rPr>
        <w:t>退保费用</w:t>
        <w:tab/>
      </w:r>
      <w:r>
        <w:rPr>
          <w:w w:val="100"/>
        </w:rPr>
        <w:t>一</w:t>
      </w:r>
      <w:r>
        <w:rPr>
          <w:spacing w:val="-2"/>
          <w:w w:val="100"/>
        </w:rPr>
        <w:t>、</w:t>
      </w:r>
      <w:r>
        <w:rPr>
          <w:spacing w:val="4"/>
          <w:w w:val="100"/>
        </w:rPr>
        <w:t>退保费用是</w:t>
      </w:r>
      <w:r>
        <w:rPr>
          <w:spacing w:val="2"/>
          <w:w w:val="100"/>
        </w:rPr>
        <w:t>指</w:t>
      </w:r>
      <w:r>
        <w:rPr>
          <w:spacing w:val="4"/>
          <w:w w:val="100"/>
        </w:rPr>
        <w:t>您在犹</w:t>
      </w:r>
      <w:r>
        <w:rPr>
          <w:spacing w:val="2"/>
          <w:w w:val="100"/>
        </w:rPr>
        <w:t>豫期</w:t>
      </w:r>
      <w:r>
        <w:rPr>
          <w:spacing w:val="4"/>
          <w:w w:val="100"/>
        </w:rPr>
        <w:t>后申请解除</w:t>
      </w:r>
      <w:r>
        <w:rPr>
          <w:spacing w:val="2"/>
          <w:w w:val="100"/>
        </w:rPr>
        <w:t>本</w:t>
      </w:r>
      <w:r>
        <w:rPr>
          <w:spacing w:val="4"/>
          <w:w w:val="100"/>
        </w:rPr>
        <w:t>合同或</w:t>
      </w:r>
      <w:r>
        <w:rPr>
          <w:spacing w:val="2"/>
          <w:w w:val="100"/>
        </w:rPr>
        <w:t>申</w:t>
      </w:r>
      <w:r>
        <w:rPr>
          <w:spacing w:val="7"/>
          <w:w w:val="100"/>
        </w:rPr>
        <w:t>请</w:t>
      </w:r>
      <w:r>
        <w:rPr>
          <w:spacing w:val="4"/>
          <w:w w:val="100"/>
        </w:rPr>
        <w:t>保单账户价</w:t>
      </w:r>
      <w:r>
        <w:rPr>
          <w:spacing w:val="2"/>
          <w:w w:val="100"/>
        </w:rPr>
        <w:t>值</w:t>
      </w:r>
      <w:r>
        <w:rPr>
          <w:spacing w:val="4"/>
          <w:w w:val="100"/>
        </w:rPr>
        <w:t>的部</w:t>
      </w:r>
      <w:r>
        <w:rPr>
          <w:w w:val="100"/>
        </w:rPr>
        <w:t>分领取</w:t>
      </w:r>
      <w:r>
        <w:rPr>
          <w:spacing w:val="-3"/>
          <w:w w:val="100"/>
        </w:rPr>
        <w:t>时</w:t>
      </w:r>
      <w:r>
        <w:rPr>
          <w:w w:val="100"/>
        </w:rPr>
        <w:t>我</w:t>
      </w:r>
      <w:r>
        <w:rPr>
          <w:spacing w:val="-3"/>
          <w:w w:val="100"/>
        </w:rPr>
        <w:t>们</w:t>
      </w:r>
      <w:r>
        <w:rPr>
          <w:w w:val="100"/>
        </w:rPr>
        <w:t>收</w:t>
      </w:r>
      <w:r>
        <w:rPr>
          <w:spacing w:val="-3"/>
          <w:w w:val="100"/>
        </w:rPr>
        <w:t>取</w:t>
      </w:r>
      <w:r>
        <w:rPr>
          <w:w w:val="100"/>
        </w:rPr>
        <w:t>的</w:t>
      </w:r>
      <w:r>
        <w:rPr>
          <w:spacing w:val="-3"/>
          <w:w w:val="100"/>
        </w:rPr>
        <w:t>费</w:t>
      </w:r>
      <w:r>
        <w:rPr>
          <w:w w:val="100"/>
        </w:rPr>
        <w:t>用。</w:t>
      </w:r>
    </w:p>
    <w:p>
      <w:pPr>
        <w:pStyle w:val="BodyText"/>
        <w:spacing w:line="278" w:lineRule="auto" w:before="48"/>
        <w:ind w:left="3365" w:right="1109" w:hanging="421"/>
      </w:pPr>
      <w:r>
        <w:rPr/>
        <w:pict>
          <v:shape style="position:absolute;margin-left:182.419998pt;margin-top:32.455994pt;width:356.5pt;height:32.15pt;mso-position-horizontal-relative:page;mso-position-vertical-relative:paragraph;z-index:15734272" type="#_x0000_t202" id="docshape4"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87"/>
                    <w:gridCol w:w="938"/>
                    <w:gridCol w:w="948"/>
                    <w:gridCol w:w="950"/>
                    <w:gridCol w:w="1080"/>
                    <w:gridCol w:w="949"/>
                    <w:gridCol w:w="1268"/>
                  </w:tblGrid>
                  <w:tr>
                    <w:trPr>
                      <w:trHeight w:val="623" w:hRule="atLeast"/>
                    </w:trPr>
                    <w:tc>
                      <w:tcPr>
                        <w:tcW w:w="987" w:type="dxa"/>
                      </w:tcPr>
                      <w:p>
                        <w:pPr>
                          <w:pStyle w:val="TableParagraph"/>
                          <w:ind w:left="283"/>
                          <w:rPr>
                            <w:sz w:val="21"/>
                          </w:rPr>
                        </w:pPr>
                        <w:r>
                          <w:rPr>
                            <w:spacing w:val="-5"/>
                            <w:sz w:val="21"/>
                          </w:rPr>
                          <w:t>保单</w:t>
                        </w:r>
                      </w:p>
                      <w:p>
                        <w:pPr>
                          <w:pStyle w:val="TableParagraph"/>
                          <w:spacing w:before="43"/>
                          <w:ind w:left="283"/>
                          <w:rPr>
                            <w:sz w:val="21"/>
                          </w:rPr>
                        </w:pPr>
                        <w:r>
                          <w:rPr>
                            <w:spacing w:val="-5"/>
                            <w:sz w:val="21"/>
                          </w:rPr>
                          <w:t>年度</w:t>
                        </w:r>
                      </w:p>
                    </w:tc>
                    <w:tc>
                      <w:tcPr>
                        <w:tcW w:w="938" w:type="dxa"/>
                      </w:tcPr>
                      <w:p>
                        <w:pPr>
                          <w:pStyle w:val="TableParagraph"/>
                          <w:ind w:left="153"/>
                          <w:rPr>
                            <w:sz w:val="21"/>
                          </w:rPr>
                        </w:pPr>
                        <w:r>
                          <w:rPr>
                            <w:spacing w:val="-27"/>
                            <w:sz w:val="21"/>
                          </w:rPr>
                          <w:t>第 </w:t>
                        </w:r>
                        <w:r>
                          <w:rPr>
                            <w:sz w:val="21"/>
                          </w:rPr>
                          <w:t>1</w:t>
                        </w:r>
                        <w:r>
                          <w:rPr>
                            <w:spacing w:val="-32"/>
                            <w:sz w:val="21"/>
                          </w:rPr>
                          <w:t> 保</w:t>
                        </w:r>
                      </w:p>
                      <w:p>
                        <w:pPr>
                          <w:pStyle w:val="TableParagraph"/>
                          <w:spacing w:before="43"/>
                          <w:ind w:left="153"/>
                          <w:rPr>
                            <w:sz w:val="21"/>
                          </w:rPr>
                        </w:pPr>
                        <w:r>
                          <w:rPr>
                            <w:spacing w:val="-4"/>
                            <w:sz w:val="21"/>
                          </w:rPr>
                          <w:t>单年度</w:t>
                        </w:r>
                      </w:p>
                    </w:tc>
                    <w:tc>
                      <w:tcPr>
                        <w:tcW w:w="948" w:type="dxa"/>
                      </w:tcPr>
                      <w:p>
                        <w:pPr>
                          <w:pStyle w:val="TableParagraph"/>
                          <w:ind w:left="158"/>
                          <w:rPr>
                            <w:sz w:val="21"/>
                          </w:rPr>
                        </w:pPr>
                        <w:r>
                          <w:rPr>
                            <w:spacing w:val="-27"/>
                            <w:sz w:val="21"/>
                          </w:rPr>
                          <w:t>第 </w:t>
                        </w:r>
                        <w:r>
                          <w:rPr>
                            <w:sz w:val="21"/>
                          </w:rPr>
                          <w:t>2</w:t>
                        </w:r>
                        <w:r>
                          <w:rPr>
                            <w:spacing w:val="-32"/>
                            <w:sz w:val="21"/>
                          </w:rPr>
                          <w:t> 保</w:t>
                        </w:r>
                      </w:p>
                      <w:p>
                        <w:pPr>
                          <w:pStyle w:val="TableParagraph"/>
                          <w:spacing w:before="43"/>
                          <w:ind w:left="158"/>
                          <w:rPr>
                            <w:sz w:val="21"/>
                          </w:rPr>
                        </w:pPr>
                        <w:r>
                          <w:rPr>
                            <w:spacing w:val="-4"/>
                            <w:sz w:val="21"/>
                          </w:rPr>
                          <w:t>单年度</w:t>
                        </w:r>
                      </w:p>
                    </w:tc>
                    <w:tc>
                      <w:tcPr>
                        <w:tcW w:w="950" w:type="dxa"/>
                      </w:tcPr>
                      <w:p>
                        <w:pPr>
                          <w:pStyle w:val="TableParagraph"/>
                          <w:ind w:left="161"/>
                          <w:rPr>
                            <w:sz w:val="21"/>
                          </w:rPr>
                        </w:pPr>
                        <w:r>
                          <w:rPr>
                            <w:spacing w:val="-27"/>
                            <w:sz w:val="21"/>
                          </w:rPr>
                          <w:t>第 </w:t>
                        </w:r>
                        <w:r>
                          <w:rPr>
                            <w:sz w:val="21"/>
                          </w:rPr>
                          <w:t>3</w:t>
                        </w:r>
                        <w:r>
                          <w:rPr>
                            <w:spacing w:val="-32"/>
                            <w:sz w:val="21"/>
                          </w:rPr>
                          <w:t> 保</w:t>
                        </w:r>
                      </w:p>
                      <w:p>
                        <w:pPr>
                          <w:pStyle w:val="TableParagraph"/>
                          <w:spacing w:before="43"/>
                          <w:ind w:left="161"/>
                          <w:rPr>
                            <w:sz w:val="21"/>
                          </w:rPr>
                        </w:pPr>
                        <w:r>
                          <w:rPr>
                            <w:spacing w:val="-4"/>
                            <w:sz w:val="21"/>
                          </w:rPr>
                          <w:t>单年度</w:t>
                        </w:r>
                      </w:p>
                    </w:tc>
                    <w:tc>
                      <w:tcPr>
                        <w:tcW w:w="1080" w:type="dxa"/>
                      </w:tcPr>
                      <w:p>
                        <w:pPr>
                          <w:pStyle w:val="TableParagraph"/>
                          <w:ind w:left="224"/>
                          <w:rPr>
                            <w:sz w:val="21"/>
                          </w:rPr>
                        </w:pPr>
                        <w:r>
                          <w:rPr>
                            <w:spacing w:val="-27"/>
                            <w:sz w:val="21"/>
                          </w:rPr>
                          <w:t>第 </w:t>
                        </w:r>
                        <w:r>
                          <w:rPr>
                            <w:sz w:val="21"/>
                          </w:rPr>
                          <w:t>4</w:t>
                        </w:r>
                        <w:r>
                          <w:rPr>
                            <w:spacing w:val="-32"/>
                            <w:sz w:val="21"/>
                          </w:rPr>
                          <w:t> 保</w:t>
                        </w:r>
                      </w:p>
                      <w:p>
                        <w:pPr>
                          <w:pStyle w:val="TableParagraph"/>
                          <w:spacing w:before="43"/>
                          <w:ind w:left="224"/>
                          <w:rPr>
                            <w:sz w:val="21"/>
                          </w:rPr>
                        </w:pPr>
                        <w:r>
                          <w:rPr>
                            <w:spacing w:val="-4"/>
                            <w:sz w:val="21"/>
                          </w:rPr>
                          <w:t>单年度</w:t>
                        </w:r>
                      </w:p>
                    </w:tc>
                    <w:tc>
                      <w:tcPr>
                        <w:tcW w:w="949" w:type="dxa"/>
                      </w:tcPr>
                      <w:p>
                        <w:pPr>
                          <w:pStyle w:val="TableParagraph"/>
                          <w:ind w:left="159"/>
                          <w:rPr>
                            <w:sz w:val="21"/>
                          </w:rPr>
                        </w:pPr>
                        <w:r>
                          <w:rPr>
                            <w:spacing w:val="-26"/>
                            <w:sz w:val="21"/>
                          </w:rPr>
                          <w:t>第 </w:t>
                        </w:r>
                        <w:r>
                          <w:rPr>
                            <w:sz w:val="21"/>
                          </w:rPr>
                          <w:t>5</w:t>
                        </w:r>
                        <w:r>
                          <w:rPr>
                            <w:spacing w:val="-32"/>
                            <w:sz w:val="21"/>
                          </w:rPr>
                          <w:t> 保</w:t>
                        </w:r>
                      </w:p>
                      <w:p>
                        <w:pPr>
                          <w:pStyle w:val="TableParagraph"/>
                          <w:spacing w:before="43"/>
                          <w:ind w:left="159"/>
                          <w:rPr>
                            <w:sz w:val="21"/>
                          </w:rPr>
                        </w:pPr>
                        <w:r>
                          <w:rPr>
                            <w:spacing w:val="-4"/>
                            <w:sz w:val="21"/>
                          </w:rPr>
                          <w:t>单年度</w:t>
                        </w:r>
                      </w:p>
                    </w:tc>
                    <w:tc>
                      <w:tcPr>
                        <w:tcW w:w="1268" w:type="dxa"/>
                      </w:tcPr>
                      <w:p>
                        <w:pPr>
                          <w:pStyle w:val="TableParagraph"/>
                          <w:ind w:left="111"/>
                          <w:rPr>
                            <w:sz w:val="21"/>
                          </w:rPr>
                        </w:pPr>
                        <w:r>
                          <w:rPr>
                            <w:spacing w:val="-27"/>
                            <w:sz w:val="21"/>
                          </w:rPr>
                          <w:t>第 </w:t>
                        </w:r>
                        <w:r>
                          <w:rPr>
                            <w:spacing w:val="-2"/>
                            <w:sz w:val="21"/>
                          </w:rPr>
                          <w:t>6</w:t>
                        </w:r>
                        <w:r>
                          <w:rPr>
                            <w:spacing w:val="-16"/>
                            <w:sz w:val="21"/>
                          </w:rPr>
                          <w:t> 及以后</w:t>
                        </w:r>
                      </w:p>
                      <w:p>
                        <w:pPr>
                          <w:pStyle w:val="TableParagraph"/>
                          <w:spacing w:before="43"/>
                          <w:ind w:left="111"/>
                          <w:rPr>
                            <w:sz w:val="21"/>
                          </w:rPr>
                        </w:pPr>
                        <w:r>
                          <w:rPr>
                            <w:spacing w:val="-4"/>
                            <w:sz w:val="21"/>
                          </w:rPr>
                          <w:t>各保单年度</w:t>
                        </w:r>
                      </w:p>
                    </w:tc>
                  </w:tr>
                </w:tbl>
                <w:p>
                  <w:pPr>
                    <w:pStyle w:val="BodyText"/>
                  </w:pPr>
                </w:p>
              </w:txbxContent>
            </v:textbox>
            <w10:wrap type="none"/>
          </v:shape>
        </w:pict>
      </w:r>
      <w:r>
        <w:rPr>
          <w:w w:val="100"/>
        </w:rPr>
        <w:t>二、退保费用为您在解除本合同时保单账户价值或部分领取的保单账户价值</w:t>
      </w:r>
      <w:r>
        <w:rPr>
          <w:spacing w:val="-3"/>
          <w:w w:val="100"/>
        </w:rPr>
        <w:t>乘以一定的比例。本合同退保费用比例如下表所示：</w:t>
      </w:r>
    </w:p>
    <w:p>
      <w:pPr>
        <w:spacing w:after="0" w:line="278" w:lineRule="auto"/>
        <w:sectPr>
          <w:type w:val="continuous"/>
          <w:pgSz w:w="11910" w:h="16840"/>
          <w:pgMar w:top="0" w:bottom="280" w:left="740" w:right="20"/>
        </w:sectPr>
      </w:pPr>
    </w:p>
    <w:tbl>
      <w:tblPr>
        <w:tblW w:w="0" w:type="auto"/>
        <w:jc w:val="left"/>
        <w:tblInd w:w="2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87"/>
        <w:gridCol w:w="938"/>
        <w:gridCol w:w="948"/>
        <w:gridCol w:w="950"/>
        <w:gridCol w:w="1080"/>
        <w:gridCol w:w="949"/>
        <w:gridCol w:w="1268"/>
      </w:tblGrid>
      <w:tr>
        <w:trPr>
          <w:trHeight w:val="626" w:hRule="atLeast"/>
        </w:trPr>
        <w:tc>
          <w:tcPr>
            <w:tcW w:w="987" w:type="dxa"/>
          </w:tcPr>
          <w:p>
            <w:pPr>
              <w:pStyle w:val="TableParagraph"/>
              <w:spacing w:before="19"/>
              <w:ind w:left="178"/>
              <w:rPr>
                <w:sz w:val="21"/>
              </w:rPr>
            </w:pPr>
            <w:r>
              <w:rPr>
                <w:spacing w:val="-4"/>
                <w:sz w:val="21"/>
              </w:rPr>
              <w:t>退保费</w:t>
            </w:r>
          </w:p>
          <w:p>
            <w:pPr>
              <w:pStyle w:val="TableParagraph"/>
              <w:spacing w:before="43"/>
              <w:ind w:left="178"/>
              <w:rPr>
                <w:sz w:val="21"/>
              </w:rPr>
            </w:pPr>
            <w:r>
              <w:rPr>
                <w:spacing w:val="-4"/>
                <w:sz w:val="21"/>
              </w:rPr>
              <w:t>用比例</w:t>
            </w:r>
          </w:p>
        </w:tc>
        <w:tc>
          <w:tcPr>
            <w:tcW w:w="938" w:type="dxa"/>
          </w:tcPr>
          <w:p>
            <w:pPr>
              <w:pStyle w:val="TableParagraph"/>
              <w:spacing w:before="175"/>
              <w:ind w:left="347" w:right="340"/>
              <w:jc w:val="center"/>
              <w:rPr>
                <w:sz w:val="21"/>
              </w:rPr>
            </w:pPr>
            <w:r>
              <w:rPr>
                <w:spacing w:val="-5"/>
                <w:sz w:val="21"/>
              </w:rPr>
              <w:t>5%</w:t>
            </w:r>
          </w:p>
        </w:tc>
        <w:tc>
          <w:tcPr>
            <w:tcW w:w="948" w:type="dxa"/>
          </w:tcPr>
          <w:p>
            <w:pPr>
              <w:pStyle w:val="TableParagraph"/>
              <w:spacing w:before="175"/>
              <w:ind w:left="353" w:right="345"/>
              <w:jc w:val="center"/>
              <w:rPr>
                <w:sz w:val="21"/>
              </w:rPr>
            </w:pPr>
            <w:r>
              <w:rPr>
                <w:spacing w:val="-5"/>
                <w:sz w:val="21"/>
              </w:rPr>
              <w:t>3%</w:t>
            </w:r>
          </w:p>
        </w:tc>
        <w:tc>
          <w:tcPr>
            <w:tcW w:w="950" w:type="dxa"/>
          </w:tcPr>
          <w:p>
            <w:pPr>
              <w:pStyle w:val="TableParagraph"/>
              <w:spacing w:before="175"/>
              <w:ind w:left="358" w:right="342"/>
              <w:jc w:val="center"/>
              <w:rPr>
                <w:sz w:val="21"/>
              </w:rPr>
            </w:pPr>
            <w:r>
              <w:rPr>
                <w:spacing w:val="-5"/>
                <w:sz w:val="21"/>
              </w:rPr>
              <w:t>3%</w:t>
            </w:r>
          </w:p>
        </w:tc>
        <w:tc>
          <w:tcPr>
            <w:tcW w:w="1080" w:type="dxa"/>
          </w:tcPr>
          <w:p>
            <w:pPr>
              <w:pStyle w:val="TableParagraph"/>
              <w:spacing w:before="175"/>
              <w:ind w:left="421" w:right="409"/>
              <w:jc w:val="center"/>
              <w:rPr>
                <w:sz w:val="21"/>
              </w:rPr>
            </w:pPr>
            <w:r>
              <w:rPr>
                <w:spacing w:val="-5"/>
                <w:sz w:val="21"/>
              </w:rPr>
              <w:t>1%</w:t>
            </w:r>
          </w:p>
        </w:tc>
        <w:tc>
          <w:tcPr>
            <w:tcW w:w="949" w:type="dxa"/>
          </w:tcPr>
          <w:p>
            <w:pPr>
              <w:pStyle w:val="TableParagraph"/>
              <w:spacing w:before="175"/>
              <w:ind w:left="354" w:right="345"/>
              <w:jc w:val="center"/>
              <w:rPr>
                <w:sz w:val="21"/>
              </w:rPr>
            </w:pPr>
            <w:r>
              <w:rPr>
                <w:spacing w:val="-5"/>
                <w:sz w:val="21"/>
              </w:rPr>
              <w:t>1%</w:t>
            </w:r>
          </w:p>
        </w:tc>
        <w:tc>
          <w:tcPr>
            <w:tcW w:w="1268" w:type="dxa"/>
          </w:tcPr>
          <w:p>
            <w:pPr>
              <w:pStyle w:val="TableParagraph"/>
              <w:spacing w:before="175"/>
              <w:ind w:left="516" w:right="501"/>
              <w:jc w:val="center"/>
              <w:rPr>
                <w:sz w:val="21"/>
              </w:rPr>
            </w:pPr>
            <w:r>
              <w:rPr>
                <w:spacing w:val="-5"/>
                <w:sz w:val="21"/>
              </w:rPr>
              <w:t>0%</w:t>
            </w:r>
          </w:p>
        </w:tc>
      </w:tr>
    </w:tbl>
    <w:p>
      <w:pPr>
        <w:pStyle w:val="BodyText"/>
        <w:spacing w:before="4"/>
        <w:rPr>
          <w:sz w:val="13"/>
        </w:rPr>
      </w:pPr>
    </w:p>
    <w:p>
      <w:pPr>
        <w:tabs>
          <w:tab w:pos="2908" w:val="left" w:leader="none"/>
        </w:tabs>
        <w:spacing w:line="404" w:lineRule="exact" w:before="0"/>
        <w:ind w:left="1439" w:right="0" w:firstLine="0"/>
        <w:jc w:val="left"/>
        <w:rPr>
          <w:sz w:val="21"/>
        </w:rPr>
      </w:pPr>
      <w:r>
        <w:rPr>
          <w:rFonts w:ascii="Microsoft JhengHei" w:eastAsia="Microsoft JhengHei"/>
          <w:b/>
          <w:position w:val="-1"/>
          <w:sz w:val="24"/>
        </w:rPr>
        <w:t>风险保</w:t>
      </w:r>
      <w:r>
        <w:rPr>
          <w:rFonts w:ascii="Microsoft JhengHei" w:eastAsia="Microsoft JhengHei"/>
          <w:b/>
          <w:spacing w:val="-10"/>
          <w:position w:val="-1"/>
          <w:sz w:val="24"/>
        </w:rPr>
        <w:t>费</w:t>
      </w:r>
      <w:r>
        <w:rPr>
          <w:rFonts w:ascii="Microsoft JhengHei" w:eastAsia="Microsoft JhengHei"/>
          <w:b/>
          <w:position w:val="-1"/>
          <w:sz w:val="24"/>
        </w:rPr>
        <w:tab/>
      </w:r>
      <w:r>
        <w:rPr>
          <w:spacing w:val="-2"/>
          <w:sz w:val="21"/>
        </w:rPr>
        <w:t>一、风</w:t>
      </w:r>
      <w:r>
        <w:rPr>
          <w:spacing w:val="-2"/>
          <w:sz w:val="21"/>
        </w:rPr>
        <w:t>险</w:t>
      </w:r>
      <w:r>
        <w:rPr>
          <w:spacing w:val="-2"/>
          <w:sz w:val="21"/>
        </w:rPr>
        <w:t>保</w:t>
      </w:r>
      <w:r>
        <w:rPr>
          <w:spacing w:val="-12"/>
          <w:sz w:val="21"/>
        </w:rPr>
        <w:t>费</w:t>
      </w:r>
    </w:p>
    <w:p>
      <w:pPr>
        <w:pStyle w:val="BodyText"/>
        <w:spacing w:line="249" w:lineRule="exact"/>
        <w:ind w:left="2908"/>
      </w:pPr>
      <w:r>
        <w:rPr>
          <w:spacing w:val="-1"/>
        </w:rPr>
        <w:t>是我们对本保险条款及同一保险单下其他保险条款承担的保险责任所收取的</w:t>
      </w:r>
    </w:p>
    <w:p>
      <w:pPr>
        <w:pStyle w:val="BodyText"/>
        <w:spacing w:line="278" w:lineRule="auto" w:before="43"/>
        <w:ind w:left="2908" w:right="1103"/>
        <w:jc w:val="both"/>
      </w:pPr>
      <w:r>
        <w:rPr>
          <w:spacing w:val="-2"/>
        </w:rPr>
        <w:t>费用。我们对本保险条款承担的身故保险责任中风险保额部分收取相应的风险</w:t>
      </w:r>
      <w:r>
        <w:rPr>
          <w:spacing w:val="-2"/>
        </w:rPr>
        <w:t>保费。风险保额是身故保险金超过保单账户价值部分。本合同年风险保费根据</w:t>
      </w:r>
      <w:r>
        <w:rPr>
          <w:spacing w:val="-2"/>
        </w:rPr>
        <w:t>被保险人的到达年龄、性别及风险保额确定。本合同每千元风险保额应收取的</w:t>
      </w:r>
      <w:r>
        <w:rPr>
          <w:spacing w:val="-2"/>
        </w:rPr>
        <w:t>年风险保费见附表。</w:t>
      </w:r>
    </w:p>
    <w:p>
      <w:pPr>
        <w:pStyle w:val="BodyText"/>
        <w:spacing w:line="269" w:lineRule="exact"/>
        <w:ind w:left="2908"/>
      </w:pPr>
      <w:r>
        <w:rPr>
          <w:spacing w:val="-3"/>
        </w:rPr>
        <w:t>二、风险保费的收取</w:t>
      </w:r>
    </w:p>
    <w:p>
      <w:pPr>
        <w:pStyle w:val="BodyText"/>
        <w:spacing w:line="278" w:lineRule="auto" w:before="43"/>
        <w:ind w:left="2908" w:right="1106"/>
      </w:pPr>
      <w:r>
        <w:rPr>
          <w:spacing w:val="3"/>
          <w:w w:val="100"/>
        </w:rPr>
        <w:t>我们自本合同生效日或复效日的下一个资产评估日起的每个资产评估日收取</w:t>
      </w:r>
      <w:r>
        <w:rPr>
          <w:spacing w:val="-3"/>
          <w:w w:val="100"/>
        </w:rPr>
        <w:t>相应的风险保费，收取标准如下：</w:t>
      </w:r>
    </w:p>
    <w:p>
      <w:pPr>
        <w:pStyle w:val="BodyText"/>
        <w:spacing w:line="269" w:lineRule="exact"/>
        <w:ind w:left="2908"/>
      </w:pPr>
      <w:r>
        <w:rPr>
          <w:spacing w:val="-2"/>
        </w:rPr>
        <w:t>（一）</w:t>
      </w:r>
      <w:r>
        <w:rPr>
          <w:spacing w:val="-3"/>
        </w:rPr>
        <w:t>在本合同生效日或复效日的下一个资产评估日，</w:t>
      </w:r>
    </w:p>
    <w:p>
      <w:pPr>
        <w:pStyle w:val="BodyText"/>
        <w:spacing w:line="278" w:lineRule="auto" w:before="43"/>
        <w:ind w:left="2908" w:right="1106"/>
      </w:pPr>
      <w:r>
        <w:rPr>
          <w:spacing w:val="-5"/>
        </w:rPr>
        <w:t>风险保费 =风险保额</w:t>
      </w:r>
      <w:r>
        <w:rPr>
          <w:spacing w:val="-2"/>
        </w:rPr>
        <w:t>/1000</w:t>
      </w:r>
      <w:r>
        <w:rPr>
          <w:spacing w:val="-8"/>
        </w:rPr>
        <w:t>×距生效或复效日天数</w:t>
      </w:r>
      <w:r>
        <w:rPr>
          <w:spacing w:val="-2"/>
        </w:rPr>
        <w:t>（含生效或复效日当日）×年</w:t>
      </w:r>
      <w:r>
        <w:rPr>
          <w:spacing w:val="-2"/>
        </w:rPr>
        <w:t>风险保费/365</w:t>
      </w:r>
    </w:p>
    <w:p>
      <w:pPr>
        <w:pStyle w:val="BodyText"/>
        <w:ind w:left="2908"/>
      </w:pPr>
      <w:r>
        <w:rPr>
          <w:spacing w:val="-2"/>
        </w:rPr>
        <w:t>（二）</w:t>
      </w:r>
      <w:r>
        <w:rPr>
          <w:spacing w:val="-3"/>
        </w:rPr>
        <w:t>在后续的每个资产评估日，</w:t>
      </w:r>
    </w:p>
    <w:p>
      <w:pPr>
        <w:pStyle w:val="BodyText"/>
        <w:spacing w:before="43"/>
        <w:ind w:left="2908"/>
      </w:pPr>
      <w:r>
        <w:rPr>
          <w:spacing w:val="-2"/>
        </w:rPr>
        <w:t>风险保费 =风险保额/1000</w:t>
      </w:r>
      <w:r>
        <w:rPr>
          <w:spacing w:val="-3"/>
        </w:rPr>
        <w:t>×距上次资产评估日天数×年风险保费/</w:t>
      </w:r>
      <w:r>
        <w:rPr>
          <w:spacing w:val="-4"/>
        </w:rPr>
        <w:t>365</w:t>
      </w:r>
    </w:p>
    <w:p>
      <w:pPr>
        <w:pStyle w:val="BodyText"/>
        <w:spacing w:line="278" w:lineRule="auto" w:before="43"/>
        <w:ind w:left="2908" w:right="1103"/>
      </w:pPr>
      <w:r>
        <w:rPr>
          <w:spacing w:val="-2"/>
        </w:rPr>
        <w:t>如果有欠交的风险保费，我们也同时收取。风险保费按您保单账户中各投资账</w:t>
      </w:r>
      <w:r>
        <w:rPr>
          <w:spacing w:val="-2"/>
        </w:rPr>
        <w:t>户的投资账户价值进行分摊，以扣减投资单位的方式收取。</w:t>
      </w:r>
    </w:p>
    <w:p>
      <w:pPr>
        <w:pStyle w:val="BodyText"/>
        <w:tabs>
          <w:tab w:pos="2908" w:val="left" w:leader="none"/>
        </w:tabs>
        <w:spacing w:line="213" w:lineRule="auto" w:before="171"/>
        <w:ind w:left="2908" w:right="1103" w:hanging="1469"/>
      </w:pPr>
      <w:r>
        <w:rPr>
          <w:rFonts w:ascii="Microsoft JhengHei" w:eastAsia="Microsoft JhengHei"/>
          <w:b/>
          <w:spacing w:val="-2"/>
          <w:position w:val="-1"/>
          <w:sz w:val="24"/>
        </w:rPr>
        <w:t>保</w:t>
      </w:r>
      <w:r>
        <w:rPr>
          <w:rFonts w:ascii="Microsoft JhengHei" w:eastAsia="Microsoft JhengHei"/>
          <w:b/>
          <w:spacing w:val="-2"/>
          <w:position w:val="-1"/>
          <w:sz w:val="24"/>
        </w:rPr>
        <w:t>单</w:t>
      </w:r>
      <w:r>
        <w:rPr>
          <w:rFonts w:ascii="Microsoft JhengHei" w:eastAsia="Microsoft JhengHei"/>
          <w:b/>
          <w:spacing w:val="-2"/>
          <w:position w:val="-1"/>
          <w:sz w:val="24"/>
        </w:rPr>
        <w:t>管</w:t>
      </w:r>
      <w:r>
        <w:rPr>
          <w:rFonts w:ascii="Microsoft JhengHei" w:eastAsia="Microsoft JhengHei"/>
          <w:b/>
          <w:spacing w:val="-2"/>
          <w:position w:val="-1"/>
          <w:sz w:val="24"/>
        </w:rPr>
        <w:t>理费</w:t>
      </w:r>
      <w:r>
        <w:rPr>
          <w:rFonts w:ascii="Microsoft JhengHei" w:eastAsia="Microsoft JhengHei"/>
          <w:b/>
          <w:position w:val="-1"/>
          <w:sz w:val="24"/>
        </w:rPr>
        <w:tab/>
      </w:r>
      <w:r>
        <w:rPr>
          <w:spacing w:val="-2"/>
        </w:rPr>
        <w:t>为</w:t>
      </w:r>
      <w:r>
        <w:rPr>
          <w:spacing w:val="-2"/>
        </w:rPr>
        <w:t>维</w:t>
      </w:r>
      <w:r>
        <w:rPr>
          <w:spacing w:val="-2"/>
        </w:rPr>
        <w:t>持本合同有效，我们</w:t>
      </w:r>
      <w:r>
        <w:rPr>
          <w:spacing w:val="-2"/>
        </w:rPr>
        <w:t>将</w:t>
      </w:r>
      <w:r>
        <w:rPr>
          <w:spacing w:val="-2"/>
        </w:rPr>
        <w:t>在</w:t>
      </w:r>
      <w:r>
        <w:rPr>
          <w:spacing w:val="-2"/>
        </w:rPr>
        <w:t>本合同生效日及之后每个保单月度的首</w:t>
      </w:r>
      <w:r>
        <w:rPr>
          <w:spacing w:val="-2"/>
        </w:rPr>
        <w:t>个</w:t>
      </w:r>
      <w:r>
        <w:rPr>
          <w:spacing w:val="-2"/>
        </w:rPr>
        <w:t>资</w:t>
      </w:r>
      <w:r>
        <w:rPr>
          <w:spacing w:val="-2"/>
        </w:rPr>
        <w:t>产</w:t>
      </w:r>
      <w:r>
        <w:rPr>
          <w:spacing w:val="-2"/>
        </w:rPr>
        <w:t>评</w:t>
      </w:r>
      <w:r>
        <w:rPr>
          <w:spacing w:val="-2"/>
        </w:rPr>
        <w:t>估</w:t>
      </w:r>
      <w:r>
        <w:rPr>
          <w:spacing w:val="-2"/>
        </w:rPr>
        <w:t>日</w:t>
      </w:r>
      <w:r>
        <w:rPr>
          <w:spacing w:val="-2"/>
        </w:rPr>
        <w:t>收取保单管理费。保</w:t>
      </w:r>
      <w:r>
        <w:rPr>
          <w:spacing w:val="-2"/>
        </w:rPr>
        <w:t>单</w:t>
      </w:r>
      <w:r>
        <w:rPr>
          <w:spacing w:val="-2"/>
        </w:rPr>
        <w:t>管</w:t>
      </w:r>
      <w:r>
        <w:rPr>
          <w:spacing w:val="-2"/>
        </w:rPr>
        <w:t>理费按您保单账户中</w:t>
      </w:r>
      <w:r>
        <w:rPr>
          <w:spacing w:val="-2"/>
        </w:rPr>
        <w:t>各</w:t>
      </w:r>
      <w:r>
        <w:rPr>
          <w:spacing w:val="-2"/>
        </w:rPr>
        <w:t>投</w:t>
      </w:r>
      <w:r>
        <w:rPr>
          <w:spacing w:val="-2"/>
        </w:rPr>
        <w:t>资账户的投资</w:t>
      </w:r>
      <w:r>
        <w:rPr>
          <w:spacing w:val="-2"/>
        </w:rPr>
        <w:t>账</w:t>
      </w:r>
      <w:r>
        <w:rPr>
          <w:spacing w:val="-2"/>
        </w:rPr>
        <w:t>户</w:t>
      </w:r>
      <w:r>
        <w:rPr>
          <w:spacing w:val="-2"/>
        </w:rPr>
        <w:t>价</w:t>
      </w:r>
      <w:r>
        <w:rPr>
          <w:spacing w:val="-10"/>
        </w:rPr>
        <w:t>值</w:t>
      </w:r>
    </w:p>
    <w:p>
      <w:pPr>
        <w:pStyle w:val="BodyText"/>
        <w:spacing w:line="257" w:lineRule="exact" w:before="48"/>
        <w:ind w:left="2908"/>
      </w:pPr>
      <w:r>
        <w:rPr>
          <w:spacing w:val="-2"/>
        </w:rPr>
        <w:t>进行分摊，以扣减投资单位的方式收取。目前，本合同每月的保单管理费为 </w:t>
      </w:r>
      <w:r>
        <w:rPr>
          <w:spacing w:val="-10"/>
        </w:rPr>
        <w:t>0</w:t>
      </w:r>
    </w:p>
    <w:p>
      <w:pPr>
        <w:spacing w:line="336" w:lineRule="auto" w:before="0"/>
        <w:ind w:left="2908" w:right="2330" w:firstLine="0"/>
        <w:jc w:val="left"/>
        <w:rPr>
          <w:rFonts w:ascii="微软雅黑" w:eastAsia="微软雅黑"/>
          <w:b/>
          <w:sz w:val="21"/>
        </w:rPr>
      </w:pPr>
      <w:r>
        <w:rPr>
          <w:spacing w:val="-2"/>
          <w:sz w:val="21"/>
        </w:rPr>
        <w:t>元。</w:t>
      </w:r>
      <w:r>
        <w:rPr>
          <w:rFonts w:ascii="微软雅黑" w:eastAsia="微软雅黑"/>
          <w:b/>
          <w:spacing w:val="-3"/>
          <w:sz w:val="21"/>
        </w:rPr>
        <w:t>我们有权对保单管理费进行调整，但最高不超过 </w:t>
      </w:r>
      <w:r>
        <w:rPr>
          <w:rFonts w:ascii="微软雅黑" w:eastAsia="微软雅黑"/>
          <w:b/>
          <w:spacing w:val="-2"/>
          <w:sz w:val="21"/>
        </w:rPr>
        <w:t>30</w:t>
      </w:r>
      <w:r>
        <w:rPr>
          <w:rFonts w:ascii="微软雅黑" w:eastAsia="微软雅黑"/>
          <w:b/>
          <w:spacing w:val="-4"/>
          <w:sz w:val="21"/>
        </w:rPr>
        <w:t> 元/月。</w:t>
      </w:r>
      <w:r>
        <w:rPr>
          <w:rFonts w:ascii="微软雅黑" w:eastAsia="微软雅黑"/>
          <w:b/>
          <w:spacing w:val="-2"/>
          <w:sz w:val="21"/>
        </w:rPr>
        <w:t>除本合同明确约定的费用收取项目外，其他费用均为零。</w:t>
      </w:r>
    </w:p>
    <w:p>
      <w:pPr>
        <w:pStyle w:val="ListParagraph"/>
        <w:numPr>
          <w:ilvl w:val="1"/>
          <w:numId w:val="5"/>
        </w:numPr>
        <w:tabs>
          <w:tab w:pos="1439" w:val="left" w:leader="none"/>
          <w:tab w:pos="1440" w:val="left" w:leader="none"/>
          <w:tab w:pos="2944" w:val="left" w:leader="none"/>
        </w:tabs>
        <w:spacing w:line="351" w:lineRule="exact" w:before="0" w:after="0"/>
        <w:ind w:left="1439" w:right="0" w:hanging="1052"/>
        <w:jc w:val="both"/>
        <w:rPr>
          <w:sz w:val="21"/>
        </w:rPr>
      </w:pPr>
      <w:r>
        <w:rPr>
          <w:rFonts w:ascii="Microsoft JhengHei" w:eastAsia="Microsoft JhengHei"/>
          <w:b/>
          <w:sz w:val="21"/>
        </w:rPr>
        <w:t>宽限</w:t>
      </w:r>
      <w:r>
        <w:rPr>
          <w:rFonts w:ascii="Microsoft JhengHei" w:eastAsia="Microsoft JhengHei"/>
          <w:b/>
          <w:spacing w:val="-10"/>
          <w:sz w:val="21"/>
        </w:rPr>
        <w:t>期</w:t>
      </w:r>
      <w:r>
        <w:rPr>
          <w:rFonts w:ascii="Microsoft JhengHei" w:eastAsia="Microsoft JhengHei"/>
          <w:b/>
          <w:sz w:val="21"/>
        </w:rPr>
        <w:tab/>
      </w:r>
      <w:r>
        <w:rPr>
          <w:spacing w:val="-2"/>
          <w:sz w:val="21"/>
        </w:rPr>
        <w:t>一、本</w:t>
      </w:r>
      <w:r>
        <w:rPr>
          <w:spacing w:val="-2"/>
          <w:sz w:val="21"/>
        </w:rPr>
        <w:t>合</w:t>
      </w:r>
      <w:r>
        <w:rPr>
          <w:spacing w:val="-2"/>
          <w:sz w:val="21"/>
        </w:rPr>
        <w:t>同有效期间内</w:t>
      </w:r>
      <w:r>
        <w:rPr>
          <w:spacing w:val="-51"/>
          <w:sz w:val="21"/>
        </w:rPr>
        <w:t>，</w:t>
      </w:r>
      <w:r>
        <w:rPr>
          <w:spacing w:val="-2"/>
          <w:sz w:val="21"/>
        </w:rPr>
        <w:t>在每</w:t>
      </w:r>
      <w:r>
        <w:rPr>
          <w:spacing w:val="-2"/>
          <w:sz w:val="21"/>
        </w:rPr>
        <w:t>个</w:t>
      </w:r>
      <w:r>
        <w:rPr>
          <w:spacing w:val="-2"/>
          <w:sz w:val="21"/>
        </w:rPr>
        <w:t>资</w:t>
      </w:r>
      <w:r>
        <w:rPr>
          <w:spacing w:val="-2"/>
          <w:sz w:val="21"/>
        </w:rPr>
        <w:t>产评估日的零时如果</w:t>
      </w:r>
      <w:r>
        <w:rPr>
          <w:spacing w:val="-2"/>
          <w:sz w:val="21"/>
        </w:rPr>
        <w:t>本</w:t>
      </w:r>
      <w:r>
        <w:rPr>
          <w:spacing w:val="-2"/>
          <w:sz w:val="21"/>
        </w:rPr>
        <w:t>合</w:t>
      </w:r>
      <w:r>
        <w:rPr>
          <w:spacing w:val="-2"/>
          <w:sz w:val="21"/>
        </w:rPr>
        <w:t>同项下保单账户</w:t>
      </w:r>
      <w:r>
        <w:rPr>
          <w:spacing w:val="-10"/>
          <w:sz w:val="21"/>
        </w:rPr>
        <w:t>价</w:t>
      </w:r>
    </w:p>
    <w:p>
      <w:pPr>
        <w:pStyle w:val="BodyText"/>
        <w:spacing w:line="278" w:lineRule="auto"/>
        <w:ind w:left="3365" w:right="1099"/>
        <w:jc w:val="both"/>
      </w:pPr>
      <w:r>
        <w:rPr>
          <w:spacing w:val="2"/>
          <w:w w:val="100"/>
        </w:rPr>
        <w:t>值不足以支付本合同的风险保费及约定需在本合同中扣除的其他合同的</w:t>
      </w:r>
      <w:r>
        <w:rPr>
          <w:spacing w:val="1"/>
          <w:w w:val="100"/>
        </w:rPr>
        <w:t>风险保费或保险费，我们将按该资产评估日的保单账户价值收取风险保</w:t>
      </w:r>
      <w:r>
        <w:rPr>
          <w:spacing w:val="-7"/>
          <w:w w:val="100"/>
        </w:rPr>
        <w:t>费，不足部分记为欠交的风险保费，同时保单账户价值减少至零。则自该</w:t>
      </w:r>
      <w:r>
        <w:rPr>
          <w:spacing w:val="-5"/>
          <w:w w:val="100"/>
        </w:rPr>
        <w:t>资产评估日的次日零时起</w:t>
      </w:r>
      <w:r>
        <w:rPr>
          <w:spacing w:val="-28"/>
        </w:rPr>
        <w:t> </w:t>
      </w:r>
      <w:r>
        <w:rPr>
          <w:rFonts w:ascii="Calibri" w:eastAsia="Calibri"/>
          <w:w w:val="100"/>
        </w:rPr>
        <w:t>60</w:t>
      </w:r>
      <w:r>
        <w:rPr>
          <w:rFonts w:ascii="Calibri" w:eastAsia="Calibri"/>
          <w:spacing w:val="-9"/>
        </w:rPr>
        <w:t>  </w:t>
      </w:r>
      <w:r>
        <w:rPr>
          <w:spacing w:val="-3"/>
          <w:w w:val="100"/>
        </w:rPr>
        <w:t>日为宽限期。宽限期内发生的保险事故，我们仍会承担保险责任，但在给付保险金时会扣减您欠交的风险保费。</w:t>
      </w:r>
    </w:p>
    <w:p>
      <w:pPr>
        <w:spacing w:line="282" w:lineRule="exact" w:before="0"/>
        <w:ind w:left="2944" w:right="0" w:firstLine="0"/>
        <w:jc w:val="left"/>
        <w:rPr>
          <w:rFonts w:ascii="微软雅黑" w:eastAsia="微软雅黑"/>
          <w:b/>
          <w:sz w:val="21"/>
        </w:rPr>
      </w:pPr>
      <w:r>
        <w:rPr>
          <w:spacing w:val="-2"/>
          <w:sz w:val="21"/>
        </w:rPr>
        <w:t>二、</w:t>
      </w:r>
      <w:r>
        <w:rPr>
          <w:rFonts w:ascii="微软雅黑" w:eastAsia="微软雅黑"/>
          <w:b/>
          <w:spacing w:val="-8"/>
          <w:sz w:val="21"/>
        </w:rPr>
        <w:t>如果您宽限期结束之后仍未补交保险费，则本合同自宽限期满的次日零时</w:t>
      </w:r>
    </w:p>
    <w:p>
      <w:pPr>
        <w:spacing w:line="350" w:lineRule="exact" w:before="0"/>
        <w:ind w:left="3365" w:right="0" w:firstLine="0"/>
        <w:jc w:val="left"/>
        <w:rPr>
          <w:rFonts w:ascii="微软雅黑" w:eastAsia="微软雅黑"/>
          <w:b/>
          <w:sz w:val="21"/>
        </w:rPr>
      </w:pPr>
      <w:r>
        <w:rPr>
          <w:rFonts w:ascii="微软雅黑" w:eastAsia="微软雅黑"/>
          <w:b/>
          <w:spacing w:val="-2"/>
          <w:sz w:val="21"/>
        </w:rPr>
        <w:t>起效力中止。</w:t>
      </w:r>
    </w:p>
    <w:p>
      <w:pPr>
        <w:pStyle w:val="ListParagraph"/>
        <w:numPr>
          <w:ilvl w:val="1"/>
          <w:numId w:val="5"/>
        </w:numPr>
        <w:tabs>
          <w:tab w:pos="1439" w:val="left" w:leader="none"/>
          <w:tab w:pos="1440" w:val="left" w:leader="none"/>
          <w:tab w:pos="2908" w:val="left" w:leader="none"/>
        </w:tabs>
        <w:spacing w:line="352" w:lineRule="exact" w:before="133" w:after="0"/>
        <w:ind w:left="1439" w:right="0" w:hanging="1052"/>
        <w:jc w:val="both"/>
        <w:rPr>
          <w:sz w:val="21"/>
        </w:rPr>
      </w:pPr>
      <w:r>
        <w:rPr>
          <w:rFonts w:ascii="Microsoft JhengHei" w:eastAsia="Microsoft JhengHei"/>
          <w:b/>
          <w:sz w:val="21"/>
        </w:rPr>
        <w:t>保单贷</w:t>
      </w:r>
      <w:r>
        <w:rPr>
          <w:rFonts w:ascii="Microsoft JhengHei" w:eastAsia="Microsoft JhengHei"/>
          <w:b/>
          <w:spacing w:val="-10"/>
          <w:sz w:val="21"/>
        </w:rPr>
        <w:t>款</w:t>
      </w:r>
      <w:r>
        <w:rPr>
          <w:rFonts w:ascii="Microsoft JhengHei" w:eastAsia="Microsoft JhengHei"/>
          <w:b/>
          <w:sz w:val="21"/>
        </w:rPr>
        <w:tab/>
      </w:r>
      <w:r>
        <w:rPr>
          <w:spacing w:val="-3"/>
          <w:sz w:val="21"/>
        </w:rPr>
        <w:t>一、</w:t>
      </w:r>
      <w:r>
        <w:rPr>
          <w:spacing w:val="-3"/>
          <w:sz w:val="21"/>
        </w:rPr>
        <w:t>在</w:t>
      </w:r>
      <w:r>
        <w:rPr>
          <w:spacing w:val="-3"/>
          <w:sz w:val="21"/>
        </w:rPr>
        <w:t>本</w:t>
      </w:r>
      <w:r>
        <w:rPr>
          <w:spacing w:val="-3"/>
          <w:sz w:val="21"/>
        </w:rPr>
        <w:t>合同有效期内，经书面</w:t>
      </w:r>
      <w:r>
        <w:rPr>
          <w:spacing w:val="-3"/>
          <w:sz w:val="21"/>
        </w:rPr>
        <w:t>或</w:t>
      </w:r>
      <w:r>
        <w:rPr>
          <w:spacing w:val="-3"/>
          <w:sz w:val="21"/>
        </w:rPr>
        <w:t>按照本公司要求的其他</w:t>
      </w:r>
      <w:r>
        <w:rPr>
          <w:spacing w:val="-3"/>
          <w:sz w:val="21"/>
        </w:rPr>
        <w:t>方</w:t>
      </w:r>
      <w:r>
        <w:rPr>
          <w:spacing w:val="-3"/>
          <w:sz w:val="21"/>
        </w:rPr>
        <w:t>式申请且我们审</w:t>
      </w:r>
      <w:r>
        <w:rPr>
          <w:spacing w:val="-10"/>
          <w:sz w:val="21"/>
        </w:rPr>
        <w:t>核</w:t>
      </w:r>
    </w:p>
    <w:p>
      <w:pPr>
        <w:pStyle w:val="BodyText"/>
        <w:spacing w:line="206" w:lineRule="auto"/>
        <w:ind w:left="3362"/>
      </w:pPr>
      <w:r>
        <w:rPr>
          <w:spacing w:val="-6"/>
        </w:rPr>
        <w:t>同意后，您可向我们办理保单贷款。申请贷款时累计贷款本金和</w:t>
      </w:r>
      <w:r>
        <w:rPr>
          <w:rFonts w:ascii="Microsoft JhengHei" w:eastAsia="Microsoft JhengHei"/>
          <w:b/>
          <w:spacing w:val="-149"/>
        </w:rPr>
        <w:t>利</w:t>
      </w:r>
      <w:r>
        <w:rPr>
          <w:spacing w:val="-63"/>
          <w:position w:val="-7"/>
        </w:rPr>
        <w:t>．</w:t>
      </w:r>
      <w:r>
        <w:rPr>
          <w:rFonts w:ascii="Microsoft JhengHei" w:eastAsia="Microsoft JhengHei"/>
          <w:b/>
          <w:spacing w:val="-149"/>
        </w:rPr>
        <w:t>息</w:t>
      </w:r>
      <w:r>
        <w:rPr>
          <w:spacing w:val="-6"/>
          <w:position w:val="-7"/>
        </w:rPr>
        <w:t>．</w:t>
      </w:r>
      <w:r>
        <w:rPr>
          <w:spacing w:val="-6"/>
        </w:rPr>
        <w:t>（</w:t>
      </w:r>
      <w:r>
        <w:rPr>
          <w:spacing w:val="-10"/>
        </w:rPr>
        <w:t>见</w:t>
      </w:r>
    </w:p>
    <w:p>
      <w:pPr>
        <w:pStyle w:val="BodyText"/>
        <w:spacing w:line="278" w:lineRule="auto" w:before="42"/>
        <w:ind w:left="3362" w:right="1101"/>
      </w:pPr>
      <w:r>
        <w:rPr>
          <w:spacing w:val="-4"/>
        </w:rPr>
        <w:t>11.17）</w:t>
      </w:r>
      <w:r>
        <w:rPr>
          <w:spacing w:val="-7"/>
        </w:rPr>
        <w:t>最高不得超过本合同当时账户价值的 </w:t>
      </w:r>
      <w:r>
        <w:rPr>
          <w:spacing w:val="-4"/>
        </w:rPr>
        <w:t>80%，每次贷款期限最长不超</w:t>
      </w:r>
      <w:r>
        <w:rPr>
          <w:spacing w:val="-11"/>
        </w:rPr>
        <w:t>过 </w:t>
      </w:r>
      <w:r>
        <w:rPr/>
        <w:t>180</w:t>
      </w:r>
      <w:r>
        <w:rPr>
          <w:spacing w:val="-5"/>
        </w:rPr>
        <w:t> 天。贷款利率按您与我们签订的贷款协议中约定的利率执行。</w:t>
      </w:r>
    </w:p>
    <w:p>
      <w:pPr>
        <w:pStyle w:val="BodyText"/>
        <w:spacing w:line="278" w:lineRule="auto" w:before="1"/>
        <w:ind w:left="3362" w:right="1264" w:hanging="455"/>
      </w:pPr>
      <w:r>
        <w:rPr/>
        <w:t>二、贷款本息在贷款到期时一并归还。若您到期未能足额偿还贷款本息，则</w:t>
      </w:r>
      <w:r>
        <w:rPr>
          <w:spacing w:val="-2"/>
        </w:rPr>
        <w:t>您所欠的贷款本金及利息将作为新的贷款本金计息。</w:t>
      </w:r>
    </w:p>
    <w:p>
      <w:pPr>
        <w:pStyle w:val="BodyText"/>
        <w:spacing w:line="278" w:lineRule="auto"/>
        <w:ind w:left="3362" w:right="1264" w:hanging="455"/>
      </w:pPr>
      <w:r>
        <w:rPr/>
        <w:t>三、当未还贷款本金及利息加上其他各项欠款超过保单账户价值时，本合同</w:t>
      </w:r>
      <w:r>
        <w:rPr>
          <w:spacing w:val="-2"/>
        </w:rPr>
        <w:t>终止，本合同账户价值将全部用于偿还贷款本息。</w:t>
      </w:r>
    </w:p>
    <w:p>
      <w:pPr>
        <w:pStyle w:val="BodyText"/>
        <w:spacing w:line="278" w:lineRule="auto"/>
        <w:ind w:left="3362" w:right="1264" w:hanging="455"/>
      </w:pPr>
      <w:r>
        <w:rPr/>
        <w:t>四、您申请保单贷款须提交保单贷款申请，并凭保险合同原件、您的有效身</w:t>
      </w:r>
      <w:r>
        <w:rPr>
          <w:spacing w:val="-2"/>
        </w:rPr>
        <w:t>份证明办理。</w:t>
      </w:r>
    </w:p>
    <w:p>
      <w:pPr>
        <w:pStyle w:val="Heading2"/>
        <w:numPr>
          <w:ilvl w:val="0"/>
          <w:numId w:val="5"/>
        </w:numPr>
        <w:tabs>
          <w:tab w:pos="1439" w:val="left" w:leader="none"/>
          <w:tab w:pos="1440" w:val="left" w:leader="none"/>
        </w:tabs>
        <w:spacing w:line="240" w:lineRule="auto" w:before="123" w:after="0"/>
        <w:ind w:left="1439" w:right="0" w:hanging="1052"/>
        <w:jc w:val="both"/>
        <w:rPr>
          <w:rFonts w:ascii="微软雅黑" w:eastAsia="微软雅黑"/>
        </w:rPr>
      </w:pPr>
      <w:r>
        <w:rPr/>
        <w:drawing>
          <wp:anchor distT="0" distB="0" distL="0" distR="0" allowOverlap="1" layoutInCell="1" locked="0" behindDoc="1" simplePos="0" relativeHeight="486507008">
            <wp:simplePos x="0" y="0"/>
            <wp:positionH relativeFrom="page">
              <wp:posOffset>638555</wp:posOffset>
            </wp:positionH>
            <wp:positionV relativeFrom="paragraph">
              <wp:posOffset>328052</wp:posOffset>
            </wp:positionV>
            <wp:extent cx="6273927" cy="12192"/>
            <wp:effectExtent l="0" t="0" r="0" b="0"/>
            <wp:wrapNone/>
            <wp:docPr id="17" name="image5.png"/>
            <wp:cNvGraphicFramePr>
              <a:graphicFrameLocks noChangeAspect="1"/>
            </wp:cNvGraphicFramePr>
            <a:graphic>
              <a:graphicData uri="http://schemas.openxmlformats.org/drawingml/2006/picture">
                <pic:pic>
                  <pic:nvPicPr>
                    <pic:cNvPr id="18" name="image5.png"/>
                    <pic:cNvPicPr/>
                  </pic:nvPicPr>
                  <pic:blipFill>
                    <a:blip r:embed="rId9" cstate="print"/>
                    <a:stretch>
                      <a:fillRect/>
                    </a:stretch>
                  </pic:blipFill>
                  <pic:spPr>
                    <a:xfrm>
                      <a:off x="0" y="0"/>
                      <a:ext cx="6273927" cy="12192"/>
                    </a:xfrm>
                    <a:prstGeom prst="rect">
                      <a:avLst/>
                    </a:prstGeom>
                  </pic:spPr>
                </pic:pic>
              </a:graphicData>
            </a:graphic>
          </wp:anchor>
        </w:drawing>
      </w:r>
      <w:r>
        <w:rPr>
          <w:spacing w:val="-1"/>
        </w:rPr>
        <w:t>合同效力的中止与恢复</w:t>
      </w:r>
    </w:p>
    <w:p>
      <w:pPr>
        <w:spacing w:after="0" w:line="240" w:lineRule="auto"/>
        <w:jc w:val="both"/>
        <w:rPr>
          <w:rFonts w:ascii="微软雅黑" w:eastAsia="微软雅黑"/>
        </w:rPr>
        <w:sectPr>
          <w:pgSz w:w="11910" w:h="16840"/>
          <w:pgMar w:top="1120" w:bottom="280" w:left="740" w:right="20"/>
        </w:sectPr>
      </w:pPr>
    </w:p>
    <w:p>
      <w:pPr>
        <w:pStyle w:val="ListParagraph"/>
        <w:numPr>
          <w:ilvl w:val="1"/>
          <w:numId w:val="5"/>
        </w:numPr>
        <w:tabs>
          <w:tab w:pos="1439" w:val="left" w:leader="none"/>
          <w:tab w:pos="1440" w:val="left" w:leader="none"/>
          <w:tab w:pos="2908" w:val="left" w:leader="none"/>
        </w:tabs>
        <w:spacing w:line="366" w:lineRule="exact" w:before="0" w:after="0"/>
        <w:ind w:left="1439" w:right="0" w:hanging="1052"/>
        <w:jc w:val="left"/>
        <w:rPr>
          <w:rFonts w:ascii="微软雅黑" w:eastAsia="微软雅黑"/>
          <w:b/>
          <w:sz w:val="21"/>
        </w:rPr>
      </w:pPr>
      <w:r>
        <w:rPr>
          <w:rFonts w:ascii="Microsoft JhengHei" w:eastAsia="Microsoft JhengHei"/>
          <w:b/>
          <w:sz w:val="21"/>
        </w:rPr>
        <w:t>合同效力中</w:t>
      </w:r>
      <w:r>
        <w:rPr>
          <w:rFonts w:ascii="Microsoft JhengHei" w:eastAsia="Microsoft JhengHei"/>
          <w:b/>
          <w:spacing w:val="-10"/>
          <w:sz w:val="21"/>
        </w:rPr>
        <w:t>止</w:t>
      </w:r>
      <w:r>
        <w:rPr>
          <w:rFonts w:ascii="Microsoft JhengHei" w:eastAsia="Microsoft JhengHei"/>
          <w:b/>
          <w:sz w:val="21"/>
        </w:rPr>
        <w:tab/>
      </w:r>
      <w:r>
        <w:rPr>
          <w:rFonts w:ascii="微软雅黑" w:eastAsia="微软雅黑"/>
          <w:b/>
          <w:spacing w:val="-2"/>
          <w:sz w:val="21"/>
        </w:rPr>
        <w:t>在</w:t>
      </w:r>
      <w:r>
        <w:rPr>
          <w:rFonts w:ascii="微软雅黑" w:eastAsia="微软雅黑"/>
          <w:b/>
          <w:spacing w:val="-2"/>
          <w:sz w:val="21"/>
        </w:rPr>
        <w:t>本</w:t>
      </w:r>
      <w:r>
        <w:rPr>
          <w:rFonts w:ascii="微软雅黑" w:eastAsia="微软雅黑"/>
          <w:b/>
          <w:spacing w:val="-2"/>
          <w:sz w:val="21"/>
        </w:rPr>
        <w:t>合</w:t>
      </w:r>
      <w:r>
        <w:rPr>
          <w:rFonts w:ascii="微软雅黑" w:eastAsia="微软雅黑"/>
          <w:b/>
          <w:spacing w:val="-2"/>
          <w:sz w:val="21"/>
        </w:rPr>
        <w:t>同</w:t>
      </w:r>
      <w:r>
        <w:rPr>
          <w:rFonts w:ascii="微软雅黑" w:eastAsia="微软雅黑"/>
          <w:b/>
          <w:spacing w:val="-2"/>
          <w:sz w:val="21"/>
        </w:rPr>
        <w:t>效</w:t>
      </w:r>
      <w:r>
        <w:rPr>
          <w:rFonts w:ascii="微软雅黑" w:eastAsia="微软雅黑"/>
          <w:b/>
          <w:spacing w:val="-2"/>
          <w:sz w:val="21"/>
        </w:rPr>
        <w:t>力</w:t>
      </w:r>
      <w:r>
        <w:rPr>
          <w:rFonts w:ascii="微软雅黑" w:eastAsia="微软雅黑"/>
          <w:b/>
          <w:spacing w:val="-2"/>
          <w:sz w:val="21"/>
        </w:rPr>
        <w:t>中</w:t>
      </w:r>
      <w:r>
        <w:rPr>
          <w:rFonts w:ascii="微软雅黑" w:eastAsia="微软雅黑"/>
          <w:b/>
          <w:spacing w:val="-2"/>
          <w:sz w:val="21"/>
        </w:rPr>
        <w:t>止</w:t>
      </w:r>
      <w:r>
        <w:rPr>
          <w:rFonts w:ascii="微软雅黑" w:eastAsia="微软雅黑"/>
          <w:b/>
          <w:spacing w:val="-2"/>
          <w:sz w:val="21"/>
        </w:rPr>
        <w:t>期间，</w:t>
      </w:r>
      <w:r>
        <w:rPr>
          <w:rFonts w:ascii="微软雅黑" w:eastAsia="微软雅黑"/>
          <w:b/>
          <w:spacing w:val="-2"/>
          <w:sz w:val="21"/>
        </w:rPr>
        <w:t>本</w:t>
      </w:r>
      <w:r>
        <w:rPr>
          <w:rFonts w:ascii="微软雅黑" w:eastAsia="微软雅黑"/>
          <w:b/>
          <w:spacing w:val="-2"/>
          <w:sz w:val="21"/>
        </w:rPr>
        <w:t>公</w:t>
      </w:r>
      <w:r>
        <w:rPr>
          <w:rFonts w:ascii="微软雅黑" w:eastAsia="微软雅黑"/>
          <w:b/>
          <w:spacing w:val="-2"/>
          <w:sz w:val="21"/>
        </w:rPr>
        <w:t>司</w:t>
      </w:r>
      <w:r>
        <w:rPr>
          <w:rFonts w:ascii="微软雅黑" w:eastAsia="微软雅黑"/>
          <w:b/>
          <w:spacing w:val="-2"/>
          <w:sz w:val="21"/>
        </w:rPr>
        <w:t>不</w:t>
      </w:r>
      <w:r>
        <w:rPr>
          <w:rFonts w:ascii="微软雅黑" w:eastAsia="微软雅黑"/>
          <w:b/>
          <w:spacing w:val="-2"/>
          <w:sz w:val="21"/>
        </w:rPr>
        <w:t>承</w:t>
      </w:r>
      <w:r>
        <w:rPr>
          <w:rFonts w:ascii="微软雅黑" w:eastAsia="微软雅黑"/>
          <w:b/>
          <w:spacing w:val="-2"/>
          <w:sz w:val="21"/>
        </w:rPr>
        <w:t>担</w:t>
      </w:r>
      <w:r>
        <w:rPr>
          <w:rFonts w:ascii="微软雅黑" w:eastAsia="微软雅黑"/>
          <w:b/>
          <w:spacing w:val="-2"/>
          <w:sz w:val="21"/>
        </w:rPr>
        <w:t>保</w:t>
      </w:r>
      <w:r>
        <w:rPr>
          <w:rFonts w:ascii="微软雅黑" w:eastAsia="微软雅黑"/>
          <w:b/>
          <w:spacing w:val="-2"/>
          <w:sz w:val="21"/>
        </w:rPr>
        <w:t>险</w:t>
      </w:r>
      <w:r>
        <w:rPr>
          <w:rFonts w:ascii="微软雅黑" w:eastAsia="微软雅黑"/>
          <w:b/>
          <w:spacing w:val="-2"/>
          <w:sz w:val="21"/>
        </w:rPr>
        <w:t>责</w:t>
      </w:r>
      <w:r>
        <w:rPr>
          <w:rFonts w:ascii="微软雅黑" w:eastAsia="微软雅黑"/>
          <w:b/>
          <w:spacing w:val="-2"/>
          <w:sz w:val="21"/>
        </w:rPr>
        <w:t>任</w:t>
      </w:r>
      <w:r>
        <w:rPr>
          <w:rFonts w:ascii="微软雅黑" w:eastAsia="微软雅黑"/>
          <w:b/>
          <w:spacing w:val="-10"/>
          <w:sz w:val="21"/>
        </w:rPr>
        <w:t>。</w:t>
      </w:r>
    </w:p>
    <w:p>
      <w:pPr>
        <w:pStyle w:val="ListParagraph"/>
        <w:numPr>
          <w:ilvl w:val="1"/>
          <w:numId w:val="5"/>
        </w:numPr>
        <w:tabs>
          <w:tab w:pos="1439" w:val="left" w:leader="none"/>
          <w:tab w:pos="1440" w:val="left" w:leader="none"/>
          <w:tab w:pos="2944" w:val="left" w:leader="none"/>
        </w:tabs>
        <w:spacing w:line="385" w:lineRule="exact" w:before="148" w:after="0"/>
        <w:ind w:left="1439" w:right="0" w:hanging="1052"/>
        <w:jc w:val="left"/>
        <w:rPr>
          <w:sz w:val="21"/>
        </w:rPr>
      </w:pPr>
      <w:r>
        <w:rPr>
          <w:rFonts w:ascii="Microsoft JhengHei" w:eastAsia="Microsoft JhengHei"/>
          <w:b/>
          <w:sz w:val="21"/>
        </w:rPr>
        <w:t>合同效力恢</w:t>
      </w:r>
      <w:r>
        <w:rPr>
          <w:rFonts w:ascii="Microsoft JhengHei" w:eastAsia="Microsoft JhengHei"/>
          <w:b/>
          <w:spacing w:val="-10"/>
          <w:sz w:val="21"/>
        </w:rPr>
        <w:t>复</w:t>
      </w:r>
      <w:r>
        <w:rPr>
          <w:rFonts w:ascii="Microsoft JhengHei" w:eastAsia="Microsoft JhengHei"/>
          <w:b/>
          <w:sz w:val="21"/>
        </w:rPr>
        <w:tab/>
      </w:r>
      <w:r>
        <w:rPr>
          <w:spacing w:val="-2"/>
          <w:sz w:val="21"/>
        </w:rPr>
        <w:t>一、本</w:t>
      </w:r>
      <w:r>
        <w:rPr>
          <w:spacing w:val="-2"/>
          <w:sz w:val="21"/>
        </w:rPr>
        <w:t>合</w:t>
      </w:r>
      <w:r>
        <w:rPr>
          <w:spacing w:val="-2"/>
          <w:sz w:val="21"/>
        </w:rPr>
        <w:t>同效力</w:t>
      </w:r>
      <w:r>
        <w:rPr>
          <w:spacing w:val="-2"/>
          <w:sz w:val="21"/>
        </w:rPr>
        <w:t>中</w:t>
      </w:r>
      <w:r>
        <w:rPr>
          <w:spacing w:val="-2"/>
          <w:sz w:val="21"/>
        </w:rPr>
        <w:t>止</w:t>
      </w:r>
      <w:r>
        <w:rPr>
          <w:spacing w:val="-2"/>
          <w:sz w:val="21"/>
        </w:rPr>
        <w:t>后</w:t>
      </w:r>
      <w:r>
        <w:rPr>
          <w:spacing w:val="-17"/>
          <w:sz w:val="21"/>
        </w:rPr>
        <w:t> </w:t>
      </w:r>
      <w:r>
        <w:rPr>
          <w:rFonts w:ascii="Calibri" w:eastAsia="Calibri"/>
          <w:spacing w:val="-2"/>
          <w:sz w:val="21"/>
        </w:rPr>
        <w:t>2</w:t>
      </w:r>
      <w:r>
        <w:rPr>
          <w:rFonts w:ascii="Calibri" w:eastAsia="Calibri"/>
          <w:spacing w:val="46"/>
          <w:sz w:val="21"/>
        </w:rPr>
        <w:t> </w:t>
      </w:r>
      <w:r>
        <w:rPr>
          <w:spacing w:val="-2"/>
          <w:sz w:val="21"/>
        </w:rPr>
        <w:t>年内，</w:t>
      </w:r>
      <w:r>
        <w:rPr>
          <w:spacing w:val="-2"/>
          <w:sz w:val="21"/>
        </w:rPr>
        <w:t>您</w:t>
      </w:r>
      <w:r>
        <w:rPr>
          <w:spacing w:val="-2"/>
          <w:sz w:val="21"/>
        </w:rPr>
        <w:t>可以申请恢复合同效</w:t>
      </w:r>
      <w:r>
        <w:rPr>
          <w:spacing w:val="-2"/>
          <w:sz w:val="21"/>
        </w:rPr>
        <w:t>力</w:t>
      </w:r>
      <w:r>
        <w:rPr>
          <w:spacing w:val="-2"/>
          <w:sz w:val="21"/>
        </w:rPr>
        <w:t>（简称复效</w:t>
      </w:r>
      <w:r>
        <w:rPr>
          <w:spacing w:val="-108"/>
          <w:sz w:val="21"/>
        </w:rPr>
        <w:t>）</w:t>
      </w:r>
      <w:r>
        <w:rPr>
          <w:spacing w:val="-2"/>
          <w:sz w:val="21"/>
        </w:rPr>
        <w:t>。经</w:t>
      </w:r>
      <w:r>
        <w:rPr>
          <w:spacing w:val="-10"/>
          <w:sz w:val="21"/>
        </w:rPr>
        <w:t>双</w:t>
      </w:r>
    </w:p>
    <w:p>
      <w:pPr>
        <w:pStyle w:val="BodyText"/>
        <w:spacing w:line="278" w:lineRule="auto"/>
        <w:ind w:left="3365" w:right="1101"/>
      </w:pPr>
      <w:r>
        <w:rPr>
          <w:spacing w:val="-2"/>
        </w:rPr>
        <w:t>方协商达成复效协议，自您补交本合同保险费及其他各项欠款的次日零时</w:t>
      </w:r>
      <w:r>
        <w:rPr>
          <w:spacing w:val="-2"/>
        </w:rPr>
        <w:t>起，本合同效力恢复。</w:t>
      </w:r>
    </w:p>
    <w:p>
      <w:pPr>
        <w:pStyle w:val="BodyText"/>
        <w:spacing w:line="278" w:lineRule="auto"/>
        <w:ind w:left="3365" w:right="1101" w:hanging="421"/>
        <w:jc w:val="both"/>
      </w:pPr>
      <w:r>
        <w:rPr>
          <w:spacing w:val="-4"/>
        </w:rPr>
        <w:t>二、自本合同效力中止之日起满 </w:t>
      </w:r>
      <w:r>
        <w:rPr>
          <w:rFonts w:ascii="Calibri" w:eastAsia="Calibri"/>
          <w:spacing w:val="-2"/>
        </w:rPr>
        <w:t>2</w:t>
      </w:r>
      <w:r>
        <w:rPr>
          <w:rFonts w:ascii="Calibri" w:eastAsia="Calibri"/>
          <w:spacing w:val="19"/>
        </w:rPr>
        <w:t> </w:t>
      </w:r>
      <w:r>
        <w:rPr>
          <w:spacing w:val="-7"/>
        </w:rPr>
        <w:t>年您和我们未达成协议的，我们有权解除本</w:t>
      </w:r>
      <w:r>
        <w:rPr>
          <w:spacing w:val="-2"/>
        </w:rPr>
        <w:t>合同。我们解除本合同的，我们向您退还合同效力中止时本合同的现金价</w:t>
      </w:r>
      <w:r>
        <w:rPr>
          <w:spacing w:val="-6"/>
        </w:rPr>
        <w:t>值。</w:t>
      </w:r>
    </w:p>
    <w:p>
      <w:pPr>
        <w:pStyle w:val="Heading2"/>
        <w:numPr>
          <w:ilvl w:val="0"/>
          <w:numId w:val="5"/>
        </w:numPr>
        <w:tabs>
          <w:tab w:pos="1439" w:val="left" w:leader="none"/>
          <w:tab w:pos="1440" w:val="left" w:leader="none"/>
        </w:tabs>
        <w:spacing w:line="240" w:lineRule="auto" w:before="122" w:after="0"/>
        <w:ind w:left="1439" w:right="0" w:hanging="1052"/>
        <w:jc w:val="left"/>
        <w:rPr>
          <w:rFonts w:ascii="微软雅黑" w:eastAsia="微软雅黑"/>
        </w:rPr>
      </w:pPr>
      <w:r>
        <w:rPr/>
        <w:drawing>
          <wp:anchor distT="0" distB="0" distL="0" distR="0" allowOverlap="1" layoutInCell="1" locked="0" behindDoc="1" simplePos="0" relativeHeight="486507520">
            <wp:simplePos x="0" y="0"/>
            <wp:positionH relativeFrom="page">
              <wp:posOffset>647700</wp:posOffset>
            </wp:positionH>
            <wp:positionV relativeFrom="paragraph">
              <wp:posOffset>325893</wp:posOffset>
            </wp:positionV>
            <wp:extent cx="6264783" cy="12192"/>
            <wp:effectExtent l="0" t="0" r="0" b="0"/>
            <wp:wrapNone/>
            <wp:docPr id="19" name="image3.png"/>
            <wp:cNvGraphicFramePr>
              <a:graphicFrameLocks noChangeAspect="1"/>
            </wp:cNvGraphicFramePr>
            <a:graphic>
              <a:graphicData uri="http://schemas.openxmlformats.org/drawingml/2006/picture">
                <pic:pic>
                  <pic:nvPicPr>
                    <pic:cNvPr id="20" name="image3.png"/>
                    <pic:cNvPicPr/>
                  </pic:nvPicPr>
                  <pic:blipFill>
                    <a:blip r:embed="rId7" cstate="print"/>
                    <a:stretch>
                      <a:fillRect/>
                    </a:stretch>
                  </pic:blipFill>
                  <pic:spPr>
                    <a:xfrm>
                      <a:off x="0" y="0"/>
                      <a:ext cx="6264783" cy="12192"/>
                    </a:xfrm>
                    <a:prstGeom prst="rect">
                      <a:avLst/>
                    </a:prstGeom>
                  </pic:spPr>
                </pic:pic>
              </a:graphicData>
            </a:graphic>
          </wp:anchor>
        </w:drawing>
      </w:r>
      <w:r>
        <w:rPr>
          <w:spacing w:val="-2"/>
        </w:rPr>
        <w:t>合同解除和变更</w:t>
      </w:r>
    </w:p>
    <w:p>
      <w:pPr>
        <w:pStyle w:val="BodyText"/>
        <w:spacing w:before="13"/>
        <w:rPr>
          <w:rFonts w:ascii="Microsoft JhengHei"/>
          <w:b/>
          <w:sz w:val="6"/>
        </w:rPr>
      </w:pPr>
    </w:p>
    <w:p>
      <w:pPr>
        <w:spacing w:after="0"/>
        <w:rPr>
          <w:rFonts w:ascii="Microsoft JhengHei"/>
          <w:sz w:val="6"/>
        </w:rPr>
        <w:sectPr>
          <w:pgSz w:w="11910" w:h="16840"/>
          <w:pgMar w:top="1300" w:bottom="280" w:left="740" w:right="20"/>
        </w:sectPr>
      </w:pPr>
    </w:p>
    <w:p>
      <w:pPr>
        <w:pStyle w:val="ListParagraph"/>
        <w:numPr>
          <w:ilvl w:val="1"/>
          <w:numId w:val="5"/>
        </w:numPr>
        <w:tabs>
          <w:tab w:pos="1439" w:val="left" w:leader="none"/>
          <w:tab w:pos="1440" w:val="left" w:leader="none"/>
        </w:tabs>
        <w:spacing w:line="192" w:lineRule="auto" w:before="57" w:after="0"/>
        <w:ind w:left="1439" w:right="0" w:hanging="1052"/>
        <w:jc w:val="left"/>
        <w:rPr>
          <w:rFonts w:ascii="Microsoft JhengHei" w:eastAsia="Microsoft JhengHei"/>
          <w:b/>
          <w:sz w:val="21"/>
        </w:rPr>
      </w:pPr>
      <w:r>
        <w:rPr>
          <w:rFonts w:ascii="Microsoft JhengHei" w:eastAsia="Microsoft JhengHei"/>
          <w:b/>
          <w:spacing w:val="-2"/>
          <w:sz w:val="21"/>
        </w:rPr>
        <w:t>您解除合同的</w:t>
      </w:r>
      <w:r>
        <w:rPr>
          <w:rFonts w:ascii="Microsoft JhengHei" w:eastAsia="Microsoft JhengHei"/>
          <w:b/>
          <w:spacing w:val="-2"/>
          <w:sz w:val="21"/>
        </w:rPr>
        <w:t>手续及风险</w:t>
      </w:r>
    </w:p>
    <w:p>
      <w:pPr>
        <w:pStyle w:val="BodyText"/>
        <w:spacing w:line="278" w:lineRule="auto" w:before="71"/>
        <w:ind w:left="618" w:right="1101" w:hanging="421"/>
      </w:pPr>
      <w:r>
        <w:rPr/>
        <w:br w:type="column"/>
      </w:r>
      <w:r>
        <w:rPr>
          <w:spacing w:val="-2"/>
        </w:rPr>
        <w:t>一、若您在犹豫期后申请解除本合同，需提交合同解除申请书及您的有效身份</w:t>
      </w:r>
      <w:r>
        <w:rPr>
          <w:spacing w:val="-2"/>
        </w:rPr>
        <w:t>证件，自我们收到解除合同申请书时起，本合同终止。</w:t>
      </w:r>
    </w:p>
    <w:p>
      <w:pPr>
        <w:pStyle w:val="BodyText"/>
        <w:spacing w:line="278" w:lineRule="auto"/>
        <w:ind w:left="618" w:right="1101" w:hanging="421"/>
      </w:pPr>
      <w:r>
        <w:rPr>
          <w:spacing w:val="-1"/>
        </w:rPr>
        <w:t>二、我们在收到解除合同申请后，按照接到解除合同申请书之日起 </w:t>
      </w:r>
      <w:r>
        <w:rPr>
          <w:rFonts w:ascii="Calibri" w:eastAsia="Calibri"/>
        </w:rPr>
        <w:t>30</w:t>
      </w:r>
      <w:r>
        <w:rPr>
          <w:rFonts w:ascii="Calibri" w:eastAsia="Calibri"/>
          <w:spacing w:val="8"/>
        </w:rPr>
        <w:t> </w:t>
      </w:r>
      <w:r>
        <w:rPr/>
        <w:t>日内，</w:t>
      </w:r>
      <w:r>
        <w:rPr>
          <w:spacing w:val="-2"/>
        </w:rPr>
        <w:t>向您退还接到解除合同申请书之日的下一个资产评估日的现金价值。</w:t>
      </w:r>
    </w:p>
    <w:p>
      <w:pPr>
        <w:spacing w:line="320" w:lineRule="exact" w:before="0"/>
        <w:ind w:left="197" w:right="0" w:firstLine="0"/>
        <w:jc w:val="left"/>
        <w:rPr>
          <w:rFonts w:ascii="微软雅黑" w:eastAsia="微软雅黑"/>
          <w:b/>
          <w:sz w:val="21"/>
        </w:rPr>
      </w:pPr>
      <w:r>
        <w:rPr>
          <w:spacing w:val="-2"/>
          <w:sz w:val="21"/>
        </w:rPr>
        <w:t>三、</w:t>
      </w:r>
      <w:r>
        <w:rPr>
          <w:rFonts w:ascii="微软雅黑" w:eastAsia="微软雅黑"/>
          <w:b/>
          <w:spacing w:val="-3"/>
          <w:sz w:val="21"/>
        </w:rPr>
        <w:t>您在犹豫期后解除合同会遭受一定损失。</w:t>
      </w:r>
    </w:p>
    <w:p>
      <w:pPr>
        <w:spacing w:after="0" w:line="320" w:lineRule="exact"/>
        <w:jc w:val="left"/>
        <w:rPr>
          <w:rFonts w:ascii="微软雅黑" w:eastAsia="微软雅黑"/>
          <w:sz w:val="21"/>
        </w:rPr>
        <w:sectPr>
          <w:type w:val="continuous"/>
          <w:pgSz w:w="11910" w:h="16840"/>
          <w:pgMar w:top="0" w:bottom="280" w:left="740" w:right="20"/>
          <w:cols w:num="2" w:equalWidth="0">
            <w:col w:w="2707" w:space="40"/>
            <w:col w:w="8403"/>
          </w:cols>
        </w:sectPr>
      </w:pPr>
    </w:p>
    <w:p>
      <w:pPr>
        <w:pStyle w:val="BodyText"/>
        <w:spacing w:before="1"/>
        <w:rPr>
          <w:rFonts w:ascii="微软雅黑"/>
          <w:b/>
          <w:sz w:val="8"/>
        </w:rPr>
      </w:pPr>
    </w:p>
    <w:p>
      <w:pPr>
        <w:spacing w:after="0"/>
        <w:rPr>
          <w:rFonts w:ascii="微软雅黑"/>
          <w:sz w:val="8"/>
        </w:rPr>
        <w:sectPr>
          <w:type w:val="continuous"/>
          <w:pgSz w:w="11910" w:h="16840"/>
          <w:pgMar w:top="0" w:bottom="280" w:left="740" w:right="20"/>
        </w:sectPr>
      </w:pPr>
    </w:p>
    <w:p>
      <w:pPr>
        <w:pStyle w:val="ListParagraph"/>
        <w:numPr>
          <w:ilvl w:val="1"/>
          <w:numId w:val="5"/>
        </w:numPr>
        <w:tabs>
          <w:tab w:pos="1439" w:val="left" w:leader="none"/>
          <w:tab w:pos="1440" w:val="left" w:leader="none"/>
        </w:tabs>
        <w:spacing w:line="192" w:lineRule="auto" w:before="58" w:after="0"/>
        <w:ind w:left="1439" w:right="0" w:hanging="1052"/>
        <w:jc w:val="left"/>
        <w:rPr>
          <w:rFonts w:ascii="Microsoft JhengHei" w:eastAsia="Microsoft JhengHei"/>
          <w:b/>
          <w:sz w:val="21"/>
        </w:rPr>
      </w:pPr>
      <w:r>
        <w:rPr>
          <w:rFonts w:ascii="Microsoft JhengHei" w:eastAsia="Microsoft JhengHei"/>
          <w:b/>
          <w:spacing w:val="-2"/>
          <w:sz w:val="21"/>
        </w:rPr>
        <w:t>合同内容变</w:t>
      </w:r>
      <w:r>
        <w:rPr>
          <w:rFonts w:ascii="Microsoft JhengHei" w:eastAsia="Microsoft JhengHei"/>
          <w:b/>
          <w:spacing w:val="-10"/>
          <w:sz w:val="21"/>
        </w:rPr>
        <w:t>更</w:t>
      </w:r>
    </w:p>
    <w:p>
      <w:pPr>
        <w:pStyle w:val="BodyText"/>
        <w:spacing w:line="278" w:lineRule="auto" w:before="72"/>
        <w:ind w:left="372" w:right="1092"/>
        <w:jc w:val="both"/>
      </w:pPr>
      <w:r>
        <w:rPr/>
        <w:br w:type="column"/>
      </w:r>
      <w:r>
        <w:rPr>
          <w:spacing w:val="-2"/>
        </w:rPr>
        <w:t>本合同生效后，若您需变更本合同的内容，应当向我们提出变更合同的申请，</w:t>
      </w:r>
      <w:r>
        <w:rPr>
          <w:spacing w:val="-2"/>
        </w:rPr>
        <w:t>在您与我们达成一致后，我们对合同约定事项进行变更，变更可以在保险单或</w:t>
      </w:r>
      <w:r>
        <w:rPr>
          <w:spacing w:val="-2"/>
        </w:rPr>
        <w:t>者其他保险凭证上批注、附贴批单的方式进行。或者由您与我们订立书面的变</w:t>
      </w:r>
      <w:r>
        <w:rPr>
          <w:spacing w:val="-4"/>
        </w:rPr>
        <w:t>更协议。</w:t>
      </w:r>
    </w:p>
    <w:p>
      <w:pPr>
        <w:pStyle w:val="BodyText"/>
        <w:spacing w:before="8"/>
        <w:rPr>
          <w:sz w:val="18"/>
        </w:rPr>
      </w:pPr>
    </w:p>
    <w:p>
      <w:pPr>
        <w:pStyle w:val="BodyText"/>
        <w:spacing w:line="278" w:lineRule="auto" w:before="1"/>
        <w:ind w:left="372" w:right="1092"/>
        <w:jc w:val="both"/>
      </w:pPr>
      <w:r>
        <w:rPr>
          <w:spacing w:val="-3"/>
          <w:w w:val="100"/>
        </w:rPr>
        <w:t>您通过我们同意或者认可的网站提出对本合同进行变更，视为您的书面申请，</w:t>
      </w:r>
      <w:r>
        <w:rPr>
          <w:spacing w:val="3"/>
          <w:w w:val="100"/>
        </w:rPr>
        <w:t>您向我们在线提交的电子信息与您向我们提交的书面文件具有相同的法律效力。</w:t>
      </w:r>
    </w:p>
    <w:p>
      <w:pPr>
        <w:spacing w:after="0" w:line="278" w:lineRule="auto"/>
        <w:jc w:val="both"/>
        <w:sectPr>
          <w:type w:val="continuous"/>
          <w:pgSz w:w="11910" w:h="16840"/>
          <w:pgMar w:top="0" w:bottom="280" w:left="740" w:right="20"/>
          <w:cols w:num="2" w:equalWidth="0">
            <w:col w:w="2496" w:space="40"/>
            <w:col w:w="8614"/>
          </w:cols>
        </w:sectPr>
      </w:pPr>
    </w:p>
    <w:p>
      <w:pPr>
        <w:pStyle w:val="BodyText"/>
        <w:spacing w:before="2"/>
        <w:rPr>
          <w:sz w:val="12"/>
        </w:rPr>
      </w:pPr>
    </w:p>
    <w:p>
      <w:pPr>
        <w:spacing w:after="0"/>
        <w:rPr>
          <w:sz w:val="12"/>
        </w:rPr>
        <w:sectPr>
          <w:type w:val="continuous"/>
          <w:pgSz w:w="11910" w:h="16840"/>
          <w:pgMar w:top="0" w:bottom="280" w:left="740" w:right="20"/>
        </w:sectPr>
      </w:pPr>
    </w:p>
    <w:p>
      <w:pPr>
        <w:pStyle w:val="ListParagraph"/>
        <w:numPr>
          <w:ilvl w:val="1"/>
          <w:numId w:val="5"/>
        </w:numPr>
        <w:tabs>
          <w:tab w:pos="1439" w:val="left" w:leader="none"/>
          <w:tab w:pos="1440" w:val="left" w:leader="none"/>
        </w:tabs>
        <w:spacing w:line="192" w:lineRule="auto" w:before="58" w:after="0"/>
        <w:ind w:left="1439" w:right="0" w:hanging="1052"/>
        <w:jc w:val="left"/>
        <w:rPr>
          <w:rFonts w:ascii="Microsoft JhengHei" w:eastAsia="Microsoft JhengHei"/>
          <w:b/>
          <w:sz w:val="21"/>
        </w:rPr>
      </w:pPr>
      <w:r>
        <w:rPr>
          <w:rFonts w:ascii="Microsoft JhengHei" w:eastAsia="Microsoft JhengHei"/>
          <w:b/>
          <w:spacing w:val="-2"/>
          <w:sz w:val="21"/>
        </w:rPr>
        <w:t>联系方式变</w:t>
      </w:r>
      <w:r>
        <w:rPr>
          <w:rFonts w:ascii="Microsoft JhengHei" w:eastAsia="Microsoft JhengHei"/>
          <w:b/>
          <w:spacing w:val="-10"/>
          <w:sz w:val="21"/>
        </w:rPr>
        <w:t>更</w:t>
      </w:r>
    </w:p>
    <w:p>
      <w:pPr>
        <w:spacing w:line="201" w:lineRule="auto" w:before="105"/>
        <w:ind w:left="372" w:right="1104" w:firstLine="0"/>
        <w:jc w:val="both"/>
        <w:rPr>
          <w:rFonts w:ascii="微软雅黑" w:eastAsia="微软雅黑"/>
          <w:b/>
          <w:sz w:val="21"/>
        </w:rPr>
      </w:pPr>
      <w:r>
        <w:rPr/>
        <w:br w:type="column"/>
      </w:r>
      <w:r>
        <w:rPr>
          <w:spacing w:val="-6"/>
          <w:w w:val="100"/>
          <w:sz w:val="21"/>
        </w:rPr>
        <w:t>为保障您的合法权益，您的住所、通讯地址或电话等联系方式变更时，请及时以书面形式或双方认可的其他形式通知我们。</w:t>
      </w:r>
      <w:r>
        <w:rPr>
          <w:rFonts w:ascii="微软雅黑" w:eastAsia="微软雅黑"/>
          <w:b/>
          <w:spacing w:val="-3"/>
          <w:w w:val="100"/>
          <w:sz w:val="21"/>
        </w:rPr>
        <w:t>若您未以书面形式或双方认可的</w:t>
      </w:r>
      <w:r>
        <w:rPr>
          <w:rFonts w:ascii="微软雅黑" w:eastAsia="微软雅黑"/>
          <w:b/>
          <w:spacing w:val="3"/>
          <w:w w:val="100"/>
          <w:sz w:val="21"/>
        </w:rPr>
        <w:t>其他形式通知我们，我们按本合同载明的最后住所或通讯地址发送的有关通</w:t>
      </w:r>
      <w:r>
        <w:rPr>
          <w:rFonts w:ascii="微软雅黑" w:eastAsia="微软雅黑"/>
          <w:b/>
          <w:w w:val="100"/>
          <w:sz w:val="21"/>
        </w:rPr>
        <w:t>知，均视为已送达给您。</w:t>
      </w:r>
    </w:p>
    <w:p>
      <w:pPr>
        <w:spacing w:after="0" w:line="201" w:lineRule="auto"/>
        <w:jc w:val="both"/>
        <w:rPr>
          <w:rFonts w:ascii="微软雅黑" w:eastAsia="微软雅黑"/>
          <w:sz w:val="21"/>
        </w:rPr>
        <w:sectPr>
          <w:type w:val="continuous"/>
          <w:pgSz w:w="11910" w:h="16840"/>
          <w:pgMar w:top="0" w:bottom="280" w:left="740" w:right="20"/>
          <w:cols w:num="2" w:equalWidth="0">
            <w:col w:w="2496" w:space="40"/>
            <w:col w:w="8614"/>
          </w:cols>
        </w:sectPr>
      </w:pPr>
    </w:p>
    <w:p>
      <w:pPr>
        <w:pStyle w:val="BodyText"/>
        <w:spacing w:before="2"/>
        <w:rPr>
          <w:rFonts w:ascii="微软雅黑"/>
          <w:b/>
          <w:sz w:val="8"/>
        </w:rPr>
      </w:pPr>
    </w:p>
    <w:p>
      <w:pPr>
        <w:pStyle w:val="Heading2"/>
        <w:numPr>
          <w:ilvl w:val="0"/>
          <w:numId w:val="5"/>
        </w:numPr>
        <w:tabs>
          <w:tab w:pos="1439" w:val="left" w:leader="none"/>
          <w:tab w:pos="1440" w:val="left" w:leader="none"/>
        </w:tabs>
        <w:spacing w:line="433" w:lineRule="exact" w:before="0" w:after="0"/>
        <w:ind w:left="1439" w:right="0" w:hanging="1052"/>
        <w:jc w:val="both"/>
        <w:rPr>
          <w:rFonts w:ascii="微软雅黑" w:eastAsia="微软雅黑"/>
        </w:rPr>
      </w:pPr>
      <w:r>
        <w:rPr/>
        <w:drawing>
          <wp:anchor distT="0" distB="0" distL="0" distR="0" allowOverlap="1" layoutInCell="1" locked="0" behindDoc="1" simplePos="0" relativeHeight="486508032">
            <wp:simplePos x="0" y="0"/>
            <wp:positionH relativeFrom="page">
              <wp:posOffset>647700</wp:posOffset>
            </wp:positionH>
            <wp:positionV relativeFrom="paragraph">
              <wp:posOffset>240770</wp:posOffset>
            </wp:positionV>
            <wp:extent cx="6264783" cy="12191"/>
            <wp:effectExtent l="0" t="0" r="0" b="0"/>
            <wp:wrapNone/>
            <wp:docPr id="21" name="image3.png"/>
            <wp:cNvGraphicFramePr>
              <a:graphicFrameLocks noChangeAspect="1"/>
            </wp:cNvGraphicFramePr>
            <a:graphic>
              <a:graphicData uri="http://schemas.openxmlformats.org/drawingml/2006/picture">
                <pic:pic>
                  <pic:nvPicPr>
                    <pic:cNvPr id="22" name="image3.png"/>
                    <pic:cNvPicPr/>
                  </pic:nvPicPr>
                  <pic:blipFill>
                    <a:blip r:embed="rId7" cstate="print"/>
                    <a:stretch>
                      <a:fillRect/>
                    </a:stretch>
                  </pic:blipFill>
                  <pic:spPr>
                    <a:xfrm>
                      <a:off x="0" y="0"/>
                      <a:ext cx="6264783" cy="12191"/>
                    </a:xfrm>
                    <a:prstGeom prst="rect">
                      <a:avLst/>
                    </a:prstGeom>
                  </pic:spPr>
                </pic:pic>
              </a:graphicData>
            </a:graphic>
          </wp:anchor>
        </w:drawing>
      </w:r>
      <w:r>
        <w:rPr>
          <w:spacing w:val="-2"/>
        </w:rPr>
        <w:t>明确说明与如实告知</w:t>
      </w:r>
    </w:p>
    <w:p>
      <w:pPr>
        <w:pStyle w:val="ListParagraph"/>
        <w:numPr>
          <w:ilvl w:val="1"/>
          <w:numId w:val="5"/>
        </w:numPr>
        <w:tabs>
          <w:tab w:pos="1439" w:val="left" w:leader="none"/>
          <w:tab w:pos="1440" w:val="left" w:leader="none"/>
          <w:tab w:pos="2908" w:val="left" w:leader="none"/>
        </w:tabs>
        <w:spacing w:line="385" w:lineRule="exact" w:before="128" w:after="0"/>
        <w:ind w:left="1439" w:right="0" w:hanging="1052"/>
        <w:jc w:val="both"/>
        <w:rPr>
          <w:sz w:val="21"/>
        </w:rPr>
      </w:pPr>
      <w:r>
        <w:rPr>
          <w:rFonts w:ascii="Microsoft JhengHei" w:eastAsia="Microsoft JhengHei"/>
          <w:b/>
          <w:sz w:val="21"/>
        </w:rPr>
        <w:t>明确说</w:t>
      </w:r>
      <w:r>
        <w:rPr>
          <w:rFonts w:ascii="Microsoft JhengHei" w:eastAsia="Microsoft JhengHei"/>
          <w:b/>
          <w:spacing w:val="-10"/>
          <w:sz w:val="21"/>
        </w:rPr>
        <w:t>明</w:t>
      </w:r>
      <w:r>
        <w:rPr>
          <w:rFonts w:ascii="Microsoft JhengHei" w:eastAsia="Microsoft JhengHei"/>
          <w:b/>
          <w:sz w:val="21"/>
        </w:rPr>
        <w:tab/>
      </w:r>
      <w:r>
        <w:rPr>
          <w:spacing w:val="-2"/>
          <w:sz w:val="21"/>
        </w:rPr>
        <w:t>一、订</w:t>
      </w:r>
      <w:r>
        <w:rPr>
          <w:spacing w:val="-2"/>
          <w:sz w:val="21"/>
        </w:rPr>
        <w:t>立</w:t>
      </w:r>
      <w:r>
        <w:rPr>
          <w:spacing w:val="-2"/>
          <w:sz w:val="21"/>
        </w:rPr>
        <w:t>本合同时，我们应向</w:t>
      </w:r>
      <w:r>
        <w:rPr>
          <w:spacing w:val="-2"/>
          <w:sz w:val="21"/>
        </w:rPr>
        <w:t>您</w:t>
      </w:r>
      <w:r>
        <w:rPr>
          <w:spacing w:val="-2"/>
          <w:sz w:val="21"/>
        </w:rPr>
        <w:t>说</w:t>
      </w:r>
      <w:r>
        <w:rPr>
          <w:spacing w:val="-2"/>
          <w:sz w:val="21"/>
        </w:rPr>
        <w:t>明本合同的内容</w:t>
      </w:r>
      <w:r>
        <w:rPr>
          <w:spacing w:val="-10"/>
          <w:sz w:val="21"/>
        </w:rPr>
        <w:t>。</w:t>
      </w:r>
    </w:p>
    <w:p>
      <w:pPr>
        <w:pStyle w:val="BodyText"/>
        <w:spacing w:line="278" w:lineRule="auto"/>
        <w:ind w:left="3345" w:right="1101" w:hanging="421"/>
        <w:jc w:val="both"/>
      </w:pPr>
      <w:r>
        <w:rPr>
          <w:spacing w:val="-2"/>
        </w:rPr>
        <w:t>二、对保险条款中免除我们责任的条款，我们在订立合同时应当在投保单、保</w:t>
      </w:r>
      <w:r>
        <w:rPr>
          <w:spacing w:val="-2"/>
        </w:rPr>
        <w:t>险单或其他保险凭证上作出足以引起您注意的提示，并对该条款的内容以</w:t>
      </w:r>
      <w:r>
        <w:rPr>
          <w:spacing w:val="-2"/>
        </w:rPr>
        <w:t>书面或口头形式向您作出明确说明，未作提示或明确说明的，该条款不产</w:t>
      </w:r>
      <w:r>
        <w:rPr>
          <w:spacing w:val="-4"/>
        </w:rPr>
        <w:t>生效力。</w:t>
      </w:r>
    </w:p>
    <w:p>
      <w:pPr>
        <w:pStyle w:val="ListParagraph"/>
        <w:numPr>
          <w:ilvl w:val="1"/>
          <w:numId w:val="5"/>
        </w:numPr>
        <w:tabs>
          <w:tab w:pos="1439" w:val="left" w:leader="none"/>
          <w:tab w:pos="1440" w:val="left" w:leader="none"/>
          <w:tab w:pos="2908" w:val="left" w:leader="none"/>
        </w:tabs>
        <w:spacing w:line="352" w:lineRule="exact" w:before="151" w:after="0"/>
        <w:ind w:left="1439" w:right="0" w:hanging="1052"/>
        <w:jc w:val="both"/>
        <w:rPr>
          <w:sz w:val="21"/>
        </w:rPr>
      </w:pPr>
      <w:r>
        <w:rPr>
          <w:rFonts w:ascii="Microsoft JhengHei" w:eastAsia="Microsoft JhengHei"/>
          <w:b/>
          <w:sz w:val="21"/>
        </w:rPr>
        <w:t>如实告</w:t>
      </w:r>
      <w:r>
        <w:rPr>
          <w:rFonts w:ascii="Microsoft JhengHei" w:eastAsia="Microsoft JhengHei"/>
          <w:b/>
          <w:spacing w:val="-10"/>
          <w:sz w:val="21"/>
        </w:rPr>
        <w:t>知</w:t>
      </w:r>
      <w:r>
        <w:rPr>
          <w:rFonts w:ascii="Microsoft JhengHei" w:eastAsia="Microsoft JhengHei"/>
          <w:b/>
          <w:sz w:val="21"/>
        </w:rPr>
        <w:tab/>
      </w:r>
      <w:r>
        <w:rPr>
          <w:spacing w:val="-2"/>
          <w:sz w:val="21"/>
        </w:rPr>
        <w:t>一、我</w:t>
      </w:r>
      <w:r>
        <w:rPr>
          <w:spacing w:val="-2"/>
          <w:sz w:val="21"/>
        </w:rPr>
        <w:t>们</w:t>
      </w:r>
      <w:r>
        <w:rPr>
          <w:spacing w:val="-2"/>
          <w:sz w:val="21"/>
        </w:rPr>
        <w:t>就您和被保险人的有</w:t>
      </w:r>
      <w:r>
        <w:rPr>
          <w:spacing w:val="-2"/>
          <w:sz w:val="21"/>
        </w:rPr>
        <w:t>关</w:t>
      </w:r>
      <w:r>
        <w:rPr>
          <w:spacing w:val="-2"/>
          <w:sz w:val="21"/>
        </w:rPr>
        <w:t>情</w:t>
      </w:r>
      <w:r>
        <w:rPr>
          <w:spacing w:val="-2"/>
          <w:sz w:val="21"/>
        </w:rPr>
        <w:t>况提出询问的，您应</w:t>
      </w:r>
      <w:r>
        <w:rPr>
          <w:spacing w:val="-2"/>
          <w:sz w:val="21"/>
        </w:rPr>
        <w:t>当</w:t>
      </w:r>
      <w:r>
        <w:rPr>
          <w:spacing w:val="-2"/>
          <w:sz w:val="21"/>
        </w:rPr>
        <w:t>如</w:t>
      </w:r>
      <w:r>
        <w:rPr>
          <w:spacing w:val="-2"/>
          <w:sz w:val="21"/>
        </w:rPr>
        <w:t>实告知</w:t>
      </w:r>
      <w:r>
        <w:rPr>
          <w:spacing w:val="-10"/>
          <w:sz w:val="21"/>
        </w:rPr>
        <w:t>。</w:t>
      </w:r>
    </w:p>
    <w:p>
      <w:pPr>
        <w:spacing w:line="194" w:lineRule="auto" w:before="16"/>
        <w:ind w:left="3329" w:right="1104" w:hanging="421"/>
        <w:jc w:val="left"/>
        <w:rPr>
          <w:rFonts w:ascii="微软雅黑" w:eastAsia="微软雅黑"/>
          <w:b/>
          <w:sz w:val="21"/>
        </w:rPr>
      </w:pPr>
      <w:r>
        <w:rPr>
          <w:spacing w:val="-2"/>
          <w:sz w:val="21"/>
        </w:rPr>
        <w:t>二、</w:t>
      </w:r>
      <w:r>
        <w:rPr>
          <w:rFonts w:ascii="微软雅黑" w:eastAsia="微软雅黑"/>
          <w:b/>
          <w:spacing w:val="-2"/>
          <w:sz w:val="21"/>
        </w:rPr>
        <w:t>若您故意或因重大过失未履行前款规定的如实告知义务，足以影响我们决</w:t>
      </w:r>
      <w:r>
        <w:rPr>
          <w:rFonts w:ascii="微软雅黑" w:eastAsia="微软雅黑"/>
          <w:b/>
          <w:spacing w:val="-2"/>
          <w:sz w:val="21"/>
        </w:rPr>
        <w:t>定是否同意承保或提高保险费率的，我们有权解除本合同。</w:t>
      </w:r>
    </w:p>
    <w:p>
      <w:pPr>
        <w:spacing w:line="192" w:lineRule="auto" w:before="0"/>
        <w:ind w:left="3329" w:right="1104" w:hanging="421"/>
        <w:jc w:val="left"/>
        <w:rPr>
          <w:rFonts w:ascii="Microsoft JhengHei" w:eastAsia="Microsoft JhengHei"/>
          <w:b/>
          <w:sz w:val="21"/>
        </w:rPr>
      </w:pPr>
      <w:r>
        <w:rPr>
          <w:spacing w:val="-2"/>
          <w:sz w:val="21"/>
        </w:rPr>
        <w:t>三、</w:t>
      </w:r>
      <w:r>
        <w:rPr>
          <w:rFonts w:ascii="微软雅黑" w:eastAsia="微软雅黑"/>
          <w:b/>
          <w:spacing w:val="-2"/>
          <w:sz w:val="21"/>
        </w:rPr>
        <w:t>若您故意不履行如实告知义务，对于本合同解除前发生的保险事故，我们</w:t>
      </w:r>
      <w:r>
        <w:rPr>
          <w:rFonts w:ascii="微软雅黑" w:eastAsia="微软雅黑"/>
          <w:b/>
          <w:spacing w:val="-2"/>
          <w:sz w:val="21"/>
        </w:rPr>
        <w:t>不承担给付保险金的责任，并不退还保险费</w:t>
      </w:r>
      <w:r>
        <w:rPr>
          <w:rFonts w:ascii="Microsoft JhengHei" w:eastAsia="Microsoft JhengHei"/>
          <w:b/>
          <w:spacing w:val="-2"/>
          <w:sz w:val="21"/>
        </w:rPr>
        <w:t>。</w:t>
      </w:r>
    </w:p>
    <w:p>
      <w:pPr>
        <w:spacing w:line="192" w:lineRule="auto" w:before="2"/>
        <w:ind w:left="3329" w:right="1066" w:hanging="421"/>
        <w:jc w:val="both"/>
        <w:rPr>
          <w:rFonts w:ascii="Microsoft JhengHei" w:eastAsia="Microsoft JhengHei"/>
          <w:b/>
          <w:sz w:val="21"/>
        </w:rPr>
      </w:pPr>
      <w:r>
        <w:rPr>
          <w:spacing w:val="-2"/>
          <w:sz w:val="21"/>
        </w:rPr>
        <w:t>四、</w:t>
      </w:r>
      <w:r>
        <w:rPr>
          <w:rFonts w:ascii="微软雅黑" w:eastAsia="微软雅黑"/>
          <w:b/>
          <w:spacing w:val="-2"/>
          <w:sz w:val="21"/>
        </w:rPr>
        <w:t>若您因重大过失未履行如实告知义务，对保险事故的发生有严重影响的，</w:t>
      </w:r>
      <w:r>
        <w:rPr>
          <w:rFonts w:ascii="微软雅黑" w:eastAsia="微软雅黑"/>
          <w:b/>
          <w:spacing w:val="-2"/>
          <w:sz w:val="21"/>
        </w:rPr>
        <w:t>对于本合同解除前发生的保险事故，我们不承担给付保险金的责任，但应</w:t>
      </w:r>
      <w:r>
        <w:rPr>
          <w:rFonts w:ascii="微软雅黑" w:eastAsia="微软雅黑"/>
          <w:b/>
          <w:spacing w:val="-2"/>
          <w:sz w:val="21"/>
        </w:rPr>
        <w:t>当退还保险费（需扣除您累计已申请部分领取的保单账户价值</w:t>
      </w:r>
      <w:r>
        <w:rPr>
          <w:rFonts w:ascii="微软雅黑" w:eastAsia="微软雅黑"/>
          <w:b/>
          <w:spacing w:val="-105"/>
          <w:sz w:val="21"/>
        </w:rPr>
        <w:t>）</w:t>
      </w:r>
      <w:r>
        <w:rPr>
          <w:rFonts w:ascii="Microsoft JhengHei" w:eastAsia="Microsoft JhengHei"/>
          <w:b/>
          <w:spacing w:val="-2"/>
          <w:sz w:val="21"/>
        </w:rPr>
        <w:t>。</w:t>
      </w:r>
    </w:p>
    <w:p>
      <w:pPr>
        <w:pStyle w:val="BodyText"/>
        <w:spacing w:before="17"/>
        <w:ind w:left="2908"/>
      </w:pPr>
      <w:r>
        <w:rPr>
          <w:spacing w:val="-3"/>
        </w:rPr>
        <w:t>五、我们在合同订立时已经知道您未如实告知的情况的，我们不得解除合同；</w:t>
      </w:r>
    </w:p>
    <w:p>
      <w:pPr>
        <w:spacing w:after="0"/>
        <w:sectPr>
          <w:type w:val="continuous"/>
          <w:pgSz w:w="11910" w:h="16840"/>
          <w:pgMar w:top="0" w:bottom="280" w:left="740" w:right="20"/>
        </w:sectPr>
      </w:pPr>
    </w:p>
    <w:p>
      <w:pPr>
        <w:pStyle w:val="BodyText"/>
        <w:spacing w:before="57"/>
        <w:ind w:left="1433" w:right="1505"/>
        <w:jc w:val="center"/>
      </w:pPr>
      <w:r>
        <w:rPr>
          <w:spacing w:val="-3"/>
        </w:rPr>
        <w:t>发生保险事故的，我们承担给付保险金的责任。</w:t>
      </w:r>
    </w:p>
    <w:p>
      <w:pPr>
        <w:pStyle w:val="BodyText"/>
        <w:spacing w:before="7"/>
        <w:rPr>
          <w:sz w:val="15"/>
        </w:rPr>
      </w:pPr>
    </w:p>
    <w:p>
      <w:pPr>
        <w:spacing w:after="0"/>
        <w:rPr>
          <w:sz w:val="15"/>
        </w:rPr>
        <w:sectPr>
          <w:pgSz w:w="11910" w:h="16840"/>
          <w:pgMar w:top="1080" w:bottom="280" w:left="740" w:right="20"/>
        </w:sectPr>
      </w:pPr>
    </w:p>
    <w:p>
      <w:pPr>
        <w:pStyle w:val="ListParagraph"/>
        <w:numPr>
          <w:ilvl w:val="1"/>
          <w:numId w:val="5"/>
        </w:numPr>
        <w:tabs>
          <w:tab w:pos="1439" w:val="left" w:leader="none"/>
          <w:tab w:pos="1440" w:val="left" w:leader="none"/>
        </w:tabs>
        <w:spacing w:line="192" w:lineRule="auto" w:before="58" w:after="0"/>
        <w:ind w:left="1439" w:right="0" w:hanging="1052"/>
        <w:jc w:val="left"/>
        <w:rPr>
          <w:rFonts w:ascii="Microsoft JhengHei" w:eastAsia="Microsoft JhengHei"/>
          <w:b/>
          <w:sz w:val="21"/>
        </w:rPr>
      </w:pPr>
      <w:r>
        <w:rPr>
          <w:rFonts w:ascii="Microsoft JhengHei" w:eastAsia="Microsoft JhengHei"/>
          <w:b/>
          <w:spacing w:val="-2"/>
          <w:sz w:val="21"/>
        </w:rPr>
        <w:t>本公司合同解</w:t>
      </w:r>
      <w:r>
        <w:rPr>
          <w:rFonts w:ascii="Microsoft JhengHei" w:eastAsia="Microsoft JhengHei"/>
          <w:b/>
          <w:spacing w:val="-2"/>
          <w:sz w:val="21"/>
        </w:rPr>
        <w:t>除权的限制</w:t>
      </w:r>
    </w:p>
    <w:p>
      <w:pPr>
        <w:pStyle w:val="BodyText"/>
        <w:spacing w:before="72"/>
        <w:ind w:left="161"/>
      </w:pPr>
      <w:r>
        <w:rPr/>
        <w:br w:type="column"/>
      </w:r>
      <w:r>
        <w:rPr>
          <w:spacing w:val="-12"/>
        </w:rPr>
        <w:t>前款约定的合同解除权，自我们知道有解除事由之日起，超过 </w:t>
      </w:r>
      <w:r>
        <w:rPr>
          <w:spacing w:val="-2"/>
        </w:rPr>
        <w:t>30</w:t>
      </w:r>
      <w:r>
        <w:rPr>
          <w:spacing w:val="-11"/>
        </w:rPr>
        <w:t> 日不行使而消</w:t>
      </w:r>
    </w:p>
    <w:p>
      <w:pPr>
        <w:pStyle w:val="BodyText"/>
        <w:spacing w:line="278" w:lineRule="auto" w:before="43"/>
        <w:ind w:left="161" w:right="1091"/>
      </w:pPr>
      <w:r>
        <w:rPr>
          <w:spacing w:val="-4"/>
        </w:rPr>
        <w:t>灭。自本合同成立之日起超过 </w:t>
      </w:r>
      <w:r>
        <w:rPr/>
        <w:t>2</w:t>
      </w:r>
      <w:r>
        <w:rPr>
          <w:spacing w:val="-8"/>
        </w:rPr>
        <w:t> 年的，我们不得解除合同；发生保险事故的，</w:t>
      </w:r>
      <w:r>
        <w:rPr>
          <w:spacing w:val="-2"/>
        </w:rPr>
        <w:t>我们承担给付保险金的责任。</w:t>
      </w:r>
    </w:p>
    <w:p>
      <w:pPr>
        <w:spacing w:after="0" w:line="278" w:lineRule="auto"/>
        <w:sectPr>
          <w:type w:val="continuous"/>
          <w:pgSz w:w="11910" w:h="16840"/>
          <w:pgMar w:top="0" w:bottom="280" w:left="740" w:right="20"/>
          <w:cols w:num="2" w:equalWidth="0">
            <w:col w:w="2707" w:space="40"/>
            <w:col w:w="8403"/>
          </w:cols>
        </w:sectPr>
      </w:pPr>
    </w:p>
    <w:p>
      <w:pPr>
        <w:pStyle w:val="BodyText"/>
        <w:spacing w:before="10"/>
        <w:rPr>
          <w:sz w:val="10"/>
        </w:rPr>
      </w:pPr>
    </w:p>
    <w:p>
      <w:pPr>
        <w:pStyle w:val="Heading2"/>
        <w:numPr>
          <w:ilvl w:val="0"/>
          <w:numId w:val="5"/>
        </w:numPr>
        <w:tabs>
          <w:tab w:pos="1439" w:val="left" w:leader="none"/>
          <w:tab w:pos="1440" w:val="left" w:leader="none"/>
        </w:tabs>
        <w:spacing w:line="433" w:lineRule="exact" w:before="0" w:after="0"/>
        <w:ind w:left="1439" w:right="0" w:hanging="1052"/>
        <w:jc w:val="left"/>
        <w:rPr>
          <w:rFonts w:ascii="微软雅黑" w:eastAsia="微软雅黑"/>
        </w:rPr>
      </w:pPr>
      <w:r>
        <w:rPr/>
        <w:drawing>
          <wp:anchor distT="0" distB="0" distL="0" distR="0" allowOverlap="1" layoutInCell="1" locked="0" behindDoc="1" simplePos="0" relativeHeight="486508544">
            <wp:simplePos x="0" y="0"/>
            <wp:positionH relativeFrom="page">
              <wp:posOffset>647700</wp:posOffset>
            </wp:positionH>
            <wp:positionV relativeFrom="paragraph">
              <wp:posOffset>240752</wp:posOffset>
            </wp:positionV>
            <wp:extent cx="6264783" cy="12191"/>
            <wp:effectExtent l="0" t="0" r="0" b="0"/>
            <wp:wrapNone/>
            <wp:docPr id="23" name="image4.png"/>
            <wp:cNvGraphicFramePr>
              <a:graphicFrameLocks noChangeAspect="1"/>
            </wp:cNvGraphicFramePr>
            <a:graphic>
              <a:graphicData uri="http://schemas.openxmlformats.org/drawingml/2006/picture">
                <pic:pic>
                  <pic:nvPicPr>
                    <pic:cNvPr id="24" name="image4.png"/>
                    <pic:cNvPicPr/>
                  </pic:nvPicPr>
                  <pic:blipFill>
                    <a:blip r:embed="rId8" cstate="print"/>
                    <a:stretch>
                      <a:fillRect/>
                    </a:stretch>
                  </pic:blipFill>
                  <pic:spPr>
                    <a:xfrm>
                      <a:off x="0" y="0"/>
                      <a:ext cx="6264783" cy="12191"/>
                    </a:xfrm>
                    <a:prstGeom prst="rect">
                      <a:avLst/>
                    </a:prstGeom>
                  </pic:spPr>
                </pic:pic>
              </a:graphicData>
            </a:graphic>
          </wp:anchor>
        </w:drawing>
      </w:r>
      <w:r>
        <w:rPr>
          <w:spacing w:val="-2"/>
        </w:rPr>
        <w:t>其他需要关注的事项</w:t>
      </w:r>
    </w:p>
    <w:p>
      <w:pPr>
        <w:pStyle w:val="BodyText"/>
        <w:spacing w:before="12"/>
        <w:rPr>
          <w:rFonts w:ascii="Microsoft JhengHei"/>
          <w:b/>
          <w:sz w:val="6"/>
        </w:rPr>
      </w:pPr>
    </w:p>
    <w:p>
      <w:pPr>
        <w:spacing w:after="0"/>
        <w:rPr>
          <w:rFonts w:ascii="Microsoft JhengHei"/>
          <w:sz w:val="6"/>
        </w:rPr>
        <w:sectPr>
          <w:type w:val="continuous"/>
          <w:pgSz w:w="11910" w:h="16840"/>
          <w:pgMar w:top="0" w:bottom="280" w:left="740" w:right="20"/>
        </w:sectPr>
      </w:pPr>
    </w:p>
    <w:p>
      <w:pPr>
        <w:pStyle w:val="ListParagraph"/>
        <w:numPr>
          <w:ilvl w:val="1"/>
          <w:numId w:val="5"/>
        </w:numPr>
        <w:tabs>
          <w:tab w:pos="1439" w:val="left" w:leader="none"/>
          <w:tab w:pos="1440" w:val="left" w:leader="none"/>
        </w:tabs>
        <w:spacing w:line="192" w:lineRule="auto" w:before="58" w:after="0"/>
        <w:ind w:left="1439" w:right="0" w:hanging="1052"/>
        <w:jc w:val="left"/>
        <w:rPr>
          <w:rFonts w:ascii="Microsoft JhengHei" w:eastAsia="Microsoft JhengHei"/>
          <w:b/>
          <w:sz w:val="21"/>
        </w:rPr>
      </w:pPr>
      <w:r>
        <w:rPr>
          <w:rFonts w:ascii="Microsoft JhengHei" w:eastAsia="Microsoft JhengHei"/>
          <w:b/>
          <w:spacing w:val="-2"/>
          <w:sz w:val="21"/>
        </w:rPr>
        <w:t>年龄性别错</w:t>
      </w:r>
      <w:r>
        <w:rPr>
          <w:rFonts w:ascii="Microsoft JhengHei" w:eastAsia="Microsoft JhengHei"/>
          <w:b/>
          <w:spacing w:val="-10"/>
          <w:sz w:val="21"/>
        </w:rPr>
        <w:t>误</w:t>
      </w:r>
    </w:p>
    <w:p>
      <w:pPr>
        <w:pStyle w:val="BodyText"/>
        <w:spacing w:line="278" w:lineRule="auto" w:before="72"/>
        <w:ind w:left="372" w:right="1296" w:firstLine="2"/>
      </w:pPr>
      <w:r>
        <w:rPr/>
        <w:br w:type="column"/>
      </w:r>
      <w:r>
        <w:rPr>
          <w:spacing w:val="-2"/>
        </w:rPr>
        <w:t>您在申请投保时，应将与有效身份证件相符的被保险人的出生日期和性别在</w:t>
      </w:r>
      <w:r>
        <w:rPr>
          <w:spacing w:val="-2"/>
        </w:rPr>
        <w:t>投保单上填明，如果发生错误按照下列方式办理：</w:t>
      </w:r>
    </w:p>
    <w:p>
      <w:pPr>
        <w:spacing w:line="282" w:lineRule="exact" w:before="0"/>
        <w:ind w:left="372" w:right="0" w:firstLine="0"/>
        <w:jc w:val="left"/>
        <w:rPr>
          <w:rFonts w:ascii="微软雅黑" w:eastAsia="微软雅黑"/>
          <w:b/>
          <w:sz w:val="21"/>
        </w:rPr>
      </w:pPr>
      <w:r>
        <w:rPr>
          <w:spacing w:val="-2"/>
          <w:sz w:val="21"/>
        </w:rPr>
        <w:t>一、</w:t>
      </w:r>
      <w:r>
        <w:rPr>
          <w:rFonts w:ascii="微软雅黑" w:eastAsia="微软雅黑"/>
          <w:b/>
          <w:spacing w:val="-3"/>
          <w:sz w:val="21"/>
        </w:rPr>
        <w:t>您申报的被保险人年龄不真实，并且其真实年龄不符合本合同约定投保年</w:t>
      </w:r>
    </w:p>
    <w:p>
      <w:pPr>
        <w:spacing w:line="194" w:lineRule="auto" w:before="15"/>
        <w:ind w:left="793" w:right="1104" w:firstLine="0"/>
        <w:jc w:val="both"/>
        <w:rPr>
          <w:rFonts w:ascii="微软雅黑" w:hAnsi="微软雅黑" w:eastAsia="微软雅黑"/>
          <w:b/>
          <w:sz w:val="21"/>
        </w:rPr>
      </w:pPr>
      <w:r>
        <w:rPr>
          <w:rFonts w:ascii="微软雅黑" w:hAnsi="微软雅黑" w:eastAsia="微软雅黑"/>
          <w:b/>
          <w:spacing w:val="-2"/>
          <w:sz w:val="21"/>
        </w:rPr>
        <w:t>龄限制的，本公司有权解除合同。本公司行使合同解除权适用“本公司合</w:t>
      </w:r>
      <w:r>
        <w:rPr>
          <w:rFonts w:ascii="微软雅黑" w:hAnsi="微软雅黑" w:eastAsia="微软雅黑"/>
          <w:b/>
          <w:spacing w:val="-2"/>
          <w:sz w:val="21"/>
        </w:rPr>
        <w:t>同解除权的限制”的规定。若本合同解除时保险费尚未转入投资账户，我</w:t>
      </w:r>
      <w:r>
        <w:rPr>
          <w:rFonts w:ascii="微软雅黑" w:hAnsi="微软雅黑" w:eastAsia="微软雅黑"/>
          <w:b/>
          <w:spacing w:val="-2"/>
          <w:sz w:val="21"/>
        </w:rPr>
        <w:t>们向您退还本合同已交纳保险费；若本合同解除时保险费已经转入投资账</w:t>
      </w:r>
      <w:r>
        <w:rPr>
          <w:rFonts w:ascii="微软雅黑" w:hAnsi="微软雅黑" w:eastAsia="微软雅黑"/>
          <w:b/>
          <w:spacing w:val="-2"/>
          <w:sz w:val="21"/>
        </w:rPr>
        <w:t>户，我们向您退还本合同下一个资产评估日的现金价值。</w:t>
      </w:r>
    </w:p>
    <w:p>
      <w:pPr>
        <w:spacing w:line="194" w:lineRule="auto" w:before="0"/>
        <w:ind w:left="793" w:right="1066" w:hanging="421"/>
        <w:jc w:val="both"/>
        <w:rPr>
          <w:rFonts w:ascii="微软雅黑" w:eastAsia="微软雅黑"/>
          <w:b/>
          <w:sz w:val="21"/>
        </w:rPr>
      </w:pPr>
      <w:r>
        <w:rPr>
          <w:spacing w:val="-2"/>
          <w:sz w:val="21"/>
        </w:rPr>
        <w:t>二、</w:t>
      </w:r>
      <w:r>
        <w:rPr>
          <w:rFonts w:ascii="微软雅黑" w:eastAsia="微软雅黑"/>
          <w:b/>
          <w:spacing w:val="-2"/>
          <w:sz w:val="21"/>
        </w:rPr>
        <w:t>您申报的被保险人年龄、性别不真实，致使您实付风险保费少于应付风险</w:t>
      </w:r>
      <w:r>
        <w:rPr>
          <w:rFonts w:ascii="微软雅黑" w:eastAsia="微软雅黑"/>
          <w:b/>
          <w:spacing w:val="-2"/>
          <w:sz w:val="21"/>
        </w:rPr>
        <w:t>保费的，本公司有权更正并要求您补交风险保费。若已经发生保险事故，</w:t>
      </w:r>
      <w:r>
        <w:rPr>
          <w:rFonts w:ascii="微软雅黑" w:eastAsia="微软雅黑"/>
          <w:b/>
          <w:spacing w:val="-2"/>
          <w:sz w:val="21"/>
        </w:rPr>
        <w:t>并且距保险事故发生时最近一次实付风险保费低于应付风险保费，在给付</w:t>
      </w:r>
      <w:r>
        <w:rPr>
          <w:rFonts w:ascii="微软雅黑" w:eastAsia="微软雅黑"/>
          <w:b/>
          <w:spacing w:val="-2"/>
          <w:sz w:val="21"/>
        </w:rPr>
        <w:t>保险金时按该次实付风险保费和应付风险保费的比例给付。</w:t>
      </w:r>
    </w:p>
    <w:p>
      <w:pPr>
        <w:spacing w:line="194" w:lineRule="auto" w:before="0"/>
        <w:ind w:left="793" w:right="1106" w:hanging="421"/>
        <w:jc w:val="both"/>
        <w:rPr>
          <w:rFonts w:ascii="微软雅黑" w:eastAsia="微软雅黑"/>
          <w:b/>
          <w:sz w:val="21"/>
        </w:rPr>
      </w:pPr>
      <w:r>
        <w:rPr>
          <w:spacing w:val="-2"/>
          <w:sz w:val="21"/>
        </w:rPr>
        <w:t>三、</w:t>
      </w:r>
      <w:r>
        <w:rPr>
          <w:rFonts w:ascii="微软雅黑" w:eastAsia="微软雅黑"/>
          <w:b/>
          <w:spacing w:val="-2"/>
          <w:sz w:val="21"/>
        </w:rPr>
        <w:t>您申报的被保险人年龄、性别不真实，致使您实付风险保费多于应付风险</w:t>
      </w:r>
      <w:r>
        <w:rPr>
          <w:rFonts w:ascii="微软雅黑" w:eastAsia="微软雅黑"/>
          <w:b/>
          <w:spacing w:val="-2"/>
          <w:sz w:val="21"/>
        </w:rPr>
        <w:t>保费的，并且被保险人未发生保险事故，本公司会将多收的风险保费按照</w:t>
      </w:r>
      <w:r>
        <w:rPr>
          <w:rFonts w:ascii="微软雅黑" w:eastAsia="微软雅黑"/>
          <w:b/>
          <w:spacing w:val="-2"/>
          <w:sz w:val="21"/>
        </w:rPr>
        <w:t>更正年龄、性别后的下一个资产评估日的投资单位价格买入相应的投资单</w:t>
      </w:r>
      <w:r>
        <w:rPr>
          <w:rFonts w:ascii="微软雅黑" w:eastAsia="微软雅黑"/>
          <w:b/>
          <w:spacing w:val="-2"/>
          <w:sz w:val="21"/>
        </w:rPr>
        <w:t>位数，但是如果被保险人已经发生保险事故，则多收的风险保费无息随身</w:t>
      </w:r>
      <w:r>
        <w:rPr>
          <w:rFonts w:ascii="微软雅黑" w:eastAsia="微软雅黑"/>
          <w:b/>
          <w:spacing w:val="-2"/>
          <w:sz w:val="21"/>
        </w:rPr>
        <w:t>故保险金退还给身故保险金受益人。</w:t>
      </w:r>
    </w:p>
    <w:p>
      <w:pPr>
        <w:spacing w:after="0" w:line="194" w:lineRule="auto"/>
        <w:jc w:val="both"/>
        <w:rPr>
          <w:rFonts w:ascii="微软雅黑" w:eastAsia="微软雅黑"/>
          <w:sz w:val="21"/>
        </w:rPr>
        <w:sectPr>
          <w:type w:val="continuous"/>
          <w:pgSz w:w="11910" w:h="16840"/>
          <w:pgMar w:top="0" w:bottom="280" w:left="740" w:right="20"/>
          <w:cols w:num="2" w:equalWidth="0">
            <w:col w:w="2496" w:space="40"/>
            <w:col w:w="8614"/>
          </w:cols>
        </w:sectPr>
      </w:pPr>
    </w:p>
    <w:p>
      <w:pPr>
        <w:pStyle w:val="BodyText"/>
        <w:spacing w:before="4"/>
        <w:rPr>
          <w:rFonts w:ascii="微软雅黑"/>
          <w:b/>
          <w:sz w:val="8"/>
        </w:rPr>
      </w:pPr>
    </w:p>
    <w:p>
      <w:pPr>
        <w:pStyle w:val="ListParagraph"/>
        <w:numPr>
          <w:ilvl w:val="1"/>
          <w:numId w:val="5"/>
        </w:numPr>
        <w:tabs>
          <w:tab w:pos="1439" w:val="left" w:leader="none"/>
          <w:tab w:pos="1440" w:val="left" w:leader="none"/>
          <w:tab w:pos="2908" w:val="left" w:leader="none"/>
        </w:tabs>
        <w:spacing w:line="256" w:lineRule="auto" w:before="3" w:after="0"/>
        <w:ind w:left="2908" w:right="998" w:hanging="2521"/>
        <w:jc w:val="left"/>
        <w:rPr>
          <w:sz w:val="21"/>
        </w:rPr>
      </w:pPr>
      <w:r>
        <w:rPr>
          <w:rFonts w:ascii="Microsoft JhengHei" w:eastAsia="Microsoft JhengHei"/>
          <w:b/>
          <w:spacing w:val="-4"/>
          <w:sz w:val="21"/>
        </w:rPr>
        <w:t>未</w:t>
      </w:r>
      <w:r>
        <w:rPr>
          <w:rFonts w:ascii="Microsoft JhengHei" w:eastAsia="Microsoft JhengHei"/>
          <w:b/>
          <w:spacing w:val="-4"/>
          <w:sz w:val="21"/>
        </w:rPr>
        <w:t>还</w:t>
      </w:r>
      <w:r>
        <w:rPr>
          <w:rFonts w:ascii="Microsoft JhengHei" w:eastAsia="Microsoft JhengHei"/>
          <w:b/>
          <w:spacing w:val="-4"/>
          <w:sz w:val="21"/>
        </w:rPr>
        <w:t>款</w:t>
      </w:r>
      <w:r>
        <w:rPr>
          <w:rFonts w:ascii="Microsoft JhengHei" w:eastAsia="Microsoft JhengHei"/>
          <w:b/>
          <w:spacing w:val="-4"/>
          <w:sz w:val="21"/>
        </w:rPr>
        <w:t>项</w:t>
      </w:r>
      <w:r>
        <w:rPr>
          <w:rFonts w:ascii="Microsoft JhengHei" w:eastAsia="Microsoft JhengHei"/>
          <w:b/>
          <w:sz w:val="21"/>
        </w:rPr>
        <w:tab/>
      </w:r>
      <w:r>
        <w:rPr>
          <w:spacing w:val="-2"/>
          <w:sz w:val="21"/>
        </w:rPr>
        <w:t>我</w:t>
      </w:r>
      <w:r>
        <w:rPr>
          <w:spacing w:val="-2"/>
          <w:sz w:val="21"/>
        </w:rPr>
        <w:t>们</w:t>
      </w:r>
      <w:r>
        <w:rPr>
          <w:spacing w:val="-2"/>
          <w:sz w:val="21"/>
        </w:rPr>
        <w:t>在给付各项保险金</w:t>
      </w:r>
      <w:r>
        <w:rPr>
          <w:spacing w:val="-60"/>
          <w:sz w:val="21"/>
        </w:rPr>
        <w:t>、</w:t>
      </w:r>
      <w:r>
        <w:rPr>
          <w:spacing w:val="-2"/>
          <w:sz w:val="21"/>
        </w:rPr>
        <w:t>退</w:t>
      </w:r>
      <w:r>
        <w:rPr>
          <w:spacing w:val="-2"/>
          <w:sz w:val="21"/>
        </w:rPr>
        <w:t>还</w:t>
      </w:r>
      <w:r>
        <w:rPr>
          <w:spacing w:val="-2"/>
          <w:sz w:val="21"/>
        </w:rPr>
        <w:t>现金价值或返还保险费时</w:t>
      </w:r>
      <w:r>
        <w:rPr>
          <w:spacing w:val="-59"/>
          <w:sz w:val="21"/>
        </w:rPr>
        <w:t>，</w:t>
      </w:r>
      <w:r>
        <w:rPr>
          <w:spacing w:val="-2"/>
          <w:sz w:val="21"/>
        </w:rPr>
        <w:t>如果您有欠交</w:t>
      </w:r>
      <w:r>
        <w:rPr>
          <w:spacing w:val="-2"/>
          <w:sz w:val="21"/>
        </w:rPr>
        <w:t>的</w:t>
      </w:r>
      <w:r>
        <w:rPr>
          <w:spacing w:val="-2"/>
          <w:sz w:val="21"/>
        </w:rPr>
        <w:t>款</w:t>
      </w:r>
      <w:r>
        <w:rPr>
          <w:spacing w:val="-2"/>
          <w:sz w:val="21"/>
        </w:rPr>
        <w:t>项</w:t>
      </w:r>
      <w:r>
        <w:rPr>
          <w:spacing w:val="-2"/>
          <w:sz w:val="21"/>
        </w:rPr>
        <w:t>，</w:t>
      </w:r>
      <w:r>
        <w:rPr>
          <w:spacing w:val="-2"/>
          <w:sz w:val="21"/>
        </w:rPr>
        <w:t>我</w:t>
      </w:r>
      <w:r>
        <w:rPr>
          <w:spacing w:val="-2"/>
          <w:sz w:val="21"/>
        </w:rPr>
        <w:t>们</w:t>
      </w:r>
      <w:r>
        <w:rPr>
          <w:spacing w:val="-2"/>
          <w:sz w:val="21"/>
        </w:rPr>
        <w:t>按照您和其他权利人</w:t>
      </w:r>
      <w:r>
        <w:rPr>
          <w:spacing w:val="-2"/>
          <w:sz w:val="21"/>
        </w:rPr>
        <w:t>与</w:t>
      </w:r>
      <w:r>
        <w:rPr>
          <w:spacing w:val="-2"/>
          <w:sz w:val="21"/>
        </w:rPr>
        <w:t>我</w:t>
      </w:r>
      <w:r>
        <w:rPr>
          <w:spacing w:val="-2"/>
          <w:sz w:val="21"/>
        </w:rPr>
        <w:t>们的约定，在扣除上述各项欠款及应付利</w:t>
      </w:r>
      <w:r>
        <w:rPr>
          <w:spacing w:val="-2"/>
          <w:sz w:val="21"/>
        </w:rPr>
        <w:t>息</w:t>
      </w:r>
      <w:r>
        <w:rPr>
          <w:spacing w:val="-2"/>
          <w:sz w:val="21"/>
        </w:rPr>
        <w:t>后</w:t>
      </w:r>
      <w:r>
        <w:rPr>
          <w:spacing w:val="-2"/>
          <w:sz w:val="21"/>
        </w:rPr>
        <w:t>给</w:t>
      </w:r>
      <w:r>
        <w:rPr>
          <w:spacing w:val="-6"/>
          <w:sz w:val="21"/>
        </w:rPr>
        <w:t>付</w:t>
      </w:r>
      <w:r>
        <w:rPr>
          <w:spacing w:val="-6"/>
          <w:sz w:val="21"/>
        </w:rPr>
        <w:t>。</w:t>
      </w:r>
    </w:p>
    <w:p>
      <w:pPr>
        <w:pStyle w:val="ListParagraph"/>
        <w:numPr>
          <w:ilvl w:val="1"/>
          <w:numId w:val="5"/>
        </w:numPr>
        <w:tabs>
          <w:tab w:pos="1439" w:val="left" w:leader="none"/>
          <w:tab w:pos="1440" w:val="left" w:leader="none"/>
          <w:tab w:pos="2908" w:val="left" w:leader="none"/>
        </w:tabs>
        <w:spacing w:line="235" w:lineRule="auto" w:before="175" w:after="0"/>
        <w:ind w:left="2908" w:right="1104" w:hanging="2521"/>
        <w:jc w:val="left"/>
        <w:rPr>
          <w:sz w:val="21"/>
        </w:rPr>
      </w:pPr>
      <w:r>
        <w:rPr>
          <w:rFonts w:ascii="Microsoft JhengHei" w:eastAsia="Microsoft JhengHei"/>
          <w:b/>
          <w:spacing w:val="-4"/>
          <w:sz w:val="21"/>
        </w:rPr>
        <w:t>争</w:t>
      </w:r>
      <w:r>
        <w:rPr>
          <w:rFonts w:ascii="Microsoft JhengHei" w:eastAsia="Microsoft JhengHei"/>
          <w:b/>
          <w:spacing w:val="-4"/>
          <w:sz w:val="21"/>
        </w:rPr>
        <w:t>议</w:t>
      </w:r>
      <w:r>
        <w:rPr>
          <w:rFonts w:ascii="Microsoft JhengHei" w:eastAsia="Microsoft JhengHei"/>
          <w:b/>
          <w:spacing w:val="-4"/>
          <w:sz w:val="21"/>
        </w:rPr>
        <w:t>处</w:t>
      </w:r>
      <w:r>
        <w:rPr>
          <w:rFonts w:ascii="Microsoft JhengHei" w:eastAsia="Microsoft JhengHei"/>
          <w:b/>
          <w:spacing w:val="-4"/>
          <w:sz w:val="21"/>
        </w:rPr>
        <w:t>理</w:t>
      </w:r>
      <w:r>
        <w:rPr>
          <w:rFonts w:ascii="Microsoft JhengHei" w:eastAsia="Microsoft JhengHei"/>
          <w:b/>
          <w:sz w:val="21"/>
        </w:rPr>
        <w:tab/>
      </w:r>
      <w:r>
        <w:rPr>
          <w:spacing w:val="-2"/>
          <w:sz w:val="21"/>
        </w:rPr>
        <w:t>在</w:t>
      </w:r>
      <w:r>
        <w:rPr>
          <w:spacing w:val="-2"/>
          <w:sz w:val="21"/>
        </w:rPr>
        <w:t>本</w:t>
      </w:r>
      <w:r>
        <w:rPr>
          <w:spacing w:val="-2"/>
          <w:sz w:val="21"/>
        </w:rPr>
        <w:t>合同履行过程中发生</w:t>
      </w:r>
      <w:r>
        <w:rPr>
          <w:spacing w:val="-2"/>
          <w:sz w:val="21"/>
        </w:rPr>
        <w:t>任</w:t>
      </w:r>
      <w:r>
        <w:rPr>
          <w:spacing w:val="-2"/>
          <w:sz w:val="21"/>
        </w:rPr>
        <w:t>何</w:t>
      </w:r>
      <w:r>
        <w:rPr>
          <w:spacing w:val="-2"/>
          <w:sz w:val="21"/>
        </w:rPr>
        <w:t>争议，当事人应根据</w:t>
      </w:r>
      <w:r>
        <w:rPr>
          <w:spacing w:val="-2"/>
          <w:sz w:val="21"/>
        </w:rPr>
        <w:t>本</w:t>
      </w:r>
      <w:r>
        <w:rPr>
          <w:spacing w:val="-2"/>
          <w:sz w:val="21"/>
        </w:rPr>
        <w:t>合</w:t>
      </w:r>
      <w:r>
        <w:rPr>
          <w:spacing w:val="-2"/>
          <w:sz w:val="21"/>
        </w:rPr>
        <w:t>同约定选择下列两种方</w:t>
      </w:r>
      <w:r>
        <w:rPr>
          <w:spacing w:val="-2"/>
          <w:sz w:val="21"/>
        </w:rPr>
        <w:t>式</w:t>
      </w:r>
      <w:r>
        <w:rPr>
          <w:spacing w:val="-2"/>
          <w:sz w:val="21"/>
        </w:rPr>
        <w:t>之</w:t>
      </w:r>
      <w:r>
        <w:rPr>
          <w:spacing w:val="-2"/>
          <w:sz w:val="21"/>
        </w:rPr>
        <w:t>一予以解决：</w:t>
      </w:r>
    </w:p>
    <w:p>
      <w:pPr>
        <w:pStyle w:val="BodyText"/>
        <w:spacing w:line="278" w:lineRule="auto" w:before="43"/>
        <w:ind w:left="3365" w:right="1104" w:hanging="421"/>
      </w:pPr>
      <w:r>
        <w:rPr>
          <w:spacing w:val="-2"/>
        </w:rPr>
        <w:t>(一)因履行本合同发生的争议，由当事人协商解决，协商不成的，提交双方共</w:t>
      </w:r>
      <w:r>
        <w:rPr>
          <w:spacing w:val="-2"/>
        </w:rPr>
        <w:t>同选定的仲裁委员会，按其当时有效的仲裁规则仲裁解决。</w:t>
      </w:r>
    </w:p>
    <w:p>
      <w:pPr>
        <w:pStyle w:val="BodyText"/>
        <w:spacing w:line="269" w:lineRule="exact"/>
        <w:ind w:left="2944"/>
      </w:pPr>
      <w:r>
        <w:rPr>
          <w:spacing w:val="-5"/>
        </w:rPr>
        <w:t>(二)因履行本合同发生的争议，由当事人协商解决，协商不成的，依法向人民</w:t>
      </w:r>
    </w:p>
    <w:p>
      <w:pPr>
        <w:pStyle w:val="BodyText"/>
        <w:spacing w:before="7"/>
        <w:rPr>
          <w:sz w:val="5"/>
        </w:rPr>
      </w:pPr>
    </w:p>
    <w:tbl>
      <w:tblPr>
        <w:tblW w:w="0" w:type="auto"/>
        <w:jc w:val="left"/>
        <w:tblInd w:w="2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45"/>
        <w:gridCol w:w="1577"/>
        <w:gridCol w:w="7444"/>
      </w:tblGrid>
      <w:tr>
        <w:trPr>
          <w:trHeight w:val="426" w:hRule="atLeast"/>
        </w:trPr>
        <w:tc>
          <w:tcPr>
            <w:tcW w:w="2422" w:type="dxa"/>
            <w:gridSpan w:val="2"/>
          </w:tcPr>
          <w:p>
            <w:pPr>
              <w:pStyle w:val="TableParagraph"/>
              <w:spacing w:before="0"/>
              <w:rPr>
                <w:rFonts w:ascii="Times New Roman"/>
                <w:sz w:val="20"/>
              </w:rPr>
            </w:pPr>
          </w:p>
        </w:tc>
        <w:tc>
          <w:tcPr>
            <w:tcW w:w="7444" w:type="dxa"/>
          </w:tcPr>
          <w:p>
            <w:pPr>
              <w:pStyle w:val="TableParagraph"/>
              <w:spacing w:line="241" w:lineRule="exact" w:before="0"/>
              <w:ind w:left="663"/>
              <w:rPr>
                <w:sz w:val="21"/>
              </w:rPr>
            </w:pPr>
            <w:r>
              <w:rPr>
                <w:spacing w:val="-4"/>
                <w:sz w:val="21"/>
              </w:rPr>
              <w:t>法院起诉。</w:t>
            </w:r>
          </w:p>
        </w:tc>
      </w:tr>
      <w:tr>
        <w:trPr>
          <w:trHeight w:val="613" w:hRule="atLeast"/>
        </w:trPr>
        <w:tc>
          <w:tcPr>
            <w:tcW w:w="845" w:type="dxa"/>
            <w:tcBorders>
              <w:bottom w:val="single" w:sz="8" w:space="0" w:color="000000"/>
            </w:tcBorders>
          </w:tcPr>
          <w:p>
            <w:pPr>
              <w:pStyle w:val="TableParagraph"/>
              <w:spacing w:before="105"/>
              <w:ind w:left="107"/>
              <w:rPr>
                <w:rFonts w:ascii="微软雅黑"/>
                <w:b/>
                <w:sz w:val="24"/>
              </w:rPr>
            </w:pPr>
            <w:r>
              <w:rPr>
                <w:rFonts w:ascii="微软雅黑"/>
                <w:b/>
                <w:spacing w:val="-5"/>
                <w:w w:val="90"/>
                <w:sz w:val="24"/>
              </w:rPr>
              <w:t>11</w:t>
            </w:r>
          </w:p>
        </w:tc>
        <w:tc>
          <w:tcPr>
            <w:tcW w:w="1577" w:type="dxa"/>
            <w:tcBorders>
              <w:bottom w:val="single" w:sz="8" w:space="0" w:color="000000"/>
            </w:tcBorders>
          </w:tcPr>
          <w:p>
            <w:pPr>
              <w:pStyle w:val="TableParagraph"/>
              <w:spacing w:before="102"/>
              <w:ind w:left="314"/>
              <w:rPr>
                <w:rFonts w:ascii="Microsoft JhengHei" w:eastAsia="Microsoft JhengHei"/>
                <w:b/>
                <w:sz w:val="24"/>
              </w:rPr>
            </w:pPr>
            <w:r>
              <w:rPr>
                <w:rFonts w:ascii="Microsoft JhengHei" w:eastAsia="Microsoft JhengHei"/>
                <w:b/>
                <w:spacing w:val="-5"/>
                <w:sz w:val="24"/>
              </w:rPr>
              <w:t>释义</w:t>
            </w:r>
          </w:p>
        </w:tc>
        <w:tc>
          <w:tcPr>
            <w:tcW w:w="7444" w:type="dxa"/>
            <w:tcBorders>
              <w:bottom w:val="single" w:sz="8" w:space="0" w:color="000000"/>
            </w:tcBorders>
          </w:tcPr>
          <w:p>
            <w:pPr>
              <w:pStyle w:val="TableParagraph"/>
              <w:spacing w:before="0"/>
              <w:rPr>
                <w:rFonts w:ascii="Times New Roman"/>
                <w:sz w:val="20"/>
              </w:rPr>
            </w:pPr>
          </w:p>
        </w:tc>
      </w:tr>
      <w:tr>
        <w:trPr>
          <w:trHeight w:val="945" w:hRule="atLeast"/>
        </w:trPr>
        <w:tc>
          <w:tcPr>
            <w:tcW w:w="845" w:type="dxa"/>
            <w:tcBorders>
              <w:top w:val="single" w:sz="8" w:space="0" w:color="000000"/>
            </w:tcBorders>
          </w:tcPr>
          <w:p>
            <w:pPr>
              <w:pStyle w:val="TableParagraph"/>
              <w:spacing w:before="161"/>
              <w:ind w:left="107"/>
              <w:rPr>
                <w:rFonts w:ascii="微软雅黑"/>
                <w:b/>
                <w:sz w:val="21"/>
              </w:rPr>
            </w:pPr>
            <w:r>
              <w:rPr>
                <w:rFonts w:ascii="微软雅黑"/>
                <w:b/>
                <w:spacing w:val="-4"/>
                <w:sz w:val="21"/>
              </w:rPr>
              <w:t>11.1</w:t>
            </w:r>
          </w:p>
        </w:tc>
        <w:tc>
          <w:tcPr>
            <w:tcW w:w="1577" w:type="dxa"/>
            <w:tcBorders>
              <w:top w:val="single" w:sz="8" w:space="0" w:color="000000"/>
            </w:tcBorders>
          </w:tcPr>
          <w:p>
            <w:pPr>
              <w:pStyle w:val="TableParagraph"/>
              <w:spacing w:before="159"/>
              <w:ind w:left="314"/>
              <w:rPr>
                <w:rFonts w:ascii="Microsoft JhengHei" w:eastAsia="Microsoft JhengHei"/>
                <w:b/>
                <w:sz w:val="21"/>
              </w:rPr>
            </w:pPr>
            <w:r>
              <w:rPr>
                <w:rFonts w:ascii="Microsoft JhengHei" w:eastAsia="Microsoft JhengHei"/>
                <w:b/>
                <w:spacing w:val="-3"/>
                <w:sz w:val="21"/>
              </w:rPr>
              <w:t>保单年度</w:t>
            </w:r>
          </w:p>
        </w:tc>
        <w:tc>
          <w:tcPr>
            <w:tcW w:w="7444" w:type="dxa"/>
            <w:tcBorders>
              <w:top w:val="single" w:sz="8" w:space="0" w:color="000000"/>
            </w:tcBorders>
          </w:tcPr>
          <w:p>
            <w:pPr>
              <w:pStyle w:val="TableParagraph"/>
              <w:spacing w:before="10"/>
              <w:rPr>
                <w:sz w:val="17"/>
              </w:rPr>
            </w:pPr>
          </w:p>
          <w:p>
            <w:pPr>
              <w:pStyle w:val="TableParagraph"/>
              <w:spacing w:line="278" w:lineRule="auto" w:before="1"/>
              <w:ind w:left="206" w:right="110"/>
              <w:rPr>
                <w:sz w:val="21"/>
              </w:rPr>
            </w:pPr>
            <w:r>
              <w:rPr>
                <w:spacing w:val="3"/>
                <w:w w:val="100"/>
                <w:sz w:val="21"/>
              </w:rPr>
              <w:t>从本合同生效日或保单周年日零时起至下一年度的保单周年日零时止为一个</w:t>
            </w:r>
            <w:r>
              <w:rPr>
                <w:w w:val="100"/>
                <w:sz w:val="21"/>
              </w:rPr>
              <w:t>保单年度。</w:t>
            </w:r>
          </w:p>
        </w:tc>
      </w:tr>
      <w:tr>
        <w:trPr>
          <w:trHeight w:val="850" w:hRule="atLeast"/>
        </w:trPr>
        <w:tc>
          <w:tcPr>
            <w:tcW w:w="845" w:type="dxa"/>
          </w:tcPr>
          <w:p>
            <w:pPr>
              <w:pStyle w:val="TableParagraph"/>
              <w:spacing w:before="68"/>
              <w:ind w:left="107"/>
              <w:rPr>
                <w:rFonts w:ascii="微软雅黑"/>
                <w:b/>
                <w:sz w:val="21"/>
              </w:rPr>
            </w:pPr>
            <w:r>
              <w:rPr>
                <w:rFonts w:ascii="微软雅黑"/>
                <w:b/>
                <w:spacing w:val="-4"/>
                <w:sz w:val="21"/>
              </w:rPr>
              <w:t>11.2</w:t>
            </w:r>
          </w:p>
        </w:tc>
        <w:tc>
          <w:tcPr>
            <w:tcW w:w="1577" w:type="dxa"/>
          </w:tcPr>
          <w:p>
            <w:pPr>
              <w:pStyle w:val="TableParagraph"/>
              <w:spacing w:before="66"/>
              <w:ind w:left="314"/>
              <w:rPr>
                <w:rFonts w:ascii="Microsoft JhengHei" w:eastAsia="Microsoft JhengHei"/>
                <w:b/>
                <w:sz w:val="21"/>
              </w:rPr>
            </w:pPr>
            <w:r>
              <w:rPr>
                <w:rFonts w:ascii="Microsoft JhengHei" w:eastAsia="Microsoft JhengHei"/>
                <w:b/>
                <w:spacing w:val="-2"/>
                <w:sz w:val="21"/>
              </w:rPr>
              <w:t>保单周年日</w:t>
            </w:r>
          </w:p>
        </w:tc>
        <w:tc>
          <w:tcPr>
            <w:tcW w:w="7444" w:type="dxa"/>
          </w:tcPr>
          <w:p>
            <w:pPr>
              <w:pStyle w:val="TableParagraph"/>
              <w:spacing w:line="278" w:lineRule="auto" w:before="136"/>
              <w:ind w:left="206" w:right="104"/>
              <w:rPr>
                <w:sz w:val="21"/>
              </w:rPr>
            </w:pPr>
            <w:r>
              <w:rPr>
                <w:spacing w:val="-2"/>
                <w:sz w:val="21"/>
              </w:rPr>
              <w:t>指本合同生效日在合同生效后每年的对应日，不含本合同生效日当日。若当月</w:t>
            </w:r>
            <w:r>
              <w:rPr>
                <w:spacing w:val="-2"/>
                <w:sz w:val="21"/>
              </w:rPr>
              <w:t>没有对应的同一日，则以该月最后一日为对应日。</w:t>
            </w:r>
          </w:p>
        </w:tc>
      </w:tr>
      <w:tr>
        <w:trPr>
          <w:trHeight w:val="850" w:hRule="atLeast"/>
        </w:trPr>
        <w:tc>
          <w:tcPr>
            <w:tcW w:w="845" w:type="dxa"/>
          </w:tcPr>
          <w:p>
            <w:pPr>
              <w:pStyle w:val="TableParagraph"/>
              <w:spacing w:before="67"/>
              <w:ind w:left="107"/>
              <w:rPr>
                <w:rFonts w:ascii="微软雅黑"/>
                <w:b/>
                <w:sz w:val="21"/>
              </w:rPr>
            </w:pPr>
            <w:r>
              <w:rPr>
                <w:rFonts w:ascii="微软雅黑"/>
                <w:b/>
                <w:spacing w:val="-4"/>
                <w:sz w:val="21"/>
              </w:rPr>
              <w:t>11.3</w:t>
            </w:r>
          </w:p>
        </w:tc>
        <w:tc>
          <w:tcPr>
            <w:tcW w:w="1577" w:type="dxa"/>
          </w:tcPr>
          <w:p>
            <w:pPr>
              <w:pStyle w:val="TableParagraph"/>
              <w:spacing w:before="65"/>
              <w:ind w:left="314"/>
              <w:rPr>
                <w:rFonts w:ascii="Microsoft JhengHei" w:eastAsia="Microsoft JhengHei"/>
                <w:b/>
                <w:sz w:val="21"/>
              </w:rPr>
            </w:pPr>
            <w:r>
              <w:rPr>
                <w:rFonts w:ascii="Microsoft JhengHei" w:eastAsia="Microsoft JhengHei"/>
                <w:b/>
                <w:spacing w:val="-5"/>
                <w:sz w:val="21"/>
              </w:rPr>
              <w:t>周岁</w:t>
            </w:r>
          </w:p>
        </w:tc>
        <w:tc>
          <w:tcPr>
            <w:tcW w:w="7444" w:type="dxa"/>
          </w:tcPr>
          <w:p>
            <w:pPr>
              <w:pStyle w:val="TableParagraph"/>
              <w:spacing w:line="278" w:lineRule="auto" w:before="134"/>
              <w:ind w:left="206" w:right="110"/>
              <w:rPr>
                <w:sz w:val="21"/>
              </w:rPr>
            </w:pPr>
            <w:r>
              <w:rPr>
                <w:spacing w:val="3"/>
                <w:w w:val="100"/>
                <w:sz w:val="21"/>
              </w:rPr>
              <w:t>指按法定身份证明文件中记载的出生日期计算的年龄，自出生之日起为零周</w:t>
            </w:r>
            <w:r>
              <w:rPr>
                <w:spacing w:val="-3"/>
                <w:w w:val="100"/>
                <w:sz w:val="21"/>
              </w:rPr>
              <w:t>岁，每经过一年增加一岁，不足一年的不计。</w:t>
            </w:r>
          </w:p>
        </w:tc>
      </w:tr>
      <w:tr>
        <w:trPr>
          <w:trHeight w:val="375" w:hRule="atLeast"/>
        </w:trPr>
        <w:tc>
          <w:tcPr>
            <w:tcW w:w="845" w:type="dxa"/>
          </w:tcPr>
          <w:p>
            <w:pPr>
              <w:pStyle w:val="TableParagraph"/>
              <w:spacing w:line="287" w:lineRule="exact" w:before="68"/>
              <w:ind w:left="107"/>
              <w:rPr>
                <w:rFonts w:ascii="微软雅黑"/>
                <w:b/>
                <w:sz w:val="21"/>
              </w:rPr>
            </w:pPr>
            <w:r>
              <w:rPr>
                <w:rFonts w:ascii="微软雅黑"/>
                <w:b/>
                <w:spacing w:val="-4"/>
                <w:w w:val="81"/>
                <w:sz w:val="21"/>
              </w:rPr>
              <w:t>11</w:t>
            </w:r>
            <w:r>
              <w:rPr>
                <w:rFonts w:ascii="微软雅黑"/>
                <w:b/>
                <w:spacing w:val="-4"/>
                <w:w w:val="176"/>
                <w:sz w:val="21"/>
              </w:rPr>
              <w:t>.</w:t>
            </w:r>
            <w:r>
              <w:rPr>
                <w:rFonts w:ascii="微软雅黑"/>
                <w:b/>
                <w:spacing w:val="-4"/>
                <w:w w:val="81"/>
                <w:sz w:val="21"/>
              </w:rPr>
              <w:t>4</w:t>
            </w:r>
          </w:p>
        </w:tc>
        <w:tc>
          <w:tcPr>
            <w:tcW w:w="1577" w:type="dxa"/>
          </w:tcPr>
          <w:p>
            <w:pPr>
              <w:pStyle w:val="TableParagraph"/>
              <w:spacing w:line="289" w:lineRule="exact" w:before="66"/>
              <w:ind w:left="314"/>
              <w:rPr>
                <w:rFonts w:ascii="Microsoft JhengHei" w:eastAsia="Microsoft JhengHei"/>
                <w:b/>
                <w:sz w:val="21"/>
              </w:rPr>
            </w:pPr>
            <w:r>
              <w:rPr>
                <w:rFonts w:ascii="Microsoft JhengHei" w:eastAsia="Microsoft JhengHei"/>
                <w:b/>
                <w:spacing w:val="-2"/>
                <w:sz w:val="21"/>
              </w:rPr>
              <w:t>资产评估日</w:t>
            </w:r>
          </w:p>
        </w:tc>
        <w:tc>
          <w:tcPr>
            <w:tcW w:w="7444" w:type="dxa"/>
          </w:tcPr>
          <w:p>
            <w:pPr>
              <w:pStyle w:val="TableParagraph"/>
              <w:spacing w:line="220" w:lineRule="exact" w:before="136"/>
              <w:ind w:left="206"/>
              <w:rPr>
                <w:sz w:val="21"/>
              </w:rPr>
            </w:pPr>
            <w:r>
              <w:rPr>
                <w:spacing w:val="-3"/>
                <w:sz w:val="21"/>
              </w:rPr>
              <w:t>指我们对投资账户价值进行评估的日期。</w:t>
            </w:r>
          </w:p>
        </w:tc>
      </w:tr>
    </w:tbl>
    <w:p>
      <w:pPr>
        <w:spacing w:after="0" w:line="220" w:lineRule="exact"/>
        <w:rPr>
          <w:sz w:val="21"/>
        </w:rPr>
        <w:sectPr>
          <w:type w:val="continuous"/>
          <w:pgSz w:w="11910" w:h="16840"/>
          <w:pgMar w:top="0" w:bottom="280" w:left="740" w:right="20"/>
        </w:sectPr>
      </w:pPr>
    </w:p>
    <w:p>
      <w:pPr>
        <w:pStyle w:val="ListParagraph"/>
        <w:numPr>
          <w:ilvl w:val="1"/>
          <w:numId w:val="6"/>
        </w:numPr>
        <w:tabs>
          <w:tab w:pos="1439" w:val="left" w:leader="none"/>
          <w:tab w:pos="1440" w:val="left" w:leader="none"/>
          <w:tab w:pos="2908" w:val="left" w:leader="none"/>
        </w:tabs>
        <w:spacing w:line="312" w:lineRule="exact" w:before="5" w:after="0"/>
        <w:ind w:left="2908" w:right="1103" w:hanging="2521"/>
        <w:jc w:val="left"/>
        <w:rPr>
          <w:sz w:val="21"/>
        </w:rPr>
      </w:pPr>
      <w:r>
        <w:rPr>
          <w:rFonts w:ascii="Microsoft JhengHei" w:eastAsia="Microsoft JhengHei"/>
          <w:b/>
          <w:spacing w:val="-4"/>
          <w:sz w:val="21"/>
        </w:rPr>
        <w:t>到</w:t>
      </w:r>
      <w:r>
        <w:rPr>
          <w:rFonts w:ascii="Microsoft JhengHei" w:eastAsia="Microsoft JhengHei"/>
          <w:b/>
          <w:spacing w:val="-4"/>
          <w:sz w:val="21"/>
        </w:rPr>
        <w:t>达</w:t>
      </w:r>
      <w:r>
        <w:rPr>
          <w:rFonts w:ascii="Microsoft JhengHei" w:eastAsia="Microsoft JhengHei"/>
          <w:b/>
          <w:spacing w:val="-4"/>
          <w:sz w:val="21"/>
        </w:rPr>
        <w:t>年</w:t>
      </w:r>
      <w:r>
        <w:rPr>
          <w:rFonts w:ascii="Microsoft JhengHei" w:eastAsia="Microsoft JhengHei"/>
          <w:b/>
          <w:spacing w:val="-4"/>
          <w:sz w:val="21"/>
        </w:rPr>
        <w:t>龄</w:t>
      </w:r>
      <w:r>
        <w:rPr>
          <w:rFonts w:ascii="Microsoft JhengHei" w:eastAsia="Microsoft JhengHei"/>
          <w:b/>
          <w:sz w:val="21"/>
        </w:rPr>
        <w:tab/>
      </w:r>
      <w:r>
        <w:rPr>
          <w:spacing w:val="-2"/>
          <w:sz w:val="21"/>
        </w:rPr>
        <w:t>指</w:t>
      </w:r>
      <w:r>
        <w:rPr>
          <w:spacing w:val="-2"/>
          <w:sz w:val="21"/>
        </w:rPr>
        <w:t>的</w:t>
      </w:r>
      <w:r>
        <w:rPr>
          <w:spacing w:val="-2"/>
          <w:sz w:val="21"/>
        </w:rPr>
        <w:t>是被保险人原始投保</w:t>
      </w:r>
      <w:r>
        <w:rPr>
          <w:spacing w:val="-2"/>
          <w:sz w:val="21"/>
        </w:rPr>
        <w:t>年</w:t>
      </w:r>
      <w:r>
        <w:rPr>
          <w:spacing w:val="-2"/>
          <w:sz w:val="21"/>
        </w:rPr>
        <w:t>龄</w:t>
      </w:r>
      <w:r>
        <w:rPr>
          <w:spacing w:val="-2"/>
          <w:sz w:val="21"/>
        </w:rPr>
        <w:t>，加上当时保单年度数，再减去</w:t>
      </w:r>
      <w:r>
        <w:rPr>
          <w:spacing w:val="-38"/>
          <w:sz w:val="21"/>
        </w:rPr>
        <w:t> </w:t>
      </w:r>
      <w:r>
        <w:rPr>
          <w:spacing w:val="-2"/>
          <w:sz w:val="21"/>
        </w:rPr>
        <w:t>1</w:t>
      </w:r>
      <w:r>
        <w:rPr>
          <w:spacing w:val="-42"/>
          <w:sz w:val="21"/>
        </w:rPr>
        <w:t> </w:t>
      </w:r>
      <w:r>
        <w:rPr>
          <w:spacing w:val="-2"/>
          <w:sz w:val="21"/>
        </w:rPr>
        <w:t>后所得到的年</w:t>
      </w:r>
      <w:r>
        <w:rPr>
          <w:spacing w:val="-6"/>
          <w:sz w:val="21"/>
        </w:rPr>
        <w:t>龄</w:t>
      </w:r>
      <w:r>
        <w:rPr>
          <w:spacing w:val="-6"/>
          <w:sz w:val="21"/>
        </w:rPr>
        <w:t>。</w:t>
      </w:r>
    </w:p>
    <w:p>
      <w:pPr>
        <w:pStyle w:val="BodyText"/>
        <w:spacing w:before="7"/>
        <w:rPr>
          <w:sz w:val="15"/>
        </w:rPr>
      </w:pPr>
    </w:p>
    <w:p>
      <w:pPr>
        <w:pStyle w:val="ListParagraph"/>
        <w:numPr>
          <w:ilvl w:val="1"/>
          <w:numId w:val="6"/>
        </w:numPr>
        <w:tabs>
          <w:tab w:pos="1439" w:val="left" w:leader="none"/>
          <w:tab w:pos="1440" w:val="left" w:leader="none"/>
          <w:tab w:pos="2908" w:val="left" w:leader="none"/>
        </w:tabs>
        <w:spacing w:line="256" w:lineRule="auto" w:before="0" w:after="0"/>
        <w:ind w:left="2908" w:right="996" w:hanging="2521"/>
        <w:jc w:val="left"/>
        <w:rPr>
          <w:sz w:val="21"/>
        </w:rPr>
      </w:pPr>
      <w:r>
        <w:rPr>
          <w:rFonts w:ascii="Microsoft JhengHei" w:eastAsia="Microsoft JhengHei"/>
          <w:b/>
          <w:spacing w:val="-6"/>
          <w:sz w:val="21"/>
        </w:rPr>
        <w:t>毒</w:t>
      </w:r>
      <w:r>
        <w:rPr>
          <w:rFonts w:ascii="Microsoft JhengHei" w:eastAsia="Microsoft JhengHei"/>
          <w:b/>
          <w:spacing w:val="-6"/>
          <w:sz w:val="21"/>
        </w:rPr>
        <w:t>品</w:t>
      </w:r>
      <w:r>
        <w:rPr>
          <w:rFonts w:ascii="Microsoft JhengHei" w:eastAsia="Microsoft JhengHei"/>
          <w:b/>
          <w:sz w:val="21"/>
        </w:rPr>
        <w:tab/>
      </w:r>
      <w:r>
        <w:rPr>
          <w:spacing w:val="-8"/>
          <w:sz w:val="21"/>
        </w:rPr>
        <w:t>指</w:t>
      </w:r>
      <w:r>
        <w:rPr>
          <w:spacing w:val="-8"/>
          <w:sz w:val="21"/>
        </w:rPr>
        <w:t>中</w:t>
      </w:r>
      <w:r>
        <w:rPr>
          <w:spacing w:val="-8"/>
          <w:sz w:val="21"/>
        </w:rPr>
        <w:t>华人民共和国刑法规</w:t>
      </w:r>
      <w:r>
        <w:rPr>
          <w:spacing w:val="-8"/>
          <w:sz w:val="21"/>
        </w:rPr>
        <w:t>定</w:t>
      </w:r>
      <w:r>
        <w:rPr>
          <w:spacing w:val="-8"/>
          <w:sz w:val="21"/>
        </w:rPr>
        <w:t>的</w:t>
      </w:r>
      <w:r>
        <w:rPr>
          <w:spacing w:val="-8"/>
          <w:sz w:val="21"/>
        </w:rPr>
        <w:t>鸦片、海</w:t>
      </w:r>
      <w:r>
        <w:rPr>
          <w:spacing w:val="-8"/>
          <w:sz w:val="21"/>
        </w:rPr>
        <w:t>洛</w:t>
      </w:r>
      <w:r>
        <w:rPr>
          <w:spacing w:val="-8"/>
          <w:sz w:val="21"/>
        </w:rPr>
        <w:t>因</w:t>
      </w:r>
      <w:r>
        <w:rPr>
          <w:spacing w:val="-8"/>
          <w:sz w:val="21"/>
        </w:rPr>
        <w:t>、甲基苯丙胺（冰毒</w:t>
      </w:r>
      <w:r>
        <w:rPr>
          <w:spacing w:val="-106"/>
          <w:sz w:val="21"/>
        </w:rPr>
        <w:t>）</w:t>
      </w:r>
      <w:r>
        <w:rPr>
          <w:spacing w:val="-8"/>
          <w:sz w:val="21"/>
        </w:rPr>
        <w:t>、</w:t>
      </w:r>
      <w:r>
        <w:rPr>
          <w:spacing w:val="-8"/>
          <w:sz w:val="21"/>
        </w:rPr>
        <w:t>吗</w:t>
      </w:r>
      <w:r>
        <w:rPr>
          <w:spacing w:val="-8"/>
          <w:sz w:val="21"/>
        </w:rPr>
        <w:t>啡</w:t>
      </w:r>
      <w:r>
        <w:rPr>
          <w:spacing w:val="-8"/>
          <w:sz w:val="21"/>
        </w:rPr>
        <w:t>、</w:t>
      </w:r>
      <w:r>
        <w:rPr>
          <w:spacing w:val="-8"/>
          <w:sz w:val="21"/>
        </w:rPr>
        <w:t>大</w:t>
      </w:r>
      <w:r>
        <w:rPr>
          <w:spacing w:val="-8"/>
          <w:sz w:val="21"/>
        </w:rPr>
        <w:t>麻</w:t>
      </w:r>
      <w:r>
        <w:rPr>
          <w:spacing w:val="-8"/>
          <w:sz w:val="21"/>
        </w:rPr>
        <w:t>、</w:t>
      </w:r>
      <w:r>
        <w:rPr>
          <w:spacing w:val="-2"/>
          <w:sz w:val="21"/>
        </w:rPr>
        <w:t>可</w:t>
      </w:r>
      <w:r>
        <w:rPr>
          <w:spacing w:val="-2"/>
          <w:sz w:val="21"/>
        </w:rPr>
        <w:t>卡</w:t>
      </w:r>
      <w:r>
        <w:rPr>
          <w:spacing w:val="-2"/>
          <w:sz w:val="21"/>
        </w:rPr>
        <w:t>因以及国家规定管制</w:t>
      </w:r>
      <w:r>
        <w:rPr>
          <w:spacing w:val="-2"/>
          <w:sz w:val="21"/>
        </w:rPr>
        <w:t>的</w:t>
      </w:r>
      <w:r>
        <w:rPr>
          <w:spacing w:val="-2"/>
          <w:sz w:val="21"/>
        </w:rPr>
        <w:t>其</w:t>
      </w:r>
      <w:r>
        <w:rPr>
          <w:spacing w:val="-2"/>
          <w:sz w:val="21"/>
        </w:rPr>
        <w:t>他能够使人形成瘾癖</w:t>
      </w:r>
      <w:r>
        <w:rPr>
          <w:spacing w:val="-2"/>
          <w:sz w:val="21"/>
        </w:rPr>
        <w:t>的</w:t>
      </w:r>
      <w:r>
        <w:rPr>
          <w:spacing w:val="-2"/>
          <w:sz w:val="21"/>
        </w:rPr>
        <w:t>麻</w:t>
      </w:r>
      <w:r>
        <w:rPr>
          <w:spacing w:val="-2"/>
          <w:sz w:val="21"/>
        </w:rPr>
        <w:t>醉药品和精神药品，但</w:t>
      </w:r>
      <w:r>
        <w:rPr>
          <w:spacing w:val="-2"/>
          <w:sz w:val="21"/>
        </w:rPr>
        <w:t>不</w:t>
      </w:r>
      <w:r>
        <w:rPr>
          <w:spacing w:val="-2"/>
          <w:sz w:val="21"/>
        </w:rPr>
        <w:t>包</w:t>
      </w:r>
      <w:r>
        <w:rPr>
          <w:spacing w:val="-2"/>
          <w:sz w:val="21"/>
        </w:rPr>
        <w:t>括由医生开具并遵医</w:t>
      </w:r>
      <w:r>
        <w:rPr>
          <w:spacing w:val="-2"/>
          <w:sz w:val="21"/>
        </w:rPr>
        <w:t>嘱</w:t>
      </w:r>
      <w:r>
        <w:rPr>
          <w:spacing w:val="-2"/>
          <w:sz w:val="21"/>
        </w:rPr>
        <w:t>使</w:t>
      </w:r>
      <w:r>
        <w:rPr>
          <w:spacing w:val="-2"/>
          <w:sz w:val="21"/>
        </w:rPr>
        <w:t>用的用于治疗疾病但</w:t>
      </w:r>
      <w:r>
        <w:rPr>
          <w:spacing w:val="-2"/>
          <w:sz w:val="21"/>
        </w:rPr>
        <w:t>含</w:t>
      </w:r>
      <w:r>
        <w:rPr>
          <w:spacing w:val="-2"/>
          <w:sz w:val="21"/>
        </w:rPr>
        <w:t>有</w:t>
      </w:r>
      <w:r>
        <w:rPr>
          <w:spacing w:val="-2"/>
          <w:sz w:val="21"/>
        </w:rPr>
        <w:t>毒品成分的处方药品。</w:t>
      </w:r>
    </w:p>
    <w:p>
      <w:pPr>
        <w:pStyle w:val="ListParagraph"/>
        <w:numPr>
          <w:ilvl w:val="1"/>
          <w:numId w:val="6"/>
        </w:numPr>
        <w:tabs>
          <w:tab w:pos="1440" w:val="left" w:leader="none"/>
          <w:tab w:pos="2908" w:val="left" w:leader="none"/>
        </w:tabs>
        <w:spacing w:line="256" w:lineRule="auto" w:before="169" w:after="0"/>
        <w:ind w:left="2908" w:right="1104" w:hanging="2521"/>
        <w:jc w:val="both"/>
        <w:rPr>
          <w:sz w:val="21"/>
        </w:rPr>
      </w:pPr>
      <w:r>
        <w:rPr>
          <w:rFonts w:ascii="Microsoft JhengHei" w:eastAsia="Microsoft JhengHei"/>
          <w:b/>
          <w:spacing w:val="-4"/>
          <w:sz w:val="21"/>
        </w:rPr>
        <w:t>酒</w:t>
      </w:r>
      <w:r>
        <w:rPr>
          <w:rFonts w:ascii="Microsoft JhengHei" w:eastAsia="Microsoft JhengHei"/>
          <w:b/>
          <w:spacing w:val="-4"/>
          <w:sz w:val="21"/>
        </w:rPr>
        <w:t>后</w:t>
      </w:r>
      <w:r>
        <w:rPr>
          <w:rFonts w:ascii="Microsoft JhengHei" w:eastAsia="Microsoft JhengHei"/>
          <w:b/>
          <w:spacing w:val="-4"/>
          <w:sz w:val="21"/>
        </w:rPr>
        <w:t>驾</w:t>
      </w:r>
      <w:r>
        <w:rPr>
          <w:rFonts w:ascii="Microsoft JhengHei" w:eastAsia="Microsoft JhengHei"/>
          <w:b/>
          <w:spacing w:val="-4"/>
          <w:sz w:val="21"/>
        </w:rPr>
        <w:t>驶</w:t>
      </w:r>
      <w:r>
        <w:rPr>
          <w:rFonts w:ascii="Microsoft JhengHei" w:eastAsia="Microsoft JhengHei"/>
          <w:b/>
          <w:sz w:val="21"/>
        </w:rPr>
        <w:tab/>
      </w:r>
      <w:r>
        <w:rPr>
          <w:spacing w:val="-2"/>
          <w:sz w:val="21"/>
        </w:rPr>
        <w:t>指</w:t>
      </w:r>
      <w:r>
        <w:rPr>
          <w:spacing w:val="-2"/>
          <w:sz w:val="21"/>
        </w:rPr>
        <w:t>经</w:t>
      </w:r>
      <w:r>
        <w:rPr>
          <w:spacing w:val="-2"/>
          <w:sz w:val="21"/>
        </w:rPr>
        <w:t>检测或鉴定，发生事</w:t>
      </w:r>
      <w:r>
        <w:rPr>
          <w:spacing w:val="-2"/>
          <w:sz w:val="21"/>
        </w:rPr>
        <w:t>故</w:t>
      </w:r>
      <w:r>
        <w:rPr>
          <w:spacing w:val="-2"/>
          <w:sz w:val="21"/>
        </w:rPr>
        <w:t>时</w:t>
      </w:r>
      <w:r>
        <w:rPr>
          <w:spacing w:val="-2"/>
          <w:sz w:val="21"/>
        </w:rPr>
        <w:t>车辆驾驶人员每百毫</w:t>
      </w:r>
      <w:r>
        <w:rPr>
          <w:spacing w:val="-2"/>
          <w:sz w:val="21"/>
        </w:rPr>
        <w:t>升</w:t>
      </w:r>
      <w:r>
        <w:rPr>
          <w:spacing w:val="-2"/>
          <w:sz w:val="21"/>
        </w:rPr>
        <w:t>血</w:t>
      </w:r>
      <w:r>
        <w:rPr>
          <w:spacing w:val="-2"/>
          <w:sz w:val="21"/>
        </w:rPr>
        <w:t>液中的酒精含量达到或</w:t>
      </w:r>
      <w:r>
        <w:rPr>
          <w:spacing w:val="-2"/>
          <w:sz w:val="21"/>
        </w:rPr>
        <w:t>超</w:t>
      </w:r>
      <w:r>
        <w:rPr>
          <w:spacing w:val="-2"/>
          <w:sz w:val="21"/>
        </w:rPr>
        <w:t>过</w:t>
      </w:r>
      <w:r>
        <w:rPr>
          <w:spacing w:val="-2"/>
          <w:sz w:val="21"/>
        </w:rPr>
        <w:t>一定的标准，公安机</w:t>
      </w:r>
      <w:r>
        <w:rPr>
          <w:spacing w:val="-2"/>
          <w:sz w:val="21"/>
        </w:rPr>
        <w:t>关</w:t>
      </w:r>
      <w:r>
        <w:rPr>
          <w:spacing w:val="-2"/>
          <w:sz w:val="21"/>
        </w:rPr>
        <w:t>交</w:t>
      </w:r>
      <w:r>
        <w:rPr>
          <w:spacing w:val="-2"/>
          <w:sz w:val="21"/>
        </w:rPr>
        <w:t>通管理部门依据《道</w:t>
      </w:r>
      <w:r>
        <w:rPr>
          <w:spacing w:val="-2"/>
          <w:sz w:val="21"/>
        </w:rPr>
        <w:t>路</w:t>
      </w:r>
      <w:r>
        <w:rPr>
          <w:spacing w:val="-2"/>
          <w:sz w:val="21"/>
        </w:rPr>
        <w:t>交</w:t>
      </w:r>
      <w:r>
        <w:rPr>
          <w:spacing w:val="-2"/>
          <w:sz w:val="21"/>
        </w:rPr>
        <w:t>通安全法》的规定认定</w:t>
      </w:r>
      <w:r>
        <w:rPr>
          <w:spacing w:val="-2"/>
          <w:sz w:val="21"/>
        </w:rPr>
        <w:t>为</w:t>
      </w:r>
      <w:r>
        <w:rPr>
          <w:spacing w:val="-2"/>
          <w:sz w:val="21"/>
        </w:rPr>
        <w:t>饮</w:t>
      </w:r>
      <w:r>
        <w:rPr>
          <w:spacing w:val="-2"/>
          <w:sz w:val="21"/>
        </w:rPr>
        <w:t>酒后驾驶或醉酒后驾</w:t>
      </w:r>
      <w:r>
        <w:rPr>
          <w:spacing w:val="-2"/>
          <w:sz w:val="21"/>
        </w:rPr>
        <w:t>驶</w:t>
      </w:r>
      <w:r>
        <w:rPr>
          <w:spacing w:val="-2"/>
          <w:sz w:val="21"/>
        </w:rPr>
        <w:t>。</w:t>
      </w:r>
    </w:p>
    <w:p>
      <w:pPr>
        <w:pStyle w:val="BodyText"/>
        <w:spacing w:before="3"/>
        <w:rPr>
          <w:sz w:val="13"/>
        </w:rPr>
      </w:pPr>
    </w:p>
    <w:p>
      <w:pPr>
        <w:spacing w:after="0"/>
        <w:rPr>
          <w:sz w:val="13"/>
        </w:rPr>
        <w:sectPr>
          <w:pgSz w:w="11910" w:h="16840"/>
          <w:pgMar w:top="1320" w:bottom="280" w:left="740" w:right="20"/>
        </w:sectPr>
      </w:pPr>
    </w:p>
    <w:p>
      <w:pPr>
        <w:pStyle w:val="ListParagraph"/>
        <w:numPr>
          <w:ilvl w:val="1"/>
          <w:numId w:val="6"/>
        </w:numPr>
        <w:tabs>
          <w:tab w:pos="1439" w:val="left" w:leader="none"/>
          <w:tab w:pos="1440" w:val="left" w:leader="none"/>
        </w:tabs>
        <w:spacing w:line="192" w:lineRule="auto" w:before="58" w:after="0"/>
        <w:ind w:left="1439" w:right="0" w:hanging="1052"/>
        <w:jc w:val="left"/>
        <w:rPr>
          <w:rFonts w:ascii="Microsoft JhengHei" w:eastAsia="Microsoft JhengHei"/>
          <w:b/>
          <w:sz w:val="21"/>
        </w:rPr>
      </w:pPr>
      <w:r>
        <w:rPr>
          <w:rFonts w:ascii="Microsoft JhengHei" w:eastAsia="Microsoft JhengHei"/>
          <w:b/>
          <w:spacing w:val="36"/>
          <w:sz w:val="21"/>
        </w:rPr>
        <w:t>无有效驾驶</w:t>
      </w:r>
      <w:r>
        <w:rPr>
          <w:rFonts w:ascii="Microsoft JhengHei" w:eastAsia="Microsoft JhengHei"/>
          <w:b/>
          <w:spacing w:val="-4"/>
          <w:sz w:val="21"/>
        </w:rPr>
        <w:t>证驾驶</w:t>
      </w:r>
    </w:p>
    <w:p>
      <w:pPr>
        <w:pStyle w:val="BodyText"/>
        <w:spacing w:before="72"/>
        <w:ind w:left="174"/>
      </w:pPr>
      <w:r>
        <w:rPr/>
        <w:br w:type="column"/>
      </w:r>
      <w:r>
        <w:rPr>
          <w:spacing w:val="-4"/>
        </w:rPr>
        <w:t>指下列情形之一：</w:t>
      </w:r>
    </w:p>
    <w:p>
      <w:pPr>
        <w:pStyle w:val="BodyText"/>
        <w:spacing w:before="43"/>
        <w:ind w:left="174"/>
      </w:pPr>
      <w:r>
        <w:rPr>
          <w:spacing w:val="-3"/>
        </w:rPr>
        <w:t>(一)没有驾驶证驾驶；</w:t>
      </w:r>
    </w:p>
    <w:p>
      <w:pPr>
        <w:pStyle w:val="BodyText"/>
        <w:spacing w:line="278" w:lineRule="auto" w:before="43"/>
        <w:ind w:left="174" w:right="4000"/>
      </w:pPr>
      <w:r>
        <w:rPr>
          <w:spacing w:val="-2"/>
        </w:rPr>
        <w:t>(二)驾驶与驾驶证准驾车型不相符合的车辆； (三)驾驶员持审验不合格的驾驶证驾驶；</w:t>
      </w:r>
    </w:p>
    <w:p>
      <w:pPr>
        <w:pStyle w:val="BodyText"/>
        <w:ind w:left="174"/>
      </w:pPr>
      <w:r>
        <w:rPr>
          <w:spacing w:val="-3"/>
        </w:rPr>
        <w:t>(四)未经公安交通管理部门同意，持未审验的驾驶证驾驶；</w:t>
      </w:r>
    </w:p>
    <w:p>
      <w:pPr>
        <w:pStyle w:val="BodyText"/>
        <w:spacing w:line="278" w:lineRule="auto" w:before="43"/>
        <w:ind w:left="594" w:right="1104" w:hanging="421"/>
      </w:pPr>
      <w:r>
        <w:rPr>
          <w:spacing w:val="-2"/>
        </w:rPr>
        <w:t>(五)持学习驾驶证学习驾车时，无教练员随车指导，或不按指定时间、路线学</w:t>
      </w:r>
      <w:r>
        <w:rPr>
          <w:spacing w:val="-4"/>
        </w:rPr>
        <w:t>习驾车；</w:t>
      </w:r>
    </w:p>
    <w:p>
      <w:pPr>
        <w:pStyle w:val="BodyText"/>
        <w:spacing w:line="269" w:lineRule="exact"/>
        <w:ind w:left="174"/>
      </w:pPr>
      <w:r>
        <w:rPr>
          <w:spacing w:val="-3"/>
        </w:rPr>
        <w:t>(六)公安交通管理部门规定的其他无有效驾驶证驾驶的情况。</w:t>
      </w:r>
    </w:p>
    <w:p>
      <w:pPr>
        <w:spacing w:after="0" w:line="269" w:lineRule="exact"/>
        <w:sectPr>
          <w:type w:val="continuous"/>
          <w:pgSz w:w="11910" w:h="16840"/>
          <w:pgMar w:top="0" w:bottom="280" w:left="740" w:right="20"/>
          <w:cols w:num="2" w:equalWidth="0">
            <w:col w:w="2695" w:space="40"/>
            <w:col w:w="8415"/>
          </w:cols>
        </w:sectPr>
      </w:pPr>
    </w:p>
    <w:p>
      <w:pPr>
        <w:pStyle w:val="BodyText"/>
        <w:spacing w:before="5"/>
        <w:rPr>
          <w:sz w:val="15"/>
        </w:rPr>
      </w:pPr>
    </w:p>
    <w:p>
      <w:pPr>
        <w:spacing w:after="0"/>
        <w:rPr>
          <w:sz w:val="15"/>
        </w:rPr>
        <w:sectPr>
          <w:type w:val="continuous"/>
          <w:pgSz w:w="11910" w:h="16840"/>
          <w:pgMar w:top="0" w:bottom="280" w:left="740" w:right="20"/>
        </w:sectPr>
      </w:pPr>
    </w:p>
    <w:p>
      <w:pPr>
        <w:pStyle w:val="ListParagraph"/>
        <w:numPr>
          <w:ilvl w:val="1"/>
          <w:numId w:val="6"/>
        </w:numPr>
        <w:tabs>
          <w:tab w:pos="1439" w:val="left" w:leader="none"/>
          <w:tab w:pos="1440" w:val="left" w:leader="none"/>
        </w:tabs>
        <w:spacing w:line="192" w:lineRule="auto" w:before="58" w:after="0"/>
        <w:ind w:left="1439" w:right="0" w:hanging="1052"/>
        <w:jc w:val="left"/>
        <w:rPr>
          <w:rFonts w:ascii="Microsoft JhengHei" w:eastAsia="Microsoft JhengHei"/>
          <w:b/>
          <w:sz w:val="21"/>
        </w:rPr>
      </w:pPr>
      <w:r>
        <w:rPr>
          <w:rFonts w:ascii="Microsoft JhengHei" w:eastAsia="Microsoft JhengHei"/>
          <w:b/>
          <w:spacing w:val="36"/>
          <w:sz w:val="21"/>
        </w:rPr>
        <w:t>无有效行驶</w:t>
      </w:r>
      <w:r>
        <w:rPr>
          <w:rFonts w:ascii="Microsoft JhengHei" w:eastAsia="Microsoft JhengHei"/>
          <w:b/>
          <w:spacing w:val="-10"/>
          <w:sz w:val="21"/>
        </w:rPr>
        <w:t>证</w:t>
      </w:r>
    </w:p>
    <w:p>
      <w:pPr>
        <w:pStyle w:val="BodyText"/>
        <w:spacing w:before="71"/>
        <w:ind w:left="174"/>
      </w:pPr>
      <w:r>
        <w:rPr/>
        <w:br w:type="column"/>
      </w:r>
      <w:r>
        <w:rPr>
          <w:spacing w:val="-4"/>
        </w:rPr>
        <w:t>指下列情形之一：</w:t>
      </w:r>
    </w:p>
    <w:p>
      <w:pPr>
        <w:pStyle w:val="BodyText"/>
        <w:spacing w:before="43"/>
        <w:ind w:left="174"/>
      </w:pPr>
      <w:r>
        <w:rPr>
          <w:spacing w:val="-3"/>
        </w:rPr>
        <w:t>(一)没有机动车行驶证；</w:t>
      </w:r>
    </w:p>
    <w:p>
      <w:pPr>
        <w:pStyle w:val="BodyText"/>
        <w:spacing w:before="43"/>
        <w:ind w:left="174"/>
      </w:pPr>
      <w:r>
        <w:rPr>
          <w:spacing w:val="-3"/>
        </w:rPr>
        <w:t>(二)未在法律规定期限内按时进行或通过安全技术检验。</w:t>
      </w:r>
    </w:p>
    <w:p>
      <w:pPr>
        <w:spacing w:after="0"/>
        <w:sectPr>
          <w:type w:val="continuous"/>
          <w:pgSz w:w="11910" w:h="16840"/>
          <w:pgMar w:top="0" w:bottom="280" w:left="740" w:right="20"/>
          <w:cols w:num="2" w:equalWidth="0">
            <w:col w:w="2695" w:space="40"/>
            <w:col w:w="8415"/>
          </w:cols>
        </w:sectPr>
      </w:pPr>
    </w:p>
    <w:p>
      <w:pPr>
        <w:pStyle w:val="BodyText"/>
        <w:spacing w:before="7"/>
        <w:rPr>
          <w:sz w:val="15"/>
        </w:rPr>
      </w:pPr>
    </w:p>
    <w:p>
      <w:pPr>
        <w:pStyle w:val="ListParagraph"/>
        <w:numPr>
          <w:ilvl w:val="1"/>
          <w:numId w:val="6"/>
        </w:numPr>
        <w:tabs>
          <w:tab w:pos="1439" w:val="left" w:leader="none"/>
          <w:tab w:pos="1440" w:val="left" w:leader="none"/>
          <w:tab w:pos="2908" w:val="left" w:leader="none"/>
        </w:tabs>
        <w:spacing w:line="235" w:lineRule="auto" w:before="8" w:after="0"/>
        <w:ind w:left="2908" w:right="1104" w:hanging="2521"/>
        <w:jc w:val="left"/>
        <w:rPr>
          <w:sz w:val="21"/>
        </w:rPr>
      </w:pPr>
      <w:r>
        <w:rPr>
          <w:rFonts w:ascii="Microsoft JhengHei" w:eastAsia="Microsoft JhengHei"/>
          <w:b/>
          <w:spacing w:val="-4"/>
          <w:sz w:val="21"/>
        </w:rPr>
        <w:t>机</w:t>
      </w:r>
      <w:r>
        <w:rPr>
          <w:rFonts w:ascii="Microsoft JhengHei" w:eastAsia="Microsoft JhengHei"/>
          <w:b/>
          <w:spacing w:val="-4"/>
          <w:sz w:val="21"/>
        </w:rPr>
        <w:t>动</w:t>
      </w:r>
      <w:r>
        <w:rPr>
          <w:rFonts w:ascii="Microsoft JhengHei" w:eastAsia="Microsoft JhengHei"/>
          <w:b/>
          <w:spacing w:val="-4"/>
          <w:sz w:val="21"/>
        </w:rPr>
        <w:t>车</w:t>
      </w:r>
      <w:r>
        <w:rPr>
          <w:rFonts w:ascii="Microsoft JhengHei" w:eastAsia="Microsoft JhengHei"/>
          <w:b/>
          <w:sz w:val="21"/>
        </w:rPr>
        <w:tab/>
      </w:r>
      <w:r>
        <w:rPr>
          <w:spacing w:val="-2"/>
          <w:sz w:val="21"/>
        </w:rPr>
        <w:t>是</w:t>
      </w:r>
      <w:r>
        <w:rPr>
          <w:spacing w:val="-2"/>
          <w:sz w:val="21"/>
        </w:rPr>
        <w:t>指</w:t>
      </w:r>
      <w:r>
        <w:rPr>
          <w:spacing w:val="-2"/>
          <w:sz w:val="21"/>
        </w:rPr>
        <w:t>以动力装置驱动或者</w:t>
      </w:r>
      <w:r>
        <w:rPr>
          <w:spacing w:val="-2"/>
          <w:sz w:val="21"/>
        </w:rPr>
        <w:t>牵</w:t>
      </w:r>
      <w:r>
        <w:rPr>
          <w:spacing w:val="-2"/>
          <w:sz w:val="21"/>
        </w:rPr>
        <w:t>引</w:t>
      </w:r>
      <w:r>
        <w:rPr>
          <w:spacing w:val="-2"/>
          <w:sz w:val="21"/>
        </w:rPr>
        <w:t>，上道路行驶的供人</w:t>
      </w:r>
      <w:r>
        <w:rPr>
          <w:spacing w:val="-2"/>
          <w:sz w:val="21"/>
        </w:rPr>
        <w:t>员</w:t>
      </w:r>
      <w:r>
        <w:rPr>
          <w:spacing w:val="-2"/>
          <w:sz w:val="21"/>
        </w:rPr>
        <w:t>乘</w:t>
      </w:r>
      <w:r>
        <w:rPr>
          <w:spacing w:val="-2"/>
          <w:sz w:val="21"/>
        </w:rPr>
        <w:t>用或者用于运送物品以</w:t>
      </w:r>
      <w:r>
        <w:rPr>
          <w:spacing w:val="-2"/>
          <w:sz w:val="21"/>
        </w:rPr>
        <w:t>及</w:t>
      </w:r>
      <w:r>
        <w:rPr>
          <w:spacing w:val="-2"/>
          <w:sz w:val="21"/>
        </w:rPr>
        <w:t>进</w:t>
      </w:r>
      <w:r>
        <w:rPr>
          <w:spacing w:val="-2"/>
          <w:sz w:val="21"/>
        </w:rPr>
        <w:t>行工程专项作业的的</w:t>
      </w:r>
      <w:r>
        <w:rPr>
          <w:spacing w:val="-2"/>
          <w:sz w:val="21"/>
        </w:rPr>
        <w:t>四</w:t>
      </w:r>
      <w:r>
        <w:rPr>
          <w:spacing w:val="-2"/>
          <w:sz w:val="21"/>
        </w:rPr>
        <w:t>轮</w:t>
      </w:r>
      <w:r>
        <w:rPr>
          <w:spacing w:val="-2"/>
          <w:sz w:val="21"/>
        </w:rPr>
        <w:t>及四轮以上轮式车辆。</w:t>
      </w:r>
    </w:p>
    <w:p>
      <w:pPr>
        <w:pStyle w:val="BodyText"/>
        <w:spacing w:before="10"/>
        <w:rPr>
          <w:sz w:val="15"/>
        </w:rPr>
      </w:pPr>
    </w:p>
    <w:p>
      <w:pPr>
        <w:pStyle w:val="ListParagraph"/>
        <w:numPr>
          <w:ilvl w:val="1"/>
          <w:numId w:val="6"/>
        </w:numPr>
        <w:tabs>
          <w:tab w:pos="1439" w:val="left" w:leader="none"/>
          <w:tab w:pos="1440" w:val="left" w:leader="none"/>
          <w:tab w:pos="2908" w:val="left" w:leader="none"/>
        </w:tabs>
        <w:spacing w:line="240" w:lineRule="auto" w:before="0" w:after="0"/>
        <w:ind w:left="1439" w:right="0" w:hanging="1052"/>
        <w:jc w:val="left"/>
        <w:rPr>
          <w:sz w:val="21"/>
        </w:rPr>
      </w:pPr>
      <w:r>
        <w:rPr>
          <w:rFonts w:ascii="Microsoft JhengHei" w:eastAsia="Microsoft JhengHei"/>
          <w:b/>
          <w:sz w:val="21"/>
        </w:rPr>
        <w:t>现金价</w:t>
      </w:r>
      <w:r>
        <w:rPr>
          <w:rFonts w:ascii="Microsoft JhengHei" w:eastAsia="Microsoft JhengHei"/>
          <w:b/>
          <w:spacing w:val="-10"/>
          <w:sz w:val="21"/>
        </w:rPr>
        <w:t>值</w:t>
      </w:r>
      <w:r>
        <w:rPr>
          <w:rFonts w:ascii="Microsoft JhengHei" w:eastAsia="Microsoft JhengHei"/>
          <w:b/>
          <w:sz w:val="21"/>
        </w:rPr>
        <w:tab/>
      </w:r>
      <w:r>
        <w:rPr>
          <w:spacing w:val="-2"/>
          <w:sz w:val="21"/>
        </w:rPr>
        <w:t>本</w:t>
      </w:r>
      <w:r>
        <w:rPr>
          <w:spacing w:val="-2"/>
          <w:sz w:val="21"/>
        </w:rPr>
        <w:t>合</w:t>
      </w:r>
      <w:r>
        <w:rPr>
          <w:spacing w:val="-2"/>
          <w:sz w:val="21"/>
        </w:rPr>
        <w:t>同的保单账户价值与</w:t>
      </w:r>
      <w:r>
        <w:rPr>
          <w:spacing w:val="-2"/>
          <w:sz w:val="21"/>
        </w:rPr>
        <w:t>退</w:t>
      </w:r>
      <w:r>
        <w:rPr>
          <w:spacing w:val="-2"/>
          <w:sz w:val="21"/>
        </w:rPr>
        <w:t>保</w:t>
      </w:r>
      <w:r>
        <w:rPr>
          <w:spacing w:val="-2"/>
          <w:sz w:val="21"/>
        </w:rPr>
        <w:t>费用之间的差额</w:t>
      </w:r>
      <w:r>
        <w:rPr>
          <w:spacing w:val="-10"/>
          <w:sz w:val="21"/>
        </w:rPr>
        <w:t>。</w:t>
      </w:r>
    </w:p>
    <w:p>
      <w:pPr>
        <w:pStyle w:val="ListParagraph"/>
        <w:numPr>
          <w:ilvl w:val="1"/>
          <w:numId w:val="6"/>
        </w:numPr>
        <w:tabs>
          <w:tab w:pos="1439" w:val="left" w:leader="none"/>
          <w:tab w:pos="1440" w:val="left" w:leader="none"/>
          <w:tab w:pos="2908" w:val="left" w:leader="none"/>
        </w:tabs>
        <w:spacing w:line="240" w:lineRule="auto" w:before="148" w:after="0"/>
        <w:ind w:left="1439" w:right="0" w:hanging="1052"/>
        <w:jc w:val="left"/>
        <w:rPr>
          <w:sz w:val="21"/>
        </w:rPr>
      </w:pPr>
      <w:r>
        <w:rPr>
          <w:rFonts w:ascii="Microsoft JhengHei" w:eastAsia="Microsoft JhengHei"/>
          <w:b/>
          <w:sz w:val="21"/>
        </w:rPr>
        <w:t>扣除</w:t>
      </w:r>
      <w:r>
        <w:rPr>
          <w:rFonts w:ascii="Microsoft JhengHei" w:eastAsia="Microsoft JhengHei"/>
          <w:b/>
          <w:spacing w:val="-10"/>
          <w:sz w:val="21"/>
        </w:rPr>
        <w:t>日</w:t>
      </w:r>
      <w:r>
        <w:rPr>
          <w:rFonts w:ascii="Microsoft JhengHei" w:eastAsia="Microsoft JhengHei"/>
          <w:b/>
          <w:sz w:val="21"/>
        </w:rPr>
        <w:tab/>
      </w:r>
      <w:r>
        <w:rPr>
          <w:spacing w:val="-2"/>
          <w:sz w:val="21"/>
        </w:rPr>
        <w:t>指</w:t>
      </w:r>
      <w:r>
        <w:rPr>
          <w:spacing w:val="-2"/>
          <w:sz w:val="21"/>
        </w:rPr>
        <w:t>犹</w:t>
      </w:r>
      <w:r>
        <w:rPr>
          <w:spacing w:val="-2"/>
          <w:sz w:val="21"/>
        </w:rPr>
        <w:t>豫期后的每月第</w:t>
      </w:r>
      <w:r>
        <w:rPr>
          <w:spacing w:val="-50"/>
          <w:sz w:val="21"/>
        </w:rPr>
        <w:t> </w:t>
      </w:r>
      <w:r>
        <w:rPr>
          <w:spacing w:val="-2"/>
          <w:sz w:val="21"/>
        </w:rPr>
        <w:t>1</w:t>
      </w:r>
      <w:r>
        <w:rPr>
          <w:spacing w:val="-47"/>
          <w:sz w:val="21"/>
        </w:rPr>
        <w:t> </w:t>
      </w:r>
      <w:r>
        <w:rPr>
          <w:spacing w:val="-2"/>
          <w:sz w:val="21"/>
        </w:rPr>
        <w:t>个</w:t>
      </w:r>
      <w:r>
        <w:rPr>
          <w:spacing w:val="-2"/>
          <w:sz w:val="21"/>
        </w:rPr>
        <w:t>资</w:t>
      </w:r>
      <w:r>
        <w:rPr>
          <w:spacing w:val="-2"/>
          <w:sz w:val="21"/>
        </w:rPr>
        <w:t>产</w:t>
      </w:r>
      <w:r>
        <w:rPr>
          <w:spacing w:val="-2"/>
          <w:sz w:val="21"/>
        </w:rPr>
        <w:t>评估日</w:t>
      </w:r>
      <w:r>
        <w:rPr>
          <w:spacing w:val="-10"/>
          <w:sz w:val="21"/>
        </w:rPr>
        <w:t>。</w:t>
      </w:r>
    </w:p>
    <w:p>
      <w:pPr>
        <w:pStyle w:val="BodyText"/>
        <w:spacing w:before="8"/>
        <w:rPr>
          <w:sz w:val="11"/>
        </w:rPr>
      </w:pPr>
    </w:p>
    <w:p>
      <w:pPr>
        <w:spacing w:after="0"/>
        <w:rPr>
          <w:sz w:val="11"/>
        </w:rPr>
        <w:sectPr>
          <w:type w:val="continuous"/>
          <w:pgSz w:w="11910" w:h="16840"/>
          <w:pgMar w:top="0" w:bottom="280" w:left="740" w:right="20"/>
        </w:sectPr>
      </w:pPr>
    </w:p>
    <w:p>
      <w:pPr>
        <w:pStyle w:val="ListParagraph"/>
        <w:numPr>
          <w:ilvl w:val="1"/>
          <w:numId w:val="6"/>
        </w:numPr>
        <w:tabs>
          <w:tab w:pos="1439" w:val="left" w:leader="none"/>
          <w:tab w:pos="1440" w:val="left" w:leader="none"/>
        </w:tabs>
        <w:spacing w:line="192" w:lineRule="auto" w:before="57" w:after="0"/>
        <w:ind w:left="1439" w:right="0" w:hanging="1052"/>
        <w:jc w:val="left"/>
        <w:rPr>
          <w:rFonts w:ascii="Microsoft JhengHei" w:eastAsia="Microsoft JhengHei"/>
          <w:b/>
          <w:sz w:val="21"/>
        </w:rPr>
      </w:pPr>
      <w:r>
        <w:rPr>
          <w:rFonts w:ascii="Microsoft JhengHei" w:eastAsia="Microsoft JhengHei"/>
          <w:b/>
          <w:spacing w:val="36"/>
          <w:sz w:val="21"/>
        </w:rPr>
        <w:t>有效身份证</w:t>
      </w:r>
      <w:r>
        <w:rPr>
          <w:rFonts w:ascii="Microsoft JhengHei" w:eastAsia="Microsoft JhengHei"/>
          <w:b/>
          <w:spacing w:val="-10"/>
          <w:sz w:val="21"/>
        </w:rPr>
        <w:t>件</w:t>
      </w:r>
    </w:p>
    <w:p>
      <w:pPr>
        <w:pStyle w:val="BodyText"/>
        <w:spacing w:line="278" w:lineRule="auto" w:before="71"/>
        <w:ind w:left="174" w:right="1104"/>
      </w:pPr>
      <w:r>
        <w:rPr/>
        <w:br w:type="column"/>
      </w:r>
      <w:r>
        <w:rPr>
          <w:spacing w:val="-2"/>
        </w:rPr>
        <w:t>指由政府主管部门规定的证明其身份的证件，如：居民身份证、按规定可使用</w:t>
      </w:r>
      <w:r>
        <w:rPr>
          <w:spacing w:val="-2"/>
        </w:rPr>
        <w:t>的有效护照、军官证、警官证、士兵证、户口簿等证件。</w:t>
      </w:r>
    </w:p>
    <w:p>
      <w:pPr>
        <w:spacing w:after="0" w:line="278" w:lineRule="auto"/>
        <w:sectPr>
          <w:type w:val="continuous"/>
          <w:pgSz w:w="11910" w:h="16840"/>
          <w:pgMar w:top="0" w:bottom="280" w:left="740" w:right="20"/>
          <w:cols w:num="2" w:equalWidth="0">
            <w:col w:w="2695" w:space="40"/>
            <w:col w:w="8415"/>
          </w:cols>
        </w:sectPr>
      </w:pPr>
    </w:p>
    <w:p>
      <w:pPr>
        <w:pStyle w:val="BodyText"/>
        <w:rPr>
          <w:sz w:val="12"/>
        </w:rPr>
      </w:pPr>
    </w:p>
    <w:p>
      <w:pPr>
        <w:pStyle w:val="ListParagraph"/>
        <w:numPr>
          <w:ilvl w:val="1"/>
          <w:numId w:val="6"/>
        </w:numPr>
        <w:tabs>
          <w:tab w:pos="1440" w:val="left" w:leader="none"/>
          <w:tab w:pos="2908" w:val="left" w:leader="none"/>
        </w:tabs>
        <w:spacing w:line="256" w:lineRule="auto" w:before="3" w:after="0"/>
        <w:ind w:left="2908" w:right="1104" w:hanging="2521"/>
        <w:jc w:val="both"/>
        <w:rPr>
          <w:sz w:val="21"/>
        </w:rPr>
      </w:pPr>
      <w:r>
        <w:rPr>
          <w:rFonts w:ascii="Microsoft JhengHei" w:eastAsia="Microsoft JhengHei"/>
          <w:b/>
          <w:spacing w:val="-4"/>
          <w:sz w:val="21"/>
        </w:rPr>
        <w:t>医</w:t>
      </w:r>
      <w:r>
        <w:rPr>
          <w:rFonts w:ascii="Microsoft JhengHei" w:eastAsia="Microsoft JhengHei"/>
          <w:b/>
          <w:spacing w:val="-4"/>
          <w:sz w:val="21"/>
        </w:rPr>
        <w:t>疗</w:t>
      </w:r>
      <w:r>
        <w:rPr>
          <w:rFonts w:ascii="Microsoft JhengHei" w:eastAsia="Microsoft JhengHei"/>
          <w:b/>
          <w:spacing w:val="-4"/>
          <w:sz w:val="21"/>
        </w:rPr>
        <w:t>机</w:t>
      </w:r>
      <w:r>
        <w:rPr>
          <w:rFonts w:ascii="Microsoft JhengHei" w:eastAsia="Microsoft JhengHei"/>
          <w:b/>
          <w:spacing w:val="-4"/>
          <w:sz w:val="21"/>
        </w:rPr>
        <w:t>构</w:t>
      </w:r>
      <w:r>
        <w:rPr>
          <w:rFonts w:ascii="Microsoft JhengHei" w:eastAsia="Microsoft JhengHei"/>
          <w:b/>
          <w:sz w:val="21"/>
        </w:rPr>
        <w:tab/>
      </w:r>
      <w:r>
        <w:rPr>
          <w:spacing w:val="-2"/>
          <w:sz w:val="21"/>
        </w:rPr>
        <w:t>指</w:t>
      </w:r>
      <w:r>
        <w:rPr>
          <w:spacing w:val="-2"/>
          <w:sz w:val="21"/>
        </w:rPr>
        <w:t>经</w:t>
      </w:r>
      <w:r>
        <w:rPr>
          <w:spacing w:val="-2"/>
          <w:sz w:val="21"/>
        </w:rPr>
        <w:t>中华人民共和国卫生</w:t>
      </w:r>
      <w:r>
        <w:rPr>
          <w:spacing w:val="-2"/>
          <w:sz w:val="21"/>
        </w:rPr>
        <w:t>部</w:t>
      </w:r>
      <w:r>
        <w:rPr>
          <w:spacing w:val="-2"/>
          <w:sz w:val="21"/>
        </w:rPr>
        <w:t>门</w:t>
      </w:r>
      <w:r>
        <w:rPr>
          <w:spacing w:val="-2"/>
          <w:sz w:val="21"/>
        </w:rPr>
        <w:t>正式评定的二级或以</w:t>
      </w:r>
      <w:r>
        <w:rPr>
          <w:spacing w:val="-2"/>
          <w:sz w:val="21"/>
        </w:rPr>
        <w:t>上</w:t>
      </w:r>
      <w:r>
        <w:rPr>
          <w:spacing w:val="-2"/>
          <w:sz w:val="21"/>
        </w:rPr>
        <w:t>之</w:t>
      </w:r>
      <w:r>
        <w:rPr>
          <w:spacing w:val="-2"/>
          <w:sz w:val="21"/>
        </w:rPr>
        <w:t>公立医院，但不包括上</w:t>
      </w:r>
      <w:r>
        <w:rPr>
          <w:spacing w:val="-2"/>
          <w:sz w:val="21"/>
        </w:rPr>
        <w:t>述</w:t>
      </w:r>
      <w:r>
        <w:rPr>
          <w:spacing w:val="-2"/>
          <w:sz w:val="21"/>
        </w:rPr>
        <w:t>医</w:t>
      </w:r>
      <w:r>
        <w:rPr>
          <w:spacing w:val="-2"/>
          <w:sz w:val="21"/>
        </w:rPr>
        <w:t>院的分院、联合病房</w:t>
      </w:r>
      <w:r>
        <w:rPr>
          <w:spacing w:val="-2"/>
          <w:sz w:val="21"/>
        </w:rPr>
        <w:t>或</w:t>
      </w:r>
      <w:r>
        <w:rPr>
          <w:spacing w:val="-2"/>
          <w:sz w:val="21"/>
        </w:rPr>
        <w:t>联</w:t>
      </w:r>
      <w:r>
        <w:rPr>
          <w:spacing w:val="-2"/>
          <w:sz w:val="21"/>
        </w:rPr>
        <w:t>合病床，精神病院，</w:t>
      </w:r>
      <w:r>
        <w:rPr>
          <w:spacing w:val="-2"/>
          <w:sz w:val="21"/>
        </w:rPr>
        <w:t>专</w:t>
      </w:r>
      <w:r>
        <w:rPr>
          <w:spacing w:val="-2"/>
          <w:sz w:val="21"/>
        </w:rPr>
        <w:t>供</w:t>
      </w:r>
      <w:r>
        <w:rPr>
          <w:spacing w:val="-2"/>
          <w:sz w:val="21"/>
        </w:rPr>
        <w:t>康复、休养、戒毒、戒</w:t>
      </w:r>
      <w:r>
        <w:rPr>
          <w:spacing w:val="-2"/>
          <w:sz w:val="21"/>
        </w:rPr>
        <w:t>酒</w:t>
      </w:r>
      <w:r>
        <w:rPr>
          <w:spacing w:val="-2"/>
          <w:sz w:val="21"/>
        </w:rPr>
        <w:t>、</w:t>
      </w:r>
      <w:r>
        <w:rPr>
          <w:spacing w:val="-2"/>
          <w:sz w:val="21"/>
        </w:rPr>
        <w:t>护理、养老等非以直</w:t>
      </w:r>
      <w:r>
        <w:rPr>
          <w:spacing w:val="-2"/>
          <w:sz w:val="21"/>
        </w:rPr>
        <w:t>接</w:t>
      </w:r>
      <w:r>
        <w:rPr>
          <w:spacing w:val="-2"/>
          <w:sz w:val="21"/>
        </w:rPr>
        <w:t>诊</w:t>
      </w:r>
      <w:r>
        <w:rPr>
          <w:spacing w:val="-2"/>
          <w:sz w:val="21"/>
        </w:rPr>
        <w:t>治病人为目的之医疗</w:t>
      </w:r>
      <w:r>
        <w:rPr>
          <w:spacing w:val="-2"/>
          <w:sz w:val="21"/>
        </w:rPr>
        <w:t>机</w:t>
      </w:r>
      <w:r>
        <w:rPr>
          <w:spacing w:val="-2"/>
          <w:sz w:val="21"/>
        </w:rPr>
        <w:t>构</w:t>
      </w:r>
      <w:r>
        <w:rPr>
          <w:spacing w:val="-2"/>
          <w:sz w:val="21"/>
        </w:rPr>
        <w:t>。</w:t>
      </w:r>
    </w:p>
    <w:p>
      <w:pPr>
        <w:pStyle w:val="ListParagraph"/>
        <w:numPr>
          <w:ilvl w:val="1"/>
          <w:numId w:val="6"/>
        </w:numPr>
        <w:tabs>
          <w:tab w:pos="1440" w:val="left" w:leader="none"/>
          <w:tab w:pos="2908" w:val="left" w:leader="none"/>
        </w:tabs>
        <w:spacing w:line="256" w:lineRule="auto" w:before="171" w:after="0"/>
        <w:ind w:left="2908" w:right="1104" w:hanging="2521"/>
        <w:jc w:val="both"/>
        <w:rPr>
          <w:sz w:val="21"/>
        </w:rPr>
      </w:pPr>
      <w:r>
        <w:rPr>
          <w:rFonts w:ascii="Microsoft JhengHei" w:eastAsia="Microsoft JhengHei"/>
          <w:b/>
          <w:spacing w:val="-6"/>
          <w:sz w:val="21"/>
        </w:rPr>
        <w:t>交</w:t>
      </w:r>
      <w:r>
        <w:rPr>
          <w:rFonts w:ascii="Microsoft JhengHei" w:eastAsia="Microsoft JhengHei"/>
          <w:b/>
          <w:spacing w:val="-6"/>
          <w:sz w:val="21"/>
        </w:rPr>
        <w:t>易</w:t>
      </w:r>
      <w:r>
        <w:rPr>
          <w:rFonts w:ascii="Microsoft JhengHei" w:eastAsia="Microsoft JhengHei"/>
          <w:b/>
          <w:sz w:val="21"/>
        </w:rPr>
        <w:tab/>
      </w:r>
      <w:r>
        <w:rPr>
          <w:spacing w:val="-2"/>
          <w:sz w:val="21"/>
        </w:rPr>
        <w:t>指</w:t>
      </w:r>
      <w:r>
        <w:rPr>
          <w:spacing w:val="-2"/>
          <w:sz w:val="21"/>
        </w:rPr>
        <w:t>由</w:t>
      </w:r>
      <w:r>
        <w:rPr>
          <w:spacing w:val="-2"/>
          <w:sz w:val="21"/>
        </w:rPr>
        <w:t>于保险费分配、投资</w:t>
      </w:r>
      <w:r>
        <w:rPr>
          <w:spacing w:val="-2"/>
          <w:sz w:val="21"/>
        </w:rPr>
        <w:t>账</w:t>
      </w:r>
      <w:r>
        <w:rPr>
          <w:spacing w:val="-2"/>
          <w:sz w:val="21"/>
        </w:rPr>
        <w:t>户</w:t>
      </w:r>
      <w:r>
        <w:rPr>
          <w:spacing w:val="-2"/>
          <w:sz w:val="21"/>
        </w:rPr>
        <w:t>转换所导致的购买投</w:t>
      </w:r>
      <w:r>
        <w:rPr>
          <w:spacing w:val="-2"/>
          <w:sz w:val="21"/>
        </w:rPr>
        <w:t>资</w:t>
      </w:r>
      <w:r>
        <w:rPr>
          <w:spacing w:val="-2"/>
          <w:sz w:val="21"/>
        </w:rPr>
        <w:t>账</w:t>
      </w:r>
      <w:r>
        <w:rPr>
          <w:spacing w:val="-2"/>
          <w:sz w:val="21"/>
        </w:rPr>
        <w:t>户投资单位或由于保险</w:t>
      </w:r>
      <w:r>
        <w:rPr>
          <w:spacing w:val="-2"/>
          <w:sz w:val="21"/>
        </w:rPr>
        <w:t>金</w:t>
      </w:r>
      <w:r>
        <w:rPr>
          <w:spacing w:val="-2"/>
          <w:sz w:val="21"/>
        </w:rPr>
        <w:t>领</w:t>
      </w:r>
      <w:r>
        <w:rPr>
          <w:spacing w:val="-2"/>
          <w:sz w:val="21"/>
        </w:rPr>
        <w:t>取、部分领取、解除</w:t>
      </w:r>
      <w:r>
        <w:rPr>
          <w:spacing w:val="-2"/>
          <w:sz w:val="21"/>
        </w:rPr>
        <w:t>合</w:t>
      </w:r>
      <w:r>
        <w:rPr>
          <w:spacing w:val="-2"/>
          <w:sz w:val="21"/>
        </w:rPr>
        <w:t>同</w:t>
      </w:r>
      <w:r>
        <w:rPr>
          <w:spacing w:val="-2"/>
          <w:sz w:val="21"/>
        </w:rPr>
        <w:t>、投资账户转换等所</w:t>
      </w:r>
      <w:r>
        <w:rPr>
          <w:spacing w:val="-2"/>
          <w:sz w:val="21"/>
        </w:rPr>
        <w:t>导</w:t>
      </w:r>
      <w:r>
        <w:rPr>
          <w:spacing w:val="-2"/>
          <w:sz w:val="21"/>
        </w:rPr>
        <w:t>致</w:t>
      </w:r>
      <w:r>
        <w:rPr>
          <w:spacing w:val="-2"/>
          <w:sz w:val="21"/>
        </w:rPr>
        <w:t>的卖出投资账户投资单</w:t>
      </w:r>
      <w:r>
        <w:rPr>
          <w:spacing w:val="-2"/>
          <w:sz w:val="21"/>
        </w:rPr>
        <w:t>位</w:t>
      </w:r>
      <w:r>
        <w:rPr>
          <w:spacing w:val="-2"/>
          <w:sz w:val="21"/>
        </w:rPr>
        <w:t>时</w:t>
      </w:r>
      <w:r>
        <w:rPr>
          <w:spacing w:val="-2"/>
          <w:sz w:val="21"/>
        </w:rPr>
        <w:t>，在资产评估日发生</w:t>
      </w:r>
      <w:r>
        <w:rPr>
          <w:spacing w:val="-2"/>
          <w:sz w:val="21"/>
        </w:rPr>
        <w:t>的</w:t>
      </w:r>
      <w:r>
        <w:rPr>
          <w:spacing w:val="-2"/>
          <w:sz w:val="21"/>
        </w:rPr>
        <w:t>投</w:t>
      </w:r>
      <w:r>
        <w:rPr>
          <w:spacing w:val="-2"/>
          <w:sz w:val="21"/>
        </w:rPr>
        <w:t>资账户投资单位的买</w:t>
      </w:r>
      <w:r>
        <w:rPr>
          <w:spacing w:val="-2"/>
          <w:sz w:val="21"/>
        </w:rPr>
        <w:t>卖</w:t>
      </w:r>
      <w:r>
        <w:rPr>
          <w:spacing w:val="-2"/>
          <w:sz w:val="21"/>
        </w:rPr>
        <w:t>。</w:t>
      </w:r>
    </w:p>
    <w:p>
      <w:pPr>
        <w:pStyle w:val="BodyText"/>
        <w:spacing w:before="2"/>
        <w:rPr>
          <w:sz w:val="13"/>
        </w:rPr>
      </w:pPr>
    </w:p>
    <w:p>
      <w:pPr>
        <w:spacing w:after="0"/>
        <w:rPr>
          <w:sz w:val="13"/>
        </w:rPr>
        <w:sectPr>
          <w:type w:val="continuous"/>
          <w:pgSz w:w="11910" w:h="16840"/>
          <w:pgMar w:top="0" w:bottom="280" w:left="740" w:right="20"/>
        </w:sectPr>
      </w:pPr>
    </w:p>
    <w:p>
      <w:pPr>
        <w:pStyle w:val="ListParagraph"/>
        <w:numPr>
          <w:ilvl w:val="1"/>
          <w:numId w:val="6"/>
        </w:numPr>
        <w:tabs>
          <w:tab w:pos="1439" w:val="left" w:leader="none"/>
          <w:tab w:pos="1440" w:val="left" w:leader="none"/>
        </w:tabs>
        <w:spacing w:line="192" w:lineRule="auto" w:before="57" w:after="0"/>
        <w:ind w:left="1439" w:right="0" w:hanging="1052"/>
        <w:jc w:val="left"/>
        <w:rPr>
          <w:rFonts w:ascii="Microsoft JhengHei" w:eastAsia="Microsoft JhengHei"/>
          <w:b/>
          <w:sz w:val="21"/>
        </w:rPr>
      </w:pPr>
      <w:r>
        <w:rPr>
          <w:rFonts w:ascii="Microsoft JhengHei" w:eastAsia="Microsoft JhengHei"/>
          <w:b/>
          <w:spacing w:val="-2"/>
          <w:sz w:val="21"/>
        </w:rPr>
        <w:t>巨额卖出申</w:t>
      </w:r>
      <w:r>
        <w:rPr>
          <w:rFonts w:ascii="Microsoft JhengHei" w:eastAsia="Microsoft JhengHei"/>
          <w:b/>
          <w:spacing w:val="-10"/>
          <w:sz w:val="21"/>
        </w:rPr>
        <w:t>请</w:t>
      </w:r>
    </w:p>
    <w:p>
      <w:pPr>
        <w:pStyle w:val="BodyText"/>
        <w:spacing w:line="278" w:lineRule="auto" w:before="71"/>
        <w:ind w:left="372" w:right="1104"/>
        <w:jc w:val="both"/>
      </w:pPr>
      <w:r>
        <w:rPr/>
        <w:br w:type="column"/>
      </w:r>
      <w:r>
        <w:rPr>
          <w:spacing w:val="-2"/>
        </w:rPr>
        <w:t>指由于合同终止、部分领取或账户转换等所引起的在资产评估日当日的投资账</w:t>
      </w:r>
      <w:r>
        <w:rPr>
          <w:spacing w:val="-2"/>
        </w:rPr>
        <w:t>户净卖出申请的投资单位数量超过该投资账户总投资单位数量的10%，投资账</w:t>
      </w:r>
      <w:r>
        <w:rPr>
          <w:spacing w:val="-2"/>
        </w:rPr>
        <w:t>户总投资单位数量为所有投保人在该投资账户的投资单位数之和。</w:t>
      </w:r>
    </w:p>
    <w:p>
      <w:pPr>
        <w:spacing w:after="0" w:line="278" w:lineRule="auto"/>
        <w:jc w:val="both"/>
        <w:sectPr>
          <w:type w:val="continuous"/>
          <w:pgSz w:w="11910" w:h="16840"/>
          <w:pgMar w:top="0" w:bottom="280" w:left="740" w:right="20"/>
          <w:cols w:num="2" w:equalWidth="0">
            <w:col w:w="2496" w:space="40"/>
            <w:col w:w="8614"/>
          </w:cols>
        </w:sectPr>
      </w:pPr>
    </w:p>
    <w:p>
      <w:pPr>
        <w:pStyle w:val="BodyText"/>
        <w:spacing w:before="2"/>
        <w:rPr>
          <w:sz w:val="12"/>
        </w:rPr>
      </w:pPr>
    </w:p>
    <w:p>
      <w:pPr>
        <w:pStyle w:val="ListParagraph"/>
        <w:numPr>
          <w:ilvl w:val="1"/>
          <w:numId w:val="6"/>
        </w:numPr>
        <w:tabs>
          <w:tab w:pos="1440" w:val="left" w:leader="none"/>
          <w:tab w:pos="2908" w:val="left" w:leader="none"/>
        </w:tabs>
        <w:spacing w:line="256" w:lineRule="auto" w:before="3" w:after="0"/>
        <w:ind w:left="2908" w:right="1104" w:hanging="2521"/>
        <w:jc w:val="both"/>
        <w:rPr>
          <w:sz w:val="21"/>
        </w:rPr>
      </w:pPr>
      <w:r>
        <w:rPr>
          <w:rFonts w:ascii="Microsoft JhengHei" w:eastAsia="Microsoft JhengHei"/>
          <w:b/>
          <w:spacing w:val="-6"/>
          <w:sz w:val="21"/>
        </w:rPr>
        <w:t>利</w:t>
      </w:r>
      <w:r>
        <w:rPr>
          <w:rFonts w:ascii="Microsoft JhengHei" w:eastAsia="Microsoft JhengHei"/>
          <w:b/>
          <w:spacing w:val="-6"/>
          <w:sz w:val="21"/>
        </w:rPr>
        <w:t>息</w:t>
      </w:r>
      <w:r>
        <w:rPr>
          <w:rFonts w:ascii="Microsoft JhengHei" w:eastAsia="Microsoft JhengHei"/>
          <w:b/>
          <w:sz w:val="21"/>
        </w:rPr>
        <w:tab/>
      </w:r>
      <w:r>
        <w:rPr>
          <w:spacing w:val="-2"/>
          <w:sz w:val="21"/>
        </w:rPr>
        <w:t>指</w:t>
      </w:r>
      <w:r>
        <w:rPr>
          <w:spacing w:val="-2"/>
          <w:sz w:val="21"/>
        </w:rPr>
        <w:t>保</w:t>
      </w:r>
      <w:r>
        <w:rPr>
          <w:spacing w:val="-2"/>
          <w:sz w:val="21"/>
        </w:rPr>
        <w:t>单贷款和补交保险费</w:t>
      </w:r>
      <w:r>
        <w:rPr>
          <w:spacing w:val="-2"/>
          <w:sz w:val="21"/>
        </w:rPr>
        <w:t>的</w:t>
      </w:r>
      <w:r>
        <w:rPr>
          <w:spacing w:val="-2"/>
          <w:sz w:val="21"/>
        </w:rPr>
        <w:t>利</w:t>
      </w:r>
      <w:r>
        <w:rPr>
          <w:spacing w:val="-2"/>
          <w:sz w:val="21"/>
        </w:rPr>
        <w:t>息</w:t>
      </w:r>
      <w:r>
        <w:rPr>
          <w:spacing w:val="-2"/>
          <w:sz w:val="21"/>
        </w:rPr>
        <w:t>，按保单贷款或补</w:t>
      </w:r>
      <w:r>
        <w:rPr>
          <w:spacing w:val="-2"/>
          <w:sz w:val="21"/>
        </w:rPr>
        <w:t>交</w:t>
      </w:r>
      <w:r>
        <w:rPr>
          <w:spacing w:val="-2"/>
          <w:sz w:val="21"/>
        </w:rPr>
        <w:t>保</w:t>
      </w:r>
      <w:r>
        <w:rPr>
          <w:spacing w:val="-2"/>
          <w:sz w:val="21"/>
        </w:rPr>
        <w:t>险费的</w:t>
      </w:r>
      <w:r>
        <w:rPr>
          <w:spacing w:val="-2"/>
          <w:sz w:val="21"/>
        </w:rPr>
        <w:t>数</w:t>
      </w:r>
      <w:r>
        <w:rPr>
          <w:spacing w:val="-2"/>
          <w:sz w:val="21"/>
        </w:rPr>
        <w:t>额</w:t>
      </w:r>
      <w:r>
        <w:rPr>
          <w:spacing w:val="-2"/>
          <w:sz w:val="21"/>
        </w:rPr>
        <w:t>、经过天数</w:t>
      </w:r>
      <w:r>
        <w:rPr>
          <w:spacing w:val="-2"/>
          <w:sz w:val="21"/>
        </w:rPr>
        <w:t>和</w:t>
      </w:r>
      <w:r>
        <w:rPr>
          <w:spacing w:val="-2"/>
          <w:sz w:val="21"/>
        </w:rPr>
        <w:t>利</w:t>
      </w:r>
      <w:r>
        <w:rPr>
          <w:spacing w:val="-2"/>
          <w:sz w:val="21"/>
        </w:rPr>
        <w:t>率按日复利方式计算。</w:t>
      </w:r>
      <w:r>
        <w:rPr>
          <w:spacing w:val="-2"/>
          <w:sz w:val="21"/>
        </w:rPr>
        <w:t>利</w:t>
      </w:r>
      <w:r>
        <w:rPr>
          <w:spacing w:val="-2"/>
          <w:sz w:val="21"/>
        </w:rPr>
        <w:t>率</w:t>
      </w:r>
      <w:r>
        <w:rPr>
          <w:spacing w:val="-2"/>
          <w:sz w:val="21"/>
        </w:rPr>
        <w:t>将参照人民银行公</w:t>
      </w:r>
      <w:r>
        <w:rPr>
          <w:spacing w:val="-2"/>
          <w:sz w:val="21"/>
        </w:rPr>
        <w:t>布</w:t>
      </w:r>
      <w:r>
        <w:rPr>
          <w:spacing w:val="-2"/>
          <w:sz w:val="21"/>
        </w:rPr>
        <w:t>的</w:t>
      </w:r>
      <w:r>
        <w:rPr>
          <w:spacing w:val="-2"/>
          <w:sz w:val="21"/>
        </w:rPr>
        <w:t>同期贷款利率、公司自</w:t>
      </w:r>
      <w:r>
        <w:rPr>
          <w:spacing w:val="-2"/>
          <w:sz w:val="21"/>
        </w:rPr>
        <w:t>身</w:t>
      </w:r>
      <w:r>
        <w:rPr>
          <w:spacing w:val="-2"/>
          <w:sz w:val="21"/>
        </w:rPr>
        <w:t>资</w:t>
      </w:r>
      <w:r>
        <w:rPr>
          <w:spacing w:val="-2"/>
          <w:sz w:val="21"/>
        </w:rPr>
        <w:t>金成本及风险管控能</w:t>
      </w:r>
      <w:r>
        <w:rPr>
          <w:spacing w:val="-2"/>
          <w:sz w:val="21"/>
        </w:rPr>
        <w:t>力</w:t>
      </w:r>
      <w:r>
        <w:rPr>
          <w:spacing w:val="-2"/>
          <w:sz w:val="21"/>
        </w:rPr>
        <w:t>确</w:t>
      </w:r>
      <w:r>
        <w:rPr>
          <w:spacing w:val="-2"/>
          <w:sz w:val="21"/>
        </w:rPr>
        <w:t>定。</w:t>
      </w:r>
    </w:p>
    <w:p>
      <w:pPr>
        <w:spacing w:after="0" w:line="256" w:lineRule="auto"/>
        <w:jc w:val="both"/>
        <w:rPr>
          <w:sz w:val="21"/>
        </w:rPr>
        <w:sectPr>
          <w:type w:val="continuous"/>
          <w:pgSz w:w="11910" w:h="16840"/>
          <w:pgMar w:top="0" w:bottom="280" w:left="740" w:right="20"/>
        </w:sectPr>
      </w:pPr>
    </w:p>
    <w:p>
      <w:pPr>
        <w:pStyle w:val="BodyText"/>
        <w:spacing w:before="49"/>
        <w:ind w:left="280"/>
      </w:pPr>
      <w:r>
        <w:rPr>
          <w:spacing w:val="-4"/>
        </w:rPr>
        <w:t>附表：</w:t>
      </w:r>
    </w:p>
    <w:p>
      <w:pPr>
        <w:spacing w:line="620" w:lineRule="atLeast" w:before="233"/>
        <w:ind w:left="279" w:right="0" w:firstLine="0"/>
        <w:jc w:val="center"/>
        <w:rPr>
          <w:sz w:val="32"/>
        </w:rPr>
      </w:pPr>
      <w:r>
        <w:rPr/>
        <w:br w:type="column"/>
      </w:r>
      <w:r>
        <w:rPr>
          <w:spacing w:val="-2"/>
          <w:sz w:val="32"/>
        </w:rPr>
        <w:t>《</w:t>
      </w:r>
      <w:r>
        <w:rPr>
          <w:spacing w:val="-2"/>
          <w:sz w:val="32"/>
        </w:rPr>
        <w:t>弘</w:t>
      </w:r>
      <w:r>
        <w:rPr>
          <w:spacing w:val="-2"/>
          <w:sz w:val="32"/>
        </w:rPr>
        <w:t>康</w:t>
      </w:r>
      <w:r>
        <w:rPr>
          <w:spacing w:val="-2"/>
          <w:sz w:val="32"/>
        </w:rPr>
        <w:t>悦</w:t>
      </w:r>
      <w:r>
        <w:rPr>
          <w:spacing w:val="-2"/>
          <w:sz w:val="32"/>
        </w:rPr>
        <w:t>享</w:t>
      </w:r>
      <w:r>
        <w:rPr>
          <w:spacing w:val="-2"/>
          <w:sz w:val="32"/>
        </w:rPr>
        <w:t>长</w:t>
      </w:r>
      <w:r>
        <w:rPr>
          <w:spacing w:val="-2"/>
          <w:sz w:val="32"/>
        </w:rPr>
        <w:t>盈</w:t>
      </w:r>
      <w:r>
        <w:rPr>
          <w:spacing w:val="-2"/>
          <w:sz w:val="32"/>
        </w:rPr>
        <w:t>终</w:t>
      </w:r>
      <w:r>
        <w:rPr>
          <w:spacing w:val="-2"/>
          <w:sz w:val="32"/>
        </w:rPr>
        <w:t>身</w:t>
      </w:r>
      <w:r>
        <w:rPr>
          <w:spacing w:val="-2"/>
          <w:sz w:val="32"/>
        </w:rPr>
        <w:t>寿</w:t>
      </w:r>
      <w:r>
        <w:rPr>
          <w:spacing w:val="-2"/>
          <w:sz w:val="32"/>
        </w:rPr>
        <w:t>险（</w:t>
      </w:r>
      <w:r>
        <w:rPr>
          <w:spacing w:val="-2"/>
          <w:sz w:val="32"/>
        </w:rPr>
        <w:t>投</w:t>
      </w:r>
      <w:r>
        <w:rPr>
          <w:spacing w:val="-2"/>
          <w:sz w:val="32"/>
        </w:rPr>
        <w:t>资</w:t>
      </w:r>
      <w:r>
        <w:rPr>
          <w:spacing w:val="-2"/>
          <w:sz w:val="32"/>
        </w:rPr>
        <w:t>连</w:t>
      </w:r>
      <w:r>
        <w:rPr>
          <w:spacing w:val="-2"/>
          <w:sz w:val="32"/>
        </w:rPr>
        <w:t>结</w:t>
      </w:r>
      <w:r>
        <w:rPr>
          <w:spacing w:val="-2"/>
          <w:sz w:val="32"/>
        </w:rPr>
        <w:t>型</w:t>
      </w:r>
      <w:r>
        <w:rPr>
          <w:spacing w:val="-2"/>
          <w:sz w:val="32"/>
        </w:rPr>
        <w:t>）</w:t>
      </w:r>
      <w:r>
        <w:rPr>
          <w:spacing w:val="-2"/>
          <w:sz w:val="32"/>
        </w:rPr>
        <w:t>》</w:t>
      </w:r>
      <w:r>
        <w:rPr>
          <w:spacing w:val="-2"/>
          <w:sz w:val="32"/>
        </w:rPr>
        <w:t>年</w:t>
      </w:r>
      <w:r>
        <w:rPr>
          <w:spacing w:val="-2"/>
          <w:sz w:val="32"/>
        </w:rPr>
        <w:t>风</w:t>
      </w:r>
      <w:r>
        <w:rPr>
          <w:spacing w:val="-2"/>
          <w:sz w:val="32"/>
        </w:rPr>
        <w:t>险</w:t>
      </w:r>
      <w:r>
        <w:rPr>
          <w:spacing w:val="-2"/>
          <w:sz w:val="32"/>
        </w:rPr>
        <w:t>保</w:t>
      </w:r>
      <w:r>
        <w:rPr>
          <w:spacing w:val="-2"/>
          <w:sz w:val="32"/>
        </w:rPr>
        <w:t>费</w:t>
      </w:r>
      <w:r>
        <w:rPr>
          <w:spacing w:val="-2"/>
          <w:sz w:val="32"/>
        </w:rPr>
        <w:t>表</w:t>
      </w:r>
    </w:p>
    <w:p>
      <w:pPr>
        <w:pStyle w:val="BodyText"/>
        <w:spacing w:before="115"/>
        <w:ind w:left="282"/>
        <w:jc w:val="center"/>
      </w:pPr>
      <w:r>
        <w:rPr>
          <w:spacing w:val="-2"/>
        </w:rPr>
        <w:t>（</w:t>
      </w:r>
      <w:r>
        <w:rPr>
          <w:spacing w:val="-25"/>
        </w:rPr>
        <w:t>每 </w:t>
      </w:r>
      <w:r>
        <w:rPr>
          <w:spacing w:val="-2"/>
        </w:rPr>
        <w:t>1,000</w:t>
      </w:r>
      <w:r>
        <w:rPr>
          <w:spacing w:val="-11"/>
        </w:rPr>
        <w:t> 元风险保额</w:t>
      </w:r>
      <w:r>
        <w:rPr>
          <w:spacing w:val="-10"/>
        </w:rPr>
        <w:t>）</w:t>
      </w:r>
    </w:p>
    <w:p>
      <w:pPr>
        <w:spacing w:line="240" w:lineRule="auto" w:before="0"/>
        <w:rPr>
          <w:sz w:val="20"/>
        </w:rPr>
      </w:pPr>
      <w:r>
        <w:rPr/>
        <w:br w:type="column"/>
      </w:r>
      <w:r>
        <w:rPr>
          <w:sz w:val="20"/>
        </w:rPr>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6"/>
        </w:rPr>
      </w:pPr>
    </w:p>
    <w:p>
      <w:pPr>
        <w:pStyle w:val="BodyText"/>
        <w:ind w:left="-38"/>
      </w:pPr>
      <w:r>
        <w:rPr>
          <w:spacing w:val="-4"/>
        </w:rPr>
        <w:t>单位：人民币元</w:t>
      </w:r>
    </w:p>
    <w:p>
      <w:pPr>
        <w:spacing w:after="0"/>
        <w:sectPr>
          <w:pgSz w:w="11910" w:h="16840"/>
          <w:pgMar w:top="1400" w:bottom="1272" w:left="740" w:right="20"/>
          <w:cols w:num="3" w:equalWidth="0">
            <w:col w:w="955" w:space="937"/>
            <w:col w:w="6361" w:space="39"/>
            <w:col w:w="2858"/>
          </w:cols>
        </w:sectPr>
      </w:pPr>
    </w:p>
    <w:tbl>
      <w:tblPr>
        <w:tblW w:w="0" w:type="auto"/>
        <w:jc w:val="left"/>
        <w:tblInd w:w="6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02"/>
        <w:gridCol w:w="1487"/>
        <w:gridCol w:w="1587"/>
        <w:gridCol w:w="1532"/>
        <w:gridCol w:w="1501"/>
        <w:gridCol w:w="1477"/>
      </w:tblGrid>
      <w:tr>
        <w:trPr>
          <w:trHeight w:val="311" w:hRule="atLeast"/>
        </w:trPr>
        <w:tc>
          <w:tcPr>
            <w:tcW w:w="1602" w:type="dxa"/>
            <w:tcBorders>
              <w:top w:val="single" w:sz="4" w:space="0" w:color="000000"/>
              <w:left w:val="single" w:sz="4" w:space="0" w:color="000000"/>
              <w:bottom w:val="single" w:sz="4" w:space="0" w:color="000000"/>
            </w:tcBorders>
          </w:tcPr>
          <w:p>
            <w:pPr>
              <w:pStyle w:val="TableParagraph"/>
              <w:ind w:left="324" w:right="409"/>
              <w:jc w:val="center"/>
              <w:rPr>
                <w:sz w:val="21"/>
              </w:rPr>
            </w:pPr>
            <w:r>
              <w:rPr>
                <w:spacing w:val="-4"/>
                <w:sz w:val="21"/>
              </w:rPr>
              <w:t>到达年龄</w:t>
            </w:r>
          </w:p>
        </w:tc>
        <w:tc>
          <w:tcPr>
            <w:tcW w:w="1487" w:type="dxa"/>
            <w:tcBorders>
              <w:top w:val="single" w:sz="4" w:space="0" w:color="000000"/>
              <w:bottom w:val="single" w:sz="4" w:space="0" w:color="000000"/>
            </w:tcBorders>
          </w:tcPr>
          <w:p>
            <w:pPr>
              <w:pStyle w:val="TableParagraph"/>
              <w:ind w:right="574"/>
              <w:jc w:val="right"/>
              <w:rPr>
                <w:sz w:val="21"/>
              </w:rPr>
            </w:pPr>
            <w:r>
              <w:rPr>
                <w:spacing w:val="-5"/>
                <w:sz w:val="21"/>
              </w:rPr>
              <w:t>男性</w:t>
            </w:r>
          </w:p>
        </w:tc>
        <w:tc>
          <w:tcPr>
            <w:tcW w:w="1587" w:type="dxa"/>
            <w:tcBorders>
              <w:top w:val="single" w:sz="4" w:space="0" w:color="000000"/>
              <w:bottom w:val="single" w:sz="4" w:space="0" w:color="000000"/>
              <w:right w:val="single" w:sz="4" w:space="0" w:color="000000"/>
            </w:tcBorders>
          </w:tcPr>
          <w:p>
            <w:pPr>
              <w:pStyle w:val="TableParagraph"/>
              <w:ind w:left="585"/>
              <w:rPr>
                <w:sz w:val="21"/>
              </w:rPr>
            </w:pPr>
            <w:r>
              <w:rPr>
                <w:spacing w:val="-5"/>
                <w:sz w:val="21"/>
              </w:rPr>
              <w:t>女性</w:t>
            </w:r>
          </w:p>
        </w:tc>
        <w:tc>
          <w:tcPr>
            <w:tcW w:w="1532" w:type="dxa"/>
            <w:tcBorders>
              <w:top w:val="single" w:sz="4" w:space="0" w:color="000000"/>
              <w:left w:val="single" w:sz="4" w:space="0" w:color="000000"/>
              <w:bottom w:val="single" w:sz="4" w:space="0" w:color="000000"/>
            </w:tcBorders>
          </w:tcPr>
          <w:p>
            <w:pPr>
              <w:pStyle w:val="TableParagraph"/>
              <w:ind w:left="326" w:right="336"/>
              <w:jc w:val="center"/>
              <w:rPr>
                <w:sz w:val="21"/>
              </w:rPr>
            </w:pPr>
            <w:r>
              <w:rPr>
                <w:spacing w:val="-4"/>
                <w:sz w:val="21"/>
              </w:rPr>
              <w:t>到达年龄</w:t>
            </w:r>
          </w:p>
        </w:tc>
        <w:tc>
          <w:tcPr>
            <w:tcW w:w="1501" w:type="dxa"/>
            <w:tcBorders>
              <w:top w:val="single" w:sz="4" w:space="0" w:color="000000"/>
              <w:bottom w:val="single" w:sz="4" w:space="0" w:color="000000"/>
            </w:tcBorders>
          </w:tcPr>
          <w:p>
            <w:pPr>
              <w:pStyle w:val="TableParagraph"/>
              <w:ind w:left="271" w:right="312"/>
              <w:jc w:val="center"/>
              <w:rPr>
                <w:sz w:val="21"/>
              </w:rPr>
            </w:pPr>
            <w:r>
              <w:rPr>
                <w:spacing w:val="-5"/>
                <w:sz w:val="21"/>
              </w:rPr>
              <w:t>男性</w:t>
            </w:r>
          </w:p>
        </w:tc>
        <w:tc>
          <w:tcPr>
            <w:tcW w:w="1477" w:type="dxa"/>
            <w:tcBorders>
              <w:top w:val="single" w:sz="4" w:space="0" w:color="000000"/>
              <w:bottom w:val="single" w:sz="4" w:space="0" w:color="000000"/>
              <w:right w:val="single" w:sz="4" w:space="0" w:color="000000"/>
            </w:tcBorders>
          </w:tcPr>
          <w:p>
            <w:pPr>
              <w:pStyle w:val="TableParagraph"/>
              <w:ind w:left="502" w:right="519"/>
              <w:jc w:val="center"/>
              <w:rPr>
                <w:sz w:val="21"/>
              </w:rPr>
            </w:pPr>
            <w:r>
              <w:rPr>
                <w:spacing w:val="-5"/>
                <w:sz w:val="21"/>
              </w:rPr>
              <w:t>女性</w:t>
            </w:r>
          </w:p>
        </w:tc>
      </w:tr>
      <w:tr>
        <w:trPr>
          <w:trHeight w:val="312" w:hRule="atLeast"/>
        </w:trPr>
        <w:tc>
          <w:tcPr>
            <w:tcW w:w="1602" w:type="dxa"/>
            <w:tcBorders>
              <w:top w:val="single" w:sz="4" w:space="0" w:color="000000"/>
              <w:left w:val="single" w:sz="4" w:space="0" w:color="000000"/>
            </w:tcBorders>
          </w:tcPr>
          <w:p>
            <w:pPr>
              <w:pStyle w:val="TableParagraph"/>
              <w:ind w:right="88"/>
              <w:jc w:val="center"/>
              <w:rPr>
                <w:sz w:val="21"/>
              </w:rPr>
            </w:pPr>
            <w:r>
              <w:rPr>
                <w:w w:val="100"/>
                <w:sz w:val="21"/>
              </w:rPr>
              <w:t>0</w:t>
            </w:r>
          </w:p>
        </w:tc>
        <w:tc>
          <w:tcPr>
            <w:tcW w:w="1487" w:type="dxa"/>
            <w:tcBorders>
              <w:top w:val="single" w:sz="4" w:space="0" w:color="000000"/>
            </w:tcBorders>
          </w:tcPr>
          <w:p>
            <w:pPr>
              <w:pStyle w:val="TableParagraph"/>
              <w:ind w:right="523"/>
              <w:jc w:val="right"/>
              <w:rPr>
                <w:sz w:val="21"/>
              </w:rPr>
            </w:pPr>
            <w:r>
              <w:rPr>
                <w:spacing w:val="-2"/>
                <w:sz w:val="21"/>
              </w:rPr>
              <w:t>0.564</w:t>
            </w:r>
          </w:p>
        </w:tc>
        <w:tc>
          <w:tcPr>
            <w:tcW w:w="1587" w:type="dxa"/>
            <w:tcBorders>
              <w:top w:val="single" w:sz="4" w:space="0" w:color="000000"/>
              <w:right w:val="single" w:sz="4" w:space="0" w:color="000000"/>
            </w:tcBorders>
          </w:tcPr>
          <w:p>
            <w:pPr>
              <w:pStyle w:val="TableParagraph"/>
              <w:ind w:left="530"/>
              <w:rPr>
                <w:sz w:val="21"/>
              </w:rPr>
            </w:pPr>
            <w:r>
              <w:rPr>
                <w:spacing w:val="-2"/>
                <w:sz w:val="21"/>
              </w:rPr>
              <w:t>0.403</w:t>
            </w:r>
          </w:p>
        </w:tc>
        <w:tc>
          <w:tcPr>
            <w:tcW w:w="1532" w:type="dxa"/>
            <w:tcBorders>
              <w:top w:val="single" w:sz="4" w:space="0" w:color="000000"/>
              <w:left w:val="single" w:sz="4" w:space="0" w:color="000000"/>
            </w:tcBorders>
          </w:tcPr>
          <w:p>
            <w:pPr>
              <w:pStyle w:val="TableParagraph"/>
              <w:ind w:left="324" w:right="336"/>
              <w:jc w:val="center"/>
              <w:rPr>
                <w:sz w:val="21"/>
              </w:rPr>
            </w:pPr>
            <w:r>
              <w:rPr>
                <w:spacing w:val="-5"/>
                <w:sz w:val="21"/>
              </w:rPr>
              <w:t>53</w:t>
            </w:r>
          </w:p>
        </w:tc>
        <w:tc>
          <w:tcPr>
            <w:tcW w:w="1501" w:type="dxa"/>
            <w:tcBorders>
              <w:top w:val="single" w:sz="4" w:space="0" w:color="000000"/>
            </w:tcBorders>
          </w:tcPr>
          <w:p>
            <w:pPr>
              <w:pStyle w:val="TableParagraph"/>
              <w:ind w:left="464"/>
              <w:rPr>
                <w:sz w:val="21"/>
              </w:rPr>
            </w:pPr>
            <w:r>
              <w:rPr>
                <w:spacing w:val="-2"/>
                <w:sz w:val="21"/>
              </w:rPr>
              <w:t>3.539</w:t>
            </w:r>
          </w:p>
        </w:tc>
        <w:tc>
          <w:tcPr>
            <w:tcW w:w="1477" w:type="dxa"/>
            <w:tcBorders>
              <w:top w:val="single" w:sz="4" w:space="0" w:color="000000"/>
              <w:right w:val="single" w:sz="4" w:space="0" w:color="000000"/>
            </w:tcBorders>
          </w:tcPr>
          <w:p>
            <w:pPr>
              <w:pStyle w:val="TableParagraph"/>
              <w:ind w:right="477"/>
              <w:jc w:val="right"/>
              <w:rPr>
                <w:sz w:val="21"/>
              </w:rPr>
            </w:pPr>
            <w:r>
              <w:rPr>
                <w:spacing w:val="-2"/>
                <w:sz w:val="21"/>
              </w:rPr>
              <w:t>1.576</w:t>
            </w:r>
          </w:p>
        </w:tc>
      </w:tr>
      <w:tr>
        <w:trPr>
          <w:trHeight w:val="311" w:hRule="atLeast"/>
        </w:trPr>
        <w:tc>
          <w:tcPr>
            <w:tcW w:w="1602" w:type="dxa"/>
            <w:tcBorders>
              <w:left w:val="single" w:sz="4" w:space="0" w:color="000000"/>
            </w:tcBorders>
          </w:tcPr>
          <w:p>
            <w:pPr>
              <w:pStyle w:val="TableParagraph"/>
              <w:ind w:right="88"/>
              <w:jc w:val="center"/>
              <w:rPr>
                <w:sz w:val="21"/>
              </w:rPr>
            </w:pPr>
            <w:r>
              <w:rPr>
                <w:w w:val="100"/>
                <w:sz w:val="21"/>
              </w:rPr>
              <w:t>1</w:t>
            </w:r>
          </w:p>
        </w:tc>
        <w:tc>
          <w:tcPr>
            <w:tcW w:w="1487" w:type="dxa"/>
          </w:tcPr>
          <w:p>
            <w:pPr>
              <w:pStyle w:val="TableParagraph"/>
              <w:ind w:right="523"/>
              <w:jc w:val="right"/>
              <w:rPr>
                <w:sz w:val="21"/>
              </w:rPr>
            </w:pPr>
            <w:r>
              <w:rPr>
                <w:spacing w:val="-2"/>
                <w:sz w:val="21"/>
              </w:rPr>
              <w:t>0.400</w:t>
            </w:r>
          </w:p>
        </w:tc>
        <w:tc>
          <w:tcPr>
            <w:tcW w:w="1587" w:type="dxa"/>
            <w:tcBorders>
              <w:right w:val="single" w:sz="4" w:space="0" w:color="000000"/>
            </w:tcBorders>
          </w:tcPr>
          <w:p>
            <w:pPr>
              <w:pStyle w:val="TableParagraph"/>
              <w:ind w:left="530"/>
              <w:rPr>
                <w:sz w:val="21"/>
              </w:rPr>
            </w:pPr>
            <w:r>
              <w:rPr>
                <w:spacing w:val="-2"/>
                <w:sz w:val="21"/>
              </w:rPr>
              <w:t>0.296</w:t>
            </w:r>
          </w:p>
        </w:tc>
        <w:tc>
          <w:tcPr>
            <w:tcW w:w="1532" w:type="dxa"/>
            <w:tcBorders>
              <w:left w:val="single" w:sz="4" w:space="0" w:color="000000"/>
            </w:tcBorders>
          </w:tcPr>
          <w:p>
            <w:pPr>
              <w:pStyle w:val="TableParagraph"/>
              <w:ind w:left="324" w:right="336"/>
              <w:jc w:val="center"/>
              <w:rPr>
                <w:sz w:val="21"/>
              </w:rPr>
            </w:pPr>
            <w:r>
              <w:rPr>
                <w:spacing w:val="-5"/>
                <w:sz w:val="21"/>
              </w:rPr>
              <w:t>54</w:t>
            </w:r>
          </w:p>
        </w:tc>
        <w:tc>
          <w:tcPr>
            <w:tcW w:w="1501" w:type="dxa"/>
          </w:tcPr>
          <w:p>
            <w:pPr>
              <w:pStyle w:val="TableParagraph"/>
              <w:ind w:left="464"/>
              <w:rPr>
                <w:sz w:val="21"/>
              </w:rPr>
            </w:pPr>
            <w:r>
              <w:rPr>
                <w:spacing w:val="-2"/>
                <w:sz w:val="21"/>
              </w:rPr>
              <w:t>3.815</w:t>
            </w:r>
          </w:p>
        </w:tc>
        <w:tc>
          <w:tcPr>
            <w:tcW w:w="1477" w:type="dxa"/>
            <w:tcBorders>
              <w:right w:val="single" w:sz="4" w:space="0" w:color="000000"/>
            </w:tcBorders>
          </w:tcPr>
          <w:p>
            <w:pPr>
              <w:pStyle w:val="TableParagraph"/>
              <w:ind w:right="477"/>
              <w:jc w:val="right"/>
              <w:rPr>
                <w:sz w:val="21"/>
              </w:rPr>
            </w:pPr>
            <w:r>
              <w:rPr>
                <w:spacing w:val="-2"/>
                <w:sz w:val="21"/>
              </w:rPr>
              <w:t>1.712</w:t>
            </w:r>
          </w:p>
        </w:tc>
      </w:tr>
      <w:tr>
        <w:trPr>
          <w:trHeight w:val="312" w:hRule="atLeast"/>
        </w:trPr>
        <w:tc>
          <w:tcPr>
            <w:tcW w:w="1602" w:type="dxa"/>
            <w:tcBorders>
              <w:left w:val="single" w:sz="4" w:space="0" w:color="000000"/>
            </w:tcBorders>
          </w:tcPr>
          <w:p>
            <w:pPr>
              <w:pStyle w:val="TableParagraph"/>
              <w:ind w:right="88"/>
              <w:jc w:val="center"/>
              <w:rPr>
                <w:sz w:val="21"/>
              </w:rPr>
            </w:pPr>
            <w:r>
              <w:rPr>
                <w:w w:val="100"/>
                <w:sz w:val="21"/>
              </w:rPr>
              <w:t>2</w:t>
            </w:r>
          </w:p>
        </w:tc>
        <w:tc>
          <w:tcPr>
            <w:tcW w:w="1487" w:type="dxa"/>
          </w:tcPr>
          <w:p>
            <w:pPr>
              <w:pStyle w:val="TableParagraph"/>
              <w:ind w:right="523"/>
              <w:jc w:val="right"/>
              <w:rPr>
                <w:sz w:val="21"/>
              </w:rPr>
            </w:pPr>
            <w:r>
              <w:rPr>
                <w:spacing w:val="-2"/>
                <w:sz w:val="21"/>
              </w:rPr>
              <w:t>0.289</w:t>
            </w:r>
          </w:p>
        </w:tc>
        <w:tc>
          <w:tcPr>
            <w:tcW w:w="1587" w:type="dxa"/>
            <w:tcBorders>
              <w:right w:val="single" w:sz="4" w:space="0" w:color="000000"/>
            </w:tcBorders>
          </w:tcPr>
          <w:p>
            <w:pPr>
              <w:pStyle w:val="TableParagraph"/>
              <w:ind w:left="530"/>
              <w:rPr>
                <w:sz w:val="21"/>
              </w:rPr>
            </w:pPr>
            <w:r>
              <w:rPr>
                <w:spacing w:val="-2"/>
                <w:sz w:val="21"/>
              </w:rPr>
              <w:t>0.219</w:t>
            </w:r>
          </w:p>
        </w:tc>
        <w:tc>
          <w:tcPr>
            <w:tcW w:w="1532" w:type="dxa"/>
            <w:tcBorders>
              <w:left w:val="single" w:sz="4" w:space="0" w:color="000000"/>
            </w:tcBorders>
          </w:tcPr>
          <w:p>
            <w:pPr>
              <w:pStyle w:val="TableParagraph"/>
              <w:ind w:left="324" w:right="336"/>
              <w:jc w:val="center"/>
              <w:rPr>
                <w:sz w:val="21"/>
              </w:rPr>
            </w:pPr>
            <w:r>
              <w:rPr>
                <w:spacing w:val="-5"/>
                <w:sz w:val="21"/>
              </w:rPr>
              <w:t>55</w:t>
            </w:r>
          </w:p>
        </w:tc>
        <w:tc>
          <w:tcPr>
            <w:tcW w:w="1501" w:type="dxa"/>
          </w:tcPr>
          <w:p>
            <w:pPr>
              <w:pStyle w:val="TableParagraph"/>
              <w:ind w:left="464"/>
              <w:rPr>
                <w:sz w:val="21"/>
              </w:rPr>
            </w:pPr>
            <w:r>
              <w:rPr>
                <w:spacing w:val="-2"/>
                <w:sz w:val="21"/>
              </w:rPr>
              <w:t>4.096</w:t>
            </w:r>
          </w:p>
        </w:tc>
        <w:tc>
          <w:tcPr>
            <w:tcW w:w="1477" w:type="dxa"/>
            <w:tcBorders>
              <w:right w:val="single" w:sz="4" w:space="0" w:color="000000"/>
            </w:tcBorders>
          </w:tcPr>
          <w:p>
            <w:pPr>
              <w:pStyle w:val="TableParagraph"/>
              <w:ind w:right="477"/>
              <w:jc w:val="right"/>
              <w:rPr>
                <w:sz w:val="21"/>
              </w:rPr>
            </w:pPr>
            <w:r>
              <w:rPr>
                <w:spacing w:val="-2"/>
                <w:sz w:val="21"/>
              </w:rPr>
              <w:t>1.854</w:t>
            </w:r>
          </w:p>
        </w:tc>
      </w:tr>
      <w:tr>
        <w:trPr>
          <w:trHeight w:val="312" w:hRule="atLeast"/>
        </w:trPr>
        <w:tc>
          <w:tcPr>
            <w:tcW w:w="1602" w:type="dxa"/>
            <w:tcBorders>
              <w:left w:val="single" w:sz="4" w:space="0" w:color="000000"/>
            </w:tcBorders>
          </w:tcPr>
          <w:p>
            <w:pPr>
              <w:pStyle w:val="TableParagraph"/>
              <w:ind w:right="88"/>
              <w:jc w:val="center"/>
              <w:rPr>
                <w:sz w:val="21"/>
              </w:rPr>
            </w:pPr>
            <w:r>
              <w:rPr>
                <w:w w:val="100"/>
                <w:sz w:val="21"/>
              </w:rPr>
              <w:t>3</w:t>
            </w:r>
          </w:p>
        </w:tc>
        <w:tc>
          <w:tcPr>
            <w:tcW w:w="1487" w:type="dxa"/>
          </w:tcPr>
          <w:p>
            <w:pPr>
              <w:pStyle w:val="TableParagraph"/>
              <w:ind w:right="523"/>
              <w:jc w:val="right"/>
              <w:rPr>
                <w:sz w:val="21"/>
              </w:rPr>
            </w:pPr>
            <w:r>
              <w:rPr>
                <w:spacing w:val="-2"/>
                <w:sz w:val="21"/>
              </w:rPr>
              <w:t>0.220</w:t>
            </w:r>
          </w:p>
        </w:tc>
        <w:tc>
          <w:tcPr>
            <w:tcW w:w="1587" w:type="dxa"/>
            <w:tcBorders>
              <w:right w:val="single" w:sz="4" w:space="0" w:color="000000"/>
            </w:tcBorders>
          </w:tcPr>
          <w:p>
            <w:pPr>
              <w:pStyle w:val="TableParagraph"/>
              <w:ind w:left="530"/>
              <w:rPr>
                <w:sz w:val="21"/>
              </w:rPr>
            </w:pPr>
            <w:r>
              <w:rPr>
                <w:spacing w:val="-2"/>
                <w:sz w:val="21"/>
              </w:rPr>
              <w:t>0.166</w:t>
            </w:r>
          </w:p>
        </w:tc>
        <w:tc>
          <w:tcPr>
            <w:tcW w:w="1532" w:type="dxa"/>
            <w:tcBorders>
              <w:left w:val="single" w:sz="4" w:space="0" w:color="000000"/>
            </w:tcBorders>
          </w:tcPr>
          <w:p>
            <w:pPr>
              <w:pStyle w:val="TableParagraph"/>
              <w:ind w:left="324" w:right="336"/>
              <w:jc w:val="center"/>
              <w:rPr>
                <w:sz w:val="21"/>
              </w:rPr>
            </w:pPr>
            <w:r>
              <w:rPr>
                <w:spacing w:val="-5"/>
                <w:sz w:val="21"/>
              </w:rPr>
              <w:t>56</w:t>
            </w:r>
          </w:p>
        </w:tc>
        <w:tc>
          <w:tcPr>
            <w:tcW w:w="1501" w:type="dxa"/>
          </w:tcPr>
          <w:p>
            <w:pPr>
              <w:pStyle w:val="TableParagraph"/>
              <w:ind w:left="464"/>
              <w:rPr>
                <w:sz w:val="21"/>
              </w:rPr>
            </w:pPr>
            <w:r>
              <w:rPr>
                <w:spacing w:val="-2"/>
                <w:sz w:val="21"/>
              </w:rPr>
              <w:t>4.386</w:t>
            </w:r>
          </w:p>
        </w:tc>
        <w:tc>
          <w:tcPr>
            <w:tcW w:w="1477" w:type="dxa"/>
            <w:tcBorders>
              <w:right w:val="single" w:sz="4" w:space="0" w:color="000000"/>
            </w:tcBorders>
          </w:tcPr>
          <w:p>
            <w:pPr>
              <w:pStyle w:val="TableParagraph"/>
              <w:ind w:right="477"/>
              <w:jc w:val="right"/>
              <w:rPr>
                <w:sz w:val="21"/>
              </w:rPr>
            </w:pPr>
            <w:r>
              <w:rPr>
                <w:spacing w:val="-2"/>
                <w:sz w:val="21"/>
              </w:rPr>
              <w:t>2.005</w:t>
            </w:r>
          </w:p>
        </w:tc>
      </w:tr>
      <w:tr>
        <w:trPr>
          <w:trHeight w:val="312" w:hRule="atLeast"/>
        </w:trPr>
        <w:tc>
          <w:tcPr>
            <w:tcW w:w="1602" w:type="dxa"/>
            <w:tcBorders>
              <w:left w:val="single" w:sz="4" w:space="0" w:color="000000"/>
            </w:tcBorders>
          </w:tcPr>
          <w:p>
            <w:pPr>
              <w:pStyle w:val="TableParagraph"/>
              <w:ind w:right="88"/>
              <w:jc w:val="center"/>
              <w:rPr>
                <w:sz w:val="21"/>
              </w:rPr>
            </w:pPr>
            <w:r>
              <w:rPr>
                <w:w w:val="100"/>
                <w:sz w:val="21"/>
              </w:rPr>
              <w:t>4</w:t>
            </w:r>
          </w:p>
        </w:tc>
        <w:tc>
          <w:tcPr>
            <w:tcW w:w="1487" w:type="dxa"/>
          </w:tcPr>
          <w:p>
            <w:pPr>
              <w:pStyle w:val="TableParagraph"/>
              <w:ind w:right="523"/>
              <w:jc w:val="right"/>
              <w:rPr>
                <w:sz w:val="21"/>
              </w:rPr>
            </w:pPr>
            <w:r>
              <w:rPr>
                <w:spacing w:val="-2"/>
                <w:sz w:val="21"/>
              </w:rPr>
              <w:t>0.182</w:t>
            </w:r>
          </w:p>
        </w:tc>
        <w:tc>
          <w:tcPr>
            <w:tcW w:w="1587" w:type="dxa"/>
            <w:tcBorders>
              <w:right w:val="single" w:sz="4" w:space="0" w:color="000000"/>
            </w:tcBorders>
          </w:tcPr>
          <w:p>
            <w:pPr>
              <w:pStyle w:val="TableParagraph"/>
              <w:ind w:left="530"/>
              <w:rPr>
                <w:sz w:val="21"/>
              </w:rPr>
            </w:pPr>
            <w:r>
              <w:rPr>
                <w:spacing w:val="-2"/>
                <w:sz w:val="21"/>
              </w:rPr>
              <w:t>0.132</w:t>
            </w:r>
          </w:p>
        </w:tc>
        <w:tc>
          <w:tcPr>
            <w:tcW w:w="1532" w:type="dxa"/>
            <w:tcBorders>
              <w:left w:val="single" w:sz="4" w:space="0" w:color="000000"/>
            </w:tcBorders>
          </w:tcPr>
          <w:p>
            <w:pPr>
              <w:pStyle w:val="TableParagraph"/>
              <w:ind w:left="324" w:right="336"/>
              <w:jc w:val="center"/>
              <w:rPr>
                <w:sz w:val="21"/>
              </w:rPr>
            </w:pPr>
            <w:r>
              <w:rPr>
                <w:spacing w:val="-5"/>
                <w:sz w:val="21"/>
              </w:rPr>
              <w:t>57</w:t>
            </w:r>
          </w:p>
        </w:tc>
        <w:tc>
          <w:tcPr>
            <w:tcW w:w="1501" w:type="dxa"/>
          </w:tcPr>
          <w:p>
            <w:pPr>
              <w:pStyle w:val="TableParagraph"/>
              <w:ind w:left="464"/>
              <w:rPr>
                <w:sz w:val="21"/>
              </w:rPr>
            </w:pPr>
            <w:r>
              <w:rPr>
                <w:spacing w:val="-2"/>
                <w:sz w:val="21"/>
              </w:rPr>
              <w:t>4.698</w:t>
            </w:r>
          </w:p>
        </w:tc>
        <w:tc>
          <w:tcPr>
            <w:tcW w:w="1477" w:type="dxa"/>
            <w:tcBorders>
              <w:right w:val="single" w:sz="4" w:space="0" w:color="000000"/>
            </w:tcBorders>
          </w:tcPr>
          <w:p>
            <w:pPr>
              <w:pStyle w:val="TableParagraph"/>
              <w:ind w:right="477"/>
              <w:jc w:val="right"/>
              <w:rPr>
                <w:sz w:val="21"/>
              </w:rPr>
            </w:pPr>
            <w:r>
              <w:rPr>
                <w:spacing w:val="-2"/>
                <w:sz w:val="21"/>
              </w:rPr>
              <w:t>2.172</w:t>
            </w:r>
          </w:p>
        </w:tc>
      </w:tr>
      <w:tr>
        <w:trPr>
          <w:trHeight w:val="312" w:hRule="atLeast"/>
        </w:trPr>
        <w:tc>
          <w:tcPr>
            <w:tcW w:w="1602" w:type="dxa"/>
            <w:tcBorders>
              <w:left w:val="single" w:sz="4" w:space="0" w:color="000000"/>
            </w:tcBorders>
          </w:tcPr>
          <w:p>
            <w:pPr>
              <w:pStyle w:val="TableParagraph"/>
              <w:ind w:right="88"/>
              <w:jc w:val="center"/>
              <w:rPr>
                <w:sz w:val="21"/>
              </w:rPr>
            </w:pPr>
            <w:r>
              <w:rPr>
                <w:w w:val="100"/>
                <w:sz w:val="21"/>
              </w:rPr>
              <w:t>5</w:t>
            </w:r>
          </w:p>
        </w:tc>
        <w:tc>
          <w:tcPr>
            <w:tcW w:w="1487" w:type="dxa"/>
          </w:tcPr>
          <w:p>
            <w:pPr>
              <w:pStyle w:val="TableParagraph"/>
              <w:ind w:right="523"/>
              <w:jc w:val="right"/>
              <w:rPr>
                <w:sz w:val="21"/>
              </w:rPr>
            </w:pPr>
            <w:r>
              <w:rPr>
                <w:spacing w:val="-2"/>
                <w:sz w:val="21"/>
              </w:rPr>
              <w:t>0.163</w:t>
            </w:r>
          </w:p>
        </w:tc>
        <w:tc>
          <w:tcPr>
            <w:tcW w:w="1587" w:type="dxa"/>
            <w:tcBorders>
              <w:right w:val="single" w:sz="4" w:space="0" w:color="000000"/>
            </w:tcBorders>
          </w:tcPr>
          <w:p>
            <w:pPr>
              <w:pStyle w:val="TableParagraph"/>
              <w:ind w:left="530"/>
              <w:rPr>
                <w:sz w:val="21"/>
              </w:rPr>
            </w:pPr>
            <w:r>
              <w:rPr>
                <w:spacing w:val="-2"/>
                <w:sz w:val="21"/>
              </w:rPr>
              <w:t>0.111</w:t>
            </w:r>
          </w:p>
        </w:tc>
        <w:tc>
          <w:tcPr>
            <w:tcW w:w="1532" w:type="dxa"/>
            <w:tcBorders>
              <w:left w:val="single" w:sz="4" w:space="0" w:color="000000"/>
            </w:tcBorders>
          </w:tcPr>
          <w:p>
            <w:pPr>
              <w:pStyle w:val="TableParagraph"/>
              <w:ind w:left="324" w:right="336"/>
              <w:jc w:val="center"/>
              <w:rPr>
                <w:sz w:val="21"/>
              </w:rPr>
            </w:pPr>
            <w:r>
              <w:rPr>
                <w:spacing w:val="-5"/>
                <w:sz w:val="21"/>
              </w:rPr>
              <w:t>58</w:t>
            </w:r>
          </w:p>
        </w:tc>
        <w:tc>
          <w:tcPr>
            <w:tcW w:w="1501" w:type="dxa"/>
          </w:tcPr>
          <w:p>
            <w:pPr>
              <w:pStyle w:val="TableParagraph"/>
              <w:ind w:left="464"/>
              <w:rPr>
                <w:sz w:val="21"/>
              </w:rPr>
            </w:pPr>
            <w:r>
              <w:rPr>
                <w:spacing w:val="-2"/>
                <w:sz w:val="21"/>
              </w:rPr>
              <w:t>5.051</w:t>
            </w:r>
          </w:p>
        </w:tc>
        <w:tc>
          <w:tcPr>
            <w:tcW w:w="1477" w:type="dxa"/>
            <w:tcBorders>
              <w:right w:val="single" w:sz="4" w:space="0" w:color="000000"/>
            </w:tcBorders>
          </w:tcPr>
          <w:p>
            <w:pPr>
              <w:pStyle w:val="TableParagraph"/>
              <w:ind w:right="477"/>
              <w:jc w:val="right"/>
              <w:rPr>
                <w:sz w:val="21"/>
              </w:rPr>
            </w:pPr>
            <w:r>
              <w:rPr>
                <w:spacing w:val="-2"/>
                <w:sz w:val="21"/>
              </w:rPr>
              <w:t>2.365</w:t>
            </w:r>
          </w:p>
        </w:tc>
      </w:tr>
      <w:tr>
        <w:trPr>
          <w:trHeight w:val="311" w:hRule="atLeast"/>
        </w:trPr>
        <w:tc>
          <w:tcPr>
            <w:tcW w:w="1602" w:type="dxa"/>
            <w:tcBorders>
              <w:left w:val="single" w:sz="4" w:space="0" w:color="000000"/>
            </w:tcBorders>
          </w:tcPr>
          <w:p>
            <w:pPr>
              <w:pStyle w:val="TableParagraph"/>
              <w:ind w:right="88"/>
              <w:jc w:val="center"/>
              <w:rPr>
                <w:sz w:val="21"/>
              </w:rPr>
            </w:pPr>
            <w:r>
              <w:rPr>
                <w:w w:val="100"/>
                <w:sz w:val="21"/>
              </w:rPr>
              <w:t>6</w:t>
            </w:r>
          </w:p>
        </w:tc>
        <w:tc>
          <w:tcPr>
            <w:tcW w:w="1487" w:type="dxa"/>
          </w:tcPr>
          <w:p>
            <w:pPr>
              <w:pStyle w:val="TableParagraph"/>
              <w:ind w:right="523"/>
              <w:jc w:val="right"/>
              <w:rPr>
                <w:sz w:val="21"/>
              </w:rPr>
            </w:pPr>
            <w:r>
              <w:rPr>
                <w:spacing w:val="-2"/>
                <w:sz w:val="21"/>
              </w:rPr>
              <w:t>0.154</w:t>
            </w:r>
          </w:p>
        </w:tc>
        <w:tc>
          <w:tcPr>
            <w:tcW w:w="1587" w:type="dxa"/>
            <w:tcBorders>
              <w:right w:val="single" w:sz="4" w:space="0" w:color="000000"/>
            </w:tcBorders>
          </w:tcPr>
          <w:p>
            <w:pPr>
              <w:pStyle w:val="TableParagraph"/>
              <w:ind w:left="530"/>
              <w:rPr>
                <w:sz w:val="21"/>
              </w:rPr>
            </w:pPr>
            <w:r>
              <w:rPr>
                <w:spacing w:val="-2"/>
                <w:sz w:val="21"/>
              </w:rPr>
              <w:t>0.097</w:t>
            </w:r>
          </w:p>
        </w:tc>
        <w:tc>
          <w:tcPr>
            <w:tcW w:w="1532" w:type="dxa"/>
            <w:tcBorders>
              <w:left w:val="single" w:sz="4" w:space="0" w:color="000000"/>
            </w:tcBorders>
          </w:tcPr>
          <w:p>
            <w:pPr>
              <w:pStyle w:val="TableParagraph"/>
              <w:ind w:left="324" w:right="336"/>
              <w:jc w:val="center"/>
              <w:rPr>
                <w:sz w:val="21"/>
              </w:rPr>
            </w:pPr>
            <w:r>
              <w:rPr>
                <w:spacing w:val="-5"/>
                <w:sz w:val="21"/>
              </w:rPr>
              <w:t>59</w:t>
            </w:r>
          </w:p>
        </w:tc>
        <w:tc>
          <w:tcPr>
            <w:tcW w:w="1501" w:type="dxa"/>
          </w:tcPr>
          <w:p>
            <w:pPr>
              <w:pStyle w:val="TableParagraph"/>
              <w:ind w:left="464"/>
              <w:rPr>
                <w:sz w:val="21"/>
              </w:rPr>
            </w:pPr>
            <w:r>
              <w:rPr>
                <w:spacing w:val="-2"/>
                <w:sz w:val="21"/>
              </w:rPr>
              <w:t>5.462</w:t>
            </w:r>
          </w:p>
        </w:tc>
        <w:tc>
          <w:tcPr>
            <w:tcW w:w="1477" w:type="dxa"/>
            <w:tcBorders>
              <w:right w:val="single" w:sz="4" w:space="0" w:color="000000"/>
            </w:tcBorders>
          </w:tcPr>
          <w:p>
            <w:pPr>
              <w:pStyle w:val="TableParagraph"/>
              <w:ind w:right="477"/>
              <w:jc w:val="right"/>
              <w:rPr>
                <w:sz w:val="21"/>
              </w:rPr>
            </w:pPr>
            <w:r>
              <w:rPr>
                <w:spacing w:val="-2"/>
                <w:sz w:val="21"/>
              </w:rPr>
              <w:t>2.594</w:t>
            </w:r>
          </w:p>
        </w:tc>
      </w:tr>
      <w:tr>
        <w:trPr>
          <w:trHeight w:val="312" w:hRule="atLeast"/>
        </w:trPr>
        <w:tc>
          <w:tcPr>
            <w:tcW w:w="1602" w:type="dxa"/>
            <w:tcBorders>
              <w:left w:val="single" w:sz="4" w:space="0" w:color="000000"/>
            </w:tcBorders>
          </w:tcPr>
          <w:p>
            <w:pPr>
              <w:pStyle w:val="TableParagraph"/>
              <w:ind w:right="88"/>
              <w:jc w:val="center"/>
              <w:rPr>
                <w:sz w:val="21"/>
              </w:rPr>
            </w:pPr>
            <w:r>
              <w:rPr>
                <w:w w:val="100"/>
                <w:sz w:val="21"/>
              </w:rPr>
              <w:t>7</w:t>
            </w:r>
          </w:p>
        </w:tc>
        <w:tc>
          <w:tcPr>
            <w:tcW w:w="1487" w:type="dxa"/>
          </w:tcPr>
          <w:p>
            <w:pPr>
              <w:pStyle w:val="TableParagraph"/>
              <w:ind w:right="523"/>
              <w:jc w:val="right"/>
              <w:rPr>
                <w:sz w:val="21"/>
              </w:rPr>
            </w:pPr>
            <w:r>
              <w:rPr>
                <w:spacing w:val="-2"/>
                <w:sz w:val="21"/>
              </w:rPr>
              <w:t>0.151</w:t>
            </w:r>
          </w:p>
        </w:tc>
        <w:tc>
          <w:tcPr>
            <w:tcW w:w="1587" w:type="dxa"/>
            <w:tcBorders>
              <w:right w:val="single" w:sz="4" w:space="0" w:color="000000"/>
            </w:tcBorders>
          </w:tcPr>
          <w:p>
            <w:pPr>
              <w:pStyle w:val="TableParagraph"/>
              <w:ind w:left="530"/>
              <w:rPr>
                <w:sz w:val="21"/>
              </w:rPr>
            </w:pPr>
            <w:r>
              <w:rPr>
                <w:spacing w:val="-2"/>
                <w:sz w:val="21"/>
              </w:rPr>
              <w:t>0.089</w:t>
            </w:r>
          </w:p>
        </w:tc>
        <w:tc>
          <w:tcPr>
            <w:tcW w:w="1532" w:type="dxa"/>
            <w:tcBorders>
              <w:left w:val="single" w:sz="4" w:space="0" w:color="000000"/>
            </w:tcBorders>
          </w:tcPr>
          <w:p>
            <w:pPr>
              <w:pStyle w:val="TableParagraph"/>
              <w:ind w:left="324" w:right="336"/>
              <w:jc w:val="center"/>
              <w:rPr>
                <w:sz w:val="21"/>
              </w:rPr>
            </w:pPr>
            <w:r>
              <w:rPr>
                <w:spacing w:val="-5"/>
                <w:sz w:val="21"/>
              </w:rPr>
              <w:t>60</w:t>
            </w:r>
          </w:p>
        </w:tc>
        <w:tc>
          <w:tcPr>
            <w:tcW w:w="1501" w:type="dxa"/>
          </w:tcPr>
          <w:p>
            <w:pPr>
              <w:pStyle w:val="TableParagraph"/>
              <w:ind w:left="464"/>
              <w:rPr>
                <w:sz w:val="21"/>
              </w:rPr>
            </w:pPr>
            <w:r>
              <w:rPr>
                <w:spacing w:val="-2"/>
                <w:sz w:val="21"/>
              </w:rPr>
              <w:t>5.955</w:t>
            </w:r>
          </w:p>
        </w:tc>
        <w:tc>
          <w:tcPr>
            <w:tcW w:w="1477" w:type="dxa"/>
            <w:tcBorders>
              <w:right w:val="single" w:sz="4" w:space="0" w:color="000000"/>
            </w:tcBorders>
          </w:tcPr>
          <w:p>
            <w:pPr>
              <w:pStyle w:val="TableParagraph"/>
              <w:ind w:right="477"/>
              <w:jc w:val="right"/>
              <w:rPr>
                <w:sz w:val="21"/>
              </w:rPr>
            </w:pPr>
            <w:r>
              <w:rPr>
                <w:spacing w:val="-2"/>
                <w:sz w:val="21"/>
              </w:rPr>
              <w:t>2.869</w:t>
            </w:r>
          </w:p>
        </w:tc>
      </w:tr>
      <w:tr>
        <w:trPr>
          <w:trHeight w:val="312" w:hRule="atLeast"/>
        </w:trPr>
        <w:tc>
          <w:tcPr>
            <w:tcW w:w="1602" w:type="dxa"/>
            <w:tcBorders>
              <w:left w:val="single" w:sz="4" w:space="0" w:color="000000"/>
            </w:tcBorders>
          </w:tcPr>
          <w:p>
            <w:pPr>
              <w:pStyle w:val="TableParagraph"/>
              <w:ind w:right="88"/>
              <w:jc w:val="center"/>
              <w:rPr>
                <w:sz w:val="21"/>
              </w:rPr>
            </w:pPr>
            <w:r>
              <w:rPr>
                <w:w w:val="100"/>
                <w:sz w:val="21"/>
              </w:rPr>
              <w:t>8</w:t>
            </w:r>
          </w:p>
        </w:tc>
        <w:tc>
          <w:tcPr>
            <w:tcW w:w="1487" w:type="dxa"/>
          </w:tcPr>
          <w:p>
            <w:pPr>
              <w:pStyle w:val="TableParagraph"/>
              <w:ind w:right="523"/>
              <w:jc w:val="right"/>
              <w:rPr>
                <w:sz w:val="21"/>
              </w:rPr>
            </w:pPr>
            <w:r>
              <w:rPr>
                <w:spacing w:val="-2"/>
                <w:sz w:val="21"/>
              </w:rPr>
              <w:t>0.155</w:t>
            </w:r>
          </w:p>
        </w:tc>
        <w:tc>
          <w:tcPr>
            <w:tcW w:w="1587" w:type="dxa"/>
            <w:tcBorders>
              <w:right w:val="single" w:sz="4" w:space="0" w:color="000000"/>
            </w:tcBorders>
          </w:tcPr>
          <w:p>
            <w:pPr>
              <w:pStyle w:val="TableParagraph"/>
              <w:ind w:left="530"/>
              <w:rPr>
                <w:sz w:val="21"/>
              </w:rPr>
            </w:pPr>
            <w:r>
              <w:rPr>
                <w:spacing w:val="-2"/>
                <w:sz w:val="21"/>
              </w:rPr>
              <w:t>0.086</w:t>
            </w:r>
          </w:p>
        </w:tc>
        <w:tc>
          <w:tcPr>
            <w:tcW w:w="1532" w:type="dxa"/>
            <w:tcBorders>
              <w:left w:val="single" w:sz="4" w:space="0" w:color="000000"/>
            </w:tcBorders>
          </w:tcPr>
          <w:p>
            <w:pPr>
              <w:pStyle w:val="TableParagraph"/>
              <w:ind w:left="324" w:right="336"/>
              <w:jc w:val="center"/>
              <w:rPr>
                <w:sz w:val="21"/>
              </w:rPr>
            </w:pPr>
            <w:r>
              <w:rPr>
                <w:spacing w:val="-5"/>
                <w:sz w:val="21"/>
              </w:rPr>
              <w:t>61</w:t>
            </w:r>
          </w:p>
        </w:tc>
        <w:tc>
          <w:tcPr>
            <w:tcW w:w="1501" w:type="dxa"/>
          </w:tcPr>
          <w:p>
            <w:pPr>
              <w:pStyle w:val="TableParagraph"/>
              <w:ind w:left="464"/>
              <w:rPr>
                <w:sz w:val="21"/>
              </w:rPr>
            </w:pPr>
            <w:r>
              <w:rPr>
                <w:spacing w:val="-2"/>
                <w:sz w:val="21"/>
              </w:rPr>
              <w:t>6.542</w:t>
            </w:r>
          </w:p>
        </w:tc>
        <w:tc>
          <w:tcPr>
            <w:tcW w:w="1477" w:type="dxa"/>
            <w:tcBorders>
              <w:right w:val="single" w:sz="4" w:space="0" w:color="000000"/>
            </w:tcBorders>
          </w:tcPr>
          <w:p>
            <w:pPr>
              <w:pStyle w:val="TableParagraph"/>
              <w:ind w:right="477"/>
              <w:jc w:val="right"/>
              <w:rPr>
                <w:sz w:val="21"/>
              </w:rPr>
            </w:pPr>
            <w:r>
              <w:rPr>
                <w:spacing w:val="-2"/>
                <w:sz w:val="21"/>
              </w:rPr>
              <w:t>3.200</w:t>
            </w:r>
          </w:p>
        </w:tc>
      </w:tr>
      <w:tr>
        <w:trPr>
          <w:trHeight w:val="312" w:hRule="atLeast"/>
        </w:trPr>
        <w:tc>
          <w:tcPr>
            <w:tcW w:w="1602" w:type="dxa"/>
            <w:tcBorders>
              <w:left w:val="single" w:sz="4" w:space="0" w:color="000000"/>
            </w:tcBorders>
          </w:tcPr>
          <w:p>
            <w:pPr>
              <w:pStyle w:val="TableParagraph"/>
              <w:ind w:right="88"/>
              <w:jc w:val="center"/>
              <w:rPr>
                <w:sz w:val="21"/>
              </w:rPr>
            </w:pPr>
            <w:r>
              <w:rPr>
                <w:w w:val="100"/>
                <w:sz w:val="21"/>
              </w:rPr>
              <w:t>9</w:t>
            </w:r>
          </w:p>
        </w:tc>
        <w:tc>
          <w:tcPr>
            <w:tcW w:w="1487" w:type="dxa"/>
          </w:tcPr>
          <w:p>
            <w:pPr>
              <w:pStyle w:val="TableParagraph"/>
              <w:ind w:right="523"/>
              <w:jc w:val="right"/>
              <w:rPr>
                <w:sz w:val="21"/>
              </w:rPr>
            </w:pPr>
            <w:r>
              <w:rPr>
                <w:spacing w:val="-2"/>
                <w:sz w:val="21"/>
              </w:rPr>
              <w:t>0.163</w:t>
            </w:r>
          </w:p>
        </w:tc>
        <w:tc>
          <w:tcPr>
            <w:tcW w:w="1587" w:type="dxa"/>
            <w:tcBorders>
              <w:right w:val="single" w:sz="4" w:space="0" w:color="000000"/>
            </w:tcBorders>
          </w:tcPr>
          <w:p>
            <w:pPr>
              <w:pStyle w:val="TableParagraph"/>
              <w:ind w:left="530"/>
              <w:rPr>
                <w:sz w:val="21"/>
              </w:rPr>
            </w:pPr>
            <w:r>
              <w:rPr>
                <w:spacing w:val="-2"/>
                <w:sz w:val="21"/>
              </w:rPr>
              <w:t>0.088</w:t>
            </w:r>
          </w:p>
        </w:tc>
        <w:tc>
          <w:tcPr>
            <w:tcW w:w="1532" w:type="dxa"/>
            <w:tcBorders>
              <w:left w:val="single" w:sz="4" w:space="0" w:color="000000"/>
            </w:tcBorders>
          </w:tcPr>
          <w:p>
            <w:pPr>
              <w:pStyle w:val="TableParagraph"/>
              <w:ind w:left="324" w:right="336"/>
              <w:jc w:val="center"/>
              <w:rPr>
                <w:sz w:val="21"/>
              </w:rPr>
            </w:pPr>
            <w:r>
              <w:rPr>
                <w:spacing w:val="-5"/>
                <w:sz w:val="21"/>
              </w:rPr>
              <w:t>62</w:t>
            </w:r>
          </w:p>
        </w:tc>
        <w:tc>
          <w:tcPr>
            <w:tcW w:w="1501" w:type="dxa"/>
          </w:tcPr>
          <w:p>
            <w:pPr>
              <w:pStyle w:val="TableParagraph"/>
              <w:ind w:left="464"/>
              <w:rPr>
                <w:sz w:val="21"/>
              </w:rPr>
            </w:pPr>
            <w:r>
              <w:rPr>
                <w:spacing w:val="-2"/>
                <w:sz w:val="21"/>
              </w:rPr>
              <w:t>7.234</w:t>
            </w:r>
          </w:p>
        </w:tc>
        <w:tc>
          <w:tcPr>
            <w:tcW w:w="1477" w:type="dxa"/>
            <w:tcBorders>
              <w:right w:val="single" w:sz="4" w:space="0" w:color="000000"/>
            </w:tcBorders>
          </w:tcPr>
          <w:p>
            <w:pPr>
              <w:pStyle w:val="TableParagraph"/>
              <w:ind w:right="477"/>
              <w:jc w:val="right"/>
              <w:rPr>
                <w:sz w:val="21"/>
              </w:rPr>
            </w:pPr>
            <w:r>
              <w:rPr>
                <w:spacing w:val="-2"/>
                <w:sz w:val="21"/>
              </w:rPr>
              <w:t>3.594</w:t>
            </w:r>
          </w:p>
        </w:tc>
      </w:tr>
      <w:tr>
        <w:trPr>
          <w:trHeight w:val="312" w:hRule="atLeast"/>
        </w:trPr>
        <w:tc>
          <w:tcPr>
            <w:tcW w:w="1602" w:type="dxa"/>
            <w:tcBorders>
              <w:left w:val="single" w:sz="4" w:space="0" w:color="000000"/>
            </w:tcBorders>
          </w:tcPr>
          <w:p>
            <w:pPr>
              <w:pStyle w:val="TableParagraph"/>
              <w:ind w:left="321" w:right="409"/>
              <w:jc w:val="center"/>
              <w:rPr>
                <w:sz w:val="21"/>
              </w:rPr>
            </w:pPr>
            <w:r>
              <w:rPr>
                <w:spacing w:val="-5"/>
                <w:sz w:val="21"/>
              </w:rPr>
              <w:t>10</w:t>
            </w:r>
          </w:p>
        </w:tc>
        <w:tc>
          <w:tcPr>
            <w:tcW w:w="1487" w:type="dxa"/>
          </w:tcPr>
          <w:p>
            <w:pPr>
              <w:pStyle w:val="TableParagraph"/>
              <w:ind w:right="523"/>
              <w:jc w:val="right"/>
              <w:rPr>
                <w:sz w:val="21"/>
              </w:rPr>
            </w:pPr>
            <w:r>
              <w:rPr>
                <w:spacing w:val="-2"/>
                <w:sz w:val="21"/>
              </w:rPr>
              <w:t>0.175</w:t>
            </w:r>
          </w:p>
        </w:tc>
        <w:tc>
          <w:tcPr>
            <w:tcW w:w="1587" w:type="dxa"/>
            <w:tcBorders>
              <w:right w:val="single" w:sz="4" w:space="0" w:color="000000"/>
            </w:tcBorders>
          </w:tcPr>
          <w:p>
            <w:pPr>
              <w:pStyle w:val="TableParagraph"/>
              <w:ind w:left="530"/>
              <w:rPr>
                <w:sz w:val="21"/>
              </w:rPr>
            </w:pPr>
            <w:r>
              <w:rPr>
                <w:spacing w:val="-2"/>
                <w:sz w:val="21"/>
              </w:rPr>
              <w:t>0.094</w:t>
            </w:r>
          </w:p>
        </w:tc>
        <w:tc>
          <w:tcPr>
            <w:tcW w:w="1532" w:type="dxa"/>
            <w:tcBorders>
              <w:left w:val="single" w:sz="4" w:space="0" w:color="000000"/>
            </w:tcBorders>
          </w:tcPr>
          <w:p>
            <w:pPr>
              <w:pStyle w:val="TableParagraph"/>
              <w:ind w:left="324" w:right="336"/>
              <w:jc w:val="center"/>
              <w:rPr>
                <w:sz w:val="21"/>
              </w:rPr>
            </w:pPr>
            <w:r>
              <w:rPr>
                <w:spacing w:val="-5"/>
                <w:sz w:val="21"/>
              </w:rPr>
              <w:t>63</w:t>
            </w:r>
          </w:p>
        </w:tc>
        <w:tc>
          <w:tcPr>
            <w:tcW w:w="1501" w:type="dxa"/>
          </w:tcPr>
          <w:p>
            <w:pPr>
              <w:pStyle w:val="TableParagraph"/>
              <w:ind w:left="464"/>
              <w:rPr>
                <w:sz w:val="21"/>
              </w:rPr>
            </w:pPr>
            <w:r>
              <w:rPr>
                <w:spacing w:val="-2"/>
                <w:sz w:val="21"/>
              </w:rPr>
              <w:t>8.034</w:t>
            </w:r>
          </w:p>
        </w:tc>
        <w:tc>
          <w:tcPr>
            <w:tcW w:w="1477" w:type="dxa"/>
            <w:tcBorders>
              <w:right w:val="single" w:sz="4" w:space="0" w:color="000000"/>
            </w:tcBorders>
          </w:tcPr>
          <w:p>
            <w:pPr>
              <w:pStyle w:val="TableParagraph"/>
              <w:ind w:right="477"/>
              <w:jc w:val="right"/>
              <w:rPr>
                <w:sz w:val="21"/>
              </w:rPr>
            </w:pPr>
            <w:r>
              <w:rPr>
                <w:spacing w:val="-2"/>
                <w:sz w:val="21"/>
              </w:rPr>
              <w:t>4.059</w:t>
            </w:r>
          </w:p>
        </w:tc>
      </w:tr>
      <w:tr>
        <w:trPr>
          <w:trHeight w:val="312" w:hRule="atLeast"/>
        </w:trPr>
        <w:tc>
          <w:tcPr>
            <w:tcW w:w="1602" w:type="dxa"/>
            <w:tcBorders>
              <w:left w:val="single" w:sz="4" w:space="0" w:color="000000"/>
            </w:tcBorders>
          </w:tcPr>
          <w:p>
            <w:pPr>
              <w:pStyle w:val="TableParagraph"/>
              <w:ind w:left="321" w:right="409"/>
              <w:jc w:val="center"/>
              <w:rPr>
                <w:sz w:val="21"/>
              </w:rPr>
            </w:pPr>
            <w:r>
              <w:rPr>
                <w:spacing w:val="-5"/>
                <w:sz w:val="21"/>
              </w:rPr>
              <w:t>11</w:t>
            </w:r>
          </w:p>
        </w:tc>
        <w:tc>
          <w:tcPr>
            <w:tcW w:w="1487" w:type="dxa"/>
          </w:tcPr>
          <w:p>
            <w:pPr>
              <w:pStyle w:val="TableParagraph"/>
              <w:ind w:right="523"/>
              <w:jc w:val="right"/>
              <w:rPr>
                <w:sz w:val="21"/>
              </w:rPr>
            </w:pPr>
            <w:r>
              <w:rPr>
                <w:spacing w:val="-2"/>
                <w:sz w:val="21"/>
              </w:rPr>
              <w:t>0.190</w:t>
            </w:r>
          </w:p>
        </w:tc>
        <w:tc>
          <w:tcPr>
            <w:tcW w:w="1587" w:type="dxa"/>
            <w:tcBorders>
              <w:right w:val="single" w:sz="4" w:space="0" w:color="000000"/>
            </w:tcBorders>
          </w:tcPr>
          <w:p>
            <w:pPr>
              <w:pStyle w:val="TableParagraph"/>
              <w:ind w:left="530"/>
              <w:rPr>
                <w:sz w:val="21"/>
              </w:rPr>
            </w:pPr>
            <w:r>
              <w:rPr>
                <w:spacing w:val="-2"/>
                <w:sz w:val="21"/>
              </w:rPr>
              <w:t>0.102</w:t>
            </w:r>
          </w:p>
        </w:tc>
        <w:tc>
          <w:tcPr>
            <w:tcW w:w="1532" w:type="dxa"/>
            <w:tcBorders>
              <w:left w:val="single" w:sz="4" w:space="0" w:color="000000"/>
            </w:tcBorders>
          </w:tcPr>
          <w:p>
            <w:pPr>
              <w:pStyle w:val="TableParagraph"/>
              <w:ind w:left="324" w:right="336"/>
              <w:jc w:val="center"/>
              <w:rPr>
                <w:sz w:val="21"/>
              </w:rPr>
            </w:pPr>
            <w:r>
              <w:rPr>
                <w:spacing w:val="-5"/>
                <w:sz w:val="21"/>
              </w:rPr>
              <w:t>64</w:t>
            </w:r>
          </w:p>
        </w:tc>
        <w:tc>
          <w:tcPr>
            <w:tcW w:w="1501" w:type="dxa"/>
          </w:tcPr>
          <w:p>
            <w:pPr>
              <w:pStyle w:val="TableParagraph"/>
              <w:ind w:left="464"/>
              <w:rPr>
                <w:sz w:val="21"/>
              </w:rPr>
            </w:pPr>
            <w:r>
              <w:rPr>
                <w:spacing w:val="-2"/>
                <w:sz w:val="21"/>
              </w:rPr>
              <w:t>8.951</w:t>
            </w:r>
          </w:p>
        </w:tc>
        <w:tc>
          <w:tcPr>
            <w:tcW w:w="1477" w:type="dxa"/>
            <w:tcBorders>
              <w:right w:val="single" w:sz="4" w:space="0" w:color="000000"/>
            </w:tcBorders>
          </w:tcPr>
          <w:p>
            <w:pPr>
              <w:pStyle w:val="TableParagraph"/>
              <w:ind w:right="477"/>
              <w:jc w:val="right"/>
              <w:rPr>
                <w:sz w:val="21"/>
              </w:rPr>
            </w:pPr>
            <w:r>
              <w:rPr>
                <w:spacing w:val="-2"/>
                <w:sz w:val="21"/>
              </w:rPr>
              <w:t>4.601</w:t>
            </w:r>
          </w:p>
        </w:tc>
      </w:tr>
      <w:tr>
        <w:trPr>
          <w:trHeight w:val="311" w:hRule="atLeast"/>
        </w:trPr>
        <w:tc>
          <w:tcPr>
            <w:tcW w:w="1602" w:type="dxa"/>
            <w:tcBorders>
              <w:left w:val="single" w:sz="4" w:space="0" w:color="000000"/>
            </w:tcBorders>
          </w:tcPr>
          <w:p>
            <w:pPr>
              <w:pStyle w:val="TableParagraph"/>
              <w:ind w:left="321" w:right="409"/>
              <w:jc w:val="center"/>
              <w:rPr>
                <w:sz w:val="21"/>
              </w:rPr>
            </w:pPr>
            <w:r>
              <w:rPr>
                <w:spacing w:val="-5"/>
                <w:sz w:val="21"/>
              </w:rPr>
              <w:t>12</w:t>
            </w:r>
          </w:p>
        </w:tc>
        <w:tc>
          <w:tcPr>
            <w:tcW w:w="1487" w:type="dxa"/>
          </w:tcPr>
          <w:p>
            <w:pPr>
              <w:pStyle w:val="TableParagraph"/>
              <w:ind w:right="523"/>
              <w:jc w:val="right"/>
              <w:rPr>
                <w:sz w:val="21"/>
              </w:rPr>
            </w:pPr>
            <w:r>
              <w:rPr>
                <w:spacing w:val="-2"/>
                <w:sz w:val="21"/>
              </w:rPr>
              <w:t>0.207</w:t>
            </w:r>
          </w:p>
        </w:tc>
        <w:tc>
          <w:tcPr>
            <w:tcW w:w="1587" w:type="dxa"/>
            <w:tcBorders>
              <w:right w:val="single" w:sz="4" w:space="0" w:color="000000"/>
            </w:tcBorders>
          </w:tcPr>
          <w:p>
            <w:pPr>
              <w:pStyle w:val="TableParagraph"/>
              <w:ind w:left="530"/>
              <w:rPr>
                <w:sz w:val="21"/>
              </w:rPr>
            </w:pPr>
            <w:r>
              <w:rPr>
                <w:spacing w:val="-2"/>
                <w:sz w:val="21"/>
              </w:rPr>
              <w:t>0.112</w:t>
            </w:r>
          </w:p>
        </w:tc>
        <w:tc>
          <w:tcPr>
            <w:tcW w:w="1532" w:type="dxa"/>
            <w:tcBorders>
              <w:left w:val="single" w:sz="4" w:space="0" w:color="000000"/>
            </w:tcBorders>
          </w:tcPr>
          <w:p>
            <w:pPr>
              <w:pStyle w:val="TableParagraph"/>
              <w:ind w:left="324" w:right="336"/>
              <w:jc w:val="center"/>
              <w:rPr>
                <w:sz w:val="21"/>
              </w:rPr>
            </w:pPr>
            <w:r>
              <w:rPr>
                <w:spacing w:val="-5"/>
                <w:sz w:val="21"/>
              </w:rPr>
              <w:t>65</w:t>
            </w:r>
          </w:p>
        </w:tc>
        <w:tc>
          <w:tcPr>
            <w:tcW w:w="1501" w:type="dxa"/>
          </w:tcPr>
          <w:p>
            <w:pPr>
              <w:pStyle w:val="TableParagraph"/>
              <w:ind w:left="464"/>
              <w:rPr>
                <w:sz w:val="21"/>
              </w:rPr>
            </w:pPr>
            <w:r>
              <w:rPr>
                <w:spacing w:val="-2"/>
                <w:sz w:val="21"/>
              </w:rPr>
              <w:t>9.996</w:t>
            </w:r>
          </w:p>
        </w:tc>
        <w:tc>
          <w:tcPr>
            <w:tcW w:w="1477" w:type="dxa"/>
            <w:tcBorders>
              <w:right w:val="single" w:sz="4" w:space="0" w:color="000000"/>
            </w:tcBorders>
          </w:tcPr>
          <w:p>
            <w:pPr>
              <w:pStyle w:val="TableParagraph"/>
              <w:ind w:right="477"/>
              <w:jc w:val="right"/>
              <w:rPr>
                <w:sz w:val="21"/>
              </w:rPr>
            </w:pPr>
            <w:r>
              <w:rPr>
                <w:spacing w:val="-2"/>
                <w:sz w:val="21"/>
              </w:rPr>
              <w:t>5.229</w:t>
            </w:r>
          </w:p>
        </w:tc>
      </w:tr>
      <w:tr>
        <w:trPr>
          <w:trHeight w:val="311" w:hRule="atLeast"/>
        </w:trPr>
        <w:tc>
          <w:tcPr>
            <w:tcW w:w="1602" w:type="dxa"/>
            <w:tcBorders>
              <w:left w:val="single" w:sz="4" w:space="0" w:color="000000"/>
            </w:tcBorders>
          </w:tcPr>
          <w:p>
            <w:pPr>
              <w:pStyle w:val="TableParagraph"/>
              <w:ind w:left="321" w:right="409"/>
              <w:jc w:val="center"/>
              <w:rPr>
                <w:sz w:val="21"/>
              </w:rPr>
            </w:pPr>
            <w:r>
              <w:rPr>
                <w:spacing w:val="-5"/>
                <w:sz w:val="21"/>
              </w:rPr>
              <w:t>13</w:t>
            </w:r>
          </w:p>
        </w:tc>
        <w:tc>
          <w:tcPr>
            <w:tcW w:w="1487" w:type="dxa"/>
          </w:tcPr>
          <w:p>
            <w:pPr>
              <w:pStyle w:val="TableParagraph"/>
              <w:ind w:right="523"/>
              <w:jc w:val="right"/>
              <w:rPr>
                <w:sz w:val="21"/>
              </w:rPr>
            </w:pPr>
            <w:r>
              <w:rPr>
                <w:spacing w:val="-2"/>
                <w:sz w:val="21"/>
              </w:rPr>
              <w:t>0.226</w:t>
            </w:r>
          </w:p>
        </w:tc>
        <w:tc>
          <w:tcPr>
            <w:tcW w:w="1587" w:type="dxa"/>
            <w:tcBorders>
              <w:right w:val="single" w:sz="4" w:space="0" w:color="000000"/>
            </w:tcBorders>
          </w:tcPr>
          <w:p>
            <w:pPr>
              <w:pStyle w:val="TableParagraph"/>
              <w:ind w:left="530"/>
              <w:rPr>
                <w:sz w:val="21"/>
              </w:rPr>
            </w:pPr>
            <w:r>
              <w:rPr>
                <w:spacing w:val="-2"/>
                <w:sz w:val="21"/>
              </w:rPr>
              <w:t>0.123</w:t>
            </w:r>
          </w:p>
        </w:tc>
        <w:tc>
          <w:tcPr>
            <w:tcW w:w="1532" w:type="dxa"/>
            <w:tcBorders>
              <w:left w:val="single" w:sz="4" w:space="0" w:color="000000"/>
            </w:tcBorders>
          </w:tcPr>
          <w:p>
            <w:pPr>
              <w:pStyle w:val="TableParagraph"/>
              <w:ind w:left="324" w:right="336"/>
              <w:jc w:val="center"/>
              <w:rPr>
                <w:sz w:val="21"/>
              </w:rPr>
            </w:pPr>
            <w:r>
              <w:rPr>
                <w:spacing w:val="-5"/>
                <w:sz w:val="21"/>
              </w:rPr>
              <w:t>66</w:t>
            </w:r>
          </w:p>
        </w:tc>
        <w:tc>
          <w:tcPr>
            <w:tcW w:w="1501" w:type="dxa"/>
          </w:tcPr>
          <w:p>
            <w:pPr>
              <w:pStyle w:val="TableParagraph"/>
              <w:ind w:right="453"/>
              <w:jc w:val="right"/>
              <w:rPr>
                <w:sz w:val="21"/>
              </w:rPr>
            </w:pPr>
            <w:r>
              <w:rPr>
                <w:spacing w:val="-2"/>
                <w:sz w:val="21"/>
              </w:rPr>
              <w:t>11.188</w:t>
            </w:r>
          </w:p>
        </w:tc>
        <w:tc>
          <w:tcPr>
            <w:tcW w:w="1477" w:type="dxa"/>
            <w:tcBorders>
              <w:right w:val="single" w:sz="4" w:space="0" w:color="000000"/>
            </w:tcBorders>
          </w:tcPr>
          <w:p>
            <w:pPr>
              <w:pStyle w:val="TableParagraph"/>
              <w:ind w:right="477"/>
              <w:jc w:val="right"/>
              <w:rPr>
                <w:sz w:val="21"/>
              </w:rPr>
            </w:pPr>
            <w:r>
              <w:rPr>
                <w:spacing w:val="-2"/>
                <w:sz w:val="21"/>
              </w:rPr>
              <w:t>5.957</w:t>
            </w:r>
          </w:p>
        </w:tc>
      </w:tr>
      <w:tr>
        <w:trPr>
          <w:trHeight w:val="312" w:hRule="atLeast"/>
        </w:trPr>
        <w:tc>
          <w:tcPr>
            <w:tcW w:w="1602" w:type="dxa"/>
            <w:tcBorders>
              <w:left w:val="single" w:sz="4" w:space="0" w:color="000000"/>
            </w:tcBorders>
          </w:tcPr>
          <w:p>
            <w:pPr>
              <w:pStyle w:val="TableParagraph"/>
              <w:ind w:left="321" w:right="409"/>
              <w:jc w:val="center"/>
              <w:rPr>
                <w:sz w:val="21"/>
              </w:rPr>
            </w:pPr>
            <w:r>
              <w:rPr>
                <w:spacing w:val="-5"/>
                <w:sz w:val="21"/>
              </w:rPr>
              <w:t>14</w:t>
            </w:r>
          </w:p>
        </w:tc>
        <w:tc>
          <w:tcPr>
            <w:tcW w:w="1487" w:type="dxa"/>
          </w:tcPr>
          <w:p>
            <w:pPr>
              <w:pStyle w:val="TableParagraph"/>
              <w:ind w:right="523"/>
              <w:jc w:val="right"/>
              <w:rPr>
                <w:sz w:val="21"/>
              </w:rPr>
            </w:pPr>
            <w:r>
              <w:rPr>
                <w:spacing w:val="-2"/>
                <w:sz w:val="21"/>
              </w:rPr>
              <w:t>0.244</w:t>
            </w:r>
          </w:p>
        </w:tc>
        <w:tc>
          <w:tcPr>
            <w:tcW w:w="1587" w:type="dxa"/>
            <w:tcBorders>
              <w:right w:val="single" w:sz="4" w:space="0" w:color="000000"/>
            </w:tcBorders>
          </w:tcPr>
          <w:p>
            <w:pPr>
              <w:pStyle w:val="TableParagraph"/>
              <w:ind w:left="530"/>
              <w:rPr>
                <w:sz w:val="21"/>
              </w:rPr>
            </w:pPr>
            <w:r>
              <w:rPr>
                <w:spacing w:val="-2"/>
                <w:sz w:val="21"/>
              </w:rPr>
              <w:t>0.134</w:t>
            </w:r>
          </w:p>
        </w:tc>
        <w:tc>
          <w:tcPr>
            <w:tcW w:w="1532" w:type="dxa"/>
            <w:tcBorders>
              <w:left w:val="single" w:sz="4" w:space="0" w:color="000000"/>
            </w:tcBorders>
          </w:tcPr>
          <w:p>
            <w:pPr>
              <w:pStyle w:val="TableParagraph"/>
              <w:ind w:left="324" w:right="336"/>
              <w:jc w:val="center"/>
              <w:rPr>
                <w:sz w:val="21"/>
              </w:rPr>
            </w:pPr>
            <w:r>
              <w:rPr>
                <w:spacing w:val="-5"/>
                <w:sz w:val="21"/>
              </w:rPr>
              <w:t>67</w:t>
            </w:r>
          </w:p>
        </w:tc>
        <w:tc>
          <w:tcPr>
            <w:tcW w:w="1501" w:type="dxa"/>
          </w:tcPr>
          <w:p>
            <w:pPr>
              <w:pStyle w:val="TableParagraph"/>
              <w:ind w:right="453"/>
              <w:jc w:val="right"/>
              <w:rPr>
                <w:sz w:val="21"/>
              </w:rPr>
            </w:pPr>
            <w:r>
              <w:rPr>
                <w:spacing w:val="-2"/>
                <w:sz w:val="21"/>
              </w:rPr>
              <w:t>12.548</w:t>
            </w:r>
          </w:p>
        </w:tc>
        <w:tc>
          <w:tcPr>
            <w:tcW w:w="1477" w:type="dxa"/>
            <w:tcBorders>
              <w:right w:val="single" w:sz="4" w:space="0" w:color="000000"/>
            </w:tcBorders>
          </w:tcPr>
          <w:p>
            <w:pPr>
              <w:pStyle w:val="TableParagraph"/>
              <w:ind w:right="477"/>
              <w:jc w:val="right"/>
              <w:rPr>
                <w:sz w:val="21"/>
              </w:rPr>
            </w:pPr>
            <w:r>
              <w:rPr>
                <w:spacing w:val="-2"/>
                <w:sz w:val="21"/>
              </w:rPr>
              <w:t>6.799</w:t>
            </w:r>
          </w:p>
        </w:tc>
      </w:tr>
      <w:tr>
        <w:trPr>
          <w:trHeight w:val="312" w:hRule="atLeast"/>
        </w:trPr>
        <w:tc>
          <w:tcPr>
            <w:tcW w:w="1602" w:type="dxa"/>
            <w:tcBorders>
              <w:left w:val="single" w:sz="4" w:space="0" w:color="000000"/>
            </w:tcBorders>
          </w:tcPr>
          <w:p>
            <w:pPr>
              <w:pStyle w:val="TableParagraph"/>
              <w:ind w:left="321" w:right="409"/>
              <w:jc w:val="center"/>
              <w:rPr>
                <w:sz w:val="21"/>
              </w:rPr>
            </w:pPr>
            <w:r>
              <w:rPr>
                <w:spacing w:val="-5"/>
                <w:sz w:val="21"/>
              </w:rPr>
              <w:t>15</w:t>
            </w:r>
          </w:p>
        </w:tc>
        <w:tc>
          <w:tcPr>
            <w:tcW w:w="1487" w:type="dxa"/>
          </w:tcPr>
          <w:p>
            <w:pPr>
              <w:pStyle w:val="TableParagraph"/>
              <w:ind w:right="523"/>
              <w:jc w:val="right"/>
              <w:rPr>
                <w:sz w:val="21"/>
              </w:rPr>
            </w:pPr>
            <w:r>
              <w:rPr>
                <w:spacing w:val="-2"/>
                <w:sz w:val="21"/>
              </w:rPr>
              <w:t>0.261</w:t>
            </w:r>
          </w:p>
        </w:tc>
        <w:tc>
          <w:tcPr>
            <w:tcW w:w="1587" w:type="dxa"/>
            <w:tcBorders>
              <w:right w:val="single" w:sz="4" w:space="0" w:color="000000"/>
            </w:tcBorders>
          </w:tcPr>
          <w:p>
            <w:pPr>
              <w:pStyle w:val="TableParagraph"/>
              <w:ind w:left="530"/>
              <w:rPr>
                <w:sz w:val="21"/>
              </w:rPr>
            </w:pPr>
            <w:r>
              <w:rPr>
                <w:spacing w:val="-2"/>
                <w:sz w:val="21"/>
              </w:rPr>
              <w:t>0.144</w:t>
            </w:r>
          </w:p>
        </w:tc>
        <w:tc>
          <w:tcPr>
            <w:tcW w:w="1532" w:type="dxa"/>
            <w:tcBorders>
              <w:left w:val="single" w:sz="4" w:space="0" w:color="000000"/>
            </w:tcBorders>
          </w:tcPr>
          <w:p>
            <w:pPr>
              <w:pStyle w:val="TableParagraph"/>
              <w:ind w:left="324" w:right="336"/>
              <w:jc w:val="center"/>
              <w:rPr>
                <w:sz w:val="21"/>
              </w:rPr>
            </w:pPr>
            <w:r>
              <w:rPr>
                <w:spacing w:val="-5"/>
                <w:sz w:val="21"/>
              </w:rPr>
              <w:t>68</w:t>
            </w:r>
          </w:p>
        </w:tc>
        <w:tc>
          <w:tcPr>
            <w:tcW w:w="1501" w:type="dxa"/>
          </w:tcPr>
          <w:p>
            <w:pPr>
              <w:pStyle w:val="TableParagraph"/>
              <w:ind w:right="453"/>
              <w:jc w:val="right"/>
              <w:rPr>
                <w:sz w:val="21"/>
              </w:rPr>
            </w:pPr>
            <w:r>
              <w:rPr>
                <w:spacing w:val="-2"/>
                <w:sz w:val="21"/>
              </w:rPr>
              <w:t>14.099</w:t>
            </w:r>
          </w:p>
        </w:tc>
        <w:tc>
          <w:tcPr>
            <w:tcW w:w="1477" w:type="dxa"/>
            <w:tcBorders>
              <w:right w:val="single" w:sz="4" w:space="0" w:color="000000"/>
            </w:tcBorders>
          </w:tcPr>
          <w:p>
            <w:pPr>
              <w:pStyle w:val="TableParagraph"/>
              <w:ind w:right="477"/>
              <w:jc w:val="right"/>
              <w:rPr>
                <w:sz w:val="21"/>
              </w:rPr>
            </w:pPr>
            <w:r>
              <w:rPr>
                <w:spacing w:val="-2"/>
                <w:sz w:val="21"/>
              </w:rPr>
              <w:t>7.771</w:t>
            </w:r>
          </w:p>
        </w:tc>
      </w:tr>
      <w:tr>
        <w:trPr>
          <w:trHeight w:val="312" w:hRule="atLeast"/>
        </w:trPr>
        <w:tc>
          <w:tcPr>
            <w:tcW w:w="1602" w:type="dxa"/>
            <w:tcBorders>
              <w:left w:val="single" w:sz="4" w:space="0" w:color="000000"/>
            </w:tcBorders>
          </w:tcPr>
          <w:p>
            <w:pPr>
              <w:pStyle w:val="TableParagraph"/>
              <w:ind w:left="321" w:right="409"/>
              <w:jc w:val="center"/>
              <w:rPr>
                <w:sz w:val="21"/>
              </w:rPr>
            </w:pPr>
            <w:r>
              <w:rPr>
                <w:spacing w:val="-5"/>
                <w:sz w:val="21"/>
              </w:rPr>
              <w:t>16</w:t>
            </w:r>
          </w:p>
        </w:tc>
        <w:tc>
          <w:tcPr>
            <w:tcW w:w="1487" w:type="dxa"/>
          </w:tcPr>
          <w:p>
            <w:pPr>
              <w:pStyle w:val="TableParagraph"/>
              <w:ind w:right="523"/>
              <w:jc w:val="right"/>
              <w:rPr>
                <w:sz w:val="21"/>
              </w:rPr>
            </w:pPr>
            <w:r>
              <w:rPr>
                <w:spacing w:val="-2"/>
                <w:sz w:val="21"/>
              </w:rPr>
              <w:t>0.278</w:t>
            </w:r>
          </w:p>
        </w:tc>
        <w:tc>
          <w:tcPr>
            <w:tcW w:w="1587" w:type="dxa"/>
            <w:tcBorders>
              <w:right w:val="single" w:sz="4" w:space="0" w:color="000000"/>
            </w:tcBorders>
          </w:tcPr>
          <w:p>
            <w:pPr>
              <w:pStyle w:val="TableParagraph"/>
              <w:ind w:left="530"/>
              <w:rPr>
                <w:sz w:val="21"/>
              </w:rPr>
            </w:pPr>
            <w:r>
              <w:rPr>
                <w:spacing w:val="-2"/>
                <w:sz w:val="21"/>
              </w:rPr>
              <w:t>0.152</w:t>
            </w:r>
          </w:p>
        </w:tc>
        <w:tc>
          <w:tcPr>
            <w:tcW w:w="1532" w:type="dxa"/>
            <w:tcBorders>
              <w:left w:val="single" w:sz="4" w:space="0" w:color="000000"/>
            </w:tcBorders>
          </w:tcPr>
          <w:p>
            <w:pPr>
              <w:pStyle w:val="TableParagraph"/>
              <w:ind w:left="324" w:right="336"/>
              <w:jc w:val="center"/>
              <w:rPr>
                <w:sz w:val="21"/>
              </w:rPr>
            </w:pPr>
            <w:r>
              <w:rPr>
                <w:spacing w:val="-5"/>
                <w:sz w:val="21"/>
              </w:rPr>
              <w:t>69</w:t>
            </w:r>
          </w:p>
        </w:tc>
        <w:tc>
          <w:tcPr>
            <w:tcW w:w="1501" w:type="dxa"/>
          </w:tcPr>
          <w:p>
            <w:pPr>
              <w:pStyle w:val="TableParagraph"/>
              <w:ind w:right="453"/>
              <w:jc w:val="right"/>
              <w:rPr>
                <w:sz w:val="21"/>
              </w:rPr>
            </w:pPr>
            <w:r>
              <w:rPr>
                <w:spacing w:val="-2"/>
                <w:sz w:val="21"/>
              </w:rPr>
              <w:t>15.867</w:t>
            </w:r>
          </w:p>
        </w:tc>
        <w:tc>
          <w:tcPr>
            <w:tcW w:w="1477" w:type="dxa"/>
            <w:tcBorders>
              <w:right w:val="single" w:sz="4" w:space="0" w:color="000000"/>
            </w:tcBorders>
          </w:tcPr>
          <w:p>
            <w:pPr>
              <w:pStyle w:val="TableParagraph"/>
              <w:ind w:right="477"/>
              <w:jc w:val="right"/>
              <w:rPr>
                <w:sz w:val="21"/>
              </w:rPr>
            </w:pPr>
            <w:r>
              <w:rPr>
                <w:spacing w:val="-2"/>
                <w:sz w:val="21"/>
              </w:rPr>
              <w:t>8.888</w:t>
            </w:r>
          </w:p>
        </w:tc>
      </w:tr>
      <w:tr>
        <w:trPr>
          <w:trHeight w:val="312" w:hRule="atLeast"/>
        </w:trPr>
        <w:tc>
          <w:tcPr>
            <w:tcW w:w="1602" w:type="dxa"/>
            <w:tcBorders>
              <w:left w:val="single" w:sz="4" w:space="0" w:color="000000"/>
            </w:tcBorders>
          </w:tcPr>
          <w:p>
            <w:pPr>
              <w:pStyle w:val="TableParagraph"/>
              <w:ind w:left="321" w:right="409"/>
              <w:jc w:val="center"/>
              <w:rPr>
                <w:sz w:val="21"/>
              </w:rPr>
            </w:pPr>
            <w:r>
              <w:rPr>
                <w:spacing w:val="-5"/>
                <w:sz w:val="21"/>
              </w:rPr>
              <w:t>17</w:t>
            </w:r>
          </w:p>
        </w:tc>
        <w:tc>
          <w:tcPr>
            <w:tcW w:w="1487" w:type="dxa"/>
          </w:tcPr>
          <w:p>
            <w:pPr>
              <w:pStyle w:val="TableParagraph"/>
              <w:ind w:right="523"/>
              <w:jc w:val="right"/>
              <w:rPr>
                <w:sz w:val="21"/>
              </w:rPr>
            </w:pPr>
            <w:r>
              <w:rPr>
                <w:spacing w:val="-2"/>
                <w:sz w:val="21"/>
              </w:rPr>
              <w:t>0.292</w:t>
            </w:r>
          </w:p>
        </w:tc>
        <w:tc>
          <w:tcPr>
            <w:tcW w:w="1587" w:type="dxa"/>
            <w:tcBorders>
              <w:right w:val="single" w:sz="4" w:space="0" w:color="000000"/>
            </w:tcBorders>
          </w:tcPr>
          <w:p>
            <w:pPr>
              <w:pStyle w:val="TableParagraph"/>
              <w:ind w:left="530"/>
              <w:rPr>
                <w:sz w:val="21"/>
              </w:rPr>
            </w:pPr>
            <w:r>
              <w:rPr>
                <w:spacing w:val="-2"/>
                <w:sz w:val="21"/>
              </w:rPr>
              <w:t>0.159</w:t>
            </w:r>
          </w:p>
        </w:tc>
        <w:tc>
          <w:tcPr>
            <w:tcW w:w="1532" w:type="dxa"/>
            <w:tcBorders>
              <w:left w:val="single" w:sz="4" w:space="0" w:color="000000"/>
            </w:tcBorders>
          </w:tcPr>
          <w:p>
            <w:pPr>
              <w:pStyle w:val="TableParagraph"/>
              <w:ind w:left="324" w:right="336"/>
              <w:jc w:val="center"/>
              <w:rPr>
                <w:sz w:val="21"/>
              </w:rPr>
            </w:pPr>
            <w:r>
              <w:rPr>
                <w:spacing w:val="-5"/>
                <w:sz w:val="21"/>
              </w:rPr>
              <w:t>70</w:t>
            </w:r>
          </w:p>
        </w:tc>
        <w:tc>
          <w:tcPr>
            <w:tcW w:w="1501" w:type="dxa"/>
          </w:tcPr>
          <w:p>
            <w:pPr>
              <w:pStyle w:val="TableParagraph"/>
              <w:ind w:right="453"/>
              <w:jc w:val="right"/>
              <w:rPr>
                <w:sz w:val="21"/>
              </w:rPr>
            </w:pPr>
            <w:r>
              <w:rPr>
                <w:spacing w:val="-2"/>
                <w:sz w:val="21"/>
              </w:rPr>
              <w:t>17.872</w:t>
            </w:r>
          </w:p>
        </w:tc>
        <w:tc>
          <w:tcPr>
            <w:tcW w:w="1477" w:type="dxa"/>
            <w:tcBorders>
              <w:right w:val="single" w:sz="4" w:space="0" w:color="000000"/>
            </w:tcBorders>
          </w:tcPr>
          <w:p>
            <w:pPr>
              <w:pStyle w:val="TableParagraph"/>
              <w:ind w:right="424"/>
              <w:jc w:val="right"/>
              <w:rPr>
                <w:sz w:val="21"/>
              </w:rPr>
            </w:pPr>
            <w:r>
              <w:rPr>
                <w:spacing w:val="-2"/>
                <w:sz w:val="21"/>
              </w:rPr>
              <w:t>10.168</w:t>
            </w:r>
          </w:p>
        </w:tc>
      </w:tr>
      <w:tr>
        <w:trPr>
          <w:trHeight w:val="311" w:hRule="atLeast"/>
        </w:trPr>
        <w:tc>
          <w:tcPr>
            <w:tcW w:w="1602" w:type="dxa"/>
            <w:tcBorders>
              <w:left w:val="single" w:sz="4" w:space="0" w:color="000000"/>
            </w:tcBorders>
          </w:tcPr>
          <w:p>
            <w:pPr>
              <w:pStyle w:val="TableParagraph"/>
              <w:ind w:left="321" w:right="409"/>
              <w:jc w:val="center"/>
              <w:rPr>
                <w:sz w:val="21"/>
              </w:rPr>
            </w:pPr>
            <w:r>
              <w:rPr>
                <w:spacing w:val="-5"/>
                <w:sz w:val="21"/>
              </w:rPr>
              <w:t>18</w:t>
            </w:r>
          </w:p>
        </w:tc>
        <w:tc>
          <w:tcPr>
            <w:tcW w:w="1487" w:type="dxa"/>
          </w:tcPr>
          <w:p>
            <w:pPr>
              <w:pStyle w:val="TableParagraph"/>
              <w:ind w:right="523"/>
              <w:jc w:val="right"/>
              <w:rPr>
                <w:sz w:val="21"/>
              </w:rPr>
            </w:pPr>
            <w:r>
              <w:rPr>
                <w:spacing w:val="-2"/>
                <w:sz w:val="21"/>
              </w:rPr>
              <w:t>0.305</w:t>
            </w:r>
          </w:p>
        </w:tc>
        <w:tc>
          <w:tcPr>
            <w:tcW w:w="1587" w:type="dxa"/>
            <w:tcBorders>
              <w:right w:val="single" w:sz="4" w:space="0" w:color="000000"/>
            </w:tcBorders>
          </w:tcPr>
          <w:p>
            <w:pPr>
              <w:pStyle w:val="TableParagraph"/>
              <w:ind w:left="530"/>
              <w:rPr>
                <w:sz w:val="21"/>
              </w:rPr>
            </w:pPr>
            <w:r>
              <w:rPr>
                <w:spacing w:val="-2"/>
                <w:sz w:val="21"/>
              </w:rPr>
              <w:t>0.166</w:t>
            </w:r>
          </w:p>
        </w:tc>
        <w:tc>
          <w:tcPr>
            <w:tcW w:w="1532" w:type="dxa"/>
            <w:tcBorders>
              <w:left w:val="single" w:sz="4" w:space="0" w:color="000000"/>
            </w:tcBorders>
          </w:tcPr>
          <w:p>
            <w:pPr>
              <w:pStyle w:val="TableParagraph"/>
              <w:ind w:left="324" w:right="336"/>
              <w:jc w:val="center"/>
              <w:rPr>
                <w:sz w:val="21"/>
              </w:rPr>
            </w:pPr>
            <w:r>
              <w:rPr>
                <w:spacing w:val="-5"/>
                <w:sz w:val="21"/>
              </w:rPr>
              <w:t>71</w:t>
            </w:r>
          </w:p>
        </w:tc>
        <w:tc>
          <w:tcPr>
            <w:tcW w:w="1501" w:type="dxa"/>
          </w:tcPr>
          <w:p>
            <w:pPr>
              <w:pStyle w:val="TableParagraph"/>
              <w:ind w:right="453"/>
              <w:jc w:val="right"/>
              <w:rPr>
                <w:sz w:val="21"/>
              </w:rPr>
            </w:pPr>
            <w:r>
              <w:rPr>
                <w:spacing w:val="-2"/>
                <w:sz w:val="21"/>
              </w:rPr>
              <w:t>20.127</w:t>
            </w:r>
          </w:p>
        </w:tc>
        <w:tc>
          <w:tcPr>
            <w:tcW w:w="1477" w:type="dxa"/>
            <w:tcBorders>
              <w:right w:val="single" w:sz="4" w:space="0" w:color="000000"/>
            </w:tcBorders>
          </w:tcPr>
          <w:p>
            <w:pPr>
              <w:pStyle w:val="TableParagraph"/>
              <w:ind w:right="424"/>
              <w:jc w:val="right"/>
              <w:rPr>
                <w:sz w:val="21"/>
              </w:rPr>
            </w:pPr>
            <w:r>
              <w:rPr>
                <w:spacing w:val="-2"/>
                <w:sz w:val="21"/>
              </w:rPr>
              <w:t>11.627</w:t>
            </w:r>
          </w:p>
        </w:tc>
      </w:tr>
      <w:tr>
        <w:trPr>
          <w:trHeight w:val="311" w:hRule="atLeast"/>
        </w:trPr>
        <w:tc>
          <w:tcPr>
            <w:tcW w:w="1602" w:type="dxa"/>
            <w:tcBorders>
              <w:left w:val="single" w:sz="4" w:space="0" w:color="000000"/>
            </w:tcBorders>
          </w:tcPr>
          <w:p>
            <w:pPr>
              <w:pStyle w:val="TableParagraph"/>
              <w:ind w:left="321" w:right="409"/>
              <w:jc w:val="center"/>
              <w:rPr>
                <w:sz w:val="21"/>
              </w:rPr>
            </w:pPr>
            <w:r>
              <w:rPr>
                <w:spacing w:val="-5"/>
                <w:sz w:val="21"/>
              </w:rPr>
              <w:t>19</w:t>
            </w:r>
          </w:p>
        </w:tc>
        <w:tc>
          <w:tcPr>
            <w:tcW w:w="1487" w:type="dxa"/>
          </w:tcPr>
          <w:p>
            <w:pPr>
              <w:pStyle w:val="TableParagraph"/>
              <w:ind w:right="523"/>
              <w:jc w:val="right"/>
              <w:rPr>
                <w:sz w:val="21"/>
              </w:rPr>
            </w:pPr>
            <w:r>
              <w:rPr>
                <w:spacing w:val="-2"/>
                <w:sz w:val="21"/>
              </w:rPr>
              <w:t>0.318</w:t>
            </w:r>
          </w:p>
        </w:tc>
        <w:tc>
          <w:tcPr>
            <w:tcW w:w="1587" w:type="dxa"/>
            <w:tcBorders>
              <w:right w:val="single" w:sz="4" w:space="0" w:color="000000"/>
            </w:tcBorders>
          </w:tcPr>
          <w:p>
            <w:pPr>
              <w:pStyle w:val="TableParagraph"/>
              <w:ind w:left="530"/>
              <w:rPr>
                <w:sz w:val="21"/>
              </w:rPr>
            </w:pPr>
            <w:r>
              <w:rPr>
                <w:spacing w:val="-2"/>
                <w:sz w:val="21"/>
              </w:rPr>
              <w:t>0.170</w:t>
            </w:r>
          </w:p>
        </w:tc>
        <w:tc>
          <w:tcPr>
            <w:tcW w:w="1532" w:type="dxa"/>
            <w:tcBorders>
              <w:left w:val="single" w:sz="4" w:space="0" w:color="000000"/>
            </w:tcBorders>
          </w:tcPr>
          <w:p>
            <w:pPr>
              <w:pStyle w:val="TableParagraph"/>
              <w:ind w:left="324" w:right="336"/>
              <w:jc w:val="center"/>
              <w:rPr>
                <w:sz w:val="21"/>
              </w:rPr>
            </w:pPr>
            <w:r>
              <w:rPr>
                <w:spacing w:val="-5"/>
                <w:sz w:val="21"/>
              </w:rPr>
              <w:t>72</w:t>
            </w:r>
          </w:p>
        </w:tc>
        <w:tc>
          <w:tcPr>
            <w:tcW w:w="1501" w:type="dxa"/>
          </w:tcPr>
          <w:p>
            <w:pPr>
              <w:pStyle w:val="TableParagraph"/>
              <w:ind w:right="453"/>
              <w:jc w:val="right"/>
              <w:rPr>
                <w:sz w:val="21"/>
              </w:rPr>
            </w:pPr>
            <w:r>
              <w:rPr>
                <w:spacing w:val="-2"/>
                <w:sz w:val="21"/>
              </w:rPr>
              <w:t>22.641</w:t>
            </w:r>
          </w:p>
        </w:tc>
        <w:tc>
          <w:tcPr>
            <w:tcW w:w="1477" w:type="dxa"/>
            <w:tcBorders>
              <w:right w:val="single" w:sz="4" w:space="0" w:color="000000"/>
            </w:tcBorders>
          </w:tcPr>
          <w:p>
            <w:pPr>
              <w:pStyle w:val="TableParagraph"/>
              <w:ind w:right="424"/>
              <w:jc w:val="right"/>
              <w:rPr>
                <w:sz w:val="21"/>
              </w:rPr>
            </w:pPr>
            <w:r>
              <w:rPr>
                <w:spacing w:val="-2"/>
                <w:sz w:val="21"/>
              </w:rPr>
              <w:t>13.281</w:t>
            </w:r>
          </w:p>
        </w:tc>
      </w:tr>
      <w:tr>
        <w:trPr>
          <w:trHeight w:val="312" w:hRule="atLeast"/>
        </w:trPr>
        <w:tc>
          <w:tcPr>
            <w:tcW w:w="1602" w:type="dxa"/>
            <w:tcBorders>
              <w:left w:val="single" w:sz="4" w:space="0" w:color="000000"/>
            </w:tcBorders>
          </w:tcPr>
          <w:p>
            <w:pPr>
              <w:pStyle w:val="TableParagraph"/>
              <w:ind w:left="321" w:right="409"/>
              <w:jc w:val="center"/>
              <w:rPr>
                <w:sz w:val="21"/>
              </w:rPr>
            </w:pPr>
            <w:r>
              <w:rPr>
                <w:spacing w:val="-5"/>
                <w:sz w:val="21"/>
              </w:rPr>
              <w:t>20</w:t>
            </w:r>
          </w:p>
        </w:tc>
        <w:tc>
          <w:tcPr>
            <w:tcW w:w="1487" w:type="dxa"/>
          </w:tcPr>
          <w:p>
            <w:pPr>
              <w:pStyle w:val="TableParagraph"/>
              <w:ind w:right="523"/>
              <w:jc w:val="right"/>
              <w:rPr>
                <w:sz w:val="21"/>
              </w:rPr>
            </w:pPr>
            <w:r>
              <w:rPr>
                <w:spacing w:val="-2"/>
                <w:sz w:val="21"/>
              </w:rPr>
              <w:t>0.330</w:t>
            </w:r>
          </w:p>
        </w:tc>
        <w:tc>
          <w:tcPr>
            <w:tcW w:w="1587" w:type="dxa"/>
            <w:tcBorders>
              <w:right w:val="single" w:sz="4" w:space="0" w:color="000000"/>
            </w:tcBorders>
          </w:tcPr>
          <w:p>
            <w:pPr>
              <w:pStyle w:val="TableParagraph"/>
              <w:ind w:left="530"/>
              <w:rPr>
                <w:sz w:val="21"/>
              </w:rPr>
            </w:pPr>
            <w:r>
              <w:rPr>
                <w:spacing w:val="-2"/>
                <w:sz w:val="21"/>
              </w:rPr>
              <w:t>0.175</w:t>
            </w:r>
          </w:p>
        </w:tc>
        <w:tc>
          <w:tcPr>
            <w:tcW w:w="1532" w:type="dxa"/>
            <w:tcBorders>
              <w:left w:val="single" w:sz="4" w:space="0" w:color="000000"/>
            </w:tcBorders>
          </w:tcPr>
          <w:p>
            <w:pPr>
              <w:pStyle w:val="TableParagraph"/>
              <w:ind w:left="324" w:right="336"/>
              <w:jc w:val="center"/>
              <w:rPr>
                <w:sz w:val="21"/>
              </w:rPr>
            </w:pPr>
            <w:r>
              <w:rPr>
                <w:spacing w:val="-5"/>
                <w:sz w:val="21"/>
              </w:rPr>
              <w:t>73</w:t>
            </w:r>
          </w:p>
        </w:tc>
        <w:tc>
          <w:tcPr>
            <w:tcW w:w="1501" w:type="dxa"/>
          </w:tcPr>
          <w:p>
            <w:pPr>
              <w:pStyle w:val="TableParagraph"/>
              <w:ind w:right="453"/>
              <w:jc w:val="right"/>
              <w:rPr>
                <w:sz w:val="21"/>
              </w:rPr>
            </w:pPr>
            <w:r>
              <w:rPr>
                <w:spacing w:val="-2"/>
                <w:sz w:val="21"/>
              </w:rPr>
              <w:t>25.418</w:t>
            </w:r>
          </w:p>
        </w:tc>
        <w:tc>
          <w:tcPr>
            <w:tcW w:w="1477" w:type="dxa"/>
            <w:tcBorders>
              <w:right w:val="single" w:sz="4" w:space="0" w:color="000000"/>
            </w:tcBorders>
          </w:tcPr>
          <w:p>
            <w:pPr>
              <w:pStyle w:val="TableParagraph"/>
              <w:ind w:right="424"/>
              <w:jc w:val="right"/>
              <w:rPr>
                <w:sz w:val="21"/>
              </w:rPr>
            </w:pPr>
            <w:r>
              <w:rPr>
                <w:spacing w:val="-2"/>
                <w:sz w:val="21"/>
              </w:rPr>
              <w:t>15.147</w:t>
            </w:r>
          </w:p>
        </w:tc>
      </w:tr>
      <w:tr>
        <w:trPr>
          <w:trHeight w:val="312" w:hRule="atLeast"/>
        </w:trPr>
        <w:tc>
          <w:tcPr>
            <w:tcW w:w="1602" w:type="dxa"/>
            <w:tcBorders>
              <w:left w:val="single" w:sz="4" w:space="0" w:color="000000"/>
            </w:tcBorders>
          </w:tcPr>
          <w:p>
            <w:pPr>
              <w:pStyle w:val="TableParagraph"/>
              <w:ind w:left="321" w:right="409"/>
              <w:jc w:val="center"/>
              <w:rPr>
                <w:sz w:val="21"/>
              </w:rPr>
            </w:pPr>
            <w:r>
              <w:rPr>
                <w:spacing w:val="-5"/>
                <w:sz w:val="21"/>
              </w:rPr>
              <w:t>21</w:t>
            </w:r>
          </w:p>
        </w:tc>
        <w:tc>
          <w:tcPr>
            <w:tcW w:w="1487" w:type="dxa"/>
          </w:tcPr>
          <w:p>
            <w:pPr>
              <w:pStyle w:val="TableParagraph"/>
              <w:ind w:right="523"/>
              <w:jc w:val="right"/>
              <w:rPr>
                <w:sz w:val="21"/>
              </w:rPr>
            </w:pPr>
            <w:r>
              <w:rPr>
                <w:spacing w:val="-2"/>
                <w:sz w:val="21"/>
              </w:rPr>
              <w:t>0.343</w:t>
            </w:r>
          </w:p>
        </w:tc>
        <w:tc>
          <w:tcPr>
            <w:tcW w:w="1587" w:type="dxa"/>
            <w:tcBorders>
              <w:right w:val="single" w:sz="4" w:space="0" w:color="000000"/>
            </w:tcBorders>
          </w:tcPr>
          <w:p>
            <w:pPr>
              <w:pStyle w:val="TableParagraph"/>
              <w:ind w:left="530"/>
              <w:rPr>
                <w:sz w:val="21"/>
              </w:rPr>
            </w:pPr>
            <w:r>
              <w:rPr>
                <w:spacing w:val="-2"/>
                <w:sz w:val="21"/>
              </w:rPr>
              <w:t>0.178</w:t>
            </w:r>
          </w:p>
        </w:tc>
        <w:tc>
          <w:tcPr>
            <w:tcW w:w="1532" w:type="dxa"/>
            <w:tcBorders>
              <w:left w:val="single" w:sz="4" w:space="0" w:color="000000"/>
            </w:tcBorders>
          </w:tcPr>
          <w:p>
            <w:pPr>
              <w:pStyle w:val="TableParagraph"/>
              <w:ind w:left="324" w:right="336"/>
              <w:jc w:val="center"/>
              <w:rPr>
                <w:sz w:val="21"/>
              </w:rPr>
            </w:pPr>
            <w:r>
              <w:rPr>
                <w:spacing w:val="-5"/>
                <w:sz w:val="21"/>
              </w:rPr>
              <w:t>74</w:t>
            </w:r>
          </w:p>
        </w:tc>
        <w:tc>
          <w:tcPr>
            <w:tcW w:w="1501" w:type="dxa"/>
          </w:tcPr>
          <w:p>
            <w:pPr>
              <w:pStyle w:val="TableParagraph"/>
              <w:ind w:right="453"/>
              <w:jc w:val="right"/>
              <w:rPr>
                <w:sz w:val="21"/>
              </w:rPr>
            </w:pPr>
            <w:r>
              <w:rPr>
                <w:spacing w:val="-2"/>
                <w:sz w:val="21"/>
              </w:rPr>
              <w:t>28.467</w:t>
            </w:r>
          </w:p>
        </w:tc>
        <w:tc>
          <w:tcPr>
            <w:tcW w:w="1477" w:type="dxa"/>
            <w:tcBorders>
              <w:right w:val="single" w:sz="4" w:space="0" w:color="000000"/>
            </w:tcBorders>
          </w:tcPr>
          <w:p>
            <w:pPr>
              <w:pStyle w:val="TableParagraph"/>
              <w:ind w:right="424"/>
              <w:jc w:val="right"/>
              <w:rPr>
                <w:sz w:val="21"/>
              </w:rPr>
            </w:pPr>
            <w:r>
              <w:rPr>
                <w:spacing w:val="-2"/>
                <w:sz w:val="21"/>
              </w:rPr>
              <w:t>17.243</w:t>
            </w:r>
          </w:p>
        </w:tc>
      </w:tr>
      <w:tr>
        <w:trPr>
          <w:trHeight w:val="312" w:hRule="atLeast"/>
        </w:trPr>
        <w:tc>
          <w:tcPr>
            <w:tcW w:w="1602" w:type="dxa"/>
            <w:tcBorders>
              <w:left w:val="single" w:sz="4" w:space="0" w:color="000000"/>
            </w:tcBorders>
          </w:tcPr>
          <w:p>
            <w:pPr>
              <w:pStyle w:val="TableParagraph"/>
              <w:ind w:left="321" w:right="409"/>
              <w:jc w:val="center"/>
              <w:rPr>
                <w:sz w:val="21"/>
              </w:rPr>
            </w:pPr>
            <w:r>
              <w:rPr>
                <w:spacing w:val="-5"/>
                <w:sz w:val="21"/>
              </w:rPr>
              <w:t>22</w:t>
            </w:r>
          </w:p>
        </w:tc>
        <w:tc>
          <w:tcPr>
            <w:tcW w:w="1487" w:type="dxa"/>
          </w:tcPr>
          <w:p>
            <w:pPr>
              <w:pStyle w:val="TableParagraph"/>
              <w:ind w:right="523"/>
              <w:jc w:val="right"/>
              <w:rPr>
                <w:sz w:val="21"/>
              </w:rPr>
            </w:pPr>
            <w:r>
              <w:rPr>
                <w:spacing w:val="-2"/>
                <w:sz w:val="21"/>
              </w:rPr>
              <w:t>0.356</w:t>
            </w:r>
          </w:p>
        </w:tc>
        <w:tc>
          <w:tcPr>
            <w:tcW w:w="1587" w:type="dxa"/>
            <w:tcBorders>
              <w:right w:val="single" w:sz="4" w:space="0" w:color="000000"/>
            </w:tcBorders>
          </w:tcPr>
          <w:p>
            <w:pPr>
              <w:pStyle w:val="TableParagraph"/>
              <w:ind w:left="530"/>
              <w:rPr>
                <w:sz w:val="21"/>
              </w:rPr>
            </w:pPr>
            <w:r>
              <w:rPr>
                <w:spacing w:val="-2"/>
                <w:sz w:val="21"/>
              </w:rPr>
              <w:t>0.181</w:t>
            </w:r>
          </w:p>
        </w:tc>
        <w:tc>
          <w:tcPr>
            <w:tcW w:w="1532" w:type="dxa"/>
            <w:tcBorders>
              <w:left w:val="single" w:sz="4" w:space="0" w:color="000000"/>
            </w:tcBorders>
          </w:tcPr>
          <w:p>
            <w:pPr>
              <w:pStyle w:val="TableParagraph"/>
              <w:ind w:left="324" w:right="336"/>
              <w:jc w:val="center"/>
              <w:rPr>
                <w:sz w:val="21"/>
              </w:rPr>
            </w:pPr>
            <w:r>
              <w:rPr>
                <w:spacing w:val="-5"/>
                <w:sz w:val="21"/>
              </w:rPr>
              <w:t>75</w:t>
            </w:r>
          </w:p>
        </w:tc>
        <w:tc>
          <w:tcPr>
            <w:tcW w:w="1501" w:type="dxa"/>
          </w:tcPr>
          <w:p>
            <w:pPr>
              <w:pStyle w:val="TableParagraph"/>
              <w:ind w:right="453"/>
              <w:jc w:val="right"/>
              <w:rPr>
                <w:sz w:val="21"/>
              </w:rPr>
            </w:pPr>
            <w:r>
              <w:rPr>
                <w:spacing w:val="-2"/>
                <w:sz w:val="21"/>
              </w:rPr>
              <w:t>31.799</w:t>
            </w:r>
          </w:p>
        </w:tc>
        <w:tc>
          <w:tcPr>
            <w:tcW w:w="1477" w:type="dxa"/>
            <w:tcBorders>
              <w:right w:val="single" w:sz="4" w:space="0" w:color="000000"/>
            </w:tcBorders>
          </w:tcPr>
          <w:p>
            <w:pPr>
              <w:pStyle w:val="TableParagraph"/>
              <w:ind w:right="424"/>
              <w:jc w:val="right"/>
              <w:rPr>
                <w:sz w:val="21"/>
              </w:rPr>
            </w:pPr>
            <w:r>
              <w:rPr>
                <w:spacing w:val="-2"/>
                <w:sz w:val="21"/>
              </w:rPr>
              <w:t>19.589</w:t>
            </w:r>
          </w:p>
        </w:tc>
      </w:tr>
      <w:tr>
        <w:trPr>
          <w:trHeight w:val="311" w:hRule="atLeast"/>
        </w:trPr>
        <w:tc>
          <w:tcPr>
            <w:tcW w:w="1602" w:type="dxa"/>
            <w:tcBorders>
              <w:left w:val="single" w:sz="4" w:space="0" w:color="000000"/>
            </w:tcBorders>
          </w:tcPr>
          <w:p>
            <w:pPr>
              <w:pStyle w:val="TableParagraph"/>
              <w:ind w:left="321" w:right="409"/>
              <w:jc w:val="center"/>
              <w:rPr>
                <w:sz w:val="21"/>
              </w:rPr>
            </w:pPr>
            <w:r>
              <w:rPr>
                <w:spacing w:val="-5"/>
                <w:sz w:val="21"/>
              </w:rPr>
              <w:t>23</w:t>
            </w:r>
          </w:p>
        </w:tc>
        <w:tc>
          <w:tcPr>
            <w:tcW w:w="1487" w:type="dxa"/>
          </w:tcPr>
          <w:p>
            <w:pPr>
              <w:pStyle w:val="TableParagraph"/>
              <w:ind w:right="523"/>
              <w:jc w:val="right"/>
              <w:rPr>
                <w:sz w:val="21"/>
              </w:rPr>
            </w:pPr>
            <w:r>
              <w:rPr>
                <w:spacing w:val="-2"/>
                <w:sz w:val="21"/>
              </w:rPr>
              <w:t>0.369</w:t>
            </w:r>
          </w:p>
        </w:tc>
        <w:tc>
          <w:tcPr>
            <w:tcW w:w="1587" w:type="dxa"/>
            <w:tcBorders>
              <w:right w:val="single" w:sz="4" w:space="0" w:color="000000"/>
            </w:tcBorders>
          </w:tcPr>
          <w:p>
            <w:pPr>
              <w:pStyle w:val="TableParagraph"/>
              <w:ind w:left="530"/>
              <w:rPr>
                <w:sz w:val="21"/>
              </w:rPr>
            </w:pPr>
            <w:r>
              <w:rPr>
                <w:spacing w:val="-2"/>
                <w:sz w:val="21"/>
              </w:rPr>
              <w:t>0.185</w:t>
            </w:r>
          </w:p>
        </w:tc>
        <w:tc>
          <w:tcPr>
            <w:tcW w:w="1532" w:type="dxa"/>
            <w:tcBorders>
              <w:left w:val="single" w:sz="4" w:space="0" w:color="000000"/>
            </w:tcBorders>
          </w:tcPr>
          <w:p>
            <w:pPr>
              <w:pStyle w:val="TableParagraph"/>
              <w:ind w:left="324" w:right="336"/>
              <w:jc w:val="center"/>
              <w:rPr>
                <w:sz w:val="21"/>
              </w:rPr>
            </w:pPr>
            <w:r>
              <w:rPr>
                <w:spacing w:val="-5"/>
                <w:sz w:val="21"/>
              </w:rPr>
              <w:t>76</w:t>
            </w:r>
          </w:p>
        </w:tc>
        <w:tc>
          <w:tcPr>
            <w:tcW w:w="1501" w:type="dxa"/>
          </w:tcPr>
          <w:p>
            <w:pPr>
              <w:pStyle w:val="TableParagraph"/>
              <w:ind w:right="453"/>
              <w:jc w:val="right"/>
              <w:rPr>
                <w:sz w:val="21"/>
              </w:rPr>
            </w:pPr>
            <w:r>
              <w:rPr>
                <w:spacing w:val="-2"/>
                <w:sz w:val="21"/>
              </w:rPr>
              <w:t>35.429</w:t>
            </w:r>
          </w:p>
        </w:tc>
        <w:tc>
          <w:tcPr>
            <w:tcW w:w="1477" w:type="dxa"/>
            <w:tcBorders>
              <w:right w:val="single" w:sz="4" w:space="0" w:color="000000"/>
            </w:tcBorders>
          </w:tcPr>
          <w:p>
            <w:pPr>
              <w:pStyle w:val="TableParagraph"/>
              <w:ind w:right="424"/>
              <w:jc w:val="right"/>
              <w:rPr>
                <w:sz w:val="21"/>
              </w:rPr>
            </w:pPr>
            <w:r>
              <w:rPr>
                <w:spacing w:val="-2"/>
                <w:sz w:val="21"/>
              </w:rPr>
              <w:t>22.207</w:t>
            </w:r>
          </w:p>
        </w:tc>
      </w:tr>
      <w:tr>
        <w:trPr>
          <w:trHeight w:val="311" w:hRule="atLeast"/>
        </w:trPr>
        <w:tc>
          <w:tcPr>
            <w:tcW w:w="1602" w:type="dxa"/>
            <w:tcBorders>
              <w:left w:val="single" w:sz="4" w:space="0" w:color="000000"/>
            </w:tcBorders>
          </w:tcPr>
          <w:p>
            <w:pPr>
              <w:pStyle w:val="TableParagraph"/>
              <w:ind w:left="321" w:right="409"/>
              <w:jc w:val="center"/>
              <w:rPr>
                <w:sz w:val="21"/>
              </w:rPr>
            </w:pPr>
            <w:r>
              <w:rPr>
                <w:spacing w:val="-5"/>
                <w:sz w:val="21"/>
              </w:rPr>
              <w:t>24</w:t>
            </w:r>
          </w:p>
        </w:tc>
        <w:tc>
          <w:tcPr>
            <w:tcW w:w="1487" w:type="dxa"/>
          </w:tcPr>
          <w:p>
            <w:pPr>
              <w:pStyle w:val="TableParagraph"/>
              <w:ind w:right="523"/>
              <w:jc w:val="right"/>
              <w:rPr>
                <w:sz w:val="21"/>
              </w:rPr>
            </w:pPr>
            <w:r>
              <w:rPr>
                <w:spacing w:val="-2"/>
                <w:sz w:val="21"/>
              </w:rPr>
              <w:t>0.384</w:t>
            </w:r>
          </w:p>
        </w:tc>
        <w:tc>
          <w:tcPr>
            <w:tcW w:w="1587" w:type="dxa"/>
            <w:tcBorders>
              <w:right w:val="single" w:sz="4" w:space="0" w:color="000000"/>
            </w:tcBorders>
          </w:tcPr>
          <w:p>
            <w:pPr>
              <w:pStyle w:val="TableParagraph"/>
              <w:ind w:left="530"/>
              <w:rPr>
                <w:sz w:val="21"/>
              </w:rPr>
            </w:pPr>
            <w:r>
              <w:rPr>
                <w:spacing w:val="-2"/>
                <w:sz w:val="21"/>
              </w:rPr>
              <w:t>0.188</w:t>
            </w:r>
          </w:p>
        </w:tc>
        <w:tc>
          <w:tcPr>
            <w:tcW w:w="1532" w:type="dxa"/>
            <w:tcBorders>
              <w:left w:val="single" w:sz="4" w:space="0" w:color="000000"/>
            </w:tcBorders>
          </w:tcPr>
          <w:p>
            <w:pPr>
              <w:pStyle w:val="TableParagraph"/>
              <w:ind w:left="324" w:right="336"/>
              <w:jc w:val="center"/>
              <w:rPr>
                <w:sz w:val="21"/>
              </w:rPr>
            </w:pPr>
            <w:r>
              <w:rPr>
                <w:spacing w:val="-5"/>
                <w:sz w:val="21"/>
              </w:rPr>
              <w:t>77</w:t>
            </w:r>
          </w:p>
        </w:tc>
        <w:tc>
          <w:tcPr>
            <w:tcW w:w="1501" w:type="dxa"/>
          </w:tcPr>
          <w:p>
            <w:pPr>
              <w:pStyle w:val="TableParagraph"/>
              <w:ind w:right="453"/>
              <w:jc w:val="right"/>
              <w:rPr>
                <w:sz w:val="21"/>
              </w:rPr>
            </w:pPr>
            <w:r>
              <w:rPr>
                <w:spacing w:val="-2"/>
                <w:sz w:val="21"/>
              </w:rPr>
              <w:t>39.381</w:t>
            </w:r>
          </w:p>
        </w:tc>
        <w:tc>
          <w:tcPr>
            <w:tcW w:w="1477" w:type="dxa"/>
            <w:tcBorders>
              <w:right w:val="single" w:sz="4" w:space="0" w:color="000000"/>
            </w:tcBorders>
          </w:tcPr>
          <w:p>
            <w:pPr>
              <w:pStyle w:val="TableParagraph"/>
              <w:ind w:right="424"/>
              <w:jc w:val="right"/>
              <w:rPr>
                <w:sz w:val="21"/>
              </w:rPr>
            </w:pPr>
            <w:r>
              <w:rPr>
                <w:spacing w:val="-2"/>
                <w:sz w:val="21"/>
              </w:rPr>
              <w:t>25.124</w:t>
            </w:r>
          </w:p>
        </w:tc>
      </w:tr>
      <w:tr>
        <w:trPr>
          <w:trHeight w:val="311" w:hRule="atLeast"/>
        </w:trPr>
        <w:tc>
          <w:tcPr>
            <w:tcW w:w="1602" w:type="dxa"/>
            <w:tcBorders>
              <w:left w:val="single" w:sz="4" w:space="0" w:color="000000"/>
            </w:tcBorders>
          </w:tcPr>
          <w:p>
            <w:pPr>
              <w:pStyle w:val="TableParagraph"/>
              <w:ind w:left="321" w:right="409"/>
              <w:jc w:val="center"/>
              <w:rPr>
                <w:sz w:val="21"/>
              </w:rPr>
            </w:pPr>
            <w:r>
              <w:rPr>
                <w:spacing w:val="-5"/>
                <w:sz w:val="21"/>
              </w:rPr>
              <w:t>25</w:t>
            </w:r>
          </w:p>
        </w:tc>
        <w:tc>
          <w:tcPr>
            <w:tcW w:w="1487" w:type="dxa"/>
          </w:tcPr>
          <w:p>
            <w:pPr>
              <w:pStyle w:val="TableParagraph"/>
              <w:ind w:right="523"/>
              <w:jc w:val="right"/>
              <w:rPr>
                <w:sz w:val="21"/>
              </w:rPr>
            </w:pPr>
            <w:r>
              <w:rPr>
                <w:spacing w:val="-2"/>
                <w:sz w:val="21"/>
              </w:rPr>
              <w:t>0.400</w:t>
            </w:r>
          </w:p>
        </w:tc>
        <w:tc>
          <w:tcPr>
            <w:tcW w:w="1587" w:type="dxa"/>
            <w:tcBorders>
              <w:right w:val="single" w:sz="4" w:space="0" w:color="000000"/>
            </w:tcBorders>
          </w:tcPr>
          <w:p>
            <w:pPr>
              <w:pStyle w:val="TableParagraph"/>
              <w:ind w:left="530"/>
              <w:rPr>
                <w:sz w:val="21"/>
              </w:rPr>
            </w:pPr>
            <w:r>
              <w:rPr>
                <w:spacing w:val="-2"/>
                <w:sz w:val="21"/>
              </w:rPr>
              <w:t>0.191</w:t>
            </w:r>
          </w:p>
        </w:tc>
        <w:tc>
          <w:tcPr>
            <w:tcW w:w="1532" w:type="dxa"/>
            <w:tcBorders>
              <w:left w:val="single" w:sz="4" w:space="0" w:color="000000"/>
            </w:tcBorders>
          </w:tcPr>
          <w:p>
            <w:pPr>
              <w:pStyle w:val="TableParagraph"/>
              <w:ind w:left="324" w:right="336"/>
              <w:jc w:val="center"/>
              <w:rPr>
                <w:sz w:val="21"/>
              </w:rPr>
            </w:pPr>
            <w:r>
              <w:rPr>
                <w:spacing w:val="-5"/>
                <w:sz w:val="21"/>
              </w:rPr>
              <w:t>78</w:t>
            </w:r>
          </w:p>
        </w:tc>
        <w:tc>
          <w:tcPr>
            <w:tcW w:w="1501" w:type="dxa"/>
          </w:tcPr>
          <w:p>
            <w:pPr>
              <w:pStyle w:val="TableParagraph"/>
              <w:ind w:right="453"/>
              <w:jc w:val="right"/>
              <w:rPr>
                <w:sz w:val="21"/>
              </w:rPr>
            </w:pPr>
            <w:r>
              <w:rPr>
                <w:spacing w:val="-2"/>
                <w:sz w:val="21"/>
              </w:rPr>
              <w:t>43.681</w:t>
            </w:r>
          </w:p>
        </w:tc>
        <w:tc>
          <w:tcPr>
            <w:tcW w:w="1477" w:type="dxa"/>
            <w:tcBorders>
              <w:right w:val="single" w:sz="4" w:space="0" w:color="000000"/>
            </w:tcBorders>
          </w:tcPr>
          <w:p>
            <w:pPr>
              <w:pStyle w:val="TableParagraph"/>
              <w:ind w:right="424"/>
              <w:jc w:val="right"/>
              <w:rPr>
                <w:sz w:val="21"/>
              </w:rPr>
            </w:pPr>
            <w:r>
              <w:rPr>
                <w:spacing w:val="-2"/>
                <w:sz w:val="21"/>
              </w:rPr>
              <w:t>28.371</w:t>
            </w:r>
          </w:p>
        </w:tc>
      </w:tr>
      <w:tr>
        <w:trPr>
          <w:trHeight w:val="312" w:hRule="atLeast"/>
        </w:trPr>
        <w:tc>
          <w:tcPr>
            <w:tcW w:w="1602" w:type="dxa"/>
            <w:tcBorders>
              <w:left w:val="single" w:sz="4" w:space="0" w:color="000000"/>
            </w:tcBorders>
          </w:tcPr>
          <w:p>
            <w:pPr>
              <w:pStyle w:val="TableParagraph"/>
              <w:ind w:left="321" w:right="409"/>
              <w:jc w:val="center"/>
              <w:rPr>
                <w:sz w:val="21"/>
              </w:rPr>
            </w:pPr>
            <w:r>
              <w:rPr>
                <w:spacing w:val="-5"/>
                <w:sz w:val="21"/>
              </w:rPr>
              <w:t>26</w:t>
            </w:r>
          </w:p>
        </w:tc>
        <w:tc>
          <w:tcPr>
            <w:tcW w:w="1487" w:type="dxa"/>
          </w:tcPr>
          <w:p>
            <w:pPr>
              <w:pStyle w:val="TableParagraph"/>
              <w:ind w:right="523"/>
              <w:jc w:val="right"/>
              <w:rPr>
                <w:sz w:val="21"/>
              </w:rPr>
            </w:pPr>
            <w:r>
              <w:rPr>
                <w:spacing w:val="-2"/>
                <w:sz w:val="21"/>
              </w:rPr>
              <w:t>0.419</w:t>
            </w:r>
          </w:p>
        </w:tc>
        <w:tc>
          <w:tcPr>
            <w:tcW w:w="1587" w:type="dxa"/>
            <w:tcBorders>
              <w:right w:val="single" w:sz="4" w:space="0" w:color="000000"/>
            </w:tcBorders>
          </w:tcPr>
          <w:p>
            <w:pPr>
              <w:pStyle w:val="TableParagraph"/>
              <w:ind w:left="530"/>
              <w:rPr>
                <w:sz w:val="21"/>
              </w:rPr>
            </w:pPr>
            <w:r>
              <w:rPr>
                <w:spacing w:val="-2"/>
                <w:sz w:val="21"/>
              </w:rPr>
              <w:t>0.195</w:t>
            </w:r>
          </w:p>
        </w:tc>
        <w:tc>
          <w:tcPr>
            <w:tcW w:w="1532" w:type="dxa"/>
            <w:tcBorders>
              <w:left w:val="single" w:sz="4" w:space="0" w:color="000000"/>
            </w:tcBorders>
          </w:tcPr>
          <w:p>
            <w:pPr>
              <w:pStyle w:val="TableParagraph"/>
              <w:ind w:left="324" w:right="336"/>
              <w:jc w:val="center"/>
              <w:rPr>
                <w:sz w:val="21"/>
              </w:rPr>
            </w:pPr>
            <w:r>
              <w:rPr>
                <w:spacing w:val="-5"/>
                <w:sz w:val="21"/>
              </w:rPr>
              <w:t>79</w:t>
            </w:r>
          </w:p>
        </w:tc>
        <w:tc>
          <w:tcPr>
            <w:tcW w:w="1501" w:type="dxa"/>
          </w:tcPr>
          <w:p>
            <w:pPr>
              <w:pStyle w:val="TableParagraph"/>
              <w:ind w:right="453"/>
              <w:jc w:val="right"/>
              <w:rPr>
                <w:sz w:val="21"/>
              </w:rPr>
            </w:pPr>
            <w:r>
              <w:rPr>
                <w:spacing w:val="-2"/>
                <w:sz w:val="21"/>
              </w:rPr>
              <w:t>48.360</w:t>
            </w:r>
          </w:p>
        </w:tc>
        <w:tc>
          <w:tcPr>
            <w:tcW w:w="1477" w:type="dxa"/>
            <w:tcBorders>
              <w:right w:val="single" w:sz="4" w:space="0" w:color="000000"/>
            </w:tcBorders>
          </w:tcPr>
          <w:p>
            <w:pPr>
              <w:pStyle w:val="TableParagraph"/>
              <w:ind w:right="424"/>
              <w:jc w:val="right"/>
              <w:rPr>
                <w:sz w:val="21"/>
              </w:rPr>
            </w:pPr>
            <w:r>
              <w:rPr>
                <w:spacing w:val="-2"/>
                <w:sz w:val="21"/>
              </w:rPr>
              <w:t>31.983</w:t>
            </w:r>
          </w:p>
        </w:tc>
      </w:tr>
      <w:tr>
        <w:trPr>
          <w:trHeight w:val="311" w:hRule="atLeast"/>
        </w:trPr>
        <w:tc>
          <w:tcPr>
            <w:tcW w:w="1602" w:type="dxa"/>
            <w:tcBorders>
              <w:left w:val="single" w:sz="4" w:space="0" w:color="000000"/>
            </w:tcBorders>
          </w:tcPr>
          <w:p>
            <w:pPr>
              <w:pStyle w:val="TableParagraph"/>
              <w:ind w:left="321" w:right="409"/>
              <w:jc w:val="center"/>
              <w:rPr>
                <w:sz w:val="21"/>
              </w:rPr>
            </w:pPr>
            <w:r>
              <w:rPr>
                <w:spacing w:val="-5"/>
                <w:sz w:val="21"/>
              </w:rPr>
              <w:t>27</w:t>
            </w:r>
          </w:p>
        </w:tc>
        <w:tc>
          <w:tcPr>
            <w:tcW w:w="1487" w:type="dxa"/>
          </w:tcPr>
          <w:p>
            <w:pPr>
              <w:pStyle w:val="TableParagraph"/>
              <w:ind w:right="523"/>
              <w:jc w:val="right"/>
              <w:rPr>
                <w:sz w:val="21"/>
              </w:rPr>
            </w:pPr>
            <w:r>
              <w:rPr>
                <w:spacing w:val="-2"/>
                <w:sz w:val="21"/>
              </w:rPr>
              <w:t>0.439</w:t>
            </w:r>
          </w:p>
        </w:tc>
        <w:tc>
          <w:tcPr>
            <w:tcW w:w="1587" w:type="dxa"/>
            <w:tcBorders>
              <w:right w:val="single" w:sz="4" w:space="0" w:color="000000"/>
            </w:tcBorders>
          </w:tcPr>
          <w:p>
            <w:pPr>
              <w:pStyle w:val="TableParagraph"/>
              <w:ind w:left="530"/>
              <w:rPr>
                <w:sz w:val="21"/>
              </w:rPr>
            </w:pPr>
            <w:r>
              <w:rPr>
                <w:spacing w:val="-2"/>
                <w:sz w:val="21"/>
              </w:rPr>
              <w:t>0.200</w:t>
            </w:r>
          </w:p>
        </w:tc>
        <w:tc>
          <w:tcPr>
            <w:tcW w:w="1532" w:type="dxa"/>
            <w:tcBorders>
              <w:left w:val="single" w:sz="4" w:space="0" w:color="000000"/>
            </w:tcBorders>
          </w:tcPr>
          <w:p>
            <w:pPr>
              <w:pStyle w:val="TableParagraph"/>
              <w:ind w:left="324" w:right="336"/>
              <w:jc w:val="center"/>
              <w:rPr>
                <w:sz w:val="21"/>
              </w:rPr>
            </w:pPr>
            <w:r>
              <w:rPr>
                <w:spacing w:val="-5"/>
                <w:sz w:val="21"/>
              </w:rPr>
              <w:t>80</w:t>
            </w:r>
          </w:p>
        </w:tc>
        <w:tc>
          <w:tcPr>
            <w:tcW w:w="1501" w:type="dxa"/>
          </w:tcPr>
          <w:p>
            <w:pPr>
              <w:pStyle w:val="TableParagraph"/>
              <w:ind w:right="453"/>
              <w:jc w:val="right"/>
              <w:rPr>
                <w:sz w:val="21"/>
              </w:rPr>
            </w:pPr>
            <w:r>
              <w:rPr>
                <w:spacing w:val="-2"/>
                <w:sz w:val="21"/>
              </w:rPr>
              <w:t>53.443</w:t>
            </w:r>
          </w:p>
        </w:tc>
        <w:tc>
          <w:tcPr>
            <w:tcW w:w="1477" w:type="dxa"/>
            <w:tcBorders>
              <w:right w:val="single" w:sz="4" w:space="0" w:color="000000"/>
            </w:tcBorders>
          </w:tcPr>
          <w:p>
            <w:pPr>
              <w:pStyle w:val="TableParagraph"/>
              <w:ind w:right="424"/>
              <w:jc w:val="right"/>
              <w:rPr>
                <w:sz w:val="21"/>
              </w:rPr>
            </w:pPr>
            <w:r>
              <w:rPr>
                <w:spacing w:val="-2"/>
                <w:sz w:val="21"/>
              </w:rPr>
              <w:t>36.000</w:t>
            </w:r>
          </w:p>
        </w:tc>
      </w:tr>
      <w:tr>
        <w:trPr>
          <w:trHeight w:val="312" w:hRule="atLeast"/>
        </w:trPr>
        <w:tc>
          <w:tcPr>
            <w:tcW w:w="1602" w:type="dxa"/>
            <w:tcBorders>
              <w:left w:val="single" w:sz="4" w:space="0" w:color="000000"/>
            </w:tcBorders>
          </w:tcPr>
          <w:p>
            <w:pPr>
              <w:pStyle w:val="TableParagraph"/>
              <w:ind w:left="321" w:right="409"/>
              <w:jc w:val="center"/>
              <w:rPr>
                <w:sz w:val="21"/>
              </w:rPr>
            </w:pPr>
            <w:r>
              <w:rPr>
                <w:spacing w:val="-5"/>
                <w:sz w:val="21"/>
              </w:rPr>
              <w:t>28</w:t>
            </w:r>
          </w:p>
        </w:tc>
        <w:tc>
          <w:tcPr>
            <w:tcW w:w="1487" w:type="dxa"/>
          </w:tcPr>
          <w:p>
            <w:pPr>
              <w:pStyle w:val="TableParagraph"/>
              <w:ind w:right="523"/>
              <w:jc w:val="right"/>
              <w:rPr>
                <w:sz w:val="21"/>
              </w:rPr>
            </w:pPr>
            <w:r>
              <w:rPr>
                <w:spacing w:val="-2"/>
                <w:sz w:val="21"/>
              </w:rPr>
              <w:t>0.462</w:t>
            </w:r>
          </w:p>
        </w:tc>
        <w:tc>
          <w:tcPr>
            <w:tcW w:w="1587" w:type="dxa"/>
            <w:tcBorders>
              <w:right w:val="single" w:sz="4" w:space="0" w:color="000000"/>
            </w:tcBorders>
          </w:tcPr>
          <w:p>
            <w:pPr>
              <w:pStyle w:val="TableParagraph"/>
              <w:ind w:left="530"/>
              <w:rPr>
                <w:sz w:val="21"/>
              </w:rPr>
            </w:pPr>
            <w:r>
              <w:rPr>
                <w:spacing w:val="-2"/>
                <w:sz w:val="21"/>
              </w:rPr>
              <w:t>0.205</w:t>
            </w:r>
          </w:p>
        </w:tc>
        <w:tc>
          <w:tcPr>
            <w:tcW w:w="1532" w:type="dxa"/>
            <w:tcBorders>
              <w:left w:val="single" w:sz="4" w:space="0" w:color="000000"/>
            </w:tcBorders>
          </w:tcPr>
          <w:p>
            <w:pPr>
              <w:pStyle w:val="TableParagraph"/>
              <w:ind w:left="324" w:right="336"/>
              <w:jc w:val="center"/>
              <w:rPr>
                <w:sz w:val="21"/>
              </w:rPr>
            </w:pPr>
            <w:r>
              <w:rPr>
                <w:spacing w:val="-5"/>
                <w:sz w:val="21"/>
              </w:rPr>
              <w:t>81</w:t>
            </w:r>
          </w:p>
        </w:tc>
        <w:tc>
          <w:tcPr>
            <w:tcW w:w="1501" w:type="dxa"/>
          </w:tcPr>
          <w:p>
            <w:pPr>
              <w:pStyle w:val="TableParagraph"/>
              <w:ind w:right="453"/>
              <w:jc w:val="right"/>
              <w:rPr>
                <w:sz w:val="21"/>
              </w:rPr>
            </w:pPr>
            <w:r>
              <w:rPr>
                <w:spacing w:val="-2"/>
                <w:sz w:val="21"/>
              </w:rPr>
              <w:t>58.955</w:t>
            </w:r>
          </w:p>
        </w:tc>
        <w:tc>
          <w:tcPr>
            <w:tcW w:w="1477" w:type="dxa"/>
            <w:tcBorders>
              <w:right w:val="single" w:sz="4" w:space="0" w:color="000000"/>
            </w:tcBorders>
          </w:tcPr>
          <w:p>
            <w:pPr>
              <w:pStyle w:val="TableParagraph"/>
              <w:ind w:right="424"/>
              <w:jc w:val="right"/>
              <w:rPr>
                <w:sz w:val="21"/>
              </w:rPr>
            </w:pPr>
            <w:r>
              <w:rPr>
                <w:spacing w:val="-2"/>
                <w:sz w:val="21"/>
              </w:rPr>
              <w:t>40.465</w:t>
            </w:r>
          </w:p>
        </w:tc>
      </w:tr>
      <w:tr>
        <w:trPr>
          <w:trHeight w:val="312" w:hRule="atLeast"/>
        </w:trPr>
        <w:tc>
          <w:tcPr>
            <w:tcW w:w="1602" w:type="dxa"/>
            <w:tcBorders>
              <w:left w:val="single" w:sz="4" w:space="0" w:color="000000"/>
            </w:tcBorders>
          </w:tcPr>
          <w:p>
            <w:pPr>
              <w:pStyle w:val="TableParagraph"/>
              <w:ind w:left="321" w:right="409"/>
              <w:jc w:val="center"/>
              <w:rPr>
                <w:sz w:val="21"/>
              </w:rPr>
            </w:pPr>
            <w:r>
              <w:rPr>
                <w:spacing w:val="-5"/>
                <w:sz w:val="21"/>
              </w:rPr>
              <w:t>29</w:t>
            </w:r>
          </w:p>
        </w:tc>
        <w:tc>
          <w:tcPr>
            <w:tcW w:w="1487" w:type="dxa"/>
          </w:tcPr>
          <w:p>
            <w:pPr>
              <w:pStyle w:val="TableParagraph"/>
              <w:ind w:right="523"/>
              <w:jc w:val="right"/>
              <w:rPr>
                <w:sz w:val="21"/>
              </w:rPr>
            </w:pPr>
            <w:r>
              <w:rPr>
                <w:spacing w:val="-2"/>
                <w:sz w:val="21"/>
              </w:rPr>
              <w:t>0.488</w:t>
            </w:r>
          </w:p>
        </w:tc>
        <w:tc>
          <w:tcPr>
            <w:tcW w:w="1587" w:type="dxa"/>
            <w:tcBorders>
              <w:right w:val="single" w:sz="4" w:space="0" w:color="000000"/>
            </w:tcBorders>
          </w:tcPr>
          <w:p>
            <w:pPr>
              <w:pStyle w:val="TableParagraph"/>
              <w:ind w:left="530"/>
              <w:rPr>
                <w:sz w:val="21"/>
              </w:rPr>
            </w:pPr>
            <w:r>
              <w:rPr>
                <w:spacing w:val="-2"/>
                <w:sz w:val="21"/>
              </w:rPr>
              <w:t>0.213</w:t>
            </w:r>
          </w:p>
        </w:tc>
        <w:tc>
          <w:tcPr>
            <w:tcW w:w="1532" w:type="dxa"/>
            <w:tcBorders>
              <w:left w:val="single" w:sz="4" w:space="0" w:color="000000"/>
            </w:tcBorders>
          </w:tcPr>
          <w:p>
            <w:pPr>
              <w:pStyle w:val="TableParagraph"/>
              <w:ind w:left="324" w:right="336"/>
              <w:jc w:val="center"/>
              <w:rPr>
                <w:sz w:val="21"/>
              </w:rPr>
            </w:pPr>
            <w:r>
              <w:rPr>
                <w:spacing w:val="-5"/>
                <w:sz w:val="21"/>
              </w:rPr>
              <w:t>82</w:t>
            </w:r>
          </w:p>
        </w:tc>
        <w:tc>
          <w:tcPr>
            <w:tcW w:w="1501" w:type="dxa"/>
          </w:tcPr>
          <w:p>
            <w:pPr>
              <w:pStyle w:val="TableParagraph"/>
              <w:ind w:right="453"/>
              <w:jc w:val="right"/>
              <w:rPr>
                <w:sz w:val="21"/>
              </w:rPr>
            </w:pPr>
            <w:r>
              <w:rPr>
                <w:spacing w:val="-2"/>
                <w:sz w:val="21"/>
              </w:rPr>
              <w:t>64.914</w:t>
            </w:r>
          </w:p>
        </w:tc>
        <w:tc>
          <w:tcPr>
            <w:tcW w:w="1477" w:type="dxa"/>
            <w:tcBorders>
              <w:right w:val="single" w:sz="4" w:space="0" w:color="000000"/>
            </w:tcBorders>
          </w:tcPr>
          <w:p>
            <w:pPr>
              <w:pStyle w:val="TableParagraph"/>
              <w:ind w:right="424"/>
              <w:jc w:val="right"/>
              <w:rPr>
                <w:sz w:val="21"/>
              </w:rPr>
            </w:pPr>
            <w:r>
              <w:rPr>
                <w:spacing w:val="-2"/>
                <w:sz w:val="21"/>
              </w:rPr>
              <w:t>45.422</w:t>
            </w:r>
          </w:p>
        </w:tc>
      </w:tr>
      <w:tr>
        <w:trPr>
          <w:trHeight w:val="312" w:hRule="atLeast"/>
        </w:trPr>
        <w:tc>
          <w:tcPr>
            <w:tcW w:w="1602" w:type="dxa"/>
            <w:tcBorders>
              <w:left w:val="single" w:sz="4" w:space="0" w:color="000000"/>
            </w:tcBorders>
          </w:tcPr>
          <w:p>
            <w:pPr>
              <w:pStyle w:val="TableParagraph"/>
              <w:ind w:left="321" w:right="409"/>
              <w:jc w:val="center"/>
              <w:rPr>
                <w:sz w:val="21"/>
              </w:rPr>
            </w:pPr>
            <w:r>
              <w:rPr>
                <w:spacing w:val="-5"/>
                <w:sz w:val="21"/>
              </w:rPr>
              <w:t>30</w:t>
            </w:r>
          </w:p>
        </w:tc>
        <w:tc>
          <w:tcPr>
            <w:tcW w:w="1487" w:type="dxa"/>
          </w:tcPr>
          <w:p>
            <w:pPr>
              <w:pStyle w:val="TableParagraph"/>
              <w:ind w:right="523"/>
              <w:jc w:val="right"/>
              <w:rPr>
                <w:sz w:val="21"/>
              </w:rPr>
            </w:pPr>
            <w:r>
              <w:rPr>
                <w:spacing w:val="-2"/>
                <w:sz w:val="21"/>
              </w:rPr>
              <w:t>0.518</w:t>
            </w:r>
          </w:p>
        </w:tc>
        <w:tc>
          <w:tcPr>
            <w:tcW w:w="1587" w:type="dxa"/>
            <w:tcBorders>
              <w:right w:val="single" w:sz="4" w:space="0" w:color="000000"/>
            </w:tcBorders>
          </w:tcPr>
          <w:p>
            <w:pPr>
              <w:pStyle w:val="TableParagraph"/>
              <w:ind w:left="530"/>
              <w:rPr>
                <w:sz w:val="21"/>
              </w:rPr>
            </w:pPr>
            <w:r>
              <w:rPr>
                <w:spacing w:val="-2"/>
                <w:sz w:val="21"/>
              </w:rPr>
              <w:t>0.221</w:t>
            </w:r>
          </w:p>
        </w:tc>
        <w:tc>
          <w:tcPr>
            <w:tcW w:w="1532" w:type="dxa"/>
            <w:tcBorders>
              <w:left w:val="single" w:sz="4" w:space="0" w:color="000000"/>
            </w:tcBorders>
          </w:tcPr>
          <w:p>
            <w:pPr>
              <w:pStyle w:val="TableParagraph"/>
              <w:ind w:left="324" w:right="336"/>
              <w:jc w:val="center"/>
              <w:rPr>
                <w:sz w:val="21"/>
              </w:rPr>
            </w:pPr>
            <w:r>
              <w:rPr>
                <w:spacing w:val="-5"/>
                <w:sz w:val="21"/>
              </w:rPr>
              <w:t>83</w:t>
            </w:r>
          </w:p>
        </w:tc>
        <w:tc>
          <w:tcPr>
            <w:tcW w:w="1501" w:type="dxa"/>
          </w:tcPr>
          <w:p>
            <w:pPr>
              <w:pStyle w:val="TableParagraph"/>
              <w:ind w:right="453"/>
              <w:jc w:val="right"/>
              <w:rPr>
                <w:sz w:val="21"/>
              </w:rPr>
            </w:pPr>
            <w:r>
              <w:rPr>
                <w:spacing w:val="-2"/>
                <w:sz w:val="21"/>
              </w:rPr>
              <w:t>71.340</w:t>
            </w:r>
          </w:p>
        </w:tc>
        <w:tc>
          <w:tcPr>
            <w:tcW w:w="1477" w:type="dxa"/>
            <w:tcBorders>
              <w:right w:val="single" w:sz="4" w:space="0" w:color="000000"/>
            </w:tcBorders>
          </w:tcPr>
          <w:p>
            <w:pPr>
              <w:pStyle w:val="TableParagraph"/>
              <w:ind w:right="424"/>
              <w:jc w:val="right"/>
              <w:rPr>
                <w:sz w:val="21"/>
              </w:rPr>
            </w:pPr>
            <w:r>
              <w:rPr>
                <w:spacing w:val="-2"/>
                <w:sz w:val="21"/>
              </w:rPr>
              <w:t>50.908</w:t>
            </w:r>
          </w:p>
        </w:tc>
      </w:tr>
      <w:tr>
        <w:trPr>
          <w:trHeight w:val="311" w:hRule="atLeast"/>
        </w:trPr>
        <w:tc>
          <w:tcPr>
            <w:tcW w:w="1602" w:type="dxa"/>
            <w:tcBorders>
              <w:left w:val="single" w:sz="4" w:space="0" w:color="000000"/>
            </w:tcBorders>
          </w:tcPr>
          <w:p>
            <w:pPr>
              <w:pStyle w:val="TableParagraph"/>
              <w:ind w:left="321" w:right="409"/>
              <w:jc w:val="center"/>
              <w:rPr>
                <w:sz w:val="21"/>
              </w:rPr>
            </w:pPr>
            <w:r>
              <w:rPr>
                <w:spacing w:val="-5"/>
                <w:sz w:val="21"/>
              </w:rPr>
              <w:t>31</w:t>
            </w:r>
          </w:p>
        </w:tc>
        <w:tc>
          <w:tcPr>
            <w:tcW w:w="1487" w:type="dxa"/>
          </w:tcPr>
          <w:p>
            <w:pPr>
              <w:pStyle w:val="TableParagraph"/>
              <w:ind w:right="523"/>
              <w:jc w:val="right"/>
              <w:rPr>
                <w:sz w:val="21"/>
              </w:rPr>
            </w:pPr>
            <w:r>
              <w:rPr>
                <w:spacing w:val="-2"/>
                <w:sz w:val="21"/>
              </w:rPr>
              <w:t>0.551</w:t>
            </w:r>
          </w:p>
        </w:tc>
        <w:tc>
          <w:tcPr>
            <w:tcW w:w="1587" w:type="dxa"/>
            <w:tcBorders>
              <w:right w:val="single" w:sz="4" w:space="0" w:color="000000"/>
            </w:tcBorders>
          </w:tcPr>
          <w:p>
            <w:pPr>
              <w:pStyle w:val="TableParagraph"/>
              <w:ind w:left="530"/>
              <w:rPr>
                <w:sz w:val="21"/>
              </w:rPr>
            </w:pPr>
            <w:r>
              <w:rPr>
                <w:spacing w:val="-2"/>
                <w:sz w:val="21"/>
              </w:rPr>
              <w:t>0.231</w:t>
            </w:r>
          </w:p>
        </w:tc>
        <w:tc>
          <w:tcPr>
            <w:tcW w:w="1532" w:type="dxa"/>
            <w:tcBorders>
              <w:left w:val="single" w:sz="4" w:space="0" w:color="000000"/>
            </w:tcBorders>
          </w:tcPr>
          <w:p>
            <w:pPr>
              <w:pStyle w:val="TableParagraph"/>
              <w:ind w:left="324" w:right="336"/>
              <w:jc w:val="center"/>
              <w:rPr>
                <w:sz w:val="21"/>
              </w:rPr>
            </w:pPr>
            <w:r>
              <w:rPr>
                <w:spacing w:val="-5"/>
                <w:sz w:val="21"/>
              </w:rPr>
              <w:t>84</w:t>
            </w:r>
          </w:p>
        </w:tc>
        <w:tc>
          <w:tcPr>
            <w:tcW w:w="1501" w:type="dxa"/>
          </w:tcPr>
          <w:p>
            <w:pPr>
              <w:pStyle w:val="TableParagraph"/>
              <w:ind w:right="453"/>
              <w:jc w:val="right"/>
              <w:rPr>
                <w:sz w:val="21"/>
              </w:rPr>
            </w:pPr>
            <w:r>
              <w:rPr>
                <w:spacing w:val="-2"/>
                <w:sz w:val="21"/>
              </w:rPr>
              <w:t>78.252</w:t>
            </w:r>
          </w:p>
        </w:tc>
        <w:tc>
          <w:tcPr>
            <w:tcW w:w="1477" w:type="dxa"/>
            <w:tcBorders>
              <w:right w:val="single" w:sz="4" w:space="0" w:color="000000"/>
            </w:tcBorders>
          </w:tcPr>
          <w:p>
            <w:pPr>
              <w:pStyle w:val="TableParagraph"/>
              <w:ind w:right="424"/>
              <w:jc w:val="right"/>
              <w:rPr>
                <w:sz w:val="21"/>
              </w:rPr>
            </w:pPr>
            <w:r>
              <w:rPr>
                <w:spacing w:val="-2"/>
                <w:sz w:val="21"/>
              </w:rPr>
              <w:t>56.947</w:t>
            </w:r>
          </w:p>
        </w:tc>
      </w:tr>
      <w:tr>
        <w:trPr>
          <w:trHeight w:val="312" w:hRule="atLeast"/>
        </w:trPr>
        <w:tc>
          <w:tcPr>
            <w:tcW w:w="1602" w:type="dxa"/>
            <w:tcBorders>
              <w:left w:val="single" w:sz="4" w:space="0" w:color="000000"/>
            </w:tcBorders>
          </w:tcPr>
          <w:p>
            <w:pPr>
              <w:pStyle w:val="TableParagraph"/>
              <w:ind w:left="321" w:right="409"/>
              <w:jc w:val="center"/>
              <w:rPr>
                <w:sz w:val="21"/>
              </w:rPr>
            </w:pPr>
            <w:r>
              <w:rPr>
                <w:spacing w:val="-5"/>
                <w:sz w:val="21"/>
              </w:rPr>
              <w:t>32</w:t>
            </w:r>
          </w:p>
        </w:tc>
        <w:tc>
          <w:tcPr>
            <w:tcW w:w="1487" w:type="dxa"/>
          </w:tcPr>
          <w:p>
            <w:pPr>
              <w:pStyle w:val="TableParagraph"/>
              <w:ind w:right="523"/>
              <w:jc w:val="right"/>
              <w:rPr>
                <w:sz w:val="21"/>
              </w:rPr>
            </w:pPr>
            <w:r>
              <w:rPr>
                <w:spacing w:val="-2"/>
                <w:sz w:val="21"/>
              </w:rPr>
              <w:t>0.587</w:t>
            </w:r>
          </w:p>
        </w:tc>
        <w:tc>
          <w:tcPr>
            <w:tcW w:w="1587" w:type="dxa"/>
            <w:tcBorders>
              <w:right w:val="single" w:sz="4" w:space="0" w:color="000000"/>
            </w:tcBorders>
          </w:tcPr>
          <w:p>
            <w:pPr>
              <w:pStyle w:val="TableParagraph"/>
              <w:ind w:left="530"/>
              <w:rPr>
                <w:sz w:val="21"/>
              </w:rPr>
            </w:pPr>
            <w:r>
              <w:rPr>
                <w:spacing w:val="-2"/>
                <w:sz w:val="21"/>
              </w:rPr>
              <w:t>0.243</w:t>
            </w:r>
          </w:p>
        </w:tc>
        <w:tc>
          <w:tcPr>
            <w:tcW w:w="1532" w:type="dxa"/>
            <w:tcBorders>
              <w:left w:val="single" w:sz="4" w:space="0" w:color="000000"/>
            </w:tcBorders>
          </w:tcPr>
          <w:p>
            <w:pPr>
              <w:pStyle w:val="TableParagraph"/>
              <w:ind w:left="324" w:right="336"/>
              <w:jc w:val="center"/>
              <w:rPr>
                <w:sz w:val="21"/>
              </w:rPr>
            </w:pPr>
            <w:r>
              <w:rPr>
                <w:spacing w:val="-5"/>
                <w:sz w:val="21"/>
              </w:rPr>
              <w:t>85</w:t>
            </w:r>
          </w:p>
        </w:tc>
        <w:tc>
          <w:tcPr>
            <w:tcW w:w="1501" w:type="dxa"/>
          </w:tcPr>
          <w:p>
            <w:pPr>
              <w:pStyle w:val="TableParagraph"/>
              <w:ind w:right="453"/>
              <w:jc w:val="right"/>
              <w:rPr>
                <w:sz w:val="21"/>
              </w:rPr>
            </w:pPr>
            <w:r>
              <w:rPr>
                <w:spacing w:val="-2"/>
                <w:sz w:val="21"/>
              </w:rPr>
              <w:t>85.681</w:t>
            </w:r>
          </w:p>
        </w:tc>
        <w:tc>
          <w:tcPr>
            <w:tcW w:w="1477" w:type="dxa"/>
            <w:tcBorders>
              <w:right w:val="single" w:sz="4" w:space="0" w:color="000000"/>
            </w:tcBorders>
          </w:tcPr>
          <w:p>
            <w:pPr>
              <w:pStyle w:val="TableParagraph"/>
              <w:ind w:right="424"/>
              <w:jc w:val="right"/>
              <w:rPr>
                <w:sz w:val="21"/>
              </w:rPr>
            </w:pPr>
            <w:r>
              <w:rPr>
                <w:spacing w:val="-2"/>
                <w:sz w:val="21"/>
              </w:rPr>
              <w:t>63.540</w:t>
            </w:r>
          </w:p>
        </w:tc>
      </w:tr>
      <w:tr>
        <w:trPr>
          <w:trHeight w:val="311" w:hRule="atLeast"/>
        </w:trPr>
        <w:tc>
          <w:tcPr>
            <w:tcW w:w="1602" w:type="dxa"/>
            <w:tcBorders>
              <w:left w:val="single" w:sz="4" w:space="0" w:color="000000"/>
            </w:tcBorders>
          </w:tcPr>
          <w:p>
            <w:pPr>
              <w:pStyle w:val="TableParagraph"/>
              <w:ind w:left="321" w:right="409"/>
              <w:jc w:val="center"/>
              <w:rPr>
                <w:sz w:val="21"/>
              </w:rPr>
            </w:pPr>
            <w:r>
              <w:rPr>
                <w:spacing w:val="-5"/>
                <w:sz w:val="21"/>
              </w:rPr>
              <w:t>33</w:t>
            </w:r>
          </w:p>
        </w:tc>
        <w:tc>
          <w:tcPr>
            <w:tcW w:w="1487" w:type="dxa"/>
          </w:tcPr>
          <w:p>
            <w:pPr>
              <w:pStyle w:val="TableParagraph"/>
              <w:ind w:right="523"/>
              <w:jc w:val="right"/>
              <w:rPr>
                <w:sz w:val="21"/>
              </w:rPr>
            </w:pPr>
            <w:r>
              <w:rPr>
                <w:spacing w:val="-2"/>
                <w:sz w:val="21"/>
              </w:rPr>
              <w:t>0.628</w:t>
            </w:r>
          </w:p>
        </w:tc>
        <w:tc>
          <w:tcPr>
            <w:tcW w:w="1587" w:type="dxa"/>
            <w:tcBorders>
              <w:right w:val="single" w:sz="4" w:space="0" w:color="000000"/>
            </w:tcBorders>
          </w:tcPr>
          <w:p>
            <w:pPr>
              <w:pStyle w:val="TableParagraph"/>
              <w:ind w:left="530"/>
              <w:rPr>
                <w:sz w:val="21"/>
              </w:rPr>
            </w:pPr>
            <w:r>
              <w:rPr>
                <w:spacing w:val="-2"/>
                <w:sz w:val="21"/>
              </w:rPr>
              <w:t>0.258</w:t>
            </w:r>
          </w:p>
        </w:tc>
        <w:tc>
          <w:tcPr>
            <w:tcW w:w="1532" w:type="dxa"/>
            <w:tcBorders>
              <w:left w:val="single" w:sz="4" w:space="0" w:color="000000"/>
            </w:tcBorders>
          </w:tcPr>
          <w:p>
            <w:pPr>
              <w:pStyle w:val="TableParagraph"/>
              <w:ind w:left="324" w:right="336"/>
              <w:jc w:val="center"/>
              <w:rPr>
                <w:sz w:val="21"/>
              </w:rPr>
            </w:pPr>
            <w:r>
              <w:rPr>
                <w:spacing w:val="-5"/>
                <w:sz w:val="21"/>
              </w:rPr>
              <w:t>86</w:t>
            </w:r>
          </w:p>
        </w:tc>
        <w:tc>
          <w:tcPr>
            <w:tcW w:w="1501" w:type="dxa"/>
          </w:tcPr>
          <w:p>
            <w:pPr>
              <w:pStyle w:val="TableParagraph"/>
              <w:ind w:right="453"/>
              <w:jc w:val="right"/>
              <w:rPr>
                <w:sz w:val="21"/>
              </w:rPr>
            </w:pPr>
            <w:r>
              <w:rPr>
                <w:spacing w:val="-2"/>
                <w:sz w:val="21"/>
              </w:rPr>
              <w:t>93.668</w:t>
            </w:r>
          </w:p>
        </w:tc>
        <w:tc>
          <w:tcPr>
            <w:tcW w:w="1477" w:type="dxa"/>
            <w:tcBorders>
              <w:right w:val="single" w:sz="4" w:space="0" w:color="000000"/>
            </w:tcBorders>
          </w:tcPr>
          <w:p>
            <w:pPr>
              <w:pStyle w:val="TableParagraph"/>
              <w:ind w:right="424"/>
              <w:jc w:val="right"/>
              <w:rPr>
                <w:sz w:val="21"/>
              </w:rPr>
            </w:pPr>
            <w:r>
              <w:rPr>
                <w:spacing w:val="-2"/>
                <w:sz w:val="21"/>
              </w:rPr>
              <w:t>70.658</w:t>
            </w:r>
          </w:p>
        </w:tc>
      </w:tr>
      <w:tr>
        <w:trPr>
          <w:trHeight w:val="311" w:hRule="atLeast"/>
        </w:trPr>
        <w:tc>
          <w:tcPr>
            <w:tcW w:w="1602" w:type="dxa"/>
            <w:tcBorders>
              <w:left w:val="single" w:sz="4" w:space="0" w:color="000000"/>
            </w:tcBorders>
          </w:tcPr>
          <w:p>
            <w:pPr>
              <w:pStyle w:val="TableParagraph"/>
              <w:ind w:left="321" w:right="409"/>
              <w:jc w:val="center"/>
              <w:rPr>
                <w:sz w:val="21"/>
              </w:rPr>
            </w:pPr>
            <w:r>
              <w:rPr>
                <w:spacing w:val="-5"/>
                <w:sz w:val="21"/>
              </w:rPr>
              <w:t>34</w:t>
            </w:r>
          </w:p>
        </w:tc>
        <w:tc>
          <w:tcPr>
            <w:tcW w:w="1487" w:type="dxa"/>
          </w:tcPr>
          <w:p>
            <w:pPr>
              <w:pStyle w:val="TableParagraph"/>
              <w:ind w:right="523"/>
              <w:jc w:val="right"/>
              <w:rPr>
                <w:sz w:val="21"/>
              </w:rPr>
            </w:pPr>
            <w:r>
              <w:rPr>
                <w:spacing w:val="-2"/>
                <w:sz w:val="21"/>
              </w:rPr>
              <w:t>0.673</w:t>
            </w:r>
          </w:p>
        </w:tc>
        <w:tc>
          <w:tcPr>
            <w:tcW w:w="1587" w:type="dxa"/>
            <w:tcBorders>
              <w:right w:val="single" w:sz="4" w:space="0" w:color="000000"/>
            </w:tcBorders>
          </w:tcPr>
          <w:p>
            <w:pPr>
              <w:pStyle w:val="TableParagraph"/>
              <w:ind w:left="530"/>
              <w:rPr>
                <w:sz w:val="21"/>
              </w:rPr>
            </w:pPr>
            <w:r>
              <w:rPr>
                <w:spacing w:val="-2"/>
                <w:sz w:val="21"/>
              </w:rPr>
              <w:t>0.275</w:t>
            </w:r>
          </w:p>
        </w:tc>
        <w:tc>
          <w:tcPr>
            <w:tcW w:w="1532" w:type="dxa"/>
            <w:tcBorders>
              <w:left w:val="single" w:sz="4" w:space="0" w:color="000000"/>
            </w:tcBorders>
          </w:tcPr>
          <w:p>
            <w:pPr>
              <w:pStyle w:val="TableParagraph"/>
              <w:ind w:left="324" w:right="336"/>
              <w:jc w:val="center"/>
              <w:rPr>
                <w:sz w:val="21"/>
              </w:rPr>
            </w:pPr>
            <w:r>
              <w:rPr>
                <w:spacing w:val="-5"/>
                <w:sz w:val="21"/>
              </w:rPr>
              <w:t>87</w:t>
            </w:r>
          </w:p>
        </w:tc>
        <w:tc>
          <w:tcPr>
            <w:tcW w:w="1501" w:type="dxa"/>
          </w:tcPr>
          <w:p>
            <w:pPr>
              <w:pStyle w:val="TableParagraph"/>
              <w:ind w:right="402"/>
              <w:jc w:val="right"/>
              <w:rPr>
                <w:sz w:val="21"/>
              </w:rPr>
            </w:pPr>
            <w:r>
              <w:rPr>
                <w:spacing w:val="-2"/>
                <w:sz w:val="21"/>
              </w:rPr>
              <w:t>102.267</w:t>
            </w:r>
          </w:p>
        </w:tc>
        <w:tc>
          <w:tcPr>
            <w:tcW w:w="1477" w:type="dxa"/>
            <w:tcBorders>
              <w:right w:val="single" w:sz="4" w:space="0" w:color="000000"/>
            </w:tcBorders>
          </w:tcPr>
          <w:p>
            <w:pPr>
              <w:pStyle w:val="TableParagraph"/>
              <w:ind w:right="424"/>
              <w:jc w:val="right"/>
              <w:rPr>
                <w:sz w:val="21"/>
              </w:rPr>
            </w:pPr>
            <w:r>
              <w:rPr>
                <w:spacing w:val="-2"/>
                <w:sz w:val="21"/>
              </w:rPr>
              <w:t>78.241</w:t>
            </w:r>
          </w:p>
        </w:tc>
      </w:tr>
      <w:tr>
        <w:trPr>
          <w:trHeight w:val="311" w:hRule="atLeast"/>
        </w:trPr>
        <w:tc>
          <w:tcPr>
            <w:tcW w:w="1602" w:type="dxa"/>
            <w:tcBorders>
              <w:left w:val="single" w:sz="4" w:space="0" w:color="000000"/>
            </w:tcBorders>
          </w:tcPr>
          <w:p>
            <w:pPr>
              <w:pStyle w:val="TableParagraph"/>
              <w:ind w:left="321" w:right="409"/>
              <w:jc w:val="center"/>
              <w:rPr>
                <w:sz w:val="21"/>
              </w:rPr>
            </w:pPr>
            <w:r>
              <w:rPr>
                <w:spacing w:val="-5"/>
                <w:sz w:val="21"/>
              </w:rPr>
              <w:t>35</w:t>
            </w:r>
          </w:p>
        </w:tc>
        <w:tc>
          <w:tcPr>
            <w:tcW w:w="1487" w:type="dxa"/>
          </w:tcPr>
          <w:p>
            <w:pPr>
              <w:pStyle w:val="TableParagraph"/>
              <w:ind w:right="523"/>
              <w:jc w:val="right"/>
              <w:rPr>
                <w:sz w:val="21"/>
              </w:rPr>
            </w:pPr>
            <w:r>
              <w:rPr>
                <w:spacing w:val="-2"/>
                <w:sz w:val="21"/>
              </w:rPr>
              <w:t>0.722</w:t>
            </w:r>
          </w:p>
        </w:tc>
        <w:tc>
          <w:tcPr>
            <w:tcW w:w="1587" w:type="dxa"/>
            <w:tcBorders>
              <w:right w:val="single" w:sz="4" w:space="0" w:color="000000"/>
            </w:tcBorders>
          </w:tcPr>
          <w:p>
            <w:pPr>
              <w:pStyle w:val="TableParagraph"/>
              <w:ind w:left="530"/>
              <w:rPr>
                <w:sz w:val="21"/>
              </w:rPr>
            </w:pPr>
            <w:r>
              <w:rPr>
                <w:spacing w:val="-2"/>
                <w:sz w:val="21"/>
              </w:rPr>
              <w:t>0.295</w:t>
            </w:r>
          </w:p>
        </w:tc>
        <w:tc>
          <w:tcPr>
            <w:tcW w:w="1532" w:type="dxa"/>
            <w:tcBorders>
              <w:left w:val="single" w:sz="4" w:space="0" w:color="000000"/>
            </w:tcBorders>
          </w:tcPr>
          <w:p>
            <w:pPr>
              <w:pStyle w:val="TableParagraph"/>
              <w:ind w:left="324" w:right="336"/>
              <w:jc w:val="center"/>
              <w:rPr>
                <w:sz w:val="21"/>
              </w:rPr>
            </w:pPr>
            <w:r>
              <w:rPr>
                <w:spacing w:val="-5"/>
                <w:sz w:val="21"/>
              </w:rPr>
              <w:t>88</w:t>
            </w:r>
          </w:p>
        </w:tc>
        <w:tc>
          <w:tcPr>
            <w:tcW w:w="1501" w:type="dxa"/>
          </w:tcPr>
          <w:p>
            <w:pPr>
              <w:pStyle w:val="TableParagraph"/>
              <w:ind w:right="402"/>
              <w:jc w:val="right"/>
              <w:rPr>
                <w:sz w:val="21"/>
              </w:rPr>
            </w:pPr>
            <w:r>
              <w:rPr>
                <w:spacing w:val="-2"/>
                <w:sz w:val="21"/>
              </w:rPr>
              <w:t>111.546</w:t>
            </w:r>
          </w:p>
        </w:tc>
        <w:tc>
          <w:tcPr>
            <w:tcW w:w="1477" w:type="dxa"/>
            <w:tcBorders>
              <w:right w:val="single" w:sz="4" w:space="0" w:color="000000"/>
            </w:tcBorders>
          </w:tcPr>
          <w:p>
            <w:pPr>
              <w:pStyle w:val="TableParagraph"/>
              <w:ind w:right="424"/>
              <w:jc w:val="right"/>
              <w:rPr>
                <w:sz w:val="21"/>
              </w:rPr>
            </w:pPr>
            <w:r>
              <w:rPr>
                <w:spacing w:val="-2"/>
                <w:sz w:val="21"/>
              </w:rPr>
              <w:t>86.215</w:t>
            </w:r>
          </w:p>
        </w:tc>
      </w:tr>
      <w:tr>
        <w:trPr>
          <w:trHeight w:val="311" w:hRule="atLeast"/>
        </w:trPr>
        <w:tc>
          <w:tcPr>
            <w:tcW w:w="1602" w:type="dxa"/>
            <w:tcBorders>
              <w:left w:val="single" w:sz="4" w:space="0" w:color="000000"/>
            </w:tcBorders>
          </w:tcPr>
          <w:p>
            <w:pPr>
              <w:pStyle w:val="TableParagraph"/>
              <w:ind w:left="321" w:right="409"/>
              <w:jc w:val="center"/>
              <w:rPr>
                <w:sz w:val="21"/>
              </w:rPr>
            </w:pPr>
            <w:r>
              <w:rPr>
                <w:spacing w:val="-5"/>
                <w:sz w:val="21"/>
              </w:rPr>
              <w:t>36</w:t>
            </w:r>
          </w:p>
        </w:tc>
        <w:tc>
          <w:tcPr>
            <w:tcW w:w="1487" w:type="dxa"/>
          </w:tcPr>
          <w:p>
            <w:pPr>
              <w:pStyle w:val="TableParagraph"/>
              <w:ind w:right="523"/>
              <w:jc w:val="right"/>
              <w:rPr>
                <w:sz w:val="21"/>
              </w:rPr>
            </w:pPr>
            <w:r>
              <w:rPr>
                <w:spacing w:val="-2"/>
                <w:sz w:val="21"/>
              </w:rPr>
              <w:t>0.777</w:t>
            </w:r>
          </w:p>
        </w:tc>
        <w:tc>
          <w:tcPr>
            <w:tcW w:w="1587" w:type="dxa"/>
            <w:tcBorders>
              <w:right w:val="single" w:sz="4" w:space="0" w:color="000000"/>
            </w:tcBorders>
          </w:tcPr>
          <w:p>
            <w:pPr>
              <w:pStyle w:val="TableParagraph"/>
              <w:ind w:left="530"/>
              <w:rPr>
                <w:sz w:val="21"/>
              </w:rPr>
            </w:pPr>
            <w:r>
              <w:rPr>
                <w:spacing w:val="-2"/>
                <w:sz w:val="21"/>
              </w:rPr>
              <w:t>0.318</w:t>
            </w:r>
          </w:p>
        </w:tc>
        <w:tc>
          <w:tcPr>
            <w:tcW w:w="1532" w:type="dxa"/>
            <w:tcBorders>
              <w:left w:val="single" w:sz="4" w:space="0" w:color="000000"/>
            </w:tcBorders>
          </w:tcPr>
          <w:p>
            <w:pPr>
              <w:pStyle w:val="TableParagraph"/>
              <w:ind w:left="324" w:right="336"/>
              <w:jc w:val="center"/>
              <w:rPr>
                <w:sz w:val="21"/>
              </w:rPr>
            </w:pPr>
            <w:r>
              <w:rPr>
                <w:spacing w:val="-5"/>
                <w:sz w:val="21"/>
              </w:rPr>
              <w:t>89</w:t>
            </w:r>
          </w:p>
        </w:tc>
        <w:tc>
          <w:tcPr>
            <w:tcW w:w="1501" w:type="dxa"/>
          </w:tcPr>
          <w:p>
            <w:pPr>
              <w:pStyle w:val="TableParagraph"/>
              <w:ind w:right="402"/>
              <w:jc w:val="right"/>
              <w:rPr>
                <w:sz w:val="21"/>
              </w:rPr>
            </w:pPr>
            <w:r>
              <w:rPr>
                <w:spacing w:val="-2"/>
                <w:sz w:val="21"/>
              </w:rPr>
              <w:t>121.580</w:t>
            </w:r>
          </w:p>
        </w:tc>
        <w:tc>
          <w:tcPr>
            <w:tcW w:w="1477" w:type="dxa"/>
            <w:tcBorders>
              <w:right w:val="single" w:sz="4" w:space="0" w:color="000000"/>
            </w:tcBorders>
          </w:tcPr>
          <w:p>
            <w:pPr>
              <w:pStyle w:val="TableParagraph"/>
              <w:ind w:right="424"/>
              <w:jc w:val="right"/>
              <w:rPr>
                <w:sz w:val="21"/>
              </w:rPr>
            </w:pPr>
            <w:r>
              <w:rPr>
                <w:spacing w:val="-2"/>
                <w:sz w:val="21"/>
              </w:rPr>
              <w:t>94.507</w:t>
            </w:r>
          </w:p>
        </w:tc>
      </w:tr>
    </w:tbl>
    <w:p>
      <w:pPr>
        <w:spacing w:after="0"/>
        <w:jc w:val="right"/>
        <w:rPr>
          <w:sz w:val="21"/>
        </w:rPr>
        <w:sectPr>
          <w:type w:val="continuous"/>
          <w:pgSz w:w="11910" w:h="16840"/>
          <w:pgMar w:top="0" w:bottom="280" w:left="740" w:right="20"/>
        </w:sectPr>
      </w:pPr>
    </w:p>
    <w:tbl>
      <w:tblPr>
        <w:tblW w:w="0" w:type="auto"/>
        <w:jc w:val="left"/>
        <w:tblInd w:w="6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02"/>
        <w:gridCol w:w="1487"/>
        <w:gridCol w:w="1587"/>
        <w:gridCol w:w="1506"/>
        <w:gridCol w:w="1501"/>
        <w:gridCol w:w="1503"/>
      </w:tblGrid>
      <w:tr>
        <w:trPr>
          <w:trHeight w:val="313" w:hRule="atLeast"/>
        </w:trPr>
        <w:tc>
          <w:tcPr>
            <w:tcW w:w="1602" w:type="dxa"/>
            <w:tcBorders>
              <w:top w:val="single" w:sz="4" w:space="0" w:color="000000"/>
              <w:left w:val="single" w:sz="4" w:space="0" w:color="000000"/>
              <w:bottom w:val="single" w:sz="4" w:space="0" w:color="000000"/>
            </w:tcBorders>
          </w:tcPr>
          <w:p>
            <w:pPr>
              <w:pStyle w:val="TableParagraph"/>
              <w:spacing w:before="19"/>
              <w:ind w:left="324" w:right="409"/>
              <w:jc w:val="center"/>
              <w:rPr>
                <w:sz w:val="21"/>
              </w:rPr>
            </w:pPr>
            <w:r>
              <w:rPr>
                <w:spacing w:val="-4"/>
                <w:sz w:val="21"/>
              </w:rPr>
              <w:t>到达年龄</w:t>
            </w:r>
          </w:p>
        </w:tc>
        <w:tc>
          <w:tcPr>
            <w:tcW w:w="1487" w:type="dxa"/>
            <w:tcBorders>
              <w:top w:val="single" w:sz="4" w:space="0" w:color="000000"/>
              <w:bottom w:val="single" w:sz="4" w:space="0" w:color="000000"/>
            </w:tcBorders>
          </w:tcPr>
          <w:p>
            <w:pPr>
              <w:pStyle w:val="TableParagraph"/>
              <w:spacing w:before="19"/>
              <w:ind w:right="574"/>
              <w:jc w:val="right"/>
              <w:rPr>
                <w:sz w:val="21"/>
              </w:rPr>
            </w:pPr>
            <w:r>
              <w:rPr>
                <w:spacing w:val="-5"/>
                <w:sz w:val="21"/>
              </w:rPr>
              <w:t>男性</w:t>
            </w:r>
          </w:p>
        </w:tc>
        <w:tc>
          <w:tcPr>
            <w:tcW w:w="1587" w:type="dxa"/>
            <w:tcBorders>
              <w:top w:val="single" w:sz="4" w:space="0" w:color="000000"/>
              <w:bottom w:val="single" w:sz="4" w:space="0" w:color="000000"/>
              <w:right w:val="single" w:sz="4" w:space="0" w:color="000000"/>
            </w:tcBorders>
          </w:tcPr>
          <w:p>
            <w:pPr>
              <w:pStyle w:val="TableParagraph"/>
              <w:spacing w:before="19"/>
              <w:ind w:left="585"/>
              <w:rPr>
                <w:sz w:val="21"/>
              </w:rPr>
            </w:pPr>
            <w:r>
              <w:rPr>
                <w:spacing w:val="-5"/>
                <w:sz w:val="21"/>
              </w:rPr>
              <w:t>女性</w:t>
            </w:r>
          </w:p>
        </w:tc>
        <w:tc>
          <w:tcPr>
            <w:tcW w:w="1506" w:type="dxa"/>
            <w:tcBorders>
              <w:top w:val="single" w:sz="4" w:space="0" w:color="000000"/>
              <w:left w:val="single" w:sz="4" w:space="0" w:color="000000"/>
              <w:bottom w:val="single" w:sz="4" w:space="0" w:color="000000"/>
            </w:tcBorders>
          </w:tcPr>
          <w:p>
            <w:pPr>
              <w:pStyle w:val="TableParagraph"/>
              <w:spacing w:before="19"/>
              <w:ind w:left="325" w:right="312"/>
              <w:jc w:val="center"/>
              <w:rPr>
                <w:sz w:val="21"/>
              </w:rPr>
            </w:pPr>
            <w:r>
              <w:rPr>
                <w:spacing w:val="-4"/>
                <w:sz w:val="21"/>
              </w:rPr>
              <w:t>到达年龄</w:t>
            </w:r>
          </w:p>
        </w:tc>
        <w:tc>
          <w:tcPr>
            <w:tcW w:w="1501" w:type="dxa"/>
            <w:tcBorders>
              <w:top w:val="single" w:sz="4" w:space="0" w:color="000000"/>
              <w:bottom w:val="single" w:sz="4" w:space="0" w:color="000000"/>
            </w:tcBorders>
          </w:tcPr>
          <w:p>
            <w:pPr>
              <w:pStyle w:val="TableParagraph"/>
              <w:spacing w:before="19"/>
              <w:ind w:left="320" w:right="312"/>
              <w:jc w:val="center"/>
              <w:rPr>
                <w:sz w:val="21"/>
              </w:rPr>
            </w:pPr>
            <w:r>
              <w:rPr>
                <w:spacing w:val="-5"/>
                <w:sz w:val="21"/>
              </w:rPr>
              <w:t>男性</w:t>
            </w:r>
          </w:p>
        </w:tc>
        <w:tc>
          <w:tcPr>
            <w:tcW w:w="1503" w:type="dxa"/>
            <w:tcBorders>
              <w:top w:val="single" w:sz="4" w:space="0" w:color="000000"/>
              <w:bottom w:val="single" w:sz="4" w:space="0" w:color="000000"/>
              <w:right w:val="single" w:sz="4" w:space="0" w:color="000000"/>
            </w:tcBorders>
          </w:tcPr>
          <w:p>
            <w:pPr>
              <w:pStyle w:val="TableParagraph"/>
              <w:spacing w:before="19"/>
              <w:ind w:left="318" w:right="312"/>
              <w:jc w:val="center"/>
              <w:rPr>
                <w:sz w:val="21"/>
              </w:rPr>
            </w:pPr>
            <w:r>
              <w:rPr>
                <w:spacing w:val="-5"/>
                <w:sz w:val="21"/>
              </w:rPr>
              <w:t>女性</w:t>
            </w:r>
          </w:p>
        </w:tc>
      </w:tr>
      <w:tr>
        <w:trPr>
          <w:trHeight w:val="303" w:hRule="atLeast"/>
        </w:trPr>
        <w:tc>
          <w:tcPr>
            <w:tcW w:w="1602" w:type="dxa"/>
            <w:tcBorders>
              <w:top w:val="single" w:sz="4" w:space="0" w:color="000000"/>
              <w:left w:val="single" w:sz="4" w:space="0" w:color="000000"/>
            </w:tcBorders>
          </w:tcPr>
          <w:p>
            <w:pPr>
              <w:pStyle w:val="TableParagraph"/>
              <w:spacing w:before="7"/>
              <w:ind w:left="321" w:right="409"/>
              <w:jc w:val="center"/>
              <w:rPr>
                <w:sz w:val="21"/>
              </w:rPr>
            </w:pPr>
            <w:r>
              <w:rPr>
                <w:spacing w:val="-5"/>
                <w:sz w:val="21"/>
              </w:rPr>
              <w:t>37</w:t>
            </w:r>
          </w:p>
        </w:tc>
        <w:tc>
          <w:tcPr>
            <w:tcW w:w="1487" w:type="dxa"/>
            <w:tcBorders>
              <w:top w:val="single" w:sz="4" w:space="0" w:color="000000"/>
            </w:tcBorders>
          </w:tcPr>
          <w:p>
            <w:pPr>
              <w:pStyle w:val="TableParagraph"/>
              <w:spacing w:before="7"/>
              <w:ind w:right="523"/>
              <w:jc w:val="right"/>
              <w:rPr>
                <w:sz w:val="21"/>
              </w:rPr>
            </w:pPr>
            <w:r>
              <w:rPr>
                <w:spacing w:val="-2"/>
                <w:sz w:val="21"/>
              </w:rPr>
              <w:t>0.839</w:t>
            </w:r>
          </w:p>
        </w:tc>
        <w:tc>
          <w:tcPr>
            <w:tcW w:w="1587" w:type="dxa"/>
            <w:tcBorders>
              <w:top w:val="single" w:sz="4" w:space="0" w:color="000000"/>
              <w:right w:val="single" w:sz="4" w:space="0" w:color="000000"/>
            </w:tcBorders>
          </w:tcPr>
          <w:p>
            <w:pPr>
              <w:pStyle w:val="TableParagraph"/>
              <w:spacing w:before="7"/>
              <w:ind w:left="530"/>
              <w:rPr>
                <w:sz w:val="21"/>
              </w:rPr>
            </w:pPr>
            <w:r>
              <w:rPr>
                <w:spacing w:val="-2"/>
                <w:sz w:val="21"/>
              </w:rPr>
              <w:t>0.345</w:t>
            </w:r>
          </w:p>
        </w:tc>
        <w:tc>
          <w:tcPr>
            <w:tcW w:w="1506" w:type="dxa"/>
            <w:tcBorders>
              <w:top w:val="single" w:sz="4" w:space="0" w:color="000000"/>
              <w:left w:val="single" w:sz="4" w:space="0" w:color="000000"/>
            </w:tcBorders>
          </w:tcPr>
          <w:p>
            <w:pPr>
              <w:pStyle w:val="TableParagraph"/>
              <w:spacing w:before="7"/>
              <w:ind w:left="323" w:right="312"/>
              <w:jc w:val="center"/>
              <w:rPr>
                <w:sz w:val="21"/>
              </w:rPr>
            </w:pPr>
            <w:r>
              <w:rPr>
                <w:spacing w:val="-5"/>
                <w:sz w:val="21"/>
              </w:rPr>
              <w:t>90</w:t>
            </w:r>
          </w:p>
        </w:tc>
        <w:tc>
          <w:tcPr>
            <w:tcW w:w="1501" w:type="dxa"/>
            <w:tcBorders>
              <w:top w:val="single" w:sz="4" w:space="0" w:color="000000"/>
            </w:tcBorders>
          </w:tcPr>
          <w:p>
            <w:pPr>
              <w:pStyle w:val="TableParagraph"/>
              <w:spacing w:before="7"/>
              <w:ind w:right="376"/>
              <w:jc w:val="right"/>
              <w:rPr>
                <w:sz w:val="21"/>
              </w:rPr>
            </w:pPr>
            <w:r>
              <w:rPr>
                <w:spacing w:val="-2"/>
                <w:sz w:val="21"/>
              </w:rPr>
              <w:t>132.447</w:t>
            </w:r>
          </w:p>
        </w:tc>
        <w:tc>
          <w:tcPr>
            <w:tcW w:w="1503" w:type="dxa"/>
            <w:tcBorders>
              <w:top w:val="single" w:sz="4" w:space="0" w:color="000000"/>
              <w:right w:val="single" w:sz="4" w:space="0" w:color="000000"/>
            </w:tcBorders>
          </w:tcPr>
          <w:p>
            <w:pPr>
              <w:pStyle w:val="TableParagraph"/>
              <w:spacing w:before="7"/>
              <w:ind w:left="318" w:right="315"/>
              <w:jc w:val="center"/>
              <w:rPr>
                <w:sz w:val="21"/>
              </w:rPr>
            </w:pPr>
            <w:r>
              <w:rPr>
                <w:spacing w:val="-2"/>
                <w:sz w:val="21"/>
              </w:rPr>
              <w:t>103.072</w:t>
            </w:r>
          </w:p>
        </w:tc>
      </w:tr>
      <w:tr>
        <w:trPr>
          <w:trHeight w:val="312" w:hRule="atLeast"/>
        </w:trPr>
        <w:tc>
          <w:tcPr>
            <w:tcW w:w="1602" w:type="dxa"/>
            <w:tcBorders>
              <w:left w:val="single" w:sz="4" w:space="0" w:color="000000"/>
            </w:tcBorders>
          </w:tcPr>
          <w:p>
            <w:pPr>
              <w:pStyle w:val="TableParagraph"/>
              <w:spacing w:before="16"/>
              <w:ind w:left="321" w:right="409"/>
              <w:jc w:val="center"/>
              <w:rPr>
                <w:sz w:val="21"/>
              </w:rPr>
            </w:pPr>
            <w:r>
              <w:rPr>
                <w:spacing w:val="-5"/>
                <w:sz w:val="21"/>
              </w:rPr>
              <w:t>38</w:t>
            </w:r>
          </w:p>
        </w:tc>
        <w:tc>
          <w:tcPr>
            <w:tcW w:w="1487" w:type="dxa"/>
          </w:tcPr>
          <w:p>
            <w:pPr>
              <w:pStyle w:val="TableParagraph"/>
              <w:spacing w:before="16"/>
              <w:ind w:right="523"/>
              <w:jc w:val="right"/>
              <w:rPr>
                <w:sz w:val="21"/>
              </w:rPr>
            </w:pPr>
            <w:r>
              <w:rPr>
                <w:spacing w:val="-2"/>
                <w:sz w:val="21"/>
              </w:rPr>
              <w:t>0.907</w:t>
            </w:r>
          </w:p>
        </w:tc>
        <w:tc>
          <w:tcPr>
            <w:tcW w:w="1587" w:type="dxa"/>
            <w:tcBorders>
              <w:right w:val="single" w:sz="4" w:space="0" w:color="000000"/>
            </w:tcBorders>
          </w:tcPr>
          <w:p>
            <w:pPr>
              <w:pStyle w:val="TableParagraph"/>
              <w:spacing w:before="16"/>
              <w:ind w:left="530"/>
              <w:rPr>
                <w:sz w:val="21"/>
              </w:rPr>
            </w:pPr>
            <w:r>
              <w:rPr>
                <w:spacing w:val="-2"/>
                <w:sz w:val="21"/>
              </w:rPr>
              <w:t>0.375</w:t>
            </w:r>
          </w:p>
        </w:tc>
        <w:tc>
          <w:tcPr>
            <w:tcW w:w="1506" w:type="dxa"/>
            <w:tcBorders>
              <w:left w:val="single" w:sz="4" w:space="0" w:color="000000"/>
            </w:tcBorders>
          </w:tcPr>
          <w:p>
            <w:pPr>
              <w:pStyle w:val="TableParagraph"/>
              <w:spacing w:before="16"/>
              <w:ind w:left="323" w:right="312"/>
              <w:jc w:val="center"/>
              <w:rPr>
                <w:sz w:val="21"/>
              </w:rPr>
            </w:pPr>
            <w:r>
              <w:rPr>
                <w:spacing w:val="-5"/>
                <w:sz w:val="21"/>
              </w:rPr>
              <w:t>91</w:t>
            </w:r>
          </w:p>
        </w:tc>
        <w:tc>
          <w:tcPr>
            <w:tcW w:w="1501" w:type="dxa"/>
          </w:tcPr>
          <w:p>
            <w:pPr>
              <w:pStyle w:val="TableParagraph"/>
              <w:spacing w:before="16"/>
              <w:ind w:right="376"/>
              <w:jc w:val="right"/>
              <w:rPr>
                <w:sz w:val="21"/>
              </w:rPr>
            </w:pPr>
            <w:r>
              <w:rPr>
                <w:spacing w:val="-2"/>
                <w:sz w:val="21"/>
              </w:rPr>
              <w:t>144.217</w:t>
            </w:r>
          </w:p>
        </w:tc>
        <w:tc>
          <w:tcPr>
            <w:tcW w:w="1503" w:type="dxa"/>
            <w:tcBorders>
              <w:right w:val="single" w:sz="4" w:space="0" w:color="000000"/>
            </w:tcBorders>
          </w:tcPr>
          <w:p>
            <w:pPr>
              <w:pStyle w:val="TableParagraph"/>
              <w:spacing w:before="16"/>
              <w:ind w:left="318" w:right="315"/>
              <w:jc w:val="center"/>
              <w:rPr>
                <w:sz w:val="21"/>
              </w:rPr>
            </w:pPr>
            <w:r>
              <w:rPr>
                <w:spacing w:val="-2"/>
                <w:sz w:val="21"/>
              </w:rPr>
              <w:t>111.912</w:t>
            </w:r>
          </w:p>
        </w:tc>
      </w:tr>
      <w:tr>
        <w:trPr>
          <w:trHeight w:val="312" w:hRule="atLeast"/>
        </w:trPr>
        <w:tc>
          <w:tcPr>
            <w:tcW w:w="1602" w:type="dxa"/>
            <w:tcBorders>
              <w:left w:val="single" w:sz="4" w:space="0" w:color="000000"/>
            </w:tcBorders>
          </w:tcPr>
          <w:p>
            <w:pPr>
              <w:pStyle w:val="TableParagraph"/>
              <w:spacing w:before="16"/>
              <w:ind w:left="321" w:right="409"/>
              <w:jc w:val="center"/>
              <w:rPr>
                <w:sz w:val="21"/>
              </w:rPr>
            </w:pPr>
            <w:r>
              <w:rPr>
                <w:spacing w:val="-5"/>
                <w:sz w:val="21"/>
              </w:rPr>
              <w:t>39</w:t>
            </w:r>
          </w:p>
        </w:tc>
        <w:tc>
          <w:tcPr>
            <w:tcW w:w="1487" w:type="dxa"/>
          </w:tcPr>
          <w:p>
            <w:pPr>
              <w:pStyle w:val="TableParagraph"/>
              <w:spacing w:before="16"/>
              <w:ind w:right="523"/>
              <w:jc w:val="right"/>
              <w:rPr>
                <w:sz w:val="21"/>
              </w:rPr>
            </w:pPr>
            <w:r>
              <w:rPr>
                <w:spacing w:val="-2"/>
                <w:sz w:val="21"/>
              </w:rPr>
              <w:t>0.985</w:t>
            </w:r>
          </w:p>
        </w:tc>
        <w:tc>
          <w:tcPr>
            <w:tcW w:w="1587" w:type="dxa"/>
            <w:tcBorders>
              <w:right w:val="single" w:sz="4" w:space="0" w:color="000000"/>
            </w:tcBorders>
          </w:tcPr>
          <w:p>
            <w:pPr>
              <w:pStyle w:val="TableParagraph"/>
              <w:spacing w:before="16"/>
              <w:ind w:left="530"/>
              <w:rPr>
                <w:sz w:val="21"/>
              </w:rPr>
            </w:pPr>
            <w:r>
              <w:rPr>
                <w:spacing w:val="-2"/>
                <w:sz w:val="21"/>
              </w:rPr>
              <w:t>0.410</w:t>
            </w:r>
          </w:p>
        </w:tc>
        <w:tc>
          <w:tcPr>
            <w:tcW w:w="1506" w:type="dxa"/>
            <w:tcBorders>
              <w:left w:val="single" w:sz="4" w:space="0" w:color="000000"/>
            </w:tcBorders>
          </w:tcPr>
          <w:p>
            <w:pPr>
              <w:pStyle w:val="TableParagraph"/>
              <w:spacing w:before="16"/>
              <w:ind w:left="323" w:right="312"/>
              <w:jc w:val="center"/>
              <w:rPr>
                <w:sz w:val="21"/>
              </w:rPr>
            </w:pPr>
            <w:r>
              <w:rPr>
                <w:spacing w:val="-5"/>
                <w:sz w:val="21"/>
              </w:rPr>
              <w:t>92</w:t>
            </w:r>
          </w:p>
        </w:tc>
        <w:tc>
          <w:tcPr>
            <w:tcW w:w="1501" w:type="dxa"/>
          </w:tcPr>
          <w:p>
            <w:pPr>
              <w:pStyle w:val="TableParagraph"/>
              <w:spacing w:before="16"/>
              <w:ind w:right="376"/>
              <w:jc w:val="right"/>
              <w:rPr>
                <w:sz w:val="21"/>
              </w:rPr>
            </w:pPr>
            <w:r>
              <w:rPr>
                <w:spacing w:val="-2"/>
                <w:sz w:val="21"/>
              </w:rPr>
              <w:t>156.943</w:t>
            </w:r>
          </w:p>
        </w:tc>
        <w:tc>
          <w:tcPr>
            <w:tcW w:w="1503" w:type="dxa"/>
            <w:tcBorders>
              <w:right w:val="single" w:sz="4" w:space="0" w:color="000000"/>
            </w:tcBorders>
          </w:tcPr>
          <w:p>
            <w:pPr>
              <w:pStyle w:val="TableParagraph"/>
              <w:spacing w:before="16"/>
              <w:ind w:left="318" w:right="315"/>
              <w:jc w:val="center"/>
              <w:rPr>
                <w:sz w:val="21"/>
              </w:rPr>
            </w:pPr>
            <w:r>
              <w:rPr>
                <w:spacing w:val="-2"/>
                <w:sz w:val="21"/>
              </w:rPr>
              <w:t>121.091</w:t>
            </w:r>
          </w:p>
        </w:tc>
      </w:tr>
      <w:tr>
        <w:trPr>
          <w:trHeight w:val="312" w:hRule="atLeast"/>
        </w:trPr>
        <w:tc>
          <w:tcPr>
            <w:tcW w:w="1602" w:type="dxa"/>
            <w:tcBorders>
              <w:left w:val="single" w:sz="4" w:space="0" w:color="000000"/>
            </w:tcBorders>
          </w:tcPr>
          <w:p>
            <w:pPr>
              <w:pStyle w:val="TableParagraph"/>
              <w:spacing w:before="16"/>
              <w:ind w:left="321" w:right="409"/>
              <w:jc w:val="center"/>
              <w:rPr>
                <w:sz w:val="21"/>
              </w:rPr>
            </w:pPr>
            <w:r>
              <w:rPr>
                <w:spacing w:val="-5"/>
                <w:sz w:val="21"/>
              </w:rPr>
              <w:t>40</w:t>
            </w:r>
          </w:p>
        </w:tc>
        <w:tc>
          <w:tcPr>
            <w:tcW w:w="1487" w:type="dxa"/>
          </w:tcPr>
          <w:p>
            <w:pPr>
              <w:pStyle w:val="TableParagraph"/>
              <w:spacing w:before="16"/>
              <w:ind w:right="523"/>
              <w:jc w:val="right"/>
              <w:rPr>
                <w:sz w:val="21"/>
              </w:rPr>
            </w:pPr>
            <w:r>
              <w:rPr>
                <w:spacing w:val="-2"/>
                <w:sz w:val="21"/>
              </w:rPr>
              <w:t>1.073</w:t>
            </w:r>
          </w:p>
        </w:tc>
        <w:tc>
          <w:tcPr>
            <w:tcW w:w="1587" w:type="dxa"/>
            <w:tcBorders>
              <w:right w:val="single" w:sz="4" w:space="0" w:color="000000"/>
            </w:tcBorders>
          </w:tcPr>
          <w:p>
            <w:pPr>
              <w:pStyle w:val="TableParagraph"/>
              <w:spacing w:before="16"/>
              <w:ind w:left="530"/>
              <w:rPr>
                <w:sz w:val="21"/>
              </w:rPr>
            </w:pPr>
            <w:r>
              <w:rPr>
                <w:spacing w:val="-2"/>
                <w:sz w:val="21"/>
              </w:rPr>
              <w:t>0.450</w:t>
            </w:r>
          </w:p>
        </w:tc>
        <w:tc>
          <w:tcPr>
            <w:tcW w:w="1506" w:type="dxa"/>
            <w:tcBorders>
              <w:left w:val="single" w:sz="4" w:space="0" w:color="000000"/>
            </w:tcBorders>
          </w:tcPr>
          <w:p>
            <w:pPr>
              <w:pStyle w:val="TableParagraph"/>
              <w:spacing w:before="16"/>
              <w:ind w:left="323" w:right="312"/>
              <w:jc w:val="center"/>
              <w:rPr>
                <w:sz w:val="21"/>
              </w:rPr>
            </w:pPr>
            <w:r>
              <w:rPr>
                <w:spacing w:val="-5"/>
                <w:sz w:val="21"/>
              </w:rPr>
              <w:t>93</w:t>
            </w:r>
          </w:p>
        </w:tc>
        <w:tc>
          <w:tcPr>
            <w:tcW w:w="1501" w:type="dxa"/>
          </w:tcPr>
          <w:p>
            <w:pPr>
              <w:pStyle w:val="TableParagraph"/>
              <w:spacing w:before="16"/>
              <w:ind w:right="376"/>
              <w:jc w:val="right"/>
              <w:rPr>
                <w:sz w:val="21"/>
              </w:rPr>
            </w:pPr>
            <w:r>
              <w:rPr>
                <w:spacing w:val="-2"/>
                <w:sz w:val="21"/>
              </w:rPr>
              <w:t>170.650</w:t>
            </w:r>
          </w:p>
        </w:tc>
        <w:tc>
          <w:tcPr>
            <w:tcW w:w="1503" w:type="dxa"/>
            <w:tcBorders>
              <w:right w:val="single" w:sz="4" w:space="0" w:color="000000"/>
            </w:tcBorders>
          </w:tcPr>
          <w:p>
            <w:pPr>
              <w:pStyle w:val="TableParagraph"/>
              <w:spacing w:before="16"/>
              <w:ind w:left="318" w:right="315"/>
              <w:jc w:val="center"/>
              <w:rPr>
                <w:sz w:val="21"/>
              </w:rPr>
            </w:pPr>
            <w:r>
              <w:rPr>
                <w:spacing w:val="-2"/>
                <w:sz w:val="21"/>
              </w:rPr>
              <w:t>130.734</w:t>
            </w:r>
          </w:p>
        </w:tc>
      </w:tr>
      <w:tr>
        <w:trPr>
          <w:trHeight w:val="312" w:hRule="atLeast"/>
        </w:trPr>
        <w:tc>
          <w:tcPr>
            <w:tcW w:w="1602" w:type="dxa"/>
            <w:tcBorders>
              <w:left w:val="single" w:sz="4" w:space="0" w:color="000000"/>
            </w:tcBorders>
          </w:tcPr>
          <w:p>
            <w:pPr>
              <w:pStyle w:val="TableParagraph"/>
              <w:spacing w:before="16"/>
              <w:ind w:left="321" w:right="409"/>
              <w:jc w:val="center"/>
              <w:rPr>
                <w:sz w:val="21"/>
              </w:rPr>
            </w:pPr>
            <w:r>
              <w:rPr>
                <w:spacing w:val="-5"/>
                <w:sz w:val="21"/>
              </w:rPr>
              <w:t>41</w:t>
            </w:r>
          </w:p>
        </w:tc>
        <w:tc>
          <w:tcPr>
            <w:tcW w:w="1487" w:type="dxa"/>
          </w:tcPr>
          <w:p>
            <w:pPr>
              <w:pStyle w:val="TableParagraph"/>
              <w:spacing w:before="16"/>
              <w:ind w:right="523"/>
              <w:jc w:val="right"/>
              <w:rPr>
                <w:sz w:val="21"/>
              </w:rPr>
            </w:pPr>
            <w:r>
              <w:rPr>
                <w:spacing w:val="-2"/>
                <w:sz w:val="21"/>
              </w:rPr>
              <w:t>1.173</w:t>
            </w:r>
          </w:p>
        </w:tc>
        <w:tc>
          <w:tcPr>
            <w:tcW w:w="1587" w:type="dxa"/>
            <w:tcBorders>
              <w:right w:val="single" w:sz="4" w:space="0" w:color="000000"/>
            </w:tcBorders>
          </w:tcPr>
          <w:p>
            <w:pPr>
              <w:pStyle w:val="TableParagraph"/>
              <w:spacing w:before="16"/>
              <w:ind w:left="530"/>
              <w:rPr>
                <w:sz w:val="21"/>
              </w:rPr>
            </w:pPr>
            <w:r>
              <w:rPr>
                <w:spacing w:val="-2"/>
                <w:sz w:val="21"/>
              </w:rPr>
              <w:t>0.495</w:t>
            </w:r>
          </w:p>
        </w:tc>
        <w:tc>
          <w:tcPr>
            <w:tcW w:w="1506" w:type="dxa"/>
            <w:tcBorders>
              <w:left w:val="single" w:sz="4" w:space="0" w:color="000000"/>
            </w:tcBorders>
          </w:tcPr>
          <w:p>
            <w:pPr>
              <w:pStyle w:val="TableParagraph"/>
              <w:spacing w:before="16"/>
              <w:ind w:left="323" w:right="312"/>
              <w:jc w:val="center"/>
              <w:rPr>
                <w:sz w:val="21"/>
              </w:rPr>
            </w:pPr>
            <w:r>
              <w:rPr>
                <w:spacing w:val="-5"/>
                <w:sz w:val="21"/>
              </w:rPr>
              <w:t>94</w:t>
            </w:r>
          </w:p>
        </w:tc>
        <w:tc>
          <w:tcPr>
            <w:tcW w:w="1501" w:type="dxa"/>
          </w:tcPr>
          <w:p>
            <w:pPr>
              <w:pStyle w:val="TableParagraph"/>
              <w:spacing w:before="16"/>
              <w:ind w:right="376"/>
              <w:jc w:val="right"/>
              <w:rPr>
                <w:sz w:val="21"/>
              </w:rPr>
            </w:pPr>
            <w:r>
              <w:rPr>
                <w:spacing w:val="-2"/>
                <w:sz w:val="21"/>
              </w:rPr>
              <w:t>185.334</w:t>
            </w:r>
          </w:p>
        </w:tc>
        <w:tc>
          <w:tcPr>
            <w:tcW w:w="1503" w:type="dxa"/>
            <w:tcBorders>
              <w:right w:val="single" w:sz="4" w:space="0" w:color="000000"/>
            </w:tcBorders>
          </w:tcPr>
          <w:p>
            <w:pPr>
              <w:pStyle w:val="TableParagraph"/>
              <w:spacing w:before="16"/>
              <w:ind w:left="318" w:right="315"/>
              <w:jc w:val="center"/>
              <w:rPr>
                <w:sz w:val="21"/>
              </w:rPr>
            </w:pPr>
            <w:r>
              <w:rPr>
                <w:spacing w:val="-2"/>
                <w:sz w:val="21"/>
              </w:rPr>
              <w:t>141.011</w:t>
            </w:r>
          </w:p>
        </w:tc>
      </w:tr>
      <w:tr>
        <w:trPr>
          <w:trHeight w:val="312" w:hRule="atLeast"/>
        </w:trPr>
        <w:tc>
          <w:tcPr>
            <w:tcW w:w="1602" w:type="dxa"/>
            <w:tcBorders>
              <w:left w:val="single" w:sz="4" w:space="0" w:color="000000"/>
            </w:tcBorders>
          </w:tcPr>
          <w:p>
            <w:pPr>
              <w:pStyle w:val="TableParagraph"/>
              <w:spacing w:before="16"/>
              <w:ind w:left="321" w:right="409"/>
              <w:jc w:val="center"/>
              <w:rPr>
                <w:sz w:val="21"/>
              </w:rPr>
            </w:pPr>
            <w:r>
              <w:rPr>
                <w:spacing w:val="-5"/>
                <w:sz w:val="21"/>
              </w:rPr>
              <w:t>42</w:t>
            </w:r>
          </w:p>
        </w:tc>
        <w:tc>
          <w:tcPr>
            <w:tcW w:w="1487" w:type="dxa"/>
          </w:tcPr>
          <w:p>
            <w:pPr>
              <w:pStyle w:val="TableParagraph"/>
              <w:spacing w:before="16"/>
              <w:ind w:right="523"/>
              <w:jc w:val="right"/>
              <w:rPr>
                <w:sz w:val="21"/>
              </w:rPr>
            </w:pPr>
            <w:r>
              <w:rPr>
                <w:spacing w:val="-2"/>
                <w:sz w:val="21"/>
              </w:rPr>
              <w:t>1.286</w:t>
            </w:r>
          </w:p>
        </w:tc>
        <w:tc>
          <w:tcPr>
            <w:tcW w:w="1587" w:type="dxa"/>
            <w:tcBorders>
              <w:right w:val="single" w:sz="4" w:space="0" w:color="000000"/>
            </w:tcBorders>
          </w:tcPr>
          <w:p>
            <w:pPr>
              <w:pStyle w:val="TableParagraph"/>
              <w:spacing w:before="16"/>
              <w:ind w:left="530"/>
              <w:rPr>
                <w:sz w:val="21"/>
              </w:rPr>
            </w:pPr>
            <w:r>
              <w:rPr>
                <w:spacing w:val="-2"/>
                <w:sz w:val="21"/>
              </w:rPr>
              <w:t>0.547</w:t>
            </w:r>
          </w:p>
        </w:tc>
        <w:tc>
          <w:tcPr>
            <w:tcW w:w="1506" w:type="dxa"/>
            <w:tcBorders>
              <w:left w:val="single" w:sz="4" w:space="0" w:color="000000"/>
            </w:tcBorders>
          </w:tcPr>
          <w:p>
            <w:pPr>
              <w:pStyle w:val="TableParagraph"/>
              <w:spacing w:before="16"/>
              <w:ind w:left="323" w:right="312"/>
              <w:jc w:val="center"/>
              <w:rPr>
                <w:sz w:val="21"/>
              </w:rPr>
            </w:pPr>
            <w:r>
              <w:rPr>
                <w:spacing w:val="-5"/>
                <w:sz w:val="21"/>
              </w:rPr>
              <w:t>95</w:t>
            </w:r>
          </w:p>
        </w:tc>
        <w:tc>
          <w:tcPr>
            <w:tcW w:w="1501" w:type="dxa"/>
          </w:tcPr>
          <w:p>
            <w:pPr>
              <w:pStyle w:val="TableParagraph"/>
              <w:spacing w:before="16"/>
              <w:ind w:right="376"/>
              <w:jc w:val="right"/>
              <w:rPr>
                <w:sz w:val="21"/>
              </w:rPr>
            </w:pPr>
            <w:r>
              <w:rPr>
                <w:spacing w:val="-2"/>
                <w:sz w:val="21"/>
              </w:rPr>
              <w:t>200.954</w:t>
            </w:r>
          </w:p>
        </w:tc>
        <w:tc>
          <w:tcPr>
            <w:tcW w:w="1503" w:type="dxa"/>
            <w:tcBorders>
              <w:right w:val="single" w:sz="4" w:space="0" w:color="000000"/>
            </w:tcBorders>
          </w:tcPr>
          <w:p>
            <w:pPr>
              <w:pStyle w:val="TableParagraph"/>
              <w:spacing w:before="16"/>
              <w:ind w:left="318" w:right="315"/>
              <w:jc w:val="center"/>
              <w:rPr>
                <w:sz w:val="21"/>
              </w:rPr>
            </w:pPr>
            <w:r>
              <w:rPr>
                <w:spacing w:val="-2"/>
                <w:sz w:val="21"/>
              </w:rPr>
              <w:t>152.117</w:t>
            </w:r>
          </w:p>
        </w:tc>
      </w:tr>
      <w:tr>
        <w:trPr>
          <w:trHeight w:val="311" w:hRule="atLeast"/>
        </w:trPr>
        <w:tc>
          <w:tcPr>
            <w:tcW w:w="1602" w:type="dxa"/>
            <w:tcBorders>
              <w:left w:val="single" w:sz="4" w:space="0" w:color="000000"/>
            </w:tcBorders>
          </w:tcPr>
          <w:p>
            <w:pPr>
              <w:pStyle w:val="TableParagraph"/>
              <w:spacing w:before="16"/>
              <w:ind w:left="321" w:right="409"/>
              <w:jc w:val="center"/>
              <w:rPr>
                <w:sz w:val="21"/>
              </w:rPr>
            </w:pPr>
            <w:r>
              <w:rPr>
                <w:spacing w:val="-5"/>
                <w:sz w:val="21"/>
              </w:rPr>
              <w:t>43</w:t>
            </w:r>
          </w:p>
        </w:tc>
        <w:tc>
          <w:tcPr>
            <w:tcW w:w="1487" w:type="dxa"/>
          </w:tcPr>
          <w:p>
            <w:pPr>
              <w:pStyle w:val="TableParagraph"/>
              <w:spacing w:before="16"/>
              <w:ind w:right="523"/>
              <w:jc w:val="right"/>
              <w:rPr>
                <w:sz w:val="21"/>
              </w:rPr>
            </w:pPr>
            <w:r>
              <w:rPr>
                <w:spacing w:val="-2"/>
                <w:sz w:val="21"/>
              </w:rPr>
              <w:t>1.412</w:t>
            </w:r>
          </w:p>
        </w:tc>
        <w:tc>
          <w:tcPr>
            <w:tcW w:w="1587" w:type="dxa"/>
            <w:tcBorders>
              <w:right w:val="single" w:sz="4" w:space="0" w:color="000000"/>
            </w:tcBorders>
          </w:tcPr>
          <w:p>
            <w:pPr>
              <w:pStyle w:val="TableParagraph"/>
              <w:spacing w:before="16"/>
              <w:ind w:left="530"/>
              <w:rPr>
                <w:sz w:val="21"/>
              </w:rPr>
            </w:pPr>
            <w:r>
              <w:rPr>
                <w:spacing w:val="-2"/>
                <w:sz w:val="21"/>
              </w:rPr>
              <w:t>0.604</w:t>
            </w:r>
          </w:p>
        </w:tc>
        <w:tc>
          <w:tcPr>
            <w:tcW w:w="1506" w:type="dxa"/>
            <w:tcBorders>
              <w:left w:val="single" w:sz="4" w:space="0" w:color="000000"/>
            </w:tcBorders>
          </w:tcPr>
          <w:p>
            <w:pPr>
              <w:pStyle w:val="TableParagraph"/>
              <w:spacing w:before="16"/>
              <w:ind w:left="323" w:right="312"/>
              <w:jc w:val="center"/>
              <w:rPr>
                <w:sz w:val="21"/>
              </w:rPr>
            </w:pPr>
            <w:r>
              <w:rPr>
                <w:spacing w:val="-5"/>
                <w:sz w:val="21"/>
              </w:rPr>
              <w:t>96</w:t>
            </w:r>
          </w:p>
        </w:tc>
        <w:tc>
          <w:tcPr>
            <w:tcW w:w="1501" w:type="dxa"/>
          </w:tcPr>
          <w:p>
            <w:pPr>
              <w:pStyle w:val="TableParagraph"/>
              <w:spacing w:before="16"/>
              <w:ind w:right="376"/>
              <w:jc w:val="right"/>
              <w:rPr>
                <w:sz w:val="21"/>
              </w:rPr>
            </w:pPr>
            <w:r>
              <w:rPr>
                <w:spacing w:val="-2"/>
                <w:sz w:val="21"/>
              </w:rPr>
              <w:t>217.444</w:t>
            </w:r>
          </w:p>
        </w:tc>
        <w:tc>
          <w:tcPr>
            <w:tcW w:w="1503" w:type="dxa"/>
            <w:tcBorders>
              <w:right w:val="single" w:sz="4" w:space="0" w:color="000000"/>
            </w:tcBorders>
          </w:tcPr>
          <w:p>
            <w:pPr>
              <w:pStyle w:val="TableParagraph"/>
              <w:spacing w:before="16"/>
              <w:ind w:left="318" w:right="315"/>
              <w:jc w:val="center"/>
              <w:rPr>
                <w:sz w:val="21"/>
              </w:rPr>
            </w:pPr>
            <w:r>
              <w:rPr>
                <w:spacing w:val="-2"/>
                <w:sz w:val="21"/>
              </w:rPr>
              <w:t>164.237</w:t>
            </w:r>
          </w:p>
        </w:tc>
      </w:tr>
      <w:tr>
        <w:trPr>
          <w:trHeight w:val="312" w:hRule="atLeast"/>
        </w:trPr>
        <w:tc>
          <w:tcPr>
            <w:tcW w:w="1602" w:type="dxa"/>
            <w:tcBorders>
              <w:left w:val="single" w:sz="4" w:space="0" w:color="000000"/>
            </w:tcBorders>
          </w:tcPr>
          <w:p>
            <w:pPr>
              <w:pStyle w:val="TableParagraph"/>
              <w:spacing w:before="16"/>
              <w:ind w:left="321" w:right="409"/>
              <w:jc w:val="center"/>
              <w:rPr>
                <w:sz w:val="21"/>
              </w:rPr>
            </w:pPr>
            <w:r>
              <w:rPr>
                <w:spacing w:val="-5"/>
                <w:sz w:val="21"/>
              </w:rPr>
              <w:t>44</w:t>
            </w:r>
          </w:p>
        </w:tc>
        <w:tc>
          <w:tcPr>
            <w:tcW w:w="1487" w:type="dxa"/>
          </w:tcPr>
          <w:p>
            <w:pPr>
              <w:pStyle w:val="TableParagraph"/>
              <w:spacing w:before="16"/>
              <w:ind w:right="523"/>
              <w:jc w:val="right"/>
              <w:rPr>
                <w:sz w:val="21"/>
              </w:rPr>
            </w:pPr>
            <w:r>
              <w:rPr>
                <w:spacing w:val="-2"/>
                <w:sz w:val="21"/>
              </w:rPr>
              <w:t>1.555</w:t>
            </w:r>
          </w:p>
        </w:tc>
        <w:tc>
          <w:tcPr>
            <w:tcW w:w="1587" w:type="dxa"/>
            <w:tcBorders>
              <w:right w:val="single" w:sz="4" w:space="0" w:color="000000"/>
            </w:tcBorders>
          </w:tcPr>
          <w:p>
            <w:pPr>
              <w:pStyle w:val="TableParagraph"/>
              <w:spacing w:before="16"/>
              <w:ind w:left="530"/>
              <w:rPr>
                <w:sz w:val="21"/>
              </w:rPr>
            </w:pPr>
            <w:r>
              <w:rPr>
                <w:spacing w:val="-2"/>
                <w:sz w:val="21"/>
              </w:rPr>
              <w:t>0.668</w:t>
            </w:r>
          </w:p>
        </w:tc>
        <w:tc>
          <w:tcPr>
            <w:tcW w:w="1506" w:type="dxa"/>
            <w:tcBorders>
              <w:left w:val="single" w:sz="4" w:space="0" w:color="000000"/>
            </w:tcBorders>
          </w:tcPr>
          <w:p>
            <w:pPr>
              <w:pStyle w:val="TableParagraph"/>
              <w:spacing w:before="16"/>
              <w:ind w:left="323" w:right="312"/>
              <w:jc w:val="center"/>
              <w:rPr>
                <w:sz w:val="21"/>
              </w:rPr>
            </w:pPr>
            <w:r>
              <w:rPr>
                <w:spacing w:val="-5"/>
                <w:sz w:val="21"/>
              </w:rPr>
              <w:t>97</w:t>
            </w:r>
          </w:p>
        </w:tc>
        <w:tc>
          <w:tcPr>
            <w:tcW w:w="1501" w:type="dxa"/>
          </w:tcPr>
          <w:p>
            <w:pPr>
              <w:pStyle w:val="TableParagraph"/>
              <w:spacing w:before="16"/>
              <w:ind w:right="376"/>
              <w:jc w:val="right"/>
              <w:rPr>
                <w:sz w:val="21"/>
              </w:rPr>
            </w:pPr>
            <w:r>
              <w:rPr>
                <w:spacing w:val="-2"/>
                <w:sz w:val="21"/>
              </w:rPr>
              <w:t>234.716</w:t>
            </w:r>
          </w:p>
        </w:tc>
        <w:tc>
          <w:tcPr>
            <w:tcW w:w="1503" w:type="dxa"/>
            <w:tcBorders>
              <w:right w:val="single" w:sz="4" w:space="0" w:color="000000"/>
            </w:tcBorders>
          </w:tcPr>
          <w:p>
            <w:pPr>
              <w:pStyle w:val="TableParagraph"/>
              <w:spacing w:before="16"/>
              <w:ind w:left="318" w:right="315"/>
              <w:jc w:val="center"/>
              <w:rPr>
                <w:sz w:val="21"/>
              </w:rPr>
            </w:pPr>
            <w:r>
              <w:rPr>
                <w:spacing w:val="-2"/>
                <w:sz w:val="21"/>
              </w:rPr>
              <w:t>177.523</w:t>
            </w:r>
          </w:p>
        </w:tc>
      </w:tr>
      <w:tr>
        <w:trPr>
          <w:trHeight w:val="312" w:hRule="atLeast"/>
        </w:trPr>
        <w:tc>
          <w:tcPr>
            <w:tcW w:w="1602" w:type="dxa"/>
            <w:tcBorders>
              <w:left w:val="single" w:sz="4" w:space="0" w:color="000000"/>
            </w:tcBorders>
          </w:tcPr>
          <w:p>
            <w:pPr>
              <w:pStyle w:val="TableParagraph"/>
              <w:spacing w:before="16"/>
              <w:ind w:left="321" w:right="409"/>
              <w:jc w:val="center"/>
              <w:rPr>
                <w:sz w:val="21"/>
              </w:rPr>
            </w:pPr>
            <w:r>
              <w:rPr>
                <w:spacing w:val="-5"/>
                <w:sz w:val="21"/>
              </w:rPr>
              <w:t>45</w:t>
            </w:r>
          </w:p>
        </w:tc>
        <w:tc>
          <w:tcPr>
            <w:tcW w:w="1487" w:type="dxa"/>
          </w:tcPr>
          <w:p>
            <w:pPr>
              <w:pStyle w:val="TableParagraph"/>
              <w:spacing w:before="16"/>
              <w:ind w:right="523"/>
              <w:jc w:val="right"/>
              <w:rPr>
                <w:sz w:val="21"/>
              </w:rPr>
            </w:pPr>
            <w:r>
              <w:rPr>
                <w:spacing w:val="-2"/>
                <w:sz w:val="21"/>
              </w:rPr>
              <w:t>1.715</w:t>
            </w:r>
          </w:p>
        </w:tc>
        <w:tc>
          <w:tcPr>
            <w:tcW w:w="1587" w:type="dxa"/>
            <w:tcBorders>
              <w:right w:val="single" w:sz="4" w:space="0" w:color="000000"/>
            </w:tcBorders>
          </w:tcPr>
          <w:p>
            <w:pPr>
              <w:pStyle w:val="TableParagraph"/>
              <w:spacing w:before="16"/>
              <w:ind w:left="530"/>
              <w:rPr>
                <w:sz w:val="21"/>
              </w:rPr>
            </w:pPr>
            <w:r>
              <w:rPr>
                <w:spacing w:val="-2"/>
                <w:sz w:val="21"/>
              </w:rPr>
              <w:t>0.739</w:t>
            </w:r>
          </w:p>
        </w:tc>
        <w:tc>
          <w:tcPr>
            <w:tcW w:w="1506" w:type="dxa"/>
            <w:tcBorders>
              <w:left w:val="single" w:sz="4" w:space="0" w:color="000000"/>
            </w:tcBorders>
          </w:tcPr>
          <w:p>
            <w:pPr>
              <w:pStyle w:val="TableParagraph"/>
              <w:spacing w:before="16"/>
              <w:ind w:left="323" w:right="312"/>
              <w:jc w:val="center"/>
              <w:rPr>
                <w:sz w:val="21"/>
              </w:rPr>
            </w:pPr>
            <w:r>
              <w:rPr>
                <w:spacing w:val="-5"/>
                <w:sz w:val="21"/>
              </w:rPr>
              <w:t>98</w:t>
            </w:r>
          </w:p>
        </w:tc>
        <w:tc>
          <w:tcPr>
            <w:tcW w:w="1501" w:type="dxa"/>
          </w:tcPr>
          <w:p>
            <w:pPr>
              <w:pStyle w:val="TableParagraph"/>
              <w:spacing w:before="16"/>
              <w:ind w:right="376"/>
              <w:jc w:val="right"/>
              <w:rPr>
                <w:sz w:val="21"/>
              </w:rPr>
            </w:pPr>
            <w:r>
              <w:rPr>
                <w:spacing w:val="-2"/>
                <w:sz w:val="21"/>
              </w:rPr>
              <w:t>252.673</w:t>
            </w:r>
          </w:p>
        </w:tc>
        <w:tc>
          <w:tcPr>
            <w:tcW w:w="1503" w:type="dxa"/>
            <w:tcBorders>
              <w:right w:val="single" w:sz="4" w:space="0" w:color="000000"/>
            </w:tcBorders>
          </w:tcPr>
          <w:p>
            <w:pPr>
              <w:pStyle w:val="TableParagraph"/>
              <w:spacing w:before="16"/>
              <w:ind w:left="318" w:right="315"/>
              <w:jc w:val="center"/>
              <w:rPr>
                <w:sz w:val="21"/>
              </w:rPr>
            </w:pPr>
            <w:r>
              <w:rPr>
                <w:spacing w:val="-2"/>
                <w:sz w:val="21"/>
              </w:rPr>
              <w:t>192.061</w:t>
            </w:r>
          </w:p>
        </w:tc>
      </w:tr>
      <w:tr>
        <w:trPr>
          <w:trHeight w:val="312" w:hRule="atLeast"/>
        </w:trPr>
        <w:tc>
          <w:tcPr>
            <w:tcW w:w="1602" w:type="dxa"/>
            <w:tcBorders>
              <w:left w:val="single" w:sz="4" w:space="0" w:color="000000"/>
            </w:tcBorders>
          </w:tcPr>
          <w:p>
            <w:pPr>
              <w:pStyle w:val="TableParagraph"/>
              <w:spacing w:before="16"/>
              <w:ind w:left="321" w:right="409"/>
              <w:jc w:val="center"/>
              <w:rPr>
                <w:sz w:val="21"/>
              </w:rPr>
            </w:pPr>
            <w:r>
              <w:rPr>
                <w:spacing w:val="-5"/>
                <w:sz w:val="21"/>
              </w:rPr>
              <w:t>46</w:t>
            </w:r>
          </w:p>
        </w:tc>
        <w:tc>
          <w:tcPr>
            <w:tcW w:w="1487" w:type="dxa"/>
          </w:tcPr>
          <w:p>
            <w:pPr>
              <w:pStyle w:val="TableParagraph"/>
              <w:spacing w:before="16"/>
              <w:ind w:right="523"/>
              <w:jc w:val="right"/>
              <w:rPr>
                <w:sz w:val="21"/>
              </w:rPr>
            </w:pPr>
            <w:r>
              <w:rPr>
                <w:spacing w:val="-2"/>
                <w:sz w:val="21"/>
              </w:rPr>
              <w:t>1.893</w:t>
            </w:r>
          </w:p>
        </w:tc>
        <w:tc>
          <w:tcPr>
            <w:tcW w:w="1587" w:type="dxa"/>
            <w:tcBorders>
              <w:right w:val="single" w:sz="4" w:space="0" w:color="000000"/>
            </w:tcBorders>
          </w:tcPr>
          <w:p>
            <w:pPr>
              <w:pStyle w:val="TableParagraph"/>
              <w:spacing w:before="16"/>
              <w:ind w:left="530"/>
              <w:rPr>
                <w:sz w:val="21"/>
              </w:rPr>
            </w:pPr>
            <w:r>
              <w:rPr>
                <w:spacing w:val="-2"/>
                <w:sz w:val="21"/>
              </w:rPr>
              <w:t>0.818</w:t>
            </w:r>
          </w:p>
        </w:tc>
        <w:tc>
          <w:tcPr>
            <w:tcW w:w="1506" w:type="dxa"/>
            <w:tcBorders>
              <w:left w:val="single" w:sz="4" w:space="0" w:color="000000"/>
            </w:tcBorders>
          </w:tcPr>
          <w:p>
            <w:pPr>
              <w:pStyle w:val="TableParagraph"/>
              <w:spacing w:before="16"/>
              <w:ind w:left="323" w:right="312"/>
              <w:jc w:val="center"/>
              <w:rPr>
                <w:sz w:val="21"/>
              </w:rPr>
            </w:pPr>
            <w:r>
              <w:rPr>
                <w:spacing w:val="-5"/>
                <w:sz w:val="21"/>
              </w:rPr>
              <w:t>99</w:t>
            </w:r>
          </w:p>
        </w:tc>
        <w:tc>
          <w:tcPr>
            <w:tcW w:w="1501" w:type="dxa"/>
          </w:tcPr>
          <w:p>
            <w:pPr>
              <w:pStyle w:val="TableParagraph"/>
              <w:spacing w:before="16"/>
              <w:ind w:right="376"/>
              <w:jc w:val="right"/>
              <w:rPr>
                <w:sz w:val="21"/>
              </w:rPr>
            </w:pPr>
            <w:r>
              <w:rPr>
                <w:spacing w:val="-2"/>
                <w:sz w:val="21"/>
              </w:rPr>
              <w:t>271.217</w:t>
            </w:r>
          </w:p>
        </w:tc>
        <w:tc>
          <w:tcPr>
            <w:tcW w:w="1503" w:type="dxa"/>
            <w:tcBorders>
              <w:right w:val="single" w:sz="4" w:space="0" w:color="000000"/>
            </w:tcBorders>
          </w:tcPr>
          <w:p>
            <w:pPr>
              <w:pStyle w:val="TableParagraph"/>
              <w:spacing w:before="16"/>
              <w:ind w:left="318" w:right="315"/>
              <w:jc w:val="center"/>
              <w:rPr>
                <w:sz w:val="21"/>
              </w:rPr>
            </w:pPr>
            <w:r>
              <w:rPr>
                <w:spacing w:val="-2"/>
                <w:sz w:val="21"/>
              </w:rPr>
              <w:t>207.866</w:t>
            </w:r>
          </w:p>
        </w:tc>
      </w:tr>
      <w:tr>
        <w:trPr>
          <w:trHeight w:val="312" w:hRule="atLeast"/>
        </w:trPr>
        <w:tc>
          <w:tcPr>
            <w:tcW w:w="1602" w:type="dxa"/>
            <w:tcBorders>
              <w:left w:val="single" w:sz="4" w:space="0" w:color="000000"/>
            </w:tcBorders>
          </w:tcPr>
          <w:p>
            <w:pPr>
              <w:pStyle w:val="TableParagraph"/>
              <w:spacing w:before="16"/>
              <w:ind w:left="321" w:right="409"/>
              <w:jc w:val="center"/>
              <w:rPr>
                <w:sz w:val="21"/>
              </w:rPr>
            </w:pPr>
            <w:r>
              <w:rPr>
                <w:spacing w:val="-5"/>
                <w:sz w:val="21"/>
              </w:rPr>
              <w:t>47</w:t>
            </w:r>
          </w:p>
        </w:tc>
        <w:tc>
          <w:tcPr>
            <w:tcW w:w="1487" w:type="dxa"/>
          </w:tcPr>
          <w:p>
            <w:pPr>
              <w:pStyle w:val="TableParagraph"/>
              <w:spacing w:before="16"/>
              <w:ind w:right="523"/>
              <w:jc w:val="right"/>
              <w:rPr>
                <w:sz w:val="21"/>
              </w:rPr>
            </w:pPr>
            <w:r>
              <w:rPr>
                <w:spacing w:val="-2"/>
                <w:sz w:val="21"/>
              </w:rPr>
              <w:t>2.088</w:t>
            </w:r>
          </w:p>
        </w:tc>
        <w:tc>
          <w:tcPr>
            <w:tcW w:w="1587" w:type="dxa"/>
            <w:tcBorders>
              <w:right w:val="single" w:sz="4" w:space="0" w:color="000000"/>
            </w:tcBorders>
          </w:tcPr>
          <w:p>
            <w:pPr>
              <w:pStyle w:val="TableParagraph"/>
              <w:spacing w:before="16"/>
              <w:ind w:left="530"/>
              <w:rPr>
                <w:sz w:val="21"/>
              </w:rPr>
            </w:pPr>
            <w:r>
              <w:rPr>
                <w:spacing w:val="-2"/>
                <w:sz w:val="21"/>
              </w:rPr>
              <w:t>0.905</w:t>
            </w:r>
          </w:p>
        </w:tc>
        <w:tc>
          <w:tcPr>
            <w:tcW w:w="1506" w:type="dxa"/>
            <w:tcBorders>
              <w:left w:val="single" w:sz="4" w:space="0" w:color="000000"/>
            </w:tcBorders>
          </w:tcPr>
          <w:p>
            <w:pPr>
              <w:pStyle w:val="TableParagraph"/>
              <w:spacing w:before="16"/>
              <w:ind w:left="323" w:right="312"/>
              <w:jc w:val="center"/>
              <w:rPr>
                <w:sz w:val="21"/>
              </w:rPr>
            </w:pPr>
            <w:r>
              <w:rPr>
                <w:spacing w:val="-5"/>
                <w:sz w:val="21"/>
              </w:rPr>
              <w:t>100</w:t>
            </w:r>
          </w:p>
        </w:tc>
        <w:tc>
          <w:tcPr>
            <w:tcW w:w="1501" w:type="dxa"/>
          </w:tcPr>
          <w:p>
            <w:pPr>
              <w:pStyle w:val="TableParagraph"/>
              <w:spacing w:before="16"/>
              <w:ind w:right="376"/>
              <w:jc w:val="right"/>
              <w:rPr>
                <w:sz w:val="21"/>
              </w:rPr>
            </w:pPr>
            <w:r>
              <w:rPr>
                <w:spacing w:val="-2"/>
                <w:sz w:val="21"/>
              </w:rPr>
              <w:t>290.254</w:t>
            </w:r>
          </w:p>
        </w:tc>
        <w:tc>
          <w:tcPr>
            <w:tcW w:w="1503" w:type="dxa"/>
            <w:tcBorders>
              <w:right w:val="single" w:sz="4" w:space="0" w:color="000000"/>
            </w:tcBorders>
          </w:tcPr>
          <w:p>
            <w:pPr>
              <w:pStyle w:val="TableParagraph"/>
              <w:spacing w:before="16"/>
              <w:ind w:left="318" w:right="315"/>
              <w:jc w:val="center"/>
              <w:rPr>
                <w:sz w:val="21"/>
              </w:rPr>
            </w:pPr>
            <w:r>
              <w:rPr>
                <w:spacing w:val="-2"/>
                <w:sz w:val="21"/>
              </w:rPr>
              <w:t>224.884</w:t>
            </w:r>
          </w:p>
        </w:tc>
      </w:tr>
      <w:tr>
        <w:trPr>
          <w:trHeight w:val="311" w:hRule="atLeast"/>
        </w:trPr>
        <w:tc>
          <w:tcPr>
            <w:tcW w:w="1602" w:type="dxa"/>
            <w:tcBorders>
              <w:left w:val="single" w:sz="4" w:space="0" w:color="000000"/>
            </w:tcBorders>
          </w:tcPr>
          <w:p>
            <w:pPr>
              <w:pStyle w:val="TableParagraph"/>
              <w:spacing w:before="16"/>
              <w:ind w:left="321" w:right="409"/>
              <w:jc w:val="center"/>
              <w:rPr>
                <w:sz w:val="21"/>
              </w:rPr>
            </w:pPr>
            <w:r>
              <w:rPr>
                <w:spacing w:val="-5"/>
                <w:sz w:val="21"/>
              </w:rPr>
              <w:t>48</w:t>
            </w:r>
          </w:p>
        </w:tc>
        <w:tc>
          <w:tcPr>
            <w:tcW w:w="1487" w:type="dxa"/>
          </w:tcPr>
          <w:p>
            <w:pPr>
              <w:pStyle w:val="TableParagraph"/>
              <w:spacing w:before="16"/>
              <w:ind w:right="523"/>
              <w:jc w:val="right"/>
              <w:rPr>
                <w:sz w:val="21"/>
              </w:rPr>
            </w:pPr>
            <w:r>
              <w:rPr>
                <w:spacing w:val="-2"/>
                <w:sz w:val="21"/>
              </w:rPr>
              <w:t>2.300</w:t>
            </w:r>
          </w:p>
        </w:tc>
        <w:tc>
          <w:tcPr>
            <w:tcW w:w="1587" w:type="dxa"/>
            <w:tcBorders>
              <w:right w:val="single" w:sz="4" w:space="0" w:color="000000"/>
            </w:tcBorders>
          </w:tcPr>
          <w:p>
            <w:pPr>
              <w:pStyle w:val="TableParagraph"/>
              <w:spacing w:before="16"/>
              <w:ind w:left="530"/>
              <w:rPr>
                <w:sz w:val="21"/>
              </w:rPr>
            </w:pPr>
            <w:r>
              <w:rPr>
                <w:spacing w:val="-2"/>
                <w:sz w:val="21"/>
              </w:rPr>
              <w:t>0.999</w:t>
            </w:r>
          </w:p>
        </w:tc>
        <w:tc>
          <w:tcPr>
            <w:tcW w:w="1506" w:type="dxa"/>
            <w:tcBorders>
              <w:left w:val="single" w:sz="4" w:space="0" w:color="000000"/>
            </w:tcBorders>
          </w:tcPr>
          <w:p>
            <w:pPr>
              <w:pStyle w:val="TableParagraph"/>
              <w:spacing w:before="16"/>
              <w:ind w:left="323" w:right="312"/>
              <w:jc w:val="center"/>
              <w:rPr>
                <w:sz w:val="21"/>
              </w:rPr>
            </w:pPr>
            <w:r>
              <w:rPr>
                <w:spacing w:val="-5"/>
                <w:sz w:val="21"/>
              </w:rPr>
              <w:t>101</w:t>
            </w:r>
          </w:p>
        </w:tc>
        <w:tc>
          <w:tcPr>
            <w:tcW w:w="1501" w:type="dxa"/>
          </w:tcPr>
          <w:p>
            <w:pPr>
              <w:pStyle w:val="TableParagraph"/>
              <w:spacing w:before="16"/>
              <w:ind w:right="376"/>
              <w:jc w:val="right"/>
              <w:rPr>
                <w:sz w:val="21"/>
              </w:rPr>
            </w:pPr>
            <w:r>
              <w:rPr>
                <w:spacing w:val="-2"/>
                <w:sz w:val="21"/>
              </w:rPr>
              <w:t>309.691</w:t>
            </w:r>
          </w:p>
        </w:tc>
        <w:tc>
          <w:tcPr>
            <w:tcW w:w="1503" w:type="dxa"/>
            <w:tcBorders>
              <w:right w:val="single" w:sz="4" w:space="0" w:color="000000"/>
            </w:tcBorders>
          </w:tcPr>
          <w:p>
            <w:pPr>
              <w:pStyle w:val="TableParagraph"/>
              <w:spacing w:before="16"/>
              <w:ind w:left="318" w:right="315"/>
              <w:jc w:val="center"/>
              <w:rPr>
                <w:sz w:val="21"/>
              </w:rPr>
            </w:pPr>
            <w:r>
              <w:rPr>
                <w:spacing w:val="-2"/>
                <w:sz w:val="21"/>
              </w:rPr>
              <w:t>243.006</w:t>
            </w:r>
          </w:p>
        </w:tc>
      </w:tr>
      <w:tr>
        <w:trPr>
          <w:trHeight w:val="312" w:hRule="atLeast"/>
        </w:trPr>
        <w:tc>
          <w:tcPr>
            <w:tcW w:w="1602" w:type="dxa"/>
            <w:tcBorders>
              <w:left w:val="single" w:sz="4" w:space="0" w:color="000000"/>
            </w:tcBorders>
          </w:tcPr>
          <w:p>
            <w:pPr>
              <w:pStyle w:val="TableParagraph"/>
              <w:spacing w:before="16"/>
              <w:ind w:left="321" w:right="409"/>
              <w:jc w:val="center"/>
              <w:rPr>
                <w:sz w:val="21"/>
              </w:rPr>
            </w:pPr>
            <w:r>
              <w:rPr>
                <w:spacing w:val="-5"/>
                <w:sz w:val="21"/>
              </w:rPr>
              <w:t>49</w:t>
            </w:r>
          </w:p>
        </w:tc>
        <w:tc>
          <w:tcPr>
            <w:tcW w:w="1487" w:type="dxa"/>
          </w:tcPr>
          <w:p>
            <w:pPr>
              <w:pStyle w:val="TableParagraph"/>
              <w:spacing w:before="16"/>
              <w:ind w:right="523"/>
              <w:jc w:val="right"/>
              <w:rPr>
                <w:sz w:val="21"/>
              </w:rPr>
            </w:pPr>
            <w:r>
              <w:rPr>
                <w:spacing w:val="-2"/>
                <w:sz w:val="21"/>
              </w:rPr>
              <w:t>2.525</w:t>
            </w:r>
          </w:p>
        </w:tc>
        <w:tc>
          <w:tcPr>
            <w:tcW w:w="1587" w:type="dxa"/>
            <w:tcBorders>
              <w:right w:val="single" w:sz="4" w:space="0" w:color="000000"/>
            </w:tcBorders>
          </w:tcPr>
          <w:p>
            <w:pPr>
              <w:pStyle w:val="TableParagraph"/>
              <w:spacing w:before="16"/>
              <w:ind w:left="530"/>
              <w:rPr>
                <w:sz w:val="21"/>
              </w:rPr>
            </w:pPr>
            <w:r>
              <w:rPr>
                <w:spacing w:val="-2"/>
                <w:sz w:val="21"/>
              </w:rPr>
              <w:t>1.100</w:t>
            </w:r>
          </w:p>
        </w:tc>
        <w:tc>
          <w:tcPr>
            <w:tcW w:w="1506" w:type="dxa"/>
            <w:tcBorders>
              <w:left w:val="single" w:sz="4" w:space="0" w:color="000000"/>
            </w:tcBorders>
          </w:tcPr>
          <w:p>
            <w:pPr>
              <w:pStyle w:val="TableParagraph"/>
              <w:spacing w:before="16"/>
              <w:ind w:left="323" w:right="312"/>
              <w:jc w:val="center"/>
              <w:rPr>
                <w:sz w:val="21"/>
              </w:rPr>
            </w:pPr>
            <w:r>
              <w:rPr>
                <w:spacing w:val="-5"/>
                <w:sz w:val="21"/>
              </w:rPr>
              <w:t>102</w:t>
            </w:r>
          </w:p>
        </w:tc>
        <w:tc>
          <w:tcPr>
            <w:tcW w:w="1501" w:type="dxa"/>
          </w:tcPr>
          <w:p>
            <w:pPr>
              <w:pStyle w:val="TableParagraph"/>
              <w:spacing w:before="16"/>
              <w:ind w:right="376"/>
              <w:jc w:val="right"/>
              <w:rPr>
                <w:sz w:val="21"/>
              </w:rPr>
            </w:pPr>
            <w:r>
              <w:rPr>
                <w:spacing w:val="-2"/>
                <w:sz w:val="21"/>
              </w:rPr>
              <w:t>329.440</w:t>
            </w:r>
          </w:p>
        </w:tc>
        <w:tc>
          <w:tcPr>
            <w:tcW w:w="1503" w:type="dxa"/>
            <w:tcBorders>
              <w:right w:val="single" w:sz="4" w:space="0" w:color="000000"/>
            </w:tcBorders>
          </w:tcPr>
          <w:p>
            <w:pPr>
              <w:pStyle w:val="TableParagraph"/>
              <w:spacing w:before="16"/>
              <w:ind w:left="318" w:right="315"/>
              <w:jc w:val="center"/>
              <w:rPr>
                <w:sz w:val="21"/>
              </w:rPr>
            </w:pPr>
            <w:r>
              <w:rPr>
                <w:spacing w:val="-2"/>
                <w:sz w:val="21"/>
              </w:rPr>
              <w:t>262.094</w:t>
            </w:r>
          </w:p>
        </w:tc>
      </w:tr>
      <w:tr>
        <w:trPr>
          <w:trHeight w:val="312" w:hRule="atLeast"/>
        </w:trPr>
        <w:tc>
          <w:tcPr>
            <w:tcW w:w="1602" w:type="dxa"/>
            <w:tcBorders>
              <w:left w:val="single" w:sz="4" w:space="0" w:color="000000"/>
            </w:tcBorders>
          </w:tcPr>
          <w:p>
            <w:pPr>
              <w:pStyle w:val="TableParagraph"/>
              <w:spacing w:before="16"/>
              <w:ind w:left="321" w:right="409"/>
              <w:jc w:val="center"/>
              <w:rPr>
                <w:sz w:val="21"/>
              </w:rPr>
            </w:pPr>
            <w:r>
              <w:rPr>
                <w:spacing w:val="-5"/>
                <w:sz w:val="21"/>
              </w:rPr>
              <w:t>50</w:t>
            </w:r>
          </w:p>
        </w:tc>
        <w:tc>
          <w:tcPr>
            <w:tcW w:w="1487" w:type="dxa"/>
          </w:tcPr>
          <w:p>
            <w:pPr>
              <w:pStyle w:val="TableParagraph"/>
              <w:spacing w:before="16"/>
              <w:ind w:right="523"/>
              <w:jc w:val="right"/>
              <w:rPr>
                <w:sz w:val="21"/>
              </w:rPr>
            </w:pPr>
            <w:r>
              <w:rPr>
                <w:spacing w:val="-2"/>
                <w:sz w:val="21"/>
              </w:rPr>
              <w:t>2.762</w:t>
            </w:r>
          </w:p>
        </w:tc>
        <w:tc>
          <w:tcPr>
            <w:tcW w:w="1587" w:type="dxa"/>
            <w:tcBorders>
              <w:right w:val="single" w:sz="4" w:space="0" w:color="000000"/>
            </w:tcBorders>
          </w:tcPr>
          <w:p>
            <w:pPr>
              <w:pStyle w:val="TableParagraph"/>
              <w:spacing w:before="16"/>
              <w:ind w:left="530"/>
              <w:rPr>
                <w:sz w:val="21"/>
              </w:rPr>
            </w:pPr>
            <w:r>
              <w:rPr>
                <w:spacing w:val="-2"/>
                <w:sz w:val="21"/>
              </w:rPr>
              <w:t>1.208</w:t>
            </w:r>
          </w:p>
        </w:tc>
        <w:tc>
          <w:tcPr>
            <w:tcW w:w="1506" w:type="dxa"/>
            <w:tcBorders>
              <w:left w:val="single" w:sz="4" w:space="0" w:color="000000"/>
            </w:tcBorders>
          </w:tcPr>
          <w:p>
            <w:pPr>
              <w:pStyle w:val="TableParagraph"/>
              <w:spacing w:before="16"/>
              <w:ind w:left="323" w:right="312"/>
              <w:jc w:val="center"/>
              <w:rPr>
                <w:sz w:val="21"/>
              </w:rPr>
            </w:pPr>
            <w:r>
              <w:rPr>
                <w:spacing w:val="-5"/>
                <w:sz w:val="21"/>
              </w:rPr>
              <w:t>103</w:t>
            </w:r>
          </w:p>
        </w:tc>
        <w:tc>
          <w:tcPr>
            <w:tcW w:w="1501" w:type="dxa"/>
          </w:tcPr>
          <w:p>
            <w:pPr>
              <w:pStyle w:val="TableParagraph"/>
              <w:spacing w:before="16"/>
              <w:ind w:right="376"/>
              <w:jc w:val="right"/>
              <w:rPr>
                <w:sz w:val="21"/>
              </w:rPr>
            </w:pPr>
            <w:r>
              <w:rPr>
                <w:spacing w:val="-2"/>
                <w:sz w:val="21"/>
              </w:rPr>
              <w:t>349.413</w:t>
            </w:r>
          </w:p>
        </w:tc>
        <w:tc>
          <w:tcPr>
            <w:tcW w:w="1503" w:type="dxa"/>
            <w:tcBorders>
              <w:right w:val="single" w:sz="4" w:space="0" w:color="000000"/>
            </w:tcBorders>
          </w:tcPr>
          <w:p>
            <w:pPr>
              <w:pStyle w:val="TableParagraph"/>
              <w:spacing w:before="16"/>
              <w:ind w:left="318" w:right="315"/>
              <w:jc w:val="center"/>
              <w:rPr>
                <w:sz w:val="21"/>
              </w:rPr>
            </w:pPr>
            <w:r>
              <w:rPr>
                <w:spacing w:val="-2"/>
                <w:sz w:val="21"/>
              </w:rPr>
              <w:t>281.991</w:t>
            </w:r>
          </w:p>
        </w:tc>
      </w:tr>
      <w:tr>
        <w:trPr>
          <w:trHeight w:val="312" w:hRule="atLeast"/>
        </w:trPr>
        <w:tc>
          <w:tcPr>
            <w:tcW w:w="1602" w:type="dxa"/>
            <w:tcBorders>
              <w:left w:val="single" w:sz="4" w:space="0" w:color="000000"/>
            </w:tcBorders>
          </w:tcPr>
          <w:p>
            <w:pPr>
              <w:pStyle w:val="TableParagraph"/>
              <w:spacing w:before="16"/>
              <w:ind w:left="321" w:right="409"/>
              <w:jc w:val="center"/>
              <w:rPr>
                <w:sz w:val="21"/>
              </w:rPr>
            </w:pPr>
            <w:r>
              <w:rPr>
                <w:spacing w:val="-5"/>
                <w:sz w:val="21"/>
              </w:rPr>
              <w:t>51</w:t>
            </w:r>
          </w:p>
        </w:tc>
        <w:tc>
          <w:tcPr>
            <w:tcW w:w="1487" w:type="dxa"/>
          </w:tcPr>
          <w:p>
            <w:pPr>
              <w:pStyle w:val="TableParagraph"/>
              <w:spacing w:before="16"/>
              <w:ind w:right="523"/>
              <w:jc w:val="right"/>
              <w:rPr>
                <w:sz w:val="21"/>
              </w:rPr>
            </w:pPr>
            <w:r>
              <w:rPr>
                <w:spacing w:val="-2"/>
                <w:sz w:val="21"/>
              </w:rPr>
              <w:t>3.011</w:t>
            </w:r>
          </w:p>
        </w:tc>
        <w:tc>
          <w:tcPr>
            <w:tcW w:w="1587" w:type="dxa"/>
            <w:tcBorders>
              <w:right w:val="single" w:sz="4" w:space="0" w:color="000000"/>
            </w:tcBorders>
          </w:tcPr>
          <w:p>
            <w:pPr>
              <w:pStyle w:val="TableParagraph"/>
              <w:spacing w:before="16"/>
              <w:ind w:left="530"/>
              <w:rPr>
                <w:sz w:val="21"/>
              </w:rPr>
            </w:pPr>
            <w:r>
              <w:rPr>
                <w:spacing w:val="-2"/>
                <w:sz w:val="21"/>
              </w:rPr>
              <w:t>1.324</w:t>
            </w:r>
          </w:p>
        </w:tc>
        <w:tc>
          <w:tcPr>
            <w:tcW w:w="1506" w:type="dxa"/>
            <w:tcBorders>
              <w:left w:val="single" w:sz="4" w:space="0" w:color="000000"/>
            </w:tcBorders>
          </w:tcPr>
          <w:p>
            <w:pPr>
              <w:pStyle w:val="TableParagraph"/>
              <w:spacing w:before="16"/>
              <w:ind w:left="323" w:right="312"/>
              <w:jc w:val="center"/>
              <w:rPr>
                <w:sz w:val="21"/>
              </w:rPr>
            </w:pPr>
            <w:r>
              <w:rPr>
                <w:spacing w:val="-5"/>
                <w:sz w:val="21"/>
              </w:rPr>
              <w:t>104</w:t>
            </w:r>
          </w:p>
        </w:tc>
        <w:tc>
          <w:tcPr>
            <w:tcW w:w="1501" w:type="dxa"/>
          </w:tcPr>
          <w:p>
            <w:pPr>
              <w:pStyle w:val="TableParagraph"/>
              <w:spacing w:before="16"/>
              <w:ind w:right="376"/>
              <w:jc w:val="right"/>
              <w:rPr>
                <w:sz w:val="21"/>
              </w:rPr>
            </w:pPr>
            <w:r>
              <w:rPr>
                <w:spacing w:val="-2"/>
                <w:sz w:val="21"/>
              </w:rPr>
              <w:t>369.523</w:t>
            </w:r>
          </w:p>
        </w:tc>
        <w:tc>
          <w:tcPr>
            <w:tcW w:w="1503" w:type="dxa"/>
            <w:tcBorders>
              <w:right w:val="single" w:sz="4" w:space="0" w:color="000000"/>
            </w:tcBorders>
          </w:tcPr>
          <w:p>
            <w:pPr>
              <w:pStyle w:val="TableParagraph"/>
              <w:spacing w:before="16"/>
              <w:ind w:left="318" w:right="315"/>
              <w:jc w:val="center"/>
              <w:rPr>
                <w:sz w:val="21"/>
              </w:rPr>
            </w:pPr>
            <w:r>
              <w:rPr>
                <w:spacing w:val="-2"/>
                <w:sz w:val="21"/>
              </w:rPr>
              <w:t>302.541</w:t>
            </w:r>
          </w:p>
        </w:tc>
      </w:tr>
      <w:tr>
        <w:trPr>
          <w:trHeight w:val="310" w:hRule="atLeast"/>
        </w:trPr>
        <w:tc>
          <w:tcPr>
            <w:tcW w:w="1602" w:type="dxa"/>
            <w:tcBorders>
              <w:left w:val="single" w:sz="4" w:space="0" w:color="000000"/>
              <w:bottom w:val="single" w:sz="4" w:space="0" w:color="000000"/>
            </w:tcBorders>
          </w:tcPr>
          <w:p>
            <w:pPr>
              <w:pStyle w:val="TableParagraph"/>
              <w:spacing w:before="16"/>
              <w:ind w:left="321" w:right="409"/>
              <w:jc w:val="center"/>
              <w:rPr>
                <w:sz w:val="21"/>
              </w:rPr>
            </w:pPr>
            <w:r>
              <w:rPr>
                <w:spacing w:val="-5"/>
                <w:sz w:val="21"/>
              </w:rPr>
              <w:t>52</w:t>
            </w:r>
          </w:p>
        </w:tc>
        <w:tc>
          <w:tcPr>
            <w:tcW w:w="1487" w:type="dxa"/>
            <w:tcBorders>
              <w:bottom w:val="single" w:sz="4" w:space="0" w:color="000000"/>
            </w:tcBorders>
          </w:tcPr>
          <w:p>
            <w:pPr>
              <w:pStyle w:val="TableParagraph"/>
              <w:spacing w:before="16"/>
              <w:ind w:right="523"/>
              <w:jc w:val="right"/>
              <w:rPr>
                <w:sz w:val="21"/>
              </w:rPr>
            </w:pPr>
            <w:r>
              <w:rPr>
                <w:spacing w:val="-2"/>
                <w:sz w:val="21"/>
              </w:rPr>
              <w:t>3.271</w:t>
            </w:r>
          </w:p>
        </w:tc>
        <w:tc>
          <w:tcPr>
            <w:tcW w:w="1587" w:type="dxa"/>
            <w:tcBorders>
              <w:bottom w:val="single" w:sz="4" w:space="0" w:color="000000"/>
              <w:right w:val="single" w:sz="4" w:space="0" w:color="000000"/>
            </w:tcBorders>
          </w:tcPr>
          <w:p>
            <w:pPr>
              <w:pStyle w:val="TableParagraph"/>
              <w:spacing w:before="16"/>
              <w:ind w:left="530"/>
              <w:rPr>
                <w:sz w:val="21"/>
              </w:rPr>
            </w:pPr>
            <w:r>
              <w:rPr>
                <w:spacing w:val="-2"/>
                <w:sz w:val="21"/>
              </w:rPr>
              <w:t>1.447</w:t>
            </w:r>
          </w:p>
        </w:tc>
        <w:tc>
          <w:tcPr>
            <w:tcW w:w="1506" w:type="dxa"/>
            <w:tcBorders>
              <w:left w:val="single" w:sz="4" w:space="0" w:color="000000"/>
              <w:bottom w:val="single" w:sz="4" w:space="0" w:color="000000"/>
            </w:tcBorders>
          </w:tcPr>
          <w:p>
            <w:pPr>
              <w:pStyle w:val="TableParagraph"/>
              <w:spacing w:before="16"/>
              <w:ind w:left="323" w:right="312"/>
              <w:jc w:val="center"/>
              <w:rPr>
                <w:sz w:val="21"/>
              </w:rPr>
            </w:pPr>
            <w:r>
              <w:rPr>
                <w:spacing w:val="-5"/>
                <w:sz w:val="21"/>
              </w:rPr>
              <w:t>105</w:t>
            </w:r>
          </w:p>
        </w:tc>
        <w:tc>
          <w:tcPr>
            <w:tcW w:w="1501" w:type="dxa"/>
            <w:tcBorders>
              <w:bottom w:val="single" w:sz="4" w:space="0" w:color="000000"/>
            </w:tcBorders>
          </w:tcPr>
          <w:p>
            <w:pPr>
              <w:pStyle w:val="TableParagraph"/>
              <w:spacing w:before="16"/>
              <w:ind w:right="324"/>
              <w:jc w:val="right"/>
              <w:rPr>
                <w:sz w:val="21"/>
              </w:rPr>
            </w:pPr>
            <w:r>
              <w:rPr>
                <w:spacing w:val="-2"/>
                <w:sz w:val="21"/>
              </w:rPr>
              <w:t>1000.000</w:t>
            </w:r>
          </w:p>
        </w:tc>
        <w:tc>
          <w:tcPr>
            <w:tcW w:w="1503" w:type="dxa"/>
            <w:tcBorders>
              <w:bottom w:val="single" w:sz="4" w:space="0" w:color="000000"/>
              <w:right w:val="single" w:sz="4" w:space="0" w:color="000000"/>
            </w:tcBorders>
          </w:tcPr>
          <w:p>
            <w:pPr>
              <w:pStyle w:val="TableParagraph"/>
              <w:spacing w:before="16"/>
              <w:ind w:left="318" w:right="315"/>
              <w:jc w:val="center"/>
              <w:rPr>
                <w:sz w:val="21"/>
              </w:rPr>
            </w:pPr>
            <w:r>
              <w:rPr>
                <w:spacing w:val="-2"/>
                <w:sz w:val="21"/>
              </w:rPr>
              <w:t>1000.000</w:t>
            </w:r>
          </w:p>
        </w:tc>
      </w:tr>
    </w:tbl>
    <w:sectPr>
      <w:type w:val="continuous"/>
      <w:pgSz w:w="11910" w:h="16840"/>
      <w:pgMar w:top="1120" w:bottom="280" w:left="740" w:right="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Calibri">
    <w:altName w:val="Calibri"/>
    <w:charset w:val="0"/>
    <w:family w:val="swiss"/>
    <w:pitch w:val="variable"/>
  </w:font>
  <w:font w:name="Wingdings 2">
    <w:altName w:val="Wingdings 2"/>
    <w:charset w:val="2"/>
    <w:family w:val="roman"/>
    <w:pitch w:val="variable"/>
  </w:font>
  <w:font w:name="Wingdings">
    <w:altName w:val="Wingdings"/>
    <w:charset w:val="2"/>
    <w:family w:val="auto"/>
    <w:pitch w:val="variable"/>
  </w:font>
  <w:font w:name="微软雅黑">
    <w:altName w:val="微软雅黑"/>
    <w:charset w:val="86"/>
    <w:family w:val="swiss"/>
    <w:pitch w:val="variable"/>
  </w:font>
  <w:font w:name="Microsoft JhengHei">
    <w:altName w:val="Microsoft JhengHe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5">
    <w:multiLevelType w:val="hybridMultilevel"/>
    <w:lvl w:ilvl="0">
      <w:start w:val="11"/>
      <w:numFmt w:val="decimal"/>
      <w:lvlText w:val="%1"/>
      <w:lvlJc w:val="left"/>
      <w:pPr>
        <w:ind w:left="2908" w:hanging="1052"/>
        <w:jc w:val="left"/>
      </w:pPr>
      <w:rPr>
        <w:rFonts w:hint="default"/>
        <w:lang w:val="en-US" w:eastAsia="zh-CN" w:bidi="ar-SA"/>
      </w:rPr>
    </w:lvl>
    <w:lvl w:ilvl="1">
      <w:start w:val="5"/>
      <w:numFmt w:val="decimal"/>
      <w:lvlText w:val="%1.%2"/>
      <w:lvlJc w:val="left"/>
      <w:pPr>
        <w:ind w:left="2908" w:hanging="1052"/>
        <w:jc w:val="left"/>
      </w:pPr>
      <w:rPr>
        <w:rFonts w:hint="default" w:ascii="微软雅黑" w:hAnsi="微软雅黑" w:eastAsia="微软雅黑" w:cs="微软雅黑"/>
        <w:b/>
        <w:bCs/>
        <w:i w:val="0"/>
        <w:iCs w:val="0"/>
        <w:w w:val="81"/>
        <w:sz w:val="21"/>
        <w:szCs w:val="21"/>
        <w:lang w:val="en-US" w:eastAsia="zh-CN" w:bidi="ar-SA"/>
      </w:rPr>
    </w:lvl>
    <w:lvl w:ilvl="2">
      <w:start w:val="0"/>
      <w:numFmt w:val="bullet"/>
      <w:lvlText w:val="•"/>
      <w:lvlJc w:val="left"/>
      <w:pPr>
        <w:ind w:left="4549" w:hanging="1052"/>
      </w:pPr>
      <w:rPr>
        <w:rFonts w:hint="default"/>
        <w:lang w:val="en-US" w:eastAsia="zh-CN" w:bidi="ar-SA"/>
      </w:rPr>
    </w:lvl>
    <w:lvl w:ilvl="3">
      <w:start w:val="0"/>
      <w:numFmt w:val="bullet"/>
      <w:lvlText w:val="•"/>
      <w:lvlJc w:val="left"/>
      <w:pPr>
        <w:ind w:left="5373" w:hanging="1052"/>
      </w:pPr>
      <w:rPr>
        <w:rFonts w:hint="default"/>
        <w:lang w:val="en-US" w:eastAsia="zh-CN" w:bidi="ar-SA"/>
      </w:rPr>
    </w:lvl>
    <w:lvl w:ilvl="4">
      <w:start w:val="0"/>
      <w:numFmt w:val="bullet"/>
      <w:lvlText w:val="•"/>
      <w:lvlJc w:val="left"/>
      <w:pPr>
        <w:ind w:left="6198" w:hanging="1052"/>
      </w:pPr>
      <w:rPr>
        <w:rFonts w:hint="default"/>
        <w:lang w:val="en-US" w:eastAsia="zh-CN" w:bidi="ar-SA"/>
      </w:rPr>
    </w:lvl>
    <w:lvl w:ilvl="5">
      <w:start w:val="0"/>
      <w:numFmt w:val="bullet"/>
      <w:lvlText w:val="•"/>
      <w:lvlJc w:val="left"/>
      <w:pPr>
        <w:ind w:left="7023" w:hanging="1052"/>
      </w:pPr>
      <w:rPr>
        <w:rFonts w:hint="default"/>
        <w:lang w:val="en-US" w:eastAsia="zh-CN" w:bidi="ar-SA"/>
      </w:rPr>
    </w:lvl>
    <w:lvl w:ilvl="6">
      <w:start w:val="0"/>
      <w:numFmt w:val="bullet"/>
      <w:lvlText w:val="•"/>
      <w:lvlJc w:val="left"/>
      <w:pPr>
        <w:ind w:left="7847" w:hanging="1052"/>
      </w:pPr>
      <w:rPr>
        <w:rFonts w:hint="default"/>
        <w:lang w:val="en-US" w:eastAsia="zh-CN" w:bidi="ar-SA"/>
      </w:rPr>
    </w:lvl>
    <w:lvl w:ilvl="7">
      <w:start w:val="0"/>
      <w:numFmt w:val="bullet"/>
      <w:lvlText w:val="•"/>
      <w:lvlJc w:val="left"/>
      <w:pPr>
        <w:ind w:left="8672" w:hanging="1052"/>
      </w:pPr>
      <w:rPr>
        <w:rFonts w:hint="default"/>
        <w:lang w:val="en-US" w:eastAsia="zh-CN" w:bidi="ar-SA"/>
      </w:rPr>
    </w:lvl>
    <w:lvl w:ilvl="8">
      <w:start w:val="0"/>
      <w:numFmt w:val="bullet"/>
      <w:lvlText w:val="•"/>
      <w:lvlJc w:val="left"/>
      <w:pPr>
        <w:ind w:left="9497" w:hanging="1052"/>
      </w:pPr>
      <w:rPr>
        <w:rFonts w:hint="default"/>
        <w:lang w:val="en-US" w:eastAsia="zh-CN" w:bidi="ar-SA"/>
      </w:rPr>
    </w:lvl>
  </w:abstractNum>
  <w:abstractNum w:abstractNumId="4">
    <w:multiLevelType w:val="hybridMultilevel"/>
    <w:lvl w:ilvl="0">
      <w:start w:val="1"/>
      <w:numFmt w:val="decimal"/>
      <w:lvlText w:val="%1"/>
      <w:lvlJc w:val="left"/>
      <w:pPr>
        <w:ind w:left="1439" w:hanging="1052"/>
        <w:jc w:val="left"/>
      </w:pPr>
      <w:rPr>
        <w:rFonts w:hint="default"/>
        <w:w w:val="81"/>
        <w:lang w:val="en-US" w:eastAsia="zh-CN" w:bidi="ar-SA"/>
      </w:rPr>
    </w:lvl>
    <w:lvl w:ilvl="1">
      <w:start w:val="1"/>
      <w:numFmt w:val="decimal"/>
      <w:lvlText w:val="%1.%2"/>
      <w:lvlJc w:val="left"/>
      <w:pPr>
        <w:ind w:left="2908" w:hanging="1052"/>
        <w:jc w:val="left"/>
      </w:pPr>
      <w:rPr>
        <w:rFonts w:hint="default" w:ascii="微软雅黑" w:hAnsi="微软雅黑" w:eastAsia="微软雅黑" w:cs="微软雅黑"/>
        <w:b/>
        <w:bCs/>
        <w:i w:val="0"/>
        <w:iCs w:val="0"/>
        <w:w w:val="99"/>
        <w:sz w:val="21"/>
        <w:szCs w:val="21"/>
        <w:lang w:val="en-US" w:eastAsia="zh-CN" w:bidi="ar-SA"/>
      </w:rPr>
    </w:lvl>
    <w:lvl w:ilvl="2">
      <w:start w:val="0"/>
      <w:numFmt w:val="bullet"/>
      <w:lvlText w:val="•"/>
      <w:lvlJc w:val="left"/>
      <w:pPr>
        <w:ind w:left="2855" w:hanging="1052"/>
      </w:pPr>
      <w:rPr>
        <w:rFonts w:hint="default"/>
        <w:lang w:val="en-US" w:eastAsia="zh-CN" w:bidi="ar-SA"/>
      </w:rPr>
    </w:lvl>
    <w:lvl w:ilvl="3">
      <w:start w:val="0"/>
      <w:numFmt w:val="bullet"/>
      <w:lvlText w:val="•"/>
      <w:lvlJc w:val="left"/>
      <w:pPr>
        <w:ind w:left="2810" w:hanging="1052"/>
      </w:pPr>
      <w:rPr>
        <w:rFonts w:hint="default"/>
        <w:lang w:val="en-US" w:eastAsia="zh-CN" w:bidi="ar-SA"/>
      </w:rPr>
    </w:lvl>
    <w:lvl w:ilvl="4">
      <w:start w:val="0"/>
      <w:numFmt w:val="bullet"/>
      <w:lvlText w:val="•"/>
      <w:lvlJc w:val="left"/>
      <w:pPr>
        <w:ind w:left="2765" w:hanging="1052"/>
      </w:pPr>
      <w:rPr>
        <w:rFonts w:hint="default"/>
        <w:lang w:val="en-US" w:eastAsia="zh-CN" w:bidi="ar-SA"/>
      </w:rPr>
    </w:lvl>
    <w:lvl w:ilvl="5">
      <w:start w:val="0"/>
      <w:numFmt w:val="bullet"/>
      <w:lvlText w:val="•"/>
      <w:lvlJc w:val="left"/>
      <w:pPr>
        <w:ind w:left="2720" w:hanging="1052"/>
      </w:pPr>
      <w:rPr>
        <w:rFonts w:hint="default"/>
        <w:lang w:val="en-US" w:eastAsia="zh-CN" w:bidi="ar-SA"/>
      </w:rPr>
    </w:lvl>
    <w:lvl w:ilvl="6">
      <w:start w:val="0"/>
      <w:numFmt w:val="bullet"/>
      <w:lvlText w:val="•"/>
      <w:lvlJc w:val="left"/>
      <w:pPr>
        <w:ind w:left="2675" w:hanging="1052"/>
      </w:pPr>
      <w:rPr>
        <w:rFonts w:hint="default"/>
        <w:lang w:val="en-US" w:eastAsia="zh-CN" w:bidi="ar-SA"/>
      </w:rPr>
    </w:lvl>
    <w:lvl w:ilvl="7">
      <w:start w:val="0"/>
      <w:numFmt w:val="bullet"/>
      <w:lvlText w:val="•"/>
      <w:lvlJc w:val="left"/>
      <w:pPr>
        <w:ind w:left="2630" w:hanging="1052"/>
      </w:pPr>
      <w:rPr>
        <w:rFonts w:hint="default"/>
        <w:lang w:val="en-US" w:eastAsia="zh-CN" w:bidi="ar-SA"/>
      </w:rPr>
    </w:lvl>
    <w:lvl w:ilvl="8">
      <w:start w:val="0"/>
      <w:numFmt w:val="bullet"/>
      <w:lvlText w:val="•"/>
      <w:lvlJc w:val="left"/>
      <w:pPr>
        <w:ind w:left="2585" w:hanging="1052"/>
      </w:pPr>
      <w:rPr>
        <w:rFonts w:hint="default"/>
        <w:lang w:val="en-US" w:eastAsia="zh-CN" w:bidi="ar-SA"/>
      </w:rPr>
    </w:lvl>
  </w:abstractNum>
  <w:abstractNum w:abstractNumId="3">
    <w:multiLevelType w:val="hybridMultilevel"/>
    <w:lvl w:ilvl="0">
      <w:start w:val="8"/>
      <w:numFmt w:val="decimal"/>
      <w:lvlText w:val="%1"/>
      <w:lvlJc w:val="left"/>
      <w:pPr>
        <w:ind w:left="977" w:hanging="423"/>
        <w:jc w:val="left"/>
      </w:pPr>
      <w:rPr>
        <w:rFonts w:hint="default"/>
        <w:lang w:val="en-US" w:eastAsia="zh-CN" w:bidi="ar-SA"/>
      </w:rPr>
    </w:lvl>
    <w:lvl w:ilvl="1">
      <w:start w:val="1"/>
      <w:numFmt w:val="decimal"/>
      <w:lvlText w:val="%1.%2"/>
      <w:lvlJc w:val="left"/>
      <w:pPr>
        <w:ind w:left="977"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615" w:hanging="423"/>
      </w:pPr>
      <w:rPr>
        <w:rFonts w:hint="default"/>
        <w:lang w:val="en-US" w:eastAsia="zh-CN" w:bidi="ar-SA"/>
      </w:rPr>
    </w:lvl>
    <w:lvl w:ilvl="3">
      <w:start w:val="0"/>
      <w:numFmt w:val="bullet"/>
      <w:lvlText w:val="•"/>
      <w:lvlJc w:val="left"/>
      <w:pPr>
        <w:ind w:left="1932" w:hanging="423"/>
      </w:pPr>
      <w:rPr>
        <w:rFonts w:hint="default"/>
        <w:lang w:val="en-US" w:eastAsia="zh-CN" w:bidi="ar-SA"/>
      </w:rPr>
    </w:lvl>
    <w:lvl w:ilvl="4">
      <w:start w:val="0"/>
      <w:numFmt w:val="bullet"/>
      <w:lvlText w:val="•"/>
      <w:lvlJc w:val="left"/>
      <w:pPr>
        <w:ind w:left="2250" w:hanging="423"/>
      </w:pPr>
      <w:rPr>
        <w:rFonts w:hint="default"/>
        <w:lang w:val="en-US" w:eastAsia="zh-CN" w:bidi="ar-SA"/>
      </w:rPr>
    </w:lvl>
    <w:lvl w:ilvl="5">
      <w:start w:val="0"/>
      <w:numFmt w:val="bullet"/>
      <w:lvlText w:val="•"/>
      <w:lvlJc w:val="left"/>
      <w:pPr>
        <w:ind w:left="2567" w:hanging="423"/>
      </w:pPr>
      <w:rPr>
        <w:rFonts w:hint="default"/>
        <w:lang w:val="en-US" w:eastAsia="zh-CN" w:bidi="ar-SA"/>
      </w:rPr>
    </w:lvl>
    <w:lvl w:ilvl="6">
      <w:start w:val="0"/>
      <w:numFmt w:val="bullet"/>
      <w:lvlText w:val="•"/>
      <w:lvlJc w:val="left"/>
      <w:pPr>
        <w:ind w:left="2885" w:hanging="423"/>
      </w:pPr>
      <w:rPr>
        <w:rFonts w:hint="default"/>
        <w:lang w:val="en-US" w:eastAsia="zh-CN" w:bidi="ar-SA"/>
      </w:rPr>
    </w:lvl>
    <w:lvl w:ilvl="7">
      <w:start w:val="0"/>
      <w:numFmt w:val="bullet"/>
      <w:lvlText w:val="•"/>
      <w:lvlJc w:val="left"/>
      <w:pPr>
        <w:ind w:left="3202" w:hanging="423"/>
      </w:pPr>
      <w:rPr>
        <w:rFonts w:hint="default"/>
        <w:lang w:val="en-US" w:eastAsia="zh-CN" w:bidi="ar-SA"/>
      </w:rPr>
    </w:lvl>
    <w:lvl w:ilvl="8">
      <w:start w:val="0"/>
      <w:numFmt w:val="bullet"/>
      <w:lvlText w:val="•"/>
      <w:lvlJc w:val="left"/>
      <w:pPr>
        <w:ind w:left="3520" w:hanging="423"/>
      </w:pPr>
      <w:rPr>
        <w:rFonts w:hint="default"/>
        <w:lang w:val="en-US" w:eastAsia="zh-CN" w:bidi="ar-SA"/>
      </w:rPr>
    </w:lvl>
  </w:abstractNum>
  <w:abstractNum w:abstractNumId="2">
    <w:multiLevelType w:val="hybridMultilevel"/>
    <w:lvl w:ilvl="0">
      <w:start w:val="4"/>
      <w:numFmt w:val="decimal"/>
      <w:lvlText w:val="%1"/>
      <w:lvlJc w:val="left"/>
      <w:pPr>
        <w:ind w:left="973" w:hanging="423"/>
        <w:jc w:val="left"/>
      </w:pPr>
      <w:rPr>
        <w:rFonts w:hint="default"/>
        <w:lang w:val="en-US" w:eastAsia="zh-CN" w:bidi="ar-SA"/>
      </w:rPr>
    </w:lvl>
    <w:lvl w:ilvl="1">
      <w:start w:val="5"/>
      <w:numFmt w:val="decimal"/>
      <w:lvlText w:val="%1.%2"/>
      <w:lvlJc w:val="left"/>
      <w:pPr>
        <w:ind w:left="973"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98" w:hanging="423"/>
      </w:pPr>
      <w:rPr>
        <w:rFonts w:hint="default"/>
        <w:lang w:val="en-US" w:eastAsia="zh-CN" w:bidi="ar-SA"/>
      </w:rPr>
    </w:lvl>
    <w:lvl w:ilvl="3">
      <w:start w:val="0"/>
      <w:numFmt w:val="bullet"/>
      <w:lvlText w:val="•"/>
      <w:lvlJc w:val="left"/>
      <w:pPr>
        <w:ind w:left="1608" w:hanging="423"/>
      </w:pPr>
      <w:rPr>
        <w:rFonts w:hint="default"/>
        <w:lang w:val="en-US" w:eastAsia="zh-CN" w:bidi="ar-SA"/>
      </w:rPr>
    </w:lvl>
    <w:lvl w:ilvl="4">
      <w:start w:val="0"/>
      <w:numFmt w:val="bullet"/>
      <w:lvlText w:val="•"/>
      <w:lvlJc w:val="left"/>
      <w:pPr>
        <w:ind w:left="1817" w:hanging="423"/>
      </w:pPr>
      <w:rPr>
        <w:rFonts w:hint="default"/>
        <w:lang w:val="en-US" w:eastAsia="zh-CN" w:bidi="ar-SA"/>
      </w:rPr>
    </w:lvl>
    <w:lvl w:ilvl="5">
      <w:start w:val="0"/>
      <w:numFmt w:val="bullet"/>
      <w:lvlText w:val="•"/>
      <w:lvlJc w:val="left"/>
      <w:pPr>
        <w:ind w:left="2026" w:hanging="423"/>
      </w:pPr>
      <w:rPr>
        <w:rFonts w:hint="default"/>
        <w:lang w:val="en-US" w:eastAsia="zh-CN" w:bidi="ar-SA"/>
      </w:rPr>
    </w:lvl>
    <w:lvl w:ilvl="6">
      <w:start w:val="0"/>
      <w:numFmt w:val="bullet"/>
      <w:lvlText w:val="•"/>
      <w:lvlJc w:val="left"/>
      <w:pPr>
        <w:ind w:left="2236" w:hanging="423"/>
      </w:pPr>
      <w:rPr>
        <w:rFonts w:hint="default"/>
        <w:lang w:val="en-US" w:eastAsia="zh-CN" w:bidi="ar-SA"/>
      </w:rPr>
    </w:lvl>
    <w:lvl w:ilvl="7">
      <w:start w:val="0"/>
      <w:numFmt w:val="bullet"/>
      <w:lvlText w:val="•"/>
      <w:lvlJc w:val="left"/>
      <w:pPr>
        <w:ind w:left="2445" w:hanging="423"/>
      </w:pPr>
      <w:rPr>
        <w:rFonts w:hint="default"/>
        <w:lang w:val="en-US" w:eastAsia="zh-CN" w:bidi="ar-SA"/>
      </w:rPr>
    </w:lvl>
    <w:lvl w:ilvl="8">
      <w:start w:val="0"/>
      <w:numFmt w:val="bullet"/>
      <w:lvlText w:val="•"/>
      <w:lvlJc w:val="left"/>
      <w:pPr>
        <w:ind w:left="2654" w:hanging="423"/>
      </w:pPr>
      <w:rPr>
        <w:rFonts w:hint="default"/>
        <w:lang w:val="en-US" w:eastAsia="zh-CN" w:bidi="ar-SA"/>
      </w:rPr>
    </w:lvl>
  </w:abstractNum>
  <w:abstractNum w:abstractNumId="1">
    <w:multiLevelType w:val="hybridMultilevel"/>
    <w:lvl w:ilvl="0">
      <w:start w:val="4"/>
      <w:numFmt w:val="decimal"/>
      <w:lvlText w:val="%1."/>
      <w:lvlJc w:val="left"/>
      <w:pPr>
        <w:ind w:left="1176" w:hanging="213"/>
        <w:jc w:val="left"/>
      </w:pPr>
      <w:rPr>
        <w:rFonts w:hint="default" w:ascii="微软雅黑" w:hAnsi="微软雅黑" w:eastAsia="微软雅黑" w:cs="微软雅黑"/>
        <w:b/>
        <w:bCs/>
        <w:i w:val="0"/>
        <w:iCs w:val="0"/>
        <w:w w:val="111"/>
        <w:sz w:val="19"/>
        <w:szCs w:val="19"/>
        <w:lang w:val="en-US" w:eastAsia="zh-CN" w:bidi="ar-SA"/>
      </w:rPr>
    </w:lvl>
    <w:lvl w:ilvl="1">
      <w:start w:val="2"/>
      <w:numFmt w:val="decimal"/>
      <w:lvlText w:val="%2."/>
      <w:lvlJc w:val="left"/>
      <w:pPr>
        <w:ind w:left="1524" w:hanging="213"/>
        <w:jc w:val="left"/>
      </w:pPr>
      <w:rPr>
        <w:rFonts w:hint="default" w:ascii="微软雅黑" w:hAnsi="微软雅黑" w:eastAsia="微软雅黑" w:cs="微软雅黑"/>
        <w:b/>
        <w:bCs/>
        <w:i w:val="0"/>
        <w:iCs w:val="0"/>
        <w:w w:val="81"/>
        <w:sz w:val="19"/>
        <w:szCs w:val="19"/>
        <w:lang w:val="en-US" w:eastAsia="zh-CN" w:bidi="ar-SA"/>
      </w:rPr>
    </w:lvl>
    <w:lvl w:ilvl="2">
      <w:start w:val="1"/>
      <w:numFmt w:val="decimal"/>
      <w:lvlText w:val="%2.%3"/>
      <w:lvlJc w:val="left"/>
      <w:pPr>
        <w:ind w:left="1946" w:hanging="423"/>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1744" w:hanging="423"/>
      </w:pPr>
      <w:rPr>
        <w:rFonts w:hint="default"/>
        <w:lang w:val="en-US" w:eastAsia="zh-CN" w:bidi="ar-SA"/>
      </w:rPr>
    </w:lvl>
    <w:lvl w:ilvl="4">
      <w:start w:val="0"/>
      <w:numFmt w:val="bullet"/>
      <w:lvlText w:val="•"/>
      <w:lvlJc w:val="left"/>
      <w:pPr>
        <w:ind w:left="1548" w:hanging="423"/>
      </w:pPr>
      <w:rPr>
        <w:rFonts w:hint="default"/>
        <w:lang w:val="en-US" w:eastAsia="zh-CN" w:bidi="ar-SA"/>
      </w:rPr>
    </w:lvl>
    <w:lvl w:ilvl="5">
      <w:start w:val="0"/>
      <w:numFmt w:val="bullet"/>
      <w:lvlText w:val="•"/>
      <w:lvlJc w:val="left"/>
      <w:pPr>
        <w:ind w:left="1352" w:hanging="423"/>
      </w:pPr>
      <w:rPr>
        <w:rFonts w:hint="default"/>
        <w:lang w:val="en-US" w:eastAsia="zh-CN" w:bidi="ar-SA"/>
      </w:rPr>
    </w:lvl>
    <w:lvl w:ilvl="6">
      <w:start w:val="0"/>
      <w:numFmt w:val="bullet"/>
      <w:lvlText w:val="•"/>
      <w:lvlJc w:val="left"/>
      <w:pPr>
        <w:ind w:left="1156" w:hanging="423"/>
      </w:pPr>
      <w:rPr>
        <w:rFonts w:hint="default"/>
        <w:lang w:val="en-US" w:eastAsia="zh-CN" w:bidi="ar-SA"/>
      </w:rPr>
    </w:lvl>
    <w:lvl w:ilvl="7">
      <w:start w:val="0"/>
      <w:numFmt w:val="bullet"/>
      <w:lvlText w:val="•"/>
      <w:lvlJc w:val="left"/>
      <w:pPr>
        <w:ind w:left="960" w:hanging="423"/>
      </w:pPr>
      <w:rPr>
        <w:rFonts w:hint="default"/>
        <w:lang w:val="en-US" w:eastAsia="zh-CN" w:bidi="ar-SA"/>
      </w:rPr>
    </w:lvl>
    <w:lvl w:ilvl="8">
      <w:start w:val="0"/>
      <w:numFmt w:val="bullet"/>
      <w:lvlText w:val="•"/>
      <w:lvlJc w:val="left"/>
      <w:pPr>
        <w:ind w:left="764" w:hanging="423"/>
      </w:pPr>
      <w:rPr>
        <w:rFonts w:hint="default"/>
        <w:lang w:val="en-US" w:eastAsia="zh-CN" w:bidi="ar-SA"/>
      </w:rPr>
    </w:lvl>
  </w:abstractNum>
  <w:abstractNum w:abstractNumId="0">
    <w:multiLevelType w:val="hybridMultilevel"/>
    <w:lvl w:ilvl="0">
      <w:start w:val="0"/>
      <w:numFmt w:val="bullet"/>
      <w:lvlText w:val=""/>
      <w:lvlJc w:val="left"/>
      <w:pPr>
        <w:ind w:left="1706" w:hanging="526"/>
      </w:pPr>
      <w:rPr>
        <w:rFonts w:hint="default" w:ascii="Wingdings" w:hAnsi="Wingdings" w:eastAsia="Wingdings" w:cs="Wingdings"/>
        <w:b w:val="0"/>
        <w:bCs w:val="0"/>
        <w:i w:val="0"/>
        <w:iCs w:val="0"/>
        <w:w w:val="100"/>
        <w:sz w:val="21"/>
        <w:szCs w:val="21"/>
        <w:lang w:val="en-US" w:eastAsia="zh-CN" w:bidi="ar-SA"/>
      </w:rPr>
    </w:lvl>
    <w:lvl w:ilvl="1">
      <w:start w:val="1"/>
      <w:numFmt w:val="decimal"/>
      <w:lvlText w:val="%2."/>
      <w:lvlJc w:val="left"/>
      <w:pPr>
        <w:ind w:left="1524" w:hanging="213"/>
        <w:jc w:val="left"/>
      </w:pPr>
      <w:rPr>
        <w:rFonts w:hint="default" w:ascii="微软雅黑" w:hAnsi="微软雅黑" w:eastAsia="微软雅黑" w:cs="微软雅黑"/>
        <w:b/>
        <w:bCs/>
        <w:i w:val="0"/>
        <w:iCs w:val="0"/>
        <w:w w:val="81"/>
        <w:sz w:val="19"/>
        <w:szCs w:val="19"/>
        <w:lang w:val="en-US" w:eastAsia="zh-CN" w:bidi="ar-SA"/>
      </w:rPr>
    </w:lvl>
    <w:lvl w:ilvl="2">
      <w:start w:val="0"/>
      <w:numFmt w:val="bullet"/>
      <w:lvlText w:val="•"/>
      <w:lvlJc w:val="left"/>
      <w:pPr>
        <w:ind w:left="1891" w:hanging="213"/>
      </w:pPr>
      <w:rPr>
        <w:rFonts w:hint="default"/>
        <w:lang w:val="en-US" w:eastAsia="zh-CN" w:bidi="ar-SA"/>
      </w:rPr>
    </w:lvl>
    <w:lvl w:ilvl="3">
      <w:start w:val="0"/>
      <w:numFmt w:val="bullet"/>
      <w:lvlText w:val="•"/>
      <w:lvlJc w:val="left"/>
      <w:pPr>
        <w:ind w:left="2083" w:hanging="213"/>
      </w:pPr>
      <w:rPr>
        <w:rFonts w:hint="default"/>
        <w:lang w:val="en-US" w:eastAsia="zh-CN" w:bidi="ar-SA"/>
      </w:rPr>
    </w:lvl>
    <w:lvl w:ilvl="4">
      <w:start w:val="0"/>
      <w:numFmt w:val="bullet"/>
      <w:lvlText w:val="•"/>
      <w:lvlJc w:val="left"/>
      <w:pPr>
        <w:ind w:left="2274" w:hanging="213"/>
      </w:pPr>
      <w:rPr>
        <w:rFonts w:hint="default"/>
        <w:lang w:val="en-US" w:eastAsia="zh-CN" w:bidi="ar-SA"/>
      </w:rPr>
    </w:lvl>
    <w:lvl w:ilvl="5">
      <w:start w:val="0"/>
      <w:numFmt w:val="bullet"/>
      <w:lvlText w:val="•"/>
      <w:lvlJc w:val="left"/>
      <w:pPr>
        <w:ind w:left="2466" w:hanging="213"/>
      </w:pPr>
      <w:rPr>
        <w:rFonts w:hint="default"/>
        <w:lang w:val="en-US" w:eastAsia="zh-CN" w:bidi="ar-SA"/>
      </w:rPr>
    </w:lvl>
    <w:lvl w:ilvl="6">
      <w:start w:val="0"/>
      <w:numFmt w:val="bullet"/>
      <w:lvlText w:val="•"/>
      <w:lvlJc w:val="left"/>
      <w:pPr>
        <w:ind w:left="2658" w:hanging="213"/>
      </w:pPr>
      <w:rPr>
        <w:rFonts w:hint="default"/>
        <w:lang w:val="en-US" w:eastAsia="zh-CN" w:bidi="ar-SA"/>
      </w:rPr>
    </w:lvl>
    <w:lvl w:ilvl="7">
      <w:start w:val="0"/>
      <w:numFmt w:val="bullet"/>
      <w:lvlText w:val="•"/>
      <w:lvlJc w:val="left"/>
      <w:pPr>
        <w:ind w:left="2849" w:hanging="213"/>
      </w:pPr>
      <w:rPr>
        <w:rFonts w:hint="default"/>
        <w:lang w:val="en-US" w:eastAsia="zh-CN" w:bidi="ar-SA"/>
      </w:rPr>
    </w:lvl>
    <w:lvl w:ilvl="8">
      <w:start w:val="0"/>
      <w:numFmt w:val="bullet"/>
      <w:lvlText w:val="•"/>
      <w:lvlJc w:val="left"/>
      <w:pPr>
        <w:ind w:left="3041" w:hanging="213"/>
      </w:pPr>
      <w:rPr>
        <w:rFonts w:hint="default"/>
        <w:lang w:val="en-US" w:eastAsia="zh-CN" w:bidi="ar-SA"/>
      </w:rPr>
    </w:lvl>
  </w:abstract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line="591" w:lineRule="exact"/>
      <w:ind w:left="1433" w:right="2153"/>
      <w:jc w:val="center"/>
      <w:outlineLvl w:val="1"/>
    </w:pPr>
    <w:rPr>
      <w:rFonts w:ascii="Microsoft JhengHei" w:hAnsi="Microsoft JhengHei" w:eastAsia="Microsoft JhengHei" w:cs="Microsoft JhengHei"/>
      <w:b/>
      <w:bCs/>
      <w:sz w:val="44"/>
      <w:szCs w:val="44"/>
      <w:lang w:val="en-US" w:eastAsia="zh-CN" w:bidi="ar-SA"/>
    </w:rPr>
  </w:style>
  <w:style w:styleId="Heading2" w:type="paragraph">
    <w:name w:val="Heading 2"/>
    <w:basedOn w:val="Normal"/>
    <w:uiPriority w:val="1"/>
    <w:qFormat/>
    <w:pPr>
      <w:spacing w:before="62"/>
      <w:ind w:left="1439"/>
      <w:outlineLvl w:val="2"/>
    </w:pPr>
    <w:rPr>
      <w:rFonts w:ascii="Microsoft JhengHei" w:hAnsi="Microsoft JhengHei" w:eastAsia="Microsoft JhengHei" w:cs="Microsoft JhengHei"/>
      <w:b/>
      <w:bCs/>
      <w:sz w:val="24"/>
      <w:szCs w:val="24"/>
      <w:lang w:val="en-US" w:eastAsia="zh-CN" w:bidi="ar-SA"/>
    </w:rPr>
  </w:style>
  <w:style w:styleId="ListParagraph" w:type="paragraph">
    <w:name w:val="List Paragraph"/>
    <w:basedOn w:val="Normal"/>
    <w:uiPriority w:val="1"/>
    <w:qFormat/>
    <w:pPr>
      <w:ind w:left="1439" w:hanging="1052"/>
    </w:pPr>
    <w:rPr>
      <w:rFonts w:ascii="宋体" w:hAnsi="宋体" w:eastAsia="宋体" w:cs="宋体"/>
      <w:lang w:val="en-US" w:eastAsia="zh-CN" w:bidi="ar-SA"/>
    </w:rPr>
  </w:style>
  <w:style w:styleId="TableParagraph" w:type="paragraph">
    <w:name w:val="Table Paragraph"/>
    <w:basedOn w:val="Normal"/>
    <w:uiPriority w:val="1"/>
    <w:qFormat/>
    <w:pPr>
      <w:spacing w:before="22"/>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2023-06-02T03:14:00Z</dcterms:created>
  <dcterms:modified xsi:type="dcterms:W3CDTF">2023-06-02T03:14:00Z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