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5"/>
        <w:ind w:left="0" w:right="102" w:firstLine="0"/>
        <w:jc w:val="right"/>
        <w:rPr>
          <w:sz w:val="20"/>
        </w:rPr>
      </w:pPr>
      <w:r>
        <w:rPr/>
        <w:drawing>
          <wp:anchor distT="0" distB="0" distL="0" distR="0" allowOverlap="1" layoutInCell="1" locked="0" behindDoc="0" simplePos="0" relativeHeight="15728640">
            <wp:simplePos x="0" y="0"/>
            <wp:positionH relativeFrom="page">
              <wp:posOffset>5807709</wp:posOffset>
            </wp:positionH>
            <wp:positionV relativeFrom="paragraph">
              <wp:posOffset>198373</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险〔2021</w:t>
      </w:r>
      <w:r>
        <w:rPr>
          <w:w w:val="95"/>
          <w:sz w:val="20"/>
        </w:rPr>
        <w:t>〕</w:t>
      </w:r>
      <w:r>
        <w:rPr>
          <w:w w:val="95"/>
          <w:sz w:val="20"/>
        </w:rPr>
        <w:t>医</w:t>
      </w:r>
      <w:r>
        <w:rPr>
          <w:w w:val="95"/>
          <w:sz w:val="20"/>
        </w:rPr>
        <w:t>疗</w:t>
      </w:r>
      <w:r>
        <w:rPr>
          <w:w w:val="95"/>
          <w:sz w:val="20"/>
        </w:rPr>
        <w:t>保</w:t>
      </w:r>
      <w:r>
        <w:rPr>
          <w:w w:val="95"/>
          <w:sz w:val="20"/>
        </w:rPr>
        <w:t>险</w:t>
      </w:r>
      <w:r>
        <w:rPr>
          <w:spacing w:val="10"/>
          <w:sz w:val="20"/>
        </w:rPr>
        <w:t> </w:t>
      </w:r>
      <w:r>
        <w:rPr>
          <w:w w:val="95"/>
          <w:sz w:val="20"/>
        </w:rPr>
        <w:t>021</w:t>
      </w:r>
      <w:r>
        <w:rPr>
          <w:spacing w:val="9"/>
          <w:sz w:val="20"/>
        </w:rPr>
        <w:t> </w:t>
      </w:r>
      <w:r>
        <w:rPr>
          <w:spacing w:val="-10"/>
          <w:w w:val="95"/>
          <w:sz w:val="20"/>
        </w:rPr>
        <w:t>号</w:t>
      </w:r>
    </w:p>
    <w:p>
      <w:pPr>
        <w:pStyle w:val="BodyText"/>
        <w:spacing w:before="6"/>
        <w:rPr>
          <w:sz w:val="20"/>
        </w:rPr>
      </w:pPr>
    </w:p>
    <w:p>
      <w:pPr>
        <w:spacing w:after="0"/>
        <w:rPr>
          <w:sz w:val="20"/>
        </w:rPr>
        <w:sectPr>
          <w:type w:val="continuous"/>
          <w:pgSz w:w="11910" w:h="16840"/>
          <w:pgMar w:top="600" w:bottom="280" w:left="760" w:right="580"/>
        </w:sectPr>
      </w:pPr>
    </w:p>
    <w:p>
      <w:pPr>
        <w:spacing w:line="511" w:lineRule="exact" w:before="0"/>
        <w:ind w:left="3083" w:right="0" w:firstLine="0"/>
        <w:jc w:val="center"/>
        <w:rPr>
          <w:rFonts w:ascii="Microsoft JhengHei" w:eastAsia="Microsoft JhengHei"/>
          <w:b/>
          <w:sz w:val="30"/>
        </w:rPr>
      </w:pPr>
      <w:r>
        <w:rPr>
          <w:rFonts w:ascii="Microsoft JhengHei" w:eastAsia="Microsoft JhengHei"/>
          <w:b/>
          <w:spacing w:val="-4"/>
          <w:sz w:val="30"/>
        </w:rPr>
        <w:t>信泰全民 </w:t>
      </w:r>
      <w:r>
        <w:rPr>
          <w:rFonts w:ascii="Microsoft JhengHei" w:eastAsia="Microsoft JhengHei"/>
          <w:b/>
          <w:sz w:val="30"/>
        </w:rPr>
        <w:t>e</w:t>
      </w:r>
      <w:r>
        <w:rPr>
          <w:rFonts w:ascii="Microsoft JhengHei" w:eastAsia="Microsoft JhengHei"/>
          <w:b/>
          <w:spacing w:val="-11"/>
          <w:sz w:val="30"/>
        </w:rPr>
        <w:t> 保 </w:t>
      </w:r>
      <w:r>
        <w:rPr>
          <w:rFonts w:ascii="Microsoft JhengHei" w:eastAsia="Microsoft JhengHei"/>
          <w:b/>
          <w:sz w:val="30"/>
        </w:rPr>
        <w:t>C</w:t>
      </w:r>
      <w:r>
        <w:rPr>
          <w:rFonts w:ascii="Microsoft JhengHei" w:eastAsia="Microsoft JhengHei"/>
          <w:b/>
          <w:spacing w:val="-5"/>
          <w:sz w:val="30"/>
        </w:rPr>
        <w:t> 款医疗保险条款</w:t>
      </w:r>
    </w:p>
    <w:p>
      <w:pPr>
        <w:spacing w:before="72"/>
        <w:ind w:left="3085" w:right="0" w:firstLine="0"/>
        <w:jc w:val="center"/>
        <w:rPr>
          <w:rFonts w:ascii="Microsoft JhengHei" w:eastAsia="Microsoft JhengHei"/>
          <w:b/>
          <w:sz w:val="30"/>
        </w:rPr>
      </w:pPr>
      <w:r>
        <w:rPr>
          <w:rFonts w:ascii="Microsoft JhengHei" w:eastAsia="Microsoft JhengHei"/>
          <w:b/>
          <w:spacing w:val="-3"/>
          <w:sz w:val="30"/>
        </w:rPr>
        <w:t>阅读指引</w:t>
      </w:r>
    </w:p>
    <w:p>
      <w:pPr>
        <w:spacing w:line="240" w:lineRule="auto" w:before="0"/>
        <w:rPr>
          <w:rFonts w:ascii="Microsoft JhengHei"/>
          <w:b/>
          <w:sz w:val="20"/>
        </w:rPr>
      </w:pPr>
      <w:r>
        <w:rPr/>
        <w:br w:type="column"/>
      </w:r>
      <w:r>
        <w:rPr>
          <w:rFonts w:ascii="Microsoft JhengHei"/>
          <w:b/>
          <w:sz w:val="20"/>
        </w:rPr>
      </w:r>
    </w:p>
    <w:p>
      <w:pPr>
        <w:pStyle w:val="BodyText"/>
        <w:spacing w:before="12"/>
        <w:rPr>
          <w:rFonts w:ascii="Microsoft JhengHei"/>
          <w:b/>
          <w:sz w:val="27"/>
        </w:rPr>
      </w:pPr>
    </w:p>
    <w:p>
      <w:pPr>
        <w:spacing w:before="0"/>
        <w:ind w:left="619" w:right="0" w:firstLine="0"/>
        <w:jc w:val="lef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760" w:right="580"/>
          <w:cols w:num="2" w:equalWidth="0">
            <w:col w:w="7300" w:space="40"/>
            <w:col w:w="3230"/>
          </w:cols>
        </w:sectPr>
      </w:pPr>
    </w:p>
    <w:p>
      <w:pPr>
        <w:pStyle w:val="BodyText"/>
        <w:spacing w:before="79"/>
        <w:ind w:left="2389" w:right="256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2"/>
        <w:tabs>
          <w:tab w:pos="1246" w:val="left" w:leader="none"/>
        </w:tabs>
        <w:spacing w:line="484" w:lineRule="exact" w:before="78"/>
        <w:ind w:left="23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3"/>
            <w:numPr>
              <w:ilvl w:val="0"/>
              <w:numId w:val="1"/>
            </w:numPr>
            <w:tabs>
              <w:tab w:pos="1628" w:val="left" w:leader="none"/>
              <w:tab w:pos="1629" w:val="left" w:leader="none"/>
              <w:tab w:pos="9931" w:val="right" w:leader="dot"/>
            </w:tabs>
            <w:spacing w:line="205" w:lineRule="exact" w:before="0" w:after="0"/>
            <w:ind w:left="1628" w:right="0" w:hanging="402"/>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628" w:val="left" w:leader="none"/>
              <w:tab w:pos="1629" w:val="left" w:leader="none"/>
              <w:tab w:pos="9720" w:val="right" w:leader="dot"/>
            </w:tabs>
            <w:spacing w:line="240" w:lineRule="auto" w:before="43" w:after="0"/>
            <w:ind w:left="1628" w:right="0" w:hanging="402"/>
            <w:jc w:val="left"/>
          </w:pPr>
          <w:r>
            <w:rPr>
              <w:spacing w:val="-2"/>
            </w:rPr>
            <w:t>您</w:t>
          </w:r>
          <w:r>
            <w:rPr>
              <w:spacing w:val="-2"/>
            </w:rPr>
            <w:t>有</w:t>
          </w:r>
          <w:r>
            <w:rPr>
              <w:spacing w:val="-2"/>
            </w:rPr>
            <w:t>解除本合同的</w:t>
          </w:r>
          <w:r>
            <w:rPr>
              <w:spacing w:val="-2"/>
            </w:rPr>
            <w:t>权</w:t>
          </w:r>
          <w:r>
            <w:rPr>
              <w:spacing w:val="-10"/>
            </w:rPr>
            <w:t>利</w:t>
          </w:r>
          <w:r>
            <w:rPr>
              <w:rFonts w:ascii="Times New Roman" w:hAnsi="Times New Roman" w:eastAsia="Times New Roman"/>
            </w:rPr>
            <w:tab/>
          </w:r>
          <w:r>
            <w:rPr>
              <w:spacing w:val="-10"/>
            </w:rPr>
            <w:t>6</w:t>
          </w:r>
        </w:p>
        <w:p>
          <w:pPr>
            <w:pStyle w:val="TOC1"/>
            <w:tabs>
              <w:tab w:pos="124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4"/>
            <w:numPr>
              <w:ilvl w:val="0"/>
              <w:numId w:val="1"/>
            </w:numPr>
            <w:tabs>
              <w:tab w:pos="1654" w:val="left" w:leader="none"/>
              <w:tab w:pos="1655" w:val="left" w:leader="none"/>
              <w:tab w:pos="9965" w:val="right" w:leader="dot"/>
            </w:tabs>
            <w:spacing w:line="252" w:lineRule="exact" w:before="0" w:after="0"/>
            <w:ind w:left="1654" w:right="0" w:hanging="428"/>
            <w:jc w:val="left"/>
            <w:rPr>
              <w:rFonts w:ascii="宋体" w:hAnsi="宋体" w:eastAsia="宋体" w:hint="eastAsia"/>
              <w:b w:val="0"/>
              <w:i w:val="0"/>
              <w:sz w:val="21"/>
            </w:rPr>
          </w:pPr>
          <w:r>
            <w:rPr>
              <w:i w:val="0"/>
              <w:spacing w:val="-2"/>
              <w:sz w:val="21"/>
            </w:rPr>
            <w:t>本</w:t>
          </w:r>
          <w:r>
            <w:rPr>
              <w:i w:val="0"/>
              <w:spacing w:val="-2"/>
              <w:sz w:val="21"/>
            </w:rPr>
            <w:t>合</w:t>
          </w:r>
          <w:r>
            <w:rPr>
              <w:i w:val="0"/>
              <w:spacing w:val="-2"/>
              <w:sz w:val="21"/>
            </w:rPr>
            <w:t>同</w:t>
          </w:r>
          <w:r>
            <w:rPr>
              <w:i w:val="0"/>
              <w:spacing w:val="-2"/>
              <w:sz w:val="21"/>
            </w:rPr>
            <w:t>的</w:t>
          </w:r>
          <w:r>
            <w:rPr>
              <w:i w:val="0"/>
              <w:spacing w:val="-2"/>
              <w:sz w:val="21"/>
            </w:rPr>
            <w:t>保</w:t>
          </w:r>
          <w:r>
            <w:rPr>
              <w:i w:val="0"/>
              <w:spacing w:val="-2"/>
              <w:sz w:val="21"/>
            </w:rPr>
            <w:t>险</w:t>
          </w:r>
          <w:r>
            <w:rPr>
              <w:i w:val="0"/>
              <w:spacing w:val="-2"/>
              <w:sz w:val="21"/>
            </w:rPr>
            <w:t>期</w:t>
          </w:r>
          <w:r>
            <w:rPr>
              <w:i w:val="0"/>
              <w:spacing w:val="-2"/>
              <w:sz w:val="21"/>
            </w:rPr>
            <w:t>间</w:t>
          </w:r>
          <w:r>
            <w:rPr>
              <w:i w:val="0"/>
              <w:spacing w:val="-2"/>
              <w:sz w:val="21"/>
            </w:rPr>
            <w:t>为</w:t>
          </w:r>
          <w:r>
            <w:rPr>
              <w:i w:val="0"/>
              <w:spacing w:val="-2"/>
              <w:sz w:val="21"/>
            </w:rPr>
            <w:t>一</w:t>
          </w:r>
          <w:r>
            <w:rPr>
              <w:i w:val="0"/>
              <w:spacing w:val="-10"/>
              <w:sz w:val="21"/>
            </w:rPr>
            <w:t>年</w:t>
          </w:r>
          <w:r>
            <w:rPr>
              <w:rFonts w:ascii="Times New Roman" w:hAnsi="Times New Roman" w:eastAsia="Times New Roman"/>
              <w:b w:val="0"/>
              <w:i w:val="0"/>
              <w:sz w:val="21"/>
            </w:rPr>
            <w:tab/>
          </w:r>
          <w:r>
            <w:rPr>
              <w:rFonts w:ascii="宋体" w:hAnsi="宋体" w:eastAsia="宋体" w:hint="eastAsia"/>
              <w:b w:val="0"/>
              <w:i w:val="0"/>
              <w:spacing w:val="-5"/>
              <w:w w:val="95"/>
              <w:sz w:val="21"/>
            </w:rPr>
            <w:t>1.4</w:t>
          </w:r>
        </w:p>
        <w:p>
          <w:pPr>
            <w:pStyle w:val="TOC4"/>
            <w:numPr>
              <w:ilvl w:val="0"/>
              <w:numId w:val="1"/>
            </w:numPr>
            <w:tabs>
              <w:tab w:pos="1654" w:val="left" w:leader="none"/>
              <w:tab w:pos="1655" w:val="left" w:leader="none"/>
              <w:tab w:pos="9965" w:val="right" w:leader="dot"/>
            </w:tabs>
            <w:spacing w:line="312" w:lineRule="exact" w:before="0" w:after="0"/>
            <w:ind w:left="1654" w:right="0" w:hanging="428"/>
            <w:jc w:val="left"/>
            <w:rPr>
              <w:rFonts w:ascii="宋体" w:hAnsi="宋体" w:eastAsia="宋体" w:hint="eastAsia"/>
              <w:b w:val="0"/>
              <w:i w:val="0"/>
              <w:sz w:val="21"/>
            </w:rPr>
          </w:pPr>
          <w:r>
            <w:rPr>
              <w:i w:val="0"/>
              <w:spacing w:val="-2"/>
              <w:sz w:val="21"/>
            </w:rPr>
            <w:t>本</w:t>
          </w:r>
          <w:r>
            <w:rPr>
              <w:i w:val="0"/>
              <w:spacing w:val="-2"/>
              <w:sz w:val="21"/>
            </w:rPr>
            <w:t>产</w:t>
          </w:r>
          <w:r>
            <w:rPr>
              <w:i w:val="0"/>
              <w:spacing w:val="-2"/>
              <w:sz w:val="21"/>
            </w:rPr>
            <w:t>品</w:t>
          </w:r>
          <w:r>
            <w:rPr>
              <w:i w:val="0"/>
              <w:spacing w:val="-2"/>
              <w:sz w:val="21"/>
            </w:rPr>
            <w:t>为</w:t>
          </w:r>
          <w:r>
            <w:rPr>
              <w:i w:val="0"/>
              <w:spacing w:val="-2"/>
              <w:sz w:val="21"/>
            </w:rPr>
            <w:t>不</w:t>
          </w:r>
          <w:r>
            <w:rPr>
              <w:i w:val="0"/>
              <w:spacing w:val="-2"/>
              <w:sz w:val="21"/>
            </w:rPr>
            <w:t>保</w:t>
          </w:r>
          <w:r>
            <w:rPr>
              <w:i w:val="0"/>
              <w:spacing w:val="-2"/>
              <w:sz w:val="21"/>
            </w:rPr>
            <w:t>证</w:t>
          </w:r>
          <w:r>
            <w:rPr>
              <w:i w:val="0"/>
              <w:spacing w:val="-2"/>
              <w:sz w:val="21"/>
            </w:rPr>
            <w:t>续</w:t>
          </w:r>
          <w:r>
            <w:rPr>
              <w:i w:val="0"/>
              <w:spacing w:val="-2"/>
              <w:sz w:val="21"/>
            </w:rPr>
            <w:t>保</w:t>
          </w:r>
          <w:r>
            <w:rPr>
              <w:i w:val="0"/>
              <w:spacing w:val="-2"/>
              <w:sz w:val="21"/>
            </w:rPr>
            <w:t>产</w:t>
          </w:r>
          <w:r>
            <w:rPr>
              <w:i w:val="0"/>
              <w:spacing w:val="-10"/>
              <w:sz w:val="21"/>
            </w:rPr>
            <w:t>品</w:t>
          </w:r>
          <w:r>
            <w:rPr>
              <w:rFonts w:ascii="Times New Roman" w:hAnsi="Times New Roman" w:eastAsia="Times New Roman"/>
              <w:b w:val="0"/>
              <w:i w:val="0"/>
              <w:sz w:val="21"/>
            </w:rPr>
            <w:tab/>
          </w:r>
          <w:r>
            <w:rPr>
              <w:rFonts w:ascii="宋体" w:hAnsi="宋体" w:eastAsia="宋体" w:hint="eastAsia"/>
              <w:b w:val="0"/>
              <w:i w:val="0"/>
              <w:spacing w:val="-5"/>
              <w:w w:val="95"/>
              <w:sz w:val="21"/>
            </w:rPr>
            <w:t>1.5</w:t>
          </w:r>
        </w:p>
        <w:p>
          <w:pPr>
            <w:pStyle w:val="TOC2"/>
            <w:numPr>
              <w:ilvl w:val="0"/>
              <w:numId w:val="1"/>
            </w:numPr>
            <w:tabs>
              <w:tab w:pos="1628" w:val="left" w:leader="none"/>
              <w:tab w:pos="1629" w:val="left" w:leader="none"/>
            </w:tabs>
            <w:spacing w:line="312" w:lineRule="exact" w:before="0" w:after="0"/>
            <w:ind w:left="1628" w:right="0" w:hanging="402"/>
            <w:jc w:val="left"/>
          </w:pPr>
          <w:r>
            <w:rPr>
              <w:spacing w:val="-12"/>
            </w:rPr>
            <w:t>发生本合同约定的责任免除情形之一导致被保险人发生医疗费用支出的，我们不承担给付</w:t>
          </w:r>
        </w:p>
        <w:p>
          <w:pPr>
            <w:pStyle w:val="TOC5"/>
            <w:tabs>
              <w:tab w:pos="9917" w:val="right" w:leader="dot"/>
            </w:tabs>
            <w:rPr>
              <w:rFonts w:ascii="宋体" w:eastAsia="宋体" w:hint="eastAsia"/>
              <w:b w:val="0"/>
              <w:i w:val="0"/>
              <w:sz w:val="21"/>
            </w:rPr>
          </w:pPr>
          <w:r>
            <w:rPr>
              <w:i w:val="0"/>
              <w:spacing w:val="-18"/>
              <w:sz w:val="21"/>
            </w:rPr>
            <w:t>保险</w:t>
          </w:r>
          <w:r>
            <w:rPr>
              <w:i w:val="0"/>
              <w:spacing w:val="-18"/>
              <w:sz w:val="21"/>
            </w:rPr>
            <w:t>金</w:t>
          </w:r>
          <w:r>
            <w:rPr>
              <w:i w:val="0"/>
              <w:spacing w:val="-18"/>
              <w:sz w:val="21"/>
            </w:rPr>
            <w:t>的</w:t>
          </w:r>
          <w:r>
            <w:rPr>
              <w:i w:val="0"/>
              <w:spacing w:val="-18"/>
              <w:sz w:val="21"/>
            </w:rPr>
            <w:t>责</w:t>
          </w:r>
          <w:r>
            <w:rPr>
              <w:i w:val="0"/>
              <w:spacing w:val="-18"/>
              <w:sz w:val="21"/>
            </w:rPr>
            <w:t>任</w:t>
          </w:r>
          <w:r>
            <w:rPr>
              <w:rFonts w:ascii="Times New Roman" w:eastAsia="Times New Roman"/>
              <w:b w:val="0"/>
              <w:i w:val="0"/>
              <w:sz w:val="21"/>
            </w:rPr>
            <w:tab/>
          </w:r>
          <w:r>
            <w:rPr>
              <w:rFonts w:ascii="宋体" w:eastAsia="宋体" w:hint="eastAsia"/>
              <w:b w:val="0"/>
              <w:i w:val="0"/>
              <w:spacing w:val="-5"/>
              <w:w w:val="95"/>
              <w:sz w:val="21"/>
            </w:rPr>
            <w:t>2.6</w:t>
          </w:r>
        </w:p>
        <w:p>
          <w:pPr>
            <w:pStyle w:val="TOC3"/>
            <w:numPr>
              <w:ilvl w:val="0"/>
              <w:numId w:val="1"/>
            </w:numPr>
            <w:tabs>
              <w:tab w:pos="1628" w:val="left" w:leader="none"/>
              <w:tab w:pos="1629" w:val="left" w:leader="none"/>
              <w:tab w:pos="9720" w:val="right" w:leader="dot"/>
            </w:tabs>
            <w:spacing w:line="254" w:lineRule="exact" w:before="0" w:after="0"/>
            <w:ind w:left="1628" w:right="0" w:hanging="402"/>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4"/>
            <w:numPr>
              <w:ilvl w:val="0"/>
              <w:numId w:val="1"/>
            </w:numPr>
            <w:tabs>
              <w:tab w:pos="1628" w:val="left" w:leader="none"/>
              <w:tab w:pos="1629" w:val="left" w:leader="none"/>
              <w:tab w:pos="9938" w:val="right" w:leader="dot"/>
            </w:tabs>
            <w:spacing w:line="371" w:lineRule="exact" w:before="0" w:after="0"/>
            <w:ind w:left="1628" w:right="0" w:hanging="402"/>
            <w:jc w:val="left"/>
            <w:rPr>
              <w:rFonts w:ascii="宋体" w:hAnsi="宋体" w:eastAsia="宋体" w:hint="eastAsia"/>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hint="eastAsia"/>
              <w:b w:val="0"/>
              <w:i w:val="0"/>
              <w:spacing w:val="-5"/>
              <w:sz w:val="21"/>
            </w:rPr>
            <w:t>4.2</w:t>
          </w:r>
        </w:p>
        <w:p>
          <w:pPr>
            <w:pStyle w:val="TOC3"/>
            <w:numPr>
              <w:ilvl w:val="0"/>
              <w:numId w:val="1"/>
            </w:numPr>
            <w:tabs>
              <w:tab w:pos="1628" w:val="left" w:leader="none"/>
              <w:tab w:pos="1629" w:val="left" w:leader="none"/>
              <w:tab w:pos="9931" w:val="right" w:leader="dot"/>
            </w:tabs>
            <w:spacing w:line="253" w:lineRule="exact" w:before="0" w:after="0"/>
            <w:ind w:left="1628" w:right="0" w:hanging="402"/>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5.2</w:t>
          </w:r>
        </w:p>
        <w:p>
          <w:pPr>
            <w:pStyle w:val="TOC2"/>
            <w:numPr>
              <w:ilvl w:val="0"/>
              <w:numId w:val="1"/>
            </w:numPr>
            <w:tabs>
              <w:tab w:pos="1628" w:val="left" w:leader="none"/>
              <w:tab w:pos="1629" w:val="left" w:leader="none"/>
              <w:tab w:pos="9729" w:val="right" w:leader="dot"/>
            </w:tabs>
            <w:spacing w:line="371" w:lineRule="exact" w:before="0" w:after="0"/>
            <w:ind w:left="1628" w:right="0" w:hanging="402"/>
            <w:jc w:val="left"/>
            <w:rPr>
              <w:rFonts w:ascii="宋体" w:hAnsi="宋体" w:eastAsia="宋体" w:hint="eastAsia"/>
              <w:b w:val="0"/>
            </w:rPr>
          </w:pPr>
          <w:hyperlink w:history="true" w:anchor="_TOC_250000">
            <w:r>
              <w:rPr>
                <w:spacing w:val="-2"/>
              </w:rPr>
              <w:t>您</w:t>
            </w:r>
            <w:r>
              <w:rPr>
                <w:spacing w:val="-2"/>
              </w:rPr>
              <w:t>解</w:t>
            </w:r>
            <w:r>
              <w:rPr>
                <w:spacing w:val="-2"/>
              </w:rPr>
              <w:t>除</w:t>
            </w:r>
            <w:r>
              <w:rPr>
                <w:spacing w:val="-2"/>
              </w:rPr>
              <w:t>合</w:t>
            </w:r>
            <w:r>
              <w:rPr>
                <w:spacing w:val="-2"/>
              </w:rPr>
              <w:t>同</w:t>
            </w:r>
            <w:r>
              <w:rPr>
                <w:spacing w:val="-2"/>
              </w:rPr>
              <w:t>可</w:t>
            </w:r>
            <w:r>
              <w:rPr>
                <w:spacing w:val="-2"/>
              </w:rPr>
              <w:t>能</w:t>
            </w:r>
            <w:r>
              <w:rPr>
                <w:spacing w:val="-2"/>
              </w:rPr>
              <w:t>会</w:t>
            </w:r>
            <w:r>
              <w:rPr>
                <w:spacing w:val="-2"/>
              </w:rPr>
              <w:t>遭受一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hint="eastAsia"/>
                <w:b w:val="0"/>
                <w:spacing w:val="-10"/>
              </w:rPr>
              <w:t>6</w:t>
            </w:r>
          </w:hyperlink>
        </w:p>
        <w:p>
          <w:pPr>
            <w:pStyle w:val="TOC3"/>
            <w:numPr>
              <w:ilvl w:val="0"/>
              <w:numId w:val="1"/>
            </w:numPr>
            <w:tabs>
              <w:tab w:pos="1628" w:val="left" w:leader="none"/>
              <w:tab w:pos="1629" w:val="left" w:leader="none"/>
              <w:tab w:pos="9720" w:val="right" w:leader="dot"/>
            </w:tabs>
            <w:spacing w:line="267" w:lineRule="exact" w:before="0" w:after="0"/>
            <w:ind w:left="1628" w:right="0" w:hanging="402"/>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10"/>
            </w:rPr>
            <w:t>9</w:t>
          </w:r>
        </w:p>
      </w:sdtContent>
    </w:sdt>
    <w:p>
      <w:pPr>
        <w:tabs>
          <w:tab w:pos="1246" w:val="left" w:leader="none"/>
        </w:tabs>
        <w:spacing w:line="474" w:lineRule="exact" w:before="21"/>
        <w:ind w:left="235"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条款是保险合同的重要内容，为充分保障您的权益，请您仔细阅读本条款。</w:t>
      </w:r>
    </w:p>
    <w:p>
      <w:pPr>
        <w:tabs>
          <w:tab w:pos="1246" w:val="left" w:leader="none"/>
        </w:tabs>
        <w:spacing w:line="435" w:lineRule="exact" w:before="0"/>
        <w:ind w:left="235" w:right="0" w:firstLine="0"/>
        <w:jc w:val="left"/>
        <w:rPr>
          <w:rFonts w:ascii="微软雅黑" w:hAnsi="微软雅黑" w:eastAsia="微软雅黑"/>
          <w:b/>
          <w:sz w:val="21"/>
        </w:rPr>
      </w:pPr>
      <w:r>
        <w:rPr/>
        <w:drawing>
          <wp:anchor distT="0" distB="0" distL="0" distR="0" allowOverlap="1" layoutInCell="1" locked="0" behindDoc="1" simplePos="0" relativeHeight="486678016">
            <wp:simplePos x="0" y="0"/>
            <wp:positionH relativeFrom="page">
              <wp:posOffset>611187</wp:posOffset>
            </wp:positionH>
            <wp:positionV relativeFrom="paragraph">
              <wp:posOffset>216601</wp:posOffset>
            </wp:positionV>
            <wp:extent cx="6260465" cy="516255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60465" cy="516255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条款目录</w:t>
      </w:r>
    </w:p>
    <w:p>
      <w:pPr>
        <w:spacing w:after="0" w:line="435" w:lineRule="exact"/>
        <w:jc w:val="left"/>
        <w:rPr>
          <w:rFonts w:ascii="微软雅黑" w:hAnsi="微软雅黑" w:eastAsia="微软雅黑"/>
          <w:sz w:val="21"/>
        </w:rPr>
        <w:sectPr>
          <w:type w:val="continuous"/>
          <w:pgSz w:w="11910" w:h="16840"/>
          <w:pgMar w:top="600" w:bottom="280" w:left="760" w:right="580"/>
        </w:sectPr>
      </w:pPr>
    </w:p>
    <w:p>
      <w:pPr>
        <w:pStyle w:val="Heading2"/>
        <w:numPr>
          <w:ilvl w:val="0"/>
          <w:numId w:val="2"/>
        </w:numPr>
        <w:tabs>
          <w:tab w:pos="742" w:val="left" w:leader="none"/>
        </w:tabs>
        <w:spacing w:line="327" w:lineRule="exact" w:before="0" w:after="0"/>
        <w:ind w:left="741" w:right="0" w:hanging="319"/>
        <w:jc w:val="left"/>
      </w:pPr>
      <w:r>
        <w:rPr>
          <w:spacing w:val="-2"/>
        </w:rPr>
        <w:t>您与我们的合同</w:t>
      </w:r>
    </w:p>
    <w:p>
      <w:pPr>
        <w:pStyle w:val="ListParagraph"/>
        <w:numPr>
          <w:ilvl w:val="1"/>
          <w:numId w:val="2"/>
        </w:numPr>
        <w:tabs>
          <w:tab w:pos="1058" w:val="left" w:leader="none"/>
        </w:tabs>
        <w:spacing w:line="245" w:lineRule="exact" w:before="0" w:after="0"/>
        <w:ind w:left="1057" w:right="0" w:hanging="424"/>
        <w:jc w:val="left"/>
        <w:rPr>
          <w:sz w:val="21"/>
        </w:rPr>
      </w:pPr>
      <w:r>
        <w:rPr>
          <w:spacing w:val="-4"/>
          <w:sz w:val="21"/>
        </w:rPr>
        <w:t>合同的构成</w:t>
      </w:r>
    </w:p>
    <w:p>
      <w:pPr>
        <w:spacing w:line="194" w:lineRule="auto" w:before="69"/>
        <w:ind w:left="423" w:right="38" w:firstLine="211"/>
        <w:jc w:val="left"/>
        <w:rPr>
          <w:rFonts w:ascii="微软雅黑" w:eastAsia="微软雅黑"/>
          <w:b/>
          <w:sz w:val="21"/>
        </w:rPr>
      </w:pPr>
      <w:r>
        <w:rPr/>
        <w:br w:type="column"/>
      </w:r>
      <w:r>
        <w:rPr>
          <w:spacing w:val="-2"/>
          <w:sz w:val="21"/>
        </w:rPr>
        <w:t>您解除合同的手续及风险 </w:t>
      </w:r>
      <w:r>
        <w:rPr>
          <w:rFonts w:ascii="微软雅黑" w:eastAsia="微软雅黑"/>
          <w:b/>
          <w:spacing w:val="-2"/>
          <w:sz w:val="21"/>
        </w:rPr>
        <w:t>7．其他需要注意的事项</w:t>
      </w:r>
    </w:p>
    <w:p>
      <w:pPr>
        <w:pStyle w:val="ListParagraph"/>
        <w:numPr>
          <w:ilvl w:val="1"/>
          <w:numId w:val="3"/>
        </w:numPr>
        <w:tabs>
          <w:tab w:pos="962" w:val="left" w:leader="none"/>
        </w:tabs>
        <w:spacing w:line="241" w:lineRule="exact" w:before="0" w:after="0"/>
        <w:ind w:left="961" w:right="0" w:hanging="527"/>
        <w:jc w:val="left"/>
        <w:rPr>
          <w:sz w:val="21"/>
        </w:rPr>
      </w:pPr>
      <w:r>
        <w:rPr>
          <w:sz w:val="21"/>
        </w:rPr>
        <w:br w:type="column"/>
      </w:r>
      <w:r>
        <w:rPr>
          <w:spacing w:val="-4"/>
          <w:sz w:val="21"/>
        </w:rPr>
        <w:t>酒后驾驶</w:t>
      </w:r>
    </w:p>
    <w:p>
      <w:pPr>
        <w:pStyle w:val="ListParagraph"/>
        <w:numPr>
          <w:ilvl w:val="1"/>
          <w:numId w:val="3"/>
        </w:numPr>
        <w:tabs>
          <w:tab w:pos="962" w:val="left" w:leader="none"/>
        </w:tabs>
        <w:spacing w:line="240" w:lineRule="auto" w:before="4" w:after="0"/>
        <w:ind w:left="961" w:right="0" w:hanging="527"/>
        <w:jc w:val="left"/>
        <w:rPr>
          <w:sz w:val="21"/>
        </w:rPr>
      </w:pPr>
      <w:r>
        <w:rPr>
          <w:spacing w:val="-3"/>
          <w:sz w:val="21"/>
        </w:rPr>
        <w:t>无合法有效驾驶证驾驶</w:t>
      </w:r>
    </w:p>
    <w:p>
      <w:pPr>
        <w:pStyle w:val="ListParagraph"/>
        <w:numPr>
          <w:ilvl w:val="1"/>
          <w:numId w:val="3"/>
        </w:numPr>
        <w:tabs>
          <w:tab w:pos="962" w:val="left" w:leader="none"/>
        </w:tabs>
        <w:spacing w:line="240" w:lineRule="auto" w:before="2" w:after="0"/>
        <w:ind w:left="961" w:right="0" w:hanging="527"/>
        <w:jc w:val="left"/>
        <w:rPr>
          <w:sz w:val="21"/>
        </w:rPr>
      </w:pPr>
      <w:r>
        <w:rPr/>
        <w:pict>
          <v:shapetype id="_x0000_t202" o:spt="202" coordsize="21600,21600" path="m,l,21600r21600,l21600,xe">
            <v:stroke joinstyle="miter"/>
            <v:path gradientshapeok="t" o:connecttype="rect"/>
          </v:shapetype>
          <v:shape style="position:absolute;margin-left:56.683998pt;margin-top:4.404995pt;width:282.4pt;height:228.25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2193"/>
                    <w:gridCol w:w="671"/>
                    <w:gridCol w:w="2153"/>
                  </w:tblGrid>
                  <w:tr>
                    <w:trPr>
                      <w:trHeight w:val="243" w:hRule="atLeast"/>
                    </w:trPr>
                    <w:tc>
                      <w:tcPr>
                        <w:tcW w:w="631" w:type="dxa"/>
                      </w:tcPr>
                      <w:p>
                        <w:pPr>
                          <w:pStyle w:val="TableParagraph"/>
                          <w:spacing w:line="224" w:lineRule="exact"/>
                          <w:ind w:right="52"/>
                          <w:jc w:val="right"/>
                          <w:rPr>
                            <w:sz w:val="21"/>
                          </w:rPr>
                        </w:pPr>
                        <w:r>
                          <w:rPr>
                            <w:spacing w:val="-5"/>
                            <w:sz w:val="21"/>
                          </w:rPr>
                          <w:t>1.2</w:t>
                        </w:r>
                      </w:p>
                    </w:tc>
                    <w:tc>
                      <w:tcPr>
                        <w:tcW w:w="2193" w:type="dxa"/>
                      </w:tcPr>
                      <w:p>
                        <w:pPr>
                          <w:pStyle w:val="TableParagraph"/>
                          <w:spacing w:line="224" w:lineRule="exact"/>
                          <w:ind w:left="52"/>
                          <w:rPr>
                            <w:sz w:val="21"/>
                          </w:rPr>
                        </w:pPr>
                        <w:r>
                          <w:rPr>
                            <w:spacing w:val="-4"/>
                            <w:sz w:val="21"/>
                          </w:rPr>
                          <w:t>合同成立与生效</w:t>
                        </w:r>
                      </w:p>
                    </w:tc>
                    <w:tc>
                      <w:tcPr>
                        <w:tcW w:w="671" w:type="dxa"/>
                      </w:tcPr>
                      <w:p>
                        <w:pPr>
                          <w:pStyle w:val="TableParagraph"/>
                          <w:spacing w:line="224" w:lineRule="exact"/>
                          <w:ind w:left="250"/>
                          <w:rPr>
                            <w:sz w:val="21"/>
                          </w:rPr>
                        </w:pPr>
                        <w:r>
                          <w:rPr>
                            <w:spacing w:val="-5"/>
                            <w:sz w:val="21"/>
                          </w:rPr>
                          <w:t>7.1</w:t>
                        </w:r>
                      </w:p>
                    </w:tc>
                    <w:tc>
                      <w:tcPr>
                        <w:tcW w:w="2153" w:type="dxa"/>
                      </w:tcPr>
                      <w:p>
                        <w:pPr>
                          <w:pStyle w:val="TableParagraph"/>
                          <w:spacing w:line="224" w:lineRule="exact"/>
                          <w:ind w:left="1"/>
                          <w:rPr>
                            <w:sz w:val="21"/>
                          </w:rPr>
                        </w:pPr>
                        <w:r>
                          <w:rPr>
                            <w:spacing w:val="-3"/>
                            <w:sz w:val="21"/>
                          </w:rPr>
                          <w:t>年龄确定与错误处理</w:t>
                        </w:r>
                      </w:p>
                    </w:tc>
                  </w:tr>
                  <w:tr>
                    <w:trPr>
                      <w:trHeight w:val="271" w:hRule="atLeast"/>
                    </w:trPr>
                    <w:tc>
                      <w:tcPr>
                        <w:tcW w:w="631" w:type="dxa"/>
                      </w:tcPr>
                      <w:p>
                        <w:pPr>
                          <w:pStyle w:val="TableParagraph"/>
                          <w:spacing w:line="250" w:lineRule="exact" w:before="1"/>
                          <w:ind w:right="51"/>
                          <w:jc w:val="right"/>
                          <w:rPr>
                            <w:sz w:val="21"/>
                          </w:rPr>
                        </w:pPr>
                        <w:r>
                          <w:rPr>
                            <w:spacing w:val="-5"/>
                            <w:sz w:val="21"/>
                          </w:rPr>
                          <w:t>1.3</w:t>
                        </w:r>
                      </w:p>
                    </w:tc>
                    <w:tc>
                      <w:tcPr>
                        <w:tcW w:w="2193" w:type="dxa"/>
                      </w:tcPr>
                      <w:p>
                        <w:pPr>
                          <w:pStyle w:val="TableParagraph"/>
                          <w:spacing w:line="250" w:lineRule="exact" w:before="1"/>
                          <w:ind w:left="52"/>
                          <w:rPr>
                            <w:sz w:val="21"/>
                          </w:rPr>
                        </w:pPr>
                        <w:r>
                          <w:rPr>
                            <w:spacing w:val="-4"/>
                            <w:sz w:val="21"/>
                          </w:rPr>
                          <w:t>投保年龄</w:t>
                        </w:r>
                      </w:p>
                    </w:tc>
                    <w:tc>
                      <w:tcPr>
                        <w:tcW w:w="671" w:type="dxa"/>
                      </w:tcPr>
                      <w:p>
                        <w:pPr>
                          <w:pStyle w:val="TableParagraph"/>
                          <w:spacing w:line="250" w:lineRule="exact" w:before="1"/>
                          <w:ind w:left="250"/>
                          <w:rPr>
                            <w:sz w:val="21"/>
                          </w:rPr>
                        </w:pPr>
                        <w:r>
                          <w:rPr>
                            <w:spacing w:val="-5"/>
                            <w:sz w:val="21"/>
                          </w:rPr>
                          <w:t>7.2</w:t>
                        </w:r>
                      </w:p>
                    </w:tc>
                    <w:tc>
                      <w:tcPr>
                        <w:tcW w:w="2153" w:type="dxa"/>
                      </w:tcPr>
                      <w:p>
                        <w:pPr>
                          <w:pStyle w:val="TableParagraph"/>
                          <w:spacing w:line="250" w:lineRule="exact" w:before="1"/>
                          <w:ind w:left="1"/>
                          <w:rPr>
                            <w:sz w:val="21"/>
                          </w:rPr>
                        </w:pPr>
                        <w:r>
                          <w:rPr>
                            <w:spacing w:val="-4"/>
                            <w:sz w:val="21"/>
                          </w:rPr>
                          <w:t>地址变更</w:t>
                        </w:r>
                      </w:p>
                    </w:tc>
                  </w:tr>
                  <w:tr>
                    <w:trPr>
                      <w:trHeight w:val="273" w:hRule="atLeast"/>
                    </w:trPr>
                    <w:tc>
                      <w:tcPr>
                        <w:tcW w:w="631" w:type="dxa"/>
                      </w:tcPr>
                      <w:p>
                        <w:pPr>
                          <w:pStyle w:val="TableParagraph"/>
                          <w:spacing w:line="250" w:lineRule="exact" w:before="4"/>
                          <w:ind w:right="51"/>
                          <w:jc w:val="right"/>
                          <w:rPr>
                            <w:sz w:val="21"/>
                          </w:rPr>
                        </w:pPr>
                        <w:r>
                          <w:rPr>
                            <w:spacing w:val="-5"/>
                            <w:sz w:val="21"/>
                          </w:rPr>
                          <w:t>1.4</w:t>
                        </w:r>
                      </w:p>
                    </w:tc>
                    <w:tc>
                      <w:tcPr>
                        <w:tcW w:w="2193" w:type="dxa"/>
                      </w:tcPr>
                      <w:p>
                        <w:pPr>
                          <w:pStyle w:val="TableParagraph"/>
                          <w:spacing w:line="250" w:lineRule="exact" w:before="4"/>
                          <w:ind w:left="52"/>
                          <w:rPr>
                            <w:sz w:val="21"/>
                          </w:rPr>
                        </w:pPr>
                        <w:r>
                          <w:rPr>
                            <w:spacing w:val="-4"/>
                            <w:sz w:val="21"/>
                          </w:rPr>
                          <w:t>保险期间</w:t>
                        </w:r>
                      </w:p>
                    </w:tc>
                    <w:tc>
                      <w:tcPr>
                        <w:tcW w:w="671" w:type="dxa"/>
                      </w:tcPr>
                      <w:p>
                        <w:pPr>
                          <w:pStyle w:val="TableParagraph"/>
                          <w:spacing w:line="252" w:lineRule="exact" w:before="1"/>
                          <w:ind w:left="250"/>
                          <w:rPr>
                            <w:sz w:val="21"/>
                          </w:rPr>
                        </w:pPr>
                        <w:r>
                          <w:rPr>
                            <w:spacing w:val="-5"/>
                            <w:sz w:val="21"/>
                          </w:rPr>
                          <w:t>7.3</w:t>
                        </w:r>
                      </w:p>
                    </w:tc>
                    <w:tc>
                      <w:tcPr>
                        <w:tcW w:w="2153" w:type="dxa"/>
                      </w:tcPr>
                      <w:p>
                        <w:pPr>
                          <w:pStyle w:val="TableParagraph"/>
                          <w:spacing w:line="252" w:lineRule="exact" w:before="1"/>
                          <w:ind w:left="1"/>
                          <w:rPr>
                            <w:sz w:val="21"/>
                          </w:rPr>
                        </w:pPr>
                        <w:r>
                          <w:rPr>
                            <w:spacing w:val="-4"/>
                            <w:sz w:val="21"/>
                          </w:rPr>
                          <w:t>合同内容的变更</w:t>
                        </w:r>
                      </w:p>
                    </w:tc>
                  </w:tr>
                  <w:tr>
                    <w:trPr>
                      <w:trHeight w:val="241" w:hRule="atLeast"/>
                    </w:trPr>
                    <w:tc>
                      <w:tcPr>
                        <w:tcW w:w="631" w:type="dxa"/>
                      </w:tcPr>
                      <w:p>
                        <w:pPr>
                          <w:pStyle w:val="TableParagraph"/>
                          <w:spacing w:line="220" w:lineRule="exact" w:before="1"/>
                          <w:ind w:right="52"/>
                          <w:jc w:val="right"/>
                          <w:rPr>
                            <w:sz w:val="21"/>
                          </w:rPr>
                        </w:pPr>
                        <w:r>
                          <w:rPr>
                            <w:spacing w:val="-5"/>
                            <w:sz w:val="21"/>
                          </w:rPr>
                          <w:t>1.5</w:t>
                        </w:r>
                      </w:p>
                    </w:tc>
                    <w:tc>
                      <w:tcPr>
                        <w:tcW w:w="2193" w:type="dxa"/>
                      </w:tcPr>
                      <w:p>
                        <w:pPr>
                          <w:pStyle w:val="TableParagraph"/>
                          <w:spacing w:line="220" w:lineRule="exact" w:before="1"/>
                          <w:ind w:left="52"/>
                          <w:rPr>
                            <w:sz w:val="21"/>
                          </w:rPr>
                        </w:pPr>
                        <w:r>
                          <w:rPr>
                            <w:spacing w:val="-4"/>
                            <w:sz w:val="21"/>
                          </w:rPr>
                          <w:t>不保证续保</w:t>
                        </w:r>
                      </w:p>
                    </w:tc>
                    <w:tc>
                      <w:tcPr>
                        <w:tcW w:w="671" w:type="dxa"/>
                      </w:tcPr>
                      <w:p>
                        <w:pPr>
                          <w:pStyle w:val="TableParagraph"/>
                          <w:spacing w:line="220" w:lineRule="exact" w:before="1"/>
                          <w:ind w:left="250"/>
                          <w:rPr>
                            <w:sz w:val="21"/>
                          </w:rPr>
                        </w:pPr>
                        <w:r>
                          <w:rPr>
                            <w:spacing w:val="-5"/>
                            <w:sz w:val="21"/>
                          </w:rPr>
                          <w:t>7.4</w:t>
                        </w:r>
                      </w:p>
                    </w:tc>
                    <w:tc>
                      <w:tcPr>
                        <w:tcW w:w="2153" w:type="dxa"/>
                      </w:tcPr>
                      <w:p>
                        <w:pPr>
                          <w:pStyle w:val="TableParagraph"/>
                          <w:spacing w:line="220" w:lineRule="exact" w:before="1"/>
                          <w:ind w:left="1"/>
                          <w:rPr>
                            <w:sz w:val="21"/>
                          </w:rPr>
                        </w:pPr>
                        <w:r>
                          <w:rPr>
                            <w:spacing w:val="-4"/>
                            <w:sz w:val="21"/>
                          </w:rPr>
                          <w:t>争议处理</w:t>
                        </w:r>
                      </w:p>
                    </w:tc>
                  </w:tr>
                  <w:tr>
                    <w:trPr>
                      <w:trHeight w:val="303" w:hRule="atLeast"/>
                    </w:trPr>
                    <w:tc>
                      <w:tcPr>
                        <w:tcW w:w="2824" w:type="dxa"/>
                        <w:gridSpan w:val="2"/>
                      </w:tcPr>
                      <w:p>
                        <w:pPr>
                          <w:pStyle w:val="TableParagraph"/>
                          <w:spacing w:line="284" w:lineRule="exact"/>
                          <w:ind w:left="50"/>
                          <w:rPr>
                            <w:rFonts w:ascii="微软雅黑" w:eastAsia="微软雅黑"/>
                            <w:b/>
                            <w:sz w:val="21"/>
                          </w:rPr>
                        </w:pPr>
                        <w:r>
                          <w:rPr>
                            <w:rFonts w:ascii="微软雅黑" w:eastAsia="微软雅黑"/>
                            <w:b/>
                            <w:w w:val="95"/>
                            <w:sz w:val="21"/>
                          </w:rPr>
                          <w:t>2．</w:t>
                        </w:r>
                        <w:r>
                          <w:rPr>
                            <w:rFonts w:ascii="微软雅黑" w:eastAsia="微软雅黑"/>
                            <w:b/>
                            <w:w w:val="95"/>
                            <w:sz w:val="21"/>
                          </w:rPr>
                          <w:t>我</w:t>
                        </w:r>
                        <w:r>
                          <w:rPr>
                            <w:rFonts w:ascii="微软雅黑" w:eastAsia="微软雅黑"/>
                            <w:b/>
                            <w:w w:val="95"/>
                            <w:sz w:val="21"/>
                          </w:rPr>
                          <w:t>们</w:t>
                        </w:r>
                        <w:r>
                          <w:rPr>
                            <w:rFonts w:ascii="微软雅黑" w:eastAsia="微软雅黑"/>
                            <w:b/>
                            <w:w w:val="95"/>
                            <w:sz w:val="21"/>
                          </w:rPr>
                          <w:t>提</w:t>
                        </w:r>
                        <w:r>
                          <w:rPr>
                            <w:rFonts w:ascii="微软雅黑" w:eastAsia="微软雅黑"/>
                            <w:b/>
                            <w:w w:val="95"/>
                            <w:sz w:val="21"/>
                          </w:rPr>
                          <w:t>供</w:t>
                        </w:r>
                        <w:r>
                          <w:rPr>
                            <w:rFonts w:ascii="微软雅黑" w:eastAsia="微软雅黑"/>
                            <w:b/>
                            <w:w w:val="95"/>
                            <w:sz w:val="21"/>
                          </w:rPr>
                          <w:t>的</w:t>
                        </w:r>
                        <w:r>
                          <w:rPr>
                            <w:rFonts w:ascii="微软雅黑" w:eastAsia="微软雅黑"/>
                            <w:b/>
                            <w:w w:val="95"/>
                            <w:sz w:val="21"/>
                          </w:rPr>
                          <w:t>保</w:t>
                        </w:r>
                        <w:r>
                          <w:rPr>
                            <w:rFonts w:ascii="微软雅黑" w:eastAsia="微软雅黑"/>
                            <w:b/>
                            <w:spacing w:val="-10"/>
                            <w:w w:val="95"/>
                            <w:sz w:val="21"/>
                          </w:rPr>
                          <w:t>障</w:t>
                        </w:r>
                      </w:p>
                    </w:tc>
                    <w:tc>
                      <w:tcPr>
                        <w:tcW w:w="2824" w:type="dxa"/>
                        <w:gridSpan w:val="2"/>
                      </w:tcPr>
                      <w:p>
                        <w:pPr>
                          <w:pStyle w:val="TableParagraph"/>
                          <w:spacing w:line="284" w:lineRule="exact"/>
                          <w:ind w:left="39"/>
                          <w:rPr>
                            <w:rFonts w:ascii="微软雅黑" w:eastAsia="微软雅黑"/>
                            <w:b/>
                            <w:sz w:val="21"/>
                          </w:rPr>
                        </w:pPr>
                        <w:r>
                          <w:rPr>
                            <w:rFonts w:ascii="微软雅黑" w:eastAsia="微软雅黑"/>
                            <w:b/>
                            <w:w w:val="95"/>
                            <w:sz w:val="21"/>
                          </w:rPr>
                          <w:t>8．</w:t>
                        </w:r>
                        <w:r>
                          <w:rPr>
                            <w:rFonts w:ascii="微软雅黑" w:eastAsia="微软雅黑"/>
                            <w:b/>
                            <w:w w:val="95"/>
                            <w:sz w:val="21"/>
                          </w:rPr>
                          <w:t>重</w:t>
                        </w:r>
                        <w:r>
                          <w:rPr>
                            <w:rFonts w:ascii="微软雅黑" w:eastAsia="微软雅黑"/>
                            <w:b/>
                            <w:w w:val="95"/>
                            <w:sz w:val="21"/>
                          </w:rPr>
                          <w:t>大</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定</w:t>
                        </w:r>
                        <w:r>
                          <w:rPr>
                            <w:rFonts w:ascii="微软雅黑" w:eastAsia="微软雅黑"/>
                            <w:b/>
                            <w:spacing w:val="-10"/>
                            <w:w w:val="95"/>
                            <w:sz w:val="21"/>
                          </w:rPr>
                          <w:t>义</w:t>
                        </w:r>
                      </w:p>
                    </w:tc>
                  </w:tr>
                  <w:tr>
                    <w:trPr>
                      <w:trHeight w:val="271" w:hRule="atLeast"/>
                    </w:trPr>
                    <w:tc>
                      <w:tcPr>
                        <w:tcW w:w="2824" w:type="dxa"/>
                        <w:gridSpan w:val="2"/>
                      </w:tcPr>
                      <w:p>
                        <w:pPr>
                          <w:pStyle w:val="TableParagraph"/>
                          <w:spacing w:line="250" w:lineRule="exact" w:before="1"/>
                          <w:ind w:left="261"/>
                          <w:rPr>
                            <w:sz w:val="21"/>
                          </w:rPr>
                        </w:pPr>
                        <w:r>
                          <w:rPr>
                            <w:sz w:val="21"/>
                          </w:rPr>
                          <w:t>2.1</w:t>
                        </w:r>
                        <w:r>
                          <w:rPr>
                            <w:spacing w:val="-4"/>
                            <w:sz w:val="21"/>
                          </w:rPr>
                          <w:t> 保障计划</w:t>
                        </w:r>
                      </w:p>
                    </w:tc>
                    <w:tc>
                      <w:tcPr>
                        <w:tcW w:w="2824" w:type="dxa"/>
                        <w:gridSpan w:val="2"/>
                      </w:tcPr>
                      <w:p>
                        <w:pPr>
                          <w:pStyle w:val="TableParagraph"/>
                          <w:spacing w:line="250" w:lineRule="exact" w:before="1"/>
                          <w:ind w:left="250"/>
                          <w:rPr>
                            <w:sz w:val="21"/>
                          </w:rPr>
                        </w:pPr>
                        <w:r>
                          <w:rPr>
                            <w:spacing w:val="-4"/>
                            <w:sz w:val="21"/>
                          </w:rPr>
                          <w:t>重大疾病定义</w:t>
                        </w:r>
                      </w:p>
                    </w:tc>
                  </w:tr>
                  <w:tr>
                    <w:trPr>
                      <w:trHeight w:val="243" w:hRule="atLeast"/>
                    </w:trPr>
                    <w:tc>
                      <w:tcPr>
                        <w:tcW w:w="2824" w:type="dxa"/>
                        <w:gridSpan w:val="2"/>
                      </w:tcPr>
                      <w:p>
                        <w:pPr>
                          <w:pStyle w:val="TableParagraph"/>
                          <w:spacing w:line="220" w:lineRule="exact" w:before="4"/>
                          <w:ind w:left="261"/>
                          <w:rPr>
                            <w:sz w:val="21"/>
                          </w:rPr>
                        </w:pPr>
                        <w:r>
                          <w:rPr>
                            <w:sz w:val="21"/>
                          </w:rPr>
                          <w:t>2.2</w:t>
                        </w:r>
                        <w:r>
                          <w:rPr>
                            <w:spacing w:val="-4"/>
                            <w:sz w:val="21"/>
                          </w:rPr>
                          <w:t> 等待期</w:t>
                        </w:r>
                      </w:p>
                    </w:tc>
                    <w:tc>
                      <w:tcPr>
                        <w:tcW w:w="2824" w:type="dxa"/>
                        <w:gridSpan w:val="2"/>
                      </w:tcPr>
                      <w:p>
                        <w:pPr>
                          <w:pStyle w:val="TableParagraph"/>
                          <w:spacing w:line="224" w:lineRule="exact"/>
                          <w:ind w:left="39"/>
                          <w:rPr>
                            <w:rFonts w:ascii="微软雅黑" w:eastAsia="微软雅黑"/>
                            <w:b/>
                            <w:sz w:val="21"/>
                          </w:rPr>
                        </w:pPr>
                        <w:r>
                          <w:rPr>
                            <w:rFonts w:ascii="微软雅黑" w:eastAsia="微软雅黑"/>
                            <w:b/>
                            <w:w w:val="95"/>
                            <w:sz w:val="21"/>
                          </w:rPr>
                          <w:t>9．</w:t>
                        </w:r>
                        <w:r>
                          <w:rPr>
                            <w:rFonts w:ascii="微软雅黑" w:eastAsia="微软雅黑"/>
                            <w:b/>
                            <w:w w:val="95"/>
                            <w:sz w:val="21"/>
                          </w:rPr>
                          <w:t>释</w:t>
                        </w:r>
                        <w:r>
                          <w:rPr>
                            <w:rFonts w:ascii="微软雅黑" w:eastAsia="微软雅黑"/>
                            <w:b/>
                            <w:spacing w:val="-10"/>
                            <w:w w:val="95"/>
                            <w:sz w:val="21"/>
                          </w:rPr>
                          <w:t>义</w:t>
                        </w:r>
                      </w:p>
                    </w:tc>
                  </w:tr>
                  <w:tr>
                    <w:trPr>
                      <w:trHeight w:val="301" w:hRule="atLeast"/>
                    </w:trPr>
                    <w:tc>
                      <w:tcPr>
                        <w:tcW w:w="631" w:type="dxa"/>
                      </w:tcPr>
                      <w:p>
                        <w:pPr>
                          <w:pStyle w:val="TableParagraph"/>
                          <w:spacing w:line="250" w:lineRule="exact" w:before="31"/>
                          <w:ind w:right="52"/>
                          <w:jc w:val="right"/>
                          <w:rPr>
                            <w:sz w:val="21"/>
                          </w:rPr>
                        </w:pPr>
                        <w:r>
                          <w:rPr>
                            <w:spacing w:val="-5"/>
                            <w:sz w:val="21"/>
                          </w:rPr>
                          <w:t>2.3</w:t>
                        </w:r>
                      </w:p>
                    </w:tc>
                    <w:tc>
                      <w:tcPr>
                        <w:tcW w:w="2193" w:type="dxa"/>
                      </w:tcPr>
                      <w:p>
                        <w:pPr>
                          <w:pStyle w:val="TableParagraph"/>
                          <w:spacing w:line="250" w:lineRule="exact" w:before="31"/>
                          <w:ind w:left="52"/>
                          <w:rPr>
                            <w:sz w:val="21"/>
                          </w:rPr>
                        </w:pPr>
                        <w:r>
                          <w:rPr>
                            <w:spacing w:val="-4"/>
                            <w:sz w:val="21"/>
                          </w:rPr>
                          <w:t>保险责任</w:t>
                        </w:r>
                      </w:p>
                    </w:tc>
                    <w:tc>
                      <w:tcPr>
                        <w:tcW w:w="671" w:type="dxa"/>
                      </w:tcPr>
                      <w:p>
                        <w:pPr>
                          <w:pStyle w:val="TableParagraph"/>
                          <w:spacing w:line="252" w:lineRule="exact" w:before="29"/>
                          <w:ind w:left="250"/>
                          <w:rPr>
                            <w:sz w:val="21"/>
                          </w:rPr>
                        </w:pPr>
                        <w:r>
                          <w:rPr>
                            <w:spacing w:val="-5"/>
                            <w:sz w:val="21"/>
                          </w:rPr>
                          <w:t>9.1</w:t>
                        </w:r>
                      </w:p>
                    </w:tc>
                    <w:tc>
                      <w:tcPr>
                        <w:tcW w:w="2153" w:type="dxa"/>
                      </w:tcPr>
                      <w:p>
                        <w:pPr>
                          <w:pStyle w:val="TableParagraph"/>
                          <w:spacing w:line="252" w:lineRule="exact" w:before="29"/>
                          <w:ind w:left="1"/>
                          <w:rPr>
                            <w:sz w:val="21"/>
                          </w:rPr>
                        </w:pPr>
                        <w:r>
                          <w:rPr>
                            <w:spacing w:val="-7"/>
                            <w:sz w:val="21"/>
                          </w:rPr>
                          <w:t>周岁</w:t>
                        </w:r>
                      </w:p>
                    </w:tc>
                  </w:tr>
                  <w:tr>
                    <w:trPr>
                      <w:trHeight w:val="272" w:hRule="atLeast"/>
                    </w:trPr>
                    <w:tc>
                      <w:tcPr>
                        <w:tcW w:w="631" w:type="dxa"/>
                      </w:tcPr>
                      <w:p>
                        <w:pPr>
                          <w:pStyle w:val="TableParagraph"/>
                          <w:spacing w:line="249" w:lineRule="exact" w:before="4"/>
                          <w:ind w:right="51"/>
                          <w:jc w:val="right"/>
                          <w:rPr>
                            <w:sz w:val="21"/>
                          </w:rPr>
                        </w:pPr>
                        <w:r>
                          <w:rPr>
                            <w:spacing w:val="-5"/>
                            <w:sz w:val="21"/>
                          </w:rPr>
                          <w:t>2.4</w:t>
                        </w:r>
                      </w:p>
                    </w:tc>
                    <w:tc>
                      <w:tcPr>
                        <w:tcW w:w="2193" w:type="dxa"/>
                      </w:tcPr>
                      <w:p>
                        <w:pPr>
                          <w:pStyle w:val="TableParagraph"/>
                          <w:spacing w:line="249" w:lineRule="exact" w:before="4"/>
                          <w:ind w:left="52"/>
                          <w:rPr>
                            <w:sz w:val="21"/>
                          </w:rPr>
                        </w:pPr>
                        <w:r>
                          <w:rPr>
                            <w:spacing w:val="-3"/>
                            <w:sz w:val="21"/>
                          </w:rPr>
                          <w:t>补偿原则及给付标准</w:t>
                        </w:r>
                      </w:p>
                    </w:tc>
                    <w:tc>
                      <w:tcPr>
                        <w:tcW w:w="671" w:type="dxa"/>
                      </w:tcPr>
                      <w:p>
                        <w:pPr>
                          <w:pStyle w:val="TableParagraph"/>
                          <w:spacing w:line="251" w:lineRule="exact" w:before="1"/>
                          <w:ind w:left="250"/>
                          <w:rPr>
                            <w:sz w:val="21"/>
                          </w:rPr>
                        </w:pPr>
                        <w:r>
                          <w:rPr>
                            <w:spacing w:val="-5"/>
                            <w:sz w:val="21"/>
                          </w:rPr>
                          <w:t>9.2</w:t>
                        </w:r>
                      </w:p>
                    </w:tc>
                    <w:tc>
                      <w:tcPr>
                        <w:tcW w:w="2153" w:type="dxa"/>
                      </w:tcPr>
                      <w:p>
                        <w:pPr>
                          <w:pStyle w:val="TableParagraph"/>
                          <w:spacing w:line="251" w:lineRule="exact" w:before="1"/>
                          <w:ind w:left="1"/>
                          <w:rPr>
                            <w:sz w:val="21"/>
                          </w:rPr>
                        </w:pPr>
                        <w:r>
                          <w:rPr>
                            <w:spacing w:val="-4"/>
                            <w:sz w:val="21"/>
                          </w:rPr>
                          <w:t>意外伤害</w:t>
                        </w:r>
                      </w:p>
                    </w:tc>
                  </w:tr>
                  <w:tr>
                    <w:trPr>
                      <w:trHeight w:val="272" w:hRule="atLeast"/>
                    </w:trPr>
                    <w:tc>
                      <w:tcPr>
                        <w:tcW w:w="631" w:type="dxa"/>
                      </w:tcPr>
                      <w:p>
                        <w:pPr>
                          <w:pStyle w:val="TableParagraph"/>
                          <w:spacing w:line="250" w:lineRule="exact" w:before="2"/>
                          <w:ind w:right="51"/>
                          <w:jc w:val="right"/>
                          <w:rPr>
                            <w:sz w:val="21"/>
                          </w:rPr>
                        </w:pPr>
                        <w:r>
                          <w:rPr>
                            <w:spacing w:val="-5"/>
                            <w:sz w:val="21"/>
                          </w:rPr>
                          <w:t>2.5</w:t>
                        </w:r>
                      </w:p>
                    </w:tc>
                    <w:tc>
                      <w:tcPr>
                        <w:tcW w:w="2193" w:type="dxa"/>
                      </w:tcPr>
                      <w:p>
                        <w:pPr>
                          <w:pStyle w:val="TableParagraph"/>
                          <w:spacing w:line="250" w:lineRule="exact" w:before="2"/>
                          <w:ind w:left="52"/>
                          <w:rPr>
                            <w:sz w:val="21"/>
                          </w:rPr>
                        </w:pPr>
                        <w:r>
                          <w:rPr>
                            <w:spacing w:val="-5"/>
                            <w:sz w:val="21"/>
                          </w:rPr>
                          <w:t>免赔额</w:t>
                        </w:r>
                      </w:p>
                    </w:tc>
                    <w:tc>
                      <w:tcPr>
                        <w:tcW w:w="671" w:type="dxa"/>
                      </w:tcPr>
                      <w:p>
                        <w:pPr>
                          <w:pStyle w:val="TableParagraph"/>
                          <w:spacing w:line="252" w:lineRule="exact"/>
                          <w:ind w:left="250"/>
                          <w:rPr>
                            <w:sz w:val="21"/>
                          </w:rPr>
                        </w:pPr>
                        <w:r>
                          <w:rPr>
                            <w:spacing w:val="-5"/>
                            <w:sz w:val="21"/>
                          </w:rPr>
                          <w:t>9.3</w:t>
                        </w:r>
                      </w:p>
                    </w:tc>
                    <w:tc>
                      <w:tcPr>
                        <w:tcW w:w="2153" w:type="dxa"/>
                      </w:tcPr>
                      <w:p>
                        <w:pPr>
                          <w:pStyle w:val="TableParagraph"/>
                          <w:spacing w:line="252" w:lineRule="exact"/>
                          <w:ind w:left="1"/>
                          <w:rPr>
                            <w:sz w:val="21"/>
                          </w:rPr>
                        </w:pPr>
                        <w:r>
                          <w:rPr>
                            <w:spacing w:val="-7"/>
                            <w:sz w:val="21"/>
                          </w:rPr>
                          <w:t>住院</w:t>
                        </w:r>
                      </w:p>
                    </w:tc>
                  </w:tr>
                  <w:tr>
                    <w:trPr>
                      <w:trHeight w:val="272" w:hRule="atLeast"/>
                    </w:trPr>
                    <w:tc>
                      <w:tcPr>
                        <w:tcW w:w="631" w:type="dxa"/>
                      </w:tcPr>
                      <w:p>
                        <w:pPr>
                          <w:pStyle w:val="TableParagraph"/>
                          <w:spacing w:line="248" w:lineRule="exact" w:before="4"/>
                          <w:ind w:right="52"/>
                          <w:jc w:val="right"/>
                          <w:rPr>
                            <w:sz w:val="21"/>
                          </w:rPr>
                        </w:pPr>
                        <w:r>
                          <w:rPr>
                            <w:spacing w:val="-5"/>
                            <w:sz w:val="21"/>
                          </w:rPr>
                          <w:t>2.6</w:t>
                        </w:r>
                      </w:p>
                    </w:tc>
                    <w:tc>
                      <w:tcPr>
                        <w:tcW w:w="2193" w:type="dxa"/>
                      </w:tcPr>
                      <w:p>
                        <w:pPr>
                          <w:pStyle w:val="TableParagraph"/>
                          <w:spacing w:line="248" w:lineRule="exact" w:before="4"/>
                          <w:ind w:left="52"/>
                          <w:rPr>
                            <w:sz w:val="21"/>
                          </w:rPr>
                        </w:pPr>
                        <w:r>
                          <w:rPr>
                            <w:spacing w:val="-4"/>
                            <w:sz w:val="21"/>
                          </w:rPr>
                          <w:t>责任免除</w:t>
                        </w:r>
                      </w:p>
                    </w:tc>
                    <w:tc>
                      <w:tcPr>
                        <w:tcW w:w="671" w:type="dxa"/>
                      </w:tcPr>
                      <w:p>
                        <w:pPr>
                          <w:pStyle w:val="TableParagraph"/>
                          <w:spacing w:line="251" w:lineRule="exact" w:before="1"/>
                          <w:ind w:left="250"/>
                          <w:rPr>
                            <w:sz w:val="21"/>
                          </w:rPr>
                        </w:pPr>
                        <w:r>
                          <w:rPr>
                            <w:spacing w:val="-5"/>
                            <w:sz w:val="21"/>
                          </w:rPr>
                          <w:t>9.4</w:t>
                        </w:r>
                      </w:p>
                    </w:tc>
                    <w:tc>
                      <w:tcPr>
                        <w:tcW w:w="2153" w:type="dxa"/>
                      </w:tcPr>
                      <w:p>
                        <w:pPr>
                          <w:pStyle w:val="TableParagraph"/>
                          <w:spacing w:line="251" w:lineRule="exact" w:before="1"/>
                          <w:ind w:left="1"/>
                          <w:rPr>
                            <w:sz w:val="21"/>
                          </w:rPr>
                        </w:pPr>
                        <w:r>
                          <w:rPr>
                            <w:spacing w:val="-4"/>
                            <w:sz w:val="21"/>
                          </w:rPr>
                          <w:t>同一次住院</w:t>
                        </w:r>
                      </w:p>
                    </w:tc>
                  </w:tr>
                  <w:tr>
                    <w:trPr>
                      <w:trHeight w:val="242" w:hRule="atLeast"/>
                    </w:trPr>
                    <w:tc>
                      <w:tcPr>
                        <w:tcW w:w="631" w:type="dxa"/>
                      </w:tcPr>
                      <w:p>
                        <w:pPr>
                          <w:pStyle w:val="TableParagraph"/>
                          <w:spacing w:line="220" w:lineRule="exact" w:before="2"/>
                          <w:ind w:right="52"/>
                          <w:jc w:val="right"/>
                          <w:rPr>
                            <w:sz w:val="21"/>
                          </w:rPr>
                        </w:pPr>
                        <w:r>
                          <w:rPr>
                            <w:spacing w:val="-5"/>
                            <w:sz w:val="21"/>
                          </w:rPr>
                          <w:t>2.7</w:t>
                        </w:r>
                      </w:p>
                    </w:tc>
                    <w:tc>
                      <w:tcPr>
                        <w:tcW w:w="2193" w:type="dxa"/>
                      </w:tcPr>
                      <w:p>
                        <w:pPr>
                          <w:pStyle w:val="TableParagraph"/>
                          <w:spacing w:line="220" w:lineRule="exact" w:before="2"/>
                          <w:ind w:left="52"/>
                          <w:rPr>
                            <w:sz w:val="21"/>
                          </w:rPr>
                        </w:pPr>
                        <w:r>
                          <w:rPr>
                            <w:spacing w:val="-3"/>
                            <w:sz w:val="21"/>
                          </w:rPr>
                          <w:t>其他免除保险责任条款</w:t>
                        </w:r>
                      </w:p>
                    </w:tc>
                    <w:tc>
                      <w:tcPr>
                        <w:tcW w:w="671" w:type="dxa"/>
                      </w:tcPr>
                      <w:p>
                        <w:pPr>
                          <w:pStyle w:val="TableParagraph"/>
                          <w:spacing w:line="222" w:lineRule="exact"/>
                          <w:ind w:left="250"/>
                          <w:rPr>
                            <w:sz w:val="21"/>
                          </w:rPr>
                        </w:pPr>
                        <w:r>
                          <w:rPr>
                            <w:spacing w:val="-5"/>
                            <w:sz w:val="21"/>
                          </w:rPr>
                          <w:t>9.5</w:t>
                        </w:r>
                      </w:p>
                    </w:tc>
                    <w:tc>
                      <w:tcPr>
                        <w:tcW w:w="2153" w:type="dxa"/>
                      </w:tcPr>
                      <w:p>
                        <w:pPr>
                          <w:pStyle w:val="TableParagraph"/>
                          <w:spacing w:line="222" w:lineRule="exact"/>
                          <w:ind w:left="1"/>
                          <w:rPr>
                            <w:sz w:val="21"/>
                          </w:rPr>
                        </w:pPr>
                        <w:r>
                          <w:rPr>
                            <w:spacing w:val="-3"/>
                            <w:sz w:val="21"/>
                          </w:rPr>
                          <w:t>本公司认可的医疗机构</w:t>
                        </w:r>
                      </w:p>
                    </w:tc>
                  </w:tr>
                  <w:tr>
                    <w:trPr>
                      <w:trHeight w:val="302" w:hRule="atLeast"/>
                    </w:trPr>
                    <w:tc>
                      <w:tcPr>
                        <w:tcW w:w="2824" w:type="dxa"/>
                        <w:gridSpan w:val="2"/>
                      </w:tcPr>
                      <w:p>
                        <w:pPr>
                          <w:pStyle w:val="TableParagraph"/>
                          <w:spacing w:line="282" w:lineRule="exact"/>
                          <w:ind w:left="50"/>
                          <w:rPr>
                            <w:rFonts w:ascii="微软雅黑" w:eastAsia="微软雅黑"/>
                            <w:b/>
                            <w:sz w:val="21"/>
                          </w:rPr>
                        </w:pPr>
                        <w:r>
                          <w:rPr>
                            <w:rFonts w:ascii="微软雅黑" w:eastAsia="微软雅黑"/>
                            <w:b/>
                            <w:w w:val="95"/>
                            <w:sz w:val="21"/>
                          </w:rPr>
                          <w:t>3．</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支</w:t>
                        </w:r>
                        <w:r>
                          <w:rPr>
                            <w:rFonts w:ascii="微软雅黑" w:eastAsia="微软雅黑"/>
                            <w:b/>
                            <w:w w:val="95"/>
                            <w:sz w:val="21"/>
                          </w:rPr>
                          <w:t>付</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费</w:t>
                        </w:r>
                      </w:p>
                    </w:tc>
                    <w:tc>
                      <w:tcPr>
                        <w:tcW w:w="671" w:type="dxa"/>
                      </w:tcPr>
                      <w:p>
                        <w:pPr>
                          <w:pStyle w:val="TableParagraph"/>
                          <w:spacing w:line="251" w:lineRule="exact" w:before="31"/>
                          <w:ind w:left="250"/>
                          <w:rPr>
                            <w:sz w:val="21"/>
                          </w:rPr>
                        </w:pPr>
                        <w:r>
                          <w:rPr>
                            <w:spacing w:val="-5"/>
                            <w:sz w:val="21"/>
                          </w:rPr>
                          <w:t>9.6</w:t>
                        </w:r>
                      </w:p>
                    </w:tc>
                    <w:tc>
                      <w:tcPr>
                        <w:tcW w:w="2153" w:type="dxa"/>
                      </w:tcPr>
                      <w:p>
                        <w:pPr>
                          <w:pStyle w:val="TableParagraph"/>
                          <w:spacing w:line="251" w:lineRule="exact" w:before="31"/>
                          <w:ind w:left="1"/>
                          <w:rPr>
                            <w:sz w:val="21"/>
                          </w:rPr>
                        </w:pPr>
                        <w:r>
                          <w:rPr>
                            <w:spacing w:val="-4"/>
                            <w:sz w:val="21"/>
                          </w:rPr>
                          <w:t>医疗必需且合理</w:t>
                        </w:r>
                      </w:p>
                    </w:tc>
                  </w:tr>
                  <w:tr>
                    <w:trPr>
                      <w:trHeight w:val="272" w:hRule="atLeast"/>
                    </w:trPr>
                    <w:tc>
                      <w:tcPr>
                        <w:tcW w:w="2824" w:type="dxa"/>
                        <w:gridSpan w:val="2"/>
                      </w:tcPr>
                      <w:p>
                        <w:pPr>
                          <w:pStyle w:val="TableParagraph"/>
                          <w:spacing w:line="250" w:lineRule="exact" w:before="2"/>
                          <w:ind w:left="261"/>
                          <w:rPr>
                            <w:sz w:val="21"/>
                          </w:rPr>
                        </w:pPr>
                        <w:r>
                          <w:rPr>
                            <w:spacing w:val="-4"/>
                            <w:sz w:val="21"/>
                          </w:rPr>
                          <w:t>保险费的支付</w:t>
                        </w:r>
                      </w:p>
                    </w:tc>
                    <w:tc>
                      <w:tcPr>
                        <w:tcW w:w="671" w:type="dxa"/>
                      </w:tcPr>
                      <w:p>
                        <w:pPr>
                          <w:pStyle w:val="TableParagraph"/>
                          <w:spacing w:line="252" w:lineRule="exact"/>
                          <w:ind w:left="250"/>
                          <w:rPr>
                            <w:sz w:val="21"/>
                          </w:rPr>
                        </w:pPr>
                        <w:r>
                          <w:rPr>
                            <w:spacing w:val="-5"/>
                            <w:sz w:val="21"/>
                          </w:rPr>
                          <w:t>9.7</w:t>
                        </w:r>
                      </w:p>
                    </w:tc>
                    <w:tc>
                      <w:tcPr>
                        <w:tcW w:w="2153" w:type="dxa"/>
                      </w:tcPr>
                      <w:p>
                        <w:pPr>
                          <w:pStyle w:val="TableParagraph"/>
                          <w:spacing w:line="252" w:lineRule="exact"/>
                          <w:ind w:left="-1"/>
                          <w:rPr>
                            <w:sz w:val="21"/>
                          </w:rPr>
                        </w:pPr>
                        <w:r>
                          <w:rPr>
                            <w:spacing w:val="-4"/>
                            <w:sz w:val="21"/>
                          </w:rPr>
                          <w:t>住院医疗费用</w:t>
                        </w:r>
                      </w:p>
                    </w:tc>
                  </w:tr>
                  <w:tr>
                    <w:trPr>
                      <w:trHeight w:val="272" w:hRule="atLeast"/>
                    </w:trPr>
                    <w:tc>
                      <w:tcPr>
                        <w:tcW w:w="2824" w:type="dxa"/>
                        <w:gridSpan w:val="2"/>
                      </w:tcPr>
                      <w:p>
                        <w:pPr>
                          <w:pStyle w:val="TableParagraph"/>
                          <w:spacing w:line="252" w:lineRule="exact"/>
                          <w:ind w:left="50"/>
                          <w:rPr>
                            <w:rFonts w:ascii="微软雅黑" w:eastAsia="微软雅黑"/>
                            <w:b/>
                            <w:sz w:val="21"/>
                          </w:rPr>
                        </w:pPr>
                        <w:r>
                          <w:rPr>
                            <w:rFonts w:ascii="微软雅黑" w:eastAsia="微软雅黑"/>
                            <w:b/>
                            <w:w w:val="52"/>
                            <w:sz w:val="21"/>
                          </w:rPr>
                          <w:t>4</w:t>
                        </w:r>
                        <w:r>
                          <w:rPr>
                            <w:rFonts w:ascii="微软雅黑" w:eastAsia="微软雅黑"/>
                            <w:b/>
                            <w:w w:val="147"/>
                            <w:sz w:val="21"/>
                          </w:rPr>
                          <w:t>.</w:t>
                        </w:r>
                        <w:r>
                          <w:rPr>
                            <w:rFonts w:ascii="微软雅黑" w:eastAsia="微软雅黑"/>
                            <w:b/>
                            <w:spacing w:val="64"/>
                            <w:w w:val="150"/>
                            <w:sz w:val="21"/>
                          </w:rPr>
                          <w:t> </w:t>
                        </w:r>
                        <w:r>
                          <w:rPr>
                            <w:rFonts w:ascii="微软雅黑" w:eastAsia="微软雅黑"/>
                            <w:b/>
                            <w:spacing w:val="-2"/>
                            <w:sz w:val="21"/>
                          </w:rPr>
                          <w:t>明确说明与如实告知</w:t>
                        </w:r>
                      </w:p>
                    </w:tc>
                    <w:tc>
                      <w:tcPr>
                        <w:tcW w:w="671" w:type="dxa"/>
                      </w:tcPr>
                      <w:p>
                        <w:pPr>
                          <w:pStyle w:val="TableParagraph"/>
                          <w:spacing w:line="251" w:lineRule="exact" w:before="1"/>
                          <w:ind w:left="250"/>
                          <w:rPr>
                            <w:sz w:val="21"/>
                          </w:rPr>
                        </w:pPr>
                        <w:r>
                          <w:rPr>
                            <w:spacing w:val="-5"/>
                            <w:sz w:val="21"/>
                          </w:rPr>
                          <w:t>9.8</w:t>
                        </w:r>
                      </w:p>
                    </w:tc>
                    <w:tc>
                      <w:tcPr>
                        <w:tcW w:w="2153" w:type="dxa"/>
                      </w:tcPr>
                      <w:p>
                        <w:pPr>
                          <w:pStyle w:val="TableParagraph"/>
                          <w:spacing w:line="251" w:lineRule="exact" w:before="1"/>
                          <w:ind w:left="-1"/>
                          <w:rPr>
                            <w:sz w:val="21"/>
                          </w:rPr>
                        </w:pPr>
                        <w:r>
                          <w:rPr>
                            <w:spacing w:val="-4"/>
                            <w:sz w:val="21"/>
                          </w:rPr>
                          <w:t>化学疗法</w:t>
                        </w:r>
                      </w:p>
                    </w:tc>
                  </w:tr>
                  <w:tr>
                    <w:trPr>
                      <w:trHeight w:val="272" w:hRule="atLeast"/>
                    </w:trPr>
                    <w:tc>
                      <w:tcPr>
                        <w:tcW w:w="2824" w:type="dxa"/>
                        <w:gridSpan w:val="2"/>
                      </w:tcPr>
                      <w:p>
                        <w:pPr>
                          <w:pStyle w:val="TableParagraph"/>
                          <w:spacing w:line="250" w:lineRule="exact" w:before="2"/>
                          <w:ind w:left="263"/>
                          <w:rPr>
                            <w:sz w:val="21"/>
                          </w:rPr>
                        </w:pPr>
                        <w:r>
                          <w:rPr>
                            <w:sz w:val="21"/>
                          </w:rPr>
                          <w:t>4.1</w:t>
                        </w:r>
                        <w:r>
                          <w:rPr>
                            <w:spacing w:val="-5"/>
                            <w:sz w:val="21"/>
                          </w:rPr>
                          <w:t> 明确说明</w:t>
                        </w:r>
                      </w:p>
                    </w:tc>
                    <w:tc>
                      <w:tcPr>
                        <w:tcW w:w="671" w:type="dxa"/>
                      </w:tcPr>
                      <w:p>
                        <w:pPr>
                          <w:pStyle w:val="TableParagraph"/>
                          <w:spacing w:line="252" w:lineRule="exact"/>
                          <w:ind w:left="250"/>
                          <w:rPr>
                            <w:sz w:val="21"/>
                          </w:rPr>
                        </w:pPr>
                        <w:r>
                          <w:rPr>
                            <w:spacing w:val="-5"/>
                            <w:sz w:val="21"/>
                          </w:rPr>
                          <w:t>9.9</w:t>
                        </w:r>
                      </w:p>
                    </w:tc>
                    <w:tc>
                      <w:tcPr>
                        <w:tcW w:w="2153" w:type="dxa"/>
                      </w:tcPr>
                      <w:p>
                        <w:pPr>
                          <w:pStyle w:val="TableParagraph"/>
                          <w:spacing w:line="252" w:lineRule="exact"/>
                          <w:ind w:left="-1"/>
                          <w:rPr>
                            <w:sz w:val="21"/>
                          </w:rPr>
                        </w:pPr>
                        <w:r>
                          <w:rPr>
                            <w:spacing w:val="-4"/>
                            <w:sz w:val="21"/>
                          </w:rPr>
                          <w:t>放射疗法</w:t>
                        </w:r>
                      </w:p>
                    </w:tc>
                  </w:tr>
                  <w:tr>
                    <w:trPr>
                      <w:trHeight w:val="243" w:hRule="atLeast"/>
                    </w:trPr>
                    <w:tc>
                      <w:tcPr>
                        <w:tcW w:w="2824" w:type="dxa"/>
                        <w:gridSpan w:val="2"/>
                      </w:tcPr>
                      <w:p>
                        <w:pPr>
                          <w:pStyle w:val="TableParagraph"/>
                          <w:spacing w:line="220" w:lineRule="exact" w:before="4"/>
                          <w:ind w:left="261"/>
                          <w:rPr>
                            <w:sz w:val="21"/>
                          </w:rPr>
                        </w:pPr>
                        <w:r>
                          <w:rPr>
                            <w:sz w:val="21"/>
                          </w:rPr>
                          <w:t>4.2</w:t>
                        </w:r>
                        <w:r>
                          <w:rPr>
                            <w:spacing w:val="-4"/>
                            <w:sz w:val="21"/>
                          </w:rPr>
                          <w:t> 如实告知</w:t>
                        </w:r>
                      </w:p>
                    </w:tc>
                    <w:tc>
                      <w:tcPr>
                        <w:tcW w:w="671" w:type="dxa"/>
                      </w:tcPr>
                      <w:p>
                        <w:pPr>
                          <w:pStyle w:val="TableParagraph"/>
                          <w:spacing w:line="222" w:lineRule="exact" w:before="1"/>
                          <w:ind w:left="250" w:right="-15"/>
                          <w:rPr>
                            <w:sz w:val="21"/>
                          </w:rPr>
                        </w:pPr>
                        <w:r>
                          <w:rPr>
                            <w:spacing w:val="-4"/>
                            <w:sz w:val="21"/>
                          </w:rPr>
                          <w:t>9.10</w:t>
                        </w:r>
                      </w:p>
                    </w:tc>
                    <w:tc>
                      <w:tcPr>
                        <w:tcW w:w="2153" w:type="dxa"/>
                      </w:tcPr>
                      <w:p>
                        <w:pPr>
                          <w:pStyle w:val="TableParagraph"/>
                          <w:spacing w:line="222" w:lineRule="exact" w:before="1"/>
                          <w:ind w:left="105"/>
                          <w:rPr>
                            <w:sz w:val="21"/>
                          </w:rPr>
                        </w:pPr>
                        <w:r>
                          <w:rPr>
                            <w:spacing w:val="-4"/>
                            <w:sz w:val="21"/>
                          </w:rPr>
                          <w:t>肿瘤免疫疗法</w:t>
                        </w:r>
                      </w:p>
                    </w:tc>
                  </w:tr>
                </w:tbl>
                <w:p>
                  <w:pPr>
                    <w:pStyle w:val="BodyText"/>
                  </w:pPr>
                </w:p>
              </w:txbxContent>
            </v:textbox>
            <w10:wrap type="none"/>
          </v:shape>
        </w:pict>
      </w:r>
      <w:r>
        <w:rPr>
          <w:spacing w:val="-4"/>
          <w:sz w:val="21"/>
        </w:rPr>
        <w:t>无合法有效行驶证</w:t>
      </w:r>
    </w:p>
    <w:p>
      <w:pPr>
        <w:pStyle w:val="ListParagraph"/>
        <w:numPr>
          <w:ilvl w:val="1"/>
          <w:numId w:val="3"/>
        </w:numPr>
        <w:tabs>
          <w:tab w:pos="962" w:val="left" w:leader="none"/>
        </w:tabs>
        <w:spacing w:line="240" w:lineRule="auto" w:before="5" w:after="0"/>
        <w:ind w:left="961" w:right="0" w:hanging="527"/>
        <w:jc w:val="left"/>
        <w:rPr>
          <w:sz w:val="21"/>
        </w:rPr>
      </w:pPr>
      <w:r>
        <w:rPr>
          <w:spacing w:val="-5"/>
          <w:sz w:val="21"/>
        </w:rPr>
        <w:t>毒品</w:t>
      </w:r>
    </w:p>
    <w:p>
      <w:pPr>
        <w:pStyle w:val="ListParagraph"/>
        <w:numPr>
          <w:ilvl w:val="1"/>
          <w:numId w:val="3"/>
        </w:numPr>
        <w:tabs>
          <w:tab w:pos="964" w:val="left" w:leader="none"/>
        </w:tabs>
        <w:spacing w:line="240" w:lineRule="auto" w:before="2" w:after="0"/>
        <w:ind w:left="963" w:right="0" w:hanging="529"/>
        <w:jc w:val="left"/>
        <w:rPr>
          <w:sz w:val="21"/>
        </w:rPr>
      </w:pPr>
      <w:r>
        <w:rPr>
          <w:spacing w:val="-2"/>
          <w:sz w:val="21"/>
        </w:rPr>
        <w:t>ICD-</w:t>
      </w:r>
      <w:r>
        <w:rPr>
          <w:spacing w:val="-5"/>
          <w:sz w:val="21"/>
        </w:rPr>
        <w:t>10</w:t>
      </w:r>
    </w:p>
    <w:p>
      <w:pPr>
        <w:pStyle w:val="ListParagraph"/>
        <w:numPr>
          <w:ilvl w:val="1"/>
          <w:numId w:val="3"/>
        </w:numPr>
        <w:tabs>
          <w:tab w:pos="962" w:val="left" w:leader="none"/>
        </w:tabs>
        <w:spacing w:line="240" w:lineRule="auto" w:before="5" w:after="0"/>
        <w:ind w:left="961" w:right="0" w:hanging="527"/>
        <w:jc w:val="left"/>
        <w:rPr>
          <w:sz w:val="21"/>
        </w:rPr>
      </w:pPr>
      <w:r>
        <w:rPr>
          <w:spacing w:val="-4"/>
          <w:sz w:val="21"/>
        </w:rPr>
        <w:t>医疗事故</w:t>
      </w:r>
    </w:p>
    <w:p>
      <w:pPr>
        <w:pStyle w:val="ListParagraph"/>
        <w:numPr>
          <w:ilvl w:val="1"/>
          <w:numId w:val="3"/>
        </w:numPr>
        <w:tabs>
          <w:tab w:pos="962" w:val="left" w:leader="none"/>
        </w:tabs>
        <w:spacing w:line="240" w:lineRule="auto" w:before="2" w:after="0"/>
        <w:ind w:left="961" w:right="0" w:hanging="527"/>
        <w:jc w:val="left"/>
        <w:rPr>
          <w:sz w:val="21"/>
        </w:rPr>
      </w:pPr>
      <w:r>
        <w:rPr>
          <w:spacing w:val="-4"/>
          <w:sz w:val="21"/>
        </w:rPr>
        <w:t>遗传性疾病</w:t>
      </w:r>
    </w:p>
    <w:p>
      <w:pPr>
        <w:pStyle w:val="ListParagraph"/>
        <w:numPr>
          <w:ilvl w:val="1"/>
          <w:numId w:val="3"/>
        </w:numPr>
        <w:tabs>
          <w:tab w:pos="962" w:val="left" w:leader="none"/>
        </w:tabs>
        <w:spacing w:line="240" w:lineRule="auto" w:before="5" w:after="0"/>
        <w:ind w:left="961" w:right="0" w:hanging="527"/>
        <w:jc w:val="left"/>
        <w:rPr>
          <w:sz w:val="21"/>
        </w:rPr>
      </w:pPr>
      <w:r>
        <w:rPr>
          <w:spacing w:val="-3"/>
          <w:sz w:val="21"/>
        </w:rPr>
        <w:t>先天性畸形、变形或染色体异常</w:t>
      </w:r>
    </w:p>
    <w:p>
      <w:pPr>
        <w:pStyle w:val="ListParagraph"/>
        <w:numPr>
          <w:ilvl w:val="1"/>
          <w:numId w:val="3"/>
        </w:numPr>
        <w:tabs>
          <w:tab w:pos="962" w:val="left" w:leader="none"/>
        </w:tabs>
        <w:spacing w:line="240" w:lineRule="auto" w:before="2" w:after="0"/>
        <w:ind w:left="961" w:right="0" w:hanging="527"/>
        <w:jc w:val="left"/>
        <w:rPr>
          <w:sz w:val="21"/>
        </w:rPr>
      </w:pPr>
      <w:r>
        <w:rPr>
          <w:spacing w:val="-5"/>
          <w:sz w:val="21"/>
        </w:rPr>
        <w:t>潜水</w:t>
      </w:r>
    </w:p>
    <w:p>
      <w:pPr>
        <w:pStyle w:val="ListParagraph"/>
        <w:numPr>
          <w:ilvl w:val="1"/>
          <w:numId w:val="3"/>
        </w:numPr>
        <w:tabs>
          <w:tab w:pos="962" w:val="left" w:leader="none"/>
        </w:tabs>
        <w:spacing w:line="240" w:lineRule="auto" w:before="4" w:after="0"/>
        <w:ind w:left="961" w:right="0" w:hanging="527"/>
        <w:jc w:val="left"/>
        <w:rPr>
          <w:sz w:val="21"/>
        </w:rPr>
      </w:pPr>
      <w:r>
        <w:rPr>
          <w:spacing w:val="-5"/>
          <w:sz w:val="21"/>
        </w:rPr>
        <w:t>攀岩</w:t>
      </w:r>
    </w:p>
    <w:p>
      <w:pPr>
        <w:pStyle w:val="ListParagraph"/>
        <w:numPr>
          <w:ilvl w:val="1"/>
          <w:numId w:val="3"/>
        </w:numPr>
        <w:tabs>
          <w:tab w:pos="962" w:val="left" w:leader="none"/>
        </w:tabs>
        <w:spacing w:line="240" w:lineRule="auto" w:before="2" w:after="0"/>
        <w:ind w:left="961" w:right="0" w:hanging="527"/>
        <w:jc w:val="left"/>
        <w:rPr>
          <w:sz w:val="21"/>
        </w:rPr>
      </w:pPr>
      <w:r>
        <w:rPr>
          <w:spacing w:val="-4"/>
          <w:sz w:val="21"/>
        </w:rPr>
        <w:t>武术比赛</w:t>
      </w:r>
    </w:p>
    <w:p>
      <w:pPr>
        <w:pStyle w:val="ListParagraph"/>
        <w:numPr>
          <w:ilvl w:val="1"/>
          <w:numId w:val="3"/>
        </w:numPr>
        <w:tabs>
          <w:tab w:pos="962" w:val="left" w:leader="none"/>
        </w:tabs>
        <w:spacing w:line="240" w:lineRule="auto" w:before="5" w:after="0"/>
        <w:ind w:left="961" w:right="0" w:hanging="527"/>
        <w:jc w:val="left"/>
        <w:rPr>
          <w:sz w:val="21"/>
        </w:rPr>
      </w:pPr>
      <w:r>
        <w:rPr>
          <w:spacing w:val="-4"/>
          <w:sz w:val="21"/>
        </w:rPr>
        <w:t>特技表演</w:t>
      </w:r>
    </w:p>
    <w:p>
      <w:pPr>
        <w:pStyle w:val="ListParagraph"/>
        <w:numPr>
          <w:ilvl w:val="1"/>
          <w:numId w:val="3"/>
        </w:numPr>
        <w:tabs>
          <w:tab w:pos="962" w:val="left" w:leader="none"/>
        </w:tabs>
        <w:spacing w:line="240" w:lineRule="auto" w:before="2" w:after="0"/>
        <w:ind w:left="961" w:right="0" w:hanging="527"/>
        <w:jc w:val="left"/>
        <w:rPr>
          <w:sz w:val="21"/>
        </w:rPr>
      </w:pPr>
      <w:r>
        <w:rPr>
          <w:spacing w:val="-5"/>
          <w:sz w:val="21"/>
        </w:rPr>
        <w:t>探险</w:t>
      </w:r>
    </w:p>
    <w:p>
      <w:pPr>
        <w:pStyle w:val="ListParagraph"/>
        <w:numPr>
          <w:ilvl w:val="1"/>
          <w:numId w:val="3"/>
        </w:numPr>
        <w:tabs>
          <w:tab w:pos="962" w:val="left" w:leader="none"/>
        </w:tabs>
        <w:spacing w:line="240" w:lineRule="auto" w:before="5" w:after="0"/>
        <w:ind w:left="961" w:right="0" w:hanging="527"/>
        <w:jc w:val="left"/>
        <w:rPr>
          <w:sz w:val="21"/>
        </w:rPr>
      </w:pPr>
      <w:r>
        <w:rPr>
          <w:spacing w:val="-3"/>
          <w:sz w:val="21"/>
        </w:rPr>
        <w:t>感染艾滋病病毒或患艾滋病</w:t>
      </w:r>
    </w:p>
    <w:p>
      <w:pPr>
        <w:pStyle w:val="ListParagraph"/>
        <w:numPr>
          <w:ilvl w:val="1"/>
          <w:numId w:val="3"/>
        </w:numPr>
        <w:tabs>
          <w:tab w:pos="962" w:val="left" w:leader="none"/>
        </w:tabs>
        <w:spacing w:line="240" w:lineRule="auto" w:before="2" w:after="0"/>
        <w:ind w:left="961" w:right="0" w:hanging="527"/>
        <w:jc w:val="left"/>
        <w:rPr>
          <w:sz w:val="21"/>
        </w:rPr>
      </w:pPr>
      <w:r>
        <w:rPr>
          <w:spacing w:val="-4"/>
          <w:sz w:val="21"/>
        </w:rPr>
        <w:t>现金价值</w:t>
      </w:r>
    </w:p>
    <w:p>
      <w:pPr>
        <w:pStyle w:val="ListParagraph"/>
        <w:numPr>
          <w:ilvl w:val="1"/>
          <w:numId w:val="3"/>
        </w:numPr>
        <w:tabs>
          <w:tab w:pos="962" w:val="left" w:leader="none"/>
        </w:tabs>
        <w:spacing w:line="240" w:lineRule="auto" w:before="4" w:after="0"/>
        <w:ind w:left="961" w:right="0" w:hanging="527"/>
        <w:jc w:val="left"/>
        <w:rPr>
          <w:sz w:val="21"/>
        </w:rPr>
      </w:pPr>
      <w:r>
        <w:rPr>
          <w:spacing w:val="-4"/>
          <w:sz w:val="21"/>
        </w:rPr>
        <w:t>组织病理学检查</w:t>
      </w:r>
    </w:p>
    <w:p>
      <w:pPr>
        <w:pStyle w:val="ListParagraph"/>
        <w:numPr>
          <w:ilvl w:val="1"/>
          <w:numId w:val="3"/>
        </w:numPr>
        <w:tabs>
          <w:tab w:pos="962" w:val="left" w:leader="none"/>
        </w:tabs>
        <w:spacing w:line="240" w:lineRule="auto" w:before="2" w:after="0"/>
        <w:ind w:left="961" w:right="0" w:hanging="527"/>
        <w:jc w:val="left"/>
        <w:rPr>
          <w:sz w:val="21"/>
        </w:rPr>
      </w:pPr>
      <w:r>
        <w:rPr>
          <w:spacing w:val="-2"/>
          <w:sz w:val="21"/>
        </w:rPr>
        <w:t>ICD-O-</w:t>
      </w:r>
      <w:r>
        <w:rPr>
          <w:spacing w:val="-10"/>
          <w:sz w:val="21"/>
        </w:rPr>
        <w:t>3</w:t>
      </w:r>
    </w:p>
    <w:p>
      <w:pPr>
        <w:pStyle w:val="ListParagraph"/>
        <w:numPr>
          <w:ilvl w:val="1"/>
          <w:numId w:val="3"/>
        </w:numPr>
        <w:tabs>
          <w:tab w:pos="964" w:val="left" w:leader="none"/>
        </w:tabs>
        <w:spacing w:line="240" w:lineRule="auto" w:before="5" w:after="0"/>
        <w:ind w:left="963" w:right="0" w:hanging="529"/>
        <w:jc w:val="left"/>
        <w:rPr>
          <w:sz w:val="21"/>
        </w:rPr>
      </w:pPr>
      <w:r>
        <w:rPr>
          <w:spacing w:val="-2"/>
          <w:sz w:val="21"/>
        </w:rPr>
        <w:t>TNM</w:t>
      </w:r>
      <w:r>
        <w:rPr>
          <w:spacing w:val="-21"/>
          <w:sz w:val="21"/>
        </w:rPr>
        <w:t> 分期</w:t>
      </w:r>
    </w:p>
    <w:p>
      <w:pPr>
        <w:pStyle w:val="ListParagraph"/>
        <w:numPr>
          <w:ilvl w:val="1"/>
          <w:numId w:val="3"/>
        </w:numPr>
        <w:tabs>
          <w:tab w:pos="950" w:val="left" w:leader="none"/>
        </w:tabs>
        <w:spacing w:line="240" w:lineRule="auto" w:before="3" w:after="0"/>
        <w:ind w:left="949" w:right="0" w:hanging="527"/>
        <w:jc w:val="left"/>
        <w:rPr>
          <w:sz w:val="21"/>
        </w:rPr>
      </w:pPr>
      <w:r>
        <w:rPr>
          <w:spacing w:val="-5"/>
          <w:sz w:val="21"/>
        </w:rPr>
        <w:t>肢体</w:t>
      </w:r>
    </w:p>
    <w:p>
      <w:pPr>
        <w:spacing w:after="0" w:line="240" w:lineRule="auto"/>
        <w:jc w:val="left"/>
        <w:rPr>
          <w:sz w:val="21"/>
        </w:rPr>
        <w:sectPr>
          <w:type w:val="continuous"/>
          <w:pgSz w:w="11910" w:h="16840"/>
          <w:pgMar w:top="600" w:bottom="280" w:left="760" w:right="580"/>
          <w:cols w:num="3" w:equalWidth="0">
            <w:col w:w="2259" w:space="554"/>
            <w:col w:w="2989" w:space="139"/>
            <w:col w:w="4629"/>
          </w:cols>
        </w:sectPr>
      </w:pPr>
    </w:p>
    <w:p>
      <w:pPr>
        <w:pStyle w:val="BodyText"/>
        <w:spacing w:line="242" w:lineRule="exact" w:before="62"/>
        <w:ind w:left="634"/>
      </w:pPr>
      <w:r>
        <w:rPr/>
        <w:t>4.3</w:t>
      </w:r>
      <w:r>
        <w:rPr>
          <w:spacing w:val="-6"/>
        </w:rPr>
        <w:t> 本公司合同解除权的限制 </w:t>
      </w:r>
      <w:r>
        <w:rPr/>
        <w:t>9.11</w:t>
      </w:r>
      <w:r>
        <w:rPr>
          <w:spacing w:val="-4"/>
        </w:rPr>
        <w:t> 肿瘤内分泌疗法</w:t>
      </w:r>
    </w:p>
    <w:p>
      <w:pPr>
        <w:pStyle w:val="BodyText"/>
        <w:spacing w:before="2"/>
        <w:ind w:left="634"/>
      </w:pPr>
      <w:r>
        <w:rPr/>
        <w:br w:type="column"/>
      </w:r>
      <w:r>
        <w:rPr/>
        <w:t>9.38</w:t>
      </w:r>
      <w:r>
        <w:rPr>
          <w:spacing w:val="-4"/>
        </w:rPr>
        <w:t> 肌力</w:t>
      </w:r>
    </w:p>
    <w:p>
      <w:pPr>
        <w:spacing w:after="0"/>
        <w:sectPr>
          <w:type w:val="continuous"/>
          <w:pgSz w:w="11910" w:h="16840"/>
          <w:pgMar w:top="600" w:bottom="280" w:left="760" w:right="580"/>
          <w:cols w:num="2" w:equalWidth="0">
            <w:col w:w="5486" w:space="256"/>
            <w:col w:w="4828"/>
          </w:cols>
        </w:sectPr>
      </w:pPr>
    </w:p>
    <w:p>
      <w:pPr>
        <w:pStyle w:val="Heading2"/>
        <w:numPr>
          <w:ilvl w:val="0"/>
          <w:numId w:val="4"/>
        </w:numPr>
        <w:tabs>
          <w:tab w:pos="742" w:val="left" w:leader="none"/>
        </w:tabs>
        <w:spacing w:line="352" w:lineRule="exact" w:before="0" w:after="0"/>
        <w:ind w:left="741" w:right="0" w:hanging="319"/>
        <w:jc w:val="left"/>
      </w:pPr>
      <w:r>
        <w:rPr>
          <w:spacing w:val="-2"/>
        </w:rPr>
        <w:t>如何申请领取保险金</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6"/>
        <w:rPr>
          <w:rFonts w:ascii="微软雅黑"/>
          <w:b/>
          <w:sz w:val="22"/>
        </w:rPr>
      </w:pPr>
    </w:p>
    <w:p>
      <w:pPr>
        <w:pStyle w:val="ListParagraph"/>
        <w:numPr>
          <w:ilvl w:val="0"/>
          <w:numId w:val="4"/>
        </w:numPr>
        <w:tabs>
          <w:tab w:pos="742" w:val="left" w:leader="none"/>
        </w:tabs>
        <w:spacing w:line="240" w:lineRule="auto" w:before="1" w:after="0"/>
        <w:ind w:left="741" w:right="0" w:hanging="319"/>
        <w:jc w:val="left"/>
        <w:rPr>
          <w:rFonts w:ascii="微软雅黑" w:eastAsia="微软雅黑"/>
          <w:b/>
          <w:sz w:val="21"/>
        </w:rPr>
      </w:pPr>
      <w:r>
        <w:rPr>
          <w:rFonts w:ascii="微软雅黑" w:eastAsia="微软雅黑"/>
          <w:b/>
          <w:spacing w:val="-3"/>
          <w:sz w:val="21"/>
        </w:rPr>
        <w:t>您解除合同的手续及风险</w:t>
      </w:r>
    </w:p>
    <w:p>
      <w:pPr>
        <w:pStyle w:val="BodyText"/>
        <w:spacing w:before="29"/>
        <w:ind w:left="349"/>
      </w:pPr>
      <w:r>
        <w:rPr/>
        <w:br w:type="column"/>
      </w:r>
      <w:r>
        <w:rPr/>
        <w:t>9.12</w:t>
      </w:r>
      <w:r>
        <w:rPr>
          <w:spacing w:val="-5"/>
        </w:rPr>
        <w:t> 肿瘤靶向疗法</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pStyle w:val="BodyText"/>
        <w:ind w:left="349"/>
      </w:pPr>
      <w:r>
        <w:rPr/>
        <w:t>9.18</w:t>
      </w:r>
      <w:r>
        <w:rPr>
          <w:spacing w:val="-4"/>
        </w:rPr>
        <w:t> 既往病症</w:t>
      </w:r>
    </w:p>
    <w:p>
      <w:pPr>
        <w:pStyle w:val="ListParagraph"/>
        <w:numPr>
          <w:ilvl w:val="1"/>
          <w:numId w:val="5"/>
        </w:numPr>
        <w:tabs>
          <w:tab w:pos="950" w:val="left" w:leader="none"/>
        </w:tabs>
        <w:spacing w:line="241" w:lineRule="exact" w:before="0" w:after="0"/>
        <w:ind w:left="949" w:right="0" w:hanging="527"/>
        <w:jc w:val="left"/>
        <w:rPr>
          <w:sz w:val="21"/>
        </w:rPr>
      </w:pPr>
      <w:r>
        <w:rPr>
          <w:sz w:val="21"/>
        </w:rPr>
        <w:br w:type="column"/>
      </w:r>
      <w:r>
        <w:rPr>
          <w:spacing w:val="-11"/>
          <w:sz w:val="21"/>
        </w:rPr>
        <w:t>语言能力完全丧失，或严重咀嚼吞</w:t>
      </w:r>
    </w:p>
    <w:p>
      <w:pPr>
        <w:pStyle w:val="BodyText"/>
        <w:spacing w:before="2"/>
        <w:ind w:left="946"/>
      </w:pPr>
      <w:r>
        <w:rPr/>
        <w:pict>
          <v:shape style="position:absolute;margin-left:67.244003pt;margin-top:4.405006pt;width:277pt;height:78.6pt;mso-position-horizontal-relative:page;mso-position-vertical-relative:paragraph;z-index:15730176"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1879"/>
                    <w:gridCol w:w="1039"/>
                    <w:gridCol w:w="2204"/>
                  </w:tblGrid>
                  <w:tr>
                    <w:trPr>
                      <w:trHeight w:val="243" w:hRule="atLeast"/>
                    </w:trPr>
                    <w:tc>
                      <w:tcPr>
                        <w:tcW w:w="420" w:type="dxa"/>
                      </w:tcPr>
                      <w:p>
                        <w:pPr>
                          <w:pStyle w:val="TableParagraph"/>
                          <w:spacing w:line="224" w:lineRule="exact"/>
                          <w:ind w:left="50"/>
                          <w:rPr>
                            <w:sz w:val="21"/>
                          </w:rPr>
                        </w:pPr>
                        <w:r>
                          <w:rPr>
                            <w:spacing w:val="-5"/>
                            <w:sz w:val="21"/>
                          </w:rPr>
                          <w:t>5.1</w:t>
                        </w:r>
                      </w:p>
                    </w:tc>
                    <w:tc>
                      <w:tcPr>
                        <w:tcW w:w="1879" w:type="dxa"/>
                      </w:tcPr>
                      <w:p>
                        <w:pPr>
                          <w:pStyle w:val="TableParagraph"/>
                          <w:spacing w:line="224" w:lineRule="exact"/>
                          <w:ind w:left="52"/>
                          <w:rPr>
                            <w:sz w:val="21"/>
                          </w:rPr>
                        </w:pPr>
                        <w:r>
                          <w:rPr>
                            <w:spacing w:val="-5"/>
                            <w:sz w:val="21"/>
                          </w:rPr>
                          <w:t>受益人</w:t>
                        </w:r>
                      </w:p>
                    </w:tc>
                    <w:tc>
                      <w:tcPr>
                        <w:tcW w:w="1039" w:type="dxa"/>
                      </w:tcPr>
                      <w:p>
                        <w:pPr>
                          <w:pStyle w:val="TableParagraph"/>
                          <w:spacing w:line="224" w:lineRule="exact"/>
                          <w:ind w:right="50"/>
                          <w:jc w:val="right"/>
                          <w:rPr>
                            <w:sz w:val="21"/>
                          </w:rPr>
                        </w:pPr>
                        <w:r>
                          <w:rPr>
                            <w:spacing w:val="-4"/>
                            <w:sz w:val="21"/>
                          </w:rPr>
                          <w:t>9.13</w:t>
                        </w:r>
                      </w:p>
                    </w:tc>
                    <w:tc>
                      <w:tcPr>
                        <w:tcW w:w="2204" w:type="dxa"/>
                      </w:tcPr>
                      <w:p>
                        <w:pPr>
                          <w:pStyle w:val="TableParagraph"/>
                          <w:spacing w:line="224" w:lineRule="exact"/>
                          <w:ind w:left="50"/>
                          <w:rPr>
                            <w:sz w:val="21"/>
                          </w:rPr>
                        </w:pPr>
                        <w:r>
                          <w:rPr>
                            <w:spacing w:val="-4"/>
                            <w:sz w:val="21"/>
                          </w:rPr>
                          <w:t>门诊手术医疗费用</w:t>
                        </w:r>
                      </w:p>
                    </w:tc>
                  </w:tr>
                  <w:tr>
                    <w:trPr>
                      <w:trHeight w:val="271" w:hRule="atLeast"/>
                    </w:trPr>
                    <w:tc>
                      <w:tcPr>
                        <w:tcW w:w="420" w:type="dxa"/>
                      </w:tcPr>
                      <w:p>
                        <w:pPr>
                          <w:pStyle w:val="TableParagraph"/>
                          <w:spacing w:line="250" w:lineRule="exact" w:before="1"/>
                          <w:ind w:left="50"/>
                          <w:rPr>
                            <w:sz w:val="21"/>
                          </w:rPr>
                        </w:pPr>
                        <w:r>
                          <w:rPr>
                            <w:spacing w:val="-5"/>
                            <w:sz w:val="21"/>
                          </w:rPr>
                          <w:t>5.2</w:t>
                        </w:r>
                      </w:p>
                    </w:tc>
                    <w:tc>
                      <w:tcPr>
                        <w:tcW w:w="1879" w:type="dxa"/>
                      </w:tcPr>
                      <w:p>
                        <w:pPr>
                          <w:pStyle w:val="TableParagraph"/>
                          <w:spacing w:line="250" w:lineRule="exact" w:before="1"/>
                          <w:ind w:left="52"/>
                          <w:rPr>
                            <w:sz w:val="21"/>
                          </w:rPr>
                        </w:pPr>
                        <w:r>
                          <w:rPr>
                            <w:spacing w:val="-4"/>
                            <w:sz w:val="21"/>
                          </w:rPr>
                          <w:t>保险事故通知</w:t>
                        </w:r>
                      </w:p>
                    </w:tc>
                    <w:tc>
                      <w:tcPr>
                        <w:tcW w:w="1039" w:type="dxa"/>
                      </w:tcPr>
                      <w:p>
                        <w:pPr>
                          <w:pStyle w:val="TableParagraph"/>
                          <w:spacing w:line="250" w:lineRule="exact" w:before="1"/>
                          <w:ind w:right="50"/>
                          <w:jc w:val="right"/>
                          <w:rPr>
                            <w:sz w:val="21"/>
                          </w:rPr>
                        </w:pPr>
                        <w:r>
                          <w:rPr>
                            <w:spacing w:val="-4"/>
                            <w:sz w:val="21"/>
                          </w:rPr>
                          <w:t>9.14</w:t>
                        </w:r>
                      </w:p>
                    </w:tc>
                    <w:tc>
                      <w:tcPr>
                        <w:tcW w:w="2204" w:type="dxa"/>
                      </w:tcPr>
                      <w:p>
                        <w:pPr>
                          <w:pStyle w:val="TableParagraph"/>
                          <w:spacing w:line="250" w:lineRule="exact" w:before="1"/>
                          <w:ind w:left="50"/>
                          <w:rPr>
                            <w:sz w:val="21"/>
                          </w:rPr>
                        </w:pPr>
                        <w:r>
                          <w:rPr>
                            <w:spacing w:val="-4"/>
                            <w:sz w:val="21"/>
                          </w:rPr>
                          <w:t>门诊急诊医疗费用</w:t>
                        </w:r>
                      </w:p>
                    </w:tc>
                  </w:tr>
                  <w:tr>
                    <w:trPr>
                      <w:trHeight w:val="273" w:hRule="atLeast"/>
                    </w:trPr>
                    <w:tc>
                      <w:tcPr>
                        <w:tcW w:w="420" w:type="dxa"/>
                      </w:tcPr>
                      <w:p>
                        <w:pPr>
                          <w:pStyle w:val="TableParagraph"/>
                          <w:spacing w:line="250" w:lineRule="exact" w:before="4"/>
                          <w:ind w:left="50"/>
                          <w:rPr>
                            <w:sz w:val="21"/>
                          </w:rPr>
                        </w:pPr>
                        <w:r>
                          <w:rPr>
                            <w:spacing w:val="-5"/>
                            <w:sz w:val="21"/>
                          </w:rPr>
                          <w:t>5.3</w:t>
                        </w:r>
                      </w:p>
                    </w:tc>
                    <w:tc>
                      <w:tcPr>
                        <w:tcW w:w="1879" w:type="dxa"/>
                      </w:tcPr>
                      <w:p>
                        <w:pPr>
                          <w:pStyle w:val="TableParagraph"/>
                          <w:spacing w:line="250" w:lineRule="exact" w:before="4"/>
                          <w:ind w:left="52"/>
                          <w:rPr>
                            <w:sz w:val="21"/>
                          </w:rPr>
                        </w:pPr>
                        <w:r>
                          <w:rPr>
                            <w:spacing w:val="-4"/>
                            <w:sz w:val="21"/>
                          </w:rPr>
                          <w:t>保险金申请</w:t>
                        </w:r>
                      </w:p>
                    </w:tc>
                    <w:tc>
                      <w:tcPr>
                        <w:tcW w:w="1039" w:type="dxa"/>
                      </w:tcPr>
                      <w:p>
                        <w:pPr>
                          <w:pStyle w:val="TableParagraph"/>
                          <w:spacing w:line="252" w:lineRule="exact" w:before="1"/>
                          <w:ind w:right="50"/>
                          <w:jc w:val="right"/>
                          <w:rPr>
                            <w:sz w:val="21"/>
                          </w:rPr>
                        </w:pPr>
                        <w:r>
                          <w:rPr>
                            <w:spacing w:val="-4"/>
                            <w:sz w:val="21"/>
                          </w:rPr>
                          <w:t>9.15</w:t>
                        </w:r>
                      </w:p>
                    </w:tc>
                    <w:tc>
                      <w:tcPr>
                        <w:tcW w:w="2204" w:type="dxa"/>
                      </w:tcPr>
                      <w:p>
                        <w:pPr>
                          <w:pStyle w:val="TableParagraph"/>
                          <w:spacing w:line="252" w:lineRule="exact" w:before="1"/>
                          <w:ind w:left="50"/>
                          <w:rPr>
                            <w:sz w:val="21"/>
                          </w:rPr>
                        </w:pPr>
                        <w:r>
                          <w:rPr>
                            <w:spacing w:val="-4"/>
                            <w:sz w:val="21"/>
                          </w:rPr>
                          <w:t>专科医生</w:t>
                        </w:r>
                      </w:p>
                    </w:tc>
                  </w:tr>
                  <w:tr>
                    <w:trPr>
                      <w:trHeight w:val="271" w:hRule="atLeast"/>
                    </w:trPr>
                    <w:tc>
                      <w:tcPr>
                        <w:tcW w:w="420" w:type="dxa"/>
                      </w:tcPr>
                      <w:p>
                        <w:pPr>
                          <w:pStyle w:val="TableParagraph"/>
                          <w:spacing w:line="250" w:lineRule="exact" w:before="1"/>
                          <w:ind w:left="50"/>
                          <w:rPr>
                            <w:sz w:val="21"/>
                          </w:rPr>
                        </w:pPr>
                        <w:r>
                          <w:rPr>
                            <w:spacing w:val="-5"/>
                            <w:sz w:val="21"/>
                          </w:rPr>
                          <w:t>5.4</w:t>
                        </w:r>
                      </w:p>
                    </w:tc>
                    <w:tc>
                      <w:tcPr>
                        <w:tcW w:w="1879" w:type="dxa"/>
                      </w:tcPr>
                      <w:p>
                        <w:pPr>
                          <w:pStyle w:val="TableParagraph"/>
                          <w:spacing w:line="250" w:lineRule="exact" w:before="1"/>
                          <w:ind w:left="52"/>
                          <w:rPr>
                            <w:sz w:val="21"/>
                          </w:rPr>
                        </w:pPr>
                        <w:r>
                          <w:rPr>
                            <w:spacing w:val="-4"/>
                            <w:sz w:val="21"/>
                          </w:rPr>
                          <w:t>保险事故鉴定</w:t>
                        </w:r>
                      </w:p>
                    </w:tc>
                    <w:tc>
                      <w:tcPr>
                        <w:tcW w:w="1039" w:type="dxa"/>
                      </w:tcPr>
                      <w:p>
                        <w:pPr>
                          <w:pStyle w:val="TableParagraph"/>
                          <w:spacing w:line="250" w:lineRule="exact" w:before="1"/>
                          <w:ind w:right="50"/>
                          <w:jc w:val="right"/>
                          <w:rPr>
                            <w:sz w:val="21"/>
                          </w:rPr>
                        </w:pPr>
                        <w:r>
                          <w:rPr>
                            <w:spacing w:val="-4"/>
                            <w:sz w:val="21"/>
                          </w:rPr>
                          <w:t>9.16</w:t>
                        </w:r>
                      </w:p>
                    </w:tc>
                    <w:tc>
                      <w:tcPr>
                        <w:tcW w:w="2204" w:type="dxa"/>
                      </w:tcPr>
                      <w:p>
                        <w:pPr>
                          <w:pStyle w:val="TableParagraph"/>
                          <w:spacing w:line="250" w:lineRule="exact" w:before="1"/>
                          <w:ind w:left="50"/>
                          <w:rPr>
                            <w:sz w:val="21"/>
                          </w:rPr>
                        </w:pPr>
                        <w:r>
                          <w:rPr>
                            <w:spacing w:val="-3"/>
                            <w:sz w:val="21"/>
                          </w:rPr>
                          <w:t>初次确诊本合同所定义</w:t>
                        </w:r>
                      </w:p>
                    </w:tc>
                  </w:tr>
                  <w:tr>
                    <w:trPr>
                      <w:trHeight w:val="273" w:hRule="atLeast"/>
                    </w:trPr>
                    <w:tc>
                      <w:tcPr>
                        <w:tcW w:w="420" w:type="dxa"/>
                      </w:tcPr>
                      <w:p>
                        <w:pPr>
                          <w:pStyle w:val="TableParagraph"/>
                          <w:spacing w:line="250" w:lineRule="exact" w:before="4"/>
                          <w:ind w:left="50"/>
                          <w:rPr>
                            <w:sz w:val="21"/>
                          </w:rPr>
                        </w:pPr>
                        <w:r>
                          <w:rPr>
                            <w:spacing w:val="-5"/>
                            <w:sz w:val="21"/>
                          </w:rPr>
                          <w:t>5.5</w:t>
                        </w:r>
                      </w:p>
                    </w:tc>
                    <w:tc>
                      <w:tcPr>
                        <w:tcW w:w="1879" w:type="dxa"/>
                      </w:tcPr>
                      <w:p>
                        <w:pPr>
                          <w:pStyle w:val="TableParagraph"/>
                          <w:spacing w:line="250" w:lineRule="exact" w:before="4"/>
                          <w:ind w:left="52"/>
                          <w:rPr>
                            <w:sz w:val="21"/>
                          </w:rPr>
                        </w:pPr>
                        <w:r>
                          <w:rPr>
                            <w:spacing w:val="-4"/>
                            <w:sz w:val="21"/>
                          </w:rPr>
                          <w:t>保险金给付</w:t>
                        </w:r>
                      </w:p>
                    </w:tc>
                    <w:tc>
                      <w:tcPr>
                        <w:tcW w:w="1039" w:type="dxa"/>
                      </w:tcPr>
                      <w:p>
                        <w:pPr>
                          <w:pStyle w:val="TableParagraph"/>
                          <w:rPr>
                            <w:rFonts w:ascii="Times New Roman"/>
                            <w:sz w:val="20"/>
                          </w:rPr>
                        </w:pPr>
                      </w:p>
                    </w:tc>
                    <w:tc>
                      <w:tcPr>
                        <w:tcW w:w="2204" w:type="dxa"/>
                      </w:tcPr>
                      <w:p>
                        <w:pPr>
                          <w:pStyle w:val="TableParagraph"/>
                          <w:spacing w:line="252" w:lineRule="exact" w:before="1"/>
                          <w:ind w:left="48"/>
                          <w:rPr>
                            <w:sz w:val="21"/>
                          </w:rPr>
                        </w:pPr>
                        <w:r>
                          <w:rPr>
                            <w:spacing w:val="-4"/>
                            <w:sz w:val="21"/>
                          </w:rPr>
                          <w:t>的重大疾病</w:t>
                        </w:r>
                      </w:p>
                    </w:tc>
                  </w:tr>
                  <w:tr>
                    <w:trPr>
                      <w:trHeight w:val="241" w:hRule="atLeast"/>
                    </w:trPr>
                    <w:tc>
                      <w:tcPr>
                        <w:tcW w:w="420" w:type="dxa"/>
                      </w:tcPr>
                      <w:p>
                        <w:pPr>
                          <w:pStyle w:val="TableParagraph"/>
                          <w:spacing w:line="220" w:lineRule="exact" w:before="1"/>
                          <w:ind w:left="50"/>
                          <w:rPr>
                            <w:sz w:val="21"/>
                          </w:rPr>
                        </w:pPr>
                        <w:r>
                          <w:rPr>
                            <w:spacing w:val="-5"/>
                            <w:sz w:val="21"/>
                          </w:rPr>
                          <w:t>5.6</w:t>
                        </w:r>
                      </w:p>
                    </w:tc>
                    <w:tc>
                      <w:tcPr>
                        <w:tcW w:w="1879" w:type="dxa"/>
                      </w:tcPr>
                      <w:p>
                        <w:pPr>
                          <w:pStyle w:val="TableParagraph"/>
                          <w:spacing w:line="220" w:lineRule="exact" w:before="1"/>
                          <w:ind w:left="52"/>
                          <w:rPr>
                            <w:sz w:val="21"/>
                          </w:rPr>
                        </w:pPr>
                        <w:r>
                          <w:rPr>
                            <w:spacing w:val="-4"/>
                            <w:sz w:val="21"/>
                          </w:rPr>
                          <w:t>诉讼时效</w:t>
                        </w:r>
                      </w:p>
                    </w:tc>
                    <w:tc>
                      <w:tcPr>
                        <w:tcW w:w="1039" w:type="dxa"/>
                      </w:tcPr>
                      <w:p>
                        <w:pPr>
                          <w:pStyle w:val="TableParagraph"/>
                          <w:spacing w:line="220" w:lineRule="exact" w:before="1"/>
                          <w:ind w:right="50"/>
                          <w:jc w:val="right"/>
                          <w:rPr>
                            <w:sz w:val="21"/>
                          </w:rPr>
                        </w:pPr>
                        <w:r>
                          <w:rPr>
                            <w:spacing w:val="-4"/>
                            <w:sz w:val="21"/>
                          </w:rPr>
                          <w:t>9.17</w:t>
                        </w:r>
                      </w:p>
                    </w:tc>
                    <w:tc>
                      <w:tcPr>
                        <w:tcW w:w="2204" w:type="dxa"/>
                      </w:tcPr>
                      <w:p>
                        <w:pPr>
                          <w:pStyle w:val="TableParagraph"/>
                          <w:spacing w:line="220" w:lineRule="exact" w:before="1"/>
                          <w:ind w:left="50"/>
                          <w:rPr>
                            <w:sz w:val="21"/>
                          </w:rPr>
                        </w:pPr>
                        <w:r>
                          <w:rPr>
                            <w:spacing w:val="-3"/>
                            <w:sz w:val="21"/>
                          </w:rPr>
                          <w:t>当地社会基本医疗保险</w:t>
                        </w:r>
                      </w:p>
                    </w:tc>
                  </w:tr>
                </w:tbl>
                <w:p>
                  <w:pPr>
                    <w:pStyle w:val="BodyText"/>
                  </w:pPr>
                </w:p>
              </w:txbxContent>
            </v:textbox>
            <w10:wrap type="none"/>
          </v:shape>
        </w:pict>
      </w:r>
      <w:r>
        <w:rPr>
          <w:spacing w:val="-4"/>
        </w:rPr>
        <w:t>咽功能障碍</w:t>
      </w:r>
    </w:p>
    <w:p>
      <w:pPr>
        <w:pStyle w:val="ListParagraph"/>
        <w:numPr>
          <w:ilvl w:val="1"/>
          <w:numId w:val="5"/>
        </w:numPr>
        <w:tabs>
          <w:tab w:pos="950" w:val="left" w:leader="none"/>
        </w:tabs>
        <w:spacing w:line="240" w:lineRule="auto" w:before="4" w:after="0"/>
        <w:ind w:left="949" w:right="0" w:hanging="527"/>
        <w:jc w:val="left"/>
        <w:rPr>
          <w:sz w:val="21"/>
        </w:rPr>
      </w:pPr>
      <w:r>
        <w:rPr>
          <w:spacing w:val="-3"/>
          <w:sz w:val="21"/>
        </w:rPr>
        <w:t>六项基本日常生活活动</w:t>
      </w:r>
    </w:p>
    <w:p>
      <w:pPr>
        <w:pStyle w:val="ListParagraph"/>
        <w:numPr>
          <w:ilvl w:val="1"/>
          <w:numId w:val="5"/>
        </w:numPr>
        <w:tabs>
          <w:tab w:pos="950" w:val="left" w:leader="none"/>
        </w:tabs>
        <w:spacing w:line="240" w:lineRule="auto" w:before="3" w:after="0"/>
        <w:ind w:left="949" w:right="0" w:hanging="527"/>
        <w:jc w:val="left"/>
        <w:rPr>
          <w:sz w:val="21"/>
        </w:rPr>
      </w:pPr>
      <w:r>
        <w:rPr>
          <w:spacing w:val="-4"/>
          <w:sz w:val="21"/>
        </w:rPr>
        <w:t>永久不可逆</w:t>
      </w:r>
    </w:p>
    <w:p>
      <w:pPr>
        <w:pStyle w:val="ListParagraph"/>
        <w:numPr>
          <w:ilvl w:val="1"/>
          <w:numId w:val="5"/>
        </w:numPr>
        <w:tabs>
          <w:tab w:pos="950" w:val="left" w:leader="none"/>
        </w:tabs>
        <w:spacing w:line="242" w:lineRule="auto" w:before="4" w:after="0"/>
        <w:ind w:left="946" w:right="616" w:hanging="524"/>
        <w:jc w:val="left"/>
        <w:rPr>
          <w:sz w:val="21"/>
        </w:rPr>
      </w:pPr>
      <w:r>
        <w:rPr>
          <w:sz w:val="21"/>
        </w:rPr>
        <w:t>美国纽约心脏病学会（New York Heart</w:t>
      </w:r>
      <w:r>
        <w:rPr>
          <w:spacing w:val="-27"/>
          <w:sz w:val="21"/>
        </w:rPr>
        <w:t> </w:t>
      </w:r>
      <w:r>
        <w:rPr>
          <w:sz w:val="21"/>
        </w:rPr>
        <w:t>Association，NYHA）心功</w:t>
      </w:r>
      <w:r>
        <w:rPr>
          <w:spacing w:val="-2"/>
          <w:sz w:val="21"/>
        </w:rPr>
        <w:t>能状态分级</w:t>
      </w:r>
    </w:p>
    <w:p>
      <w:pPr>
        <w:pStyle w:val="Heading2"/>
        <w:spacing w:line="194" w:lineRule="auto" w:before="8"/>
        <w:ind w:left="843" w:right="599" w:hanging="420"/>
      </w:pPr>
      <w:r>
        <w:rPr>
          <w:spacing w:val="-4"/>
        </w:rPr>
        <w:t>附表：信泰全民 </w:t>
      </w:r>
      <w:r>
        <w:rPr>
          <w:spacing w:val="-2"/>
        </w:rPr>
        <w:t>e</w:t>
      </w:r>
      <w:r>
        <w:rPr>
          <w:spacing w:val="-10"/>
        </w:rPr>
        <w:t> 保 </w:t>
      </w:r>
      <w:r>
        <w:rPr>
          <w:spacing w:val="-2"/>
        </w:rPr>
        <w:t>C</w:t>
      </w:r>
      <w:r>
        <w:rPr>
          <w:spacing w:val="-5"/>
        </w:rPr>
        <w:t> 款医疗保险保障</w:t>
      </w:r>
      <w:r>
        <w:rPr>
          <w:spacing w:val="-4"/>
        </w:rPr>
        <w:t>计划表</w:t>
      </w:r>
    </w:p>
    <w:p>
      <w:pPr>
        <w:spacing w:after="0" w:line="194" w:lineRule="auto"/>
        <w:sectPr>
          <w:type w:val="continuous"/>
          <w:pgSz w:w="11910" w:h="16840"/>
          <w:pgMar w:top="600" w:bottom="280" w:left="760" w:right="580"/>
          <w:cols w:num="3" w:equalWidth="0">
            <w:col w:w="3060" w:space="40"/>
            <w:col w:w="2175" w:space="677"/>
            <w:col w:w="4618"/>
          </w:cols>
        </w:sectPr>
      </w:pPr>
    </w:p>
    <w:p>
      <w:pPr>
        <w:spacing w:line="485" w:lineRule="exact" w:before="0"/>
        <w:ind w:left="2384" w:right="2565" w:firstLine="0"/>
        <w:jc w:val="center"/>
        <w:rPr>
          <w:rFonts w:ascii="Microsoft JhengHei" w:eastAsia="Microsoft JhengHei"/>
          <w:b/>
          <w:sz w:val="30"/>
        </w:rPr>
      </w:pPr>
      <w:r>
        <w:rPr>
          <w:rFonts w:ascii="Microsoft JhengHei" w:eastAsia="Microsoft JhengHei"/>
          <w:b/>
          <w:spacing w:val="-4"/>
          <w:sz w:val="30"/>
        </w:rPr>
        <w:t>信泰全民 </w:t>
      </w:r>
      <w:r>
        <w:rPr>
          <w:rFonts w:ascii="Microsoft JhengHei" w:eastAsia="Microsoft JhengHei"/>
          <w:b/>
          <w:sz w:val="30"/>
        </w:rPr>
        <w:t>e</w:t>
      </w:r>
      <w:r>
        <w:rPr>
          <w:rFonts w:ascii="Microsoft JhengHei" w:eastAsia="Microsoft JhengHei"/>
          <w:b/>
          <w:spacing w:val="-11"/>
          <w:sz w:val="30"/>
        </w:rPr>
        <w:t> 保 </w:t>
      </w:r>
      <w:r>
        <w:rPr>
          <w:rFonts w:ascii="Microsoft JhengHei" w:eastAsia="Microsoft JhengHei"/>
          <w:b/>
          <w:sz w:val="30"/>
        </w:rPr>
        <w:t>C</w:t>
      </w:r>
      <w:r>
        <w:rPr>
          <w:rFonts w:ascii="Microsoft JhengHei" w:eastAsia="Microsoft JhengHei"/>
          <w:b/>
          <w:spacing w:val="-5"/>
          <w:sz w:val="30"/>
        </w:rPr>
        <w:t> 款医疗保险条款</w:t>
      </w:r>
    </w:p>
    <w:p>
      <w:pPr>
        <w:pStyle w:val="BodyText"/>
        <w:spacing w:before="2"/>
        <w:rPr>
          <w:rFonts w:ascii="Microsoft JhengHei"/>
          <w:b/>
          <w:sz w:val="38"/>
        </w:rPr>
      </w:pPr>
    </w:p>
    <w:p>
      <w:pPr>
        <w:pStyle w:val="BodyText"/>
        <w:spacing w:line="278" w:lineRule="auto"/>
        <w:ind w:left="260" w:right="442"/>
      </w:pPr>
      <w:r>
        <w:rPr>
          <w:spacing w:val="-27"/>
        </w:rPr>
        <w:t>在本条款中，“您”指投保人，“我们”、“本公司”均指信泰人寿保险股份有限公司，“本合同”指您与我们</w:t>
      </w:r>
      <w:r>
        <w:rPr>
          <w:spacing w:val="-2"/>
        </w:rPr>
        <w:t>之间订立的“信泰全民 </w:t>
      </w:r>
      <w:r>
        <w:rPr/>
        <w:t>e</w:t>
      </w:r>
      <w:r>
        <w:rPr>
          <w:spacing w:val="-11"/>
        </w:rPr>
        <w:t> 保 </w:t>
      </w:r>
      <w:r>
        <w:rPr/>
        <w:t>C</w:t>
      </w:r>
      <w:r>
        <w:rPr>
          <w:spacing w:val="-14"/>
        </w:rPr>
        <w:t> 款医疗保险合同”。</w:t>
      </w:r>
    </w:p>
    <w:p>
      <w:pPr>
        <w:pStyle w:val="BodyText"/>
        <w:spacing w:before="3" w:after="1"/>
        <w:rPr>
          <w:sz w:val="17"/>
        </w:rPr>
      </w:pPr>
    </w:p>
    <w:tbl>
      <w:tblPr>
        <w:tblW w:w="0" w:type="auto"/>
        <w:jc w:val="left"/>
        <w:tblInd w:w="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0"/>
        <w:gridCol w:w="2008"/>
        <w:gridCol w:w="7414"/>
      </w:tblGrid>
      <w:tr>
        <w:trPr>
          <w:trHeight w:val="535" w:hRule="atLeast"/>
        </w:trPr>
        <w:tc>
          <w:tcPr>
            <w:tcW w:w="660" w:type="dxa"/>
            <w:tcBorders>
              <w:bottom w:val="single" w:sz="8" w:space="0" w:color="000000"/>
            </w:tcBorders>
          </w:tcPr>
          <w:p>
            <w:pPr>
              <w:pStyle w:val="TableParagraph"/>
              <w:ind w:left="107"/>
              <w:rPr>
                <w:rFonts w:ascii="Wingdings" w:hAnsi="Wingdings"/>
                <w:b/>
                <w:sz w:val="40"/>
              </w:rPr>
            </w:pPr>
            <w:r>
              <w:rPr>
                <w:rFonts w:ascii="Wingdings" w:hAnsi="Wingdings"/>
                <w:b/>
                <w:w w:val="100"/>
                <w:sz w:val="40"/>
              </w:rPr>
              <w:t></w:t>
            </w:r>
          </w:p>
        </w:tc>
        <w:tc>
          <w:tcPr>
            <w:tcW w:w="2008" w:type="dxa"/>
            <w:tcBorders>
              <w:bottom w:val="single" w:sz="8" w:space="0" w:color="000000"/>
            </w:tcBorders>
          </w:tcPr>
          <w:p>
            <w:pPr>
              <w:pStyle w:val="TableParagraph"/>
              <w:spacing w:line="433" w:lineRule="exact"/>
              <w:ind w:left="194"/>
              <w:rPr>
                <w:rFonts w:ascii="微软雅黑" w:eastAsia="微软雅黑"/>
                <w:b/>
                <w:sz w:val="24"/>
              </w:rPr>
            </w:pPr>
            <w:r>
              <w:rPr>
                <w:rFonts w:ascii="微软雅黑" w:eastAsia="微软雅黑"/>
                <w:b/>
                <w:spacing w:val="-2"/>
                <w:sz w:val="24"/>
              </w:rPr>
              <w:t>您与我们的合同</w:t>
            </w:r>
          </w:p>
        </w:tc>
        <w:tc>
          <w:tcPr>
            <w:tcW w:w="7414" w:type="dxa"/>
            <w:tcBorders>
              <w:bottom w:val="single" w:sz="8" w:space="0" w:color="000000"/>
            </w:tcBorders>
          </w:tcPr>
          <w:p>
            <w:pPr>
              <w:pStyle w:val="TableParagraph"/>
              <w:rPr>
                <w:rFonts w:ascii="Times New Roman"/>
                <w:sz w:val="20"/>
              </w:rPr>
            </w:pPr>
          </w:p>
        </w:tc>
      </w:tr>
      <w:tr>
        <w:trPr>
          <w:trHeight w:val="872" w:hRule="atLeast"/>
        </w:trPr>
        <w:tc>
          <w:tcPr>
            <w:tcW w:w="660" w:type="dxa"/>
            <w:tcBorders>
              <w:top w:val="single" w:sz="8" w:space="0" w:color="000000"/>
            </w:tcBorders>
          </w:tcPr>
          <w:p>
            <w:pPr>
              <w:pStyle w:val="TableParagraph"/>
              <w:spacing w:before="164"/>
              <w:ind w:left="107"/>
              <w:rPr>
                <w:rFonts w:ascii="微软雅黑"/>
                <w:b/>
                <w:sz w:val="21"/>
              </w:rPr>
            </w:pPr>
            <w:r>
              <w:rPr>
                <w:rFonts w:ascii="微软雅黑"/>
                <w:b/>
                <w:spacing w:val="-5"/>
                <w:sz w:val="21"/>
              </w:rPr>
              <w:t>1.1</w:t>
            </w:r>
          </w:p>
        </w:tc>
        <w:tc>
          <w:tcPr>
            <w:tcW w:w="2008" w:type="dxa"/>
            <w:tcBorders>
              <w:top w:val="single" w:sz="8" w:space="0" w:color="000000"/>
            </w:tcBorders>
          </w:tcPr>
          <w:p>
            <w:pPr>
              <w:pStyle w:val="TableParagraph"/>
              <w:spacing w:before="164"/>
              <w:ind w:left="194"/>
              <w:rPr>
                <w:rFonts w:ascii="微软雅黑" w:eastAsia="微软雅黑"/>
                <w:b/>
                <w:sz w:val="21"/>
              </w:rPr>
            </w:pPr>
            <w:r>
              <w:rPr>
                <w:rFonts w:ascii="微软雅黑" w:eastAsia="微软雅黑"/>
                <w:b/>
                <w:spacing w:val="-2"/>
                <w:sz w:val="21"/>
              </w:rPr>
              <w:t>合同的构成</w:t>
            </w:r>
          </w:p>
        </w:tc>
        <w:tc>
          <w:tcPr>
            <w:tcW w:w="7414" w:type="dxa"/>
            <w:tcBorders>
              <w:top w:val="single" w:sz="8" w:space="0" w:color="000000"/>
            </w:tcBorders>
          </w:tcPr>
          <w:p>
            <w:pPr>
              <w:pStyle w:val="TableParagraph"/>
              <w:spacing w:before="10"/>
              <w:rPr>
                <w:sz w:val="14"/>
              </w:rPr>
            </w:pPr>
          </w:p>
          <w:p>
            <w:pPr>
              <w:pStyle w:val="TableParagraph"/>
              <w:spacing w:line="310" w:lineRule="atLeast" w:before="1"/>
              <w:ind w:left="126" w:right="104"/>
              <w:rPr>
                <w:sz w:val="21"/>
              </w:rPr>
            </w:pPr>
            <w:r>
              <w:rPr>
                <w:spacing w:val="-2"/>
                <w:sz w:val="21"/>
              </w:rPr>
              <w:t>本合同由保险单或其他保险凭证及所附保险条款、投保单、与本合同有关的其</w:t>
            </w:r>
            <w:r>
              <w:rPr>
                <w:spacing w:val="-2"/>
                <w:sz w:val="21"/>
              </w:rPr>
              <w:t>他投保文件、合法有效的声明、批注、批单及其他书面协议共同构成。</w:t>
            </w:r>
          </w:p>
        </w:tc>
      </w:tr>
      <w:tr>
        <w:trPr>
          <w:trHeight w:val="1089" w:hRule="atLeast"/>
        </w:trPr>
        <w:tc>
          <w:tcPr>
            <w:tcW w:w="660" w:type="dxa"/>
          </w:tcPr>
          <w:p>
            <w:pPr>
              <w:pStyle w:val="TableParagraph"/>
              <w:rPr>
                <w:rFonts w:ascii="Times New Roman"/>
                <w:sz w:val="20"/>
              </w:rPr>
            </w:pPr>
          </w:p>
        </w:tc>
        <w:tc>
          <w:tcPr>
            <w:tcW w:w="2008" w:type="dxa"/>
          </w:tcPr>
          <w:p>
            <w:pPr>
              <w:pStyle w:val="TableParagraph"/>
              <w:rPr>
                <w:rFonts w:ascii="Times New Roman"/>
                <w:sz w:val="20"/>
              </w:rPr>
            </w:pPr>
          </w:p>
        </w:tc>
        <w:tc>
          <w:tcPr>
            <w:tcW w:w="7414" w:type="dxa"/>
          </w:tcPr>
          <w:p>
            <w:pPr>
              <w:pStyle w:val="TableParagraph"/>
              <w:spacing w:line="278" w:lineRule="auto" w:before="61"/>
              <w:ind w:left="126" w:right="139"/>
              <w:jc w:val="both"/>
              <w:rPr>
                <w:sz w:val="21"/>
              </w:rPr>
            </w:pPr>
            <w:r>
              <w:rPr>
                <w:spacing w:val="-2"/>
                <w:sz w:val="21"/>
              </w:rPr>
              <w:t>若上述构成本合同的文件原件需留本公司存档，则其复印件或电子影像件亦视</w:t>
            </w:r>
            <w:r>
              <w:rPr>
                <w:spacing w:val="-2"/>
                <w:sz w:val="21"/>
              </w:rPr>
              <w:t>为本合同的构成部分，其效力与原件相同；若其复印件或电子影像件的内容与</w:t>
            </w:r>
            <w:r>
              <w:rPr>
                <w:spacing w:val="-2"/>
                <w:sz w:val="21"/>
              </w:rPr>
              <w:t>原件内容不一致，则以原件内容为准。</w:t>
            </w:r>
          </w:p>
        </w:tc>
      </w:tr>
      <w:tr>
        <w:trPr>
          <w:trHeight w:val="464" w:hRule="atLeast"/>
        </w:trPr>
        <w:tc>
          <w:tcPr>
            <w:tcW w:w="660" w:type="dxa"/>
          </w:tcPr>
          <w:p>
            <w:pPr>
              <w:pStyle w:val="TableParagraph"/>
              <w:spacing w:line="377" w:lineRule="exact" w:before="67"/>
              <w:ind w:left="107"/>
              <w:rPr>
                <w:rFonts w:ascii="微软雅黑"/>
                <w:b/>
                <w:sz w:val="21"/>
              </w:rPr>
            </w:pPr>
            <w:r>
              <w:rPr>
                <w:rFonts w:ascii="微软雅黑"/>
                <w:b/>
                <w:spacing w:val="-5"/>
                <w:sz w:val="21"/>
              </w:rPr>
              <w:t>1.2</w:t>
            </w:r>
          </w:p>
        </w:tc>
        <w:tc>
          <w:tcPr>
            <w:tcW w:w="2008" w:type="dxa"/>
          </w:tcPr>
          <w:p>
            <w:pPr>
              <w:pStyle w:val="TableParagraph"/>
              <w:spacing w:line="377" w:lineRule="exact" w:before="67"/>
              <w:ind w:left="194"/>
              <w:rPr>
                <w:rFonts w:ascii="微软雅黑" w:eastAsia="微软雅黑"/>
                <w:b/>
                <w:sz w:val="21"/>
              </w:rPr>
            </w:pPr>
            <w:r>
              <w:rPr>
                <w:rFonts w:ascii="微软雅黑" w:eastAsia="微软雅黑"/>
                <w:b/>
                <w:spacing w:val="-2"/>
                <w:sz w:val="21"/>
              </w:rPr>
              <w:t>合同成立与生效</w:t>
            </w:r>
          </w:p>
        </w:tc>
        <w:tc>
          <w:tcPr>
            <w:tcW w:w="7414" w:type="dxa"/>
          </w:tcPr>
          <w:p>
            <w:pPr>
              <w:pStyle w:val="TableParagraph"/>
              <w:spacing w:before="134"/>
              <w:ind w:left="126"/>
              <w:rPr>
                <w:sz w:val="21"/>
              </w:rPr>
            </w:pPr>
            <w:r>
              <w:rPr>
                <w:spacing w:val="-5"/>
                <w:sz w:val="21"/>
              </w:rPr>
              <w:t>您提出保险申请，我们同意承保，本合同成立，本合同成立日载明于保险单上。</w:t>
            </w:r>
          </w:p>
        </w:tc>
      </w:tr>
      <w:tr>
        <w:trPr>
          <w:trHeight w:val="764" w:hRule="atLeast"/>
        </w:trPr>
        <w:tc>
          <w:tcPr>
            <w:tcW w:w="660" w:type="dxa"/>
          </w:tcPr>
          <w:p>
            <w:pPr>
              <w:pStyle w:val="TableParagraph"/>
              <w:rPr>
                <w:rFonts w:ascii="Times New Roman"/>
                <w:sz w:val="20"/>
              </w:rPr>
            </w:pPr>
          </w:p>
        </w:tc>
        <w:tc>
          <w:tcPr>
            <w:tcW w:w="2008" w:type="dxa"/>
          </w:tcPr>
          <w:p>
            <w:pPr>
              <w:pStyle w:val="TableParagraph"/>
              <w:rPr>
                <w:rFonts w:ascii="Times New Roman"/>
                <w:sz w:val="20"/>
              </w:rPr>
            </w:pPr>
          </w:p>
        </w:tc>
        <w:tc>
          <w:tcPr>
            <w:tcW w:w="7414" w:type="dxa"/>
          </w:tcPr>
          <w:p>
            <w:pPr>
              <w:pStyle w:val="TableParagraph"/>
              <w:spacing w:line="278" w:lineRule="auto" w:before="61"/>
              <w:ind w:left="126" w:right="104"/>
              <w:rPr>
                <w:sz w:val="21"/>
              </w:rPr>
            </w:pPr>
            <w:r>
              <w:rPr>
                <w:spacing w:val="-2"/>
                <w:sz w:val="21"/>
              </w:rPr>
              <w:t>除另有约定外，自本合同成立、我们收取保险费并签发保险单的次日零时起，</w:t>
            </w:r>
            <w:r>
              <w:rPr>
                <w:spacing w:val="-2"/>
                <w:sz w:val="21"/>
              </w:rPr>
              <w:t>本合同生效，我们开始承担保险责任，本合同生效日载明于保险单上。</w:t>
            </w:r>
          </w:p>
        </w:tc>
      </w:tr>
      <w:tr>
        <w:trPr>
          <w:trHeight w:val="476" w:hRule="atLeast"/>
        </w:trPr>
        <w:tc>
          <w:tcPr>
            <w:tcW w:w="660" w:type="dxa"/>
          </w:tcPr>
          <w:p>
            <w:pPr>
              <w:pStyle w:val="TableParagraph"/>
              <w:spacing w:line="377" w:lineRule="exact" w:before="79"/>
              <w:ind w:left="107"/>
              <w:rPr>
                <w:rFonts w:ascii="微软雅黑"/>
                <w:b/>
                <w:sz w:val="21"/>
              </w:rPr>
            </w:pPr>
            <w:r>
              <w:rPr>
                <w:rFonts w:ascii="微软雅黑"/>
                <w:b/>
                <w:spacing w:val="-5"/>
                <w:sz w:val="21"/>
              </w:rPr>
              <w:t>1.3</w:t>
            </w:r>
          </w:p>
        </w:tc>
        <w:tc>
          <w:tcPr>
            <w:tcW w:w="2008" w:type="dxa"/>
          </w:tcPr>
          <w:p>
            <w:pPr>
              <w:pStyle w:val="TableParagraph"/>
              <w:spacing w:line="377" w:lineRule="exact" w:before="79"/>
              <w:ind w:left="194"/>
              <w:rPr>
                <w:rFonts w:ascii="微软雅黑" w:eastAsia="微软雅黑"/>
                <w:b/>
                <w:sz w:val="21"/>
              </w:rPr>
            </w:pPr>
            <w:r>
              <w:rPr>
                <w:rFonts w:ascii="微软雅黑" w:eastAsia="微软雅黑"/>
                <w:b/>
                <w:spacing w:val="-3"/>
                <w:sz w:val="21"/>
              </w:rPr>
              <w:t>投保年龄</w:t>
            </w:r>
          </w:p>
        </w:tc>
        <w:tc>
          <w:tcPr>
            <w:tcW w:w="7414" w:type="dxa"/>
          </w:tcPr>
          <w:p>
            <w:pPr>
              <w:pStyle w:val="TableParagraph"/>
              <w:spacing w:line="377" w:lineRule="exact" w:before="79"/>
              <w:ind w:left="126"/>
              <w:rPr>
                <w:sz w:val="21"/>
              </w:rPr>
            </w:pPr>
            <w:r>
              <w:rPr>
                <w:spacing w:val="-2"/>
                <w:sz w:val="21"/>
              </w:rPr>
              <w:t>投保时被保险人的年龄为投保年龄，投保年龄以</w:t>
            </w:r>
            <w:r>
              <w:rPr>
                <w:rFonts w:ascii="微软雅黑" w:eastAsia="微软雅黑"/>
                <w:b/>
                <w:spacing w:val="-1"/>
                <w:sz w:val="21"/>
              </w:rPr>
              <w:t>周岁 </w:t>
            </w:r>
            <w:r>
              <w:rPr>
                <w:spacing w:val="-2"/>
                <w:position w:val="11"/>
                <w:sz w:val="11"/>
              </w:rPr>
              <w:t>9.1</w:t>
            </w:r>
            <w:r>
              <w:rPr>
                <w:spacing w:val="9"/>
                <w:position w:val="11"/>
                <w:sz w:val="11"/>
              </w:rPr>
              <w:t> </w:t>
            </w:r>
            <w:r>
              <w:rPr>
                <w:spacing w:val="-5"/>
                <w:sz w:val="21"/>
              </w:rPr>
              <w:t>计算。</w:t>
            </w:r>
          </w:p>
        </w:tc>
      </w:tr>
      <w:tr>
        <w:trPr>
          <w:trHeight w:val="390" w:hRule="atLeast"/>
        </w:trPr>
        <w:tc>
          <w:tcPr>
            <w:tcW w:w="660" w:type="dxa"/>
          </w:tcPr>
          <w:p>
            <w:pPr>
              <w:pStyle w:val="TableParagraph"/>
              <w:rPr>
                <w:rFonts w:ascii="Times New Roman"/>
                <w:sz w:val="20"/>
              </w:rPr>
            </w:pPr>
          </w:p>
        </w:tc>
        <w:tc>
          <w:tcPr>
            <w:tcW w:w="2008" w:type="dxa"/>
          </w:tcPr>
          <w:p>
            <w:pPr>
              <w:pStyle w:val="TableParagraph"/>
              <w:rPr>
                <w:rFonts w:ascii="Times New Roman"/>
                <w:sz w:val="20"/>
              </w:rPr>
            </w:pPr>
          </w:p>
        </w:tc>
        <w:tc>
          <w:tcPr>
            <w:tcW w:w="7414" w:type="dxa"/>
          </w:tcPr>
          <w:p>
            <w:pPr>
              <w:pStyle w:val="TableParagraph"/>
              <w:spacing w:before="61"/>
              <w:ind w:left="126"/>
              <w:rPr>
                <w:sz w:val="21"/>
              </w:rPr>
            </w:pPr>
            <w:r>
              <w:rPr>
                <w:spacing w:val="-3"/>
                <w:sz w:val="21"/>
              </w:rPr>
              <w:t>本公司接受的本合同首次投保年龄为出生满二十八日至六十周岁。</w:t>
            </w:r>
          </w:p>
        </w:tc>
      </w:tr>
      <w:tr>
        <w:trPr>
          <w:trHeight w:val="390" w:hRule="atLeast"/>
        </w:trPr>
        <w:tc>
          <w:tcPr>
            <w:tcW w:w="660" w:type="dxa"/>
          </w:tcPr>
          <w:p>
            <w:pPr>
              <w:pStyle w:val="TableParagraph"/>
              <w:rPr>
                <w:rFonts w:ascii="Times New Roman"/>
                <w:sz w:val="20"/>
              </w:rPr>
            </w:pPr>
          </w:p>
        </w:tc>
        <w:tc>
          <w:tcPr>
            <w:tcW w:w="2008" w:type="dxa"/>
          </w:tcPr>
          <w:p>
            <w:pPr>
              <w:pStyle w:val="TableParagraph"/>
              <w:rPr>
                <w:rFonts w:ascii="Times New Roman"/>
                <w:sz w:val="20"/>
              </w:rPr>
            </w:pPr>
          </w:p>
        </w:tc>
        <w:tc>
          <w:tcPr>
            <w:tcW w:w="7414" w:type="dxa"/>
          </w:tcPr>
          <w:p>
            <w:pPr>
              <w:pStyle w:val="TableParagraph"/>
              <w:spacing w:before="60"/>
              <w:ind w:left="126"/>
              <w:rPr>
                <w:sz w:val="21"/>
              </w:rPr>
            </w:pPr>
            <w:r>
              <w:rPr>
                <w:spacing w:val="-3"/>
                <w:sz w:val="21"/>
              </w:rPr>
              <w:t>若您在被保险人六十一周岁至八十周岁投保本产品的，需满足以下任一条件：</w:t>
            </w:r>
          </w:p>
        </w:tc>
      </w:tr>
      <w:tr>
        <w:trPr>
          <w:trHeight w:val="301" w:hRule="atLeast"/>
        </w:trPr>
        <w:tc>
          <w:tcPr>
            <w:tcW w:w="660" w:type="dxa"/>
          </w:tcPr>
          <w:p>
            <w:pPr>
              <w:pStyle w:val="TableParagraph"/>
              <w:rPr>
                <w:rFonts w:ascii="Times New Roman"/>
                <w:sz w:val="20"/>
              </w:rPr>
            </w:pPr>
          </w:p>
        </w:tc>
        <w:tc>
          <w:tcPr>
            <w:tcW w:w="2008" w:type="dxa"/>
          </w:tcPr>
          <w:p>
            <w:pPr>
              <w:pStyle w:val="TableParagraph"/>
              <w:rPr>
                <w:rFonts w:ascii="Times New Roman"/>
                <w:sz w:val="20"/>
              </w:rPr>
            </w:pPr>
          </w:p>
        </w:tc>
        <w:tc>
          <w:tcPr>
            <w:tcW w:w="7414" w:type="dxa"/>
          </w:tcPr>
          <w:p>
            <w:pPr>
              <w:pStyle w:val="TableParagraph"/>
              <w:spacing w:line="220" w:lineRule="exact" w:before="61"/>
              <w:ind w:left="126"/>
              <w:rPr>
                <w:sz w:val="21"/>
              </w:rPr>
            </w:pPr>
            <w:r>
              <w:rPr>
                <w:spacing w:val="-4"/>
                <w:sz w:val="21"/>
              </w:rPr>
              <w:t>（1）</w:t>
            </w:r>
            <w:r>
              <w:rPr>
                <w:spacing w:val="-5"/>
                <w:sz w:val="21"/>
              </w:rPr>
              <w:t>非首次投保本产品，且您需要在上一个保险期间届满后三十日内提出重新</w:t>
            </w:r>
          </w:p>
        </w:tc>
      </w:tr>
    </w:tbl>
    <w:p>
      <w:pPr>
        <w:pStyle w:val="BodyText"/>
        <w:spacing w:before="74"/>
        <w:ind w:left="3472"/>
      </w:pPr>
      <w:r>
        <w:rPr>
          <w:spacing w:val="-4"/>
        </w:rPr>
        <w:t>投保申请；</w:t>
      </w:r>
    </w:p>
    <w:p>
      <w:pPr>
        <w:pStyle w:val="BodyText"/>
        <w:spacing w:line="278" w:lineRule="auto" w:before="121"/>
        <w:ind w:left="3472" w:right="435" w:hanging="526"/>
      </w:pPr>
      <w:r>
        <w:rPr>
          <w:spacing w:val="-2"/>
        </w:rPr>
        <w:t>（2）</w:t>
      </w:r>
      <w:r>
        <w:rPr>
          <w:spacing w:val="-6"/>
        </w:rPr>
        <w:t>您在本公司投保的《信泰全民 </w:t>
      </w:r>
      <w:r>
        <w:rPr>
          <w:spacing w:val="-2"/>
        </w:rPr>
        <w:t>e</w:t>
      </w:r>
      <w:r>
        <w:rPr>
          <w:spacing w:val="-37"/>
        </w:rPr>
        <w:t> 保 </w:t>
      </w:r>
      <w:r>
        <w:rPr>
          <w:spacing w:val="-2"/>
        </w:rPr>
        <w:t>B</w:t>
      </w:r>
      <w:r>
        <w:rPr>
          <w:spacing w:val="-10"/>
        </w:rPr>
        <w:t> 款医疗保险》产品保险期间届满后三</w:t>
      </w:r>
      <w:r>
        <w:rPr>
          <w:spacing w:val="-2"/>
        </w:rPr>
        <w:t>十日内根据我们的转保建议首次投保本产品。</w:t>
      </w:r>
    </w:p>
    <w:p>
      <w:pPr>
        <w:pStyle w:val="BodyText"/>
        <w:spacing w:before="3"/>
        <w:rPr>
          <w:sz w:val="20"/>
        </w:rPr>
      </w:pPr>
    </w:p>
    <w:p>
      <w:pPr>
        <w:pStyle w:val="ListParagraph"/>
        <w:numPr>
          <w:ilvl w:val="1"/>
          <w:numId w:val="6"/>
        </w:numPr>
        <w:tabs>
          <w:tab w:pos="1006" w:val="left" w:leader="none"/>
          <w:tab w:pos="1007" w:val="left" w:leader="none"/>
          <w:tab w:pos="2946" w:val="left" w:leader="none"/>
        </w:tabs>
        <w:spacing w:line="235" w:lineRule="auto" w:before="0" w:after="0"/>
        <w:ind w:left="2946" w:right="464" w:hanging="2687"/>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期</w:t>
      </w:r>
      <w:r>
        <w:rPr>
          <w:rFonts w:ascii="微软雅黑" w:eastAsia="微软雅黑"/>
          <w:b/>
          <w:spacing w:val="-2"/>
          <w:sz w:val="21"/>
        </w:rPr>
        <w:t>间</w:t>
      </w:r>
      <w:r>
        <w:rPr>
          <w:rFonts w:ascii="微软雅黑" w:eastAsia="微软雅黑"/>
          <w:b/>
          <w:spacing w:val="-2"/>
          <w:sz w:val="21"/>
        </w:rPr>
        <w:t>为</w:t>
      </w:r>
      <w:r>
        <w:rPr>
          <w:rFonts w:ascii="微软雅黑" w:eastAsia="微软雅黑"/>
          <w:b/>
          <w:spacing w:val="-2"/>
          <w:sz w:val="21"/>
        </w:rPr>
        <w:t>一年</w:t>
      </w:r>
      <w:r>
        <w:rPr>
          <w:spacing w:val="-2"/>
          <w:sz w:val="21"/>
        </w:rPr>
        <w:t>，</w:t>
      </w:r>
      <w:r>
        <w:rPr>
          <w:spacing w:val="-2"/>
          <w:sz w:val="21"/>
        </w:rPr>
        <w:t>除</w:t>
      </w:r>
      <w:r>
        <w:rPr>
          <w:spacing w:val="-2"/>
          <w:sz w:val="21"/>
        </w:rPr>
        <w:t>另</w:t>
      </w:r>
      <w:r>
        <w:rPr>
          <w:spacing w:val="-2"/>
          <w:sz w:val="21"/>
        </w:rPr>
        <w:t>有约定外，自本合同</w:t>
      </w:r>
      <w:r>
        <w:rPr>
          <w:spacing w:val="-2"/>
          <w:sz w:val="21"/>
        </w:rPr>
        <w:t>生</w:t>
      </w:r>
      <w:r>
        <w:rPr>
          <w:spacing w:val="-2"/>
          <w:sz w:val="21"/>
        </w:rPr>
        <w:t>效</w:t>
      </w:r>
      <w:r>
        <w:rPr>
          <w:spacing w:val="-2"/>
          <w:sz w:val="21"/>
        </w:rPr>
        <w:t>日零时起至本合同约定</w:t>
      </w:r>
      <w:r>
        <w:rPr>
          <w:spacing w:val="-2"/>
          <w:sz w:val="21"/>
        </w:rPr>
        <w:t>终</w:t>
      </w:r>
      <w:r>
        <w:rPr>
          <w:spacing w:val="-2"/>
          <w:sz w:val="21"/>
        </w:rPr>
        <w:t>止</w:t>
      </w:r>
      <w:r>
        <w:rPr>
          <w:spacing w:val="-2"/>
          <w:sz w:val="21"/>
        </w:rPr>
        <w:t>日二十四时止，并载</w:t>
      </w:r>
      <w:r>
        <w:rPr>
          <w:spacing w:val="-2"/>
          <w:sz w:val="21"/>
        </w:rPr>
        <w:t>明</w:t>
      </w:r>
      <w:r>
        <w:rPr>
          <w:spacing w:val="-2"/>
          <w:sz w:val="21"/>
        </w:rPr>
        <w:t>于</w:t>
      </w:r>
      <w:r>
        <w:rPr>
          <w:spacing w:val="-2"/>
          <w:sz w:val="21"/>
        </w:rPr>
        <w:t>保险单</w:t>
      </w:r>
      <w:r>
        <w:rPr>
          <w:spacing w:val="-2"/>
          <w:sz w:val="21"/>
        </w:rPr>
        <w:t>上</w:t>
      </w:r>
      <w:r>
        <w:rPr>
          <w:spacing w:val="-2"/>
          <w:sz w:val="21"/>
        </w:rPr>
        <w:t>。</w:t>
      </w:r>
    </w:p>
    <w:p>
      <w:pPr>
        <w:pStyle w:val="BodyText"/>
        <w:rPr>
          <w:sz w:val="23"/>
        </w:rPr>
      </w:pPr>
    </w:p>
    <w:p>
      <w:pPr>
        <w:pStyle w:val="Heading2"/>
        <w:numPr>
          <w:ilvl w:val="1"/>
          <w:numId w:val="6"/>
        </w:numPr>
        <w:tabs>
          <w:tab w:pos="1006" w:val="left" w:leader="none"/>
          <w:tab w:pos="1007" w:val="left" w:leader="none"/>
          <w:tab w:pos="2946" w:val="left" w:leader="none"/>
        </w:tabs>
        <w:spacing w:line="240" w:lineRule="auto" w:before="0" w:after="0"/>
        <w:ind w:left="1006" w:right="0" w:hanging="747"/>
        <w:jc w:val="left"/>
      </w:pPr>
      <w:r>
        <w:rPr/>
        <w:t>不保证续</w:t>
      </w:r>
      <w:r>
        <w:rPr>
          <w:spacing w:val="-10"/>
        </w:rPr>
        <w:t>保</w:t>
      </w:r>
      <w:r>
        <w:rPr/>
        <w:tab/>
      </w:r>
      <w:r>
        <w:rPr>
          <w:spacing w:val="-2"/>
        </w:rPr>
        <w:t>本</w:t>
      </w:r>
      <w:r>
        <w:rPr>
          <w:spacing w:val="-2"/>
        </w:rPr>
        <w:t>产</w:t>
      </w:r>
      <w:r>
        <w:rPr>
          <w:spacing w:val="-2"/>
        </w:rPr>
        <w:t>品</w:t>
      </w:r>
      <w:r>
        <w:rPr>
          <w:spacing w:val="-2"/>
        </w:rPr>
        <w:t>为</w:t>
      </w:r>
      <w:r>
        <w:rPr>
          <w:spacing w:val="-2"/>
        </w:rPr>
        <w:t>不</w:t>
      </w:r>
      <w:r>
        <w:rPr>
          <w:spacing w:val="-2"/>
        </w:rPr>
        <w:t>保</w:t>
      </w:r>
      <w:r>
        <w:rPr>
          <w:spacing w:val="-2"/>
        </w:rPr>
        <w:t>证</w:t>
      </w:r>
      <w:r>
        <w:rPr>
          <w:spacing w:val="-2"/>
        </w:rPr>
        <w:t>续</w:t>
      </w:r>
      <w:r>
        <w:rPr>
          <w:spacing w:val="-2"/>
        </w:rPr>
        <w:t>保产品</w:t>
      </w:r>
      <w:r>
        <w:rPr>
          <w:spacing w:val="-10"/>
        </w:rPr>
        <w:t>。</w:t>
      </w:r>
    </w:p>
    <w:p>
      <w:pPr>
        <w:spacing w:line="194" w:lineRule="auto" w:before="54"/>
        <w:ind w:left="2946" w:right="436" w:firstLine="0"/>
        <w:jc w:val="left"/>
        <w:rPr>
          <w:rFonts w:ascii="微软雅黑" w:eastAsia="微软雅黑"/>
          <w:b/>
          <w:sz w:val="21"/>
        </w:rPr>
      </w:pPr>
      <w:r>
        <w:rPr>
          <w:rFonts w:ascii="微软雅黑" w:eastAsia="微软雅黑"/>
          <w:b/>
          <w:spacing w:val="-2"/>
          <w:sz w:val="21"/>
        </w:rPr>
        <w:t>本产品保险期间为一年。保险期间届满，投保人需要重新向保险公司申请投保</w:t>
      </w:r>
      <w:r>
        <w:rPr>
          <w:rFonts w:ascii="微软雅黑" w:eastAsia="微软雅黑"/>
          <w:b/>
          <w:spacing w:val="-2"/>
          <w:sz w:val="21"/>
        </w:rPr>
        <w:t>本产品，并经保险人同意，交纳保险费，获得新的保险合同。</w:t>
      </w:r>
    </w:p>
    <w:p>
      <w:pPr>
        <w:pStyle w:val="BodyText"/>
        <w:spacing w:line="278" w:lineRule="auto" w:before="91"/>
        <w:ind w:left="2946" w:right="435"/>
      </w:pPr>
      <w:r>
        <w:rPr>
          <w:spacing w:val="-4"/>
        </w:rPr>
        <w:t>若您已投保本公司《信泰全民 </w:t>
      </w:r>
      <w:r>
        <w:rPr/>
        <w:t>e</w:t>
      </w:r>
      <w:r>
        <w:rPr>
          <w:spacing w:val="-30"/>
        </w:rPr>
        <w:t> 保 </w:t>
      </w:r>
      <w:r>
        <w:rPr/>
        <w:t>B</w:t>
      </w:r>
      <w:r>
        <w:rPr>
          <w:spacing w:val="-7"/>
        </w:rPr>
        <w:t> 款医疗保险》产品且保险期间届满，您可</w:t>
      </w:r>
      <w:r>
        <w:rPr>
          <w:spacing w:val="-2"/>
        </w:rPr>
        <w:t>以根据我们的转保建议投保本产品。</w:t>
      </w:r>
    </w:p>
    <w:p>
      <w:pPr>
        <w:pStyle w:val="Heading2"/>
        <w:spacing w:line="194" w:lineRule="auto" w:before="63"/>
        <w:ind w:left="2946" w:right="438"/>
      </w:pPr>
      <w:r>
        <w:rPr>
          <w:spacing w:val="-2"/>
        </w:rPr>
        <w:t>若保险期间届满时本产品已停售，我们不再接受您的投保申请，但会向您提供</w:t>
      </w:r>
      <w:r>
        <w:rPr>
          <w:spacing w:val="-2"/>
        </w:rPr>
        <w:t>投保本公司其他保险产品的合理建议。</w:t>
      </w:r>
    </w:p>
    <w:p>
      <w:pPr>
        <w:pStyle w:val="BodyText"/>
        <w:rPr>
          <w:rFonts w:ascii="微软雅黑"/>
          <w:b/>
          <w:sz w:val="14"/>
        </w:rPr>
      </w:pPr>
    </w:p>
    <w:p>
      <w:pPr>
        <w:tabs>
          <w:tab w:pos="1006" w:val="left" w:leader="none"/>
        </w:tabs>
        <w:spacing w:before="42"/>
        <w:ind w:left="399" w:right="0" w:firstLine="0"/>
        <w:jc w:val="left"/>
        <w:rPr>
          <w:rFonts w:ascii="微软雅黑" w:hAnsi="微软雅黑" w:eastAsia="微软雅黑"/>
          <w:b/>
          <w:sz w:val="24"/>
        </w:rPr>
      </w:pPr>
      <w:r>
        <w:rPr>
          <w:rFonts w:ascii="Wingdings 2" w:hAnsi="Wingdings 2" w:eastAsia="Wingdings 2"/>
          <w:b/>
          <w:spacing w:val="-10"/>
          <w:position w:val="-7"/>
          <w:sz w:val="40"/>
        </w:rPr>
        <w:t></w:t>
      </w:r>
      <w:r>
        <w:rPr>
          <w:rFonts w:ascii="Times New Roman" w:hAnsi="Times New Roman" w:eastAsia="Times New Roman"/>
          <w:position w:val="-7"/>
          <w:sz w:val="40"/>
        </w:rPr>
        <w:tab/>
      </w:r>
      <w:r>
        <w:rPr>
          <w:rFonts w:ascii="微软雅黑" w:hAnsi="微软雅黑" w:eastAsia="微软雅黑"/>
          <w:b/>
          <w:spacing w:val="-2"/>
          <w:sz w:val="24"/>
        </w:rPr>
        <w:t>我们提供的保障</w:t>
      </w:r>
    </w:p>
    <w:p>
      <w:pPr>
        <w:pStyle w:val="BodyText"/>
        <w:spacing w:before="2"/>
        <w:rPr>
          <w:rFonts w:ascii="微软雅黑"/>
          <w:b/>
          <w:sz w:val="4"/>
        </w:rPr>
      </w:pPr>
      <w:r>
        <w:rPr/>
        <w:drawing>
          <wp:anchor distT="0" distB="0" distL="0" distR="0" allowOverlap="1" layoutInCell="1" locked="0" behindDoc="0" simplePos="0" relativeHeight="4">
            <wp:simplePos x="0" y="0"/>
            <wp:positionH relativeFrom="page">
              <wp:posOffset>579119</wp:posOffset>
            </wp:positionH>
            <wp:positionV relativeFrom="paragraph">
              <wp:posOffset>63617</wp:posOffset>
            </wp:positionV>
            <wp:extent cx="645182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ListParagraph"/>
        <w:numPr>
          <w:ilvl w:val="1"/>
          <w:numId w:val="7"/>
        </w:numPr>
        <w:tabs>
          <w:tab w:pos="1006" w:val="left" w:leader="none"/>
          <w:tab w:pos="1007" w:val="left" w:leader="none"/>
          <w:tab w:pos="2946" w:val="left" w:leader="none"/>
        </w:tabs>
        <w:spacing w:line="194" w:lineRule="auto" w:before="214" w:after="0"/>
        <w:ind w:left="2946" w:right="471" w:hanging="2687"/>
        <w:jc w:val="left"/>
        <w:rPr>
          <w:rFonts w:ascii="微软雅黑" w:eastAsia="微软雅黑"/>
          <w:b/>
          <w:sz w:val="21"/>
        </w:rPr>
      </w:pPr>
      <w:r>
        <w:rPr>
          <w:rFonts w:ascii="微软雅黑" w:eastAsia="微软雅黑"/>
          <w:b/>
          <w:spacing w:val="-4"/>
          <w:sz w:val="21"/>
        </w:rPr>
        <w:t>保</w:t>
      </w:r>
      <w:r>
        <w:rPr>
          <w:rFonts w:ascii="微软雅黑" w:eastAsia="微软雅黑"/>
          <w:b/>
          <w:spacing w:val="-4"/>
          <w:sz w:val="21"/>
        </w:rPr>
        <w:t>障</w:t>
      </w:r>
      <w:r>
        <w:rPr>
          <w:rFonts w:ascii="微软雅黑" w:eastAsia="微软雅黑"/>
          <w:b/>
          <w:spacing w:val="-4"/>
          <w:sz w:val="21"/>
        </w:rPr>
        <w:t>计</w:t>
      </w:r>
      <w:r>
        <w:rPr>
          <w:rFonts w:ascii="微软雅黑" w:eastAsia="微软雅黑"/>
          <w:b/>
          <w:spacing w:val="-4"/>
          <w:sz w:val="21"/>
        </w:rPr>
        <w:t>划</w:t>
      </w:r>
      <w:r>
        <w:rPr>
          <w:rFonts w:ascii="微软雅黑" w:eastAsia="微软雅黑"/>
          <w:b/>
          <w:sz w:val="21"/>
        </w:rPr>
        <w:tab/>
      </w:r>
      <w:r>
        <w:rPr>
          <w:sz w:val="21"/>
        </w:rPr>
        <w:t>本合同的保障计划分为</w:t>
      </w:r>
      <w:r>
        <w:rPr>
          <w:spacing w:val="-53"/>
          <w:sz w:val="21"/>
        </w:rPr>
        <w:t> </w:t>
      </w:r>
      <w:r>
        <w:rPr>
          <w:sz w:val="21"/>
        </w:rPr>
        <w:t>A</w:t>
      </w:r>
      <w:r>
        <w:rPr>
          <w:spacing w:val="-55"/>
          <w:sz w:val="21"/>
        </w:rPr>
        <w:t> </w:t>
      </w:r>
      <w:r>
        <w:rPr>
          <w:sz w:val="21"/>
        </w:rPr>
        <w:t>和</w:t>
      </w:r>
      <w:r>
        <w:rPr>
          <w:spacing w:val="-52"/>
          <w:sz w:val="21"/>
        </w:rPr>
        <w:t> </w:t>
      </w:r>
      <w:r>
        <w:rPr>
          <w:sz w:val="21"/>
        </w:rPr>
        <w:t>B</w:t>
      </w:r>
      <w:r>
        <w:rPr>
          <w:spacing w:val="-53"/>
          <w:sz w:val="21"/>
        </w:rPr>
        <w:t> </w:t>
      </w:r>
      <w:r>
        <w:rPr>
          <w:sz w:val="21"/>
        </w:rPr>
        <w:t>两种，由您在投保时</w:t>
      </w:r>
      <w:r>
        <w:rPr>
          <w:sz w:val="21"/>
        </w:rPr>
        <w:t>与我们约定，并载明于保险</w:t>
      </w:r>
      <w:r>
        <w:rPr>
          <w:spacing w:val="-2"/>
          <w:sz w:val="21"/>
        </w:rPr>
        <w:t>单</w:t>
      </w:r>
      <w:r>
        <w:rPr>
          <w:spacing w:val="-2"/>
          <w:sz w:val="21"/>
        </w:rPr>
        <w:t>上</w:t>
      </w:r>
      <w:r>
        <w:rPr>
          <w:spacing w:val="-2"/>
          <w:sz w:val="21"/>
        </w:rPr>
        <w:t>。</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障计划</w:t>
      </w:r>
      <w:r>
        <w:rPr>
          <w:rFonts w:ascii="微软雅黑" w:eastAsia="微软雅黑"/>
          <w:b/>
          <w:spacing w:val="-2"/>
          <w:sz w:val="21"/>
        </w:rPr>
        <w:t>一</w:t>
      </w:r>
      <w:r>
        <w:rPr>
          <w:rFonts w:ascii="微软雅黑" w:eastAsia="微软雅黑"/>
          <w:b/>
          <w:spacing w:val="-2"/>
          <w:sz w:val="21"/>
        </w:rPr>
        <w:t>经</w:t>
      </w:r>
      <w:r>
        <w:rPr>
          <w:rFonts w:ascii="微软雅黑" w:eastAsia="微软雅黑"/>
          <w:b/>
          <w:spacing w:val="-2"/>
          <w:sz w:val="21"/>
        </w:rPr>
        <w:t>选</w:t>
      </w:r>
      <w:r>
        <w:rPr>
          <w:rFonts w:ascii="微软雅黑" w:eastAsia="微软雅黑"/>
          <w:b/>
          <w:spacing w:val="-2"/>
          <w:sz w:val="21"/>
        </w:rPr>
        <w:t>定</w:t>
      </w:r>
      <w:r>
        <w:rPr>
          <w:rFonts w:ascii="微软雅黑" w:eastAsia="微软雅黑"/>
          <w:b/>
          <w:spacing w:val="-2"/>
          <w:sz w:val="21"/>
        </w:rPr>
        <w:t>，</w:t>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同保险</w:t>
      </w:r>
      <w:r>
        <w:rPr>
          <w:rFonts w:ascii="微软雅黑" w:eastAsia="微软雅黑"/>
          <w:b/>
          <w:spacing w:val="-2"/>
          <w:sz w:val="21"/>
        </w:rPr>
        <w:t>期</w:t>
      </w:r>
      <w:r>
        <w:rPr>
          <w:rFonts w:ascii="微软雅黑" w:eastAsia="微软雅黑"/>
          <w:b/>
          <w:spacing w:val="-2"/>
          <w:sz w:val="21"/>
        </w:rPr>
        <w:t>间</w:t>
      </w:r>
      <w:r>
        <w:rPr>
          <w:rFonts w:ascii="微软雅黑" w:eastAsia="微软雅黑"/>
          <w:b/>
          <w:spacing w:val="-2"/>
          <w:sz w:val="21"/>
        </w:rPr>
        <w:t>内</w:t>
      </w:r>
      <w:r>
        <w:rPr>
          <w:rFonts w:ascii="微软雅黑" w:eastAsia="微软雅黑"/>
          <w:b/>
          <w:spacing w:val="-2"/>
          <w:sz w:val="21"/>
        </w:rPr>
        <w:t>不</w:t>
      </w:r>
      <w:r>
        <w:rPr>
          <w:rFonts w:ascii="微软雅黑" w:eastAsia="微软雅黑"/>
          <w:b/>
          <w:spacing w:val="-2"/>
          <w:sz w:val="21"/>
        </w:rPr>
        <w:t>得</w:t>
      </w:r>
      <w:r>
        <w:rPr>
          <w:rFonts w:ascii="微软雅黑" w:eastAsia="微软雅黑"/>
          <w:b/>
          <w:spacing w:val="-2"/>
          <w:sz w:val="21"/>
        </w:rPr>
        <w:t>变</w:t>
      </w:r>
      <w:r>
        <w:rPr>
          <w:rFonts w:ascii="微软雅黑" w:eastAsia="微软雅黑"/>
          <w:b/>
          <w:spacing w:val="-2"/>
          <w:sz w:val="21"/>
        </w:rPr>
        <w:t>更</w:t>
      </w:r>
      <w:r>
        <w:rPr>
          <w:rFonts w:ascii="微软雅黑" w:eastAsia="微软雅黑"/>
          <w:b/>
          <w:spacing w:val="-2"/>
          <w:sz w:val="21"/>
        </w:rPr>
        <w:t>。</w:t>
      </w:r>
    </w:p>
    <w:p>
      <w:pPr>
        <w:pStyle w:val="BodyText"/>
        <w:spacing w:before="91"/>
        <w:ind w:left="2946"/>
      </w:pPr>
      <w:r>
        <w:rPr>
          <w:spacing w:val="-3"/>
        </w:rPr>
        <w:t>本合同各类保险金的年度给付限额、免赔额及给付比例根据您和我们约定的保</w:t>
      </w:r>
    </w:p>
    <w:p>
      <w:pPr>
        <w:spacing w:after="0"/>
        <w:sectPr>
          <w:footerReference w:type="default" r:id="rId7"/>
          <w:pgSz w:w="11910" w:h="16840"/>
          <w:pgMar w:footer="401" w:header="0" w:top="1200" w:bottom="600" w:left="760" w:right="580"/>
          <w:pgNumType w:start="1"/>
        </w:sectPr>
      </w:pPr>
    </w:p>
    <w:p>
      <w:pPr>
        <w:pStyle w:val="BodyText"/>
        <w:spacing w:before="57"/>
        <w:ind w:left="2946"/>
      </w:pPr>
      <w:r>
        <w:rPr>
          <w:spacing w:val="-3"/>
        </w:rPr>
        <w:t>障计划确定，并载明于保险单上。</w:t>
      </w:r>
    </w:p>
    <w:p>
      <w:pPr>
        <w:pStyle w:val="BodyText"/>
        <w:spacing w:before="1"/>
        <w:rPr>
          <w:sz w:val="22"/>
        </w:rPr>
      </w:pPr>
    </w:p>
    <w:p>
      <w:pPr>
        <w:pStyle w:val="ListParagraph"/>
        <w:numPr>
          <w:ilvl w:val="1"/>
          <w:numId w:val="7"/>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等待</w:t>
      </w:r>
      <w:r>
        <w:rPr>
          <w:rFonts w:ascii="微软雅黑" w:eastAsia="微软雅黑"/>
          <w:b/>
          <w:spacing w:val="-10"/>
          <w:sz w:val="21"/>
        </w:rPr>
        <w:t>期</w:t>
      </w:r>
      <w:r>
        <w:rPr>
          <w:rFonts w:ascii="微软雅黑" w:eastAsia="微软雅黑"/>
          <w:b/>
          <w:sz w:val="21"/>
        </w:rPr>
        <w:tab/>
      </w:r>
      <w:r>
        <w:rPr>
          <w:spacing w:val="-2"/>
          <w:sz w:val="21"/>
        </w:rPr>
        <w:t>自</w:t>
      </w:r>
      <w:r>
        <w:rPr>
          <w:spacing w:val="-2"/>
          <w:sz w:val="21"/>
        </w:rPr>
        <w:t>本</w:t>
      </w:r>
      <w:r>
        <w:rPr>
          <w:spacing w:val="-2"/>
          <w:sz w:val="21"/>
        </w:rPr>
        <w:t>合同生效日起三十日</w:t>
      </w:r>
      <w:r>
        <w:rPr>
          <w:spacing w:val="-2"/>
          <w:sz w:val="21"/>
        </w:rPr>
        <w:t>内</w:t>
      </w:r>
      <w:r>
        <w:rPr>
          <w:spacing w:val="-2"/>
          <w:sz w:val="21"/>
        </w:rPr>
        <w:t>（含第三十日）为等待</w:t>
      </w:r>
      <w:r>
        <w:rPr>
          <w:spacing w:val="-2"/>
          <w:sz w:val="21"/>
        </w:rPr>
        <w:t>期</w:t>
      </w:r>
      <w:r>
        <w:rPr>
          <w:spacing w:val="-10"/>
          <w:sz w:val="21"/>
        </w:rPr>
        <w:t>。</w:t>
      </w:r>
    </w:p>
    <w:p>
      <w:pPr>
        <w:pStyle w:val="Heading2"/>
        <w:spacing w:line="194" w:lineRule="auto" w:before="69"/>
        <w:ind w:left="2946" w:right="332"/>
      </w:pPr>
      <w:r>
        <w:rPr>
          <w:w w:val="100"/>
        </w:rPr>
        <w:t>被保险人在等待期内因意外伤害</w:t>
      </w:r>
      <w:r>
        <w:rPr>
          <w:w w:val="81"/>
          <w:position w:val="11"/>
          <w:sz w:val="11"/>
        </w:rPr>
        <w:t>9</w:t>
      </w:r>
      <w:r>
        <w:rPr>
          <w:w w:val="111"/>
          <w:position w:val="11"/>
          <w:sz w:val="11"/>
        </w:rPr>
        <w:t>.2</w:t>
      </w:r>
      <w:r>
        <w:rPr>
          <w:spacing w:val="-14"/>
          <w:position w:val="11"/>
          <w:sz w:val="11"/>
        </w:rPr>
        <w:t> </w:t>
      </w:r>
      <w:r>
        <w:rPr>
          <w:spacing w:val="2"/>
          <w:w w:val="100"/>
        </w:rPr>
        <w:t>以外的原因接受住院</w:t>
      </w:r>
      <w:r>
        <w:rPr>
          <w:rFonts w:ascii="宋体" w:eastAsia="宋体" w:hint="eastAsia"/>
          <w:b w:val="0"/>
          <w:w w:val="100"/>
          <w:position w:val="11"/>
          <w:sz w:val="11"/>
        </w:rPr>
        <w:t>9.3</w:t>
      </w:r>
      <w:r>
        <w:rPr>
          <w:rFonts w:ascii="宋体" w:eastAsia="宋体" w:hint="eastAsia"/>
          <w:b w:val="0"/>
          <w:spacing w:val="-39"/>
          <w:position w:val="11"/>
          <w:sz w:val="11"/>
        </w:rPr>
        <w:t> </w:t>
      </w:r>
      <w:r>
        <w:rPr>
          <w:spacing w:val="-14"/>
          <w:w w:val="100"/>
        </w:rPr>
        <w:t>治疗、特殊门诊治疗、</w:t>
      </w:r>
      <w:r>
        <w:rPr>
          <w:w w:val="100"/>
        </w:rPr>
        <w:t>门诊手术治疗或住院前后门诊急诊治疗的，及在等待期内因该原因导致视同为同一次住院</w:t>
      </w:r>
      <w:r>
        <w:rPr>
          <w:spacing w:val="-10"/>
        </w:rPr>
        <w:t> </w:t>
      </w:r>
      <w:r>
        <w:rPr>
          <w:w w:val="111"/>
          <w:position w:val="11"/>
          <w:sz w:val="11"/>
        </w:rPr>
        <w:t>9.</w:t>
      </w:r>
      <w:r>
        <w:rPr>
          <w:w w:val="81"/>
          <w:position w:val="11"/>
          <w:sz w:val="11"/>
        </w:rPr>
        <w:t>4</w:t>
      </w:r>
      <w:r>
        <w:rPr>
          <w:spacing w:val="-4"/>
          <w:position w:val="11"/>
          <w:sz w:val="11"/>
        </w:rPr>
        <w:t> </w:t>
      </w:r>
      <w:r>
        <w:rPr>
          <w:spacing w:val="-13"/>
          <w:w w:val="100"/>
        </w:rPr>
        <w:t>治疗、特殊门诊治疗、门诊手术治疗或住院前后门诊急诊治疗的，</w:t>
      </w:r>
      <w:r>
        <w:rPr>
          <w:w w:val="100"/>
        </w:rPr>
        <w:t>无论治疗是否延续至等待期后，我们均不承担给付保险金的责任，且对其所发</w:t>
      </w:r>
      <w:r>
        <w:rPr>
          <w:spacing w:val="-2"/>
          <w:w w:val="100"/>
        </w:rPr>
        <w:t>生的医疗费用不计入免赔额。</w:t>
      </w:r>
    </w:p>
    <w:p>
      <w:pPr>
        <w:pStyle w:val="BodyText"/>
        <w:spacing w:before="86"/>
        <w:ind w:left="2946"/>
      </w:pPr>
      <w:r>
        <w:rPr>
          <w:spacing w:val="-3"/>
        </w:rPr>
        <w:t>出现以下情形的，无等待期限制：</w:t>
      </w:r>
    </w:p>
    <w:p>
      <w:pPr>
        <w:pStyle w:val="ListParagraph"/>
        <w:numPr>
          <w:ilvl w:val="2"/>
          <w:numId w:val="7"/>
        </w:numPr>
        <w:tabs>
          <w:tab w:pos="3476" w:val="left" w:leader="none"/>
        </w:tabs>
        <w:spacing w:line="278" w:lineRule="auto" w:before="120" w:after="0"/>
        <w:ind w:left="3472" w:right="435" w:hanging="526"/>
        <w:jc w:val="left"/>
        <w:rPr>
          <w:sz w:val="21"/>
        </w:rPr>
      </w:pPr>
      <w:r>
        <w:rPr>
          <w:spacing w:val="-5"/>
          <w:w w:val="100"/>
          <w:sz w:val="21"/>
        </w:rPr>
        <w:t>您在上一保险期间届满后三十日内重新申请投保本产品，且经我们审核</w:t>
      </w:r>
      <w:r>
        <w:rPr>
          <w:w w:val="100"/>
          <w:sz w:val="21"/>
        </w:rPr>
        <w:t>同意；</w:t>
      </w:r>
    </w:p>
    <w:p>
      <w:pPr>
        <w:pStyle w:val="ListParagraph"/>
        <w:numPr>
          <w:ilvl w:val="2"/>
          <w:numId w:val="7"/>
        </w:numPr>
        <w:tabs>
          <w:tab w:pos="3476" w:val="left" w:leader="none"/>
        </w:tabs>
        <w:spacing w:line="278" w:lineRule="auto" w:before="93" w:after="0"/>
        <w:ind w:left="3472" w:right="435" w:hanging="526"/>
        <w:jc w:val="left"/>
        <w:rPr>
          <w:sz w:val="21"/>
        </w:rPr>
      </w:pPr>
      <w:r>
        <w:rPr>
          <w:spacing w:val="-2"/>
          <w:sz w:val="21"/>
        </w:rPr>
        <w:t>您在本公司投保的《信泰全民 </w:t>
      </w:r>
      <w:r>
        <w:rPr>
          <w:sz w:val="21"/>
        </w:rPr>
        <w:t>e</w:t>
      </w:r>
      <w:r>
        <w:rPr>
          <w:spacing w:val="-19"/>
          <w:sz w:val="21"/>
        </w:rPr>
        <w:t> 保 </w:t>
      </w:r>
      <w:r>
        <w:rPr>
          <w:sz w:val="21"/>
        </w:rPr>
        <w:t>B</w:t>
      </w:r>
      <w:r>
        <w:rPr>
          <w:spacing w:val="-6"/>
          <w:sz w:val="21"/>
        </w:rPr>
        <w:t> 款医疗保险》产品保险期间届满后</w:t>
      </w:r>
      <w:r>
        <w:rPr>
          <w:spacing w:val="-2"/>
          <w:sz w:val="21"/>
        </w:rPr>
        <w:t>三十日内根据我们的转保建议首次投保本产品，且经我们审核同意；</w:t>
      </w:r>
    </w:p>
    <w:p>
      <w:pPr>
        <w:pStyle w:val="ListParagraph"/>
        <w:numPr>
          <w:ilvl w:val="2"/>
          <w:numId w:val="7"/>
        </w:numPr>
        <w:tabs>
          <w:tab w:pos="3476" w:val="left" w:leader="none"/>
        </w:tabs>
        <w:spacing w:line="278" w:lineRule="auto" w:before="94" w:after="0"/>
        <w:ind w:left="3472" w:right="438" w:hanging="526"/>
        <w:jc w:val="left"/>
        <w:rPr>
          <w:sz w:val="21"/>
        </w:rPr>
      </w:pPr>
      <w:r>
        <w:rPr>
          <w:spacing w:val="-6"/>
          <w:w w:val="100"/>
          <w:sz w:val="21"/>
        </w:rPr>
        <w:t>被保险人因意外伤害接受住院治疗、特殊门诊治疗、门诊手术治疗或住</w:t>
      </w:r>
      <w:r>
        <w:rPr>
          <w:spacing w:val="-3"/>
          <w:w w:val="100"/>
          <w:sz w:val="21"/>
        </w:rPr>
        <w:t>院前后门诊急诊治疗。</w:t>
      </w:r>
    </w:p>
    <w:p>
      <w:pPr>
        <w:pStyle w:val="BodyText"/>
        <w:spacing w:before="8"/>
        <w:rPr>
          <w:sz w:val="19"/>
        </w:rPr>
      </w:pPr>
    </w:p>
    <w:p>
      <w:pPr>
        <w:pStyle w:val="ListParagraph"/>
        <w:numPr>
          <w:ilvl w:val="1"/>
          <w:numId w:val="7"/>
        </w:numPr>
        <w:tabs>
          <w:tab w:pos="1006" w:val="left" w:leader="none"/>
          <w:tab w:pos="1007" w:val="left" w:leader="none"/>
          <w:tab w:pos="2946" w:val="left" w:leader="none"/>
        </w:tabs>
        <w:spacing w:line="240" w:lineRule="auto" w:before="1" w:after="0"/>
        <w:ind w:left="1006" w:right="0" w:hanging="747"/>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rPr>
          <w:sz w:val="16"/>
        </w:rPr>
      </w:pPr>
    </w:p>
    <w:p>
      <w:pPr>
        <w:pStyle w:val="Heading2"/>
        <w:numPr>
          <w:ilvl w:val="2"/>
          <w:numId w:val="8"/>
        </w:numPr>
        <w:tabs>
          <w:tab w:pos="1006" w:val="left" w:leader="none"/>
          <w:tab w:pos="1007" w:val="left" w:leader="none"/>
          <w:tab w:pos="2946" w:val="left" w:leader="none"/>
        </w:tabs>
        <w:spacing w:line="194" w:lineRule="auto" w:before="0" w:after="0"/>
        <w:ind w:left="2946" w:right="330" w:hanging="2687"/>
        <w:jc w:val="left"/>
      </w:pPr>
      <w:r>
        <w:rPr>
          <w:spacing w:val="-2"/>
        </w:rPr>
        <w:t>一</w:t>
      </w:r>
      <w:r>
        <w:rPr>
          <w:spacing w:val="-2"/>
        </w:rPr>
        <w:t>般</w:t>
      </w:r>
      <w:r>
        <w:rPr>
          <w:spacing w:val="-2"/>
        </w:rPr>
        <w:t>医</w:t>
      </w:r>
      <w:r>
        <w:rPr>
          <w:spacing w:val="-2"/>
        </w:rPr>
        <w:t>疗</w:t>
      </w:r>
      <w:r>
        <w:rPr>
          <w:spacing w:val="-2"/>
        </w:rPr>
        <w:t>保</w:t>
      </w:r>
      <w:r>
        <w:rPr>
          <w:spacing w:val="-2"/>
        </w:rPr>
        <w:t>险</w:t>
      </w:r>
      <w:r>
        <w:rPr>
          <w:spacing w:val="-2"/>
        </w:rPr>
        <w:t>金</w:t>
      </w:r>
      <w:r>
        <w:rPr/>
        <w:tab/>
      </w:r>
      <w:r>
        <w:rPr>
          <w:spacing w:val="-2"/>
        </w:rPr>
        <w:t>本</w:t>
      </w:r>
      <w:r>
        <w:rPr>
          <w:spacing w:val="-2"/>
        </w:rPr>
        <w:t>合</w:t>
      </w:r>
      <w:r>
        <w:rPr>
          <w:spacing w:val="-2"/>
        </w:rPr>
        <w:t>同</w:t>
      </w:r>
      <w:r>
        <w:rPr>
          <w:spacing w:val="-2"/>
        </w:rPr>
        <w:t>“</w:t>
      </w:r>
      <w:r>
        <w:rPr>
          <w:spacing w:val="-2"/>
        </w:rPr>
        <w:t>一</w:t>
      </w:r>
      <w:r>
        <w:rPr>
          <w:spacing w:val="-2"/>
        </w:rPr>
        <w:t>般</w:t>
      </w:r>
      <w:r>
        <w:rPr>
          <w:spacing w:val="-2"/>
        </w:rPr>
        <w:t>医</w:t>
      </w:r>
      <w:r>
        <w:rPr>
          <w:spacing w:val="-2"/>
        </w:rPr>
        <w:t>疗</w:t>
      </w:r>
      <w:r>
        <w:rPr>
          <w:spacing w:val="-2"/>
        </w:rPr>
        <w:t>保</w:t>
      </w:r>
      <w:r>
        <w:rPr>
          <w:spacing w:val="-2"/>
        </w:rPr>
        <w:t>险</w:t>
      </w:r>
      <w:r>
        <w:rPr>
          <w:spacing w:val="-2"/>
        </w:rPr>
        <w:t>金</w:t>
      </w:r>
      <w:r>
        <w:rPr>
          <w:spacing w:val="-2"/>
        </w:rPr>
        <w:t>”</w:t>
      </w:r>
      <w:r>
        <w:rPr>
          <w:spacing w:val="-2"/>
        </w:rPr>
        <w:t>包</w:t>
      </w:r>
      <w:r>
        <w:rPr>
          <w:spacing w:val="-2"/>
        </w:rPr>
        <w:t>括</w:t>
      </w:r>
      <w:r>
        <w:rPr>
          <w:spacing w:val="-2"/>
        </w:rPr>
        <w:t>“</w:t>
      </w:r>
      <w:r>
        <w:rPr>
          <w:spacing w:val="-2"/>
        </w:rPr>
        <w:t>住</w:t>
      </w:r>
      <w:r>
        <w:rPr>
          <w:spacing w:val="-2"/>
        </w:rPr>
        <w:t>院</w:t>
      </w:r>
      <w:r>
        <w:rPr>
          <w:spacing w:val="-2"/>
        </w:rPr>
        <w:t>医</w:t>
      </w:r>
      <w:r>
        <w:rPr>
          <w:spacing w:val="-2"/>
        </w:rPr>
        <w:t>疗</w:t>
      </w:r>
      <w:r>
        <w:rPr>
          <w:spacing w:val="-2"/>
        </w:rPr>
        <w:t>保</w:t>
      </w:r>
      <w:r>
        <w:rPr>
          <w:spacing w:val="-2"/>
        </w:rPr>
        <w:t>险</w:t>
      </w:r>
      <w:r>
        <w:rPr>
          <w:spacing w:val="-2"/>
        </w:rPr>
        <w:t>金</w:t>
      </w:r>
      <w:r>
        <w:rPr>
          <w:spacing w:val="-106"/>
        </w:rPr>
        <w:t>”、</w:t>
      </w:r>
      <w:r>
        <w:rPr>
          <w:spacing w:val="-2"/>
        </w:rPr>
        <w:t>“</w:t>
      </w:r>
      <w:r>
        <w:rPr>
          <w:spacing w:val="-2"/>
        </w:rPr>
        <w:t>特</w:t>
      </w:r>
      <w:r>
        <w:rPr>
          <w:spacing w:val="-2"/>
        </w:rPr>
        <w:t>殊</w:t>
      </w:r>
      <w:r>
        <w:rPr>
          <w:spacing w:val="-2"/>
        </w:rPr>
        <w:t>门</w:t>
      </w:r>
      <w:r>
        <w:rPr>
          <w:spacing w:val="-2"/>
        </w:rPr>
        <w:t>诊</w:t>
      </w:r>
      <w:r>
        <w:rPr>
          <w:spacing w:val="-2"/>
        </w:rPr>
        <w:t>医</w:t>
      </w:r>
      <w:r>
        <w:rPr>
          <w:spacing w:val="-2"/>
        </w:rPr>
        <w:t>疗</w:t>
      </w:r>
      <w:r>
        <w:rPr>
          <w:spacing w:val="-2"/>
        </w:rPr>
        <w:t>保</w:t>
      </w:r>
      <w:r>
        <w:rPr>
          <w:spacing w:val="-2"/>
        </w:rPr>
        <w:t>险</w:t>
      </w:r>
      <w:r>
        <w:rPr>
          <w:spacing w:val="-2"/>
        </w:rPr>
        <w:t>金</w:t>
      </w:r>
      <w:r>
        <w:rPr>
          <w:spacing w:val="-106"/>
        </w:rPr>
        <w:t>”</w:t>
      </w:r>
      <w:r>
        <w:rPr>
          <w:spacing w:val="-2"/>
        </w:rPr>
        <w:t>、</w:t>
      </w:r>
      <w:r>
        <w:rPr>
          <w:spacing w:val="-2"/>
        </w:rPr>
        <w:t> “</w:t>
      </w:r>
      <w:r>
        <w:rPr>
          <w:spacing w:val="-2"/>
        </w:rPr>
        <w:t>门</w:t>
      </w:r>
      <w:r>
        <w:rPr>
          <w:spacing w:val="-2"/>
        </w:rPr>
        <w:t>诊</w:t>
      </w:r>
      <w:r>
        <w:rPr>
          <w:spacing w:val="-2"/>
        </w:rPr>
        <w:t>手</w:t>
      </w:r>
      <w:r>
        <w:rPr>
          <w:spacing w:val="-2"/>
        </w:rPr>
        <w:t>术</w:t>
      </w:r>
      <w:r>
        <w:rPr>
          <w:spacing w:val="-2"/>
        </w:rPr>
        <w:t>医</w:t>
      </w:r>
      <w:r>
        <w:rPr>
          <w:spacing w:val="-2"/>
        </w:rPr>
        <w:t>疗</w:t>
      </w:r>
      <w:r>
        <w:rPr>
          <w:spacing w:val="-2"/>
        </w:rPr>
        <w:t>保</w:t>
      </w:r>
      <w:r>
        <w:rPr>
          <w:spacing w:val="-2"/>
        </w:rPr>
        <w:t>险金”</w:t>
      </w:r>
      <w:r>
        <w:rPr>
          <w:spacing w:val="-2"/>
        </w:rPr>
        <w:t>和</w:t>
      </w:r>
      <w:r>
        <w:rPr>
          <w:spacing w:val="-2"/>
        </w:rPr>
        <w:t>“</w:t>
      </w:r>
      <w:r>
        <w:rPr>
          <w:spacing w:val="-2"/>
        </w:rPr>
        <w:t>住</w:t>
      </w:r>
      <w:r>
        <w:rPr>
          <w:spacing w:val="-2"/>
        </w:rPr>
        <w:t>院</w:t>
      </w:r>
      <w:r>
        <w:rPr>
          <w:spacing w:val="-2"/>
        </w:rPr>
        <w:t>前</w:t>
      </w:r>
      <w:r>
        <w:rPr>
          <w:spacing w:val="-2"/>
        </w:rPr>
        <w:t>后</w:t>
      </w:r>
      <w:r>
        <w:rPr>
          <w:spacing w:val="-2"/>
        </w:rPr>
        <w:t>门</w:t>
      </w:r>
      <w:r>
        <w:rPr>
          <w:spacing w:val="-2"/>
        </w:rPr>
        <w:t>诊</w:t>
      </w:r>
      <w:r>
        <w:rPr>
          <w:spacing w:val="-2"/>
        </w:rPr>
        <w:t>急诊医</w:t>
      </w:r>
      <w:r>
        <w:rPr>
          <w:spacing w:val="-2"/>
        </w:rPr>
        <w:t>疗</w:t>
      </w:r>
      <w:r>
        <w:rPr>
          <w:spacing w:val="-2"/>
        </w:rPr>
        <w:t>保</w:t>
      </w:r>
      <w:r>
        <w:rPr>
          <w:spacing w:val="-2"/>
        </w:rPr>
        <w:t>险</w:t>
      </w:r>
      <w:r>
        <w:rPr>
          <w:spacing w:val="-2"/>
        </w:rPr>
        <w:t>金</w:t>
      </w:r>
      <w:r>
        <w:rPr>
          <w:spacing w:val="-2"/>
        </w:rPr>
        <w:t>”</w:t>
      </w:r>
      <w:r>
        <w:rPr>
          <w:spacing w:val="-2"/>
        </w:rPr>
        <w:t>四</w:t>
      </w:r>
      <w:r>
        <w:rPr>
          <w:spacing w:val="-2"/>
        </w:rPr>
        <w:t>项</w:t>
      </w:r>
      <w:r>
        <w:rPr>
          <w:spacing w:val="-2"/>
        </w:rPr>
        <w:t>。</w:t>
      </w:r>
    </w:p>
    <w:p>
      <w:pPr>
        <w:pStyle w:val="BodyText"/>
        <w:spacing w:before="7"/>
        <w:rPr>
          <w:rFonts w:ascii="微软雅黑"/>
          <w:b/>
          <w:sz w:val="16"/>
        </w:rPr>
      </w:pPr>
    </w:p>
    <w:p>
      <w:pPr>
        <w:spacing w:line="194" w:lineRule="auto" w:before="0"/>
        <w:ind w:left="2946" w:right="435" w:hanging="1940"/>
        <w:jc w:val="both"/>
        <w:rPr>
          <w:sz w:val="21"/>
        </w:rPr>
      </w:pPr>
      <w:r>
        <w:rPr>
          <w:rFonts w:ascii="微软雅黑" w:eastAsia="微软雅黑"/>
          <w:b/>
          <w:spacing w:val="49"/>
          <w:sz w:val="21"/>
        </w:rPr>
        <w:t>住院医疗保险金 </w:t>
      </w:r>
      <w:r>
        <w:rPr>
          <w:sz w:val="21"/>
        </w:rPr>
        <w:t>被保险人因意外伤害或于等待期后因意外伤害以外的原因在</w:t>
      </w:r>
      <w:r>
        <w:rPr>
          <w:rFonts w:ascii="微软雅黑" w:eastAsia="微软雅黑"/>
          <w:b/>
          <w:sz w:val="21"/>
        </w:rPr>
        <w:t>本公司认可的医疗</w:t>
      </w:r>
      <w:r>
        <w:rPr>
          <w:rFonts w:ascii="微软雅黑" w:eastAsia="微软雅黑"/>
          <w:b/>
          <w:spacing w:val="-6"/>
          <w:sz w:val="21"/>
        </w:rPr>
        <w:t>机构 </w:t>
      </w:r>
      <w:r>
        <w:rPr>
          <w:spacing w:val="-2"/>
          <w:position w:val="11"/>
          <w:sz w:val="11"/>
        </w:rPr>
        <w:t>9.5</w:t>
      </w:r>
      <w:r>
        <w:rPr>
          <w:spacing w:val="-12"/>
          <w:position w:val="11"/>
          <w:sz w:val="11"/>
        </w:rPr>
        <w:t> </w:t>
      </w:r>
      <w:r>
        <w:rPr>
          <w:spacing w:val="-2"/>
          <w:sz w:val="21"/>
        </w:rPr>
        <w:t>接受住院治疗的，对其住院期间支出的</w:t>
      </w:r>
      <w:r>
        <w:rPr>
          <w:rFonts w:ascii="微软雅黑" w:eastAsia="微软雅黑"/>
          <w:b/>
          <w:spacing w:val="-4"/>
          <w:sz w:val="21"/>
        </w:rPr>
        <w:t>医疗必需且合理 </w:t>
      </w:r>
      <w:r>
        <w:rPr>
          <w:spacing w:val="-2"/>
          <w:position w:val="11"/>
          <w:sz w:val="11"/>
        </w:rPr>
        <w:t>9.6</w:t>
      </w:r>
      <w:r>
        <w:rPr>
          <w:spacing w:val="-11"/>
          <w:position w:val="11"/>
          <w:sz w:val="11"/>
        </w:rPr>
        <w:t> </w:t>
      </w:r>
      <w:r>
        <w:rPr>
          <w:spacing w:val="-2"/>
          <w:sz w:val="21"/>
        </w:rPr>
        <w:t>的</w:t>
      </w:r>
      <w:r>
        <w:rPr>
          <w:rFonts w:ascii="微软雅黑" w:eastAsia="微软雅黑"/>
          <w:b/>
          <w:spacing w:val="-2"/>
          <w:sz w:val="21"/>
        </w:rPr>
        <w:t>住院医疗费</w:t>
      </w:r>
      <w:r>
        <w:rPr>
          <w:rFonts w:ascii="微软雅黑" w:eastAsia="微软雅黑"/>
          <w:b/>
          <w:spacing w:val="22"/>
          <w:sz w:val="21"/>
        </w:rPr>
        <w:t>用 </w:t>
      </w:r>
      <w:r>
        <w:rPr>
          <w:spacing w:val="-2"/>
          <w:position w:val="11"/>
          <w:sz w:val="11"/>
        </w:rPr>
        <w:t>9.7</w:t>
      </w:r>
      <w:r>
        <w:rPr>
          <w:spacing w:val="-2"/>
          <w:sz w:val="21"/>
        </w:rPr>
        <w:t>，我们在</w:t>
      </w:r>
      <w:r>
        <w:rPr>
          <w:rFonts w:ascii="微软雅黑" w:eastAsia="微软雅黑"/>
          <w:b/>
          <w:spacing w:val="-2"/>
          <w:sz w:val="21"/>
        </w:rPr>
        <w:t>扣除本合同约定的免赔额</w:t>
      </w:r>
      <w:r>
        <w:rPr>
          <w:spacing w:val="-2"/>
          <w:sz w:val="21"/>
        </w:rPr>
        <w:t>后</w:t>
      </w:r>
      <w:r>
        <w:rPr>
          <w:rFonts w:ascii="微软雅黑" w:eastAsia="微软雅黑"/>
          <w:b/>
          <w:spacing w:val="-2"/>
          <w:sz w:val="21"/>
        </w:rPr>
        <w:t>按约定的给付比例</w:t>
      </w:r>
      <w:r>
        <w:rPr>
          <w:spacing w:val="-3"/>
          <w:sz w:val="21"/>
        </w:rPr>
        <w:t>给付住院医疗保险</w:t>
      </w:r>
    </w:p>
    <w:p>
      <w:pPr>
        <w:pStyle w:val="BodyText"/>
        <w:spacing w:before="10"/>
        <w:ind w:left="2946"/>
      </w:pPr>
      <w:r>
        <w:rPr>
          <w:spacing w:val="-5"/>
        </w:rPr>
        <w:t>金。</w:t>
      </w:r>
    </w:p>
    <w:p>
      <w:pPr>
        <w:spacing w:line="206" w:lineRule="auto" w:before="149"/>
        <w:ind w:left="2946" w:right="436" w:firstLine="0"/>
        <w:jc w:val="both"/>
        <w:rPr>
          <w:rFonts w:ascii="微软雅黑" w:eastAsia="微软雅黑"/>
          <w:b/>
          <w:sz w:val="21"/>
        </w:rPr>
      </w:pPr>
      <w:r>
        <w:rPr>
          <w:spacing w:val="-2"/>
          <w:sz w:val="21"/>
        </w:rPr>
        <w:t>在每一保单年度内，因意外伤害或于等待期后因意外伤害以外的原因住院的最</w:t>
      </w:r>
      <w:r>
        <w:rPr>
          <w:spacing w:val="-2"/>
          <w:sz w:val="21"/>
        </w:rPr>
        <w:t>高给付日数为一百八十日，</w:t>
      </w:r>
      <w:r>
        <w:rPr>
          <w:rFonts w:ascii="微软雅黑" w:eastAsia="微软雅黑"/>
          <w:b/>
          <w:spacing w:val="-2"/>
          <w:sz w:val="21"/>
        </w:rPr>
        <w:t>我们对累计住院超过一百八十日发生的医疗费用，</w:t>
      </w:r>
      <w:r>
        <w:rPr>
          <w:rFonts w:ascii="微软雅黑" w:eastAsia="微软雅黑"/>
          <w:b/>
          <w:spacing w:val="-2"/>
          <w:sz w:val="21"/>
        </w:rPr>
        <w:t>不承担保险责任。</w:t>
      </w:r>
    </w:p>
    <w:p>
      <w:pPr>
        <w:spacing w:line="312" w:lineRule="exact" w:before="64"/>
        <w:ind w:left="2946" w:right="472" w:firstLine="0"/>
        <w:jc w:val="both"/>
        <w:rPr>
          <w:rFonts w:ascii="微软雅黑" w:eastAsia="微软雅黑"/>
          <w:b/>
          <w:sz w:val="21"/>
        </w:rPr>
      </w:pPr>
      <w:r>
        <w:rPr>
          <w:spacing w:val="-2"/>
          <w:sz w:val="21"/>
        </w:rPr>
        <w:t>被保险人在保险期间届满日住院治疗仍未结束且在保险期间届满未重新向本公</w:t>
      </w:r>
      <w:r>
        <w:rPr>
          <w:spacing w:val="-2"/>
          <w:sz w:val="21"/>
        </w:rPr>
        <w:t>司申请投保本产品的，我们将继续承担因该次住院发生的住院医疗保险金给付</w:t>
      </w:r>
      <w:r>
        <w:rPr>
          <w:spacing w:val="-2"/>
          <w:sz w:val="21"/>
        </w:rPr>
        <w:t>责任，</w:t>
      </w:r>
      <w:r>
        <w:rPr>
          <w:rFonts w:ascii="微软雅黑" w:eastAsia="微软雅黑"/>
          <w:b/>
          <w:spacing w:val="-2"/>
          <w:sz w:val="21"/>
        </w:rPr>
        <w:t>但最长不超过本合同保险期间届满日后一百八十日。</w:t>
      </w:r>
    </w:p>
    <w:p>
      <w:pPr>
        <w:pStyle w:val="BodyText"/>
        <w:spacing w:before="15"/>
        <w:rPr>
          <w:rFonts w:ascii="微软雅黑"/>
          <w:b/>
          <w:sz w:val="14"/>
        </w:rPr>
      </w:pPr>
    </w:p>
    <w:p>
      <w:pPr>
        <w:spacing w:after="0"/>
        <w:rPr>
          <w:rFonts w:ascii="微软雅黑"/>
          <w:sz w:val="14"/>
        </w:rPr>
        <w:sectPr>
          <w:pgSz w:w="11910" w:h="16840"/>
          <w:pgMar w:header="0" w:footer="401" w:top="1080" w:bottom="600" w:left="760" w:right="580"/>
        </w:sectPr>
      </w:pPr>
    </w:p>
    <w:p>
      <w:pPr>
        <w:pStyle w:val="Heading2"/>
        <w:spacing w:line="194" w:lineRule="auto" w:before="57"/>
      </w:pPr>
      <w:r>
        <w:rPr>
          <w:spacing w:val="-2"/>
        </w:rPr>
        <w:t>特殊门诊医疗保险</w:t>
      </w:r>
      <w:r>
        <w:rPr>
          <w:spacing w:val="-10"/>
        </w:rPr>
        <w:t>金</w:t>
      </w:r>
    </w:p>
    <w:p>
      <w:pPr>
        <w:pStyle w:val="BodyText"/>
        <w:spacing w:line="312" w:lineRule="exact" w:before="32"/>
        <w:ind w:left="210" w:right="435"/>
        <w:jc w:val="both"/>
      </w:pPr>
      <w:r>
        <w:rPr/>
        <w:br w:type="column"/>
      </w:r>
      <w:r>
        <w:rPr>
          <w:spacing w:val="-2"/>
        </w:rPr>
        <w:t>被保险人因意外伤害或于等待期后因意外伤害以外的原因在本公司认可的医疗</w:t>
      </w:r>
      <w:r>
        <w:rPr>
          <w:spacing w:val="-2"/>
        </w:rPr>
        <w:t>机构接受以下特殊门诊治疗的，对其支出的医疗必需且合理的如下特殊门诊医</w:t>
      </w:r>
      <w:r>
        <w:rPr>
          <w:spacing w:val="-2"/>
        </w:rPr>
        <w:t>疗费用，我们在</w:t>
      </w:r>
      <w:r>
        <w:rPr>
          <w:rFonts w:ascii="微软雅黑" w:eastAsia="微软雅黑"/>
          <w:b/>
          <w:spacing w:val="-2"/>
        </w:rPr>
        <w:t>扣除本合同约定的免赔额</w:t>
      </w:r>
      <w:r>
        <w:rPr>
          <w:spacing w:val="-2"/>
        </w:rPr>
        <w:t>后</w:t>
      </w:r>
      <w:r>
        <w:rPr>
          <w:rFonts w:ascii="微软雅黑" w:eastAsia="微软雅黑"/>
          <w:b/>
          <w:spacing w:val="-2"/>
        </w:rPr>
        <w:t>按约定的给付比例</w:t>
      </w:r>
      <w:r>
        <w:rPr>
          <w:spacing w:val="-2"/>
        </w:rPr>
        <w:t>给付特殊门诊医</w:t>
      </w:r>
      <w:r>
        <w:rPr>
          <w:spacing w:val="-2"/>
        </w:rPr>
        <w:t>疗保险金：</w:t>
      </w:r>
    </w:p>
    <w:p>
      <w:pPr>
        <w:pStyle w:val="ListParagraph"/>
        <w:numPr>
          <w:ilvl w:val="0"/>
          <w:numId w:val="9"/>
        </w:numPr>
        <w:tabs>
          <w:tab w:pos="740" w:val="left" w:leader="none"/>
        </w:tabs>
        <w:spacing w:line="240" w:lineRule="auto" w:before="119" w:after="0"/>
        <w:ind w:left="739" w:right="0" w:hanging="530"/>
        <w:jc w:val="left"/>
        <w:rPr>
          <w:sz w:val="21"/>
        </w:rPr>
      </w:pPr>
      <w:r>
        <w:rPr>
          <w:spacing w:val="-4"/>
          <w:sz w:val="21"/>
        </w:rPr>
        <w:t>门诊肾透析费；</w:t>
      </w:r>
    </w:p>
    <w:p>
      <w:pPr>
        <w:pStyle w:val="ListParagraph"/>
        <w:numPr>
          <w:ilvl w:val="0"/>
          <w:numId w:val="9"/>
        </w:numPr>
        <w:tabs>
          <w:tab w:pos="740" w:val="left" w:leader="none"/>
        </w:tabs>
        <w:spacing w:line="194" w:lineRule="auto" w:before="105" w:after="0"/>
        <w:ind w:left="735" w:right="328" w:hanging="526"/>
        <w:jc w:val="left"/>
        <w:rPr>
          <w:sz w:val="21"/>
        </w:rPr>
      </w:pPr>
      <w:r>
        <w:rPr>
          <w:spacing w:val="-2"/>
          <w:sz w:val="21"/>
        </w:rPr>
        <w:t>门诊恶性肿瘤治疗费，包括</w:t>
      </w:r>
      <w:r>
        <w:rPr>
          <w:rFonts w:ascii="微软雅黑" w:eastAsia="微软雅黑"/>
          <w:b/>
          <w:spacing w:val="-3"/>
          <w:sz w:val="21"/>
        </w:rPr>
        <w:t>化学疗法 </w:t>
      </w:r>
      <w:r>
        <w:rPr>
          <w:spacing w:val="-2"/>
          <w:position w:val="11"/>
          <w:sz w:val="11"/>
        </w:rPr>
        <w:t>9.8</w:t>
      </w:r>
      <w:r>
        <w:rPr>
          <w:spacing w:val="-2"/>
          <w:sz w:val="21"/>
        </w:rPr>
        <w:t>、</w:t>
      </w:r>
      <w:r>
        <w:rPr>
          <w:rFonts w:ascii="微软雅黑" w:eastAsia="微软雅黑"/>
          <w:b/>
          <w:spacing w:val="-4"/>
          <w:sz w:val="21"/>
        </w:rPr>
        <w:t>放射疗法 </w:t>
      </w:r>
      <w:r>
        <w:rPr>
          <w:spacing w:val="-2"/>
          <w:position w:val="11"/>
          <w:sz w:val="11"/>
        </w:rPr>
        <w:t>9.9</w:t>
      </w:r>
      <w:r>
        <w:rPr>
          <w:spacing w:val="-2"/>
          <w:sz w:val="21"/>
        </w:rPr>
        <w:t>、</w:t>
      </w:r>
      <w:r>
        <w:rPr>
          <w:rFonts w:ascii="微软雅黑" w:eastAsia="微软雅黑"/>
          <w:b/>
          <w:spacing w:val="-3"/>
          <w:sz w:val="21"/>
        </w:rPr>
        <w:t>肿瘤免疫疗法 </w:t>
      </w:r>
      <w:r>
        <w:rPr>
          <w:spacing w:val="-2"/>
          <w:position w:val="11"/>
          <w:sz w:val="11"/>
        </w:rPr>
        <w:t>9.10</w:t>
      </w:r>
      <w:r>
        <w:rPr>
          <w:spacing w:val="-2"/>
          <w:sz w:val="21"/>
        </w:rPr>
        <w:t>、</w:t>
      </w:r>
      <w:r>
        <w:rPr>
          <w:rFonts w:ascii="微软雅黑" w:eastAsia="微软雅黑"/>
          <w:b/>
          <w:sz w:val="21"/>
        </w:rPr>
        <w:t>肿瘤内分泌疗法 </w:t>
      </w:r>
      <w:r>
        <w:rPr>
          <w:position w:val="11"/>
          <w:sz w:val="11"/>
        </w:rPr>
        <w:t>9.11</w:t>
      </w:r>
      <w:r>
        <w:rPr>
          <w:sz w:val="21"/>
        </w:rPr>
        <w:t>、</w:t>
      </w:r>
      <w:r>
        <w:rPr>
          <w:rFonts w:ascii="微软雅黑" w:eastAsia="微软雅黑"/>
          <w:b/>
          <w:sz w:val="21"/>
        </w:rPr>
        <w:t>肿瘤靶向疗法 </w:t>
      </w:r>
      <w:r>
        <w:rPr>
          <w:position w:val="11"/>
          <w:sz w:val="11"/>
        </w:rPr>
        <w:t>9.12</w:t>
      </w:r>
      <w:r>
        <w:rPr>
          <w:spacing w:val="-11"/>
          <w:position w:val="11"/>
          <w:sz w:val="11"/>
        </w:rPr>
        <w:t> </w:t>
      </w:r>
      <w:r>
        <w:rPr>
          <w:sz w:val="21"/>
        </w:rPr>
        <w:t>治疗费；</w:t>
      </w:r>
    </w:p>
    <w:p>
      <w:pPr>
        <w:pStyle w:val="ListParagraph"/>
        <w:numPr>
          <w:ilvl w:val="0"/>
          <w:numId w:val="9"/>
        </w:numPr>
        <w:tabs>
          <w:tab w:pos="740" w:val="left" w:leader="none"/>
        </w:tabs>
        <w:spacing w:line="240" w:lineRule="auto" w:before="91" w:after="0"/>
        <w:ind w:left="739" w:right="0" w:hanging="530"/>
        <w:jc w:val="left"/>
        <w:rPr>
          <w:sz w:val="21"/>
        </w:rPr>
      </w:pPr>
      <w:r>
        <w:rPr>
          <w:spacing w:val="-3"/>
          <w:sz w:val="21"/>
        </w:rPr>
        <w:t>器官移植后的门诊抗排异治疗费。</w:t>
      </w:r>
    </w:p>
    <w:p>
      <w:pPr>
        <w:spacing w:after="0" w:line="240" w:lineRule="auto"/>
        <w:jc w:val="left"/>
        <w:rPr>
          <w:sz w:val="21"/>
        </w:rPr>
        <w:sectPr>
          <w:type w:val="continuous"/>
          <w:pgSz w:w="11910" w:h="16840"/>
          <w:pgMar w:header="0" w:footer="401" w:top="600" w:bottom="280" w:left="760" w:right="580"/>
          <w:cols w:num="2" w:equalWidth="0">
            <w:col w:w="2697" w:space="40"/>
            <w:col w:w="7833"/>
          </w:cols>
        </w:sectPr>
      </w:pPr>
    </w:p>
    <w:p>
      <w:pPr>
        <w:pStyle w:val="BodyText"/>
        <w:spacing w:before="7"/>
      </w:pPr>
    </w:p>
    <w:p>
      <w:pPr>
        <w:spacing w:after="0"/>
        <w:sectPr>
          <w:type w:val="continuous"/>
          <w:pgSz w:w="11910" w:h="16840"/>
          <w:pgMar w:header="0" w:footer="401" w:top="600" w:bottom="280" w:left="760" w:right="580"/>
        </w:sectPr>
      </w:pPr>
    </w:p>
    <w:p>
      <w:pPr>
        <w:pStyle w:val="Heading2"/>
        <w:spacing w:line="194" w:lineRule="auto" w:before="57"/>
      </w:pPr>
      <w:r>
        <w:rPr>
          <w:spacing w:val="-2"/>
        </w:rPr>
        <w:t>门诊手术医疗保险</w:t>
      </w:r>
      <w:r>
        <w:rPr>
          <w:spacing w:val="-10"/>
        </w:rPr>
        <w:t>金</w:t>
      </w:r>
    </w:p>
    <w:p>
      <w:pPr>
        <w:pStyle w:val="BodyText"/>
        <w:spacing w:line="223" w:lineRule="auto" w:before="86"/>
        <w:ind w:left="210" w:right="431"/>
        <w:rPr>
          <w:rFonts w:ascii="微软雅黑" w:eastAsia="微软雅黑"/>
          <w:b/>
        </w:rPr>
      </w:pPr>
      <w:r>
        <w:rPr/>
        <w:br w:type="column"/>
      </w:r>
      <w:r>
        <w:rPr>
          <w:spacing w:val="-2"/>
        </w:rPr>
        <w:t>被保险人因意外伤害或于等待期后因意外伤害以外的原因在本公司认可的医疗</w:t>
      </w:r>
      <w:r>
        <w:rPr/>
        <w:t>机构接受门诊手术治疗的，对其支出的医疗必需且合理的</w:t>
      </w:r>
      <w:r>
        <w:rPr>
          <w:rFonts w:ascii="微软雅黑" w:eastAsia="微软雅黑"/>
          <w:b/>
          <w:spacing w:val="-2"/>
        </w:rPr>
        <w:t>门诊手术医疗费用</w:t>
      </w:r>
    </w:p>
    <w:p>
      <w:pPr>
        <w:spacing w:line="319" w:lineRule="exact" w:before="0"/>
        <w:ind w:left="210" w:right="0" w:firstLine="0"/>
        <w:jc w:val="left"/>
        <w:rPr>
          <w:sz w:val="21"/>
        </w:rPr>
      </w:pPr>
      <w:r>
        <w:rPr>
          <w:spacing w:val="-2"/>
          <w:position w:val="11"/>
          <w:sz w:val="11"/>
        </w:rPr>
        <w:t>9.13</w:t>
      </w:r>
      <w:r>
        <w:rPr>
          <w:spacing w:val="-2"/>
          <w:sz w:val="21"/>
        </w:rPr>
        <w:t>，我们</w:t>
      </w:r>
      <w:r>
        <w:rPr>
          <w:rFonts w:ascii="微软雅黑" w:eastAsia="微软雅黑"/>
          <w:b/>
          <w:spacing w:val="-2"/>
          <w:sz w:val="21"/>
        </w:rPr>
        <w:t>在扣除本合同约定的免赔额</w:t>
      </w:r>
      <w:r>
        <w:rPr>
          <w:spacing w:val="-2"/>
          <w:sz w:val="21"/>
        </w:rPr>
        <w:t>后</w:t>
      </w:r>
      <w:r>
        <w:rPr>
          <w:rFonts w:ascii="微软雅黑" w:eastAsia="微软雅黑"/>
          <w:b/>
          <w:spacing w:val="-2"/>
          <w:sz w:val="21"/>
        </w:rPr>
        <w:t>按约定的给付比例</w:t>
      </w:r>
      <w:r>
        <w:rPr>
          <w:spacing w:val="-3"/>
          <w:sz w:val="21"/>
        </w:rPr>
        <w:t>给付门诊手术医疗保</w:t>
      </w:r>
    </w:p>
    <w:p>
      <w:pPr>
        <w:spacing w:after="0" w:line="319" w:lineRule="exact"/>
        <w:jc w:val="left"/>
        <w:rPr>
          <w:sz w:val="21"/>
        </w:rPr>
        <w:sectPr>
          <w:type w:val="continuous"/>
          <w:pgSz w:w="11910" w:h="16840"/>
          <w:pgMar w:header="0" w:footer="401" w:top="600" w:bottom="280" w:left="760" w:right="580"/>
          <w:cols w:num="2" w:equalWidth="0">
            <w:col w:w="2697" w:space="40"/>
            <w:col w:w="7833"/>
          </w:cols>
        </w:sectPr>
      </w:pPr>
    </w:p>
    <w:p>
      <w:pPr>
        <w:pStyle w:val="BodyText"/>
        <w:spacing w:before="57"/>
        <w:ind w:left="2946"/>
      </w:pPr>
      <w:r>
        <w:rPr>
          <w:spacing w:val="-4"/>
        </w:rPr>
        <w:t>险金。</w:t>
      </w:r>
    </w:p>
    <w:p>
      <w:pPr>
        <w:pStyle w:val="BodyText"/>
        <w:spacing w:before="10"/>
      </w:pPr>
    </w:p>
    <w:p>
      <w:pPr>
        <w:spacing w:after="0"/>
        <w:sectPr>
          <w:pgSz w:w="11910" w:h="16840"/>
          <w:pgMar w:header="0" w:footer="401" w:top="1080" w:bottom="600" w:left="760" w:right="580"/>
        </w:sectPr>
      </w:pPr>
    </w:p>
    <w:p>
      <w:pPr>
        <w:pStyle w:val="Heading2"/>
        <w:spacing w:line="194" w:lineRule="auto" w:before="57"/>
      </w:pPr>
      <w:r>
        <w:rPr>
          <w:spacing w:val="-2"/>
        </w:rPr>
        <w:t>住院前后门诊急诊</w:t>
      </w:r>
      <w:r>
        <w:rPr>
          <w:spacing w:val="-2"/>
        </w:rPr>
        <w:t>医疗保险金</w:t>
      </w:r>
    </w:p>
    <w:p>
      <w:pPr>
        <w:pStyle w:val="BodyText"/>
        <w:spacing w:line="278" w:lineRule="auto" w:before="71"/>
        <w:ind w:left="210" w:right="436"/>
      </w:pPr>
      <w:r>
        <w:rPr/>
        <w:br w:type="column"/>
      </w:r>
      <w:r>
        <w:rPr>
          <w:spacing w:val="-2"/>
        </w:rPr>
        <w:t>被保险人因意外伤害或于等待期后因意外伤害以外的原因在本公司认可的医疗</w:t>
      </w:r>
      <w:r>
        <w:rPr>
          <w:spacing w:val="-1"/>
        </w:rPr>
        <w:t>机构接受住院治疗的，对其因与该次住院相同的原因在该次住院前后各七日内</w:t>
      </w:r>
    </w:p>
    <w:p>
      <w:pPr>
        <w:spacing w:line="282" w:lineRule="exact" w:before="0"/>
        <w:ind w:left="210" w:right="0" w:firstLine="0"/>
        <w:jc w:val="both"/>
        <w:rPr>
          <w:rFonts w:ascii="微软雅黑" w:eastAsia="微软雅黑"/>
          <w:b/>
          <w:sz w:val="21"/>
        </w:rPr>
      </w:pPr>
      <w:r>
        <w:rPr>
          <w:rFonts w:ascii="微软雅黑" w:eastAsia="微软雅黑"/>
          <w:b/>
          <w:spacing w:val="-2"/>
          <w:sz w:val="21"/>
        </w:rPr>
        <w:t>（不含住院、出院当日）</w:t>
      </w:r>
      <w:r>
        <w:rPr>
          <w:spacing w:val="-2"/>
          <w:sz w:val="21"/>
        </w:rPr>
        <w:t>支出的医疗必需且合理的</w:t>
      </w:r>
      <w:r>
        <w:rPr>
          <w:rFonts w:ascii="微软雅黑" w:eastAsia="微软雅黑"/>
          <w:b/>
          <w:spacing w:val="-3"/>
          <w:sz w:val="21"/>
        </w:rPr>
        <w:t>门诊急诊医疗费用 </w:t>
      </w:r>
      <w:r>
        <w:rPr>
          <w:spacing w:val="-2"/>
          <w:position w:val="11"/>
          <w:sz w:val="11"/>
        </w:rPr>
        <w:t>9.14</w:t>
      </w:r>
      <w:r>
        <w:rPr>
          <w:rFonts w:ascii="微软雅黑" w:eastAsia="微软雅黑"/>
          <w:b/>
          <w:spacing w:val="-2"/>
          <w:sz w:val="21"/>
        </w:rPr>
        <w:t>（</w:t>
      </w:r>
      <w:r>
        <w:rPr>
          <w:rFonts w:ascii="微软雅黑" w:eastAsia="微软雅黑"/>
          <w:b/>
          <w:spacing w:val="-6"/>
          <w:sz w:val="21"/>
        </w:rPr>
        <w:t>不包</w:t>
      </w:r>
    </w:p>
    <w:p>
      <w:pPr>
        <w:spacing w:line="211" w:lineRule="auto" w:before="0"/>
        <w:ind w:left="210" w:right="436" w:firstLine="0"/>
        <w:jc w:val="both"/>
        <w:rPr>
          <w:sz w:val="21"/>
        </w:rPr>
      </w:pPr>
      <w:r>
        <w:rPr>
          <w:rFonts w:ascii="微软雅黑" w:eastAsia="微软雅黑"/>
          <w:b/>
          <w:spacing w:val="-2"/>
          <w:sz w:val="21"/>
        </w:rPr>
        <w:t>括上述门诊肾透析费、门诊恶性肿瘤治疗费、器官移植后的门诊抗排异治疗费</w:t>
      </w:r>
      <w:r>
        <w:rPr>
          <w:rFonts w:ascii="微软雅黑" w:eastAsia="微软雅黑"/>
          <w:b/>
          <w:spacing w:val="-2"/>
          <w:sz w:val="21"/>
        </w:rPr>
        <w:t>和门诊手术医疗费用</w:t>
      </w:r>
      <w:r>
        <w:rPr>
          <w:rFonts w:ascii="微软雅黑" w:eastAsia="微软雅黑"/>
          <w:b/>
          <w:spacing w:val="-99"/>
          <w:sz w:val="21"/>
        </w:rPr>
        <w:t>）</w:t>
      </w:r>
      <w:r>
        <w:rPr>
          <w:spacing w:val="-27"/>
          <w:sz w:val="21"/>
        </w:rPr>
        <w:t>，我们在</w:t>
      </w:r>
      <w:r>
        <w:rPr>
          <w:rFonts w:ascii="微软雅黑" w:eastAsia="微软雅黑"/>
          <w:b/>
          <w:spacing w:val="-2"/>
          <w:sz w:val="21"/>
        </w:rPr>
        <w:t>扣除本合同约定的免赔额</w:t>
      </w:r>
      <w:r>
        <w:rPr>
          <w:spacing w:val="-2"/>
          <w:sz w:val="21"/>
        </w:rPr>
        <w:t>后</w:t>
      </w:r>
      <w:r>
        <w:rPr>
          <w:rFonts w:ascii="微软雅黑" w:eastAsia="微软雅黑"/>
          <w:b/>
          <w:spacing w:val="-2"/>
          <w:sz w:val="21"/>
        </w:rPr>
        <w:t>按约定的给付比例</w:t>
      </w:r>
      <w:r>
        <w:rPr>
          <w:spacing w:val="-2"/>
          <w:sz w:val="21"/>
        </w:rPr>
        <w:t>给</w:t>
      </w:r>
      <w:r>
        <w:rPr>
          <w:spacing w:val="-2"/>
          <w:sz w:val="21"/>
        </w:rPr>
        <w:t>付住院前后门诊急诊医疗保险金。</w:t>
      </w:r>
    </w:p>
    <w:p>
      <w:pPr>
        <w:pStyle w:val="BodyText"/>
        <w:spacing w:before="7"/>
        <w:rPr>
          <w:sz w:val="27"/>
        </w:rPr>
      </w:pPr>
    </w:p>
    <w:p>
      <w:pPr>
        <w:spacing w:line="194" w:lineRule="auto" w:before="0"/>
        <w:ind w:left="210" w:right="436" w:firstLine="0"/>
        <w:jc w:val="left"/>
        <w:rPr>
          <w:rFonts w:ascii="微软雅黑" w:eastAsia="微软雅黑"/>
          <w:b/>
          <w:sz w:val="21"/>
        </w:rPr>
      </w:pPr>
      <w:r>
        <w:rPr>
          <w:rFonts w:ascii="微软雅黑" w:eastAsia="微软雅黑"/>
          <w:b/>
          <w:spacing w:val="-2"/>
          <w:sz w:val="21"/>
        </w:rPr>
        <w:t>在保险期间内，我们对被保险人累计给付的一般医疗保险金以本合同约定的一</w:t>
      </w:r>
      <w:r>
        <w:rPr>
          <w:rFonts w:ascii="微软雅黑" w:eastAsia="微软雅黑"/>
          <w:b/>
          <w:spacing w:val="-2"/>
          <w:sz w:val="21"/>
        </w:rPr>
        <w:t>般医疗保险金年度给付限额为限。</w:t>
      </w:r>
    </w:p>
    <w:p>
      <w:pPr>
        <w:spacing w:after="0" w:line="194" w:lineRule="auto"/>
        <w:jc w:val="left"/>
        <w:rPr>
          <w:rFonts w:ascii="微软雅黑" w:eastAsia="微软雅黑"/>
          <w:sz w:val="21"/>
        </w:rPr>
        <w:sectPr>
          <w:type w:val="continuous"/>
          <w:pgSz w:w="11910" w:h="16840"/>
          <w:pgMar w:header="0" w:footer="401" w:top="600" w:bottom="280" w:left="760" w:right="580"/>
          <w:cols w:num="2" w:equalWidth="0">
            <w:col w:w="2697" w:space="40"/>
            <w:col w:w="7833"/>
          </w:cols>
        </w:sectPr>
      </w:pPr>
    </w:p>
    <w:p>
      <w:pPr>
        <w:pStyle w:val="BodyText"/>
        <w:spacing w:before="5"/>
        <w:rPr>
          <w:rFonts w:ascii="微软雅黑"/>
          <w:b/>
          <w:sz w:val="13"/>
        </w:rPr>
      </w:pPr>
    </w:p>
    <w:p>
      <w:pPr>
        <w:spacing w:after="0"/>
        <w:rPr>
          <w:rFonts w:ascii="微软雅黑"/>
          <w:sz w:val="13"/>
        </w:rPr>
        <w:sectPr>
          <w:type w:val="continuous"/>
          <w:pgSz w:w="11910" w:h="16840"/>
          <w:pgMar w:header="0" w:footer="401" w:top="600" w:bottom="280" w:left="760" w:right="580"/>
        </w:sectPr>
      </w:pPr>
    </w:p>
    <w:p>
      <w:pPr>
        <w:pStyle w:val="ListParagraph"/>
        <w:numPr>
          <w:ilvl w:val="2"/>
          <w:numId w:val="8"/>
        </w:numPr>
        <w:tabs>
          <w:tab w:pos="1006" w:val="left" w:leader="none"/>
          <w:tab w:pos="1007" w:val="left" w:leader="none"/>
        </w:tabs>
        <w:spacing w:line="350" w:lineRule="exact" w:before="4" w:after="0"/>
        <w:ind w:left="1006" w:right="0" w:hanging="747"/>
        <w:jc w:val="left"/>
        <w:rPr>
          <w:rFonts w:ascii="微软雅黑" w:eastAsia="微软雅黑"/>
          <w:b/>
          <w:sz w:val="21"/>
        </w:rPr>
      </w:pPr>
      <w:r>
        <w:rPr>
          <w:rFonts w:ascii="微软雅黑" w:eastAsia="微软雅黑"/>
          <w:b/>
          <w:spacing w:val="-2"/>
          <w:sz w:val="21"/>
        </w:rPr>
        <w:t>重大疾病医疗保险</w:t>
      </w:r>
    </w:p>
    <w:p>
      <w:pPr>
        <w:spacing w:line="350" w:lineRule="exact" w:before="0"/>
        <w:ind w:left="1006" w:right="0" w:firstLine="0"/>
        <w:jc w:val="left"/>
        <w:rPr>
          <w:rFonts w:ascii="微软雅黑" w:eastAsia="微软雅黑"/>
          <w:b/>
          <w:sz w:val="21"/>
        </w:rPr>
      </w:pPr>
      <w:r>
        <w:rPr>
          <w:rFonts w:ascii="微软雅黑" w:eastAsia="微软雅黑"/>
          <w:b/>
          <w:w w:val="100"/>
          <w:sz w:val="21"/>
        </w:rPr>
        <w:t>金</w:t>
      </w:r>
    </w:p>
    <w:p>
      <w:pPr>
        <w:spacing w:line="194" w:lineRule="auto" w:before="57"/>
        <w:ind w:left="210" w:right="450" w:firstLine="0"/>
        <w:jc w:val="both"/>
        <w:rPr>
          <w:rFonts w:ascii="微软雅黑" w:hAnsi="微软雅黑" w:eastAsia="微软雅黑"/>
          <w:b/>
          <w:sz w:val="21"/>
        </w:rPr>
      </w:pPr>
      <w:r>
        <w:rPr/>
        <w:br w:type="column"/>
      </w:r>
      <w:r>
        <w:rPr>
          <w:rFonts w:ascii="微软雅黑" w:hAnsi="微软雅黑" w:eastAsia="微软雅黑"/>
          <w:b/>
          <w:spacing w:val="-10"/>
          <w:sz w:val="21"/>
        </w:rPr>
        <w:t>本合同“重大疾病医疗保险金”包括“重大疾病住院医疗保险金”、“重大疾病</w:t>
      </w:r>
      <w:r>
        <w:rPr>
          <w:rFonts w:ascii="微软雅黑" w:hAnsi="微软雅黑" w:eastAsia="微软雅黑"/>
          <w:b/>
          <w:spacing w:val="-17"/>
          <w:sz w:val="21"/>
        </w:rPr>
        <w:t>特殊门诊医疗保险金”、“重大疾病门诊手术医疗保险金”和“重大疾病住院前</w:t>
      </w:r>
      <w:r>
        <w:rPr>
          <w:rFonts w:ascii="微软雅黑" w:hAnsi="微软雅黑" w:eastAsia="微软雅黑"/>
          <w:b/>
          <w:spacing w:val="-2"/>
          <w:sz w:val="21"/>
        </w:rPr>
        <w:t>后门诊急诊医疗保险金”四项。</w:t>
      </w:r>
    </w:p>
    <w:p>
      <w:pPr>
        <w:spacing w:line="211" w:lineRule="auto" w:before="112"/>
        <w:ind w:left="210" w:right="450" w:firstLine="0"/>
        <w:jc w:val="both"/>
        <w:rPr>
          <w:rFonts w:ascii="微软雅黑" w:eastAsia="微软雅黑"/>
          <w:b/>
          <w:sz w:val="21"/>
        </w:rPr>
      </w:pPr>
      <w:r>
        <w:rPr>
          <w:spacing w:val="-2"/>
          <w:sz w:val="21"/>
        </w:rPr>
        <w:t>被保险人因意外伤害或于等待期后因意外伤害以外的原因在本公司认可的医疗</w:t>
      </w:r>
      <w:r>
        <w:rPr>
          <w:sz w:val="21"/>
        </w:rPr>
        <w:t>机构内被</w:t>
      </w:r>
      <w:r>
        <w:rPr>
          <w:rFonts w:ascii="微软雅黑" w:eastAsia="微软雅黑"/>
          <w:b/>
          <w:sz w:val="21"/>
        </w:rPr>
        <w:t>专科医生 </w:t>
      </w:r>
      <w:r>
        <w:rPr>
          <w:position w:val="11"/>
          <w:sz w:val="11"/>
        </w:rPr>
        <w:t>9.15</w:t>
      </w:r>
      <w:r>
        <w:rPr>
          <w:spacing w:val="-14"/>
          <w:position w:val="11"/>
          <w:sz w:val="11"/>
        </w:rPr>
        <w:t> </w:t>
      </w:r>
      <w:r>
        <w:rPr>
          <w:rFonts w:ascii="微软雅黑" w:eastAsia="微软雅黑"/>
          <w:b/>
          <w:sz w:val="21"/>
        </w:rPr>
        <w:t>初次确诊本合同所定义的重大疾病 </w:t>
      </w:r>
      <w:r>
        <w:rPr>
          <w:position w:val="11"/>
          <w:sz w:val="11"/>
        </w:rPr>
        <w:t>9.16</w:t>
      </w:r>
      <w:r>
        <w:rPr>
          <w:sz w:val="21"/>
        </w:rPr>
        <w:t>，并在本公司认可</w:t>
      </w:r>
      <w:r>
        <w:rPr>
          <w:spacing w:val="-2"/>
          <w:sz w:val="21"/>
        </w:rPr>
        <w:t>的医疗机构接受住院治疗、特殊门诊治疗、门诊手术治疗或住院前后门诊急诊</w:t>
      </w:r>
      <w:r>
        <w:rPr>
          <w:spacing w:val="-2"/>
          <w:sz w:val="21"/>
        </w:rPr>
        <w:t>治疗的，</w:t>
      </w:r>
      <w:r>
        <w:rPr>
          <w:rFonts w:ascii="微软雅黑" w:eastAsia="微软雅黑"/>
          <w:b/>
          <w:spacing w:val="-2"/>
          <w:sz w:val="21"/>
        </w:rPr>
        <w:t>我们首先按照一般医疗保险金的约定给付一般医疗保险金，当累计金</w:t>
      </w:r>
      <w:r>
        <w:rPr>
          <w:rFonts w:ascii="微软雅黑" w:eastAsia="微软雅黑"/>
          <w:b/>
          <w:spacing w:val="-2"/>
          <w:sz w:val="21"/>
        </w:rPr>
        <w:t>额达到一般医疗保险金基本保险金额后，我们将按以下约定给付重大疾病医疗</w:t>
      </w:r>
      <w:r>
        <w:rPr>
          <w:rFonts w:ascii="微软雅黑" w:eastAsia="微软雅黑"/>
          <w:b/>
          <w:spacing w:val="-4"/>
          <w:sz w:val="21"/>
        </w:rPr>
        <w:t>保险金：</w:t>
      </w:r>
    </w:p>
    <w:p>
      <w:pPr>
        <w:spacing w:after="0" w:line="211" w:lineRule="auto"/>
        <w:jc w:val="both"/>
        <w:rPr>
          <w:rFonts w:ascii="微软雅黑" w:eastAsia="微软雅黑"/>
          <w:sz w:val="21"/>
        </w:rPr>
        <w:sectPr>
          <w:type w:val="continuous"/>
          <w:pgSz w:w="11910" w:h="16840"/>
          <w:pgMar w:header="0" w:footer="401" w:top="600" w:bottom="280" w:left="760" w:right="580"/>
          <w:cols w:num="2" w:equalWidth="0">
            <w:col w:w="2697" w:space="40"/>
            <w:col w:w="7833"/>
          </w:cols>
        </w:sectPr>
      </w:pPr>
    </w:p>
    <w:p>
      <w:pPr>
        <w:pStyle w:val="BodyText"/>
        <w:spacing w:before="7"/>
        <w:rPr>
          <w:rFonts w:ascii="微软雅黑"/>
          <w:b/>
          <w:sz w:val="13"/>
        </w:rPr>
      </w:pPr>
    </w:p>
    <w:p>
      <w:pPr>
        <w:spacing w:after="0"/>
        <w:rPr>
          <w:rFonts w:ascii="微软雅黑"/>
          <w:sz w:val="13"/>
        </w:rPr>
        <w:sectPr>
          <w:type w:val="continuous"/>
          <w:pgSz w:w="11910" w:h="16840"/>
          <w:pgMar w:header="0" w:footer="401" w:top="600" w:bottom="280" w:left="760" w:right="580"/>
        </w:sectPr>
      </w:pPr>
    </w:p>
    <w:p>
      <w:pPr>
        <w:pStyle w:val="Heading2"/>
        <w:spacing w:line="194" w:lineRule="auto" w:before="57"/>
      </w:pPr>
      <w:r>
        <w:rPr>
          <w:spacing w:val="-2"/>
        </w:rPr>
        <w:t>重大疾病住院医疗</w:t>
      </w:r>
      <w:r>
        <w:rPr>
          <w:spacing w:val="-4"/>
        </w:rPr>
        <w:t>保险金</w:t>
      </w:r>
    </w:p>
    <w:p>
      <w:pPr>
        <w:pStyle w:val="BodyText"/>
        <w:spacing w:line="278" w:lineRule="auto" w:before="72"/>
        <w:ind w:left="210" w:right="436"/>
        <w:jc w:val="both"/>
      </w:pPr>
      <w:r>
        <w:rPr/>
        <w:br w:type="column"/>
      </w:r>
      <w:r>
        <w:rPr>
          <w:spacing w:val="-2"/>
        </w:rPr>
        <w:t>被保险人因意外伤害或于等待期后因意外伤害以外的原因在本公司认可的医疗</w:t>
      </w:r>
      <w:r>
        <w:rPr>
          <w:spacing w:val="-2"/>
        </w:rPr>
        <w:t>机构内被专科医生初次确诊本合同所定义的重大疾病，并在本公司认可的医疗</w:t>
      </w:r>
      <w:r>
        <w:rPr>
          <w:spacing w:val="-1"/>
        </w:rPr>
        <w:t>机构接受住院治疗的，对其住院期间支出的医疗必需且合理的重大疾病住院医</w:t>
      </w:r>
    </w:p>
    <w:p>
      <w:pPr>
        <w:spacing w:line="320" w:lineRule="exact" w:before="0"/>
        <w:ind w:left="210" w:right="0" w:firstLine="0"/>
        <w:jc w:val="left"/>
        <w:rPr>
          <w:sz w:val="21"/>
        </w:rPr>
      </w:pPr>
      <w:r>
        <w:rPr>
          <w:spacing w:val="-2"/>
          <w:sz w:val="21"/>
        </w:rPr>
        <w:t>疗费用，我们</w:t>
      </w:r>
      <w:r>
        <w:rPr>
          <w:rFonts w:ascii="微软雅黑" w:eastAsia="微软雅黑"/>
          <w:b/>
          <w:spacing w:val="-2"/>
          <w:sz w:val="21"/>
        </w:rPr>
        <w:t>按约定的给付比例</w:t>
      </w:r>
      <w:r>
        <w:rPr>
          <w:spacing w:val="-3"/>
          <w:sz w:val="21"/>
        </w:rPr>
        <w:t>给付重大疾病住院医疗保险金。</w:t>
      </w:r>
    </w:p>
    <w:p>
      <w:pPr>
        <w:spacing w:line="194" w:lineRule="auto" w:before="68"/>
        <w:ind w:left="210" w:right="438" w:firstLine="0"/>
        <w:jc w:val="left"/>
        <w:rPr>
          <w:rFonts w:ascii="微软雅黑" w:eastAsia="微软雅黑"/>
          <w:b/>
          <w:sz w:val="21"/>
        </w:rPr>
      </w:pPr>
      <w:r>
        <w:rPr>
          <w:spacing w:val="-2"/>
          <w:sz w:val="21"/>
        </w:rPr>
        <w:t>在每一保单年度内，重大疾病住院的最高给付日数为一百八十日，</w:t>
      </w:r>
      <w:r>
        <w:rPr>
          <w:rFonts w:ascii="微软雅黑" w:eastAsia="微软雅黑"/>
          <w:b/>
          <w:spacing w:val="-2"/>
          <w:sz w:val="21"/>
        </w:rPr>
        <w:t>我们对累计</w:t>
      </w:r>
      <w:r>
        <w:rPr>
          <w:rFonts w:ascii="微软雅黑" w:eastAsia="微软雅黑"/>
          <w:b/>
          <w:spacing w:val="-2"/>
          <w:sz w:val="21"/>
        </w:rPr>
        <w:t>重大疾病住院超过一百八十日发生的医疗费用，不承担保险责任。</w:t>
      </w:r>
    </w:p>
    <w:p>
      <w:pPr>
        <w:spacing w:line="312" w:lineRule="exact" w:before="66"/>
        <w:ind w:left="210" w:right="472" w:firstLine="0"/>
        <w:jc w:val="both"/>
        <w:rPr>
          <w:rFonts w:ascii="微软雅黑" w:eastAsia="微软雅黑"/>
          <w:b/>
          <w:sz w:val="21"/>
        </w:rPr>
      </w:pPr>
      <w:r>
        <w:rPr>
          <w:spacing w:val="-2"/>
          <w:sz w:val="21"/>
        </w:rPr>
        <w:t>被保险人在保险期间届满日住院治疗仍未结束且在保险期间届满未重新向本公</w:t>
      </w:r>
      <w:r>
        <w:rPr>
          <w:spacing w:val="-2"/>
          <w:sz w:val="21"/>
        </w:rPr>
        <w:t>司申请投保本产品的，我们将继续承担因该次住院发生的重大疾病住院医疗保</w:t>
      </w:r>
      <w:r>
        <w:rPr>
          <w:spacing w:val="-2"/>
          <w:sz w:val="21"/>
        </w:rPr>
        <w:t>险金给付责任，</w:t>
      </w:r>
      <w:r>
        <w:rPr>
          <w:rFonts w:ascii="微软雅黑" w:eastAsia="微软雅黑"/>
          <w:b/>
          <w:spacing w:val="-2"/>
          <w:sz w:val="21"/>
        </w:rPr>
        <w:t>但最长不超过本合同保险期间届满日后一百八十日。</w:t>
      </w:r>
    </w:p>
    <w:p>
      <w:pPr>
        <w:spacing w:after="0" w:line="312" w:lineRule="exact"/>
        <w:jc w:val="both"/>
        <w:rPr>
          <w:rFonts w:ascii="微软雅黑" w:eastAsia="微软雅黑"/>
          <w:sz w:val="21"/>
        </w:rPr>
        <w:sectPr>
          <w:type w:val="continuous"/>
          <w:pgSz w:w="11910" w:h="16840"/>
          <w:pgMar w:header="0" w:footer="401" w:top="600" w:bottom="280" w:left="760" w:right="580"/>
          <w:cols w:num="2" w:equalWidth="0">
            <w:col w:w="2697" w:space="40"/>
            <w:col w:w="7833"/>
          </w:cols>
        </w:sectPr>
      </w:pPr>
    </w:p>
    <w:p>
      <w:pPr>
        <w:pStyle w:val="BodyText"/>
        <w:spacing w:before="11"/>
        <w:rPr>
          <w:rFonts w:ascii="微软雅黑"/>
          <w:b/>
          <w:sz w:val="10"/>
        </w:rPr>
      </w:pPr>
    </w:p>
    <w:p>
      <w:pPr>
        <w:spacing w:after="0"/>
        <w:rPr>
          <w:rFonts w:ascii="微软雅黑"/>
          <w:sz w:val="10"/>
        </w:rPr>
        <w:sectPr>
          <w:type w:val="continuous"/>
          <w:pgSz w:w="11910" w:h="16840"/>
          <w:pgMar w:header="0" w:footer="401" w:top="600" w:bottom="280" w:left="760" w:right="580"/>
        </w:sectPr>
      </w:pPr>
    </w:p>
    <w:p>
      <w:pPr>
        <w:pStyle w:val="Heading2"/>
        <w:spacing w:line="194" w:lineRule="auto" w:before="58"/>
      </w:pPr>
      <w:r>
        <w:rPr>
          <w:spacing w:val="-2"/>
        </w:rPr>
        <w:t>重大疾病特殊门诊</w:t>
      </w:r>
      <w:r>
        <w:rPr>
          <w:spacing w:val="-2"/>
        </w:rPr>
        <w:t>医疗保险金</w:t>
      </w:r>
    </w:p>
    <w:p>
      <w:pPr>
        <w:pStyle w:val="BodyText"/>
        <w:spacing w:line="312" w:lineRule="exact" w:before="32"/>
        <w:ind w:left="210" w:right="436"/>
        <w:jc w:val="both"/>
      </w:pPr>
      <w:r>
        <w:rPr/>
        <w:br w:type="column"/>
      </w:r>
      <w:r>
        <w:rPr>
          <w:spacing w:val="-2"/>
        </w:rPr>
        <w:t>被保险人因意外伤害或于等待期后因意外伤害以外的原因在本公司认可的医疗</w:t>
      </w:r>
      <w:r>
        <w:rPr>
          <w:spacing w:val="-2"/>
        </w:rPr>
        <w:t>机构内被专科医生初次确诊本合同所定义的重大疾病，并在本公司认可的医疗</w:t>
      </w:r>
      <w:r>
        <w:rPr>
          <w:spacing w:val="-2"/>
        </w:rPr>
        <w:t>机构接受以下特殊门诊治疗的，对其支出的医疗必需且合理的如下重大疾病特</w:t>
      </w:r>
      <w:r>
        <w:rPr>
          <w:spacing w:val="-2"/>
        </w:rPr>
        <w:t>殊门诊医疗费用，我们</w:t>
      </w:r>
      <w:r>
        <w:rPr>
          <w:rFonts w:ascii="微软雅黑" w:eastAsia="微软雅黑"/>
          <w:b/>
          <w:spacing w:val="-2"/>
        </w:rPr>
        <w:t>按约定的给付比例</w:t>
      </w:r>
      <w:r>
        <w:rPr>
          <w:spacing w:val="-3"/>
        </w:rPr>
        <w:t>给付重大疾病特殊门诊医疗保险金：</w:t>
      </w:r>
    </w:p>
    <w:p>
      <w:pPr>
        <w:pStyle w:val="ListParagraph"/>
        <w:numPr>
          <w:ilvl w:val="0"/>
          <w:numId w:val="10"/>
        </w:numPr>
        <w:tabs>
          <w:tab w:pos="740" w:val="left" w:leader="none"/>
        </w:tabs>
        <w:spacing w:line="240" w:lineRule="auto" w:before="131" w:after="0"/>
        <w:ind w:left="739" w:right="0" w:hanging="530"/>
        <w:jc w:val="left"/>
        <w:rPr>
          <w:sz w:val="21"/>
        </w:rPr>
      </w:pPr>
      <w:r>
        <w:rPr>
          <w:spacing w:val="-4"/>
          <w:sz w:val="21"/>
        </w:rPr>
        <w:t>门诊肾透析费；</w:t>
      </w:r>
    </w:p>
    <w:p>
      <w:pPr>
        <w:pStyle w:val="ListParagraph"/>
        <w:numPr>
          <w:ilvl w:val="0"/>
          <w:numId w:val="10"/>
        </w:numPr>
        <w:tabs>
          <w:tab w:pos="740" w:val="left" w:leader="none"/>
        </w:tabs>
        <w:spacing w:line="278" w:lineRule="auto" w:before="137" w:after="0"/>
        <w:ind w:left="735" w:right="433" w:hanging="526"/>
        <w:jc w:val="left"/>
        <w:rPr>
          <w:sz w:val="21"/>
        </w:rPr>
      </w:pPr>
      <w:r>
        <w:rPr>
          <w:spacing w:val="-4"/>
          <w:sz w:val="21"/>
        </w:rPr>
        <w:t>门诊恶性肿瘤治疗费，包括化学疗法、放射疗法、肿瘤免疫疗法、肿瘤内</w:t>
      </w:r>
      <w:r>
        <w:rPr>
          <w:spacing w:val="-2"/>
          <w:sz w:val="21"/>
        </w:rPr>
        <w:t>分泌疗法、肿瘤靶向疗法治疗费；</w:t>
      </w:r>
    </w:p>
    <w:p>
      <w:pPr>
        <w:pStyle w:val="ListParagraph"/>
        <w:numPr>
          <w:ilvl w:val="0"/>
          <w:numId w:val="10"/>
        </w:numPr>
        <w:tabs>
          <w:tab w:pos="740" w:val="left" w:leader="none"/>
        </w:tabs>
        <w:spacing w:line="240" w:lineRule="auto" w:before="94" w:after="0"/>
        <w:ind w:left="739" w:right="0" w:hanging="530"/>
        <w:jc w:val="left"/>
        <w:rPr>
          <w:sz w:val="21"/>
        </w:rPr>
      </w:pPr>
      <w:r>
        <w:rPr>
          <w:spacing w:val="-3"/>
          <w:sz w:val="21"/>
        </w:rPr>
        <w:t>器官移植后的门诊抗排异治疗费。</w:t>
      </w:r>
    </w:p>
    <w:p>
      <w:pPr>
        <w:spacing w:after="0" w:line="240" w:lineRule="auto"/>
        <w:jc w:val="left"/>
        <w:rPr>
          <w:sz w:val="21"/>
        </w:rPr>
        <w:sectPr>
          <w:type w:val="continuous"/>
          <w:pgSz w:w="11910" w:h="16840"/>
          <w:pgMar w:header="0" w:footer="401" w:top="600" w:bottom="280" w:left="760" w:right="580"/>
          <w:cols w:num="2" w:equalWidth="0">
            <w:col w:w="2697" w:space="40"/>
            <w:col w:w="7833"/>
          </w:cols>
        </w:sectPr>
      </w:pPr>
    </w:p>
    <w:p>
      <w:pPr>
        <w:pStyle w:val="BodyText"/>
        <w:spacing w:before="8"/>
        <w:rPr>
          <w:sz w:val="22"/>
        </w:rPr>
      </w:pPr>
    </w:p>
    <w:p>
      <w:pPr>
        <w:spacing w:after="0"/>
        <w:rPr>
          <w:sz w:val="22"/>
        </w:rPr>
        <w:sectPr>
          <w:type w:val="continuous"/>
          <w:pgSz w:w="11910" w:h="16840"/>
          <w:pgMar w:header="0" w:footer="401" w:top="600" w:bottom="280" w:left="760" w:right="580"/>
        </w:sectPr>
      </w:pPr>
    </w:p>
    <w:p>
      <w:pPr>
        <w:pStyle w:val="Heading2"/>
        <w:spacing w:line="194" w:lineRule="auto" w:before="58"/>
      </w:pPr>
      <w:r>
        <w:rPr>
          <w:spacing w:val="-2"/>
        </w:rPr>
        <w:t>重大疾病门诊手术</w:t>
      </w:r>
      <w:r>
        <w:rPr>
          <w:spacing w:val="-2"/>
        </w:rPr>
        <w:t>医疗保险金</w:t>
      </w:r>
    </w:p>
    <w:p>
      <w:pPr>
        <w:pStyle w:val="BodyText"/>
        <w:spacing w:line="312" w:lineRule="exact" w:before="32"/>
        <w:ind w:left="210" w:right="471"/>
        <w:jc w:val="both"/>
      </w:pPr>
      <w:r>
        <w:rPr/>
        <w:br w:type="column"/>
      </w:r>
      <w:r>
        <w:rPr>
          <w:spacing w:val="-2"/>
        </w:rPr>
        <w:t>被保险人因意外伤害或于等待期后因意外伤害以外的原因在本公司认可的医疗</w:t>
      </w:r>
      <w:r>
        <w:rPr>
          <w:spacing w:val="-2"/>
        </w:rPr>
        <w:t>机构内被专科医生初次确诊本合同所定义的重大疾病，并在本公司认可的医疗</w:t>
      </w:r>
      <w:r>
        <w:rPr>
          <w:spacing w:val="-2"/>
        </w:rPr>
        <w:t>机构接受门诊手术治疗的，对其支出的医疗必需且合理的重大疾病门诊手术医</w:t>
      </w:r>
      <w:r>
        <w:rPr>
          <w:spacing w:val="-2"/>
        </w:rPr>
        <w:t>疗费用，我们</w:t>
      </w:r>
      <w:r>
        <w:rPr>
          <w:rFonts w:ascii="微软雅黑" w:eastAsia="微软雅黑"/>
          <w:b/>
          <w:spacing w:val="-2"/>
        </w:rPr>
        <w:t>按约定的给付比例</w:t>
      </w:r>
      <w:r>
        <w:rPr>
          <w:spacing w:val="-2"/>
        </w:rPr>
        <w:t>给付重大疾病门诊手术医疗保险金。</w:t>
      </w:r>
    </w:p>
    <w:p>
      <w:pPr>
        <w:spacing w:after="0" w:line="312" w:lineRule="exact"/>
        <w:jc w:val="both"/>
        <w:sectPr>
          <w:type w:val="continuous"/>
          <w:pgSz w:w="11910" w:h="16840"/>
          <w:pgMar w:header="0" w:footer="401" w:top="600" w:bottom="280" w:left="760" w:right="580"/>
          <w:cols w:num="2" w:equalWidth="0">
            <w:col w:w="2697" w:space="40"/>
            <w:col w:w="7833"/>
          </w:cols>
        </w:sectPr>
      </w:pPr>
    </w:p>
    <w:p>
      <w:pPr>
        <w:pStyle w:val="Heading2"/>
        <w:spacing w:line="194" w:lineRule="auto" w:before="30"/>
        <w:jc w:val="both"/>
      </w:pPr>
      <w:r>
        <w:rPr>
          <w:spacing w:val="-2"/>
        </w:rPr>
        <w:t>重大疾病住院前后</w:t>
      </w:r>
      <w:r>
        <w:rPr>
          <w:spacing w:val="-2"/>
        </w:rPr>
        <w:t>门诊急诊医疗保险</w:t>
      </w:r>
      <w:r>
        <w:rPr>
          <w:spacing w:val="-10"/>
        </w:rPr>
        <w:t>金</w:t>
      </w:r>
    </w:p>
    <w:p>
      <w:pPr>
        <w:pStyle w:val="BodyText"/>
        <w:spacing w:line="278" w:lineRule="auto" w:before="45"/>
        <w:ind w:left="210" w:right="471"/>
      </w:pPr>
      <w:r>
        <w:rPr/>
        <w:br w:type="column"/>
      </w:r>
      <w:r>
        <w:rPr>
          <w:spacing w:val="-2"/>
        </w:rPr>
        <w:t>被保险人因意外伤害或于等待期后因意外伤害以外的原因在本公司认可的医疗</w:t>
      </w:r>
      <w:r>
        <w:rPr>
          <w:spacing w:val="-3"/>
        </w:rPr>
        <w:t>机构内被专科医生初次确诊本合同所定义的重大疾病，并在本公司认可的医疗</w:t>
      </w:r>
    </w:p>
    <w:p>
      <w:pPr>
        <w:spacing w:line="208" w:lineRule="auto" w:before="27"/>
        <w:ind w:left="210" w:right="438" w:firstLine="0"/>
        <w:jc w:val="both"/>
        <w:rPr>
          <w:sz w:val="21"/>
        </w:rPr>
      </w:pPr>
      <w:r>
        <w:rPr>
          <w:spacing w:val="-2"/>
          <w:sz w:val="21"/>
        </w:rPr>
        <w:t>机构接受住院治疗的，对于其因与该次住院相同的原因在该次住院前后各七日内</w:t>
      </w:r>
      <w:r>
        <w:rPr>
          <w:rFonts w:ascii="微软雅黑" w:eastAsia="微软雅黑"/>
          <w:b/>
          <w:spacing w:val="-2"/>
          <w:sz w:val="21"/>
        </w:rPr>
        <w:t>（不含住院、出院当日）</w:t>
      </w:r>
      <w:r>
        <w:rPr>
          <w:spacing w:val="-2"/>
          <w:sz w:val="21"/>
        </w:rPr>
        <w:t>支出的医疗必需且合理的重大疾病门诊急诊医疗费用</w:t>
      </w:r>
      <w:r>
        <w:rPr>
          <w:rFonts w:ascii="微软雅黑" w:eastAsia="微软雅黑"/>
          <w:b/>
          <w:spacing w:val="-2"/>
          <w:sz w:val="21"/>
        </w:rPr>
        <w:t>（不包括上述门诊肾透析费、门诊恶性肿瘤治疗费、器官移植后的门诊抗排</w:t>
      </w:r>
      <w:r>
        <w:rPr>
          <w:rFonts w:ascii="微软雅黑" w:eastAsia="微软雅黑"/>
          <w:b/>
          <w:spacing w:val="-2"/>
          <w:sz w:val="21"/>
        </w:rPr>
        <w:t>异治疗费和门诊手术医疗费用</w:t>
      </w:r>
      <w:r>
        <w:rPr>
          <w:rFonts w:ascii="微软雅黑" w:eastAsia="微软雅黑"/>
          <w:b/>
          <w:spacing w:val="-96"/>
          <w:sz w:val="21"/>
        </w:rPr>
        <w:t>）</w:t>
      </w:r>
      <w:r>
        <w:rPr>
          <w:spacing w:val="-34"/>
          <w:sz w:val="21"/>
        </w:rPr>
        <w:t>，我们</w:t>
      </w:r>
      <w:r>
        <w:rPr>
          <w:rFonts w:ascii="微软雅黑" w:eastAsia="微软雅黑"/>
          <w:b/>
          <w:spacing w:val="-2"/>
          <w:sz w:val="21"/>
        </w:rPr>
        <w:t>按约定的给付比例</w:t>
      </w:r>
      <w:r>
        <w:rPr>
          <w:spacing w:val="-2"/>
          <w:sz w:val="21"/>
        </w:rPr>
        <w:t>给付重大疾病住院前后</w:t>
      </w:r>
      <w:r>
        <w:rPr>
          <w:spacing w:val="-2"/>
          <w:sz w:val="21"/>
        </w:rPr>
        <w:t>门诊急诊医疗保险金。</w:t>
      </w:r>
    </w:p>
    <w:p>
      <w:pPr>
        <w:pStyle w:val="BodyText"/>
        <w:spacing w:before="12"/>
        <w:rPr>
          <w:sz w:val="20"/>
        </w:rPr>
      </w:pPr>
    </w:p>
    <w:p>
      <w:pPr>
        <w:spacing w:line="194" w:lineRule="auto" w:before="0"/>
        <w:ind w:left="210" w:right="450" w:firstLine="0"/>
        <w:jc w:val="left"/>
        <w:rPr>
          <w:rFonts w:ascii="微软雅黑" w:eastAsia="微软雅黑"/>
          <w:b/>
          <w:sz w:val="21"/>
        </w:rPr>
      </w:pPr>
      <w:r>
        <w:rPr>
          <w:rFonts w:ascii="微软雅黑" w:eastAsia="微软雅黑"/>
          <w:b/>
          <w:spacing w:val="-2"/>
          <w:sz w:val="21"/>
        </w:rPr>
        <w:t>在保险期间内，我们对被保险人累计给付的重大疾病医疗保险金以本合同约定</w:t>
      </w:r>
      <w:r>
        <w:rPr>
          <w:rFonts w:ascii="微软雅黑" w:eastAsia="微软雅黑"/>
          <w:b/>
          <w:spacing w:val="-2"/>
          <w:sz w:val="21"/>
        </w:rPr>
        <w:t>的重大疾病医疗保险金年度给付限额为限。</w:t>
      </w:r>
    </w:p>
    <w:p>
      <w:pPr>
        <w:spacing w:after="0" w:line="194" w:lineRule="auto"/>
        <w:jc w:val="left"/>
        <w:rPr>
          <w:rFonts w:ascii="微软雅黑" w:eastAsia="微软雅黑"/>
          <w:sz w:val="21"/>
        </w:rPr>
        <w:sectPr>
          <w:pgSz w:w="11910" w:h="16840"/>
          <w:pgMar w:header="0" w:footer="401" w:top="1320" w:bottom="600" w:left="760" w:right="580"/>
          <w:cols w:num="2" w:equalWidth="0">
            <w:col w:w="2697" w:space="40"/>
            <w:col w:w="7833"/>
          </w:cols>
        </w:sectPr>
      </w:pPr>
    </w:p>
    <w:p>
      <w:pPr>
        <w:pStyle w:val="BodyText"/>
        <w:spacing w:before="18"/>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1"/>
          <w:numId w:val="7"/>
        </w:numPr>
        <w:tabs>
          <w:tab w:pos="1006" w:val="left" w:leader="none"/>
          <w:tab w:pos="1007" w:val="left" w:leader="none"/>
        </w:tabs>
        <w:spacing w:line="350" w:lineRule="exact" w:before="4" w:after="0"/>
        <w:ind w:left="1006" w:right="0" w:hanging="747"/>
        <w:jc w:val="left"/>
        <w:rPr>
          <w:rFonts w:ascii="微软雅黑" w:eastAsia="微软雅黑"/>
          <w:b/>
          <w:sz w:val="21"/>
        </w:rPr>
      </w:pPr>
      <w:r>
        <w:rPr>
          <w:rFonts w:ascii="微软雅黑" w:eastAsia="微软雅黑"/>
          <w:b/>
          <w:spacing w:val="-2"/>
          <w:sz w:val="21"/>
        </w:rPr>
        <w:t>补偿原则及给付标</w:t>
      </w:r>
    </w:p>
    <w:p>
      <w:pPr>
        <w:spacing w:line="350" w:lineRule="exact" w:before="0"/>
        <w:ind w:left="1006" w:right="0" w:firstLine="0"/>
        <w:jc w:val="left"/>
        <w:rPr>
          <w:rFonts w:ascii="微软雅黑" w:eastAsia="微软雅黑"/>
          <w:b/>
          <w:sz w:val="21"/>
        </w:rPr>
      </w:pPr>
      <w:r>
        <w:rPr>
          <w:rFonts w:ascii="微软雅黑" w:eastAsia="微软雅黑"/>
          <w:b/>
          <w:w w:val="100"/>
          <w:sz w:val="21"/>
        </w:rPr>
        <w:t>准</w:t>
      </w:r>
    </w:p>
    <w:p>
      <w:pPr>
        <w:spacing w:line="194" w:lineRule="auto" w:before="57"/>
        <w:ind w:left="210" w:right="436" w:firstLine="0"/>
        <w:jc w:val="both"/>
        <w:rPr>
          <w:rFonts w:ascii="微软雅黑" w:eastAsia="微软雅黑"/>
          <w:b/>
          <w:sz w:val="21"/>
        </w:rPr>
      </w:pPr>
      <w:r>
        <w:rPr/>
        <w:br w:type="column"/>
      </w:r>
      <w:r>
        <w:rPr>
          <w:rFonts w:ascii="微软雅黑" w:eastAsia="微软雅黑"/>
          <w:b/>
          <w:spacing w:val="-2"/>
          <w:sz w:val="21"/>
        </w:rPr>
        <w:t>本合同适用医疗费用补偿原则。若被保险人已从其他途径（包括当地社会基本</w:t>
      </w:r>
      <w:r>
        <w:rPr>
          <w:rFonts w:ascii="微软雅黑" w:eastAsia="微软雅黑"/>
          <w:b/>
          <w:spacing w:val="-2"/>
          <w:sz w:val="21"/>
        </w:rPr>
        <w:t>医疗保险 </w:t>
      </w:r>
      <w:r>
        <w:rPr>
          <w:spacing w:val="-2"/>
          <w:position w:val="11"/>
          <w:sz w:val="11"/>
        </w:rPr>
        <w:t>9.17</w:t>
      </w:r>
      <w:r>
        <w:rPr>
          <w:rFonts w:ascii="微软雅黑" w:eastAsia="微软雅黑"/>
          <w:b/>
          <w:spacing w:val="-2"/>
          <w:sz w:val="21"/>
        </w:rPr>
        <w:t>、公费医疗、城乡居民大病保险、工作单位、本公司在内的任何商</w:t>
      </w:r>
      <w:r>
        <w:rPr>
          <w:rFonts w:ascii="微软雅黑" w:eastAsia="微软雅黑"/>
          <w:b/>
          <w:spacing w:val="-2"/>
          <w:sz w:val="21"/>
        </w:rPr>
        <w:t>业保险机构等）获得医疗费用补偿，则我们仅对被保险人实际发生的医疗必需</w:t>
      </w:r>
      <w:r>
        <w:rPr>
          <w:rFonts w:ascii="微软雅黑" w:eastAsia="微软雅黑"/>
          <w:b/>
          <w:spacing w:val="-2"/>
          <w:sz w:val="21"/>
        </w:rPr>
        <w:t>且合理的医疗费用扣除其所获得的医疗费用补偿后的余额按本合同的约定进行</w:t>
      </w:r>
      <w:r>
        <w:rPr>
          <w:rFonts w:ascii="微软雅黑" w:eastAsia="微软雅黑"/>
          <w:b/>
          <w:spacing w:val="-2"/>
          <w:sz w:val="21"/>
        </w:rPr>
        <w:t>给付。当地社会基本医疗保险个人账户部分支出视为个人支付，不属于已获得</w:t>
      </w:r>
      <w:r>
        <w:rPr>
          <w:rFonts w:ascii="微软雅黑" w:eastAsia="微软雅黑"/>
          <w:b/>
          <w:spacing w:val="-2"/>
          <w:sz w:val="21"/>
        </w:rPr>
        <w:t>的医疗费用补偿。</w:t>
      </w:r>
    </w:p>
    <w:p>
      <w:pPr>
        <w:pStyle w:val="BodyText"/>
        <w:spacing w:before="11"/>
        <w:rPr>
          <w:rFonts w:ascii="微软雅黑"/>
          <w:b/>
          <w:sz w:val="14"/>
        </w:rPr>
      </w:pPr>
    </w:p>
    <w:p>
      <w:pPr>
        <w:spacing w:line="199" w:lineRule="auto" w:before="0"/>
        <w:ind w:left="210" w:right="436" w:firstLine="0"/>
        <w:jc w:val="both"/>
        <w:rPr>
          <w:sz w:val="21"/>
        </w:rPr>
      </w:pPr>
      <w:r>
        <w:rPr>
          <w:spacing w:val="-4"/>
          <w:sz w:val="21"/>
        </w:rPr>
        <w:t>本合同约定的医疗费用给付比例为 </w:t>
      </w:r>
      <w:r>
        <w:rPr>
          <w:spacing w:val="-2"/>
          <w:sz w:val="21"/>
        </w:rPr>
        <w:t>100%；若投保时被保险人享有当地社会基本</w:t>
      </w:r>
      <w:r>
        <w:rPr>
          <w:spacing w:val="-2"/>
          <w:sz w:val="21"/>
        </w:rPr>
        <w:t>医疗保险（或公费医疗、城乡居民大病保险）保障，但</w:t>
      </w:r>
      <w:r>
        <w:rPr>
          <w:rFonts w:ascii="微软雅黑" w:eastAsia="微软雅黑"/>
          <w:b/>
          <w:spacing w:val="-2"/>
          <w:sz w:val="21"/>
        </w:rPr>
        <w:t>在保险事故发生时不再</w:t>
      </w:r>
      <w:r>
        <w:rPr>
          <w:rFonts w:ascii="微软雅黑" w:eastAsia="微软雅黑"/>
          <w:b/>
          <w:spacing w:val="-2"/>
          <w:sz w:val="21"/>
        </w:rPr>
        <w:t>享有当地社会基本医疗保险（或公费医疗、城乡居民大病保险）保障或在理赔</w:t>
      </w:r>
      <w:r>
        <w:rPr>
          <w:rFonts w:ascii="微软雅黑" w:eastAsia="微软雅黑"/>
          <w:b/>
          <w:spacing w:val="-2"/>
          <w:sz w:val="21"/>
        </w:rPr>
        <w:t>申请时未从当地社会基本医疗保险（或公费医疗、城乡居民大病保险）管理部</w:t>
      </w:r>
      <w:r>
        <w:rPr>
          <w:rFonts w:ascii="微软雅黑" w:eastAsia="微软雅黑"/>
          <w:b/>
          <w:sz w:val="21"/>
        </w:rPr>
        <w:t>门获得医疗费用补偿的，本合同的医疗费用给付比例为 60%</w:t>
      </w:r>
      <w:r>
        <w:rPr>
          <w:sz w:val="21"/>
        </w:rPr>
        <w:t>。</w:t>
      </w:r>
    </w:p>
    <w:p>
      <w:pPr>
        <w:spacing w:after="0" w:line="199" w:lineRule="auto"/>
        <w:jc w:val="both"/>
        <w:rPr>
          <w:sz w:val="21"/>
        </w:rPr>
        <w:sectPr>
          <w:type w:val="continuous"/>
          <w:pgSz w:w="11910" w:h="16840"/>
          <w:pgMar w:header="0" w:footer="401" w:top="600" w:bottom="280" w:left="760" w:right="580"/>
          <w:cols w:num="2" w:equalWidth="0">
            <w:col w:w="2697" w:space="40"/>
            <w:col w:w="7833"/>
          </w:cols>
        </w:sectPr>
      </w:pPr>
    </w:p>
    <w:p>
      <w:pPr>
        <w:pStyle w:val="BodyText"/>
        <w:spacing w:before="6"/>
        <w:rPr>
          <w:sz w:val="19"/>
        </w:rPr>
      </w:pPr>
    </w:p>
    <w:p>
      <w:pPr>
        <w:pStyle w:val="Heading2"/>
        <w:numPr>
          <w:ilvl w:val="1"/>
          <w:numId w:val="7"/>
        </w:numPr>
        <w:tabs>
          <w:tab w:pos="1007" w:val="left" w:leader="none"/>
          <w:tab w:pos="2946" w:val="left" w:leader="none"/>
        </w:tabs>
        <w:spacing w:line="194" w:lineRule="auto" w:before="57" w:after="0"/>
        <w:ind w:left="2946" w:right="436" w:hanging="2687"/>
        <w:jc w:val="both"/>
        <w:rPr>
          <w:rFonts w:ascii="宋体" w:eastAsia="宋体" w:hint="eastAsia"/>
          <w:b w:val="0"/>
        </w:rPr>
      </w:pPr>
      <w:r>
        <w:rPr>
          <w:spacing w:val="-4"/>
        </w:rPr>
        <w:t>免</w:t>
      </w:r>
      <w:r>
        <w:rPr>
          <w:spacing w:val="-4"/>
        </w:rPr>
        <w:t>赔</w:t>
      </w:r>
      <w:r>
        <w:rPr>
          <w:spacing w:val="-4"/>
        </w:rPr>
        <w:t>额</w:t>
      </w:r>
      <w:r>
        <w:rPr/>
        <w:tab/>
      </w:r>
      <w:r>
        <w:rPr>
          <w:spacing w:val="-2"/>
        </w:rPr>
        <w:t>本</w:t>
      </w:r>
      <w:r>
        <w:rPr>
          <w:spacing w:val="-2"/>
        </w:rPr>
        <w:t>合</w:t>
      </w:r>
      <w:r>
        <w:rPr>
          <w:spacing w:val="-2"/>
        </w:rPr>
        <w:t>同</w:t>
      </w:r>
      <w:r>
        <w:rPr>
          <w:spacing w:val="-2"/>
        </w:rPr>
        <w:t>约</w:t>
      </w:r>
      <w:r>
        <w:rPr>
          <w:spacing w:val="-2"/>
        </w:rPr>
        <w:t>定</w:t>
      </w:r>
      <w:r>
        <w:rPr>
          <w:spacing w:val="-2"/>
        </w:rPr>
        <w:t>的</w:t>
      </w:r>
      <w:r>
        <w:rPr>
          <w:spacing w:val="-2"/>
        </w:rPr>
        <w:t>免</w:t>
      </w:r>
      <w:r>
        <w:rPr>
          <w:spacing w:val="-2"/>
        </w:rPr>
        <w:t>赔</w:t>
      </w:r>
      <w:r>
        <w:rPr>
          <w:spacing w:val="-2"/>
        </w:rPr>
        <w:t>额</w:t>
      </w:r>
      <w:r>
        <w:rPr>
          <w:spacing w:val="-2"/>
        </w:rPr>
        <w:t>范</w:t>
      </w:r>
      <w:r>
        <w:rPr>
          <w:spacing w:val="-2"/>
        </w:rPr>
        <w:t>围</w:t>
      </w:r>
      <w:r>
        <w:rPr>
          <w:spacing w:val="-2"/>
        </w:rPr>
        <w:t>内</w:t>
      </w:r>
      <w:r>
        <w:rPr>
          <w:spacing w:val="-2"/>
        </w:rPr>
        <w:t>的</w:t>
      </w:r>
      <w:r>
        <w:rPr>
          <w:spacing w:val="-2"/>
        </w:rPr>
        <w:t>由</w:t>
      </w:r>
      <w:r>
        <w:rPr>
          <w:spacing w:val="-2"/>
        </w:rPr>
        <w:t>被</w:t>
      </w:r>
      <w:r>
        <w:rPr>
          <w:spacing w:val="-2"/>
        </w:rPr>
        <w:t>保</w:t>
      </w:r>
      <w:r>
        <w:rPr>
          <w:spacing w:val="-2"/>
        </w:rPr>
        <w:t>险</w:t>
      </w:r>
      <w:r>
        <w:rPr>
          <w:spacing w:val="-2"/>
        </w:rPr>
        <w:t>人</w:t>
      </w:r>
      <w:r>
        <w:rPr>
          <w:spacing w:val="-2"/>
        </w:rPr>
        <w:t>自</w:t>
      </w:r>
      <w:r>
        <w:rPr>
          <w:spacing w:val="-2"/>
        </w:rPr>
        <w:t>行</w:t>
      </w:r>
      <w:r>
        <w:rPr>
          <w:spacing w:val="-2"/>
        </w:rPr>
        <w:t>承</w:t>
      </w:r>
      <w:r>
        <w:rPr>
          <w:spacing w:val="-2"/>
        </w:rPr>
        <w:t>担</w:t>
      </w:r>
      <w:r>
        <w:rPr>
          <w:spacing w:val="-2"/>
        </w:rPr>
        <w:t>，</w:t>
      </w:r>
      <w:r>
        <w:rPr>
          <w:spacing w:val="-2"/>
        </w:rPr>
        <w:t>本</w:t>
      </w:r>
      <w:r>
        <w:rPr>
          <w:spacing w:val="-2"/>
        </w:rPr>
        <w:t>合</w:t>
      </w:r>
      <w:r>
        <w:rPr>
          <w:spacing w:val="-2"/>
        </w:rPr>
        <w:t>同</w:t>
      </w:r>
      <w:r>
        <w:rPr>
          <w:spacing w:val="-2"/>
        </w:rPr>
        <w:t>不</w:t>
      </w:r>
      <w:r>
        <w:rPr>
          <w:spacing w:val="-2"/>
        </w:rPr>
        <w:t>予</w:t>
      </w:r>
      <w:r>
        <w:rPr>
          <w:spacing w:val="-2"/>
        </w:rPr>
        <w:t>赔</w:t>
      </w:r>
      <w:r>
        <w:rPr>
          <w:spacing w:val="-2"/>
        </w:rPr>
        <w:t>偿</w:t>
      </w:r>
      <w:r>
        <w:rPr>
          <w:spacing w:val="-2"/>
        </w:rPr>
        <w:t>。</w:t>
      </w:r>
      <w:r>
        <w:rPr>
          <w:spacing w:val="-2"/>
        </w:rPr>
        <w:t>本</w:t>
      </w:r>
      <w:r>
        <w:rPr>
          <w:spacing w:val="-2"/>
        </w:rPr>
        <w:t>合</w:t>
      </w:r>
      <w:r>
        <w:rPr>
          <w:spacing w:val="-2"/>
        </w:rPr>
        <w:t>同</w:t>
      </w:r>
      <w:r>
        <w:rPr/>
        <w:t>年度免赔额为</w:t>
      </w:r>
      <w:r>
        <w:rPr>
          <w:spacing w:val="-16"/>
        </w:rPr>
        <w:t> </w:t>
      </w:r>
      <w:r>
        <w:rPr/>
        <w:t>1</w:t>
      </w:r>
      <w:r>
        <w:rPr>
          <w:spacing w:val="-16"/>
        </w:rPr>
        <w:t> </w:t>
      </w:r>
      <w:r>
        <w:rPr/>
        <w:t>万元。被</w:t>
      </w:r>
      <w:r>
        <w:rPr/>
        <w:t>保险人通过当地社会基本</w:t>
      </w:r>
      <w:r>
        <w:rPr/>
        <w:t>医疗保险（或公费医疗、</w:t>
      </w:r>
      <w:r>
        <w:rPr/>
        <w:t>城</w:t>
      </w:r>
      <w:r>
        <w:rPr>
          <w:spacing w:val="-2"/>
        </w:rPr>
        <w:t>乡</w:t>
      </w:r>
      <w:r>
        <w:rPr>
          <w:spacing w:val="-2"/>
        </w:rPr>
        <w:t>居</w:t>
      </w:r>
      <w:r>
        <w:rPr>
          <w:spacing w:val="-2"/>
        </w:rPr>
        <w:t>民</w:t>
      </w:r>
      <w:r>
        <w:rPr>
          <w:spacing w:val="-2"/>
        </w:rPr>
        <w:t>大</w:t>
      </w:r>
      <w:r>
        <w:rPr>
          <w:spacing w:val="-2"/>
        </w:rPr>
        <w:t>病</w:t>
      </w:r>
      <w:r>
        <w:rPr>
          <w:spacing w:val="-2"/>
        </w:rPr>
        <w:t>保</w:t>
      </w:r>
      <w:r>
        <w:rPr>
          <w:spacing w:val="-2"/>
        </w:rPr>
        <w:t>险</w:t>
      </w:r>
      <w:r>
        <w:rPr>
          <w:spacing w:val="-2"/>
        </w:rPr>
        <w:t>）</w:t>
      </w:r>
      <w:r>
        <w:rPr>
          <w:spacing w:val="-2"/>
        </w:rPr>
        <w:t>获</w:t>
      </w:r>
      <w:r>
        <w:rPr>
          <w:spacing w:val="-2"/>
        </w:rPr>
        <w:t>得</w:t>
      </w:r>
      <w:r>
        <w:rPr>
          <w:spacing w:val="-2"/>
        </w:rPr>
        <w:t>补</w:t>
      </w:r>
      <w:r>
        <w:rPr>
          <w:spacing w:val="-2"/>
        </w:rPr>
        <w:t>偿</w:t>
      </w:r>
      <w:r>
        <w:rPr>
          <w:spacing w:val="-2"/>
        </w:rPr>
        <w:t>的</w:t>
      </w:r>
      <w:r>
        <w:rPr>
          <w:spacing w:val="-2"/>
        </w:rPr>
        <w:t>部</w:t>
      </w:r>
      <w:r>
        <w:rPr>
          <w:spacing w:val="-2"/>
        </w:rPr>
        <w:t>分</w:t>
      </w:r>
      <w:r>
        <w:rPr>
          <w:spacing w:val="-2"/>
        </w:rPr>
        <w:t>，不</w:t>
      </w:r>
      <w:r>
        <w:rPr>
          <w:spacing w:val="-2"/>
        </w:rPr>
        <w:t>能</w:t>
      </w:r>
      <w:r>
        <w:rPr>
          <w:spacing w:val="-2"/>
        </w:rPr>
        <w:t>抵</w:t>
      </w:r>
      <w:r>
        <w:rPr>
          <w:spacing w:val="-2"/>
        </w:rPr>
        <w:t>扣</w:t>
      </w:r>
      <w:r>
        <w:rPr>
          <w:spacing w:val="-2"/>
        </w:rPr>
        <w:t>年</w:t>
      </w:r>
      <w:r>
        <w:rPr>
          <w:spacing w:val="-2"/>
        </w:rPr>
        <w:t>度</w:t>
      </w:r>
      <w:r>
        <w:rPr>
          <w:spacing w:val="-2"/>
        </w:rPr>
        <w:t>免</w:t>
      </w:r>
      <w:r>
        <w:rPr>
          <w:spacing w:val="-2"/>
        </w:rPr>
        <w:t>赔</w:t>
      </w:r>
      <w:r>
        <w:rPr>
          <w:spacing w:val="-2"/>
        </w:rPr>
        <w:t>额</w:t>
      </w:r>
      <w:r>
        <w:rPr>
          <w:spacing w:val="-2"/>
        </w:rPr>
        <w:t>；</w:t>
      </w:r>
      <w:r>
        <w:rPr>
          <w:rFonts w:ascii="宋体" w:eastAsia="宋体" w:hint="eastAsia"/>
          <w:b w:val="0"/>
          <w:spacing w:val="-2"/>
        </w:rPr>
        <w:t>被保险人通</w:t>
      </w:r>
      <w:r>
        <w:rPr>
          <w:rFonts w:ascii="宋体" w:eastAsia="宋体" w:hint="eastAsia"/>
          <w:b w:val="0"/>
          <w:spacing w:val="-2"/>
        </w:rPr>
        <w:t>过</w:t>
      </w:r>
      <w:r>
        <w:rPr>
          <w:rFonts w:ascii="宋体" w:eastAsia="宋体" w:hint="eastAsia"/>
          <w:b w:val="0"/>
          <w:spacing w:val="-2"/>
        </w:rPr>
        <w:t>其</w:t>
      </w:r>
      <w:r>
        <w:rPr>
          <w:rFonts w:ascii="宋体" w:eastAsia="宋体" w:hint="eastAsia"/>
          <w:b w:val="0"/>
          <w:spacing w:val="-2"/>
        </w:rPr>
        <w:t>他</w:t>
      </w:r>
    </w:p>
    <w:p>
      <w:pPr>
        <w:pStyle w:val="BodyText"/>
        <w:spacing w:line="278" w:lineRule="auto" w:before="10"/>
        <w:ind w:left="2946" w:right="438"/>
      </w:pPr>
      <w:r>
        <w:rPr>
          <w:spacing w:val="-2"/>
        </w:rPr>
        <w:t>途径获得补偿，且符合本合同约定的保险责任范围内的医疗费用，可抵扣免赔</w:t>
      </w:r>
      <w:r>
        <w:rPr>
          <w:spacing w:val="-6"/>
        </w:rPr>
        <w:t>额。</w:t>
      </w:r>
    </w:p>
    <w:p>
      <w:pPr>
        <w:pStyle w:val="BodyText"/>
        <w:spacing w:before="1"/>
        <w:rPr>
          <w:sz w:val="20"/>
        </w:rPr>
      </w:pPr>
    </w:p>
    <w:p>
      <w:pPr>
        <w:pStyle w:val="ListParagraph"/>
        <w:numPr>
          <w:ilvl w:val="1"/>
          <w:numId w:val="7"/>
        </w:numPr>
        <w:tabs>
          <w:tab w:pos="1006" w:val="left" w:leader="none"/>
          <w:tab w:pos="1007" w:val="left" w:leader="none"/>
          <w:tab w:pos="2946" w:val="left" w:leader="none"/>
        </w:tabs>
        <w:spacing w:line="235" w:lineRule="auto" w:before="1" w:after="0"/>
        <w:ind w:left="2946" w:right="438" w:hanging="2687"/>
        <w:jc w:val="left"/>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医</w:t>
      </w:r>
      <w:r>
        <w:rPr>
          <w:spacing w:val="-2"/>
          <w:sz w:val="21"/>
        </w:rPr>
        <w:t>疗</w:t>
      </w:r>
      <w:r>
        <w:rPr>
          <w:spacing w:val="-2"/>
          <w:sz w:val="21"/>
        </w:rPr>
        <w:t>费</w:t>
      </w:r>
      <w:r>
        <w:rPr>
          <w:spacing w:val="-2"/>
          <w:sz w:val="21"/>
        </w:rPr>
        <w:t>用</w:t>
      </w:r>
      <w:r>
        <w:rPr>
          <w:spacing w:val="-2"/>
          <w:sz w:val="21"/>
        </w:rPr>
        <w:t>支</w:t>
      </w:r>
      <w:r>
        <w:rPr>
          <w:spacing w:val="-2"/>
          <w:sz w:val="21"/>
        </w:rPr>
        <w:t>出</w:t>
      </w:r>
      <w:r>
        <w:rPr>
          <w:spacing w:val="-2"/>
          <w:sz w:val="21"/>
        </w:rPr>
        <w:t>的</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4"/>
          <w:sz w:val="21"/>
        </w:rPr>
        <w:t>责</w:t>
      </w:r>
      <w:r>
        <w:rPr>
          <w:spacing w:val="-4"/>
          <w:sz w:val="21"/>
        </w:rPr>
        <w:t>任</w:t>
      </w:r>
      <w:r>
        <w:rPr>
          <w:spacing w:val="-4"/>
          <w:sz w:val="21"/>
        </w:rPr>
        <w:t>：</w:t>
      </w:r>
    </w:p>
    <w:p>
      <w:pPr>
        <w:pStyle w:val="ListParagraph"/>
        <w:numPr>
          <w:ilvl w:val="0"/>
          <w:numId w:val="11"/>
        </w:numPr>
        <w:tabs>
          <w:tab w:pos="3476" w:val="left" w:leader="none"/>
        </w:tabs>
        <w:spacing w:line="235" w:lineRule="auto" w:before="72" w:after="0"/>
        <w:ind w:left="3450" w:right="433" w:hanging="504"/>
        <w:jc w:val="left"/>
        <w:rPr>
          <w:sz w:val="21"/>
        </w:rPr>
      </w:pPr>
      <w:r>
        <w:rPr>
          <w:sz w:val="21"/>
        </w:rPr>
        <w:t>被保险人在本合同生效前的</w:t>
      </w:r>
      <w:r>
        <w:rPr>
          <w:rFonts w:ascii="Microsoft JhengHei" w:eastAsia="Microsoft JhengHei"/>
          <w:b/>
          <w:spacing w:val="8"/>
          <w:sz w:val="21"/>
        </w:rPr>
        <w:t>既往病症 </w:t>
      </w:r>
      <w:r>
        <w:rPr>
          <w:rFonts w:ascii="Microsoft JhengHei" w:eastAsia="Microsoft JhengHei"/>
          <w:b/>
          <w:position w:val="11"/>
          <w:sz w:val="11"/>
        </w:rPr>
        <w:t>9.18</w:t>
      </w:r>
      <w:r>
        <w:rPr>
          <w:sz w:val="21"/>
        </w:rPr>
        <w:t>，但在投保单上告知并经我们同</w:t>
      </w:r>
      <w:r>
        <w:rPr>
          <w:spacing w:val="-2"/>
          <w:sz w:val="21"/>
        </w:rPr>
        <w:t>意承保的，不在此限；</w:t>
      </w:r>
    </w:p>
    <w:p>
      <w:pPr>
        <w:pStyle w:val="ListParagraph"/>
        <w:numPr>
          <w:ilvl w:val="0"/>
          <w:numId w:val="11"/>
        </w:numPr>
        <w:tabs>
          <w:tab w:pos="3476" w:val="left" w:leader="none"/>
        </w:tabs>
        <w:spacing w:line="240" w:lineRule="auto" w:before="139" w:after="0"/>
        <w:ind w:left="3475" w:right="0" w:hanging="530"/>
        <w:jc w:val="left"/>
        <w:rPr>
          <w:sz w:val="21"/>
        </w:rPr>
      </w:pPr>
      <w:r>
        <w:rPr>
          <w:spacing w:val="-3"/>
          <w:sz w:val="21"/>
        </w:rPr>
        <w:t>投保人对被保险人的故意杀害、故意伤害；</w:t>
      </w:r>
    </w:p>
    <w:p>
      <w:pPr>
        <w:pStyle w:val="ListParagraph"/>
        <w:numPr>
          <w:ilvl w:val="0"/>
          <w:numId w:val="11"/>
        </w:numPr>
        <w:tabs>
          <w:tab w:pos="3476" w:val="left" w:leader="none"/>
        </w:tabs>
        <w:spacing w:line="240" w:lineRule="auto" w:before="134" w:after="0"/>
        <w:ind w:left="3475" w:right="0" w:hanging="530"/>
        <w:jc w:val="left"/>
        <w:rPr>
          <w:sz w:val="21"/>
        </w:rPr>
      </w:pPr>
      <w:r>
        <w:rPr>
          <w:spacing w:val="-3"/>
          <w:sz w:val="21"/>
        </w:rPr>
        <w:t>被保险人故意犯罪或者抗拒依法采取的刑事强制措施；</w:t>
      </w:r>
    </w:p>
    <w:p>
      <w:pPr>
        <w:pStyle w:val="ListParagraph"/>
        <w:numPr>
          <w:ilvl w:val="0"/>
          <w:numId w:val="11"/>
        </w:numPr>
        <w:tabs>
          <w:tab w:pos="3476" w:val="left" w:leader="none"/>
        </w:tabs>
        <w:spacing w:line="240" w:lineRule="auto" w:before="137" w:after="0"/>
        <w:ind w:left="3475" w:right="0" w:hanging="530"/>
        <w:jc w:val="left"/>
        <w:rPr>
          <w:sz w:val="21"/>
        </w:rPr>
      </w:pPr>
      <w:r>
        <w:rPr>
          <w:spacing w:val="-3"/>
          <w:sz w:val="21"/>
        </w:rPr>
        <w:t>被保险人自杀，但被保险人自杀时为无民事行为能力人的除外；</w:t>
      </w:r>
    </w:p>
    <w:p>
      <w:pPr>
        <w:pStyle w:val="ListParagraph"/>
        <w:numPr>
          <w:ilvl w:val="0"/>
          <w:numId w:val="11"/>
        </w:numPr>
        <w:tabs>
          <w:tab w:pos="3476" w:val="left" w:leader="none"/>
        </w:tabs>
        <w:spacing w:line="278" w:lineRule="auto" w:before="137" w:after="0"/>
        <w:ind w:left="3450" w:right="328" w:hanging="504"/>
        <w:jc w:val="left"/>
        <w:rPr>
          <w:sz w:val="21"/>
        </w:rPr>
      </w:pPr>
      <w:r>
        <w:rPr>
          <w:spacing w:val="-11"/>
          <w:w w:val="100"/>
          <w:sz w:val="21"/>
        </w:rPr>
        <w:t>被保险人故意自伤，或因被保险人挑衅或故意行为而导致的打斗、被袭击</w:t>
      </w:r>
      <w:r>
        <w:rPr>
          <w:spacing w:val="-8"/>
          <w:w w:val="100"/>
          <w:sz w:val="21"/>
        </w:rPr>
        <w:t>、被谋杀；</w:t>
      </w:r>
    </w:p>
    <w:p>
      <w:pPr>
        <w:pStyle w:val="ListParagraph"/>
        <w:numPr>
          <w:ilvl w:val="0"/>
          <w:numId w:val="11"/>
        </w:numPr>
        <w:tabs>
          <w:tab w:pos="3476" w:val="left" w:leader="none"/>
        </w:tabs>
        <w:spacing w:line="194" w:lineRule="auto" w:before="77" w:after="0"/>
        <w:ind w:left="3450" w:right="436" w:hanging="504"/>
        <w:jc w:val="left"/>
        <w:rPr>
          <w:sz w:val="21"/>
        </w:rPr>
      </w:pPr>
      <w:r>
        <w:rPr>
          <w:sz w:val="21"/>
        </w:rPr>
        <w:t>被保险人</w:t>
      </w:r>
      <w:r>
        <w:rPr>
          <w:rFonts w:ascii="Microsoft JhengHei" w:eastAsia="Microsoft JhengHei"/>
          <w:b/>
          <w:spacing w:val="-3"/>
          <w:sz w:val="21"/>
        </w:rPr>
        <w:t>酒后驾驶 </w:t>
      </w:r>
      <w:r>
        <w:rPr>
          <w:rFonts w:ascii="Microsoft JhengHei" w:eastAsia="Microsoft JhengHei"/>
          <w:b/>
          <w:position w:val="11"/>
          <w:sz w:val="11"/>
        </w:rPr>
        <w:t>9.19</w:t>
      </w:r>
      <w:r>
        <w:rPr>
          <w:sz w:val="21"/>
        </w:rPr>
        <w:t>、</w:t>
      </w:r>
      <w:r>
        <w:rPr>
          <w:rFonts w:ascii="Microsoft JhengHei" w:eastAsia="Microsoft JhengHei"/>
          <w:b/>
          <w:spacing w:val="-2"/>
          <w:sz w:val="21"/>
        </w:rPr>
        <w:t>无合法有效驾驶证驾驶 </w:t>
      </w:r>
      <w:r>
        <w:rPr>
          <w:rFonts w:ascii="Microsoft JhengHei" w:eastAsia="Microsoft JhengHei"/>
          <w:b/>
          <w:position w:val="11"/>
          <w:sz w:val="11"/>
        </w:rPr>
        <w:t>9.20</w:t>
      </w:r>
      <w:r>
        <w:rPr>
          <w:rFonts w:ascii="Microsoft JhengHei" w:eastAsia="Microsoft JhengHei"/>
          <w:b/>
          <w:spacing w:val="-5"/>
          <w:position w:val="11"/>
          <w:sz w:val="11"/>
        </w:rPr>
        <w:t> </w:t>
      </w:r>
      <w:r>
        <w:rPr>
          <w:sz w:val="21"/>
        </w:rPr>
        <w:t>或驾驶</w:t>
      </w:r>
      <w:r>
        <w:rPr>
          <w:rFonts w:ascii="Microsoft JhengHei" w:eastAsia="Microsoft JhengHei"/>
          <w:b/>
          <w:sz w:val="21"/>
        </w:rPr>
        <w:t>无合法有效行驶</w:t>
      </w:r>
      <w:r>
        <w:rPr>
          <w:rFonts w:ascii="Microsoft JhengHei" w:eastAsia="Microsoft JhengHei"/>
          <w:b/>
          <w:sz w:val="21"/>
        </w:rPr>
        <w:t>证 </w:t>
      </w:r>
      <w:r>
        <w:rPr>
          <w:rFonts w:ascii="Microsoft JhengHei" w:eastAsia="Microsoft JhengHei"/>
          <w:b/>
          <w:position w:val="11"/>
          <w:sz w:val="11"/>
        </w:rPr>
        <w:t>9.21 </w:t>
      </w:r>
      <w:r>
        <w:rPr>
          <w:sz w:val="21"/>
        </w:rPr>
        <w:t>的机动车；</w:t>
      </w:r>
    </w:p>
    <w:p>
      <w:pPr>
        <w:pStyle w:val="ListParagraph"/>
        <w:numPr>
          <w:ilvl w:val="0"/>
          <w:numId w:val="11"/>
        </w:numPr>
        <w:tabs>
          <w:tab w:pos="3476" w:val="left" w:leader="none"/>
        </w:tabs>
        <w:spacing w:line="235" w:lineRule="auto" w:before="42" w:after="0"/>
        <w:ind w:left="3450" w:right="434" w:hanging="504"/>
        <w:jc w:val="left"/>
        <w:rPr>
          <w:sz w:val="21"/>
        </w:rPr>
      </w:pPr>
      <w:r>
        <w:rPr>
          <w:sz w:val="21"/>
        </w:rPr>
        <w:t>被保险人服用、吸食或注射</w:t>
      </w:r>
      <w:r>
        <w:rPr>
          <w:rFonts w:ascii="Microsoft JhengHei" w:eastAsia="Microsoft JhengHei"/>
          <w:b/>
          <w:spacing w:val="13"/>
          <w:sz w:val="21"/>
        </w:rPr>
        <w:t>毒品 </w:t>
      </w:r>
      <w:r>
        <w:rPr>
          <w:rFonts w:ascii="Microsoft JhengHei" w:eastAsia="Microsoft JhengHei"/>
          <w:b/>
          <w:position w:val="11"/>
          <w:sz w:val="11"/>
        </w:rPr>
        <w:t>9.22</w:t>
      </w:r>
      <w:r>
        <w:rPr>
          <w:sz w:val="21"/>
        </w:rPr>
        <w:t>，或未遵医嘱，私自服用、涂用或注</w:t>
      </w:r>
      <w:r>
        <w:rPr>
          <w:spacing w:val="-4"/>
          <w:sz w:val="21"/>
        </w:rPr>
        <w:t>射药物；</w:t>
      </w:r>
    </w:p>
    <w:p>
      <w:pPr>
        <w:pStyle w:val="ListParagraph"/>
        <w:numPr>
          <w:ilvl w:val="0"/>
          <w:numId w:val="11"/>
        </w:numPr>
        <w:tabs>
          <w:tab w:pos="3476" w:val="left" w:leader="none"/>
        </w:tabs>
        <w:spacing w:line="240" w:lineRule="auto" w:before="139" w:after="0"/>
        <w:ind w:left="3475" w:right="0" w:hanging="530"/>
        <w:jc w:val="left"/>
        <w:rPr>
          <w:sz w:val="21"/>
        </w:rPr>
      </w:pPr>
      <w:r>
        <w:rPr>
          <w:spacing w:val="-4"/>
          <w:sz w:val="21"/>
        </w:rPr>
        <w:t>被保险人患精神性疾病（</w:t>
      </w:r>
      <w:r>
        <w:rPr>
          <w:spacing w:val="-5"/>
          <w:sz w:val="21"/>
        </w:rPr>
        <w:t>依据世界卫生组织《疾病和有关健康问题的国际</w:t>
      </w:r>
    </w:p>
    <w:p>
      <w:pPr>
        <w:spacing w:after="0" w:line="240" w:lineRule="auto"/>
        <w:jc w:val="left"/>
        <w:rPr>
          <w:sz w:val="21"/>
        </w:rPr>
        <w:sectPr>
          <w:type w:val="continuous"/>
          <w:pgSz w:w="11910" w:h="16840"/>
          <w:pgMar w:header="0" w:footer="401" w:top="600" w:bottom="280" w:left="760" w:right="580"/>
        </w:sectPr>
      </w:pPr>
    </w:p>
    <w:p>
      <w:pPr>
        <w:pStyle w:val="BodyText"/>
        <w:spacing w:line="235" w:lineRule="auto" w:before="13"/>
        <w:ind w:left="3450" w:right="433"/>
      </w:pPr>
      <w:r>
        <w:rPr>
          <w:w w:val="100"/>
        </w:rPr>
        <w:t>统计分类》第十次修订版（</w:t>
      </w:r>
      <w:r>
        <w:rPr>
          <w:rFonts w:ascii="Microsoft JhengHei" w:eastAsia="Microsoft JhengHei"/>
          <w:b/>
          <w:w w:val="86"/>
        </w:rPr>
        <w:t>IC</w:t>
      </w:r>
      <w:r>
        <w:rPr>
          <w:rFonts w:ascii="Microsoft JhengHei" w:eastAsia="Microsoft JhengHei"/>
          <w:b/>
          <w:spacing w:val="2"/>
          <w:w w:val="86"/>
        </w:rPr>
        <w:t>D</w:t>
      </w:r>
      <w:r>
        <w:rPr>
          <w:rFonts w:ascii="Microsoft JhengHei" w:eastAsia="Microsoft JhengHei"/>
          <w:b/>
          <w:w w:val="115"/>
        </w:rPr>
        <w:t>-</w:t>
      </w:r>
      <w:r>
        <w:rPr>
          <w:rFonts w:ascii="Microsoft JhengHei" w:eastAsia="Microsoft JhengHei"/>
          <w:b/>
          <w:w w:val="84"/>
        </w:rPr>
        <w:t>10</w:t>
      </w:r>
      <w:r>
        <w:rPr>
          <w:rFonts w:ascii="Microsoft JhengHei" w:eastAsia="Microsoft JhengHei"/>
          <w:b/>
          <w:w w:val="98"/>
          <w:position w:val="11"/>
          <w:sz w:val="11"/>
        </w:rPr>
        <w:t>9.2</w:t>
      </w:r>
      <w:r>
        <w:rPr>
          <w:rFonts w:ascii="Microsoft JhengHei" w:eastAsia="Microsoft JhengHei"/>
          <w:b/>
          <w:spacing w:val="2"/>
          <w:w w:val="98"/>
          <w:position w:val="11"/>
          <w:sz w:val="11"/>
        </w:rPr>
        <w:t>3</w:t>
      </w:r>
      <w:r>
        <w:rPr>
          <w:w w:val="100"/>
        </w:rPr>
        <w:t>）分类为精神和行为障碍的疾病</w:t>
      </w:r>
      <w:r>
        <w:rPr>
          <w:spacing w:val="-113"/>
          <w:w w:val="100"/>
        </w:rPr>
        <w:t>）</w:t>
      </w:r>
      <w:r>
        <w:rPr>
          <w:spacing w:val="-7"/>
          <w:w w:val="100"/>
        </w:rPr>
        <w:t>；</w:t>
      </w:r>
      <w:r>
        <w:rPr>
          <w:spacing w:val="-7"/>
          <w:w w:val="100"/>
        </w:rPr>
        <w:t>接受各类医疗鉴定、医疗咨询和健康预测。医疗鉴定包括但不限于医疗事</w:t>
      </w:r>
    </w:p>
    <w:p>
      <w:pPr>
        <w:pStyle w:val="BodyText"/>
        <w:spacing w:line="278" w:lineRule="auto" w:before="46"/>
        <w:ind w:left="3450" w:right="433"/>
        <w:jc w:val="both"/>
      </w:pPr>
      <w:r>
        <w:rPr>
          <w:spacing w:val="-2"/>
        </w:rPr>
        <w:t>故鉴定、精神病鉴定、孕妇胎儿性别鉴定、验伤鉴定、亲子鉴定、遗传基</w:t>
      </w:r>
      <w:r>
        <w:rPr>
          <w:spacing w:val="-2"/>
        </w:rPr>
        <w:t>因鉴定费用；医疗咨询包括如健康咨询、睡眠咨询、性咨询、心理咨询等</w:t>
      </w:r>
      <w:r>
        <w:rPr>
          <w:spacing w:val="-4"/>
        </w:rPr>
        <w:t>费用；</w:t>
      </w:r>
    </w:p>
    <w:p>
      <w:pPr>
        <w:pStyle w:val="ListParagraph"/>
        <w:numPr>
          <w:ilvl w:val="0"/>
          <w:numId w:val="11"/>
        </w:numPr>
        <w:tabs>
          <w:tab w:pos="3476" w:val="left" w:leader="none"/>
        </w:tabs>
        <w:spacing w:line="228" w:lineRule="auto" w:before="104" w:after="0"/>
        <w:ind w:left="3450" w:right="434" w:hanging="504"/>
        <w:jc w:val="both"/>
        <w:rPr>
          <w:sz w:val="21"/>
        </w:rPr>
      </w:pPr>
      <w:r>
        <w:rPr>
          <w:spacing w:val="-2"/>
          <w:sz w:val="21"/>
        </w:rPr>
        <w:t>被保险人因整形手术、美容或整容手术、变性手术、视力矫正手术及前述</w:t>
      </w:r>
      <w:r>
        <w:rPr>
          <w:sz w:val="21"/>
        </w:rPr>
        <w:t>手术的并发症或因前述手术导致的</w:t>
      </w:r>
      <w:r>
        <w:rPr>
          <w:rFonts w:ascii="Microsoft JhengHei" w:eastAsia="Microsoft JhengHei"/>
          <w:b/>
          <w:sz w:val="21"/>
        </w:rPr>
        <w:t>医疗事故 </w:t>
      </w:r>
      <w:r>
        <w:rPr>
          <w:rFonts w:ascii="Microsoft JhengHei" w:eastAsia="Microsoft JhengHei"/>
          <w:b/>
          <w:position w:val="11"/>
          <w:sz w:val="11"/>
        </w:rPr>
        <w:t>9.24</w:t>
      </w:r>
      <w:r>
        <w:rPr>
          <w:sz w:val="21"/>
        </w:rPr>
        <w:t>；牙科疾病及相关治疗，</w:t>
      </w:r>
      <w:r>
        <w:rPr>
          <w:spacing w:val="-2"/>
          <w:sz w:val="21"/>
        </w:rPr>
        <w:t>但因意外导致的不受此限；</w:t>
      </w:r>
    </w:p>
    <w:p>
      <w:pPr>
        <w:pStyle w:val="ListParagraph"/>
        <w:numPr>
          <w:ilvl w:val="0"/>
          <w:numId w:val="11"/>
        </w:numPr>
        <w:tabs>
          <w:tab w:pos="3582" w:val="left" w:leader="none"/>
        </w:tabs>
        <w:spacing w:line="235" w:lineRule="auto" w:before="77" w:after="0"/>
        <w:ind w:left="3577" w:right="435" w:hanging="632"/>
        <w:jc w:val="both"/>
        <w:rPr>
          <w:sz w:val="21"/>
        </w:rPr>
      </w:pPr>
      <w:r>
        <w:rPr>
          <w:rFonts w:ascii="Microsoft JhengHei" w:eastAsia="Microsoft JhengHei"/>
          <w:b/>
          <w:sz w:val="21"/>
        </w:rPr>
        <w:t>遗传性疾病 </w:t>
      </w:r>
      <w:r>
        <w:rPr>
          <w:rFonts w:ascii="Microsoft JhengHei" w:eastAsia="Microsoft JhengHei"/>
          <w:b/>
          <w:position w:val="11"/>
          <w:sz w:val="11"/>
        </w:rPr>
        <w:t>9.25</w:t>
      </w:r>
      <w:r>
        <w:rPr>
          <w:sz w:val="21"/>
        </w:rPr>
        <w:t>，</w:t>
      </w:r>
      <w:r>
        <w:rPr>
          <w:rFonts w:ascii="Microsoft JhengHei" w:eastAsia="Microsoft JhengHei"/>
          <w:b/>
          <w:sz w:val="21"/>
        </w:rPr>
        <w:t>先天性畸形、变形或染色体异常 </w:t>
      </w:r>
      <w:r>
        <w:rPr>
          <w:rFonts w:ascii="Microsoft JhengHei" w:eastAsia="Microsoft JhengHei"/>
          <w:b/>
          <w:position w:val="11"/>
          <w:sz w:val="11"/>
        </w:rPr>
        <w:t>9.26</w:t>
      </w:r>
      <w:r>
        <w:rPr>
          <w:sz w:val="21"/>
        </w:rPr>
        <w:t>，但本合同另有约</w:t>
      </w:r>
      <w:r>
        <w:rPr>
          <w:spacing w:val="-2"/>
          <w:sz w:val="21"/>
        </w:rPr>
        <w:t>定的除外；</w:t>
      </w:r>
    </w:p>
    <w:p>
      <w:pPr>
        <w:pStyle w:val="ListParagraph"/>
        <w:numPr>
          <w:ilvl w:val="0"/>
          <w:numId w:val="11"/>
        </w:numPr>
        <w:tabs>
          <w:tab w:pos="3579" w:val="left" w:leader="none"/>
        </w:tabs>
        <w:spacing w:line="278" w:lineRule="auto" w:before="139" w:after="0"/>
        <w:ind w:left="3577" w:right="435" w:hanging="632"/>
        <w:jc w:val="both"/>
        <w:rPr>
          <w:sz w:val="21"/>
        </w:rPr>
      </w:pPr>
      <w:r>
        <w:rPr>
          <w:spacing w:val="-4"/>
          <w:sz w:val="21"/>
        </w:rPr>
        <w:t>被保险人怀孕、流产、分娩（含剖腹产</w:t>
      </w:r>
      <w:r>
        <w:rPr>
          <w:spacing w:val="-106"/>
          <w:sz w:val="21"/>
        </w:rPr>
        <w:t>）</w:t>
      </w:r>
      <w:r>
        <w:rPr>
          <w:spacing w:val="-4"/>
          <w:sz w:val="21"/>
        </w:rPr>
        <w:t>、避孕（含绝育）手术、绝育后</w:t>
      </w:r>
      <w:r>
        <w:rPr>
          <w:spacing w:val="-2"/>
          <w:sz w:val="21"/>
        </w:rPr>
        <w:t>复通、治疗不孕不育症、人工受孕，以及上述原因引起的并发症；包皮</w:t>
      </w:r>
      <w:r>
        <w:rPr>
          <w:spacing w:val="-2"/>
          <w:sz w:val="21"/>
        </w:rPr>
        <w:t>环切术、包皮剥离术、包皮气囊扩张术、性功能障碍治疗；</w:t>
      </w:r>
    </w:p>
    <w:p>
      <w:pPr>
        <w:pStyle w:val="ListParagraph"/>
        <w:numPr>
          <w:ilvl w:val="0"/>
          <w:numId w:val="11"/>
        </w:numPr>
        <w:tabs>
          <w:tab w:pos="3582" w:val="left" w:leader="none"/>
        </w:tabs>
        <w:spacing w:line="278" w:lineRule="auto" w:before="92" w:after="0"/>
        <w:ind w:left="3577" w:right="435" w:hanging="632"/>
        <w:jc w:val="both"/>
        <w:rPr>
          <w:sz w:val="21"/>
        </w:rPr>
      </w:pPr>
      <w:r>
        <w:rPr>
          <w:spacing w:val="-2"/>
          <w:sz w:val="21"/>
        </w:rPr>
        <w:t>被保险人因预防、康复、保健性或非疾病治疗类项目、一般身体检查、</w:t>
      </w:r>
      <w:r>
        <w:rPr>
          <w:spacing w:val="-2"/>
          <w:sz w:val="21"/>
        </w:rPr>
        <w:t>疗养等发生的医疗费用；眼镜、义齿、义眼、义肢、助听器等康复性器</w:t>
      </w:r>
      <w:r>
        <w:rPr>
          <w:spacing w:val="-4"/>
          <w:sz w:val="21"/>
        </w:rPr>
        <w:t>具费用；</w:t>
      </w:r>
    </w:p>
    <w:p>
      <w:pPr>
        <w:pStyle w:val="ListParagraph"/>
        <w:numPr>
          <w:ilvl w:val="0"/>
          <w:numId w:val="11"/>
        </w:numPr>
        <w:tabs>
          <w:tab w:pos="3582" w:val="left" w:leader="none"/>
        </w:tabs>
        <w:spacing w:line="213" w:lineRule="auto" w:before="55" w:after="0"/>
        <w:ind w:left="3577" w:right="328" w:hanging="632"/>
        <w:jc w:val="left"/>
        <w:rPr>
          <w:sz w:val="21"/>
        </w:rPr>
      </w:pPr>
      <w:r>
        <w:rPr>
          <w:spacing w:val="-3"/>
          <w:w w:val="100"/>
          <w:sz w:val="21"/>
        </w:rPr>
        <w:t>被保险人从事或参加高风险运动，如</w:t>
      </w:r>
      <w:r>
        <w:rPr>
          <w:w w:val="100"/>
          <w:sz w:val="21"/>
        </w:rPr>
        <w:t>（</w:t>
      </w:r>
      <w:r>
        <w:rPr>
          <w:spacing w:val="-2"/>
          <w:w w:val="100"/>
          <w:sz w:val="21"/>
        </w:rPr>
        <w:t>但不限于</w:t>
      </w:r>
      <w:r>
        <w:rPr>
          <w:spacing w:val="-104"/>
          <w:w w:val="100"/>
          <w:sz w:val="21"/>
        </w:rPr>
        <w:t>）</w:t>
      </w:r>
      <w:r>
        <w:rPr>
          <w:spacing w:val="-2"/>
          <w:w w:val="100"/>
          <w:sz w:val="21"/>
        </w:rPr>
        <w:t>：</w:t>
      </w:r>
      <w:r>
        <w:rPr>
          <w:rFonts w:ascii="Microsoft JhengHei" w:eastAsia="Microsoft JhengHei"/>
          <w:b/>
          <w:w w:val="100"/>
          <w:sz w:val="21"/>
        </w:rPr>
        <w:t>潜水</w:t>
      </w:r>
      <w:r>
        <w:rPr>
          <w:rFonts w:ascii="Microsoft JhengHei" w:eastAsia="Microsoft JhengHei"/>
          <w:b/>
          <w:sz w:val="21"/>
        </w:rPr>
        <w:t>  </w:t>
      </w:r>
      <w:r>
        <w:rPr>
          <w:rFonts w:ascii="Microsoft JhengHei" w:eastAsia="Microsoft JhengHei"/>
          <w:b/>
          <w:w w:val="104"/>
          <w:position w:val="11"/>
          <w:sz w:val="11"/>
        </w:rPr>
        <w:t>9.</w:t>
      </w:r>
      <w:r>
        <w:rPr>
          <w:rFonts w:ascii="Microsoft JhengHei" w:eastAsia="Microsoft JhengHei"/>
          <w:b/>
          <w:spacing w:val="2"/>
          <w:w w:val="104"/>
          <w:position w:val="11"/>
          <w:sz w:val="11"/>
        </w:rPr>
        <w:t>2</w:t>
      </w:r>
      <w:r>
        <w:rPr>
          <w:rFonts w:ascii="Microsoft JhengHei" w:eastAsia="Microsoft JhengHei"/>
          <w:b/>
          <w:w w:val="84"/>
          <w:position w:val="11"/>
          <w:sz w:val="11"/>
        </w:rPr>
        <w:t>7</w:t>
      </w:r>
      <w:r>
        <w:rPr>
          <w:spacing w:val="-1"/>
          <w:w w:val="100"/>
          <w:sz w:val="21"/>
        </w:rPr>
        <w:t>、滑水、冲浪、赛艇、漂流、跳伞或其他高空运动、蹦极、乘坐或驾驶商业民航班</w:t>
      </w:r>
      <w:r>
        <w:rPr>
          <w:spacing w:val="-3"/>
          <w:w w:val="100"/>
          <w:sz w:val="21"/>
        </w:rPr>
        <w:t>机以外的飞行器、</w:t>
      </w:r>
      <w:r>
        <w:rPr>
          <w:rFonts w:ascii="Microsoft JhengHei" w:eastAsia="Microsoft JhengHei"/>
          <w:b/>
          <w:w w:val="100"/>
          <w:sz w:val="21"/>
        </w:rPr>
        <w:t>攀岩</w:t>
      </w:r>
      <w:r>
        <w:rPr>
          <w:rFonts w:ascii="Microsoft JhengHei" w:eastAsia="Microsoft JhengHei"/>
          <w:b/>
          <w:spacing w:val="-13"/>
          <w:sz w:val="21"/>
        </w:rPr>
        <w:t>  </w:t>
      </w:r>
      <w:r>
        <w:rPr>
          <w:rFonts w:ascii="Microsoft JhengHei" w:eastAsia="Microsoft JhengHei"/>
          <w:b/>
          <w:w w:val="104"/>
          <w:position w:val="11"/>
          <w:sz w:val="11"/>
        </w:rPr>
        <w:t>9.2</w:t>
      </w:r>
      <w:r>
        <w:rPr>
          <w:rFonts w:ascii="Microsoft JhengHei" w:eastAsia="Microsoft JhengHei"/>
          <w:b/>
          <w:w w:val="84"/>
          <w:position w:val="11"/>
          <w:sz w:val="11"/>
        </w:rPr>
        <w:t>8</w:t>
      </w:r>
      <w:r>
        <w:rPr>
          <w:spacing w:val="-2"/>
          <w:w w:val="100"/>
          <w:sz w:val="21"/>
        </w:rPr>
        <w:t>、攀登海拔</w:t>
      </w:r>
      <w:r>
        <w:rPr>
          <w:spacing w:val="-26"/>
          <w:sz w:val="21"/>
        </w:rPr>
        <w:t> </w:t>
      </w:r>
      <w:r>
        <w:rPr>
          <w:w w:val="100"/>
          <w:sz w:val="21"/>
        </w:rPr>
        <w:t>3</w:t>
      </w:r>
      <w:r>
        <w:rPr>
          <w:spacing w:val="-3"/>
          <w:w w:val="100"/>
          <w:sz w:val="21"/>
        </w:rPr>
        <w:t>5</w:t>
      </w:r>
      <w:r>
        <w:rPr>
          <w:w w:val="100"/>
          <w:sz w:val="21"/>
        </w:rPr>
        <w:t>00</w:t>
      </w:r>
      <w:r>
        <w:rPr>
          <w:spacing w:val="-29"/>
          <w:sz w:val="21"/>
        </w:rPr>
        <w:t> </w:t>
      </w:r>
      <w:r>
        <w:rPr>
          <w:spacing w:val="-3"/>
          <w:w w:val="100"/>
          <w:sz w:val="21"/>
        </w:rPr>
        <w:t>米以上的独立山峰、滑雪、</w:t>
      </w:r>
      <w:r>
        <w:rPr>
          <w:rFonts w:ascii="Microsoft JhengHei" w:eastAsia="Microsoft JhengHei"/>
          <w:b/>
          <w:spacing w:val="-3"/>
          <w:w w:val="100"/>
          <w:sz w:val="21"/>
        </w:rPr>
        <w:t>武术比赛</w:t>
      </w:r>
      <w:r>
        <w:rPr>
          <w:rFonts w:ascii="Microsoft JhengHei" w:eastAsia="Microsoft JhengHei"/>
          <w:b/>
          <w:spacing w:val="5"/>
          <w:sz w:val="21"/>
        </w:rPr>
        <w:t> </w:t>
      </w:r>
      <w:r>
        <w:rPr>
          <w:rFonts w:ascii="Microsoft JhengHei" w:eastAsia="Microsoft JhengHei"/>
          <w:b/>
          <w:w w:val="104"/>
          <w:position w:val="11"/>
          <w:sz w:val="11"/>
        </w:rPr>
        <w:t>9.2</w:t>
      </w:r>
      <w:r>
        <w:rPr>
          <w:rFonts w:ascii="Microsoft JhengHei" w:eastAsia="Microsoft JhengHei"/>
          <w:b/>
          <w:w w:val="84"/>
          <w:position w:val="11"/>
          <w:sz w:val="11"/>
        </w:rPr>
        <w:t>9</w:t>
      </w:r>
      <w:r>
        <w:rPr>
          <w:spacing w:val="-3"/>
          <w:w w:val="100"/>
          <w:sz w:val="21"/>
        </w:rPr>
        <w:t>、摔跤、马术、赛马、赛车、</w:t>
      </w:r>
      <w:r>
        <w:rPr>
          <w:rFonts w:ascii="Microsoft JhengHei" w:eastAsia="Microsoft JhengHei"/>
          <w:b/>
          <w:w w:val="100"/>
          <w:sz w:val="21"/>
        </w:rPr>
        <w:t>特技表演</w:t>
      </w:r>
      <w:r>
        <w:rPr>
          <w:rFonts w:ascii="Microsoft JhengHei" w:eastAsia="Microsoft JhengHei"/>
          <w:b/>
          <w:spacing w:val="5"/>
          <w:sz w:val="21"/>
        </w:rPr>
        <w:t> </w:t>
      </w:r>
      <w:r>
        <w:rPr>
          <w:rFonts w:ascii="Microsoft JhengHei" w:eastAsia="Microsoft JhengHei"/>
          <w:b/>
          <w:spacing w:val="-3"/>
          <w:w w:val="118"/>
          <w:position w:val="11"/>
          <w:sz w:val="11"/>
        </w:rPr>
        <w:t>9</w:t>
      </w:r>
      <w:r>
        <w:rPr>
          <w:rFonts w:ascii="Microsoft JhengHei" w:eastAsia="Microsoft JhengHei"/>
          <w:b/>
          <w:w w:val="118"/>
          <w:position w:val="11"/>
          <w:sz w:val="11"/>
        </w:rPr>
        <w:t>.</w:t>
      </w:r>
      <w:r>
        <w:rPr>
          <w:rFonts w:ascii="Microsoft JhengHei" w:eastAsia="Microsoft JhengHei"/>
          <w:b/>
          <w:w w:val="84"/>
          <w:position w:val="11"/>
          <w:sz w:val="11"/>
        </w:rPr>
        <w:t>3</w:t>
      </w:r>
      <w:r>
        <w:rPr>
          <w:rFonts w:ascii="Microsoft JhengHei" w:eastAsia="Microsoft JhengHei"/>
          <w:b/>
          <w:spacing w:val="2"/>
          <w:w w:val="84"/>
          <w:position w:val="11"/>
          <w:sz w:val="11"/>
        </w:rPr>
        <w:t>0</w:t>
      </w:r>
      <w:r>
        <w:rPr>
          <w:spacing w:val="-3"/>
          <w:w w:val="100"/>
          <w:sz w:val="21"/>
        </w:rPr>
        <w:t>（</w:t>
      </w:r>
      <w:r>
        <w:rPr>
          <w:spacing w:val="-2"/>
          <w:w w:val="100"/>
          <w:sz w:val="21"/>
        </w:rPr>
        <w:t>含训练</w:t>
      </w:r>
      <w:r>
        <w:rPr>
          <w:spacing w:val="-106"/>
          <w:w w:val="100"/>
          <w:sz w:val="21"/>
        </w:rPr>
        <w:t>）</w:t>
      </w:r>
      <w:r>
        <w:rPr>
          <w:spacing w:val="-2"/>
          <w:w w:val="100"/>
          <w:sz w:val="21"/>
        </w:rPr>
        <w:t>、替身</w:t>
      </w:r>
      <w:r>
        <w:rPr>
          <w:spacing w:val="-16"/>
          <w:w w:val="100"/>
          <w:sz w:val="21"/>
        </w:rPr>
        <w:t>表演</w:t>
      </w:r>
      <w:r>
        <w:rPr>
          <w:w w:val="100"/>
          <w:sz w:val="21"/>
        </w:rPr>
        <w:t>（</w:t>
      </w:r>
      <w:r>
        <w:rPr>
          <w:spacing w:val="-2"/>
          <w:w w:val="100"/>
          <w:sz w:val="21"/>
        </w:rPr>
        <w:t>含训练</w:t>
      </w:r>
      <w:r>
        <w:rPr>
          <w:spacing w:val="-108"/>
          <w:w w:val="100"/>
          <w:sz w:val="21"/>
        </w:rPr>
        <w:t>）</w:t>
      </w:r>
      <w:r>
        <w:rPr>
          <w:spacing w:val="-13"/>
          <w:w w:val="100"/>
          <w:sz w:val="21"/>
        </w:rPr>
        <w:t>、脱险表演</w:t>
      </w:r>
      <w:r>
        <w:rPr>
          <w:w w:val="100"/>
          <w:sz w:val="21"/>
        </w:rPr>
        <w:t>（</w:t>
      </w:r>
      <w:r>
        <w:rPr>
          <w:spacing w:val="-2"/>
          <w:w w:val="100"/>
          <w:sz w:val="21"/>
        </w:rPr>
        <w:t>含训练</w:t>
      </w:r>
      <w:r>
        <w:rPr>
          <w:spacing w:val="-108"/>
          <w:w w:val="100"/>
          <w:sz w:val="21"/>
        </w:rPr>
        <w:t>）</w:t>
      </w:r>
      <w:r>
        <w:rPr>
          <w:spacing w:val="-30"/>
          <w:w w:val="100"/>
          <w:sz w:val="21"/>
        </w:rPr>
        <w:t>、</w:t>
      </w:r>
      <w:r>
        <w:rPr>
          <w:rFonts w:ascii="Microsoft JhengHei" w:eastAsia="Microsoft JhengHei"/>
          <w:b/>
          <w:w w:val="100"/>
          <w:sz w:val="21"/>
        </w:rPr>
        <w:t>探险</w:t>
      </w:r>
      <w:r>
        <w:rPr>
          <w:rFonts w:ascii="Microsoft JhengHei" w:eastAsia="Microsoft JhengHei"/>
          <w:b/>
          <w:sz w:val="21"/>
        </w:rPr>
        <w:t> </w:t>
      </w:r>
      <w:r>
        <w:rPr>
          <w:rFonts w:ascii="Microsoft JhengHei" w:eastAsia="Microsoft JhengHei"/>
          <w:b/>
          <w:w w:val="118"/>
          <w:position w:val="11"/>
          <w:sz w:val="11"/>
        </w:rPr>
        <w:t>9.</w:t>
      </w:r>
      <w:r>
        <w:rPr>
          <w:rFonts w:ascii="Microsoft JhengHei" w:eastAsia="Microsoft JhengHei"/>
          <w:b/>
          <w:w w:val="84"/>
          <w:position w:val="11"/>
          <w:sz w:val="11"/>
        </w:rPr>
        <w:t>31</w:t>
      </w:r>
      <w:r>
        <w:rPr>
          <w:rFonts w:ascii="Microsoft JhengHei" w:eastAsia="Microsoft JhengHei"/>
          <w:b/>
          <w:spacing w:val="1"/>
          <w:position w:val="11"/>
          <w:sz w:val="11"/>
        </w:rPr>
        <w:t> </w:t>
      </w:r>
      <w:r>
        <w:rPr>
          <w:spacing w:val="-9"/>
          <w:w w:val="100"/>
          <w:sz w:val="21"/>
        </w:rPr>
        <w:t>或考察活动</w:t>
      </w:r>
      <w:r>
        <w:rPr>
          <w:w w:val="100"/>
          <w:sz w:val="21"/>
        </w:rPr>
        <w:t>（</w:t>
      </w:r>
      <w:r>
        <w:rPr>
          <w:spacing w:val="-7"/>
          <w:w w:val="100"/>
          <w:sz w:val="21"/>
        </w:rPr>
        <w:t>洞穴、极地、</w:t>
      </w:r>
      <w:r>
        <w:rPr>
          <w:spacing w:val="-5"/>
          <w:w w:val="100"/>
          <w:sz w:val="21"/>
        </w:rPr>
        <w:t>沙漠、火山、冰川等</w:t>
      </w:r>
      <w:r>
        <w:rPr>
          <w:spacing w:val="-106"/>
          <w:w w:val="100"/>
          <w:sz w:val="21"/>
        </w:rPr>
        <w:t>）</w:t>
      </w:r>
      <w:r>
        <w:rPr>
          <w:w w:val="100"/>
          <w:sz w:val="21"/>
        </w:rPr>
        <w:t>；</w:t>
      </w:r>
    </w:p>
    <w:p>
      <w:pPr>
        <w:pStyle w:val="ListParagraph"/>
        <w:numPr>
          <w:ilvl w:val="0"/>
          <w:numId w:val="11"/>
        </w:numPr>
        <w:tabs>
          <w:tab w:pos="3582" w:val="left" w:leader="none"/>
        </w:tabs>
        <w:spacing w:line="240" w:lineRule="auto" w:before="81" w:after="0"/>
        <w:ind w:left="3581" w:right="0" w:hanging="636"/>
        <w:jc w:val="left"/>
        <w:rPr>
          <w:sz w:val="21"/>
        </w:rPr>
      </w:pPr>
      <w:r>
        <w:rPr>
          <w:spacing w:val="-2"/>
          <w:sz w:val="21"/>
        </w:rPr>
        <w:t>被保险人</w:t>
      </w:r>
      <w:r>
        <w:rPr>
          <w:rFonts w:ascii="Microsoft JhengHei" w:eastAsia="Microsoft JhengHei"/>
          <w:b/>
          <w:sz w:val="21"/>
        </w:rPr>
        <w:t>感染艾滋病病毒或患艾滋病 </w:t>
      </w:r>
      <w:r>
        <w:rPr>
          <w:rFonts w:ascii="Microsoft JhengHei" w:eastAsia="Microsoft JhengHei"/>
          <w:b/>
          <w:spacing w:val="-2"/>
          <w:position w:val="11"/>
          <w:sz w:val="11"/>
        </w:rPr>
        <w:t>9.32</w:t>
      </w:r>
      <w:r>
        <w:rPr>
          <w:spacing w:val="-3"/>
          <w:sz w:val="21"/>
        </w:rPr>
        <w:t>，但本合同另有约定的除外；</w:t>
      </w:r>
    </w:p>
    <w:p>
      <w:pPr>
        <w:pStyle w:val="ListParagraph"/>
        <w:numPr>
          <w:ilvl w:val="0"/>
          <w:numId w:val="11"/>
        </w:numPr>
        <w:tabs>
          <w:tab w:pos="3582" w:val="left" w:leader="none"/>
        </w:tabs>
        <w:spacing w:line="278" w:lineRule="auto" w:before="89" w:after="0"/>
        <w:ind w:left="3577" w:right="435" w:hanging="632"/>
        <w:jc w:val="both"/>
        <w:rPr>
          <w:sz w:val="21"/>
        </w:rPr>
      </w:pPr>
      <w:r>
        <w:rPr>
          <w:spacing w:val="-2"/>
          <w:sz w:val="21"/>
        </w:rPr>
        <w:t>被保险人接受未经科学或医学认可的试验性或研究性治疗及其产生的后</w:t>
      </w:r>
      <w:r>
        <w:rPr>
          <w:spacing w:val="-2"/>
          <w:sz w:val="21"/>
        </w:rPr>
        <w:t>果，或被保险人作为器官捐献者摘除捐献器官及其产生的后果所产生的</w:t>
      </w:r>
      <w:r>
        <w:rPr>
          <w:spacing w:val="-4"/>
          <w:sz w:val="21"/>
        </w:rPr>
        <w:t>费用；</w:t>
      </w:r>
    </w:p>
    <w:p>
      <w:pPr>
        <w:pStyle w:val="BodyText"/>
        <w:spacing w:before="4"/>
        <w:rPr>
          <w:sz w:val="9"/>
        </w:rPr>
      </w:pPr>
    </w:p>
    <w:tbl>
      <w:tblPr>
        <w:tblW w:w="0" w:type="auto"/>
        <w:jc w:val="left"/>
        <w:tblInd w:w="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0"/>
        <w:gridCol w:w="2009"/>
        <w:gridCol w:w="7412"/>
      </w:tblGrid>
      <w:tr>
        <w:trPr>
          <w:trHeight w:val="827" w:hRule="atLeast"/>
        </w:trPr>
        <w:tc>
          <w:tcPr>
            <w:tcW w:w="2669" w:type="dxa"/>
            <w:gridSpan w:val="2"/>
          </w:tcPr>
          <w:p>
            <w:pPr>
              <w:pStyle w:val="TableParagraph"/>
              <w:rPr>
                <w:rFonts w:ascii="Times New Roman"/>
                <w:sz w:val="20"/>
              </w:rPr>
            </w:pPr>
          </w:p>
        </w:tc>
        <w:tc>
          <w:tcPr>
            <w:tcW w:w="7412" w:type="dxa"/>
          </w:tcPr>
          <w:p>
            <w:pPr>
              <w:pStyle w:val="TableParagraph"/>
              <w:numPr>
                <w:ilvl w:val="0"/>
                <w:numId w:val="12"/>
              </w:numPr>
              <w:tabs>
                <w:tab w:pos="761" w:val="left" w:leader="none"/>
              </w:tabs>
              <w:spacing w:line="241" w:lineRule="exact" w:before="0" w:after="0"/>
              <w:ind w:left="760" w:right="0" w:hanging="636"/>
              <w:jc w:val="left"/>
              <w:rPr>
                <w:sz w:val="21"/>
              </w:rPr>
            </w:pPr>
            <w:r>
              <w:rPr>
                <w:spacing w:val="-3"/>
                <w:sz w:val="21"/>
              </w:rPr>
              <w:t>战争、军事行动、暴乱或武装叛乱；</w:t>
            </w:r>
          </w:p>
          <w:p>
            <w:pPr>
              <w:pStyle w:val="TableParagraph"/>
              <w:numPr>
                <w:ilvl w:val="0"/>
                <w:numId w:val="12"/>
              </w:numPr>
              <w:tabs>
                <w:tab w:pos="761" w:val="left" w:leader="none"/>
              </w:tabs>
              <w:spacing w:line="240" w:lineRule="auto" w:before="136" w:after="0"/>
              <w:ind w:left="760" w:right="0" w:hanging="636"/>
              <w:jc w:val="left"/>
              <w:rPr>
                <w:sz w:val="21"/>
              </w:rPr>
            </w:pPr>
            <w:r>
              <w:rPr>
                <w:spacing w:val="-3"/>
                <w:sz w:val="21"/>
              </w:rPr>
              <w:t>核爆炸、核辐射或核污染。</w:t>
            </w:r>
          </w:p>
        </w:tc>
      </w:tr>
      <w:tr>
        <w:trPr>
          <w:trHeight w:val="1257" w:hRule="atLeast"/>
        </w:trPr>
        <w:tc>
          <w:tcPr>
            <w:tcW w:w="660" w:type="dxa"/>
          </w:tcPr>
          <w:p>
            <w:pPr>
              <w:pStyle w:val="TableParagraph"/>
              <w:spacing w:before="115"/>
              <w:ind w:left="107"/>
              <w:rPr>
                <w:rFonts w:ascii="微软雅黑"/>
                <w:b/>
                <w:sz w:val="21"/>
              </w:rPr>
            </w:pPr>
            <w:r>
              <w:rPr>
                <w:rFonts w:ascii="微软雅黑"/>
                <w:b/>
                <w:spacing w:val="-5"/>
                <w:sz w:val="21"/>
              </w:rPr>
              <w:t>2.7</w:t>
            </w:r>
          </w:p>
        </w:tc>
        <w:tc>
          <w:tcPr>
            <w:tcW w:w="2009" w:type="dxa"/>
          </w:tcPr>
          <w:p>
            <w:pPr>
              <w:pStyle w:val="TableParagraph"/>
              <w:spacing w:line="194" w:lineRule="auto" w:before="168"/>
              <w:ind w:left="194" w:right="122"/>
              <w:rPr>
                <w:rFonts w:ascii="微软雅黑" w:eastAsia="微软雅黑"/>
                <w:b/>
                <w:sz w:val="21"/>
              </w:rPr>
            </w:pPr>
            <w:r>
              <w:rPr>
                <w:rFonts w:ascii="微软雅黑" w:eastAsia="微软雅黑"/>
                <w:b/>
                <w:spacing w:val="-2"/>
                <w:sz w:val="21"/>
              </w:rPr>
              <w:t>其他免除保险责任</w:t>
            </w:r>
            <w:r>
              <w:rPr>
                <w:rFonts w:ascii="微软雅黑" w:eastAsia="微软雅黑"/>
                <w:b/>
                <w:spacing w:val="-6"/>
                <w:sz w:val="21"/>
              </w:rPr>
              <w:t>条款</w:t>
            </w:r>
          </w:p>
        </w:tc>
        <w:tc>
          <w:tcPr>
            <w:tcW w:w="7412" w:type="dxa"/>
          </w:tcPr>
          <w:p>
            <w:pPr>
              <w:pStyle w:val="TableParagraph"/>
              <w:spacing w:before="3"/>
              <w:rPr>
                <w:sz w:val="14"/>
              </w:rPr>
            </w:pPr>
          </w:p>
          <w:p>
            <w:pPr>
              <w:pStyle w:val="TableParagraph"/>
              <w:spacing w:line="278" w:lineRule="auto"/>
              <w:ind w:left="125" w:right="102"/>
              <w:jc w:val="both"/>
              <w:rPr>
                <w:sz w:val="21"/>
              </w:rPr>
            </w:pPr>
            <w:r>
              <w:rPr>
                <w:spacing w:val="-2"/>
                <w:sz w:val="21"/>
              </w:rPr>
              <w:t>除“2.6</w:t>
            </w:r>
            <w:r>
              <w:rPr>
                <w:spacing w:val="-7"/>
                <w:sz w:val="21"/>
              </w:rPr>
              <w:t> 责任免除”外，本合同中还有一些免除本公司责任的条款，详见</w:t>
            </w:r>
            <w:r>
              <w:rPr>
                <w:spacing w:val="-2"/>
                <w:sz w:val="21"/>
              </w:rPr>
              <w:t>“4.2</w:t>
            </w:r>
            <w:r>
              <w:rPr>
                <w:spacing w:val="-32"/>
                <w:sz w:val="21"/>
              </w:rPr>
              <w:t>如实告知”、“</w:t>
            </w:r>
            <w:r>
              <w:rPr>
                <w:sz w:val="21"/>
              </w:rPr>
              <w:t>5.2</w:t>
            </w:r>
            <w:r>
              <w:rPr>
                <w:spacing w:val="-23"/>
                <w:sz w:val="21"/>
              </w:rPr>
              <w:t> 保险事故通知”、“</w:t>
            </w:r>
            <w:r>
              <w:rPr>
                <w:sz w:val="21"/>
              </w:rPr>
              <w:t>7.1</w:t>
            </w:r>
            <w:r>
              <w:rPr>
                <w:spacing w:val="-17"/>
                <w:sz w:val="21"/>
              </w:rPr>
              <w:t> 年龄确定与错误处理”、“</w:t>
            </w:r>
            <w:r>
              <w:rPr>
                <w:sz w:val="21"/>
              </w:rPr>
              <w:t>8 重大疾病</w:t>
            </w:r>
            <w:r>
              <w:rPr>
                <w:spacing w:val="-54"/>
                <w:sz w:val="21"/>
              </w:rPr>
              <w:t>定义”、</w:t>
            </w:r>
            <w:r>
              <w:rPr>
                <w:sz w:val="21"/>
              </w:rPr>
              <w:t>“9.7 住院医疗费用”中加粗显示的内容，请您务必特别注意。</w:t>
            </w:r>
          </w:p>
        </w:tc>
      </w:tr>
      <w:tr>
        <w:trPr>
          <w:trHeight w:val="781" w:hRule="atLeast"/>
        </w:trPr>
        <w:tc>
          <w:tcPr>
            <w:tcW w:w="660" w:type="dxa"/>
            <w:tcBorders>
              <w:bottom w:val="single" w:sz="8" w:space="0" w:color="000000"/>
            </w:tcBorders>
          </w:tcPr>
          <w:p>
            <w:pPr>
              <w:pStyle w:val="TableParagraph"/>
              <w:spacing w:before="211"/>
              <w:ind w:left="107"/>
              <w:rPr>
                <w:rFonts w:ascii="Wingdings 2" w:hAnsi="Wingdings 2"/>
                <w:b/>
                <w:sz w:val="40"/>
              </w:rPr>
            </w:pPr>
            <w:r>
              <w:rPr>
                <w:rFonts w:ascii="Wingdings 2" w:hAnsi="Wingdings 2"/>
                <w:b/>
                <w:w w:val="100"/>
                <w:sz w:val="40"/>
              </w:rPr>
              <w:t></w:t>
            </w:r>
          </w:p>
        </w:tc>
        <w:tc>
          <w:tcPr>
            <w:tcW w:w="2009" w:type="dxa"/>
            <w:tcBorders>
              <w:bottom w:val="single" w:sz="8" w:space="0" w:color="000000"/>
            </w:tcBorders>
          </w:tcPr>
          <w:p>
            <w:pPr>
              <w:pStyle w:val="TableParagraph"/>
              <w:spacing w:before="189"/>
              <w:ind w:left="194"/>
              <w:rPr>
                <w:rFonts w:ascii="微软雅黑" w:eastAsia="微软雅黑"/>
                <w:b/>
                <w:sz w:val="24"/>
              </w:rPr>
            </w:pPr>
            <w:r>
              <w:rPr>
                <w:rFonts w:ascii="微软雅黑" w:eastAsia="微软雅黑"/>
                <w:b/>
                <w:spacing w:val="-2"/>
                <w:sz w:val="24"/>
              </w:rPr>
              <w:t>如何支付保险费</w:t>
            </w:r>
          </w:p>
        </w:tc>
        <w:tc>
          <w:tcPr>
            <w:tcW w:w="7412" w:type="dxa"/>
            <w:tcBorders>
              <w:bottom w:val="single" w:sz="8" w:space="0" w:color="000000"/>
            </w:tcBorders>
          </w:tcPr>
          <w:p>
            <w:pPr>
              <w:pStyle w:val="TableParagraph"/>
              <w:rPr>
                <w:rFonts w:ascii="Times New Roman"/>
                <w:sz w:val="20"/>
              </w:rPr>
            </w:pPr>
          </w:p>
        </w:tc>
      </w:tr>
      <w:tr>
        <w:trPr>
          <w:trHeight w:val="877" w:hRule="atLeast"/>
        </w:trPr>
        <w:tc>
          <w:tcPr>
            <w:tcW w:w="660" w:type="dxa"/>
            <w:tcBorders>
              <w:top w:val="single" w:sz="8" w:space="0" w:color="000000"/>
            </w:tcBorders>
          </w:tcPr>
          <w:p>
            <w:pPr>
              <w:pStyle w:val="TableParagraph"/>
              <w:rPr>
                <w:rFonts w:ascii="Times New Roman"/>
                <w:sz w:val="20"/>
              </w:rPr>
            </w:pPr>
          </w:p>
        </w:tc>
        <w:tc>
          <w:tcPr>
            <w:tcW w:w="2009" w:type="dxa"/>
            <w:tcBorders>
              <w:top w:val="single" w:sz="8" w:space="0" w:color="000000"/>
            </w:tcBorders>
          </w:tcPr>
          <w:p>
            <w:pPr>
              <w:pStyle w:val="TableParagraph"/>
              <w:spacing w:before="161"/>
              <w:ind w:left="194"/>
              <w:rPr>
                <w:rFonts w:ascii="微软雅黑" w:eastAsia="微软雅黑"/>
                <w:b/>
                <w:sz w:val="21"/>
              </w:rPr>
            </w:pPr>
            <w:r>
              <w:rPr>
                <w:rFonts w:ascii="微软雅黑" w:eastAsia="微软雅黑"/>
                <w:b/>
                <w:spacing w:val="-2"/>
                <w:sz w:val="21"/>
              </w:rPr>
              <w:t>保险费的支付</w:t>
            </w:r>
          </w:p>
        </w:tc>
        <w:tc>
          <w:tcPr>
            <w:tcW w:w="7412" w:type="dxa"/>
            <w:tcBorders>
              <w:top w:val="single" w:sz="8" w:space="0" w:color="000000"/>
            </w:tcBorders>
          </w:tcPr>
          <w:p>
            <w:pPr>
              <w:pStyle w:val="TableParagraph"/>
              <w:spacing w:before="10"/>
              <w:rPr>
                <w:sz w:val="17"/>
              </w:rPr>
            </w:pPr>
          </w:p>
          <w:p>
            <w:pPr>
              <w:pStyle w:val="TableParagraph"/>
              <w:spacing w:line="278" w:lineRule="auto" w:before="1"/>
              <w:ind w:left="125" w:right="103"/>
              <w:rPr>
                <w:sz w:val="21"/>
              </w:rPr>
            </w:pPr>
            <w:r>
              <w:rPr>
                <w:spacing w:val="-2"/>
                <w:sz w:val="21"/>
              </w:rPr>
              <w:t>本合同的保险费根据被保险人的年龄、所选保障计划和是否参加社会基本医疗</w:t>
            </w:r>
            <w:r>
              <w:rPr>
                <w:spacing w:val="-2"/>
                <w:sz w:val="21"/>
              </w:rPr>
              <w:t>保险（或公费医疗、城乡居民大病保险）等情况分别计算。</w:t>
            </w:r>
          </w:p>
        </w:tc>
      </w:tr>
      <w:tr>
        <w:trPr>
          <w:trHeight w:val="308" w:hRule="atLeast"/>
        </w:trPr>
        <w:tc>
          <w:tcPr>
            <w:tcW w:w="660" w:type="dxa"/>
          </w:tcPr>
          <w:p>
            <w:pPr>
              <w:pStyle w:val="TableParagraph"/>
              <w:rPr>
                <w:rFonts w:ascii="Times New Roman"/>
                <w:sz w:val="20"/>
              </w:rPr>
            </w:pPr>
          </w:p>
        </w:tc>
        <w:tc>
          <w:tcPr>
            <w:tcW w:w="2009" w:type="dxa"/>
          </w:tcPr>
          <w:p>
            <w:pPr>
              <w:pStyle w:val="TableParagraph"/>
              <w:rPr>
                <w:rFonts w:ascii="Times New Roman"/>
                <w:sz w:val="20"/>
              </w:rPr>
            </w:pPr>
          </w:p>
        </w:tc>
        <w:tc>
          <w:tcPr>
            <w:tcW w:w="7412" w:type="dxa"/>
          </w:tcPr>
          <w:p>
            <w:pPr>
              <w:pStyle w:val="TableParagraph"/>
              <w:spacing w:line="220" w:lineRule="exact" w:before="68"/>
              <w:ind w:left="125"/>
              <w:rPr>
                <w:sz w:val="21"/>
              </w:rPr>
            </w:pPr>
            <w:r>
              <w:rPr>
                <w:spacing w:val="-3"/>
                <w:sz w:val="21"/>
              </w:rPr>
              <w:t>本合同保险费的支付方式为一次性支付，并载明于保险单上。</w:t>
            </w:r>
          </w:p>
        </w:tc>
      </w:tr>
    </w:tbl>
    <w:p>
      <w:pPr>
        <w:pStyle w:val="BodyText"/>
        <w:rPr>
          <w:sz w:val="20"/>
        </w:rPr>
      </w:pPr>
    </w:p>
    <w:p>
      <w:pPr>
        <w:pStyle w:val="BodyText"/>
        <w:spacing w:before="5"/>
        <w:rPr>
          <w:sz w:val="15"/>
        </w:rPr>
      </w:pPr>
    </w:p>
    <w:p>
      <w:pPr>
        <w:pStyle w:val="Heading1"/>
        <w:tabs>
          <w:tab w:pos="100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明确说明与如实告知</w:t>
      </w:r>
    </w:p>
    <w:p>
      <w:pPr>
        <w:pStyle w:val="BodyText"/>
        <w:spacing w:before="4"/>
        <w:rPr>
          <w:rFonts w:ascii="微软雅黑"/>
          <w:b/>
          <w:sz w:val="4"/>
        </w:rPr>
      </w:pPr>
      <w:r>
        <w:rPr/>
        <w:drawing>
          <wp:anchor distT="0" distB="0" distL="0" distR="0" allowOverlap="1" layoutInCell="1" locked="0" behindDoc="0" simplePos="0" relativeHeight="5">
            <wp:simplePos x="0" y="0"/>
            <wp:positionH relativeFrom="page">
              <wp:posOffset>579119</wp:posOffset>
            </wp:positionH>
            <wp:positionV relativeFrom="paragraph">
              <wp:posOffset>64598</wp:posOffset>
            </wp:positionV>
            <wp:extent cx="6302175" cy="12001"/>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02175" cy="12001"/>
                    </a:xfrm>
                    <a:prstGeom prst="rect">
                      <a:avLst/>
                    </a:prstGeom>
                  </pic:spPr>
                </pic:pic>
              </a:graphicData>
            </a:graphic>
          </wp:anchor>
        </w:drawing>
      </w:r>
    </w:p>
    <w:p>
      <w:pPr>
        <w:spacing w:after="0"/>
        <w:rPr>
          <w:rFonts w:ascii="微软雅黑"/>
          <w:sz w:val="4"/>
        </w:rPr>
        <w:sectPr>
          <w:pgSz w:w="11910" w:h="16840"/>
          <w:pgMar w:header="0" w:footer="401" w:top="1060" w:bottom="600" w:left="760" w:right="580"/>
        </w:sectPr>
      </w:pPr>
    </w:p>
    <w:p>
      <w:pPr>
        <w:pStyle w:val="ListParagraph"/>
        <w:numPr>
          <w:ilvl w:val="1"/>
          <w:numId w:val="13"/>
        </w:numPr>
        <w:tabs>
          <w:tab w:pos="1006" w:val="left" w:leader="none"/>
          <w:tab w:pos="1007" w:val="left" w:leader="none"/>
          <w:tab w:pos="2946" w:val="left" w:leader="none"/>
        </w:tabs>
        <w:spacing w:line="377" w:lineRule="exact" w:before="0" w:after="0"/>
        <w:ind w:left="1006" w:right="0" w:hanging="747"/>
        <w:jc w:val="left"/>
        <w:rPr>
          <w:sz w:val="21"/>
        </w:rPr>
      </w:pPr>
      <w:r>
        <w:rPr>
          <w:rFonts w:ascii="微软雅黑" w:eastAsia="微软雅黑"/>
          <w:b/>
          <w:sz w:val="21"/>
        </w:rPr>
        <w:t>明确说</w:t>
      </w:r>
      <w:r>
        <w:rPr>
          <w:rFonts w:ascii="微软雅黑" w:eastAsia="微软雅黑"/>
          <w:b/>
          <w:spacing w:val="-10"/>
          <w:sz w:val="21"/>
        </w:rPr>
        <w:t>明</w:t>
      </w:r>
      <w:r>
        <w:rPr>
          <w:rFonts w:ascii="微软雅黑" w:eastAsia="微软雅黑"/>
          <w:b/>
          <w:sz w:val="21"/>
        </w:rPr>
        <w:tab/>
      </w:r>
      <w:r>
        <w:rPr>
          <w:spacing w:val="-2"/>
          <w:sz w:val="21"/>
        </w:rPr>
        <w:t>订</w:t>
      </w:r>
      <w:r>
        <w:rPr>
          <w:spacing w:val="-2"/>
          <w:sz w:val="21"/>
        </w:rPr>
        <w:t>立</w:t>
      </w:r>
      <w:r>
        <w:rPr>
          <w:spacing w:val="-2"/>
          <w:sz w:val="21"/>
        </w:rPr>
        <w:t>本合同时，我们将向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86"/>
        <w:ind w:left="2946" w:right="330"/>
      </w:pPr>
      <w:r>
        <w:rPr>
          <w:spacing w:val="-3"/>
          <w:w w:val="100"/>
        </w:rPr>
        <w:t>对保险条款中免除我们责任的条款，我们在订立本合同时将在投保单、保险单或者其他保险凭证上作出足以引起您注意的提示，并对该条款的内容以书面或</w:t>
      </w:r>
      <w:r>
        <w:rPr>
          <w:spacing w:val="-8"/>
          <w:w w:val="100"/>
        </w:rPr>
        <w:t>者口头形式向您作出明确说明，未作提示或者明确说明的，该条款不产生效力。</w:t>
      </w:r>
    </w:p>
    <w:p>
      <w:pPr>
        <w:pStyle w:val="BodyText"/>
        <w:spacing w:before="6"/>
        <w:rPr>
          <w:sz w:val="18"/>
        </w:rPr>
      </w:pPr>
    </w:p>
    <w:p>
      <w:pPr>
        <w:pStyle w:val="ListParagraph"/>
        <w:numPr>
          <w:ilvl w:val="1"/>
          <w:numId w:val="13"/>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如实告</w:t>
      </w:r>
      <w:r>
        <w:rPr>
          <w:rFonts w:ascii="微软雅黑" w:eastAsia="微软雅黑"/>
          <w:b/>
          <w:spacing w:val="-10"/>
          <w:sz w:val="21"/>
        </w:rPr>
        <w:t>知</w:t>
      </w:r>
      <w:r>
        <w:rPr>
          <w:rFonts w:ascii="微软雅黑" w:eastAsia="微软雅黑"/>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194" w:lineRule="auto" w:before="72"/>
        <w:ind w:left="2946" w:right="438" w:firstLine="0"/>
        <w:jc w:val="left"/>
        <w:rPr>
          <w:rFonts w:ascii="微软雅黑" w:eastAsia="微软雅黑"/>
          <w:b/>
          <w:sz w:val="21"/>
        </w:rPr>
      </w:pPr>
      <w:r>
        <w:rPr>
          <w:rFonts w:ascii="微软雅黑" w:eastAsia="微软雅黑"/>
          <w:b/>
          <w:spacing w:val="-2"/>
          <w:sz w:val="21"/>
        </w:rPr>
        <w:t>若您故意或者因重大过失未履行前款规定的如实告知义务，足以影响我们决定</w:t>
      </w:r>
      <w:r>
        <w:rPr>
          <w:rFonts w:ascii="微软雅黑" w:eastAsia="微软雅黑"/>
          <w:b/>
          <w:spacing w:val="-2"/>
          <w:sz w:val="21"/>
        </w:rPr>
        <w:t>是否同意承保或提高保险费率的，我们有权解除本合同。</w:t>
      </w:r>
    </w:p>
    <w:p>
      <w:pPr>
        <w:spacing w:line="194" w:lineRule="auto" w:before="90"/>
        <w:ind w:left="2946" w:right="438" w:firstLine="0"/>
        <w:jc w:val="left"/>
        <w:rPr>
          <w:rFonts w:ascii="微软雅黑" w:eastAsia="微软雅黑"/>
          <w:b/>
          <w:sz w:val="21"/>
        </w:rPr>
      </w:pPr>
      <w:r>
        <w:rPr>
          <w:rFonts w:ascii="微软雅黑" w:eastAsia="微软雅黑"/>
          <w:b/>
          <w:spacing w:val="-2"/>
          <w:sz w:val="21"/>
        </w:rPr>
        <w:t>若您故意不履行如实告知义务，对于本合同解除前发生的保险事故，我们不承</w:t>
      </w:r>
      <w:r>
        <w:rPr>
          <w:rFonts w:ascii="微软雅黑" w:eastAsia="微软雅黑"/>
          <w:b/>
          <w:spacing w:val="-2"/>
          <w:sz w:val="21"/>
        </w:rPr>
        <w:t>担给付保险金的责任，并不退还保险费。</w:t>
      </w:r>
    </w:p>
    <w:p>
      <w:pPr>
        <w:spacing w:line="194" w:lineRule="auto" w:before="91"/>
        <w:ind w:left="2946" w:right="438" w:firstLine="0"/>
        <w:jc w:val="both"/>
        <w:rPr>
          <w:rFonts w:ascii="微软雅黑" w:eastAsia="微软雅黑"/>
          <w:b/>
          <w:sz w:val="21"/>
        </w:rPr>
      </w:pPr>
      <w:r>
        <w:rPr>
          <w:rFonts w:ascii="微软雅黑" w:eastAsia="微软雅黑"/>
          <w:b/>
          <w:spacing w:val="-2"/>
          <w:sz w:val="21"/>
        </w:rPr>
        <w:t>若您因重大过失未履行如实告知义务，对保险事故的发生有严重影响的，对于</w:t>
      </w:r>
      <w:r>
        <w:rPr>
          <w:rFonts w:ascii="微软雅黑" w:eastAsia="微软雅黑"/>
          <w:b/>
          <w:spacing w:val="-2"/>
          <w:sz w:val="21"/>
        </w:rPr>
        <w:t>本合同解除前发生的保险事故，我们不承担给付保险金的责任，但退还您所支</w:t>
      </w:r>
      <w:r>
        <w:rPr>
          <w:rFonts w:ascii="微软雅黑" w:eastAsia="微软雅黑"/>
          <w:b/>
          <w:spacing w:val="-2"/>
          <w:sz w:val="21"/>
        </w:rPr>
        <w:t>付的保险费。</w:t>
      </w:r>
    </w:p>
    <w:p>
      <w:pPr>
        <w:pStyle w:val="BodyText"/>
        <w:spacing w:line="278" w:lineRule="auto" w:before="101"/>
        <w:ind w:left="2946" w:right="471"/>
      </w:pPr>
      <w:r>
        <w:rPr>
          <w:spacing w:val="-2"/>
        </w:rPr>
        <w:t>我们在合同订立时已经知道您未如实告知的情况的，我们不得解除合同；发生</w:t>
      </w:r>
      <w:r>
        <w:rPr>
          <w:spacing w:val="-2"/>
        </w:rPr>
        <w:t>保险事故的，我们承担给付保险金的责任。</w:t>
      </w:r>
    </w:p>
    <w:p>
      <w:pPr>
        <w:pStyle w:val="BodyText"/>
        <w:spacing w:before="6"/>
        <w:rPr>
          <w:sz w:val="14"/>
        </w:rPr>
      </w:pPr>
    </w:p>
    <w:p>
      <w:pPr>
        <w:spacing w:after="0"/>
        <w:rPr>
          <w:sz w:val="14"/>
        </w:rPr>
        <w:sectPr>
          <w:pgSz w:w="11910" w:h="16840"/>
          <w:pgMar w:header="0" w:footer="401" w:top="1080" w:bottom="600" w:left="760" w:right="580"/>
        </w:sectPr>
      </w:pPr>
    </w:p>
    <w:p>
      <w:pPr>
        <w:pStyle w:val="Heading2"/>
        <w:numPr>
          <w:ilvl w:val="1"/>
          <w:numId w:val="13"/>
        </w:numPr>
        <w:tabs>
          <w:tab w:pos="1006" w:val="left" w:leader="none"/>
          <w:tab w:pos="1007" w:val="left" w:leader="none"/>
        </w:tabs>
        <w:spacing w:line="350" w:lineRule="exact" w:before="4" w:after="0"/>
        <w:ind w:left="1006" w:right="0" w:hanging="747"/>
        <w:jc w:val="left"/>
      </w:pPr>
      <w:r>
        <w:rPr>
          <w:spacing w:val="-2"/>
        </w:rPr>
        <w:t>本公司合同解除权</w:t>
      </w:r>
    </w:p>
    <w:p>
      <w:pPr>
        <w:spacing w:line="350" w:lineRule="exact" w:before="0"/>
        <w:ind w:left="1006" w:right="0" w:firstLine="0"/>
        <w:jc w:val="left"/>
        <w:rPr>
          <w:rFonts w:ascii="微软雅黑" w:eastAsia="微软雅黑"/>
          <w:b/>
          <w:sz w:val="21"/>
        </w:rPr>
      </w:pPr>
      <w:r>
        <w:rPr>
          <w:rFonts w:ascii="微软雅黑" w:eastAsia="微软雅黑"/>
          <w:b/>
          <w:spacing w:val="-4"/>
          <w:sz w:val="21"/>
        </w:rPr>
        <w:t>的限制</w:t>
      </w:r>
    </w:p>
    <w:p>
      <w:pPr>
        <w:pStyle w:val="BodyText"/>
        <w:spacing w:line="278" w:lineRule="auto" w:before="72"/>
        <w:ind w:left="210" w:right="472"/>
      </w:pPr>
      <w:r>
        <w:rPr/>
        <w:br w:type="column"/>
      </w:r>
      <w:r>
        <w:rPr/>
        <w:t>本合同“4.2</w:t>
      </w:r>
      <w:r>
        <w:rPr>
          <w:spacing w:val="-6"/>
        </w:rPr>
        <w:t> 如实告知”规定的本公司合同解除权，自我们知道有解除事由之</w:t>
      </w:r>
      <w:r>
        <w:rPr>
          <w:spacing w:val="-2"/>
        </w:rPr>
        <w:t>日起，超过三十日不行使而消灭。</w:t>
      </w:r>
    </w:p>
    <w:p>
      <w:pPr>
        <w:spacing w:after="0" w:line="278" w:lineRule="auto"/>
        <w:sectPr>
          <w:type w:val="continuous"/>
          <w:pgSz w:w="11910" w:h="16840"/>
          <w:pgMar w:header="0" w:footer="401" w:top="600" w:bottom="280" w:left="760" w:right="580"/>
          <w:cols w:num="2" w:equalWidth="0">
            <w:col w:w="2697" w:space="40"/>
            <w:col w:w="7833"/>
          </w:cols>
        </w:sectPr>
      </w:pPr>
    </w:p>
    <w:p>
      <w:pPr>
        <w:pStyle w:val="BodyText"/>
        <w:spacing w:before="7"/>
        <w:rPr>
          <w:sz w:val="15"/>
        </w:rPr>
      </w:pPr>
    </w:p>
    <w:p>
      <w:pPr>
        <w:pStyle w:val="Heading1"/>
        <w:tabs>
          <w:tab w:pos="1006" w:val="left" w:leader="none"/>
        </w:tabs>
        <w:spacing w:before="78"/>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如何申请领取保险金</w:t>
      </w:r>
    </w:p>
    <w:p>
      <w:pPr>
        <w:pStyle w:val="BodyText"/>
        <w:spacing w:before="4"/>
        <w:rPr>
          <w:rFonts w:ascii="微软雅黑"/>
          <w:b/>
          <w:sz w:val="4"/>
        </w:rPr>
      </w:pPr>
      <w:r>
        <w:rPr/>
        <w:drawing>
          <wp:anchor distT="0" distB="0" distL="0" distR="0" allowOverlap="1" layoutInCell="1" locked="0" behindDoc="0" simplePos="0" relativeHeight="6">
            <wp:simplePos x="0" y="0"/>
            <wp:positionH relativeFrom="page">
              <wp:posOffset>579119</wp:posOffset>
            </wp:positionH>
            <wp:positionV relativeFrom="paragraph">
              <wp:posOffset>65026</wp:posOffset>
            </wp:positionV>
            <wp:extent cx="6452025"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Heading2"/>
        <w:numPr>
          <w:ilvl w:val="1"/>
          <w:numId w:val="14"/>
        </w:numPr>
        <w:tabs>
          <w:tab w:pos="1006" w:val="left" w:leader="none"/>
          <w:tab w:pos="1007" w:val="left" w:leader="none"/>
        </w:tabs>
        <w:spacing w:line="240" w:lineRule="auto" w:before="164" w:after="0"/>
        <w:ind w:left="1006" w:right="0" w:hanging="747"/>
        <w:jc w:val="left"/>
      </w:pPr>
      <w:r>
        <w:rPr>
          <w:spacing w:val="-4"/>
        </w:rPr>
        <w:t>受益人</w:t>
      </w:r>
    </w:p>
    <w:p>
      <w:pPr>
        <w:pStyle w:val="BodyText"/>
        <w:spacing w:before="17"/>
        <w:rPr>
          <w:rFonts w:ascii="微软雅黑"/>
          <w:b/>
          <w:sz w:val="7"/>
        </w:rPr>
      </w:pPr>
    </w:p>
    <w:p>
      <w:pPr>
        <w:spacing w:after="0"/>
        <w:rPr>
          <w:rFonts w:ascii="微软雅黑"/>
          <w:sz w:val="7"/>
        </w:rPr>
        <w:sectPr>
          <w:type w:val="continuous"/>
          <w:pgSz w:w="11910" w:h="16840"/>
          <w:pgMar w:header="0" w:footer="401" w:top="600" w:bottom="280" w:left="760" w:right="580"/>
        </w:sectPr>
      </w:pPr>
    </w:p>
    <w:p>
      <w:pPr>
        <w:spacing w:line="194" w:lineRule="auto" w:before="57"/>
        <w:ind w:left="1006" w:right="0" w:firstLine="0"/>
        <w:jc w:val="both"/>
        <w:rPr>
          <w:rFonts w:ascii="微软雅黑" w:eastAsia="微软雅黑"/>
          <w:b/>
          <w:sz w:val="21"/>
        </w:rPr>
      </w:pPr>
      <w:r>
        <w:rPr>
          <w:rFonts w:ascii="微软雅黑" w:eastAsia="微软雅黑"/>
          <w:b/>
          <w:spacing w:val="-2"/>
          <w:sz w:val="21"/>
        </w:rPr>
        <w:t>一般医疗保险金、</w:t>
      </w:r>
      <w:r>
        <w:rPr>
          <w:rFonts w:ascii="微软雅黑" w:eastAsia="微软雅黑"/>
          <w:b/>
          <w:spacing w:val="-2"/>
          <w:sz w:val="21"/>
        </w:rPr>
        <w:t>重大疾病医疗保险</w:t>
      </w:r>
      <w:r>
        <w:rPr>
          <w:rFonts w:ascii="微软雅黑" w:eastAsia="微软雅黑"/>
          <w:b/>
          <w:spacing w:val="-4"/>
          <w:sz w:val="21"/>
        </w:rPr>
        <w:t>金受益人</w:t>
      </w:r>
    </w:p>
    <w:p>
      <w:pPr>
        <w:pStyle w:val="BodyText"/>
        <w:spacing w:before="72"/>
        <w:ind w:left="171"/>
      </w:pPr>
      <w:r>
        <w:rPr/>
        <w:br w:type="column"/>
      </w:r>
      <w:r>
        <w:rPr>
          <w:spacing w:val="-3"/>
        </w:rPr>
        <w:t>本合同一般医疗保险金、重大疾病医疗保险金受益人为被保险人。</w:t>
      </w:r>
    </w:p>
    <w:p>
      <w:pPr>
        <w:spacing w:after="0"/>
        <w:sectPr>
          <w:type w:val="continuous"/>
          <w:pgSz w:w="11910" w:h="16840"/>
          <w:pgMar w:header="0" w:footer="401" w:top="600" w:bottom="280" w:left="760" w:right="580"/>
          <w:cols w:num="2" w:equalWidth="0">
            <w:col w:w="2735" w:space="40"/>
            <w:col w:w="7795"/>
          </w:cols>
        </w:sectPr>
      </w:pPr>
    </w:p>
    <w:p>
      <w:pPr>
        <w:pStyle w:val="BodyText"/>
        <w:rPr>
          <w:sz w:val="13"/>
        </w:rPr>
      </w:pPr>
    </w:p>
    <w:p>
      <w:pPr>
        <w:pStyle w:val="ListParagraph"/>
        <w:numPr>
          <w:ilvl w:val="1"/>
          <w:numId w:val="14"/>
        </w:numPr>
        <w:tabs>
          <w:tab w:pos="1007" w:val="left" w:leader="none"/>
          <w:tab w:pos="2946" w:val="left" w:leader="none"/>
        </w:tabs>
        <w:spacing w:line="240" w:lineRule="auto" w:before="5" w:after="0"/>
        <w:ind w:left="1006" w:right="0" w:hanging="747"/>
        <w:jc w:val="both"/>
        <w:rPr>
          <w:sz w:val="21"/>
        </w:rPr>
      </w:pP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spacing w:line="312" w:lineRule="exact" w:before="108"/>
        <w:ind w:left="2946" w:right="450" w:firstLine="0"/>
        <w:jc w:val="both"/>
        <w:rPr>
          <w:sz w:val="21"/>
        </w:rPr>
      </w:pPr>
      <w:r>
        <w:rPr>
          <w:rFonts w:ascii="微软雅黑" w:eastAsia="微软雅黑"/>
          <w:b/>
          <w:spacing w:val="-2"/>
          <w:sz w:val="21"/>
        </w:rPr>
        <w:t>您或受益人故意或者因重大过失未及时通知，致使保险事故的性质、原因、损</w:t>
      </w:r>
      <w:r>
        <w:rPr>
          <w:rFonts w:ascii="微软雅黑" w:eastAsia="微软雅黑"/>
          <w:b/>
          <w:spacing w:val="-2"/>
          <w:sz w:val="21"/>
        </w:rPr>
        <w:t>失程度等难以确定的，我们对无法确定的部分，不承担给付保险金的责任，</w:t>
      </w:r>
      <w:r>
        <w:rPr>
          <w:spacing w:val="-2"/>
          <w:sz w:val="21"/>
        </w:rPr>
        <w:t>但</w:t>
      </w:r>
      <w:r>
        <w:rPr>
          <w:spacing w:val="-2"/>
          <w:sz w:val="21"/>
        </w:rPr>
        <w:t>我们通过其他途径已经及时知道或者应当及时知道保险事故发生或者虽您或受</w:t>
      </w:r>
      <w:r>
        <w:rPr>
          <w:spacing w:val="-3"/>
          <w:sz w:val="21"/>
        </w:rPr>
        <w:t>益人未及时通知但不影响我们确定保险事故的性质、原因、损失程度的除外。</w:t>
      </w:r>
    </w:p>
    <w:p>
      <w:pPr>
        <w:pStyle w:val="BodyText"/>
        <w:spacing w:before="11"/>
        <w:rPr>
          <w:sz w:val="15"/>
        </w:rPr>
      </w:pPr>
    </w:p>
    <w:p>
      <w:pPr>
        <w:pStyle w:val="ListParagraph"/>
        <w:numPr>
          <w:ilvl w:val="1"/>
          <w:numId w:val="14"/>
        </w:numPr>
        <w:tabs>
          <w:tab w:pos="1006" w:val="left" w:leader="none"/>
          <w:tab w:pos="1007" w:val="left" w:leader="none"/>
          <w:tab w:pos="2946" w:val="left" w:leader="none"/>
        </w:tabs>
        <w:spacing w:line="235" w:lineRule="auto" w:before="1" w:after="0"/>
        <w:ind w:left="2946" w:right="438" w:hanging="2687"/>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申</w:t>
      </w:r>
      <w:r>
        <w:rPr>
          <w:rFonts w:ascii="微软雅黑" w:eastAsia="微软雅黑"/>
          <w:b/>
          <w:spacing w:val="-2"/>
          <w:sz w:val="21"/>
        </w:rPr>
        <w:t>请</w:t>
      </w:r>
      <w:r>
        <w:rPr>
          <w:rFonts w:ascii="微软雅黑" w:eastAsia="微软雅黑"/>
          <w:b/>
          <w:sz w:val="21"/>
        </w:rPr>
        <w:tab/>
      </w:r>
      <w:r>
        <w:rPr>
          <w:spacing w:val="-2"/>
          <w:sz w:val="21"/>
        </w:rPr>
        <w:t>在</w:t>
      </w:r>
      <w:r>
        <w:rPr>
          <w:spacing w:val="-2"/>
          <w:sz w:val="21"/>
        </w:rPr>
        <w:t>申</w:t>
      </w:r>
      <w:r>
        <w:rPr>
          <w:spacing w:val="-2"/>
          <w:sz w:val="21"/>
        </w:rPr>
        <w:t>请</w:t>
      </w:r>
      <w:r>
        <w:rPr>
          <w:spacing w:val="-2"/>
          <w:sz w:val="21"/>
        </w:rPr>
        <w:t>一</w:t>
      </w:r>
      <w:r>
        <w:rPr>
          <w:spacing w:val="-2"/>
          <w:sz w:val="21"/>
        </w:rPr>
        <w:t>般</w:t>
      </w:r>
      <w:r>
        <w:rPr>
          <w:spacing w:val="-2"/>
          <w:sz w:val="21"/>
        </w:rPr>
        <w:t>医</w:t>
      </w:r>
      <w:r>
        <w:rPr>
          <w:spacing w:val="-2"/>
          <w:sz w:val="21"/>
        </w:rPr>
        <w:t>疗</w:t>
      </w:r>
      <w:r>
        <w:rPr>
          <w:spacing w:val="-2"/>
          <w:sz w:val="21"/>
        </w:rPr>
        <w:t>保</w:t>
      </w:r>
      <w:r>
        <w:rPr>
          <w:spacing w:val="-2"/>
          <w:sz w:val="21"/>
        </w:rPr>
        <w:t>险</w:t>
      </w:r>
      <w:r>
        <w:rPr>
          <w:spacing w:val="-2"/>
          <w:sz w:val="21"/>
        </w:rPr>
        <w:t>金</w:t>
      </w:r>
      <w:r>
        <w:rPr>
          <w:spacing w:val="-2"/>
          <w:sz w:val="21"/>
        </w:rPr>
        <w:t>、</w:t>
      </w:r>
      <w:r>
        <w:rPr>
          <w:spacing w:val="-2"/>
          <w:sz w:val="21"/>
        </w:rPr>
        <w:t>重</w:t>
      </w:r>
      <w:r>
        <w:rPr>
          <w:spacing w:val="-2"/>
          <w:sz w:val="21"/>
        </w:rPr>
        <w:t>大</w:t>
      </w:r>
      <w:r>
        <w:rPr>
          <w:spacing w:val="-2"/>
          <w:sz w:val="21"/>
        </w:rPr>
        <w:t>疾</w:t>
      </w:r>
      <w:r>
        <w:rPr>
          <w:spacing w:val="-2"/>
          <w:sz w:val="21"/>
        </w:rPr>
        <w:t>病</w:t>
      </w:r>
      <w:r>
        <w:rPr>
          <w:spacing w:val="-2"/>
          <w:sz w:val="21"/>
        </w:rPr>
        <w:t>医</w:t>
      </w:r>
      <w:r>
        <w:rPr>
          <w:spacing w:val="-2"/>
          <w:sz w:val="21"/>
        </w:rPr>
        <w:t>疗</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申</w:t>
      </w:r>
      <w:r>
        <w:rPr>
          <w:spacing w:val="-2"/>
          <w:sz w:val="21"/>
        </w:rPr>
        <w:t>请</w:t>
      </w:r>
      <w:r>
        <w:rPr>
          <w:spacing w:val="-2"/>
          <w:sz w:val="21"/>
        </w:rPr>
        <w:t>人</w:t>
      </w:r>
      <w:r>
        <w:rPr>
          <w:spacing w:val="-2"/>
          <w:sz w:val="21"/>
        </w:rPr>
        <w:t>须</w:t>
      </w:r>
      <w:r>
        <w:rPr>
          <w:spacing w:val="-2"/>
          <w:sz w:val="21"/>
        </w:rPr>
        <w:t>填</w:t>
      </w:r>
      <w:r>
        <w:rPr>
          <w:spacing w:val="-2"/>
          <w:sz w:val="21"/>
        </w:rPr>
        <w:t>写</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w:t>
      </w:r>
      <w:r>
        <w:rPr>
          <w:spacing w:val="-2"/>
          <w:sz w:val="21"/>
        </w:rPr>
        <w:t>，并提供下列证明和</w:t>
      </w:r>
      <w:r>
        <w:rPr>
          <w:spacing w:val="-2"/>
          <w:sz w:val="21"/>
        </w:rPr>
        <w:t>资</w:t>
      </w:r>
      <w:r>
        <w:rPr>
          <w:spacing w:val="-2"/>
          <w:sz w:val="21"/>
        </w:rPr>
        <w:t>料</w:t>
      </w:r>
      <w:r>
        <w:rPr>
          <w:spacing w:val="-2"/>
          <w:sz w:val="21"/>
        </w:rPr>
        <w:t>：</w:t>
      </w:r>
    </w:p>
    <w:p>
      <w:pPr>
        <w:pStyle w:val="ListParagraph"/>
        <w:numPr>
          <w:ilvl w:val="2"/>
          <w:numId w:val="14"/>
        </w:numPr>
        <w:tabs>
          <w:tab w:pos="3476" w:val="left" w:leader="none"/>
        </w:tabs>
        <w:spacing w:line="240" w:lineRule="auto" w:before="136" w:after="0"/>
        <w:ind w:left="3475" w:right="0" w:hanging="530"/>
        <w:jc w:val="left"/>
        <w:rPr>
          <w:sz w:val="21"/>
        </w:rPr>
      </w:pPr>
      <w:r>
        <w:rPr>
          <w:spacing w:val="-4"/>
          <w:sz w:val="21"/>
        </w:rPr>
        <w:t>保险合同；</w:t>
      </w:r>
    </w:p>
    <w:p>
      <w:pPr>
        <w:pStyle w:val="ListParagraph"/>
        <w:numPr>
          <w:ilvl w:val="2"/>
          <w:numId w:val="14"/>
        </w:numPr>
        <w:tabs>
          <w:tab w:pos="3476" w:val="left" w:leader="none"/>
        </w:tabs>
        <w:spacing w:line="240" w:lineRule="auto" w:before="137" w:after="0"/>
        <w:ind w:left="3475" w:right="0" w:hanging="530"/>
        <w:jc w:val="left"/>
        <w:rPr>
          <w:sz w:val="21"/>
        </w:rPr>
      </w:pPr>
      <w:r>
        <w:rPr>
          <w:spacing w:val="-3"/>
          <w:sz w:val="21"/>
        </w:rPr>
        <w:t>申请人的有效身份证件；</w:t>
      </w:r>
    </w:p>
    <w:p>
      <w:pPr>
        <w:pStyle w:val="ListParagraph"/>
        <w:numPr>
          <w:ilvl w:val="2"/>
          <w:numId w:val="14"/>
        </w:numPr>
        <w:tabs>
          <w:tab w:pos="3476" w:val="left" w:leader="none"/>
        </w:tabs>
        <w:spacing w:line="278" w:lineRule="auto" w:before="136" w:after="0"/>
        <w:ind w:left="3472" w:right="435" w:hanging="526"/>
        <w:jc w:val="left"/>
        <w:rPr>
          <w:sz w:val="21"/>
        </w:rPr>
      </w:pPr>
      <w:r>
        <w:rPr>
          <w:spacing w:val="-5"/>
          <w:w w:val="100"/>
          <w:sz w:val="21"/>
        </w:rPr>
        <w:t>由本公司认可的医疗机构出具的被保险人的医疗诊断证明、病历及医疗</w:t>
      </w:r>
      <w:r>
        <w:rPr>
          <w:spacing w:val="-3"/>
          <w:w w:val="100"/>
          <w:sz w:val="21"/>
        </w:rPr>
        <w:t>费用原始单据、结算明细表和处方；</w:t>
      </w:r>
    </w:p>
    <w:p>
      <w:pPr>
        <w:pStyle w:val="ListParagraph"/>
        <w:numPr>
          <w:ilvl w:val="2"/>
          <w:numId w:val="14"/>
        </w:numPr>
        <w:tabs>
          <w:tab w:pos="3476" w:val="left" w:leader="none"/>
        </w:tabs>
        <w:spacing w:line="278" w:lineRule="auto" w:before="91" w:after="0"/>
        <w:ind w:left="3472" w:right="433" w:hanging="526"/>
        <w:jc w:val="both"/>
        <w:rPr>
          <w:sz w:val="21"/>
        </w:rPr>
      </w:pPr>
      <w:r>
        <w:rPr>
          <w:spacing w:val="-4"/>
          <w:sz w:val="21"/>
        </w:rPr>
        <w:t>对于已经从当地社会基本医疗保险、公费医疗、城乡居民大病保险、其他</w:t>
      </w:r>
      <w:r>
        <w:rPr>
          <w:spacing w:val="-5"/>
          <w:sz w:val="21"/>
        </w:rPr>
        <w:t>费用补偿型医疗保险和其他途径获得补偿或赔偿的，需提供相应机构或单</w:t>
      </w:r>
      <w:r>
        <w:rPr>
          <w:spacing w:val="-2"/>
          <w:sz w:val="21"/>
        </w:rPr>
        <w:t>位出具的医疗费用结算凭证；</w:t>
      </w:r>
    </w:p>
    <w:p>
      <w:pPr>
        <w:pStyle w:val="ListParagraph"/>
        <w:numPr>
          <w:ilvl w:val="2"/>
          <w:numId w:val="14"/>
        </w:numPr>
        <w:tabs>
          <w:tab w:pos="3476" w:val="left" w:leader="none"/>
        </w:tabs>
        <w:spacing w:line="240" w:lineRule="auto" w:before="94" w:after="0"/>
        <w:ind w:left="3475" w:right="0" w:hanging="530"/>
        <w:jc w:val="left"/>
        <w:rPr>
          <w:sz w:val="21"/>
        </w:rPr>
      </w:pPr>
      <w:r>
        <w:rPr>
          <w:spacing w:val="-5"/>
          <w:sz w:val="21"/>
        </w:rPr>
        <w:t>所能提供的与确认保险事故的性质、原因及伤害程度等有关的其他证明和</w:t>
      </w:r>
    </w:p>
    <w:p>
      <w:pPr>
        <w:spacing w:after="0" w:line="240" w:lineRule="auto"/>
        <w:jc w:val="left"/>
        <w:rPr>
          <w:sz w:val="21"/>
        </w:rPr>
        <w:sectPr>
          <w:type w:val="continuous"/>
          <w:pgSz w:w="11910" w:h="16840"/>
          <w:pgMar w:header="0" w:footer="401" w:top="600" w:bottom="280" w:left="760" w:right="580"/>
        </w:sectPr>
      </w:pPr>
    </w:p>
    <w:p>
      <w:pPr>
        <w:pStyle w:val="BodyText"/>
        <w:spacing w:before="57"/>
        <w:ind w:left="3472"/>
      </w:pPr>
      <w:r>
        <w:rPr>
          <w:spacing w:val="-4"/>
        </w:rPr>
        <w:t>资料。</w:t>
      </w:r>
    </w:p>
    <w:p>
      <w:pPr>
        <w:pStyle w:val="BodyText"/>
        <w:spacing w:before="137"/>
        <w:ind w:left="2946"/>
      </w:pPr>
      <w:r>
        <w:rPr>
          <w:spacing w:val="-3"/>
        </w:rPr>
        <w:t>保险金作为被保险人遗产时，必须提供可证明合法继承权的相关权利文件。</w:t>
      </w:r>
    </w:p>
    <w:p>
      <w:pPr>
        <w:pStyle w:val="BodyText"/>
        <w:spacing w:line="278" w:lineRule="auto" w:before="136"/>
        <w:ind w:left="2946" w:right="438"/>
      </w:pPr>
      <w:r>
        <w:rPr>
          <w:spacing w:val="-2"/>
        </w:rPr>
        <w:t>申请人提供的证明和资料不完整的，我们将及时一次性通知申请人补充提供有</w:t>
      </w:r>
      <w:r>
        <w:rPr>
          <w:spacing w:val="-2"/>
        </w:rPr>
        <w:t>关证明和资料。</w:t>
      </w:r>
    </w:p>
    <w:p>
      <w:pPr>
        <w:pStyle w:val="BodyText"/>
        <w:spacing w:before="2"/>
        <w:rPr>
          <w:sz w:val="25"/>
        </w:rPr>
      </w:pPr>
    </w:p>
    <w:p>
      <w:pPr>
        <w:pStyle w:val="ListParagraph"/>
        <w:numPr>
          <w:ilvl w:val="1"/>
          <w:numId w:val="14"/>
        </w:numPr>
        <w:tabs>
          <w:tab w:pos="1007" w:val="left" w:leader="none"/>
          <w:tab w:pos="2946" w:val="left" w:leader="none"/>
        </w:tabs>
        <w:spacing w:line="235" w:lineRule="auto" w:before="0" w:after="0"/>
        <w:ind w:left="2946" w:right="471" w:hanging="2687"/>
        <w:jc w:val="both"/>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事</w:t>
      </w:r>
      <w:r>
        <w:rPr>
          <w:rFonts w:ascii="微软雅黑" w:eastAsia="微软雅黑"/>
          <w:b/>
          <w:spacing w:val="-2"/>
          <w:sz w:val="21"/>
        </w:rPr>
        <w:t>故</w:t>
      </w:r>
      <w:r>
        <w:rPr>
          <w:rFonts w:ascii="微软雅黑" w:eastAsia="微软雅黑"/>
          <w:b/>
          <w:spacing w:val="-2"/>
          <w:sz w:val="21"/>
        </w:rPr>
        <w:t>鉴</w:t>
      </w:r>
      <w:r>
        <w:rPr>
          <w:rFonts w:ascii="微软雅黑" w:eastAsia="微软雅黑"/>
          <w:b/>
          <w:spacing w:val="-2"/>
          <w:sz w:val="21"/>
        </w:rPr>
        <w:t>定</w:t>
      </w:r>
      <w:r>
        <w:rPr>
          <w:rFonts w:ascii="微软雅黑" w:eastAsia="微软雅黑"/>
          <w:b/>
          <w:sz w:val="21"/>
        </w:rPr>
        <w:tab/>
      </w:r>
      <w:r>
        <w:rPr>
          <w:spacing w:val="-2"/>
          <w:sz w:val="21"/>
        </w:rPr>
        <w:t>如</w:t>
      </w:r>
      <w:r>
        <w:rPr>
          <w:spacing w:val="-2"/>
          <w:sz w:val="21"/>
        </w:rPr>
        <w:t>果</w:t>
      </w:r>
      <w:r>
        <w:rPr>
          <w:spacing w:val="-2"/>
          <w:sz w:val="21"/>
        </w:rPr>
        <w:t>被保险人发生保险事</w:t>
      </w:r>
      <w:r>
        <w:rPr>
          <w:spacing w:val="-2"/>
          <w:sz w:val="21"/>
        </w:rPr>
        <w:t>故</w:t>
      </w:r>
      <w:r>
        <w:rPr>
          <w:spacing w:val="-2"/>
          <w:sz w:val="21"/>
        </w:rPr>
        <w:t>，您和我们均可以委托</w:t>
      </w:r>
      <w:r>
        <w:rPr>
          <w:spacing w:val="-2"/>
          <w:sz w:val="21"/>
        </w:rPr>
        <w:t>具</w:t>
      </w:r>
      <w:r>
        <w:rPr>
          <w:spacing w:val="-2"/>
          <w:sz w:val="21"/>
        </w:rPr>
        <w:t>有</w:t>
      </w:r>
      <w:r>
        <w:rPr>
          <w:spacing w:val="-2"/>
          <w:sz w:val="21"/>
        </w:rPr>
        <w:t>相应司法鉴定资质的司</w:t>
      </w:r>
      <w:r>
        <w:rPr>
          <w:spacing w:val="-2"/>
          <w:sz w:val="21"/>
        </w:rPr>
        <w:t>法</w:t>
      </w:r>
      <w:r>
        <w:rPr>
          <w:spacing w:val="-2"/>
          <w:sz w:val="21"/>
        </w:rPr>
        <w:t>鉴</w:t>
      </w:r>
      <w:r>
        <w:rPr>
          <w:spacing w:val="-2"/>
          <w:sz w:val="21"/>
        </w:rPr>
        <w:t>定机构，对保险事故</w:t>
      </w:r>
      <w:r>
        <w:rPr>
          <w:spacing w:val="-2"/>
          <w:sz w:val="21"/>
        </w:rPr>
        <w:t>进</w:t>
      </w:r>
      <w:r>
        <w:rPr>
          <w:spacing w:val="-2"/>
          <w:sz w:val="21"/>
        </w:rPr>
        <w:t>行</w:t>
      </w:r>
      <w:r>
        <w:rPr>
          <w:spacing w:val="-2"/>
          <w:sz w:val="21"/>
        </w:rPr>
        <w:t>评估和鉴定。</w:t>
      </w:r>
    </w:p>
    <w:p>
      <w:pPr>
        <w:pStyle w:val="BodyText"/>
        <w:spacing w:before="9"/>
        <w:rPr>
          <w:sz w:val="15"/>
        </w:rPr>
      </w:pPr>
    </w:p>
    <w:p>
      <w:pPr>
        <w:pStyle w:val="ListParagraph"/>
        <w:numPr>
          <w:ilvl w:val="1"/>
          <w:numId w:val="14"/>
        </w:numPr>
        <w:tabs>
          <w:tab w:pos="1007" w:val="left" w:leader="none"/>
          <w:tab w:pos="2946" w:val="left" w:leader="none"/>
        </w:tabs>
        <w:spacing w:line="256" w:lineRule="auto" w:before="0" w:after="0"/>
        <w:ind w:left="2946" w:right="438" w:hanging="2687"/>
        <w:jc w:val="both"/>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w:t>
      </w:r>
      <w:r>
        <w:rPr>
          <w:spacing w:val="-2"/>
          <w:sz w:val="21"/>
        </w:rPr>
        <w:t>及</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后</w:t>
      </w:r>
      <w:r>
        <w:rPr>
          <w:spacing w:val="-2"/>
          <w:sz w:val="21"/>
        </w:rPr>
        <w:t>，</w:t>
      </w:r>
      <w:r>
        <w:rPr>
          <w:spacing w:val="-2"/>
          <w:sz w:val="21"/>
        </w:rPr>
        <w:t>将</w:t>
      </w:r>
      <w:r>
        <w:rPr>
          <w:spacing w:val="-2"/>
          <w:sz w:val="21"/>
        </w:rPr>
        <w:t>在</w:t>
      </w:r>
      <w:r>
        <w:rPr>
          <w:spacing w:val="-2"/>
          <w:sz w:val="21"/>
        </w:rPr>
        <w:t>五</w:t>
      </w:r>
      <w:r>
        <w:rPr>
          <w:spacing w:val="-2"/>
          <w:sz w:val="21"/>
        </w:rPr>
        <w:t>日</w:t>
      </w:r>
      <w:r>
        <w:rPr>
          <w:spacing w:val="-2"/>
          <w:sz w:val="21"/>
        </w:rPr>
        <w:t>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情</w:t>
      </w:r>
      <w:r>
        <w:rPr>
          <w:spacing w:val="-2"/>
          <w:sz w:val="21"/>
        </w:rPr>
        <w:t>形</w:t>
      </w:r>
      <w:r>
        <w:rPr>
          <w:spacing w:val="-2"/>
          <w:sz w:val="21"/>
        </w:rPr>
        <w:t>复</w:t>
      </w:r>
      <w:r>
        <w:rPr>
          <w:spacing w:val="-2"/>
          <w:sz w:val="21"/>
        </w:rPr>
        <w:t>杂</w:t>
      </w:r>
      <w:r>
        <w:rPr>
          <w:spacing w:val="-2"/>
          <w:sz w:val="21"/>
        </w:rPr>
        <w:t>的</w:t>
      </w:r>
      <w:r>
        <w:rPr>
          <w:spacing w:val="-2"/>
          <w:sz w:val="21"/>
        </w:rPr>
        <w:t>，</w:t>
      </w:r>
      <w:r>
        <w:rPr>
          <w:spacing w:val="-2"/>
          <w:sz w:val="21"/>
        </w:rPr>
        <w:t>在</w:t>
      </w:r>
      <w:r>
        <w:rPr>
          <w:spacing w:val="-2"/>
          <w:sz w:val="21"/>
        </w:rPr>
        <w:t>三</w:t>
      </w:r>
      <w:r>
        <w:rPr>
          <w:spacing w:val="-2"/>
          <w:sz w:val="21"/>
        </w:rPr>
        <w:t>十</w:t>
      </w:r>
      <w:r>
        <w:rPr>
          <w:spacing w:val="-2"/>
          <w:sz w:val="21"/>
        </w:rPr>
        <w:t>日</w:t>
      </w:r>
      <w:r>
        <w:rPr>
          <w:spacing w:val="-2"/>
          <w:sz w:val="21"/>
        </w:rPr>
        <w:t>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对</w:t>
      </w:r>
      <w:r>
        <w:rPr>
          <w:spacing w:val="-2"/>
          <w:sz w:val="21"/>
        </w:rPr>
        <w:t>属</w:t>
      </w:r>
      <w:r>
        <w:rPr>
          <w:spacing w:val="-2"/>
          <w:sz w:val="21"/>
        </w:rPr>
        <w:t>于</w:t>
      </w:r>
      <w:r>
        <w:rPr>
          <w:spacing w:val="-2"/>
          <w:sz w:val="21"/>
        </w:rPr>
        <w:t>保</w:t>
      </w:r>
      <w:r>
        <w:rPr>
          <w:spacing w:val="-2"/>
          <w:sz w:val="21"/>
        </w:rPr>
        <w:t>险</w:t>
      </w:r>
      <w:r>
        <w:rPr>
          <w:spacing w:val="-2"/>
          <w:sz w:val="21"/>
        </w:rPr>
        <w:t>责</w:t>
      </w:r>
      <w:r>
        <w:rPr>
          <w:spacing w:val="-2"/>
          <w:sz w:val="21"/>
        </w:rPr>
        <w:t>任</w:t>
      </w:r>
      <w:r>
        <w:rPr>
          <w:spacing w:val="-2"/>
          <w:sz w:val="21"/>
        </w:rPr>
        <w:t>的</w:t>
      </w:r>
      <w:r>
        <w:rPr>
          <w:spacing w:val="-2"/>
          <w:sz w:val="21"/>
        </w:rPr>
        <w:t>，</w:t>
      </w:r>
      <w:r>
        <w:rPr>
          <w:spacing w:val="-2"/>
          <w:sz w:val="21"/>
        </w:rPr>
        <w:t>我</w:t>
      </w:r>
      <w:r>
        <w:rPr>
          <w:spacing w:val="-2"/>
          <w:sz w:val="21"/>
        </w:rPr>
        <w:t>们</w:t>
      </w:r>
      <w:r>
        <w:rPr>
          <w:spacing w:val="-2"/>
          <w:sz w:val="21"/>
        </w:rPr>
        <w:t>在</w:t>
      </w:r>
      <w:r>
        <w:rPr>
          <w:spacing w:val="-2"/>
          <w:sz w:val="21"/>
        </w:rPr>
        <w:t>与</w:t>
      </w:r>
      <w:r>
        <w:rPr>
          <w:spacing w:val="-2"/>
          <w:sz w:val="21"/>
        </w:rPr>
        <w:t>受</w:t>
      </w:r>
      <w:r>
        <w:rPr>
          <w:spacing w:val="-2"/>
          <w:sz w:val="21"/>
        </w:rPr>
        <w:t>益</w:t>
      </w:r>
      <w:r>
        <w:rPr>
          <w:spacing w:val="-2"/>
          <w:sz w:val="21"/>
        </w:rPr>
        <w:t>人</w:t>
      </w:r>
      <w:r>
        <w:rPr>
          <w:spacing w:val="-2"/>
          <w:sz w:val="21"/>
        </w:rPr>
        <w:t>达</w:t>
      </w:r>
      <w:r>
        <w:rPr>
          <w:spacing w:val="-2"/>
          <w:sz w:val="21"/>
        </w:rPr>
        <w:t>成</w:t>
      </w:r>
      <w:r>
        <w:rPr>
          <w:spacing w:val="-2"/>
          <w:sz w:val="21"/>
        </w:rPr>
        <w:t>给付保险金的协议后</w:t>
      </w:r>
      <w:r>
        <w:rPr>
          <w:spacing w:val="-2"/>
          <w:sz w:val="21"/>
        </w:rPr>
        <w:t>十</w:t>
      </w:r>
      <w:r>
        <w:rPr>
          <w:spacing w:val="-2"/>
          <w:sz w:val="21"/>
        </w:rPr>
        <w:t>日</w:t>
      </w:r>
      <w:r>
        <w:rPr>
          <w:spacing w:val="-2"/>
          <w:sz w:val="21"/>
        </w:rPr>
        <w:t>内,履行给付保险金义</w:t>
      </w:r>
      <w:r>
        <w:rPr>
          <w:spacing w:val="-2"/>
          <w:sz w:val="21"/>
        </w:rPr>
        <w:t>务</w:t>
      </w:r>
      <w:r>
        <w:rPr>
          <w:spacing w:val="-2"/>
          <w:sz w:val="21"/>
        </w:rPr>
        <w:t>。</w:t>
      </w:r>
    </w:p>
    <w:p>
      <w:pPr>
        <w:pStyle w:val="BodyText"/>
        <w:spacing w:line="278" w:lineRule="auto" w:before="169"/>
        <w:ind w:left="2946" w:right="438"/>
      </w:pPr>
      <w:r>
        <w:rPr>
          <w:spacing w:val="-2"/>
        </w:rPr>
        <w:t>我们未及时履行前款规定义务的，除支付保险金外，应当赔偿受益人因此受到</w:t>
      </w:r>
      <w:r>
        <w:rPr>
          <w:spacing w:val="-4"/>
        </w:rPr>
        <w:t>的损失。</w:t>
      </w:r>
    </w:p>
    <w:p>
      <w:pPr>
        <w:pStyle w:val="BodyText"/>
        <w:spacing w:line="278" w:lineRule="auto" w:before="157"/>
        <w:ind w:left="2946" w:right="438"/>
      </w:pPr>
      <w:r>
        <w:rPr>
          <w:spacing w:val="-2"/>
        </w:rPr>
        <w:t>对不属于保险责任的，我们自作出核定之日起三日内向受益人发出拒绝给付保</w:t>
      </w:r>
      <w:r>
        <w:rPr>
          <w:spacing w:val="-2"/>
        </w:rPr>
        <w:t>险金通知书，并说明理由。</w:t>
      </w:r>
    </w:p>
    <w:p>
      <w:pPr>
        <w:pStyle w:val="BodyText"/>
        <w:spacing w:line="278" w:lineRule="auto" w:before="155"/>
        <w:ind w:left="2946" w:right="471"/>
        <w:jc w:val="both"/>
      </w:pPr>
      <w:r>
        <w:rPr>
          <w:spacing w:val="-2"/>
        </w:rPr>
        <w:t>我们在收到保险金给付申请书及有关证明和资料之日起六十日内，对给付保险</w:t>
      </w:r>
      <w:r>
        <w:rPr>
          <w:spacing w:val="-2"/>
        </w:rPr>
        <w:t>金的数额不能确定的，根据已有证明和资料可以确定的数额先予支付，我们最</w:t>
      </w:r>
      <w:r>
        <w:rPr>
          <w:spacing w:val="-2"/>
        </w:rPr>
        <w:t>终确定给付保险金的数额后，将支付相应的差额。</w:t>
      </w:r>
    </w:p>
    <w:p>
      <w:pPr>
        <w:pStyle w:val="ListParagraph"/>
        <w:numPr>
          <w:ilvl w:val="1"/>
          <w:numId w:val="14"/>
        </w:numPr>
        <w:tabs>
          <w:tab w:pos="1007" w:val="left" w:leader="none"/>
          <w:tab w:pos="2946" w:val="left" w:leader="none"/>
        </w:tabs>
        <w:spacing w:line="235" w:lineRule="auto" w:before="166" w:after="0"/>
        <w:ind w:left="2946" w:right="472" w:hanging="2687"/>
        <w:jc w:val="both"/>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pacing w:val="-2"/>
          <w:sz w:val="21"/>
        </w:rPr>
        <w:t>除</w:t>
      </w:r>
      <w:r>
        <w:rPr>
          <w:spacing w:val="-2"/>
          <w:sz w:val="21"/>
        </w:rPr>
        <w:t>法</w:t>
      </w:r>
      <w:r>
        <w:rPr>
          <w:spacing w:val="-2"/>
          <w:sz w:val="21"/>
        </w:rPr>
        <w:t>律另有规定外，受益</w:t>
      </w:r>
      <w:r>
        <w:rPr>
          <w:spacing w:val="-2"/>
          <w:sz w:val="21"/>
        </w:rPr>
        <w:t>人</w:t>
      </w:r>
      <w:r>
        <w:rPr>
          <w:spacing w:val="-2"/>
          <w:sz w:val="21"/>
        </w:rPr>
        <w:t>向</w:t>
      </w:r>
      <w:r>
        <w:rPr>
          <w:spacing w:val="-2"/>
          <w:sz w:val="21"/>
        </w:rPr>
        <w:t>我们请求给付保险金</w:t>
      </w:r>
      <w:r>
        <w:rPr>
          <w:spacing w:val="-2"/>
          <w:sz w:val="21"/>
        </w:rPr>
        <w:t>的</w:t>
      </w:r>
      <w:r>
        <w:rPr>
          <w:spacing w:val="-2"/>
          <w:sz w:val="21"/>
        </w:rPr>
        <w:t>诉</w:t>
      </w:r>
      <w:r>
        <w:rPr>
          <w:spacing w:val="-2"/>
          <w:sz w:val="21"/>
        </w:rPr>
        <w:t>讼时效期间为二年，自</w:t>
      </w:r>
      <w:r>
        <w:rPr>
          <w:spacing w:val="-2"/>
          <w:sz w:val="21"/>
        </w:rPr>
        <w:t>其</w:t>
      </w:r>
      <w:r>
        <w:rPr>
          <w:spacing w:val="-2"/>
          <w:sz w:val="21"/>
        </w:rPr>
        <w:t>知</w:t>
      </w:r>
      <w:r>
        <w:rPr>
          <w:spacing w:val="-2"/>
          <w:sz w:val="21"/>
        </w:rPr>
        <w:t>道或者应当知道保险</w:t>
      </w:r>
      <w:r>
        <w:rPr>
          <w:spacing w:val="-2"/>
          <w:sz w:val="21"/>
        </w:rPr>
        <w:t>事</w:t>
      </w:r>
      <w:r>
        <w:rPr>
          <w:spacing w:val="-2"/>
          <w:sz w:val="21"/>
        </w:rPr>
        <w:t>故</w:t>
      </w:r>
      <w:r>
        <w:rPr>
          <w:spacing w:val="-2"/>
          <w:sz w:val="21"/>
        </w:rPr>
        <w:t>发生之日起计算。</w:t>
      </w:r>
    </w:p>
    <w:p>
      <w:pPr>
        <w:pStyle w:val="BodyText"/>
        <w:spacing w:before="5"/>
        <w:rPr>
          <w:sz w:val="25"/>
        </w:rPr>
      </w:pPr>
    </w:p>
    <w:p>
      <w:pPr>
        <w:pStyle w:val="Heading1"/>
        <w:tabs>
          <w:tab w:pos="100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您解除合同的手续及风险</w:t>
      </w:r>
    </w:p>
    <w:p>
      <w:pPr>
        <w:pStyle w:val="BodyText"/>
        <w:spacing w:before="4"/>
        <w:rPr>
          <w:rFonts w:ascii="微软雅黑"/>
          <w:b/>
          <w:sz w:val="4"/>
        </w:rPr>
      </w:pPr>
      <w:r>
        <w:rPr/>
        <w:drawing>
          <wp:anchor distT="0" distB="0" distL="0" distR="0" allowOverlap="1" layoutInCell="1" locked="0" behindDoc="0" simplePos="0" relativeHeight="7">
            <wp:simplePos x="0" y="0"/>
            <wp:positionH relativeFrom="page">
              <wp:posOffset>579119</wp:posOffset>
            </wp:positionH>
            <wp:positionV relativeFrom="paragraph">
              <wp:posOffset>65051</wp:posOffset>
            </wp:positionV>
            <wp:extent cx="6452025"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BodyText"/>
        <w:spacing w:before="12"/>
        <w:rPr>
          <w:rFonts w:ascii="微软雅黑"/>
          <w:b/>
          <w:sz w:val="8"/>
        </w:rPr>
      </w:pPr>
    </w:p>
    <w:p>
      <w:pPr>
        <w:spacing w:after="0"/>
        <w:rPr>
          <w:rFonts w:ascii="微软雅黑"/>
          <w:sz w:val="8"/>
        </w:rPr>
        <w:sectPr>
          <w:pgSz w:w="11910" w:h="16840"/>
          <w:pgMar w:header="0" w:footer="401" w:top="1080" w:bottom="600" w:left="760" w:right="580"/>
        </w:sectPr>
      </w:pPr>
    </w:p>
    <w:p>
      <w:pPr>
        <w:pStyle w:val="Heading2"/>
        <w:spacing w:line="194" w:lineRule="auto" w:before="58"/>
      </w:pPr>
      <w:r>
        <w:rPr>
          <w:spacing w:val="-2"/>
        </w:rPr>
        <w:t>您解除合同的手续</w:t>
      </w:r>
      <w:r>
        <w:rPr>
          <w:spacing w:val="-4"/>
        </w:rPr>
        <w:t>及风险</w:t>
      </w:r>
    </w:p>
    <w:p>
      <w:pPr>
        <w:pStyle w:val="BodyText"/>
        <w:spacing w:before="72"/>
        <w:ind w:left="210"/>
      </w:pPr>
      <w:r>
        <w:rPr/>
        <w:br w:type="column"/>
      </w:r>
      <w:r>
        <w:rPr>
          <w:spacing w:val="-3"/>
        </w:rPr>
        <w:t>您申请解除本合同的，请填写解除合同申请书并向我们提供下列资料：</w:t>
      </w:r>
    </w:p>
    <w:p>
      <w:pPr>
        <w:pStyle w:val="ListParagraph"/>
        <w:numPr>
          <w:ilvl w:val="0"/>
          <w:numId w:val="15"/>
        </w:numPr>
        <w:tabs>
          <w:tab w:pos="740" w:val="left" w:leader="none"/>
        </w:tabs>
        <w:spacing w:line="240" w:lineRule="auto" w:before="137" w:after="0"/>
        <w:ind w:left="739" w:right="0" w:hanging="530"/>
        <w:jc w:val="left"/>
        <w:rPr>
          <w:sz w:val="21"/>
        </w:rPr>
      </w:pPr>
      <w:r>
        <w:rPr>
          <w:spacing w:val="-4"/>
          <w:sz w:val="21"/>
        </w:rPr>
        <w:t>保险合同；</w:t>
      </w:r>
    </w:p>
    <w:p>
      <w:pPr>
        <w:pStyle w:val="ListParagraph"/>
        <w:numPr>
          <w:ilvl w:val="0"/>
          <w:numId w:val="15"/>
        </w:numPr>
        <w:tabs>
          <w:tab w:pos="740" w:val="left" w:leader="none"/>
        </w:tabs>
        <w:spacing w:line="240" w:lineRule="auto" w:before="134" w:after="0"/>
        <w:ind w:left="739" w:right="0" w:hanging="530"/>
        <w:jc w:val="left"/>
        <w:rPr>
          <w:sz w:val="21"/>
        </w:rPr>
      </w:pPr>
      <w:r>
        <w:rPr>
          <w:spacing w:val="-3"/>
          <w:sz w:val="21"/>
        </w:rPr>
        <w:t>您的有效身份证件。</w:t>
      </w:r>
    </w:p>
    <w:p>
      <w:pPr>
        <w:pStyle w:val="BodyText"/>
        <w:spacing w:line="223" w:lineRule="auto" w:before="151"/>
        <w:ind w:left="210" w:right="436"/>
      </w:pPr>
      <w:r>
        <w:rPr>
          <w:spacing w:val="-2"/>
        </w:rPr>
        <w:t>自我们收到解除合同申请书时起，本合同终止，我们自收到解除合同申请书之</w:t>
      </w:r>
      <w:r>
        <w:rPr/>
        <w:t>日起三十日内向您退还本合同的</w:t>
      </w:r>
      <w:r>
        <w:rPr>
          <w:rFonts w:ascii="微软雅黑" w:eastAsia="微软雅黑"/>
          <w:b/>
        </w:rPr>
        <w:t>现金价值 </w:t>
      </w:r>
      <w:r>
        <w:rPr>
          <w:position w:val="11"/>
          <w:sz w:val="11"/>
        </w:rPr>
        <w:t>9.33</w:t>
      </w:r>
      <w:r>
        <w:rPr/>
        <w:t>。</w:t>
      </w:r>
    </w:p>
    <w:p>
      <w:pPr>
        <w:spacing w:line="194" w:lineRule="auto" w:before="78"/>
        <w:ind w:left="210" w:right="450" w:firstLine="0"/>
        <w:jc w:val="left"/>
        <w:rPr>
          <w:rFonts w:ascii="微软雅黑" w:eastAsia="微软雅黑"/>
          <w:b/>
          <w:sz w:val="21"/>
        </w:rPr>
      </w:pPr>
      <w:r>
        <w:rPr>
          <w:rFonts w:ascii="微软雅黑" w:eastAsia="微软雅黑"/>
          <w:b/>
          <w:spacing w:val="-2"/>
          <w:sz w:val="21"/>
        </w:rPr>
        <w:t>若已发生过保险金给付或已发生本合同约定的保险事故但尚未给付保险金的，</w:t>
      </w:r>
      <w:r>
        <w:rPr>
          <w:rFonts w:ascii="微软雅黑" w:eastAsia="微软雅黑"/>
          <w:b/>
          <w:spacing w:val="-2"/>
          <w:sz w:val="21"/>
        </w:rPr>
        <w:t>您不得行使本条规定的合同解除权。</w:t>
      </w:r>
    </w:p>
    <w:p>
      <w:pPr>
        <w:pStyle w:val="Heading2"/>
        <w:spacing w:before="38"/>
        <w:ind w:left="210"/>
      </w:pPr>
      <w:bookmarkStart w:name="_TOC_250000" w:id="1"/>
      <w:bookmarkEnd w:id="1"/>
      <w:r>
        <w:rPr>
          <w:spacing w:val="-3"/>
        </w:rPr>
        <w:t>您解除合同可能会遭受一定损失。</w:t>
      </w:r>
    </w:p>
    <w:p>
      <w:pPr>
        <w:spacing w:after="0"/>
        <w:sectPr>
          <w:type w:val="continuous"/>
          <w:pgSz w:w="11910" w:h="16840"/>
          <w:pgMar w:header="0" w:footer="401" w:top="600" w:bottom="280" w:left="760" w:right="580"/>
          <w:cols w:num="2" w:equalWidth="0">
            <w:col w:w="2697" w:space="40"/>
            <w:col w:w="7833"/>
          </w:cols>
        </w:sectPr>
      </w:pPr>
    </w:p>
    <w:p>
      <w:pPr>
        <w:pStyle w:val="BodyText"/>
        <w:spacing w:before="12"/>
        <w:rPr>
          <w:rFonts w:ascii="微软雅黑"/>
          <w:b/>
          <w:sz w:val="10"/>
        </w:rPr>
      </w:pPr>
    </w:p>
    <w:p>
      <w:pPr>
        <w:pStyle w:val="Heading1"/>
        <w:tabs>
          <w:tab w:pos="1006" w:val="left" w:leader="none"/>
        </w:tabs>
        <w:spacing w:before="78"/>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其他需要注意的事项</w:t>
      </w:r>
    </w:p>
    <w:p>
      <w:pPr>
        <w:pStyle w:val="BodyText"/>
        <w:spacing w:before="5"/>
        <w:rPr>
          <w:rFonts w:ascii="微软雅黑"/>
          <w:b/>
          <w:sz w:val="4"/>
        </w:rPr>
      </w:pPr>
      <w:r>
        <w:rPr/>
        <w:drawing>
          <wp:anchor distT="0" distB="0" distL="0" distR="0" allowOverlap="1" layoutInCell="1" locked="0" behindDoc="0" simplePos="0" relativeHeight="8">
            <wp:simplePos x="0" y="0"/>
            <wp:positionH relativeFrom="page">
              <wp:posOffset>579119</wp:posOffset>
            </wp:positionH>
            <wp:positionV relativeFrom="paragraph">
              <wp:posOffset>65477</wp:posOffset>
            </wp:positionV>
            <wp:extent cx="6402209" cy="12192"/>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402209" cy="12192"/>
                    </a:xfrm>
                    <a:prstGeom prst="rect">
                      <a:avLst/>
                    </a:prstGeom>
                  </pic:spPr>
                </pic:pic>
              </a:graphicData>
            </a:graphic>
          </wp:anchor>
        </w:drawing>
      </w:r>
    </w:p>
    <w:p>
      <w:pPr>
        <w:pStyle w:val="BodyText"/>
        <w:spacing w:before="12"/>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Heading2"/>
        <w:numPr>
          <w:ilvl w:val="1"/>
          <w:numId w:val="16"/>
        </w:numPr>
        <w:tabs>
          <w:tab w:pos="1006" w:val="left" w:leader="none"/>
          <w:tab w:pos="1007" w:val="left" w:leader="none"/>
        </w:tabs>
        <w:spacing w:line="350" w:lineRule="exact" w:before="5" w:after="0"/>
        <w:ind w:left="1006" w:right="0" w:hanging="747"/>
        <w:jc w:val="left"/>
      </w:pPr>
      <w:r>
        <w:rPr>
          <w:spacing w:val="-2"/>
        </w:rPr>
        <w:t>年龄确定与错误处</w:t>
      </w:r>
    </w:p>
    <w:p>
      <w:pPr>
        <w:spacing w:line="350" w:lineRule="exact" w:before="0"/>
        <w:ind w:left="1006" w:right="0" w:firstLine="0"/>
        <w:jc w:val="left"/>
        <w:rPr>
          <w:rFonts w:ascii="微软雅黑" w:eastAsia="微软雅黑"/>
          <w:b/>
          <w:sz w:val="21"/>
        </w:rPr>
      </w:pPr>
      <w:r>
        <w:rPr>
          <w:rFonts w:ascii="微软雅黑" w:eastAsia="微软雅黑"/>
          <w:b/>
          <w:w w:val="100"/>
          <w:sz w:val="21"/>
        </w:rPr>
        <w:t>理</w:t>
      </w:r>
    </w:p>
    <w:p>
      <w:pPr>
        <w:pStyle w:val="BodyText"/>
        <w:spacing w:line="278" w:lineRule="auto" w:before="72"/>
        <w:ind w:left="210" w:right="438"/>
      </w:pPr>
      <w:r>
        <w:rPr/>
        <w:br w:type="column"/>
      </w:r>
      <w:r>
        <w:rPr>
          <w:spacing w:val="-2"/>
        </w:rPr>
        <w:t>您在申请投保时，应将与有效身份证件相符的被保险人的出生日期在投保单上</w:t>
      </w:r>
      <w:r>
        <w:rPr>
          <w:spacing w:val="-2"/>
        </w:rPr>
        <w:t>填明，若发生错误按照下列方式办理：</w:t>
      </w:r>
    </w:p>
    <w:p>
      <w:pPr>
        <w:pStyle w:val="ListParagraph"/>
        <w:numPr>
          <w:ilvl w:val="0"/>
          <w:numId w:val="17"/>
        </w:numPr>
        <w:tabs>
          <w:tab w:pos="740" w:val="left" w:leader="none"/>
        </w:tabs>
        <w:spacing w:line="211" w:lineRule="auto" w:before="59" w:after="0"/>
        <w:ind w:left="735" w:right="433" w:hanging="526"/>
        <w:jc w:val="both"/>
        <w:rPr>
          <w:sz w:val="21"/>
        </w:rPr>
      </w:pPr>
      <w:r>
        <w:rPr>
          <w:rFonts w:ascii="微软雅黑" w:hAnsi="微软雅黑" w:eastAsia="微软雅黑"/>
          <w:b/>
          <w:spacing w:val="-6"/>
          <w:w w:val="100"/>
          <w:sz w:val="21"/>
        </w:rPr>
        <w:t>您申报的被保险人年龄不真实，并且其真实年龄不符合本合同约定投保</w:t>
      </w:r>
      <w:r>
        <w:rPr>
          <w:rFonts w:ascii="微软雅黑" w:hAnsi="微软雅黑" w:eastAsia="微软雅黑"/>
          <w:b/>
          <w:spacing w:val="-8"/>
          <w:w w:val="100"/>
          <w:sz w:val="21"/>
        </w:rPr>
        <w:t>年龄限制的，我们有权解除本合同，并向您退还本合同的现金价值。</w:t>
      </w:r>
      <w:r>
        <w:rPr>
          <w:spacing w:val="-2"/>
          <w:w w:val="100"/>
          <w:sz w:val="21"/>
        </w:rPr>
        <w:t>我们</w:t>
      </w:r>
      <w:r>
        <w:rPr>
          <w:spacing w:val="-4"/>
          <w:w w:val="100"/>
          <w:sz w:val="21"/>
        </w:rPr>
        <w:t>行使本合同解除权适用</w:t>
      </w:r>
      <w:r>
        <w:rPr>
          <w:w w:val="100"/>
          <w:sz w:val="21"/>
        </w:rPr>
        <w:t>“4</w:t>
      </w:r>
      <w:r>
        <w:rPr>
          <w:spacing w:val="-3"/>
          <w:w w:val="100"/>
          <w:sz w:val="21"/>
        </w:rPr>
        <w:t>.</w:t>
      </w:r>
      <w:r>
        <w:rPr>
          <w:w w:val="100"/>
          <w:sz w:val="21"/>
        </w:rPr>
        <w:t>3</w:t>
      </w:r>
      <w:r>
        <w:rPr>
          <w:spacing w:val="-2"/>
          <w:sz w:val="21"/>
        </w:rPr>
        <w:t> </w:t>
      </w:r>
      <w:r>
        <w:rPr>
          <w:spacing w:val="-3"/>
          <w:w w:val="100"/>
          <w:sz w:val="21"/>
        </w:rPr>
        <w:t>本公司合同解除权的限制”的规定；</w:t>
      </w:r>
    </w:p>
    <w:p>
      <w:pPr>
        <w:pStyle w:val="Heading2"/>
        <w:numPr>
          <w:ilvl w:val="0"/>
          <w:numId w:val="17"/>
        </w:numPr>
        <w:tabs>
          <w:tab w:pos="740" w:val="left" w:leader="none"/>
        </w:tabs>
        <w:spacing w:line="240" w:lineRule="auto" w:before="76" w:after="0"/>
        <w:ind w:left="739" w:right="0" w:hanging="530"/>
        <w:jc w:val="left"/>
      </w:pPr>
      <w:r>
        <w:rPr>
          <w:spacing w:val="-5"/>
        </w:rPr>
        <w:t>您申报的被保险人年龄不真实，致使您实付保险费少于应付保险费的，我</w:t>
      </w:r>
    </w:p>
    <w:p>
      <w:pPr>
        <w:spacing w:after="0" w:line="240" w:lineRule="auto"/>
        <w:jc w:val="left"/>
        <w:sectPr>
          <w:type w:val="continuous"/>
          <w:pgSz w:w="11910" w:h="16840"/>
          <w:pgMar w:header="0" w:footer="401" w:top="600" w:bottom="280" w:left="760" w:right="580"/>
          <w:cols w:num="2" w:equalWidth="0">
            <w:col w:w="2697" w:space="40"/>
            <w:col w:w="7833"/>
          </w:cols>
        </w:sectPr>
      </w:pPr>
    </w:p>
    <w:p>
      <w:pPr>
        <w:spacing w:line="194" w:lineRule="auto" w:before="42"/>
        <w:ind w:left="3472" w:right="436" w:firstLine="0"/>
        <w:jc w:val="left"/>
        <w:rPr>
          <w:rFonts w:ascii="微软雅黑" w:eastAsia="微软雅黑"/>
          <w:b/>
          <w:sz w:val="21"/>
        </w:rPr>
      </w:pPr>
      <w:r>
        <w:rPr>
          <w:rFonts w:ascii="微软雅黑" w:eastAsia="微软雅黑"/>
          <w:b/>
          <w:spacing w:val="-4"/>
          <w:sz w:val="21"/>
        </w:rPr>
        <w:t>们有权更正并要求您补交保险费。若已经发生保险事故，在给付保险金时</w:t>
      </w:r>
      <w:r>
        <w:rPr>
          <w:rFonts w:ascii="微软雅黑" w:eastAsia="微软雅黑"/>
          <w:b/>
          <w:spacing w:val="-2"/>
          <w:sz w:val="21"/>
        </w:rPr>
        <w:t>按实付保险费和应付保险费的比例给付；</w:t>
      </w:r>
    </w:p>
    <w:p>
      <w:pPr>
        <w:pStyle w:val="ListParagraph"/>
        <w:numPr>
          <w:ilvl w:val="0"/>
          <w:numId w:val="17"/>
        </w:numPr>
        <w:tabs>
          <w:tab w:pos="3476" w:val="left" w:leader="none"/>
        </w:tabs>
        <w:spacing w:line="278" w:lineRule="auto" w:before="106" w:after="0"/>
        <w:ind w:left="3472" w:right="438" w:hanging="526"/>
        <w:jc w:val="left"/>
        <w:rPr>
          <w:sz w:val="21"/>
        </w:rPr>
      </w:pPr>
      <w:r>
        <w:rPr>
          <w:spacing w:val="-6"/>
          <w:w w:val="100"/>
          <w:sz w:val="21"/>
        </w:rPr>
        <w:t>您申报的被保险人年龄不真实，致使您实付保险费多于应付保险费的，</w:t>
      </w:r>
      <w:r>
        <w:rPr>
          <w:spacing w:val="-3"/>
          <w:w w:val="100"/>
          <w:sz w:val="21"/>
        </w:rPr>
        <w:t>我们将多收的保险费退还给您。</w:t>
      </w:r>
    </w:p>
    <w:p>
      <w:pPr>
        <w:pStyle w:val="BodyText"/>
        <w:spacing w:before="10"/>
        <w:rPr>
          <w:sz w:val="19"/>
        </w:rPr>
      </w:pPr>
    </w:p>
    <w:p>
      <w:pPr>
        <w:pStyle w:val="ListParagraph"/>
        <w:numPr>
          <w:ilvl w:val="1"/>
          <w:numId w:val="16"/>
        </w:numPr>
        <w:tabs>
          <w:tab w:pos="1007" w:val="left" w:leader="none"/>
          <w:tab w:pos="2946" w:val="left" w:leader="none"/>
        </w:tabs>
        <w:spacing w:line="256" w:lineRule="auto" w:before="1" w:after="0"/>
        <w:ind w:left="2946" w:right="471" w:hanging="2687"/>
        <w:jc w:val="both"/>
        <w:rPr>
          <w:sz w:val="21"/>
        </w:rPr>
      </w:pPr>
      <w:r>
        <w:rPr>
          <w:rFonts w:ascii="微软雅黑" w:eastAsia="微软雅黑"/>
          <w:b/>
          <w:spacing w:val="-4"/>
          <w:sz w:val="21"/>
        </w:rPr>
        <w:t>地</w:t>
      </w:r>
      <w:r>
        <w:rPr>
          <w:rFonts w:ascii="微软雅黑" w:eastAsia="微软雅黑"/>
          <w:b/>
          <w:spacing w:val="-4"/>
          <w:sz w:val="21"/>
        </w:rPr>
        <w:t>址</w:t>
      </w:r>
      <w:r>
        <w:rPr>
          <w:rFonts w:ascii="微软雅黑" w:eastAsia="微软雅黑"/>
          <w:b/>
          <w:spacing w:val="-4"/>
          <w:sz w:val="21"/>
        </w:rPr>
        <w:t>变</w:t>
      </w:r>
      <w:r>
        <w:rPr>
          <w:rFonts w:ascii="微软雅黑" w:eastAsia="微软雅黑"/>
          <w:b/>
          <w:spacing w:val="-4"/>
          <w:sz w:val="21"/>
        </w:rPr>
        <w:t>更</w:t>
      </w:r>
      <w:r>
        <w:rPr>
          <w:rFonts w:ascii="微软雅黑" w:eastAsia="微软雅黑"/>
          <w:b/>
          <w:sz w:val="21"/>
        </w:rPr>
        <w:tab/>
      </w:r>
      <w:r>
        <w:rPr>
          <w:spacing w:val="-2"/>
          <w:sz w:val="21"/>
        </w:rPr>
        <w:t>您</w:t>
      </w:r>
      <w:r>
        <w:rPr>
          <w:spacing w:val="-2"/>
          <w:sz w:val="21"/>
        </w:rPr>
        <w:t>的</w:t>
      </w:r>
      <w:r>
        <w:rPr>
          <w:spacing w:val="-2"/>
          <w:sz w:val="21"/>
        </w:rPr>
        <w:t>通讯地址变更时，应</w:t>
      </w:r>
      <w:r>
        <w:rPr>
          <w:spacing w:val="-2"/>
          <w:sz w:val="21"/>
        </w:rPr>
        <w:t>及</w:t>
      </w:r>
      <w:r>
        <w:rPr>
          <w:spacing w:val="-2"/>
          <w:sz w:val="21"/>
        </w:rPr>
        <w:t>时</w:t>
      </w:r>
      <w:r>
        <w:rPr>
          <w:spacing w:val="-2"/>
          <w:sz w:val="21"/>
        </w:rPr>
        <w:t>以书面形式或双方认</w:t>
      </w:r>
      <w:r>
        <w:rPr>
          <w:spacing w:val="-2"/>
          <w:sz w:val="21"/>
        </w:rPr>
        <w:t>可</w:t>
      </w:r>
      <w:r>
        <w:rPr>
          <w:spacing w:val="-2"/>
          <w:sz w:val="21"/>
        </w:rPr>
        <w:t>的</w:t>
      </w:r>
      <w:r>
        <w:rPr>
          <w:spacing w:val="-2"/>
          <w:sz w:val="21"/>
        </w:rPr>
        <w:t>其他形式通知我们。您</w:t>
      </w:r>
      <w:r>
        <w:rPr>
          <w:spacing w:val="-2"/>
          <w:sz w:val="21"/>
        </w:rPr>
        <w:t>不</w:t>
      </w:r>
      <w:r>
        <w:rPr>
          <w:spacing w:val="-2"/>
          <w:sz w:val="21"/>
        </w:rPr>
        <w:t>作</w:t>
      </w:r>
      <w:r>
        <w:rPr>
          <w:spacing w:val="-2"/>
          <w:sz w:val="21"/>
        </w:rPr>
        <w:t>上述通知的，我们将</w:t>
      </w:r>
      <w:r>
        <w:rPr>
          <w:spacing w:val="-2"/>
          <w:sz w:val="21"/>
        </w:rPr>
        <w:t>按</w:t>
      </w:r>
      <w:r>
        <w:rPr>
          <w:spacing w:val="-2"/>
          <w:sz w:val="21"/>
        </w:rPr>
        <w:t>本</w:t>
      </w:r>
      <w:r>
        <w:rPr>
          <w:spacing w:val="-2"/>
          <w:sz w:val="21"/>
        </w:rPr>
        <w:t>合同注明的最后通讯</w:t>
      </w:r>
      <w:r>
        <w:rPr>
          <w:spacing w:val="-2"/>
          <w:sz w:val="21"/>
        </w:rPr>
        <w:t>地</w:t>
      </w:r>
      <w:r>
        <w:rPr>
          <w:spacing w:val="-2"/>
          <w:sz w:val="21"/>
        </w:rPr>
        <w:t>址</w:t>
      </w:r>
      <w:r>
        <w:rPr>
          <w:spacing w:val="-2"/>
          <w:sz w:val="21"/>
        </w:rPr>
        <w:t>向您发送有关通知，并</w:t>
      </w:r>
      <w:r>
        <w:rPr>
          <w:spacing w:val="-2"/>
          <w:sz w:val="21"/>
        </w:rPr>
        <w:t>视</w:t>
      </w:r>
      <w:r>
        <w:rPr>
          <w:spacing w:val="-2"/>
          <w:sz w:val="21"/>
        </w:rPr>
        <w:t>为</w:t>
      </w:r>
      <w:r>
        <w:rPr>
          <w:spacing w:val="-2"/>
          <w:sz w:val="21"/>
        </w:rPr>
        <w:t>已送达。</w:t>
      </w:r>
    </w:p>
    <w:p>
      <w:pPr>
        <w:pStyle w:val="ListParagraph"/>
        <w:numPr>
          <w:ilvl w:val="1"/>
          <w:numId w:val="16"/>
        </w:numPr>
        <w:tabs>
          <w:tab w:pos="1007" w:val="left" w:leader="none"/>
        </w:tabs>
        <w:spacing w:line="235" w:lineRule="auto" w:before="177" w:after="0"/>
        <w:ind w:left="2946" w:right="471" w:hanging="2687"/>
        <w:jc w:val="both"/>
        <w:rPr>
          <w:sz w:val="21"/>
        </w:rPr>
      </w:pPr>
      <w:r>
        <w:rPr>
          <w:rFonts w:ascii="微软雅黑" w:eastAsia="微软雅黑"/>
          <w:b/>
          <w:spacing w:val="47"/>
          <w:sz w:val="21"/>
        </w:rPr>
        <w:t>合同内容的变更 </w:t>
      </w:r>
      <w:r>
        <w:rPr>
          <w:sz w:val="21"/>
        </w:rPr>
        <w:t>您和我们可以协商变更本合同内容。变更本合同的，由我们在保险单或者其他</w:t>
      </w:r>
      <w:r>
        <w:rPr>
          <w:spacing w:val="-2"/>
          <w:sz w:val="21"/>
        </w:rPr>
        <w:t>保险凭证上批注或者附贴批单，或者由您和我们订立书面的变更协议。</w:t>
      </w:r>
    </w:p>
    <w:p>
      <w:pPr>
        <w:pStyle w:val="BodyText"/>
        <w:spacing w:before="11"/>
      </w:pPr>
    </w:p>
    <w:p>
      <w:pPr>
        <w:pStyle w:val="ListParagraph"/>
        <w:numPr>
          <w:ilvl w:val="1"/>
          <w:numId w:val="16"/>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争议处</w:t>
      </w:r>
      <w:r>
        <w:rPr>
          <w:rFonts w:ascii="微软雅黑" w:eastAsia="微软雅黑"/>
          <w:b/>
          <w:spacing w:val="-10"/>
          <w:sz w:val="21"/>
        </w:rPr>
        <w:t>理</w:t>
      </w:r>
      <w:r>
        <w:rPr>
          <w:rFonts w:ascii="微软雅黑" w:eastAsia="微软雅黑"/>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6"/>
        </w:numPr>
        <w:tabs>
          <w:tab w:pos="3476" w:val="left" w:leader="none"/>
        </w:tabs>
        <w:spacing w:line="278" w:lineRule="auto" w:before="86" w:after="0"/>
        <w:ind w:left="3472" w:right="436" w:hanging="526"/>
        <w:jc w:val="left"/>
        <w:rPr>
          <w:sz w:val="21"/>
        </w:rPr>
      </w:pPr>
      <w:r>
        <w:rPr>
          <w:spacing w:val="-7"/>
          <w:w w:val="100"/>
          <w:sz w:val="21"/>
        </w:rPr>
        <w:t>因履行本合同发生的争议，由当事人协商解决，协商不成的，提交本合</w:t>
      </w:r>
      <w:r>
        <w:rPr>
          <w:spacing w:val="-3"/>
          <w:w w:val="100"/>
          <w:sz w:val="21"/>
        </w:rPr>
        <w:t>同约定的仲裁委员会仲裁；</w:t>
      </w:r>
    </w:p>
    <w:p>
      <w:pPr>
        <w:pStyle w:val="ListParagraph"/>
        <w:numPr>
          <w:ilvl w:val="2"/>
          <w:numId w:val="16"/>
        </w:numPr>
        <w:tabs>
          <w:tab w:pos="3476" w:val="left" w:leader="none"/>
        </w:tabs>
        <w:spacing w:line="278" w:lineRule="auto" w:before="94" w:after="0"/>
        <w:ind w:left="3472" w:right="438" w:hanging="526"/>
        <w:jc w:val="left"/>
        <w:rPr>
          <w:sz w:val="21"/>
        </w:rPr>
      </w:pPr>
      <w:r>
        <w:rPr>
          <w:spacing w:val="-4"/>
          <w:sz w:val="21"/>
        </w:rPr>
        <w:t>因履行本合同发生的争议，由当事人协商解决，协商不成的，依法向有管</w:t>
      </w:r>
      <w:r>
        <w:rPr>
          <w:spacing w:val="-2"/>
          <w:sz w:val="21"/>
        </w:rPr>
        <w:t>辖权的人民法院提起诉讼。</w:t>
      </w:r>
    </w:p>
    <w:p>
      <w:pPr>
        <w:pStyle w:val="BodyText"/>
        <w:spacing w:before="3"/>
        <w:rPr>
          <w:sz w:val="29"/>
        </w:rPr>
      </w:pPr>
    </w:p>
    <w:p>
      <w:pPr>
        <w:tabs>
          <w:tab w:pos="1006" w:val="left" w:leader="none"/>
        </w:tabs>
        <w:spacing w:before="0"/>
        <w:ind w:left="260" w:right="0" w:firstLine="0"/>
        <w:jc w:val="left"/>
        <w:rPr>
          <w:rFonts w:ascii="微软雅黑" w:hAnsi="微软雅黑" w:eastAsia="微软雅黑"/>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微软雅黑" w:hAnsi="微软雅黑" w:eastAsia="微软雅黑"/>
          <w:b/>
          <w:spacing w:val="-2"/>
          <w:sz w:val="24"/>
        </w:rPr>
        <w:t>重大疾病定义</w:t>
      </w:r>
    </w:p>
    <w:p>
      <w:pPr>
        <w:pStyle w:val="BodyText"/>
        <w:spacing w:before="5"/>
        <w:rPr>
          <w:rFonts w:ascii="微软雅黑"/>
          <w:b/>
          <w:sz w:val="4"/>
        </w:rPr>
      </w:pPr>
      <w:r>
        <w:rPr/>
        <w:drawing>
          <wp:anchor distT="0" distB="0" distL="0" distR="0" allowOverlap="1" layoutInCell="1" locked="0" behindDoc="0" simplePos="0" relativeHeight="9">
            <wp:simplePos x="0" y="0"/>
            <wp:positionH relativeFrom="page">
              <wp:posOffset>579119</wp:posOffset>
            </wp:positionH>
            <wp:positionV relativeFrom="paragraph">
              <wp:posOffset>65479</wp:posOffset>
            </wp:positionV>
            <wp:extent cx="6401809"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401809" cy="6096"/>
                    </a:xfrm>
                    <a:prstGeom prst="rect">
                      <a:avLst/>
                    </a:prstGeom>
                  </pic:spPr>
                </pic:pic>
              </a:graphicData>
            </a:graphic>
          </wp:anchor>
        </w:drawing>
      </w:r>
    </w:p>
    <w:p>
      <w:pPr>
        <w:pStyle w:val="Heading2"/>
        <w:tabs>
          <w:tab w:pos="2946" w:val="left" w:leader="none"/>
        </w:tabs>
        <w:spacing w:line="194" w:lineRule="auto" w:before="226"/>
        <w:ind w:left="2946" w:right="436" w:hanging="1940"/>
        <w:jc w:val="both"/>
      </w:pPr>
      <w:r>
        <w:rPr>
          <w:spacing w:val="-2"/>
        </w:rPr>
        <w:t>重</w:t>
      </w:r>
      <w:r>
        <w:rPr>
          <w:spacing w:val="-2"/>
        </w:rPr>
        <w:t>大</w:t>
      </w:r>
      <w:r>
        <w:rPr>
          <w:spacing w:val="-2"/>
        </w:rPr>
        <w:t>疾</w:t>
      </w:r>
      <w:r>
        <w:rPr>
          <w:spacing w:val="-2"/>
        </w:rPr>
        <w:t>病</w:t>
      </w:r>
      <w:r>
        <w:rPr>
          <w:spacing w:val="-2"/>
        </w:rPr>
        <w:t>定</w:t>
      </w:r>
      <w:r>
        <w:rPr>
          <w:spacing w:val="-2"/>
        </w:rPr>
        <w:t>义</w:t>
      </w:r>
      <w:r>
        <w:rPr/>
        <w:tab/>
      </w:r>
      <w:r>
        <w:rPr>
          <w:spacing w:val="-2"/>
        </w:rPr>
        <w:t>本</w:t>
      </w:r>
      <w:r>
        <w:rPr>
          <w:spacing w:val="-2"/>
        </w:rPr>
        <w:t>合</w:t>
      </w:r>
      <w:r>
        <w:rPr>
          <w:spacing w:val="-2"/>
        </w:rPr>
        <w:t>同</w:t>
      </w:r>
      <w:r>
        <w:rPr>
          <w:spacing w:val="-2"/>
        </w:rPr>
        <w:t>保</w:t>
      </w:r>
      <w:r>
        <w:rPr>
          <w:spacing w:val="-2"/>
        </w:rPr>
        <w:t>障</w:t>
      </w:r>
      <w:r>
        <w:rPr>
          <w:spacing w:val="-2"/>
        </w:rPr>
        <w:t>的</w:t>
      </w:r>
      <w:r>
        <w:rPr>
          <w:spacing w:val="-2"/>
        </w:rPr>
        <w:t>重</w:t>
      </w:r>
      <w:r>
        <w:rPr>
          <w:spacing w:val="-2"/>
        </w:rPr>
        <w:t>大</w:t>
      </w:r>
      <w:r>
        <w:rPr>
          <w:spacing w:val="-2"/>
        </w:rPr>
        <w:t>疾</w:t>
      </w:r>
      <w:r>
        <w:rPr>
          <w:spacing w:val="-2"/>
        </w:rPr>
        <w:t>病</w:t>
      </w:r>
      <w:r>
        <w:rPr>
          <w:spacing w:val="-2"/>
        </w:rPr>
        <w:t>共</w:t>
      </w:r>
      <w:r>
        <w:rPr>
          <w:spacing w:val="-3"/>
        </w:rPr>
        <w:t> </w:t>
      </w:r>
      <w:r>
        <w:rPr>
          <w:spacing w:val="-2"/>
        </w:rPr>
        <w:t>28 种</w:t>
      </w:r>
      <w:r>
        <w:rPr>
          <w:spacing w:val="-97"/>
        </w:rPr>
        <w:t>，</w:t>
      </w:r>
      <w:r>
        <w:rPr>
          <w:spacing w:val="-2"/>
        </w:rPr>
        <w:t>是</w:t>
      </w:r>
      <w:r>
        <w:rPr>
          <w:spacing w:val="-2"/>
        </w:rPr>
        <w:t>指</w:t>
      </w:r>
      <w:r>
        <w:rPr>
          <w:spacing w:val="-2"/>
        </w:rPr>
        <w:t>被</w:t>
      </w:r>
      <w:r>
        <w:rPr>
          <w:spacing w:val="-2"/>
        </w:rPr>
        <w:t>保</w:t>
      </w:r>
      <w:r>
        <w:rPr>
          <w:spacing w:val="-2"/>
        </w:rPr>
        <w:t>险</w:t>
      </w:r>
      <w:r>
        <w:rPr>
          <w:spacing w:val="-2"/>
        </w:rPr>
        <w:t>人</w:t>
      </w:r>
      <w:r>
        <w:rPr>
          <w:spacing w:val="-2"/>
        </w:rPr>
        <w:t>在</w:t>
      </w:r>
      <w:r>
        <w:rPr>
          <w:spacing w:val="-2"/>
        </w:rPr>
        <w:t>本</w:t>
      </w:r>
      <w:r>
        <w:rPr>
          <w:spacing w:val="-2"/>
        </w:rPr>
        <w:t>公</w:t>
      </w:r>
      <w:r>
        <w:rPr>
          <w:spacing w:val="-2"/>
        </w:rPr>
        <w:t>司</w:t>
      </w:r>
      <w:r>
        <w:rPr>
          <w:spacing w:val="-2"/>
        </w:rPr>
        <w:t>认</w:t>
      </w:r>
      <w:r>
        <w:rPr>
          <w:spacing w:val="-2"/>
        </w:rPr>
        <w:t>可</w:t>
      </w:r>
      <w:r>
        <w:rPr>
          <w:spacing w:val="-2"/>
        </w:rPr>
        <w:t>的</w:t>
      </w:r>
      <w:r>
        <w:rPr>
          <w:spacing w:val="-2"/>
        </w:rPr>
        <w:t>医</w:t>
      </w:r>
      <w:r>
        <w:rPr>
          <w:spacing w:val="-2"/>
        </w:rPr>
        <w:t>疗</w:t>
      </w:r>
      <w:r>
        <w:rPr>
          <w:spacing w:val="-2"/>
        </w:rPr>
        <w:t>机</w:t>
      </w:r>
      <w:r>
        <w:rPr>
          <w:spacing w:val="-2"/>
        </w:rPr>
        <w:t>构内被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w:t>
      </w:r>
      <w:r>
        <w:rPr>
          <w:spacing w:val="-2"/>
        </w:rPr>
        <w:t>的</w:t>
      </w:r>
      <w:r>
        <w:rPr>
          <w:spacing w:val="-2"/>
        </w:rPr>
        <w:t>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w:t>
      </w:r>
      <w:r>
        <w:rPr>
          <w:spacing w:val="-2"/>
        </w:rPr>
        <w:t>、</w:t>
      </w:r>
      <w:r>
        <w:rPr>
          <w:spacing w:val="-2"/>
        </w:rPr>
        <w:t>疾</w:t>
      </w:r>
      <w:r>
        <w:rPr>
          <w:spacing w:val="-2"/>
        </w:rPr>
        <w:t>病</w:t>
      </w:r>
      <w:r>
        <w:rPr>
          <w:spacing w:val="-2"/>
        </w:rPr>
        <w:t>状</w:t>
      </w:r>
      <w:r>
        <w:rPr>
          <w:spacing w:val="-2"/>
        </w:rPr>
        <w:t>态</w:t>
      </w:r>
      <w:r>
        <w:rPr>
          <w:spacing w:val="-2"/>
        </w:rPr>
        <w:t>或</w:t>
      </w:r>
      <w:r>
        <w:rPr>
          <w:spacing w:val="-2"/>
        </w:rPr>
        <w:t>手</w:t>
      </w:r>
      <w:r>
        <w:rPr>
          <w:spacing w:val="-2"/>
        </w:rPr>
        <w:t>术，</w:t>
      </w:r>
      <w:r>
        <w:rPr>
          <w:spacing w:val="-2"/>
        </w:rPr>
        <w:t>与</w:t>
      </w:r>
      <w:r>
        <w:rPr>
          <w:spacing w:val="-2"/>
        </w:rPr>
        <w:t>《</w:t>
      </w:r>
      <w:r>
        <w:rPr>
          <w:spacing w:val="-2"/>
        </w:rPr>
        <w:t>重</w:t>
      </w:r>
      <w:r>
        <w:rPr>
          <w:spacing w:val="-2"/>
        </w:rPr>
        <w:t>大</w:t>
      </w:r>
      <w:r>
        <w:rPr>
          <w:spacing w:val="-2"/>
        </w:rPr>
        <w:t>疾</w:t>
      </w:r>
      <w:r>
        <w:rPr>
          <w:spacing w:val="-2"/>
        </w:rPr>
        <w:t>病</w:t>
      </w:r>
      <w:r>
        <w:rPr>
          <w:spacing w:val="-2"/>
        </w:rPr>
        <w:t>保</w:t>
      </w:r>
      <w:r>
        <w:rPr>
          <w:spacing w:val="-2"/>
        </w:rPr>
        <w:t>险</w:t>
      </w:r>
      <w:r>
        <w:rPr>
          <w:spacing w:val="-2"/>
        </w:rPr>
        <w:t>的</w:t>
      </w:r>
      <w:r>
        <w:rPr>
          <w:spacing w:val="-2"/>
        </w:rPr>
        <w:t>疾</w:t>
      </w:r>
      <w:r>
        <w:rPr>
          <w:spacing w:val="-2"/>
        </w:rPr>
        <w:t>病</w:t>
      </w:r>
      <w:r>
        <w:rPr>
          <w:spacing w:val="-2"/>
        </w:rPr>
        <w:t>定</w:t>
      </w:r>
      <w:r>
        <w:rPr>
          <w:spacing w:val="-2"/>
        </w:rPr>
        <w:t>义</w:t>
      </w:r>
      <w:r>
        <w:rPr>
          <w:spacing w:val="-2"/>
        </w:rPr>
        <w:t>使</w:t>
      </w:r>
      <w:r>
        <w:rPr>
          <w:spacing w:val="-2"/>
        </w:rPr>
        <w:t>用</w:t>
      </w:r>
      <w:r>
        <w:rPr>
          <w:spacing w:val="-2"/>
        </w:rPr>
        <w:t>规</w:t>
      </w:r>
      <w:r>
        <w:rPr>
          <w:spacing w:val="-2"/>
        </w:rPr>
        <w:t>范</w:t>
      </w:r>
      <w:r>
        <w:rPr>
          <w:spacing w:val="-2"/>
        </w:rPr>
        <w:t>（2020</w:t>
      </w:r>
      <w:r>
        <w:rPr>
          <w:spacing w:val="-2"/>
        </w:rPr>
        <w:t> </w:t>
      </w:r>
      <w:r>
        <w:rPr>
          <w:spacing w:val="-2"/>
        </w:rPr>
        <w:t>年</w:t>
      </w:r>
      <w:r>
        <w:rPr>
          <w:spacing w:val="-2"/>
        </w:rPr>
        <w:t>修</w:t>
      </w:r>
      <w:r>
        <w:rPr>
          <w:spacing w:val="-2"/>
        </w:rPr>
        <w:t>订</w:t>
      </w:r>
      <w:r>
        <w:rPr>
          <w:spacing w:val="-2"/>
        </w:rPr>
        <w:t>版</w:t>
      </w:r>
      <w:r>
        <w:rPr>
          <w:spacing w:val="-106"/>
        </w:rPr>
        <w:t>）</w:t>
      </w:r>
      <w:r>
        <w:rPr>
          <w:spacing w:val="-2"/>
        </w:rPr>
        <w:t>》</w:t>
      </w:r>
      <w:r>
        <w:rPr>
          <w:spacing w:val="-2"/>
        </w:rPr>
        <w:t>中</w:t>
      </w:r>
      <w:r>
        <w:rPr>
          <w:spacing w:val="-2"/>
        </w:rPr>
        <w:t>重</w:t>
      </w:r>
      <w:r>
        <w:rPr>
          <w:spacing w:val="-2"/>
        </w:rPr>
        <w:t>大</w:t>
      </w:r>
      <w:r>
        <w:rPr>
          <w:spacing w:val="-2"/>
        </w:rPr>
        <w:t>疾</w:t>
      </w:r>
      <w:r>
        <w:rPr>
          <w:spacing w:val="-2"/>
        </w:rPr>
        <w:t>病</w:t>
      </w:r>
      <w:r>
        <w:rPr>
          <w:spacing w:val="-2"/>
        </w:rPr>
        <w:t>的</w:t>
      </w:r>
      <w:r>
        <w:rPr>
          <w:spacing w:val="-2"/>
        </w:rPr>
        <w:t>疾</w:t>
      </w:r>
      <w:r>
        <w:rPr>
          <w:spacing w:val="-2"/>
        </w:rPr>
        <w:t>病</w:t>
      </w:r>
      <w:r>
        <w:rPr>
          <w:spacing w:val="-2"/>
        </w:rPr>
        <w:t>名</w:t>
      </w:r>
      <w:r>
        <w:rPr>
          <w:spacing w:val="-2"/>
        </w:rPr>
        <w:t>称</w:t>
      </w:r>
      <w:r>
        <w:rPr>
          <w:spacing w:val="-2"/>
        </w:rPr>
        <w:t>和</w:t>
      </w:r>
      <w:r>
        <w:rPr>
          <w:spacing w:val="-2"/>
        </w:rPr>
        <w:t>疾</w:t>
      </w:r>
      <w:r>
        <w:rPr>
          <w:spacing w:val="-2"/>
        </w:rPr>
        <w:t>病</w:t>
      </w:r>
      <w:r>
        <w:rPr>
          <w:spacing w:val="-2"/>
        </w:rPr>
        <w:t>定</w:t>
      </w:r>
      <w:r>
        <w:rPr>
          <w:spacing w:val="-2"/>
        </w:rPr>
        <w:t>义</w:t>
      </w:r>
      <w:r>
        <w:rPr>
          <w:spacing w:val="-2"/>
        </w:rPr>
        <w:t>保</w:t>
      </w:r>
      <w:r>
        <w:rPr>
          <w:spacing w:val="-4"/>
        </w:rPr>
        <w:t>持</w:t>
      </w:r>
      <w:r>
        <w:rPr>
          <w:spacing w:val="-4"/>
        </w:rPr>
        <w:t>一</w:t>
      </w:r>
      <w:r>
        <w:rPr>
          <w:spacing w:val="-4"/>
        </w:rPr>
        <w:t>致</w:t>
      </w:r>
      <w:r>
        <w:rPr>
          <w:spacing w:val="-4"/>
        </w:rPr>
        <w:t>。</w:t>
      </w:r>
    </w:p>
    <w:p>
      <w:pPr>
        <w:pStyle w:val="BodyText"/>
        <w:spacing w:before="16"/>
        <w:rPr>
          <w:rFonts w:ascii="微软雅黑"/>
          <w:b/>
          <w:sz w:val="8"/>
        </w:rPr>
      </w:pPr>
    </w:p>
    <w:p>
      <w:pPr>
        <w:spacing w:after="0"/>
        <w:rPr>
          <w:rFonts w:ascii="微软雅黑"/>
          <w:sz w:val="8"/>
        </w:rPr>
        <w:sectPr>
          <w:pgSz w:w="11910" w:h="16840"/>
          <w:pgMar w:header="0" w:footer="401" w:top="1080" w:bottom="600" w:left="760" w:right="580"/>
        </w:sectPr>
      </w:pPr>
    </w:p>
    <w:p>
      <w:pPr>
        <w:pStyle w:val="ListParagraph"/>
        <w:numPr>
          <w:ilvl w:val="0"/>
          <w:numId w:val="18"/>
        </w:numPr>
        <w:tabs>
          <w:tab w:pos="1223" w:val="left" w:leader="none"/>
        </w:tabs>
        <w:spacing w:line="278" w:lineRule="auto" w:before="71" w:after="0"/>
        <w:ind w:left="1006" w:right="0" w:firstLine="0"/>
        <w:jc w:val="left"/>
        <w:rPr>
          <w:sz w:val="21"/>
        </w:rPr>
      </w:pPr>
      <w:r>
        <w:rPr>
          <w:spacing w:val="-2"/>
          <w:sz w:val="21"/>
        </w:rPr>
        <w:t>恶性肿瘤——重</w:t>
      </w:r>
      <w:r>
        <w:rPr>
          <w:spacing w:val="-10"/>
          <w:sz w:val="21"/>
        </w:rPr>
        <w:t>度</w:t>
      </w:r>
    </w:p>
    <w:p>
      <w:pPr>
        <w:pStyle w:val="BodyText"/>
        <w:spacing w:line="312" w:lineRule="exact" w:before="32"/>
        <w:ind w:left="174" w:right="435"/>
        <w:jc w:val="both"/>
      </w:pPr>
      <w:r>
        <w:rPr/>
        <w:br w:type="column"/>
      </w:r>
      <w:r>
        <w:rPr>
          <w:spacing w:val="-2"/>
        </w:rPr>
        <w:t>指恶性细胞不受控制的进行性增长和扩散，浸润和破坏周围正常组织，可以经血管、淋巴管和体腔扩散转移到身体其他部位，病灶经</w:t>
      </w:r>
      <w:r>
        <w:rPr>
          <w:rFonts w:ascii="微软雅黑" w:eastAsia="微软雅黑"/>
          <w:b/>
          <w:spacing w:val="-2"/>
        </w:rPr>
        <w:t>组织病理学检查 </w:t>
      </w:r>
      <w:r>
        <w:rPr>
          <w:spacing w:val="-2"/>
          <w:position w:val="11"/>
          <w:sz w:val="11"/>
        </w:rPr>
        <w:t>9.34</w:t>
      </w:r>
      <w:r>
        <w:rPr>
          <w:spacing w:val="-2"/>
        </w:rPr>
        <w:t>（涵</w:t>
      </w:r>
      <w:r>
        <w:rPr>
          <w:spacing w:val="-2"/>
        </w:rPr>
        <w:t>盖骨髓病理学检查）结果明确诊断，临床诊断属于世界卫生组织（WHO，</w:t>
      </w:r>
      <w:r>
        <w:rPr>
          <w:spacing w:val="-22"/>
        </w:rPr>
        <w:t> </w:t>
      </w:r>
      <w:r>
        <w:rPr>
          <w:spacing w:val="-2"/>
        </w:rPr>
        <w:t>World Health</w:t>
      </w:r>
      <w:r>
        <w:rPr>
          <w:spacing w:val="-16"/>
        </w:rPr>
        <w:t> </w:t>
      </w:r>
      <w:r>
        <w:rPr>
          <w:spacing w:val="3"/>
        </w:rPr>
        <w:t>O</w:t>
      </w:r>
      <w:r>
        <w:rPr>
          <w:spacing w:val="6"/>
        </w:rPr>
        <w:t>rga</w:t>
      </w:r>
      <w:r>
        <w:rPr>
          <w:spacing w:val="3"/>
        </w:rPr>
        <w:t>n</w:t>
      </w:r>
      <w:r>
        <w:rPr>
          <w:spacing w:val="6"/>
        </w:rPr>
        <w:t>iza</w:t>
      </w:r>
      <w:r>
        <w:rPr>
          <w:spacing w:val="3"/>
        </w:rPr>
        <w:t>t</w:t>
      </w:r>
      <w:r>
        <w:rPr>
          <w:spacing w:val="6"/>
        </w:rPr>
        <w:t>io</w:t>
      </w:r>
      <w:r>
        <w:rPr>
          <w:spacing w:val="5"/>
        </w:rPr>
        <w:t>n</w:t>
      </w:r>
      <w:r>
        <w:rPr>
          <w:spacing w:val="-100"/>
        </w:rPr>
        <w:t>）</w:t>
      </w:r>
      <w:r>
        <w:rPr>
          <w:spacing w:val="-3"/>
        </w:rPr>
        <w:t>《疾病和有关健康问题的国际统计分类》第十次修订版</w:t>
      </w:r>
    </w:p>
    <w:p>
      <w:pPr>
        <w:pStyle w:val="BodyText"/>
        <w:spacing w:line="312" w:lineRule="exact"/>
        <w:ind w:left="174" w:right="330"/>
        <w:jc w:val="both"/>
      </w:pPr>
      <w:r>
        <w:rPr>
          <w:spacing w:val="-2"/>
          <w:w w:val="95"/>
        </w:rPr>
        <w:t>（ICD-10）的恶性肿</w:t>
      </w:r>
      <w:r>
        <w:rPr>
          <w:spacing w:val="-2"/>
          <w:w w:val="95"/>
        </w:rPr>
        <w:t>瘤</w:t>
      </w:r>
      <w:r>
        <w:rPr>
          <w:spacing w:val="-2"/>
          <w:w w:val="95"/>
        </w:rPr>
        <w:t>类</w:t>
      </w:r>
      <w:r>
        <w:rPr>
          <w:spacing w:val="-2"/>
          <w:w w:val="95"/>
        </w:rPr>
        <w:t>别及《国际疾病分类</w:t>
      </w:r>
      <w:r>
        <w:rPr>
          <w:spacing w:val="-2"/>
          <w:w w:val="95"/>
        </w:rPr>
        <w:t>肿</w:t>
      </w:r>
      <w:r>
        <w:rPr>
          <w:spacing w:val="-2"/>
          <w:w w:val="95"/>
        </w:rPr>
        <w:t>瘤</w:t>
      </w:r>
      <w:r>
        <w:rPr>
          <w:spacing w:val="-2"/>
          <w:w w:val="95"/>
        </w:rPr>
        <w:t>学</w:t>
      </w:r>
      <w:r>
        <w:rPr>
          <w:spacing w:val="-2"/>
          <w:w w:val="95"/>
        </w:rPr>
        <w:t>专</w:t>
      </w:r>
      <w:r>
        <w:rPr>
          <w:spacing w:val="-2"/>
          <w:w w:val="95"/>
        </w:rPr>
        <w:t>辑》第三版（</w:t>
      </w:r>
      <w:r>
        <w:rPr>
          <w:rFonts w:ascii="微软雅黑" w:eastAsia="微软雅黑"/>
          <w:b/>
          <w:spacing w:val="-2"/>
          <w:w w:val="95"/>
        </w:rPr>
        <w:t>ICD-O-3</w:t>
      </w:r>
      <w:r>
        <w:rPr>
          <w:spacing w:val="-2"/>
          <w:w w:val="95"/>
          <w:position w:val="11"/>
          <w:sz w:val="11"/>
        </w:rPr>
        <w:t>9.35</w:t>
      </w:r>
      <w:r>
        <w:rPr>
          <w:spacing w:val="-2"/>
          <w:w w:val="95"/>
        </w:rPr>
        <w:t>）</w:t>
      </w:r>
      <w:r>
        <w:rPr>
          <w:spacing w:val="-4"/>
        </w:rPr>
        <w:t>的肿瘤形态学编码属于 </w:t>
      </w:r>
      <w:r>
        <w:rPr/>
        <w:t>3、6、9（恶性肿瘤）范畴的疾病。</w:t>
      </w:r>
    </w:p>
    <w:p>
      <w:pPr>
        <w:spacing w:line="322" w:lineRule="exact" w:before="0"/>
        <w:ind w:left="174"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spacing w:val="-53"/>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pStyle w:val="ListParagraph"/>
        <w:numPr>
          <w:ilvl w:val="0"/>
          <w:numId w:val="19"/>
        </w:numPr>
        <w:tabs>
          <w:tab w:pos="704" w:val="left" w:leader="none"/>
        </w:tabs>
        <w:spacing w:line="194" w:lineRule="auto" w:before="15" w:after="0"/>
        <w:ind w:left="702" w:right="436" w:hanging="528"/>
        <w:jc w:val="left"/>
        <w:rPr>
          <w:rFonts w:ascii="微软雅黑" w:eastAsia="微软雅黑"/>
          <w:b/>
          <w:sz w:val="21"/>
        </w:rPr>
      </w:pPr>
      <w:r>
        <w:rPr>
          <w:rFonts w:ascii="微软雅黑" w:eastAsia="微软雅黑"/>
          <w:b/>
          <w:spacing w:val="-6"/>
          <w:sz w:val="21"/>
        </w:rPr>
        <w:t>ICD-O-3 肿瘤形态学编码属于 0（良性肿瘤</w:t>
      </w:r>
      <w:r>
        <w:rPr>
          <w:rFonts w:ascii="微软雅黑" w:eastAsia="微软雅黑"/>
          <w:b/>
          <w:spacing w:val="-106"/>
          <w:sz w:val="21"/>
        </w:rPr>
        <w:t>）</w:t>
      </w:r>
      <w:r>
        <w:rPr>
          <w:rFonts w:ascii="微软雅黑" w:eastAsia="微软雅黑"/>
          <w:b/>
          <w:spacing w:val="-6"/>
          <w:sz w:val="21"/>
        </w:rPr>
        <w:t>、1（动态未定性肿瘤</w:t>
      </w:r>
      <w:r>
        <w:rPr>
          <w:rFonts w:ascii="微软雅黑" w:eastAsia="微软雅黑"/>
          <w:b/>
          <w:spacing w:val="-108"/>
          <w:sz w:val="21"/>
        </w:rPr>
        <w:t>）</w:t>
      </w:r>
      <w:r>
        <w:rPr>
          <w:rFonts w:ascii="微软雅黑" w:eastAsia="微软雅黑"/>
          <w:b/>
          <w:spacing w:val="-6"/>
          <w:sz w:val="21"/>
        </w:rPr>
        <w:t>、2（</w:t>
      </w:r>
      <w:r>
        <w:rPr>
          <w:rFonts w:ascii="微软雅黑" w:eastAsia="微软雅黑"/>
          <w:b/>
          <w:spacing w:val="-2"/>
          <w:sz w:val="21"/>
        </w:rPr>
        <w:t>原位癌和非侵袭性癌）范畴的疾病，如：</w:t>
      </w:r>
    </w:p>
    <w:p>
      <w:pPr>
        <w:pStyle w:val="ListParagraph"/>
        <w:numPr>
          <w:ilvl w:val="1"/>
          <w:numId w:val="19"/>
        </w:numPr>
        <w:tabs>
          <w:tab w:pos="912" w:val="left" w:leader="none"/>
        </w:tabs>
        <w:spacing w:line="194" w:lineRule="auto" w:before="0" w:after="0"/>
        <w:ind w:left="699" w:right="328" w:firstLine="0"/>
        <w:jc w:val="left"/>
        <w:rPr>
          <w:rFonts w:ascii="微软雅黑" w:eastAsia="微软雅黑"/>
          <w:b/>
          <w:sz w:val="21"/>
        </w:rPr>
      </w:pPr>
      <w:r>
        <w:rPr>
          <w:rFonts w:ascii="微软雅黑" w:eastAsia="微软雅黑"/>
          <w:b/>
          <w:spacing w:val="-18"/>
          <w:sz w:val="21"/>
        </w:rPr>
        <w:t>原位癌，癌前病变，非浸润性癌，非侵袭性癌，肿瘤细胞未侵犯基底层，</w:t>
      </w:r>
      <w:r>
        <w:rPr>
          <w:rFonts w:ascii="微软雅黑" w:eastAsia="微软雅黑"/>
          <w:b/>
          <w:spacing w:val="-2"/>
          <w:sz w:val="21"/>
        </w:rPr>
        <w:t>上皮内瘤变，细胞不典型性增生等；</w:t>
      </w:r>
    </w:p>
    <w:p>
      <w:pPr>
        <w:pStyle w:val="ListParagraph"/>
        <w:numPr>
          <w:ilvl w:val="1"/>
          <w:numId w:val="19"/>
        </w:numPr>
        <w:tabs>
          <w:tab w:pos="912" w:val="left" w:leader="none"/>
        </w:tabs>
        <w:spacing w:line="294" w:lineRule="exact" w:before="0" w:after="0"/>
        <w:ind w:left="912" w:right="0" w:hanging="213"/>
        <w:jc w:val="left"/>
        <w:rPr>
          <w:rFonts w:ascii="微软雅黑" w:eastAsia="微软雅黑"/>
          <w:b/>
          <w:sz w:val="21"/>
        </w:rPr>
      </w:pPr>
      <w:r>
        <w:rPr>
          <w:rFonts w:ascii="微软雅黑" w:eastAsia="微软雅黑"/>
          <w:b/>
          <w:spacing w:val="-18"/>
          <w:sz w:val="21"/>
        </w:rPr>
        <w:t>交界性肿瘤，交界恶性肿瘤，肿瘤低度恶性潜能，潜在低度恶性肿瘤等；</w:t>
      </w:r>
    </w:p>
    <w:p>
      <w:pPr>
        <w:pStyle w:val="ListParagraph"/>
        <w:numPr>
          <w:ilvl w:val="0"/>
          <w:numId w:val="19"/>
        </w:numPr>
        <w:tabs>
          <w:tab w:pos="704" w:val="left" w:leader="none"/>
        </w:tabs>
        <w:spacing w:line="312" w:lineRule="exact" w:before="0" w:after="0"/>
        <w:ind w:left="703" w:right="0" w:hanging="530"/>
        <w:jc w:val="left"/>
        <w:rPr>
          <w:rFonts w:ascii="微软雅黑" w:hAnsi="微软雅黑" w:eastAsia="微软雅黑"/>
          <w:b/>
          <w:sz w:val="21"/>
        </w:rPr>
      </w:pPr>
      <w:r>
        <w:rPr>
          <w:rFonts w:ascii="微软雅黑" w:hAnsi="微软雅黑" w:eastAsia="微软雅黑"/>
          <w:b/>
          <w:w w:val="90"/>
          <w:sz w:val="21"/>
        </w:rPr>
        <w:t>TNM</w:t>
      </w:r>
      <w:r>
        <w:rPr>
          <w:rFonts w:ascii="微软雅黑" w:hAnsi="微软雅黑" w:eastAsia="微软雅黑"/>
          <w:b/>
          <w:spacing w:val="-8"/>
          <w:w w:val="90"/>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spacing w:val="-10"/>
          <w:w w:val="95"/>
          <w:sz w:val="21"/>
        </w:rPr>
        <w:t> </w:t>
      </w:r>
      <w:r>
        <w:rPr>
          <w:rFonts w:ascii="微软雅黑" w:hAnsi="微软雅黑" w:eastAsia="微软雅黑"/>
          <w:b/>
          <w:w w:val="95"/>
          <w:position w:val="11"/>
          <w:sz w:val="11"/>
        </w:rPr>
        <w:t>9.36</w:t>
      </w:r>
      <w:r>
        <w:rPr>
          <w:rFonts w:ascii="微软雅黑" w:hAnsi="微软雅黑" w:eastAsia="微软雅黑"/>
          <w:b/>
          <w:spacing w:val="-5"/>
          <w:w w:val="95"/>
          <w:position w:val="11"/>
          <w:sz w:val="11"/>
        </w:rPr>
        <w:t> </w:t>
      </w:r>
      <w:r>
        <w:rPr>
          <w:rFonts w:ascii="微软雅黑" w:hAnsi="微软雅黑" w:eastAsia="微软雅黑"/>
          <w:b/>
          <w:w w:val="95"/>
          <w:sz w:val="21"/>
        </w:rPr>
        <w:t>为</w:t>
      </w:r>
      <w:r>
        <w:rPr>
          <w:rFonts w:ascii="微软雅黑" w:hAnsi="微软雅黑" w:eastAsia="微软雅黑"/>
          <w:b/>
          <w:w w:val="95"/>
          <w:sz w:val="21"/>
        </w:rPr>
        <w:t>Ⅰ期</w:t>
      </w:r>
      <w:r>
        <w:rPr>
          <w:rFonts w:ascii="微软雅黑" w:hAnsi="微软雅黑" w:eastAsia="微软雅黑"/>
          <w:b/>
          <w:w w:val="95"/>
          <w:sz w:val="21"/>
        </w:rPr>
        <w:t>或</w:t>
      </w:r>
      <w:r>
        <w:rPr>
          <w:rFonts w:ascii="微软雅黑" w:hAnsi="微软雅黑" w:eastAsia="微软雅黑"/>
          <w:b/>
          <w:w w:val="95"/>
          <w:sz w:val="21"/>
        </w:rPr>
        <w:t>更</w:t>
      </w:r>
      <w:r>
        <w:rPr>
          <w:rFonts w:ascii="微软雅黑" w:hAnsi="微软雅黑" w:eastAsia="微软雅黑"/>
          <w:b/>
          <w:w w:val="95"/>
          <w:sz w:val="21"/>
        </w:rPr>
        <w:t>轻</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的</w:t>
      </w:r>
      <w:r>
        <w:rPr>
          <w:rFonts w:ascii="微软雅黑" w:hAnsi="微软雅黑" w:eastAsia="微软雅黑"/>
          <w:b/>
          <w:w w:val="95"/>
          <w:sz w:val="21"/>
        </w:rPr>
        <w:t>甲</w:t>
      </w:r>
      <w:r>
        <w:rPr>
          <w:rFonts w:ascii="微软雅黑" w:hAnsi="微软雅黑" w:eastAsia="微软雅黑"/>
          <w:b/>
          <w:w w:val="95"/>
          <w:sz w:val="21"/>
        </w:rPr>
        <w:t>状</w:t>
      </w:r>
      <w:r>
        <w:rPr>
          <w:rFonts w:ascii="微软雅黑" w:hAnsi="微软雅黑" w:eastAsia="微软雅黑"/>
          <w:b/>
          <w:w w:val="95"/>
          <w:sz w:val="21"/>
        </w:rPr>
        <w:t>腺</w:t>
      </w:r>
      <w:r>
        <w:rPr>
          <w:rFonts w:ascii="微软雅黑" w:hAnsi="微软雅黑" w:eastAsia="微软雅黑"/>
          <w:b/>
          <w:w w:val="95"/>
          <w:sz w:val="21"/>
        </w:rPr>
        <w:t>癌</w:t>
      </w:r>
      <w:r>
        <w:rPr>
          <w:rFonts w:ascii="微软雅黑" w:hAnsi="微软雅黑" w:eastAsia="微软雅黑"/>
          <w:b/>
          <w:spacing w:val="-10"/>
          <w:w w:val="95"/>
          <w:sz w:val="21"/>
        </w:rPr>
        <w:t>；</w:t>
      </w:r>
    </w:p>
    <w:p>
      <w:pPr>
        <w:pStyle w:val="ListParagraph"/>
        <w:numPr>
          <w:ilvl w:val="0"/>
          <w:numId w:val="19"/>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w w:val="85"/>
          <w:position w:val="1"/>
          <w:sz w:val="21"/>
        </w:rPr>
        <w:t>TNM</w:t>
      </w:r>
      <w:r>
        <w:rPr>
          <w:rFonts w:ascii="微软雅黑" w:eastAsia="微软雅黑"/>
          <w:b/>
          <w:spacing w:val="53"/>
          <w:position w:val="1"/>
          <w:sz w:val="21"/>
        </w:rPr>
        <w:t> </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为</w:t>
      </w:r>
      <w:r>
        <w:rPr>
          <w:rFonts w:ascii="微软雅黑" w:eastAsia="微软雅黑"/>
          <w:b/>
          <w:spacing w:val="54"/>
          <w:position w:val="1"/>
          <w:sz w:val="21"/>
        </w:rPr>
        <w:t> </w:t>
      </w:r>
      <w:r>
        <w:rPr>
          <w:rFonts w:ascii="微软雅黑" w:eastAsia="微软雅黑"/>
          <w:b/>
          <w:w w:val="85"/>
          <w:position w:val="1"/>
          <w:sz w:val="21"/>
        </w:rPr>
        <w:t>T</w:t>
      </w:r>
      <w:r>
        <w:rPr>
          <w:rFonts w:ascii="微软雅黑" w:eastAsia="微软雅黑"/>
          <w:b/>
          <w:w w:val="85"/>
          <w:sz w:val="11"/>
        </w:rPr>
        <w:t>1</w:t>
      </w:r>
      <w:r>
        <w:rPr>
          <w:rFonts w:ascii="微软雅黑" w:eastAsia="微软雅黑"/>
          <w:b/>
          <w:w w:val="85"/>
          <w:position w:val="1"/>
          <w:sz w:val="21"/>
        </w:rPr>
        <w:t>N</w:t>
      </w:r>
      <w:r>
        <w:rPr>
          <w:rFonts w:ascii="微软雅黑" w:eastAsia="微软雅黑"/>
          <w:b/>
          <w:w w:val="85"/>
          <w:sz w:val="11"/>
        </w:rPr>
        <w:t>0</w:t>
      </w:r>
      <w:r>
        <w:rPr>
          <w:rFonts w:ascii="微软雅黑" w:eastAsia="微软雅黑"/>
          <w:b/>
          <w:w w:val="85"/>
          <w:position w:val="1"/>
          <w:sz w:val="21"/>
        </w:rPr>
        <w:t>M</w:t>
      </w:r>
      <w:r>
        <w:rPr>
          <w:rFonts w:ascii="微软雅黑" w:eastAsia="微软雅黑"/>
          <w:b/>
          <w:w w:val="85"/>
          <w:sz w:val="11"/>
        </w:rPr>
        <w:t>0</w:t>
      </w:r>
      <w:r>
        <w:rPr>
          <w:rFonts w:ascii="微软雅黑" w:eastAsia="微软雅黑"/>
          <w:b/>
          <w:spacing w:val="31"/>
          <w:sz w:val="11"/>
        </w:rPr>
        <w:t> </w:t>
      </w:r>
      <w:r>
        <w:rPr>
          <w:rFonts w:ascii="微软雅黑" w:eastAsia="微软雅黑"/>
          <w:b/>
          <w:w w:val="85"/>
          <w:position w:val="1"/>
          <w:sz w:val="21"/>
        </w:rPr>
        <w:t>期</w:t>
      </w:r>
      <w:r>
        <w:rPr>
          <w:rFonts w:ascii="微软雅黑" w:eastAsia="微软雅黑"/>
          <w:b/>
          <w:w w:val="85"/>
          <w:position w:val="1"/>
          <w:sz w:val="21"/>
        </w:rPr>
        <w:t>或</w:t>
      </w:r>
      <w:r>
        <w:rPr>
          <w:rFonts w:ascii="微软雅黑" w:eastAsia="微软雅黑"/>
          <w:b/>
          <w:w w:val="85"/>
          <w:position w:val="1"/>
          <w:sz w:val="21"/>
        </w:rPr>
        <w:t>更</w:t>
      </w:r>
      <w:r>
        <w:rPr>
          <w:rFonts w:ascii="微软雅黑" w:eastAsia="微软雅黑"/>
          <w:b/>
          <w:w w:val="85"/>
          <w:position w:val="1"/>
          <w:sz w:val="21"/>
        </w:rPr>
        <w:t>轻</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的</w:t>
      </w:r>
      <w:r>
        <w:rPr>
          <w:rFonts w:ascii="微软雅黑" w:eastAsia="微软雅黑"/>
          <w:b/>
          <w:w w:val="85"/>
          <w:position w:val="1"/>
          <w:sz w:val="21"/>
        </w:rPr>
        <w:t>前</w:t>
      </w:r>
      <w:r>
        <w:rPr>
          <w:rFonts w:ascii="微软雅黑" w:eastAsia="微软雅黑"/>
          <w:b/>
          <w:w w:val="85"/>
          <w:position w:val="1"/>
          <w:sz w:val="21"/>
        </w:rPr>
        <w:t>列</w:t>
      </w:r>
      <w:r>
        <w:rPr>
          <w:rFonts w:ascii="微软雅黑" w:eastAsia="微软雅黑"/>
          <w:b/>
          <w:w w:val="85"/>
          <w:position w:val="1"/>
          <w:sz w:val="21"/>
        </w:rPr>
        <w:t>腺</w:t>
      </w:r>
      <w:r>
        <w:rPr>
          <w:rFonts w:ascii="微软雅黑" w:eastAsia="微软雅黑"/>
          <w:b/>
          <w:w w:val="85"/>
          <w:position w:val="1"/>
          <w:sz w:val="21"/>
        </w:rPr>
        <w:t>癌</w:t>
      </w:r>
      <w:r>
        <w:rPr>
          <w:rFonts w:ascii="微软雅黑" w:eastAsia="微软雅黑"/>
          <w:b/>
          <w:spacing w:val="-10"/>
          <w:w w:val="85"/>
          <w:position w:val="1"/>
          <w:sz w:val="21"/>
        </w:rPr>
        <w:t>；</w:t>
      </w:r>
    </w:p>
    <w:p>
      <w:pPr>
        <w:pStyle w:val="ListParagraph"/>
        <w:numPr>
          <w:ilvl w:val="0"/>
          <w:numId w:val="19"/>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19"/>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w w:val="95"/>
          <w:sz w:val="21"/>
        </w:rPr>
        <w:t>相</w:t>
      </w:r>
      <w:r>
        <w:rPr>
          <w:rFonts w:ascii="微软雅黑" w:eastAsia="微软雅黑"/>
          <w:b/>
          <w:w w:val="95"/>
          <w:sz w:val="21"/>
        </w:rPr>
        <w:t>当</w:t>
      </w:r>
      <w:r>
        <w:rPr>
          <w:rFonts w:ascii="微软雅黑" w:eastAsia="微软雅黑"/>
          <w:b/>
          <w:w w:val="95"/>
          <w:sz w:val="21"/>
        </w:rPr>
        <w:t>于</w:t>
      </w:r>
      <w:r>
        <w:rPr>
          <w:rFonts w:ascii="微软雅黑" w:eastAsia="微软雅黑"/>
          <w:b/>
          <w:spacing w:val="29"/>
          <w:sz w:val="21"/>
        </w:rPr>
        <w:t> </w:t>
      </w:r>
      <w:r>
        <w:rPr>
          <w:rFonts w:ascii="微软雅黑" w:eastAsia="微软雅黑"/>
          <w:b/>
          <w:w w:val="95"/>
          <w:sz w:val="21"/>
        </w:rPr>
        <w:t>Binet</w:t>
      </w:r>
      <w:r>
        <w:rPr>
          <w:rFonts w:ascii="微软雅黑" w:eastAsia="微软雅黑"/>
          <w:b/>
          <w:spacing w:val="30"/>
          <w:sz w:val="21"/>
        </w:rPr>
        <w:t> </w:t>
      </w:r>
      <w:r>
        <w:rPr>
          <w:rFonts w:ascii="微软雅黑" w:eastAsia="微软雅黑"/>
          <w:b/>
          <w:w w:val="95"/>
          <w:sz w:val="21"/>
        </w:rPr>
        <w:t>分</w:t>
      </w:r>
      <w:r>
        <w:rPr>
          <w:rFonts w:ascii="微软雅黑" w:eastAsia="微软雅黑"/>
          <w:b/>
          <w:w w:val="95"/>
          <w:sz w:val="21"/>
        </w:rPr>
        <w:t>期</w:t>
      </w:r>
      <w:r>
        <w:rPr>
          <w:rFonts w:ascii="微软雅黑" w:eastAsia="微软雅黑"/>
          <w:b/>
          <w:w w:val="95"/>
          <w:sz w:val="21"/>
        </w:rPr>
        <w:t>方案</w:t>
      </w:r>
      <w:r>
        <w:rPr>
          <w:rFonts w:ascii="微软雅黑" w:eastAsia="微软雅黑"/>
          <w:b/>
          <w:spacing w:val="29"/>
          <w:sz w:val="21"/>
        </w:rPr>
        <w:t> </w:t>
      </w:r>
      <w:r>
        <w:rPr>
          <w:rFonts w:ascii="微软雅黑" w:eastAsia="微软雅黑"/>
          <w:b/>
          <w:w w:val="95"/>
          <w:sz w:val="21"/>
        </w:rPr>
        <w:t>A</w:t>
      </w:r>
      <w:r>
        <w:rPr>
          <w:rFonts w:ascii="微软雅黑" w:eastAsia="微软雅黑"/>
          <w:b/>
          <w:spacing w:val="30"/>
          <w:sz w:val="21"/>
        </w:rPr>
        <w:t> </w:t>
      </w:r>
      <w:r>
        <w:rPr>
          <w:rFonts w:ascii="微软雅黑" w:eastAsia="微软雅黑"/>
          <w:b/>
          <w:w w:val="95"/>
          <w:sz w:val="21"/>
        </w:rPr>
        <w:t>期</w:t>
      </w:r>
      <w:r>
        <w:rPr>
          <w:rFonts w:ascii="微软雅黑" w:eastAsia="微软雅黑"/>
          <w:b/>
          <w:w w:val="95"/>
          <w:sz w:val="21"/>
        </w:rPr>
        <w:t>程</w:t>
      </w:r>
      <w:r>
        <w:rPr>
          <w:rFonts w:ascii="微软雅黑" w:eastAsia="微软雅黑"/>
          <w:b/>
          <w:w w:val="95"/>
          <w:sz w:val="21"/>
        </w:rPr>
        <w:t>度</w:t>
      </w:r>
      <w:r>
        <w:rPr>
          <w:rFonts w:ascii="微软雅黑" w:eastAsia="微软雅黑"/>
          <w:b/>
          <w:w w:val="95"/>
          <w:sz w:val="21"/>
        </w:rPr>
        <w:t>的</w:t>
      </w:r>
      <w:r>
        <w:rPr>
          <w:rFonts w:ascii="微软雅黑" w:eastAsia="微软雅黑"/>
          <w:b/>
          <w:w w:val="95"/>
          <w:sz w:val="21"/>
        </w:rPr>
        <w:t>慢</w:t>
      </w:r>
      <w:r>
        <w:rPr>
          <w:rFonts w:ascii="微软雅黑" w:eastAsia="微软雅黑"/>
          <w:b/>
          <w:w w:val="95"/>
          <w:sz w:val="21"/>
        </w:rPr>
        <w:t>性</w:t>
      </w:r>
      <w:r>
        <w:rPr>
          <w:rFonts w:ascii="微软雅黑" w:eastAsia="微软雅黑"/>
          <w:b/>
          <w:w w:val="95"/>
          <w:sz w:val="21"/>
        </w:rPr>
        <w:t>淋</w:t>
      </w:r>
      <w:r>
        <w:rPr>
          <w:rFonts w:ascii="微软雅黑" w:eastAsia="微软雅黑"/>
          <w:b/>
          <w:w w:val="95"/>
          <w:sz w:val="21"/>
        </w:rPr>
        <w:t>巴</w:t>
      </w:r>
      <w:r>
        <w:rPr>
          <w:rFonts w:ascii="微软雅黑" w:eastAsia="微软雅黑"/>
          <w:b/>
          <w:w w:val="95"/>
          <w:sz w:val="21"/>
        </w:rPr>
        <w:t>细</w:t>
      </w:r>
      <w:r>
        <w:rPr>
          <w:rFonts w:ascii="微软雅黑" w:eastAsia="微软雅黑"/>
          <w:b/>
          <w:w w:val="95"/>
          <w:sz w:val="21"/>
        </w:rPr>
        <w:t>胞</w:t>
      </w:r>
      <w:r>
        <w:rPr>
          <w:rFonts w:ascii="微软雅黑" w:eastAsia="微软雅黑"/>
          <w:b/>
          <w:w w:val="95"/>
          <w:sz w:val="21"/>
        </w:rPr>
        <w:t>白</w:t>
      </w:r>
      <w:r>
        <w:rPr>
          <w:rFonts w:ascii="微软雅黑" w:eastAsia="微软雅黑"/>
          <w:b/>
          <w:w w:val="95"/>
          <w:sz w:val="21"/>
        </w:rPr>
        <w:t>血</w:t>
      </w:r>
      <w:r>
        <w:rPr>
          <w:rFonts w:ascii="微软雅黑" w:eastAsia="微软雅黑"/>
          <w:b/>
          <w:w w:val="95"/>
          <w:sz w:val="21"/>
        </w:rPr>
        <w:t>病</w:t>
      </w:r>
      <w:r>
        <w:rPr>
          <w:rFonts w:ascii="微软雅黑" w:eastAsia="微软雅黑"/>
          <w:b/>
          <w:spacing w:val="-10"/>
          <w:w w:val="95"/>
          <w:sz w:val="21"/>
        </w:rPr>
        <w:t>；</w:t>
      </w:r>
    </w:p>
    <w:p>
      <w:pPr>
        <w:pStyle w:val="ListParagraph"/>
        <w:numPr>
          <w:ilvl w:val="0"/>
          <w:numId w:val="19"/>
        </w:numPr>
        <w:tabs>
          <w:tab w:pos="704" w:val="left" w:leader="none"/>
        </w:tabs>
        <w:spacing w:line="312" w:lineRule="exact" w:before="0" w:after="0"/>
        <w:ind w:left="703" w:right="0" w:hanging="530"/>
        <w:jc w:val="left"/>
        <w:rPr>
          <w:rFonts w:ascii="微软雅黑" w:hAnsi="微软雅黑" w:eastAsia="微软雅黑"/>
          <w:b/>
          <w:sz w:val="21"/>
        </w:rPr>
      </w:pPr>
      <w:r>
        <w:rPr>
          <w:rFonts w:ascii="微软雅黑" w:hAnsi="微软雅黑" w:eastAsia="微软雅黑"/>
          <w:b/>
          <w:w w:val="95"/>
          <w:sz w:val="21"/>
        </w:rPr>
        <w:t>相</w:t>
      </w:r>
      <w:r>
        <w:rPr>
          <w:rFonts w:ascii="微软雅黑" w:hAnsi="微软雅黑" w:eastAsia="微软雅黑"/>
          <w:b/>
          <w:w w:val="95"/>
          <w:sz w:val="21"/>
        </w:rPr>
        <w:t>当</w:t>
      </w:r>
      <w:r>
        <w:rPr>
          <w:rFonts w:ascii="微软雅黑" w:hAnsi="微软雅黑" w:eastAsia="微软雅黑"/>
          <w:b/>
          <w:w w:val="95"/>
          <w:sz w:val="21"/>
        </w:rPr>
        <w:t>于</w:t>
      </w:r>
      <w:r>
        <w:rPr>
          <w:rFonts w:ascii="微软雅黑" w:hAnsi="微软雅黑" w:eastAsia="微软雅黑"/>
          <w:b/>
          <w:spacing w:val="-2"/>
          <w:w w:val="95"/>
          <w:sz w:val="21"/>
        </w:rPr>
        <w:t> </w:t>
      </w:r>
      <w:r>
        <w:rPr>
          <w:rFonts w:ascii="微软雅黑" w:hAnsi="微软雅黑" w:eastAsia="微软雅黑"/>
          <w:b/>
          <w:w w:val="95"/>
          <w:sz w:val="21"/>
        </w:rPr>
        <w:t>Ann</w:t>
      </w:r>
      <w:r>
        <w:rPr>
          <w:rFonts w:ascii="微软雅黑" w:hAnsi="微软雅黑" w:eastAsia="微软雅黑"/>
          <w:b/>
          <w:spacing w:val="54"/>
          <w:sz w:val="21"/>
        </w:rPr>
        <w:t> </w:t>
      </w:r>
      <w:r>
        <w:rPr>
          <w:rFonts w:ascii="微软雅黑" w:hAnsi="微软雅黑" w:eastAsia="微软雅黑"/>
          <w:b/>
          <w:w w:val="95"/>
          <w:sz w:val="21"/>
        </w:rPr>
        <w:t>Arbor</w:t>
      </w:r>
      <w:r>
        <w:rPr>
          <w:rFonts w:ascii="微软雅黑" w:hAnsi="微软雅黑" w:eastAsia="微软雅黑"/>
          <w:b/>
          <w:spacing w:val="-2"/>
          <w:w w:val="95"/>
          <w:sz w:val="21"/>
        </w:rPr>
        <w:t> </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方</w:t>
      </w:r>
      <w:r>
        <w:rPr>
          <w:rFonts w:ascii="微软雅黑" w:hAnsi="微软雅黑" w:eastAsia="微软雅黑"/>
          <w:b/>
          <w:w w:val="95"/>
          <w:sz w:val="21"/>
        </w:rPr>
        <w:t>案</w:t>
      </w:r>
      <w:r>
        <w:rPr>
          <w:rFonts w:ascii="微软雅黑" w:hAnsi="微软雅黑" w:eastAsia="微软雅黑"/>
          <w:b/>
          <w:w w:val="95"/>
          <w:sz w:val="21"/>
        </w:rPr>
        <w:t>Ⅰ</w:t>
      </w:r>
      <w:r>
        <w:rPr>
          <w:rFonts w:ascii="微软雅黑" w:hAnsi="微软雅黑" w:eastAsia="微软雅黑"/>
          <w:b/>
          <w:w w:val="95"/>
          <w:sz w:val="21"/>
        </w:rPr>
        <w:t>期</w:t>
      </w:r>
      <w:r>
        <w:rPr>
          <w:rFonts w:ascii="微软雅黑" w:hAnsi="微软雅黑" w:eastAsia="微软雅黑"/>
          <w:b/>
          <w:w w:val="95"/>
          <w:sz w:val="21"/>
        </w:rPr>
        <w:t>程</w:t>
      </w:r>
      <w:r>
        <w:rPr>
          <w:rFonts w:ascii="微软雅黑" w:hAnsi="微软雅黑" w:eastAsia="微软雅黑"/>
          <w:b/>
          <w:w w:val="95"/>
          <w:sz w:val="21"/>
        </w:rPr>
        <w:t>度</w:t>
      </w:r>
      <w:r>
        <w:rPr>
          <w:rFonts w:ascii="微软雅黑" w:hAnsi="微软雅黑" w:eastAsia="微软雅黑"/>
          <w:b/>
          <w:w w:val="95"/>
          <w:sz w:val="21"/>
        </w:rPr>
        <w:t>的</w:t>
      </w:r>
      <w:r>
        <w:rPr>
          <w:rFonts w:ascii="微软雅黑" w:hAnsi="微软雅黑" w:eastAsia="微软雅黑"/>
          <w:b/>
          <w:w w:val="95"/>
          <w:sz w:val="21"/>
        </w:rPr>
        <w:t>何杰金</w:t>
      </w:r>
      <w:r>
        <w:rPr>
          <w:rFonts w:ascii="微软雅黑" w:hAnsi="微软雅黑" w:eastAsia="微软雅黑"/>
          <w:b/>
          <w:w w:val="95"/>
          <w:sz w:val="21"/>
        </w:rPr>
        <w:t>氏</w:t>
      </w:r>
      <w:r>
        <w:rPr>
          <w:rFonts w:ascii="微软雅黑" w:hAnsi="微软雅黑" w:eastAsia="微软雅黑"/>
          <w:b/>
          <w:w w:val="95"/>
          <w:sz w:val="21"/>
        </w:rPr>
        <w:t>病</w:t>
      </w:r>
      <w:r>
        <w:rPr>
          <w:rFonts w:ascii="微软雅黑" w:hAnsi="微软雅黑" w:eastAsia="微软雅黑"/>
          <w:b/>
          <w:spacing w:val="-10"/>
          <w:w w:val="95"/>
          <w:sz w:val="21"/>
        </w:rPr>
        <w:t>；</w:t>
      </w:r>
    </w:p>
    <w:p>
      <w:pPr>
        <w:pStyle w:val="ListParagraph"/>
        <w:numPr>
          <w:ilvl w:val="0"/>
          <w:numId w:val="19"/>
        </w:numPr>
        <w:tabs>
          <w:tab w:pos="704" w:val="left" w:leader="none"/>
        </w:tabs>
        <w:spacing w:line="194" w:lineRule="auto" w:before="12" w:after="0"/>
        <w:ind w:left="702" w:right="438" w:hanging="528"/>
        <w:jc w:val="left"/>
        <w:rPr>
          <w:rFonts w:ascii="微软雅黑" w:hAnsi="微软雅黑" w:eastAsia="微软雅黑"/>
          <w:b/>
          <w:sz w:val="21"/>
        </w:rPr>
      </w:pPr>
      <w:r>
        <w:rPr>
          <w:rFonts w:ascii="微软雅黑" w:hAnsi="微软雅黑" w:eastAsia="微软雅黑"/>
          <w:b/>
          <w:w w:val="90"/>
          <w:sz w:val="21"/>
        </w:rPr>
        <w:t>未</w:t>
      </w:r>
      <w:r>
        <w:rPr>
          <w:rFonts w:ascii="微软雅黑" w:hAnsi="微软雅黑" w:eastAsia="微软雅黑"/>
          <w:b/>
          <w:w w:val="90"/>
          <w:sz w:val="21"/>
        </w:rPr>
        <w:t>发</w:t>
      </w:r>
      <w:r>
        <w:rPr>
          <w:rFonts w:ascii="微软雅黑" w:hAnsi="微软雅黑" w:eastAsia="微软雅黑"/>
          <w:b/>
          <w:w w:val="90"/>
          <w:sz w:val="21"/>
        </w:rPr>
        <w:t>生</w:t>
      </w:r>
      <w:r>
        <w:rPr>
          <w:rFonts w:ascii="微软雅黑" w:hAnsi="微软雅黑" w:eastAsia="微软雅黑"/>
          <w:b/>
          <w:w w:val="90"/>
          <w:sz w:val="21"/>
        </w:rPr>
        <w:t>淋</w:t>
      </w:r>
      <w:r>
        <w:rPr>
          <w:rFonts w:ascii="微软雅黑" w:hAnsi="微软雅黑" w:eastAsia="微软雅黑"/>
          <w:b/>
          <w:w w:val="90"/>
          <w:sz w:val="21"/>
        </w:rPr>
        <w:t>巴</w:t>
      </w:r>
      <w:r>
        <w:rPr>
          <w:rFonts w:ascii="微软雅黑" w:hAnsi="微软雅黑" w:eastAsia="微软雅黑"/>
          <w:b/>
          <w:w w:val="90"/>
          <w:sz w:val="21"/>
        </w:rPr>
        <w:t>结</w:t>
      </w:r>
      <w:r>
        <w:rPr>
          <w:rFonts w:ascii="微软雅黑" w:hAnsi="微软雅黑" w:eastAsia="微软雅黑"/>
          <w:b/>
          <w:w w:val="90"/>
          <w:sz w:val="21"/>
        </w:rPr>
        <w:t>和</w:t>
      </w:r>
      <w:r>
        <w:rPr>
          <w:rFonts w:ascii="微软雅黑" w:hAnsi="微软雅黑" w:eastAsia="微软雅黑"/>
          <w:b/>
          <w:w w:val="90"/>
          <w:sz w:val="21"/>
        </w:rPr>
        <w:t>远处</w:t>
      </w:r>
      <w:r>
        <w:rPr>
          <w:rFonts w:ascii="微软雅黑" w:hAnsi="微软雅黑" w:eastAsia="微软雅黑"/>
          <w:b/>
          <w:w w:val="90"/>
          <w:sz w:val="21"/>
        </w:rPr>
        <w:t>转</w:t>
      </w:r>
      <w:r>
        <w:rPr>
          <w:rFonts w:ascii="微软雅黑" w:hAnsi="微软雅黑" w:eastAsia="微软雅黑"/>
          <w:b/>
          <w:w w:val="90"/>
          <w:sz w:val="21"/>
        </w:rPr>
        <w:t>移</w:t>
      </w:r>
      <w:r>
        <w:rPr>
          <w:rFonts w:ascii="微软雅黑" w:hAnsi="微软雅黑" w:eastAsia="微软雅黑"/>
          <w:b/>
          <w:w w:val="90"/>
          <w:sz w:val="21"/>
        </w:rPr>
        <w:t>且</w:t>
      </w:r>
      <w:r>
        <w:rPr>
          <w:rFonts w:ascii="微软雅黑" w:hAnsi="微软雅黑" w:eastAsia="微软雅黑"/>
          <w:b/>
          <w:w w:val="90"/>
          <w:sz w:val="21"/>
        </w:rPr>
        <w:t> </w:t>
      </w:r>
      <w:r>
        <w:rPr>
          <w:rFonts w:ascii="微软雅黑" w:hAnsi="微软雅黑" w:eastAsia="微软雅黑"/>
          <w:b/>
          <w:w w:val="85"/>
          <w:sz w:val="21"/>
        </w:rPr>
        <w:t>WHO </w:t>
      </w:r>
      <w:r>
        <w:rPr>
          <w:rFonts w:ascii="微软雅黑" w:hAnsi="微软雅黑" w:eastAsia="微软雅黑"/>
          <w:b/>
          <w:w w:val="90"/>
          <w:sz w:val="21"/>
        </w:rPr>
        <w:t>分</w:t>
      </w:r>
      <w:r>
        <w:rPr>
          <w:rFonts w:ascii="微软雅黑" w:hAnsi="微软雅黑" w:eastAsia="微软雅黑"/>
          <w:b/>
          <w:w w:val="90"/>
          <w:sz w:val="21"/>
        </w:rPr>
        <w:t>级</w:t>
      </w:r>
      <w:r>
        <w:rPr>
          <w:rFonts w:ascii="微软雅黑" w:hAnsi="微软雅黑" w:eastAsia="微软雅黑"/>
          <w:b/>
          <w:w w:val="90"/>
          <w:sz w:val="21"/>
        </w:rPr>
        <w:t>为</w:t>
      </w:r>
      <w:r>
        <w:rPr>
          <w:rFonts w:ascii="微软雅黑" w:hAnsi="微软雅黑" w:eastAsia="微软雅黑"/>
          <w:b/>
          <w:w w:val="90"/>
          <w:sz w:val="21"/>
        </w:rPr>
        <w:t> G1 级别（</w:t>
      </w:r>
      <w:r>
        <w:rPr>
          <w:rFonts w:ascii="微软雅黑" w:hAnsi="微软雅黑" w:eastAsia="微软雅黑"/>
          <w:b/>
          <w:w w:val="90"/>
          <w:sz w:val="21"/>
        </w:rPr>
        <w:t>核</w:t>
      </w:r>
      <w:r>
        <w:rPr>
          <w:rFonts w:ascii="微软雅黑" w:hAnsi="微软雅黑" w:eastAsia="微软雅黑"/>
          <w:b/>
          <w:w w:val="90"/>
          <w:sz w:val="21"/>
        </w:rPr>
        <w:t>分</w:t>
      </w:r>
      <w:r>
        <w:rPr>
          <w:rFonts w:ascii="微软雅黑" w:hAnsi="微软雅黑" w:eastAsia="微软雅黑"/>
          <w:b/>
          <w:w w:val="90"/>
          <w:sz w:val="21"/>
        </w:rPr>
        <w:t>裂</w:t>
      </w:r>
      <w:r>
        <w:rPr>
          <w:rFonts w:ascii="微软雅黑" w:hAnsi="微软雅黑" w:eastAsia="微软雅黑"/>
          <w:b/>
          <w:w w:val="90"/>
          <w:sz w:val="21"/>
        </w:rPr>
        <w:t>像</w:t>
      </w:r>
      <w:r>
        <w:rPr>
          <w:rFonts w:ascii="微软雅黑" w:hAnsi="微软雅黑" w:eastAsia="微软雅黑"/>
          <w:b/>
          <w:w w:val="90"/>
          <w:sz w:val="21"/>
        </w:rPr>
        <w:t>&lt;10/50 HPF </w:t>
      </w:r>
      <w:r>
        <w:rPr>
          <w:rFonts w:ascii="微软雅黑" w:hAnsi="微软雅黑" w:eastAsia="微软雅黑"/>
          <w:b/>
          <w:w w:val="90"/>
          <w:sz w:val="21"/>
        </w:rPr>
        <w:t>和</w:t>
      </w:r>
      <w:r>
        <w:rPr>
          <w:rFonts w:ascii="微软雅黑" w:hAnsi="微软雅黑" w:eastAsia="微软雅黑"/>
          <w:b/>
          <w:w w:val="90"/>
          <w:sz w:val="21"/>
        </w:rPr>
        <w:t> </w:t>
      </w:r>
      <w:r>
        <w:rPr>
          <w:rFonts w:ascii="微软雅黑" w:hAnsi="微软雅黑" w:eastAsia="微软雅黑"/>
          <w:b/>
          <w:spacing w:val="-2"/>
          <w:sz w:val="21"/>
        </w:rPr>
        <w:t>ki-</w:t>
      </w:r>
      <w:r>
        <w:rPr>
          <w:rFonts w:ascii="微软雅黑" w:hAnsi="微软雅黑" w:eastAsia="微软雅黑"/>
          <w:b/>
          <w:spacing w:val="-2"/>
          <w:w w:val="94"/>
          <w:sz w:val="21"/>
        </w:rPr>
        <w:t>67</w:t>
      </w:r>
      <w:r>
        <w:rPr>
          <w:rFonts w:ascii="微软雅黑" w:hAnsi="微软雅黑" w:eastAsia="微软雅黑"/>
          <w:b/>
          <w:spacing w:val="-2"/>
          <w:w w:val="144"/>
          <w:sz w:val="21"/>
        </w:rPr>
        <w:t>≤</w:t>
      </w:r>
      <w:r>
        <w:rPr>
          <w:rFonts w:ascii="微软雅黑" w:hAnsi="微软雅黑" w:eastAsia="微软雅黑"/>
          <w:b/>
          <w:spacing w:val="-2"/>
          <w:w w:val="77"/>
          <w:sz w:val="21"/>
        </w:rPr>
        <w:t>2%</w:t>
      </w:r>
      <w:r>
        <w:rPr>
          <w:rFonts w:ascii="微软雅黑" w:hAnsi="微软雅黑" w:eastAsia="微软雅黑"/>
          <w:b/>
          <w:spacing w:val="-2"/>
          <w:w w:val="113"/>
          <w:sz w:val="21"/>
        </w:rPr>
        <w:t>）</w:t>
      </w:r>
      <w:r>
        <w:rPr>
          <w:rFonts w:ascii="微软雅黑" w:hAnsi="微软雅黑" w:eastAsia="微软雅黑"/>
          <w:b/>
          <w:spacing w:val="-2"/>
          <w:sz w:val="21"/>
        </w:rPr>
        <w:t>或更轻分级的神经内分泌肿瘤。</w:t>
      </w:r>
    </w:p>
    <w:p>
      <w:pPr>
        <w:spacing w:after="0" w:line="194" w:lineRule="auto"/>
        <w:jc w:val="left"/>
        <w:rPr>
          <w:rFonts w:ascii="微软雅黑" w:hAnsi="微软雅黑" w:eastAsia="微软雅黑"/>
          <w:sz w:val="21"/>
        </w:rPr>
        <w:sectPr>
          <w:type w:val="continuous"/>
          <w:pgSz w:w="11910" w:h="16840"/>
          <w:pgMar w:header="0" w:footer="401" w:top="600" w:bottom="280" w:left="760" w:right="580"/>
          <w:cols w:num="2" w:equalWidth="0">
            <w:col w:w="2733" w:space="40"/>
            <w:col w:w="7797"/>
          </w:cols>
        </w:sectPr>
      </w:pPr>
    </w:p>
    <w:p>
      <w:pPr>
        <w:pStyle w:val="ListParagraph"/>
        <w:numPr>
          <w:ilvl w:val="0"/>
          <w:numId w:val="18"/>
        </w:numPr>
        <w:tabs>
          <w:tab w:pos="1223" w:val="left" w:leader="none"/>
        </w:tabs>
        <w:spacing w:line="278" w:lineRule="auto" w:before="57" w:after="0"/>
        <w:ind w:left="1006" w:right="0" w:firstLine="0"/>
        <w:jc w:val="left"/>
        <w:rPr>
          <w:sz w:val="21"/>
        </w:rPr>
      </w:pPr>
      <w:r>
        <w:rPr>
          <w:spacing w:val="-2"/>
          <w:sz w:val="21"/>
        </w:rPr>
        <w:t>较重急性心肌梗</w:t>
      </w:r>
      <w:r>
        <w:rPr>
          <w:spacing w:val="-10"/>
          <w:sz w:val="21"/>
        </w:rPr>
        <w:t>死</w:t>
      </w:r>
    </w:p>
    <w:p>
      <w:pPr>
        <w:pStyle w:val="BodyText"/>
        <w:spacing w:line="278" w:lineRule="auto" w:before="57"/>
        <w:ind w:left="175" w:right="328"/>
      </w:pPr>
      <w:r>
        <w:rPr/>
        <w:br w:type="column"/>
      </w:r>
      <w:r>
        <w:rPr>
          <w:w w:val="100"/>
        </w:rPr>
        <w:t>急性心肌梗死指由于冠状动脉闭塞或梗阻引起部分心肌严重的持久性缺血造成</w:t>
      </w:r>
      <w:r>
        <w:rPr>
          <w:spacing w:val="-7"/>
          <w:w w:val="100"/>
        </w:rPr>
        <w:t>急性心肌坏死。急性心肌梗死的诊断必须依据国际国内诊断标准，符合</w:t>
      </w:r>
      <w:r>
        <w:rPr>
          <w:w w:val="100"/>
        </w:rPr>
        <w:t>（</w:t>
      </w:r>
      <w:r>
        <w:rPr>
          <w:spacing w:val="-3"/>
          <w:w w:val="100"/>
        </w:rPr>
        <w:t>1</w:t>
      </w:r>
      <w:r>
        <w:rPr>
          <w:spacing w:val="-20"/>
          <w:w w:val="100"/>
        </w:rPr>
        <w:t>）检</w:t>
      </w:r>
      <w:r>
        <w:rPr>
          <w:spacing w:val="-3"/>
          <w:w w:val="100"/>
        </w:rPr>
        <w:t>测到肌酸激酶同工酶</w:t>
      </w:r>
      <w:r>
        <w:rPr>
          <w:spacing w:val="-1"/>
          <w:w w:val="100"/>
        </w:rPr>
        <w:t>（</w:t>
      </w:r>
      <w:r>
        <w:rPr>
          <w:w w:val="100"/>
        </w:rPr>
        <w:t>C</w:t>
      </w:r>
      <w:r>
        <w:rPr>
          <w:spacing w:val="-3"/>
          <w:w w:val="100"/>
        </w:rPr>
        <w:t>K-</w:t>
      </w:r>
      <w:r>
        <w:rPr>
          <w:w w:val="100"/>
        </w:rPr>
        <w:t>MB）</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spacing w:val="-140"/>
          <w:w w:val="100"/>
        </w:rPr>
        <w:t>；</w:t>
      </w:r>
      <w:r>
        <w:rPr>
          <w:spacing w:val="-1"/>
          <w:w w:val="100"/>
        </w:rPr>
        <w:t>（</w:t>
      </w:r>
      <w:r>
        <w:rPr>
          <w:w w:val="100"/>
        </w:rPr>
        <w:t>2</w:t>
      </w:r>
      <w:r>
        <w:rPr>
          <w:spacing w:val="-36"/>
          <w:w w:val="100"/>
        </w:rPr>
        <w:t>）</w:t>
      </w:r>
      <w:r>
        <w:rPr>
          <w:spacing w:val="-3"/>
          <w:w w:val="100"/>
        </w:rPr>
        <w:t>同时存在下列之一的证据，包括：缺血性胸痛症状、新发生的缺血性心电图改变、新生成的病理性</w:t>
      </w:r>
      <w:r>
        <w:rPr>
          <w:spacing w:val="-36"/>
        </w:rPr>
        <w:t> </w:t>
      </w:r>
      <w:r>
        <w:rPr>
          <w:w w:val="100"/>
        </w:rPr>
        <w:t>Q</w:t>
      </w:r>
      <w:r>
        <w:rPr>
          <w:spacing w:val="-36"/>
        </w:rPr>
        <w:t> </w:t>
      </w:r>
      <w:r>
        <w:rPr>
          <w:spacing w:val="-3"/>
          <w:w w:val="100"/>
        </w:rPr>
        <w:t>波、</w:t>
      </w:r>
      <w:r>
        <w:rPr>
          <w:w w:val="100"/>
        </w:rPr>
        <w:t>影像学证据显示有新出现的心肌活性丧失或新出现局部室壁运动异常、冠脉造</w:t>
      </w:r>
      <w:r>
        <w:rPr>
          <w:spacing w:val="-3"/>
          <w:w w:val="100"/>
        </w:rPr>
        <w:t>影证实存在冠状动脉血栓。</w:t>
      </w:r>
    </w:p>
    <w:p>
      <w:pPr>
        <w:pStyle w:val="BodyText"/>
        <w:spacing w:line="278" w:lineRule="auto"/>
        <w:ind w:left="175" w:right="438"/>
      </w:pPr>
      <w:r>
        <w:rPr>
          <w:spacing w:val="-2"/>
        </w:rPr>
        <w:t>较重急性心肌梗死指依照上述标准被明确诊断为急性心肌梗死，并且必须同时</w:t>
      </w:r>
      <w:r>
        <w:rPr>
          <w:spacing w:val="-2"/>
        </w:rPr>
        <w:t>满足下列至少一项条件：</w:t>
      </w:r>
    </w:p>
    <w:p>
      <w:pPr>
        <w:pStyle w:val="ListParagraph"/>
        <w:numPr>
          <w:ilvl w:val="0"/>
          <w:numId w:val="20"/>
        </w:numPr>
        <w:tabs>
          <w:tab w:pos="705" w:val="left" w:leader="none"/>
        </w:tabs>
        <w:spacing w:line="278" w:lineRule="auto" w:before="0" w:after="0"/>
        <w:ind w:left="700" w:right="436" w:hanging="526"/>
        <w:jc w:val="left"/>
        <w:rPr>
          <w:sz w:val="21"/>
        </w:rPr>
      </w:pPr>
      <w:r>
        <w:rPr>
          <w:spacing w:val="-2"/>
          <w:sz w:val="21"/>
        </w:rPr>
        <w:t>心肌损伤标志物肌钙蛋白（cTn）升高，至少一次检测结果达到该检验正</w:t>
      </w:r>
      <w:r>
        <w:rPr>
          <w:spacing w:val="-3"/>
          <w:sz w:val="21"/>
        </w:rPr>
        <w:t>常参考值上限的 </w:t>
      </w:r>
      <w:r>
        <w:rPr>
          <w:sz w:val="21"/>
        </w:rPr>
        <w:t>15</w:t>
      </w:r>
      <w:r>
        <w:rPr>
          <w:spacing w:val="-13"/>
          <w:sz w:val="21"/>
        </w:rPr>
        <w:t> 倍</w:t>
      </w:r>
      <w:r>
        <w:rPr>
          <w:sz w:val="21"/>
        </w:rPr>
        <w:t>（含）以上；</w:t>
      </w:r>
    </w:p>
    <w:p>
      <w:pPr>
        <w:pStyle w:val="ListParagraph"/>
        <w:numPr>
          <w:ilvl w:val="0"/>
          <w:numId w:val="20"/>
        </w:numPr>
        <w:tabs>
          <w:tab w:pos="705" w:val="left" w:leader="none"/>
        </w:tabs>
        <w:spacing w:line="278" w:lineRule="auto" w:before="0" w:after="0"/>
        <w:ind w:left="700" w:right="434" w:hanging="526"/>
        <w:jc w:val="left"/>
        <w:rPr>
          <w:sz w:val="21"/>
        </w:rPr>
      </w:pPr>
      <w:r>
        <w:rPr>
          <w:spacing w:val="-2"/>
          <w:sz w:val="21"/>
        </w:rPr>
        <w:t>肌酸激酶同工酶（CK-MB）升高，至少一次检测结果达到该检验正常参考</w:t>
      </w:r>
      <w:r>
        <w:rPr>
          <w:spacing w:val="-5"/>
          <w:sz w:val="21"/>
        </w:rPr>
        <w:t>值上限的 </w:t>
      </w:r>
      <w:r>
        <w:rPr>
          <w:sz w:val="21"/>
        </w:rPr>
        <w:t>2</w:t>
      </w:r>
      <w:r>
        <w:rPr>
          <w:spacing w:val="-13"/>
          <w:sz w:val="21"/>
        </w:rPr>
        <w:t> 倍</w:t>
      </w:r>
      <w:r>
        <w:rPr>
          <w:sz w:val="21"/>
        </w:rPr>
        <w:t>（含）以上；</w:t>
      </w:r>
    </w:p>
    <w:p>
      <w:pPr>
        <w:pStyle w:val="ListParagraph"/>
        <w:numPr>
          <w:ilvl w:val="0"/>
          <w:numId w:val="20"/>
        </w:numPr>
        <w:tabs>
          <w:tab w:pos="705" w:val="left" w:leader="none"/>
        </w:tabs>
        <w:spacing w:line="278" w:lineRule="auto" w:before="0" w:after="0"/>
        <w:ind w:left="700" w:right="366" w:hanging="526"/>
        <w:jc w:val="left"/>
        <w:rPr>
          <w:sz w:val="21"/>
        </w:rPr>
      </w:pPr>
      <w:r>
        <w:rPr>
          <w:spacing w:val="-4"/>
          <w:sz w:val="21"/>
        </w:rPr>
        <w:t>出现左心室收缩功能下降，在确诊 </w:t>
      </w:r>
      <w:r>
        <w:rPr>
          <w:sz w:val="21"/>
        </w:rPr>
        <w:t>6</w:t>
      </w:r>
      <w:r>
        <w:rPr>
          <w:spacing w:val="-8"/>
          <w:sz w:val="21"/>
        </w:rPr>
        <w:t> 周以后，检测左室射血分数</w:t>
      </w:r>
      <w:r>
        <w:rPr>
          <w:sz w:val="21"/>
        </w:rPr>
        <w:t>（LVEF）</w:t>
      </w:r>
      <w:r>
        <w:rPr>
          <w:spacing w:val="-15"/>
          <w:sz w:val="21"/>
        </w:rPr>
        <w:t>低于 </w:t>
      </w:r>
      <w:r>
        <w:rPr>
          <w:sz w:val="21"/>
        </w:rPr>
        <w:t>50%（不含</w:t>
      </w:r>
      <w:r>
        <w:rPr>
          <w:spacing w:val="-106"/>
          <w:sz w:val="21"/>
        </w:rPr>
        <w:t>）</w:t>
      </w:r>
      <w:r>
        <w:rPr>
          <w:sz w:val="21"/>
        </w:rPr>
        <w:t>；</w:t>
      </w:r>
    </w:p>
    <w:p>
      <w:pPr>
        <w:pStyle w:val="ListParagraph"/>
        <w:numPr>
          <w:ilvl w:val="0"/>
          <w:numId w:val="20"/>
        </w:numPr>
        <w:tabs>
          <w:tab w:pos="705" w:val="left" w:leader="none"/>
        </w:tabs>
        <w:spacing w:line="278" w:lineRule="auto" w:before="0" w:after="0"/>
        <w:ind w:left="700" w:right="436" w:hanging="526"/>
        <w:jc w:val="left"/>
        <w:rPr>
          <w:sz w:val="21"/>
        </w:rPr>
      </w:pPr>
      <w:r>
        <w:rPr>
          <w:spacing w:val="-4"/>
          <w:w w:val="100"/>
          <w:sz w:val="21"/>
        </w:rPr>
        <w:t>影像学检查证实存在新发的乳头肌功能失调或断裂引起的中度</w:t>
      </w:r>
      <w:r>
        <w:rPr>
          <w:spacing w:val="-3"/>
          <w:w w:val="100"/>
          <w:sz w:val="21"/>
        </w:rPr>
        <w:t>（</w:t>
      </w:r>
      <w:r>
        <w:rPr>
          <w:w w:val="100"/>
          <w:sz w:val="21"/>
        </w:rPr>
        <w:t>含</w:t>
      </w:r>
      <w:r>
        <w:rPr>
          <w:spacing w:val="-25"/>
          <w:w w:val="100"/>
          <w:sz w:val="21"/>
        </w:rPr>
        <w:t>）</w:t>
      </w:r>
      <w:r>
        <w:rPr>
          <w:spacing w:val="-3"/>
          <w:w w:val="100"/>
          <w:sz w:val="21"/>
        </w:rPr>
        <w:t>以</w:t>
      </w:r>
      <w:r>
        <w:rPr>
          <w:spacing w:val="-2"/>
          <w:w w:val="100"/>
          <w:sz w:val="21"/>
        </w:rPr>
        <w:t>上的二尖瓣反流；</w:t>
      </w:r>
    </w:p>
    <w:p>
      <w:pPr>
        <w:pStyle w:val="ListParagraph"/>
        <w:numPr>
          <w:ilvl w:val="0"/>
          <w:numId w:val="20"/>
        </w:numPr>
        <w:tabs>
          <w:tab w:pos="705" w:val="left" w:leader="none"/>
        </w:tabs>
        <w:spacing w:line="269" w:lineRule="exact" w:before="0" w:after="0"/>
        <w:ind w:left="704" w:right="0" w:hanging="530"/>
        <w:jc w:val="left"/>
        <w:rPr>
          <w:sz w:val="21"/>
        </w:rPr>
      </w:pPr>
      <w:r>
        <w:rPr>
          <w:spacing w:val="-3"/>
          <w:sz w:val="21"/>
        </w:rPr>
        <w:t>影像学检查证实存在新出现的室壁瘤；</w:t>
      </w:r>
    </w:p>
    <w:p>
      <w:pPr>
        <w:pStyle w:val="ListParagraph"/>
        <w:numPr>
          <w:ilvl w:val="0"/>
          <w:numId w:val="20"/>
        </w:numPr>
        <w:tabs>
          <w:tab w:pos="705" w:val="left" w:leader="none"/>
        </w:tabs>
        <w:spacing w:line="257" w:lineRule="exact" w:before="42" w:after="0"/>
        <w:ind w:left="704" w:right="0" w:hanging="530"/>
        <w:jc w:val="left"/>
        <w:rPr>
          <w:sz w:val="21"/>
        </w:rPr>
      </w:pPr>
      <w:r>
        <w:rPr>
          <w:spacing w:val="-3"/>
          <w:sz w:val="21"/>
        </w:rPr>
        <w:t>出现室性心动过速、心室颤动或心源性休克。</w:t>
      </w:r>
    </w:p>
    <w:p>
      <w:pPr>
        <w:pStyle w:val="Heading2"/>
        <w:spacing w:line="375" w:lineRule="exact"/>
        <w:ind w:left="175"/>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塞性疾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line="375" w:lineRule="exact"/>
        <w:sectPr>
          <w:pgSz w:w="11910" w:h="16840"/>
          <w:pgMar w:header="0" w:footer="401" w:top="1080" w:bottom="600" w:left="760" w:right="580"/>
          <w:cols w:num="2" w:equalWidth="0">
            <w:col w:w="2732" w:space="40"/>
            <w:col w:w="7798"/>
          </w:cols>
        </w:sectPr>
      </w:pP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18"/>
        </w:numPr>
        <w:tabs>
          <w:tab w:pos="1223" w:val="left" w:leader="none"/>
        </w:tabs>
        <w:spacing w:line="278" w:lineRule="auto" w:before="72" w:after="0"/>
        <w:ind w:left="1006" w:right="0" w:firstLine="0"/>
        <w:jc w:val="left"/>
        <w:rPr>
          <w:sz w:val="21"/>
        </w:rPr>
      </w:pPr>
      <w:r>
        <w:rPr>
          <w:spacing w:val="-2"/>
          <w:sz w:val="21"/>
        </w:rPr>
        <w:t>严重脑中风后遗</w:t>
      </w:r>
      <w:r>
        <w:rPr>
          <w:spacing w:val="-10"/>
          <w:sz w:val="21"/>
        </w:rPr>
        <w:t>症</w:t>
      </w:r>
    </w:p>
    <w:p>
      <w:pPr>
        <w:pStyle w:val="BodyText"/>
        <w:spacing w:line="278" w:lineRule="auto" w:before="72"/>
        <w:ind w:left="175" w:right="330"/>
      </w:pPr>
      <w:r>
        <w:rPr/>
        <w:br w:type="column"/>
      </w:r>
      <w:r>
        <w:rPr>
          <w:spacing w:val="-11"/>
        </w:rPr>
        <w:t>指因脑血管的突发病变引起脑血管出血、栓塞或梗塞，须由头颅断层扫描</w:t>
      </w:r>
      <w:r>
        <w:rPr>
          <w:spacing w:val="25"/>
        </w:rPr>
        <w:t>（C</w:t>
      </w:r>
      <w:r>
        <w:rPr>
          <w:spacing w:val="22"/>
        </w:rPr>
        <w:t>T</w:t>
      </w:r>
      <w:r>
        <w:rPr>
          <w:spacing w:val="-83"/>
        </w:rPr>
        <w:t>）</w:t>
      </w:r>
      <w:r>
        <w:rPr>
          <w:spacing w:val="-108"/>
        </w:rPr>
        <w:t>、</w:t>
      </w:r>
      <w:r>
        <w:rPr>
          <w:spacing w:val="-2"/>
        </w:rPr>
        <w:t>核磁共振检查（MRI）等影像学检查证实，并导致神经系统永久性的功能障碍。</w:t>
      </w:r>
      <w:r>
        <w:rPr>
          <w:spacing w:val="-6"/>
        </w:rPr>
        <w:t>神经系统永久性的功能障碍，指疾病确诊 </w:t>
      </w:r>
      <w:r>
        <w:rPr>
          <w:spacing w:val="-4"/>
        </w:rPr>
        <w:t>180</w:t>
      </w:r>
      <w:r>
        <w:rPr>
          <w:spacing w:val="-10"/>
        </w:rPr>
        <w:t> 天后，仍遗留下列至少一种障碍：</w:t>
      </w:r>
    </w:p>
    <w:p>
      <w:pPr>
        <w:spacing w:line="282" w:lineRule="exact" w:before="0"/>
        <w:ind w:left="175" w:right="0" w:firstLine="0"/>
        <w:jc w:val="left"/>
        <w:rPr>
          <w:sz w:val="21"/>
        </w:rPr>
      </w:pPr>
      <w:r>
        <w:rPr>
          <w:spacing w:val="-2"/>
          <w:sz w:val="21"/>
        </w:rPr>
        <w:t>（1）一肢（含）以上</w:t>
      </w:r>
      <w:r>
        <w:rPr>
          <w:rFonts w:ascii="微软雅黑" w:eastAsia="微软雅黑"/>
          <w:b/>
          <w:spacing w:val="-2"/>
          <w:sz w:val="21"/>
        </w:rPr>
        <w:t>肢体 </w:t>
      </w:r>
      <w:r>
        <w:rPr>
          <w:spacing w:val="-2"/>
          <w:position w:val="11"/>
          <w:sz w:val="11"/>
        </w:rPr>
        <w:t>9.37</w:t>
      </w:r>
      <w:r>
        <w:rPr>
          <w:spacing w:val="-27"/>
          <w:position w:val="11"/>
          <w:sz w:val="11"/>
        </w:rPr>
        <w:t> </w:t>
      </w:r>
      <w:r>
        <w:rPr>
          <w:rFonts w:ascii="微软雅黑" w:eastAsia="微软雅黑"/>
          <w:b/>
          <w:spacing w:val="-1"/>
          <w:sz w:val="21"/>
        </w:rPr>
        <w:t>肌力 </w:t>
      </w:r>
      <w:r>
        <w:rPr>
          <w:spacing w:val="-2"/>
          <w:position w:val="11"/>
          <w:sz w:val="11"/>
        </w:rPr>
        <w:t>9.38</w:t>
      </w:r>
      <w:r>
        <w:rPr>
          <w:spacing w:val="-2"/>
          <w:sz w:val="21"/>
        </w:rPr>
        <w:t>2</w:t>
      </w:r>
      <w:r>
        <w:rPr>
          <w:spacing w:val="-24"/>
          <w:sz w:val="21"/>
        </w:rPr>
        <w:t> 级</w:t>
      </w:r>
      <w:r>
        <w:rPr>
          <w:spacing w:val="-2"/>
          <w:sz w:val="21"/>
        </w:rPr>
        <w:t>（含）</w:t>
      </w:r>
      <w:r>
        <w:rPr>
          <w:spacing w:val="-6"/>
          <w:sz w:val="21"/>
        </w:rPr>
        <w:t>以下；</w:t>
      </w:r>
    </w:p>
    <w:p>
      <w:pPr>
        <w:pStyle w:val="Heading2"/>
        <w:numPr>
          <w:ilvl w:val="0"/>
          <w:numId w:val="21"/>
        </w:numPr>
        <w:tabs>
          <w:tab w:pos="705" w:val="left" w:leader="none"/>
        </w:tabs>
        <w:spacing w:line="312" w:lineRule="exact" w:before="0" w:after="0"/>
        <w:ind w:left="704" w:right="0" w:hanging="530"/>
        <w:jc w:val="left"/>
        <w:rPr>
          <w:rFonts w:ascii="宋体" w:eastAsia="宋体" w:hint="eastAsia"/>
          <w:b w:val="0"/>
        </w:rPr>
      </w:pPr>
      <w:r>
        <w:rPr>
          <w:spacing w:val="-1"/>
        </w:rPr>
        <w:t>语言能力完全丧失，或严重咀嚼吞咽功能障碍 </w:t>
      </w:r>
      <w:r>
        <w:rPr>
          <w:rFonts w:ascii="宋体" w:eastAsia="宋体" w:hint="eastAsia"/>
          <w:b w:val="0"/>
          <w:spacing w:val="-2"/>
          <w:position w:val="11"/>
          <w:sz w:val="11"/>
        </w:rPr>
        <w:t>9.39</w:t>
      </w:r>
      <w:r>
        <w:rPr>
          <w:rFonts w:ascii="宋体" w:eastAsia="宋体" w:hint="eastAsia"/>
          <w:b w:val="0"/>
          <w:spacing w:val="-2"/>
        </w:rPr>
        <w:t>；</w:t>
      </w:r>
    </w:p>
    <w:p>
      <w:pPr>
        <w:pStyle w:val="ListParagraph"/>
        <w:numPr>
          <w:ilvl w:val="0"/>
          <w:numId w:val="21"/>
        </w:numPr>
        <w:tabs>
          <w:tab w:pos="705" w:val="left" w:leader="none"/>
        </w:tabs>
        <w:spacing w:line="346" w:lineRule="exact" w:before="0" w:after="0"/>
        <w:ind w:left="704" w:right="0" w:hanging="530"/>
        <w:jc w:val="left"/>
        <w:rPr>
          <w:sz w:val="21"/>
        </w:rPr>
      </w:pPr>
      <w:r>
        <w:rPr>
          <w:spacing w:val="-2"/>
          <w:sz w:val="21"/>
        </w:rPr>
        <w:t>自主生活能力完全丧失，无法独立完成</w:t>
      </w:r>
      <w:r>
        <w:rPr>
          <w:rFonts w:ascii="微软雅黑" w:eastAsia="微软雅黑"/>
          <w:b/>
          <w:spacing w:val="2"/>
          <w:sz w:val="21"/>
        </w:rPr>
        <w:t>六项基本日常生活活动 </w:t>
      </w:r>
      <w:r>
        <w:rPr>
          <w:spacing w:val="-2"/>
          <w:position w:val="11"/>
          <w:sz w:val="11"/>
        </w:rPr>
        <w:t>9.40</w:t>
      </w:r>
      <w:r>
        <w:rPr>
          <w:spacing w:val="-7"/>
          <w:position w:val="11"/>
          <w:sz w:val="11"/>
        </w:rPr>
        <w:t> </w:t>
      </w:r>
      <w:r>
        <w:rPr>
          <w:spacing w:val="-5"/>
          <w:sz w:val="21"/>
        </w:rPr>
        <w:t>中的三</w:t>
      </w:r>
    </w:p>
    <w:p>
      <w:pPr>
        <w:pStyle w:val="BodyText"/>
        <w:spacing w:line="265" w:lineRule="exact"/>
        <w:ind w:left="700"/>
      </w:pPr>
      <w:r>
        <w:rPr>
          <w:spacing w:val="-4"/>
        </w:rPr>
        <w:t>项或三项以上。</w:t>
      </w:r>
    </w:p>
    <w:p>
      <w:pPr>
        <w:spacing w:after="0" w:line="265" w:lineRule="exact"/>
        <w:sectPr>
          <w:type w:val="continuous"/>
          <w:pgSz w:w="11910" w:h="16840"/>
          <w:pgMar w:header="0" w:footer="401" w:top="600" w:bottom="280" w:left="760" w:right="580"/>
          <w:cols w:num="2" w:equalWidth="0">
            <w:col w:w="2732" w:space="40"/>
            <w:col w:w="7798"/>
          </w:cols>
        </w:sectPr>
      </w:pPr>
    </w:p>
    <w:p>
      <w:pPr>
        <w:pStyle w:val="BodyText"/>
        <w:spacing w:before="7"/>
        <w:rPr>
          <w:sz w:val="15"/>
        </w:rPr>
      </w:pPr>
    </w:p>
    <w:p>
      <w:pPr>
        <w:spacing w:after="0"/>
        <w:rPr>
          <w:sz w:val="15"/>
        </w:rPr>
        <w:sectPr>
          <w:type w:val="continuous"/>
          <w:pgSz w:w="11910" w:h="16840"/>
          <w:pgMar w:header="0" w:footer="401" w:top="600" w:bottom="280" w:left="760" w:right="580"/>
        </w:sectPr>
      </w:pPr>
    </w:p>
    <w:p>
      <w:pPr>
        <w:pStyle w:val="ListParagraph"/>
        <w:numPr>
          <w:ilvl w:val="0"/>
          <w:numId w:val="18"/>
        </w:numPr>
        <w:tabs>
          <w:tab w:pos="1223" w:val="left" w:leader="none"/>
        </w:tabs>
        <w:spacing w:line="278" w:lineRule="auto" w:before="72" w:after="0"/>
        <w:ind w:left="1006" w:right="0" w:firstLine="0"/>
        <w:jc w:val="both"/>
        <w:rPr>
          <w:sz w:val="21"/>
        </w:rPr>
      </w:pPr>
      <w:r>
        <w:rPr>
          <w:spacing w:val="-2"/>
          <w:sz w:val="21"/>
        </w:rPr>
        <w:t>重大器官移植术</w:t>
      </w:r>
      <w:r>
        <w:rPr>
          <w:spacing w:val="-2"/>
          <w:sz w:val="21"/>
        </w:rPr>
        <w:t>或造血干细胞移植</w:t>
      </w:r>
      <w:r>
        <w:rPr>
          <w:spacing w:val="-10"/>
          <w:sz w:val="21"/>
        </w:rPr>
        <w:t>术</w:t>
      </w:r>
    </w:p>
    <w:p>
      <w:pPr>
        <w:pStyle w:val="BodyText"/>
        <w:spacing w:line="278" w:lineRule="auto" w:before="72"/>
        <w:ind w:left="175" w:right="438"/>
      </w:pPr>
      <w:r>
        <w:rPr/>
        <w:br w:type="column"/>
      </w:r>
      <w:r>
        <w:rPr>
          <w:spacing w:val="-2"/>
        </w:rPr>
        <w:t>重大器官移植术，指因相应器官功能衰竭，已经实施了肾脏、肝脏、心脏、肺</w:t>
      </w:r>
      <w:r>
        <w:rPr>
          <w:spacing w:val="-2"/>
        </w:rPr>
        <w:t>脏或小肠的异体移植手术。</w:t>
      </w:r>
    </w:p>
    <w:p>
      <w:pPr>
        <w:pStyle w:val="BodyText"/>
        <w:spacing w:line="278" w:lineRule="auto"/>
        <w:ind w:left="175" w:right="438"/>
        <w:jc w:val="both"/>
      </w:pPr>
      <w:r>
        <w:rPr>
          <w:spacing w:val="-2"/>
        </w:rPr>
        <w:t>造血干细胞移植术，指因造血功能损害或造血系统恶性肿瘤，已经实施了造血</w:t>
      </w:r>
      <w:r>
        <w:rPr>
          <w:spacing w:val="-2"/>
        </w:rPr>
        <w:t>干细胞（包括骨髓造血干细胞、外周血造血干细胞和脐血造血干细胞）的移植</w:t>
      </w:r>
      <w:r>
        <w:rPr>
          <w:spacing w:val="-4"/>
        </w:rPr>
        <w:t>手术。</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spacing w:before="12"/>
        <w:rPr>
          <w:sz w:val="11"/>
        </w:rPr>
      </w:pPr>
    </w:p>
    <w:p>
      <w:pPr>
        <w:spacing w:after="0"/>
        <w:rPr>
          <w:sz w:val="11"/>
        </w:rPr>
        <w:sectPr>
          <w:type w:val="continuous"/>
          <w:pgSz w:w="11910" w:h="16840"/>
          <w:pgMar w:header="0" w:footer="401" w:top="600" w:bottom="280" w:left="760" w:right="580"/>
        </w:sectPr>
      </w:pPr>
    </w:p>
    <w:p>
      <w:pPr>
        <w:pStyle w:val="ListParagraph"/>
        <w:numPr>
          <w:ilvl w:val="0"/>
          <w:numId w:val="18"/>
        </w:numPr>
        <w:tabs>
          <w:tab w:pos="1223" w:val="left" w:leader="none"/>
        </w:tabs>
        <w:spacing w:line="240" w:lineRule="auto" w:before="72" w:after="0"/>
        <w:ind w:left="1222" w:right="0" w:hanging="217"/>
        <w:jc w:val="left"/>
        <w:rPr>
          <w:sz w:val="21"/>
        </w:rPr>
      </w:pPr>
      <w:r>
        <w:rPr>
          <w:spacing w:val="-2"/>
          <w:sz w:val="21"/>
        </w:rPr>
        <w:t>冠状动脉搭桥术</w:t>
      </w:r>
    </w:p>
    <w:p>
      <w:pPr>
        <w:pStyle w:val="BodyText"/>
        <w:spacing w:line="278" w:lineRule="auto" w:before="43"/>
        <w:ind w:left="1006"/>
      </w:pPr>
      <w:r>
        <w:rPr>
          <w:spacing w:val="-2"/>
        </w:rPr>
        <w:t>（或称冠状动脉旁</w:t>
      </w:r>
      <w:r>
        <w:rPr>
          <w:spacing w:val="-2"/>
        </w:rPr>
        <w:t>路移植术）</w:t>
      </w:r>
    </w:p>
    <w:p>
      <w:pPr>
        <w:pStyle w:val="BodyText"/>
        <w:spacing w:line="278" w:lineRule="auto" w:before="72"/>
        <w:ind w:left="175" w:right="438"/>
      </w:pPr>
      <w:r>
        <w:rPr/>
        <w:br w:type="column"/>
      </w:r>
      <w:r>
        <w:rPr>
          <w:spacing w:val="-2"/>
        </w:rPr>
        <w:t>指为治疗严重的冠心病，已经实施了切开心包进行的冠状动脉血管旁路移植的</w:t>
      </w:r>
      <w:r>
        <w:rPr>
          <w:spacing w:val="-4"/>
        </w:rPr>
        <w:t>手术。</w:t>
      </w:r>
    </w:p>
    <w:p>
      <w:pPr>
        <w:pStyle w:val="Heading2"/>
        <w:spacing w:line="320" w:lineRule="exact"/>
        <w:ind w:left="175"/>
      </w:pPr>
      <w:r>
        <w:rPr>
          <w:spacing w:val="-3"/>
        </w:rPr>
        <w:t>所有未切开心包的冠状动脉介入治疗不在保障范围内。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3"/>
        <w:rPr>
          <w:rFonts w:ascii="微软雅黑"/>
          <w:b/>
          <w:sz w:val="13"/>
        </w:rPr>
      </w:pPr>
    </w:p>
    <w:p>
      <w:pPr>
        <w:pStyle w:val="ListParagraph"/>
        <w:numPr>
          <w:ilvl w:val="0"/>
          <w:numId w:val="18"/>
        </w:numPr>
        <w:tabs>
          <w:tab w:pos="1220" w:val="left" w:leader="none"/>
        </w:tabs>
        <w:spacing w:line="278" w:lineRule="auto" w:before="71" w:after="0"/>
        <w:ind w:left="2946" w:right="435" w:hanging="1940"/>
        <w:jc w:val="both"/>
        <w:rPr>
          <w:sz w:val="21"/>
        </w:rPr>
      </w:pPr>
      <w:r>
        <w:rPr>
          <w:sz w:val="21"/>
        </w:rPr>
        <w:t>严重慢性肾衰竭 指双肾功能慢性不可逆性衰竭，依据肾脏病预后质量倡议（K/DOQI）制定的指</w:t>
      </w:r>
      <w:r>
        <w:rPr>
          <w:w w:val="95"/>
          <w:sz w:val="21"/>
        </w:rPr>
        <w:t>南，分期达到慢性肾</w:t>
      </w:r>
      <w:r>
        <w:rPr>
          <w:w w:val="95"/>
          <w:sz w:val="21"/>
        </w:rPr>
        <w:t>脏</w:t>
      </w:r>
      <w:r>
        <w:rPr>
          <w:w w:val="95"/>
          <w:sz w:val="21"/>
        </w:rPr>
        <w:t>病</w:t>
      </w:r>
      <w:r>
        <w:rPr>
          <w:w w:val="95"/>
          <w:sz w:val="21"/>
        </w:rPr>
        <w:t> 5 期，且经诊断后已经进行了至少 90 天的规律性透析</w:t>
      </w:r>
      <w:r>
        <w:rPr>
          <w:spacing w:val="-2"/>
          <w:sz w:val="21"/>
        </w:rPr>
        <w:t>治疗。规律性透析是指每周进行血液透析或每天进行腹膜透析。</w:t>
      </w:r>
    </w:p>
    <w:p>
      <w:pPr>
        <w:pStyle w:val="BodyText"/>
        <w:spacing w:before="8"/>
        <w:rPr>
          <w:sz w:val="17"/>
        </w:rPr>
      </w:pPr>
    </w:p>
    <w:p>
      <w:pPr>
        <w:pStyle w:val="ListParagraph"/>
        <w:numPr>
          <w:ilvl w:val="0"/>
          <w:numId w:val="18"/>
        </w:numPr>
        <w:tabs>
          <w:tab w:pos="1220" w:val="left" w:leader="none"/>
        </w:tabs>
        <w:spacing w:line="278" w:lineRule="auto" w:before="0" w:after="0"/>
        <w:ind w:left="2946" w:right="438" w:hanging="1940"/>
        <w:jc w:val="both"/>
        <w:rPr>
          <w:sz w:val="21"/>
        </w:rPr>
      </w:pPr>
      <w:r>
        <w:rPr>
          <w:sz w:val="21"/>
        </w:rPr>
        <w:t>多个肢体缺失 指因疾病或意外伤害导致两个或两个以上肢体自腕关节或踝关节近端（靠近躯</w:t>
      </w:r>
      <w:r>
        <w:rPr>
          <w:spacing w:val="-2"/>
          <w:sz w:val="21"/>
        </w:rPr>
        <w:t>干端）以上完全性断离。</w:t>
      </w:r>
    </w:p>
    <w:p>
      <w:pPr>
        <w:pStyle w:val="BodyText"/>
        <w:spacing w:before="9"/>
        <w:rPr>
          <w:sz w:val="17"/>
        </w:rPr>
      </w:pPr>
    </w:p>
    <w:p>
      <w:pPr>
        <w:pStyle w:val="ListParagraph"/>
        <w:numPr>
          <w:ilvl w:val="0"/>
          <w:numId w:val="18"/>
        </w:numPr>
        <w:tabs>
          <w:tab w:pos="1223" w:val="left" w:leader="none"/>
        </w:tabs>
        <w:spacing w:line="278" w:lineRule="auto" w:before="1" w:after="0"/>
        <w:ind w:left="2946" w:right="436" w:hanging="1940"/>
        <w:jc w:val="both"/>
        <w:rPr>
          <w:sz w:val="21"/>
        </w:rPr>
      </w:pPr>
      <w:r>
        <w:rPr>
          <w:sz w:val="21"/>
        </w:rPr>
        <w:t>急性重症肝炎或 指因肝炎病毒感染引起肝脏组织弥漫性坏死，导致急性肝功能衰竭，且经血清</w:t>
      </w:r>
      <w:r>
        <w:rPr>
          <w:spacing w:val="-2"/>
          <w:sz w:val="21"/>
        </w:rPr>
        <w:t>学或病毒学检查证实，并须满足下列全部条件：</w:t>
      </w:r>
    </w:p>
    <w:p>
      <w:pPr>
        <w:spacing w:after="0" w:line="278" w:lineRule="auto"/>
        <w:jc w:val="both"/>
        <w:rPr>
          <w:sz w:val="21"/>
        </w:rPr>
        <w:sectPr>
          <w:type w:val="continuous"/>
          <w:pgSz w:w="11910" w:h="16840"/>
          <w:pgMar w:header="0" w:footer="401" w:top="600" w:bottom="280" w:left="760" w:right="580"/>
        </w:sectPr>
      </w:pPr>
    </w:p>
    <w:p>
      <w:pPr>
        <w:pStyle w:val="BodyText"/>
        <w:tabs>
          <w:tab w:pos="2946" w:val="left" w:leader="none"/>
        </w:tabs>
        <w:spacing w:before="57"/>
        <w:ind w:left="1006"/>
      </w:pPr>
      <w:r>
        <w:rPr>
          <w:spacing w:val="-2"/>
        </w:rPr>
        <w:t>亚</w:t>
      </w:r>
      <w:r>
        <w:rPr>
          <w:spacing w:val="-2"/>
        </w:rPr>
        <w:t>急</w:t>
      </w:r>
      <w:r>
        <w:rPr>
          <w:spacing w:val="-2"/>
        </w:rPr>
        <w:t>性重症</w:t>
      </w:r>
      <w:r>
        <w:rPr>
          <w:spacing w:val="-2"/>
        </w:rPr>
        <w:t>肝</w:t>
      </w:r>
      <w:r>
        <w:rPr>
          <w:spacing w:val="-12"/>
        </w:rPr>
        <w:t>炎</w:t>
      </w:r>
      <w:r>
        <w:rPr/>
        <w:tab/>
      </w:r>
      <w:r>
        <w:rPr>
          <w:spacing w:val="-2"/>
        </w:rPr>
        <w:t>（1）重度黄疸或黄疸</w:t>
      </w:r>
      <w:r>
        <w:rPr>
          <w:spacing w:val="-2"/>
        </w:rPr>
        <w:t>迅</w:t>
      </w:r>
      <w:r>
        <w:rPr>
          <w:spacing w:val="-2"/>
        </w:rPr>
        <w:t>速</w:t>
      </w:r>
      <w:r>
        <w:rPr>
          <w:spacing w:val="-2"/>
        </w:rPr>
        <w:t>加</w:t>
      </w:r>
      <w:r>
        <w:rPr>
          <w:spacing w:val="-2"/>
        </w:rPr>
        <w:t>重</w:t>
      </w:r>
      <w:r>
        <w:rPr>
          <w:spacing w:val="-10"/>
        </w:rPr>
        <w:t>；</w:t>
      </w:r>
    </w:p>
    <w:p>
      <w:pPr>
        <w:pStyle w:val="BodyText"/>
        <w:spacing w:before="43"/>
        <w:ind w:left="2946"/>
      </w:pPr>
      <w:r>
        <w:rPr>
          <w:spacing w:val="-2"/>
        </w:rPr>
        <w:t>（2）</w:t>
      </w:r>
      <w:r>
        <w:rPr>
          <w:spacing w:val="-4"/>
        </w:rPr>
        <w:t>肝性脑病；</w:t>
      </w:r>
    </w:p>
    <w:p>
      <w:pPr>
        <w:pStyle w:val="BodyText"/>
        <w:spacing w:before="43"/>
        <w:ind w:left="2946"/>
      </w:pPr>
      <w:r>
        <w:rPr>
          <w:spacing w:val="-2"/>
        </w:rPr>
        <w:t>（3）B</w:t>
      </w:r>
      <w:r>
        <w:rPr>
          <w:spacing w:val="-10"/>
        </w:rPr>
        <w:t> 超或其他影像学检查显示肝脏体积急速萎缩；</w:t>
      </w:r>
    </w:p>
    <w:p>
      <w:pPr>
        <w:pStyle w:val="BodyText"/>
        <w:spacing w:before="43"/>
        <w:ind w:left="2946"/>
      </w:pPr>
      <w:r>
        <w:rPr>
          <w:spacing w:val="-2"/>
        </w:rPr>
        <w:t>（4）</w:t>
      </w:r>
      <w:r>
        <w:rPr>
          <w:spacing w:val="-3"/>
        </w:rPr>
        <w:t>肝功能指标进行性恶化。</w:t>
      </w:r>
    </w:p>
    <w:p>
      <w:pPr>
        <w:pStyle w:val="BodyText"/>
        <w:spacing w:before="7"/>
        <w:rPr>
          <w:sz w:val="15"/>
        </w:rPr>
      </w:pPr>
    </w:p>
    <w:p>
      <w:pPr>
        <w:spacing w:after="0"/>
        <w:rPr>
          <w:sz w:val="15"/>
        </w:rPr>
        <w:sectPr>
          <w:pgSz w:w="11910" w:h="16840"/>
          <w:pgMar w:header="0" w:footer="401" w:top="1080" w:bottom="600" w:left="760" w:right="580"/>
        </w:sectPr>
      </w:pPr>
    </w:p>
    <w:p>
      <w:pPr>
        <w:pStyle w:val="ListParagraph"/>
        <w:numPr>
          <w:ilvl w:val="0"/>
          <w:numId w:val="18"/>
        </w:numPr>
        <w:tabs>
          <w:tab w:pos="1223" w:val="left" w:leader="none"/>
        </w:tabs>
        <w:spacing w:line="278" w:lineRule="auto" w:before="72" w:after="0"/>
        <w:ind w:left="1006" w:right="0" w:firstLine="0"/>
        <w:jc w:val="left"/>
        <w:rPr>
          <w:sz w:val="21"/>
        </w:rPr>
      </w:pPr>
      <w:r>
        <w:rPr>
          <w:spacing w:val="-2"/>
          <w:sz w:val="21"/>
        </w:rPr>
        <w:t>严重非恶性颅内</w:t>
      </w:r>
      <w:r>
        <w:rPr>
          <w:spacing w:val="-4"/>
          <w:sz w:val="21"/>
        </w:rPr>
        <w:t>脑肿瘤</w:t>
      </w:r>
    </w:p>
    <w:p>
      <w:pPr>
        <w:pStyle w:val="BodyText"/>
        <w:spacing w:before="72"/>
        <w:ind w:left="175"/>
      </w:pPr>
      <w:r>
        <w:rPr/>
        <w:br w:type="column"/>
      </w:r>
      <w:r>
        <w:rPr/>
        <w:t>指起源于脑、脑神经、脑被膜的非恶性肿瘤，ICD-O-3 肿瘤形态学编码属于 </w:t>
      </w:r>
      <w:r>
        <w:rPr>
          <w:spacing w:val="-10"/>
        </w:rPr>
        <w:t>0</w:t>
      </w:r>
    </w:p>
    <w:p>
      <w:pPr>
        <w:pStyle w:val="BodyText"/>
        <w:spacing w:line="278" w:lineRule="auto" w:before="43"/>
        <w:ind w:left="175" w:right="328"/>
      </w:pPr>
      <w:r>
        <w:rPr>
          <w:w w:val="100"/>
        </w:rPr>
        <w:t>（良性肿瘤</w:t>
      </w:r>
      <w:r>
        <w:rPr>
          <w:spacing w:val="-104"/>
          <w:w w:val="100"/>
        </w:rPr>
        <w:t>）</w:t>
      </w:r>
      <w:r>
        <w:rPr>
          <w:w w:val="100"/>
        </w:rPr>
        <w:t>、1（</w:t>
      </w:r>
      <w:r>
        <w:rPr>
          <w:spacing w:val="-1"/>
          <w:w w:val="100"/>
        </w:rPr>
        <w:t>动态未定性肿瘤</w:t>
      </w:r>
      <w:r>
        <w:rPr>
          <w:w w:val="100"/>
        </w:rPr>
        <w:t>）范畴，并已经引起颅内压升高或神经系统</w:t>
      </w:r>
      <w:r>
        <w:rPr>
          <w:spacing w:val="-8"/>
          <w:w w:val="100"/>
        </w:rPr>
        <w:t>功能损害，出现视乳头水肿或视觉受损、听觉受损、面部或肢体瘫痪、癫痫等，</w:t>
      </w:r>
      <w:r>
        <w:rPr>
          <w:spacing w:val="-5"/>
          <w:w w:val="100"/>
        </w:rPr>
        <w:t>须由头颅断层扫描</w:t>
      </w:r>
      <w:r>
        <w:rPr>
          <w:spacing w:val="-3"/>
          <w:w w:val="100"/>
        </w:rPr>
        <w:t>（</w:t>
      </w:r>
      <w:r>
        <w:rPr>
          <w:w w:val="100"/>
        </w:rPr>
        <w:t>CT</w:t>
      </w:r>
      <w:r>
        <w:rPr>
          <w:spacing w:val="-108"/>
          <w:w w:val="100"/>
        </w:rPr>
        <w:t>）</w:t>
      </w:r>
      <w:r>
        <w:rPr>
          <w:spacing w:val="-3"/>
          <w:w w:val="100"/>
        </w:rPr>
        <w:t>、核磁共振检查（</w:t>
      </w:r>
      <w:r>
        <w:rPr>
          <w:w w:val="100"/>
        </w:rPr>
        <w:t>MR</w:t>
      </w:r>
      <w:r>
        <w:rPr>
          <w:spacing w:val="-3"/>
          <w:w w:val="100"/>
        </w:rPr>
        <w:t>I</w:t>
      </w:r>
      <w:r>
        <w:rPr>
          <w:w w:val="100"/>
        </w:rPr>
        <w:t>）</w:t>
      </w:r>
      <w:r>
        <w:rPr>
          <w:spacing w:val="-3"/>
          <w:w w:val="100"/>
        </w:rPr>
        <w:t>或正电子发射断层扫描（</w:t>
      </w:r>
      <w:r>
        <w:rPr>
          <w:w w:val="100"/>
        </w:rPr>
        <w:t>PET）</w:t>
      </w:r>
      <w:r>
        <w:rPr>
          <w:spacing w:val="-3"/>
          <w:w w:val="100"/>
        </w:rPr>
        <w:t>等影像学检查证实，且须满足下列至少一项条件：</w:t>
      </w:r>
    </w:p>
    <w:p>
      <w:pPr>
        <w:pStyle w:val="ListParagraph"/>
        <w:numPr>
          <w:ilvl w:val="0"/>
          <w:numId w:val="22"/>
        </w:numPr>
        <w:tabs>
          <w:tab w:pos="705" w:val="left" w:leader="none"/>
        </w:tabs>
        <w:spacing w:line="269" w:lineRule="exact" w:before="0" w:after="0"/>
        <w:ind w:left="704" w:right="0" w:hanging="530"/>
        <w:jc w:val="left"/>
        <w:rPr>
          <w:sz w:val="21"/>
        </w:rPr>
      </w:pPr>
      <w:r>
        <w:rPr>
          <w:spacing w:val="-3"/>
          <w:sz w:val="21"/>
        </w:rPr>
        <w:t>已经实施了开颅进行的颅内肿瘤完全或部分切除手术；</w:t>
      </w:r>
    </w:p>
    <w:p>
      <w:pPr>
        <w:pStyle w:val="ListParagraph"/>
        <w:numPr>
          <w:ilvl w:val="0"/>
          <w:numId w:val="22"/>
        </w:numPr>
        <w:tabs>
          <w:tab w:pos="705" w:val="left" w:leader="none"/>
        </w:tabs>
        <w:spacing w:line="223" w:lineRule="auto" w:before="57" w:after="0"/>
        <w:ind w:left="175" w:right="788" w:firstLine="0"/>
        <w:jc w:val="left"/>
        <w:rPr>
          <w:rFonts w:ascii="微软雅黑" w:hAnsi="微软雅黑" w:eastAsia="微软雅黑"/>
          <w:b/>
          <w:sz w:val="21"/>
        </w:rPr>
      </w:pPr>
      <w:r>
        <w:rPr>
          <w:spacing w:val="-2"/>
          <w:sz w:val="21"/>
        </w:rPr>
        <w:t>已经实施了针对颅内肿瘤的放射治疗，如γ刀、质子重离子治疗等。</w:t>
      </w:r>
      <w:r>
        <w:rPr>
          <w:rFonts w:ascii="微软雅黑" w:hAnsi="微软雅黑" w:eastAsia="微软雅黑"/>
          <w:b/>
          <w:spacing w:val="-2"/>
          <w:sz w:val="21"/>
        </w:rPr>
        <w:t>下列疾病不在保障范围内：</w:t>
      </w:r>
    </w:p>
    <w:p>
      <w:pPr>
        <w:pStyle w:val="ListParagraph"/>
        <w:numPr>
          <w:ilvl w:val="0"/>
          <w:numId w:val="23"/>
        </w:numPr>
        <w:tabs>
          <w:tab w:pos="705" w:val="left" w:leader="none"/>
        </w:tabs>
        <w:spacing w:line="282" w:lineRule="exact" w:before="0" w:after="0"/>
        <w:ind w:left="704" w:right="0" w:hanging="530"/>
        <w:jc w:val="left"/>
        <w:rPr>
          <w:rFonts w:ascii="微软雅黑" w:eastAsia="微软雅黑"/>
          <w:b/>
          <w:sz w:val="21"/>
        </w:rPr>
      </w:pPr>
      <w:r>
        <w:rPr>
          <w:rFonts w:ascii="微软雅黑" w:eastAsia="微软雅黑"/>
          <w:b/>
          <w:spacing w:val="-2"/>
          <w:sz w:val="21"/>
        </w:rPr>
        <w:t>脑垂体瘤；</w:t>
      </w:r>
    </w:p>
    <w:p>
      <w:pPr>
        <w:pStyle w:val="ListParagraph"/>
        <w:numPr>
          <w:ilvl w:val="0"/>
          <w:numId w:val="23"/>
        </w:numPr>
        <w:tabs>
          <w:tab w:pos="705" w:val="left" w:leader="none"/>
        </w:tabs>
        <w:spacing w:line="312" w:lineRule="exact" w:before="0" w:after="0"/>
        <w:ind w:left="704" w:right="0" w:hanging="530"/>
        <w:jc w:val="left"/>
        <w:rPr>
          <w:rFonts w:ascii="微软雅黑" w:eastAsia="微软雅黑"/>
          <w:b/>
          <w:sz w:val="21"/>
        </w:rPr>
      </w:pPr>
      <w:r>
        <w:rPr>
          <w:rFonts w:ascii="微软雅黑" w:eastAsia="微软雅黑"/>
          <w:b/>
          <w:spacing w:val="-3"/>
          <w:sz w:val="21"/>
        </w:rPr>
        <w:t>脑囊肿；</w:t>
      </w:r>
    </w:p>
    <w:p>
      <w:pPr>
        <w:pStyle w:val="ListParagraph"/>
        <w:numPr>
          <w:ilvl w:val="0"/>
          <w:numId w:val="23"/>
        </w:numPr>
        <w:tabs>
          <w:tab w:pos="705" w:val="left" w:leader="none"/>
        </w:tabs>
        <w:spacing w:line="194" w:lineRule="auto" w:before="16" w:after="0"/>
        <w:ind w:left="703" w:right="436" w:hanging="528"/>
        <w:jc w:val="left"/>
        <w:rPr>
          <w:rFonts w:ascii="微软雅黑" w:eastAsia="微软雅黑"/>
          <w:b/>
          <w:sz w:val="21"/>
        </w:rPr>
      </w:pPr>
      <w:r>
        <w:rPr>
          <w:rFonts w:ascii="微软雅黑" w:eastAsia="微软雅黑"/>
          <w:b/>
          <w:spacing w:val="-4"/>
          <w:sz w:val="21"/>
        </w:rPr>
        <w:t>颅内血管性疾病（如脑动脉瘤、脑动静脉畸形、海绵状血管瘤、毛细血管</w:t>
      </w:r>
      <w:r>
        <w:rPr>
          <w:rFonts w:ascii="微软雅黑" w:eastAsia="微软雅黑"/>
          <w:b/>
          <w:spacing w:val="-2"/>
          <w:sz w:val="21"/>
        </w:rPr>
        <w:t>扩张症等</w:t>
      </w:r>
      <w:r>
        <w:rPr>
          <w:rFonts w:ascii="微软雅黑" w:eastAsia="微软雅黑"/>
          <w:b/>
          <w:spacing w:val="-106"/>
          <w:sz w:val="21"/>
        </w:rPr>
        <w:t>）</w:t>
      </w:r>
      <w:r>
        <w:rPr>
          <w:rFonts w:ascii="微软雅黑" w:eastAsia="微软雅黑"/>
          <w:b/>
          <w:spacing w:val="-2"/>
          <w:sz w:val="21"/>
        </w:rPr>
        <w:t>。</w:t>
      </w:r>
    </w:p>
    <w:p>
      <w:pPr>
        <w:spacing w:after="0" w:line="194" w:lineRule="auto"/>
        <w:jc w:val="left"/>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1"/>
        <w:rPr>
          <w:rFonts w:ascii="微软雅黑"/>
          <w:b/>
          <w:sz w:val="9"/>
        </w:rPr>
      </w:pPr>
    </w:p>
    <w:p>
      <w:pPr>
        <w:spacing w:after="0"/>
        <w:rPr>
          <w:rFonts w:ascii="微软雅黑"/>
          <w:sz w:val="9"/>
        </w:rPr>
        <w:sectPr>
          <w:type w:val="continuous"/>
          <w:pgSz w:w="11910" w:h="16840"/>
          <w:pgMar w:header="0" w:footer="401" w:top="600" w:bottom="280" w:left="760" w:right="580"/>
        </w:sectPr>
      </w:pPr>
    </w:p>
    <w:p>
      <w:pPr>
        <w:pStyle w:val="ListParagraph"/>
        <w:numPr>
          <w:ilvl w:val="0"/>
          <w:numId w:val="18"/>
        </w:numPr>
        <w:tabs>
          <w:tab w:pos="1348" w:val="left" w:leader="none"/>
        </w:tabs>
        <w:spacing w:line="278" w:lineRule="auto" w:before="72" w:after="0"/>
        <w:ind w:left="1006" w:right="0" w:firstLine="0"/>
        <w:jc w:val="left"/>
        <w:rPr>
          <w:sz w:val="21"/>
        </w:rPr>
      </w:pPr>
      <w:r>
        <w:rPr>
          <w:spacing w:val="15"/>
          <w:sz w:val="21"/>
        </w:rPr>
        <w:t>严重慢性肝衰</w:t>
      </w:r>
      <w:r>
        <w:rPr>
          <w:spacing w:val="-10"/>
          <w:sz w:val="21"/>
        </w:rPr>
        <w:t>竭</w:t>
      </w:r>
    </w:p>
    <w:p>
      <w:pPr>
        <w:pStyle w:val="BodyText"/>
        <w:spacing w:before="72"/>
        <w:ind w:left="175"/>
      </w:pPr>
      <w:r>
        <w:rPr/>
        <w:br w:type="column"/>
      </w:r>
      <w:r>
        <w:rPr>
          <w:spacing w:val="-3"/>
        </w:rPr>
        <w:t>指因慢性肝脏疾病导致的肝衰竭，且须满足下列全部条件：</w:t>
      </w:r>
    </w:p>
    <w:p>
      <w:pPr>
        <w:pStyle w:val="BodyText"/>
        <w:spacing w:before="43"/>
        <w:ind w:left="175"/>
      </w:pPr>
      <w:r>
        <w:rPr>
          <w:spacing w:val="-2"/>
        </w:rPr>
        <w:t>（1）</w:t>
      </w:r>
      <w:r>
        <w:rPr>
          <w:spacing w:val="-4"/>
        </w:rPr>
        <w:t>持续性黄疸；</w:t>
      </w:r>
    </w:p>
    <w:p>
      <w:pPr>
        <w:pStyle w:val="BodyText"/>
        <w:spacing w:before="43"/>
        <w:ind w:left="175"/>
      </w:pPr>
      <w:r>
        <w:rPr>
          <w:spacing w:val="-2"/>
        </w:rPr>
        <w:t>（2）</w:t>
      </w:r>
      <w:r>
        <w:rPr>
          <w:spacing w:val="-5"/>
        </w:rPr>
        <w:t>腹水；</w:t>
      </w:r>
    </w:p>
    <w:p>
      <w:pPr>
        <w:pStyle w:val="ListParagraph"/>
        <w:numPr>
          <w:ilvl w:val="0"/>
          <w:numId w:val="24"/>
        </w:numPr>
        <w:tabs>
          <w:tab w:pos="704" w:val="left" w:leader="none"/>
        </w:tabs>
        <w:spacing w:line="240" w:lineRule="auto" w:before="43" w:after="0"/>
        <w:ind w:left="704" w:right="0" w:hanging="529"/>
        <w:jc w:val="left"/>
        <w:rPr>
          <w:sz w:val="21"/>
        </w:rPr>
      </w:pPr>
      <w:r>
        <w:rPr>
          <w:spacing w:val="-4"/>
          <w:sz w:val="21"/>
        </w:rPr>
        <w:t>肝性脑病；</w:t>
      </w:r>
    </w:p>
    <w:p>
      <w:pPr>
        <w:pStyle w:val="ListParagraph"/>
        <w:numPr>
          <w:ilvl w:val="0"/>
          <w:numId w:val="24"/>
        </w:numPr>
        <w:tabs>
          <w:tab w:pos="704" w:val="left" w:leader="none"/>
        </w:tabs>
        <w:spacing w:line="223" w:lineRule="auto" w:before="58" w:after="0"/>
        <w:ind w:left="175" w:right="2468" w:firstLine="0"/>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p>
      <w:pPr>
        <w:spacing w:after="0" w:line="223" w:lineRule="auto"/>
        <w:jc w:val="left"/>
        <w:rPr>
          <w:rFonts w:ascii="微软雅黑" w:eastAsia="微软雅黑"/>
          <w:sz w:val="21"/>
        </w:rPr>
        <w:sectPr>
          <w:type w:val="continuous"/>
          <w:pgSz w:w="11910" w:h="16840"/>
          <w:pgMar w:header="0" w:footer="401" w:top="600" w:bottom="280" w:left="760" w:right="580"/>
          <w:cols w:num="2" w:equalWidth="0">
            <w:col w:w="2732" w:space="40"/>
            <w:col w:w="7798"/>
          </w:cols>
        </w:sectPr>
      </w:pPr>
    </w:p>
    <w:p>
      <w:pPr>
        <w:pStyle w:val="BodyText"/>
        <w:spacing w:before="5"/>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18"/>
        </w:numPr>
        <w:tabs>
          <w:tab w:pos="1348" w:val="left" w:leader="none"/>
        </w:tabs>
        <w:spacing w:line="278" w:lineRule="auto" w:before="72" w:after="0"/>
        <w:ind w:left="1006" w:right="0" w:firstLine="0"/>
        <w:jc w:val="both"/>
        <w:rPr>
          <w:sz w:val="21"/>
        </w:rPr>
      </w:pPr>
      <w:r>
        <w:rPr>
          <w:spacing w:val="15"/>
          <w:sz w:val="21"/>
        </w:rPr>
        <w:t>严重脑炎后遗</w:t>
      </w:r>
      <w:r>
        <w:rPr>
          <w:spacing w:val="-2"/>
          <w:sz w:val="21"/>
        </w:rPr>
        <w:t>症或严重脑膜炎后</w:t>
      </w:r>
      <w:r>
        <w:rPr>
          <w:spacing w:val="-6"/>
          <w:sz w:val="21"/>
        </w:rPr>
        <w:t>遗症</w:t>
      </w:r>
    </w:p>
    <w:p>
      <w:pPr>
        <w:pStyle w:val="BodyText"/>
        <w:spacing w:line="278" w:lineRule="auto" w:before="72"/>
        <w:ind w:left="175" w:right="438"/>
      </w:pPr>
      <w:r>
        <w:rPr/>
        <w:br w:type="column"/>
      </w:r>
      <w:r>
        <w:rPr>
          <w:spacing w:val="-2"/>
        </w:rPr>
        <w:t>指因患脑炎或脑膜炎导致的神经系统永久性的功能障碍。神经系统永久性的功</w:t>
      </w:r>
      <w:r>
        <w:rPr>
          <w:spacing w:val="-2"/>
        </w:rPr>
        <w:t>能障碍，指经相关专科医生确诊疾病 </w:t>
      </w:r>
      <w:r>
        <w:rPr/>
        <w:t>180</w:t>
      </w:r>
      <w:r>
        <w:rPr>
          <w:spacing w:val="-5"/>
        </w:rPr>
        <w:t> 天后，仍遗留下列至少一种障碍：</w:t>
      </w:r>
    </w:p>
    <w:p>
      <w:pPr>
        <w:pStyle w:val="ListParagraph"/>
        <w:numPr>
          <w:ilvl w:val="0"/>
          <w:numId w:val="25"/>
        </w:numPr>
        <w:tabs>
          <w:tab w:pos="704" w:val="left" w:leader="none"/>
        </w:tabs>
        <w:spacing w:line="240" w:lineRule="auto" w:before="0" w:after="0"/>
        <w:ind w:left="704" w:right="0" w:hanging="529"/>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25"/>
        </w:numPr>
        <w:tabs>
          <w:tab w:pos="704" w:val="left" w:leader="none"/>
        </w:tabs>
        <w:spacing w:line="240" w:lineRule="auto" w:before="43" w:after="0"/>
        <w:ind w:left="704" w:right="0" w:hanging="529"/>
        <w:jc w:val="left"/>
        <w:rPr>
          <w:sz w:val="21"/>
        </w:rPr>
      </w:pPr>
      <w:r>
        <w:rPr>
          <w:spacing w:val="-3"/>
          <w:sz w:val="21"/>
        </w:rPr>
        <w:t>语言能力完全丧失，或严重咀嚼吞咽功能障碍；</w:t>
      </w:r>
    </w:p>
    <w:p>
      <w:pPr>
        <w:pStyle w:val="ListParagraph"/>
        <w:numPr>
          <w:ilvl w:val="0"/>
          <w:numId w:val="25"/>
        </w:numPr>
        <w:tabs>
          <w:tab w:pos="751" w:val="left" w:leader="none"/>
        </w:tabs>
        <w:spacing w:line="278" w:lineRule="auto" w:before="43" w:after="0"/>
        <w:ind w:left="700" w:right="438" w:hanging="526"/>
        <w:jc w:val="left"/>
        <w:rPr>
          <w:sz w:val="21"/>
        </w:rPr>
      </w:pPr>
      <w:r>
        <w:rPr>
          <w:spacing w:val="14"/>
          <w:sz w:val="21"/>
        </w:rPr>
        <w:t>由具有评估资格的专科医生根据临床痴呆评定量表</w:t>
      </w:r>
      <w:r>
        <w:rPr>
          <w:sz w:val="21"/>
        </w:rPr>
        <w:t>（</w:t>
      </w:r>
      <w:r>
        <w:rPr>
          <w:spacing w:val="-85"/>
          <w:sz w:val="21"/>
        </w:rPr>
        <w:t> </w:t>
      </w:r>
      <w:r>
        <w:rPr>
          <w:sz w:val="21"/>
        </w:rPr>
        <w:t>CDR，Clinical Dementia Rating）</w:t>
      </w:r>
      <w:r>
        <w:rPr>
          <w:spacing w:val="-3"/>
          <w:sz w:val="21"/>
        </w:rPr>
        <w:t>评估结果为 </w:t>
      </w:r>
      <w:r>
        <w:rPr>
          <w:sz w:val="21"/>
        </w:rPr>
        <w:t>3</w:t>
      </w:r>
      <w:r>
        <w:rPr>
          <w:spacing w:val="-6"/>
          <w:sz w:val="21"/>
        </w:rPr>
        <w:t> 分；</w:t>
      </w:r>
    </w:p>
    <w:p>
      <w:pPr>
        <w:pStyle w:val="ListParagraph"/>
        <w:numPr>
          <w:ilvl w:val="0"/>
          <w:numId w:val="25"/>
        </w:numPr>
        <w:tabs>
          <w:tab w:pos="704" w:val="left" w:leader="none"/>
        </w:tabs>
        <w:spacing w:line="278" w:lineRule="auto" w:before="0" w:after="0"/>
        <w:ind w:left="700" w:right="438" w:hanging="526"/>
        <w:jc w:val="left"/>
        <w:rPr>
          <w:sz w:val="21"/>
        </w:rPr>
      </w:pPr>
      <w:r>
        <w:rPr>
          <w:spacing w:val="-6"/>
          <w:w w:val="100"/>
          <w:sz w:val="21"/>
        </w:rPr>
        <w:t>自主生活能力完全丧失，无法独立完成六项基本日常生活活动中的三项</w:t>
      </w:r>
      <w:r>
        <w:rPr>
          <w:spacing w:val="-3"/>
          <w:w w:val="100"/>
          <w:sz w:val="21"/>
        </w:rPr>
        <w:t>或三项以上。</w:t>
      </w:r>
    </w:p>
    <w:p>
      <w:pPr>
        <w:spacing w:after="0" w:line="278"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2"/>
        <w:rPr>
          <w:sz w:val="12"/>
        </w:rPr>
      </w:pPr>
    </w:p>
    <w:p>
      <w:pPr>
        <w:pStyle w:val="ListParagraph"/>
        <w:numPr>
          <w:ilvl w:val="0"/>
          <w:numId w:val="18"/>
        </w:numPr>
        <w:tabs>
          <w:tab w:pos="1325" w:val="left" w:leader="none"/>
          <w:tab w:pos="2946" w:val="left" w:leader="none"/>
        </w:tabs>
        <w:spacing w:line="278" w:lineRule="auto" w:before="72" w:after="0"/>
        <w:ind w:left="2946" w:right="330" w:hanging="1940"/>
        <w:jc w:val="left"/>
        <w:rPr>
          <w:sz w:val="21"/>
        </w:rPr>
      </w:pPr>
      <w:r>
        <w:rPr>
          <w:spacing w:val="-3"/>
          <w:w w:val="100"/>
          <w:sz w:val="21"/>
        </w:rPr>
        <w:t>深</w:t>
      </w:r>
      <w:r>
        <w:rPr>
          <w:w w:val="100"/>
          <w:sz w:val="21"/>
        </w:rPr>
        <w:t>度</w:t>
      </w:r>
      <w:r>
        <w:rPr>
          <w:spacing w:val="-3"/>
          <w:w w:val="100"/>
          <w:sz w:val="21"/>
        </w:rPr>
        <w:t>昏</w:t>
      </w:r>
      <w:r>
        <w:rPr>
          <w:w w:val="100"/>
          <w:sz w:val="21"/>
        </w:rPr>
        <w:t>迷</w:t>
      </w:r>
      <w:r>
        <w:rPr>
          <w:sz w:val="21"/>
        </w:rPr>
        <w:tab/>
      </w:r>
      <w:r>
        <w:rPr>
          <w:w w:val="100"/>
          <w:sz w:val="21"/>
        </w:rPr>
        <w:t>指因疾病或意外伤害导致意识丧失，对外界刺激和体内需求均无反应，昏迷程度按</w:t>
      </w:r>
      <w:r>
        <w:rPr>
          <w:spacing w:val="-3"/>
          <w:w w:val="100"/>
          <w:sz w:val="21"/>
        </w:rPr>
        <w:t>照</w:t>
      </w:r>
      <w:r>
        <w:rPr>
          <w:w w:val="100"/>
          <w:sz w:val="21"/>
        </w:rPr>
        <w:t>格</w:t>
      </w:r>
      <w:r>
        <w:rPr>
          <w:spacing w:val="-3"/>
          <w:w w:val="100"/>
          <w:sz w:val="21"/>
        </w:rPr>
        <w:t>拉</w:t>
      </w:r>
      <w:r>
        <w:rPr>
          <w:w w:val="100"/>
          <w:sz w:val="21"/>
        </w:rPr>
        <w:t>斯</w:t>
      </w:r>
      <w:r>
        <w:rPr>
          <w:spacing w:val="-3"/>
          <w:w w:val="100"/>
          <w:sz w:val="21"/>
        </w:rPr>
        <w:t>哥</w:t>
      </w:r>
      <w:r>
        <w:rPr>
          <w:w w:val="100"/>
          <w:sz w:val="21"/>
        </w:rPr>
        <w:t>昏</w:t>
      </w:r>
      <w:r>
        <w:rPr>
          <w:spacing w:val="-3"/>
          <w:w w:val="100"/>
          <w:sz w:val="21"/>
        </w:rPr>
        <w:t>迷</w:t>
      </w:r>
      <w:r>
        <w:rPr>
          <w:w w:val="100"/>
          <w:sz w:val="21"/>
        </w:rPr>
        <w:t>分</w:t>
      </w:r>
      <w:r>
        <w:rPr>
          <w:spacing w:val="-25"/>
          <w:w w:val="100"/>
          <w:sz w:val="21"/>
        </w:rPr>
        <w:t>级</w:t>
      </w:r>
      <w:r>
        <w:rPr>
          <w:w w:val="100"/>
          <w:sz w:val="21"/>
        </w:rPr>
        <w:t>（GC</w:t>
      </w:r>
      <w:r>
        <w:rPr>
          <w:spacing w:val="-3"/>
          <w:w w:val="100"/>
          <w:sz w:val="21"/>
        </w:rPr>
        <w:t>S</w:t>
      </w:r>
      <w:r>
        <w:rPr>
          <w:spacing w:val="-22"/>
          <w:w w:val="100"/>
          <w:sz w:val="21"/>
        </w:rPr>
        <w:t>，</w:t>
      </w:r>
      <w:r>
        <w:rPr>
          <w:spacing w:val="-3"/>
          <w:w w:val="100"/>
          <w:sz w:val="21"/>
        </w:rPr>
        <w:t>G</w:t>
      </w:r>
      <w:r>
        <w:rPr>
          <w:w w:val="100"/>
          <w:sz w:val="21"/>
        </w:rPr>
        <w:t>las</w:t>
      </w:r>
      <w:r>
        <w:rPr>
          <w:spacing w:val="-3"/>
          <w:w w:val="100"/>
          <w:sz w:val="21"/>
        </w:rPr>
        <w:t>g</w:t>
      </w:r>
      <w:r>
        <w:rPr>
          <w:w w:val="100"/>
          <w:sz w:val="21"/>
        </w:rPr>
        <w:t>ow</w:t>
      </w:r>
      <w:r>
        <w:rPr>
          <w:spacing w:val="-53"/>
          <w:sz w:val="21"/>
        </w:rPr>
        <w:t> </w:t>
      </w:r>
      <w:r>
        <w:rPr>
          <w:w w:val="100"/>
          <w:sz w:val="21"/>
        </w:rPr>
        <w:t>C</w:t>
      </w:r>
      <w:r>
        <w:rPr>
          <w:spacing w:val="-3"/>
          <w:w w:val="100"/>
          <w:sz w:val="21"/>
        </w:rPr>
        <w:t>o</w:t>
      </w:r>
      <w:r>
        <w:rPr>
          <w:w w:val="100"/>
          <w:sz w:val="21"/>
        </w:rPr>
        <w:t>ma</w:t>
      </w:r>
      <w:r>
        <w:rPr>
          <w:spacing w:val="-53"/>
          <w:sz w:val="21"/>
        </w:rPr>
        <w:t> </w:t>
      </w:r>
      <w:r>
        <w:rPr>
          <w:spacing w:val="-3"/>
          <w:w w:val="100"/>
          <w:sz w:val="21"/>
        </w:rPr>
        <w:t>S</w:t>
      </w:r>
      <w:r>
        <w:rPr>
          <w:w w:val="100"/>
          <w:sz w:val="21"/>
        </w:rPr>
        <w:t>ca</w:t>
      </w:r>
      <w:r>
        <w:rPr>
          <w:spacing w:val="-3"/>
          <w:w w:val="100"/>
          <w:sz w:val="21"/>
        </w:rPr>
        <w:t>l</w:t>
      </w:r>
      <w:r>
        <w:rPr>
          <w:spacing w:val="-1"/>
          <w:w w:val="100"/>
          <w:sz w:val="21"/>
        </w:rPr>
        <w:t>e</w:t>
      </w:r>
      <w:r>
        <w:rPr>
          <w:spacing w:val="-22"/>
          <w:w w:val="100"/>
          <w:sz w:val="21"/>
        </w:rPr>
        <w:t>）</w:t>
      </w:r>
      <w:r>
        <w:rPr>
          <w:spacing w:val="-3"/>
          <w:w w:val="100"/>
          <w:sz w:val="21"/>
        </w:rPr>
        <w:t>结果</w:t>
      </w:r>
      <w:r>
        <w:rPr>
          <w:w w:val="100"/>
          <w:sz w:val="21"/>
        </w:rPr>
        <w:t>为</w:t>
      </w:r>
      <w:r>
        <w:rPr>
          <w:spacing w:val="-52"/>
          <w:sz w:val="21"/>
        </w:rPr>
        <w:t> </w:t>
      </w:r>
      <w:r>
        <w:rPr>
          <w:w w:val="100"/>
          <w:sz w:val="21"/>
        </w:rPr>
        <w:t>5</w:t>
      </w:r>
      <w:r>
        <w:rPr>
          <w:spacing w:val="-53"/>
          <w:sz w:val="21"/>
        </w:rPr>
        <w:t> </w:t>
      </w:r>
      <w:r>
        <w:rPr>
          <w:spacing w:val="-3"/>
          <w:w w:val="100"/>
          <w:sz w:val="21"/>
        </w:rPr>
        <w:t>分</w:t>
      </w:r>
      <w:r>
        <w:rPr>
          <w:w w:val="100"/>
          <w:sz w:val="21"/>
        </w:rPr>
        <w:t>或</w:t>
      </w:r>
      <w:r>
        <w:rPr>
          <w:spacing w:val="-53"/>
          <w:sz w:val="21"/>
        </w:rPr>
        <w:t> </w:t>
      </w:r>
      <w:r>
        <w:rPr>
          <w:w w:val="100"/>
          <w:sz w:val="21"/>
        </w:rPr>
        <w:t>5</w:t>
      </w:r>
      <w:r>
        <w:rPr>
          <w:spacing w:val="-55"/>
          <w:sz w:val="21"/>
        </w:rPr>
        <w:t> </w:t>
      </w:r>
      <w:r>
        <w:rPr>
          <w:w w:val="100"/>
          <w:sz w:val="21"/>
        </w:rPr>
        <w:t>分</w:t>
      </w:r>
      <w:r>
        <w:rPr>
          <w:spacing w:val="-3"/>
          <w:w w:val="100"/>
          <w:sz w:val="21"/>
        </w:rPr>
        <w:t>以下</w:t>
      </w:r>
      <w:r>
        <w:rPr>
          <w:w w:val="100"/>
          <w:sz w:val="21"/>
        </w:rPr>
        <w:t>，且已</w:t>
      </w:r>
      <w:r>
        <w:rPr>
          <w:spacing w:val="-3"/>
          <w:w w:val="100"/>
          <w:sz w:val="21"/>
        </w:rPr>
        <w:t>经</w:t>
      </w:r>
      <w:r>
        <w:rPr>
          <w:w w:val="100"/>
          <w:sz w:val="21"/>
        </w:rPr>
        <w:t>持</w:t>
      </w:r>
      <w:r>
        <w:rPr>
          <w:spacing w:val="-3"/>
          <w:w w:val="100"/>
          <w:sz w:val="21"/>
        </w:rPr>
        <w:t>续</w:t>
      </w:r>
      <w:r>
        <w:rPr>
          <w:w w:val="100"/>
          <w:sz w:val="21"/>
        </w:rPr>
        <w:t>使</w:t>
      </w:r>
      <w:r>
        <w:rPr>
          <w:spacing w:val="-3"/>
          <w:w w:val="100"/>
          <w:sz w:val="21"/>
        </w:rPr>
        <w:t>用</w:t>
      </w:r>
      <w:r>
        <w:rPr>
          <w:w w:val="100"/>
          <w:sz w:val="21"/>
        </w:rPr>
        <w:t>呼</w:t>
      </w:r>
      <w:r>
        <w:rPr>
          <w:spacing w:val="-3"/>
          <w:w w:val="100"/>
          <w:sz w:val="21"/>
        </w:rPr>
        <w:t>吸</w:t>
      </w:r>
      <w:r>
        <w:rPr>
          <w:w w:val="100"/>
          <w:sz w:val="21"/>
        </w:rPr>
        <w:t>机</w:t>
      </w:r>
      <w:r>
        <w:rPr>
          <w:spacing w:val="-3"/>
          <w:w w:val="100"/>
          <w:sz w:val="21"/>
        </w:rPr>
        <w:t>及</w:t>
      </w:r>
      <w:r>
        <w:rPr>
          <w:w w:val="100"/>
          <w:sz w:val="21"/>
        </w:rPr>
        <w:t>其他</w:t>
      </w:r>
      <w:r>
        <w:rPr>
          <w:spacing w:val="-3"/>
          <w:w w:val="100"/>
          <w:sz w:val="21"/>
        </w:rPr>
        <w:t>生</w:t>
      </w:r>
      <w:r>
        <w:rPr>
          <w:w w:val="100"/>
          <w:sz w:val="21"/>
        </w:rPr>
        <w:t>命</w:t>
      </w:r>
      <w:r>
        <w:rPr>
          <w:spacing w:val="-3"/>
          <w:w w:val="100"/>
          <w:sz w:val="21"/>
        </w:rPr>
        <w:t>维</w:t>
      </w:r>
      <w:r>
        <w:rPr>
          <w:w w:val="100"/>
          <w:sz w:val="21"/>
        </w:rPr>
        <w:t>持</w:t>
      </w:r>
      <w:r>
        <w:rPr>
          <w:spacing w:val="-3"/>
          <w:w w:val="100"/>
          <w:sz w:val="21"/>
        </w:rPr>
        <w:t>系</w:t>
      </w:r>
      <w:r>
        <w:rPr>
          <w:w w:val="100"/>
          <w:sz w:val="21"/>
        </w:rPr>
        <w:t>统</w:t>
      </w:r>
      <w:r>
        <w:rPr>
          <w:spacing w:val="-53"/>
          <w:sz w:val="21"/>
        </w:rPr>
        <w:t> </w:t>
      </w:r>
      <w:r>
        <w:rPr>
          <w:spacing w:val="-3"/>
          <w:w w:val="100"/>
          <w:sz w:val="21"/>
        </w:rPr>
        <w:t>9</w:t>
      </w:r>
      <w:r>
        <w:rPr>
          <w:w w:val="100"/>
          <w:sz w:val="21"/>
        </w:rPr>
        <w:t>6</w:t>
      </w:r>
      <w:r>
        <w:rPr>
          <w:spacing w:val="-53"/>
          <w:sz w:val="21"/>
        </w:rPr>
        <w:t> </w:t>
      </w:r>
      <w:r>
        <w:rPr>
          <w:spacing w:val="-3"/>
          <w:w w:val="100"/>
          <w:sz w:val="21"/>
        </w:rPr>
        <w:t>小时</w:t>
      </w:r>
      <w:r>
        <w:rPr>
          <w:w w:val="100"/>
          <w:sz w:val="21"/>
        </w:rPr>
        <w:t>以上。</w:t>
      </w:r>
    </w:p>
    <w:p>
      <w:pPr>
        <w:pStyle w:val="Heading2"/>
        <w:spacing w:line="320" w:lineRule="exact"/>
        <w:ind w:left="2946"/>
      </w:pPr>
      <w:r>
        <w:rPr>
          <w:spacing w:val="-3"/>
        </w:rPr>
        <w:t>因酗酒或药物滥用导致的深度昏迷不在保障范围内。</w:t>
      </w:r>
    </w:p>
    <w:p>
      <w:pPr>
        <w:pStyle w:val="ListParagraph"/>
        <w:numPr>
          <w:ilvl w:val="0"/>
          <w:numId w:val="18"/>
        </w:numPr>
        <w:tabs>
          <w:tab w:pos="1325" w:val="left" w:leader="none"/>
          <w:tab w:pos="2946" w:val="left" w:leader="none"/>
        </w:tabs>
        <w:spacing w:line="383" w:lineRule="exact" w:before="151" w:after="0"/>
        <w:ind w:left="1324" w:right="0" w:hanging="319"/>
        <w:jc w:val="left"/>
        <w:rPr>
          <w:sz w:val="21"/>
        </w:rPr>
      </w:pPr>
      <w:r>
        <w:rPr>
          <w:spacing w:val="-2"/>
          <w:sz w:val="21"/>
        </w:rPr>
        <w:t>双耳失</w:t>
      </w:r>
      <w:r>
        <w:rPr>
          <w:spacing w:val="-10"/>
          <w:sz w:val="21"/>
        </w:rPr>
        <w:t>聪</w:t>
      </w:r>
      <w:r>
        <w:rPr>
          <w:sz w:val="21"/>
        </w:rPr>
        <w:tab/>
        <w:t>指因疾病或意外伤害导致</w:t>
      </w:r>
      <w:r>
        <w:rPr>
          <w:sz w:val="21"/>
        </w:rPr>
        <w:t>双耳听力</w:t>
      </w:r>
      <w:r>
        <w:rPr>
          <w:rFonts w:ascii="微软雅黑" w:eastAsia="微软雅黑"/>
          <w:b/>
          <w:sz w:val="21"/>
        </w:rPr>
        <w:t>永久不可逆</w:t>
      </w:r>
      <w:r>
        <w:rPr>
          <w:rFonts w:ascii="微软雅黑" w:eastAsia="微软雅黑"/>
          <w:b/>
          <w:spacing w:val="23"/>
          <w:sz w:val="21"/>
        </w:rPr>
        <w:t> </w:t>
      </w:r>
      <w:r>
        <w:rPr>
          <w:position w:val="11"/>
          <w:sz w:val="11"/>
        </w:rPr>
        <w:t>9.41</w:t>
      </w:r>
      <w:r>
        <w:rPr>
          <w:spacing w:val="-14"/>
          <w:position w:val="11"/>
          <w:sz w:val="11"/>
        </w:rPr>
        <w:t> </w:t>
      </w:r>
      <w:r>
        <w:rPr>
          <w:sz w:val="21"/>
        </w:rPr>
        <w:t>性丧失，在</w:t>
      </w:r>
      <w:r>
        <w:rPr>
          <w:spacing w:val="-18"/>
          <w:sz w:val="21"/>
        </w:rPr>
        <w:t> </w:t>
      </w:r>
      <w:r>
        <w:rPr>
          <w:sz w:val="21"/>
        </w:rPr>
        <w:t>500</w:t>
      </w:r>
      <w:r>
        <w:rPr>
          <w:spacing w:val="-20"/>
          <w:sz w:val="21"/>
        </w:rPr>
        <w:t> </w:t>
      </w:r>
      <w:r>
        <w:rPr>
          <w:sz w:val="21"/>
        </w:rPr>
        <w:t>赫兹、</w:t>
      </w:r>
      <w:r>
        <w:rPr>
          <w:spacing w:val="-4"/>
          <w:sz w:val="21"/>
        </w:rPr>
        <w:t>1000</w:t>
      </w:r>
    </w:p>
    <w:p>
      <w:pPr>
        <w:pStyle w:val="BodyText"/>
        <w:spacing w:line="278" w:lineRule="auto"/>
        <w:ind w:left="2946" w:right="328"/>
      </w:pPr>
      <w:r>
        <w:rPr>
          <w:spacing w:val="-15"/>
        </w:rPr>
        <w:t>赫兹和 </w:t>
      </w:r>
      <w:r>
        <w:rPr>
          <w:spacing w:val="-2"/>
        </w:rPr>
        <w:t>2000</w:t>
      </w:r>
      <w:r>
        <w:rPr>
          <w:spacing w:val="-13"/>
        </w:rPr>
        <w:t> 赫兹语音频率下，平均听阈大于等于 </w:t>
      </w:r>
      <w:r>
        <w:rPr>
          <w:spacing w:val="-2"/>
        </w:rPr>
        <w:t>91</w:t>
      </w:r>
      <w:r>
        <w:rPr>
          <w:spacing w:val="-10"/>
        </w:rPr>
        <w:t> 分贝，且经纯音听力测试、</w:t>
      </w:r>
      <w:r>
        <w:rPr>
          <w:spacing w:val="-2"/>
        </w:rPr>
        <w:t>声导抗检测或听觉诱发电位检测等证实。</w:t>
      </w:r>
    </w:p>
    <w:p>
      <w:pPr>
        <w:pStyle w:val="Heading2"/>
        <w:spacing w:line="282" w:lineRule="exact"/>
        <w:ind w:left="2946"/>
      </w:pPr>
      <w:r>
        <w:rPr>
          <w:w w:val="95"/>
        </w:rPr>
        <w:t>申</w:t>
      </w:r>
      <w:r>
        <w:rPr>
          <w:w w:val="95"/>
        </w:rPr>
        <w:t>请</w:t>
      </w:r>
      <w:r>
        <w:rPr>
          <w:w w:val="95"/>
        </w:rPr>
        <w:t>理</w:t>
      </w:r>
      <w:r>
        <w:rPr>
          <w:w w:val="95"/>
        </w:rPr>
        <w:t>赔</w:t>
      </w:r>
      <w:r>
        <w:rPr>
          <w:w w:val="95"/>
        </w:rPr>
        <w:t>时</w:t>
      </w:r>
      <w:r>
        <w:rPr>
          <w:w w:val="95"/>
        </w:rPr>
        <w:t>，</w:t>
      </w:r>
      <w:r>
        <w:rPr>
          <w:w w:val="95"/>
        </w:rPr>
        <w:t>被</w:t>
      </w:r>
      <w:r>
        <w:rPr>
          <w:w w:val="95"/>
        </w:rPr>
        <w:t>保</w:t>
      </w:r>
      <w:r>
        <w:rPr>
          <w:w w:val="95"/>
        </w:rPr>
        <w:t>险人年</w:t>
      </w:r>
      <w:r>
        <w:rPr>
          <w:w w:val="95"/>
        </w:rPr>
        <w:t>龄</w:t>
      </w:r>
      <w:r>
        <w:rPr>
          <w:w w:val="95"/>
        </w:rPr>
        <w:t>必</w:t>
      </w:r>
      <w:r>
        <w:rPr>
          <w:w w:val="95"/>
        </w:rPr>
        <w:t>须</w:t>
      </w:r>
      <w:r>
        <w:rPr>
          <w:w w:val="95"/>
        </w:rPr>
        <w:t>在</w:t>
      </w:r>
      <w:r>
        <w:rPr>
          <w:spacing w:val="41"/>
        </w:rPr>
        <w:t>  </w:t>
      </w:r>
      <w:r>
        <w:rPr>
          <w:w w:val="95"/>
        </w:rPr>
        <w:t>3</w:t>
      </w:r>
      <w:r>
        <w:rPr>
          <w:spacing w:val="42"/>
        </w:rPr>
        <w:t>  </w:t>
      </w:r>
      <w:r>
        <w:rPr>
          <w:w w:val="95"/>
        </w:rPr>
        <w:t>周</w:t>
      </w:r>
      <w:r>
        <w:rPr>
          <w:w w:val="95"/>
        </w:rPr>
        <w:t>岁</w:t>
      </w:r>
      <w:r>
        <w:rPr>
          <w:w w:val="95"/>
        </w:rPr>
        <w:t>以</w:t>
      </w:r>
      <w:r>
        <w:rPr>
          <w:w w:val="95"/>
        </w:rPr>
        <w:t>上</w:t>
      </w:r>
      <w:r>
        <w:rPr>
          <w:w w:val="95"/>
        </w:rPr>
        <w:t>，并</w:t>
      </w:r>
      <w:r>
        <w:rPr>
          <w:w w:val="95"/>
        </w:rPr>
        <w:t>且</w:t>
      </w:r>
      <w:r>
        <w:rPr>
          <w:w w:val="95"/>
        </w:rPr>
        <w:t>须</w:t>
      </w:r>
      <w:r>
        <w:rPr>
          <w:w w:val="95"/>
        </w:rPr>
        <w:t>提</w:t>
      </w:r>
      <w:r>
        <w:rPr>
          <w:w w:val="95"/>
        </w:rPr>
        <w:t>供</w:t>
      </w:r>
      <w:r>
        <w:rPr>
          <w:w w:val="95"/>
        </w:rPr>
        <w:t>理</w:t>
      </w:r>
      <w:r>
        <w:rPr>
          <w:w w:val="95"/>
        </w:rPr>
        <w:t>赔</w:t>
      </w:r>
      <w:r>
        <w:rPr>
          <w:w w:val="95"/>
        </w:rPr>
        <w:t>当</w:t>
      </w:r>
      <w:r>
        <w:rPr>
          <w:w w:val="95"/>
        </w:rPr>
        <w:t>时</w:t>
      </w:r>
      <w:r>
        <w:rPr>
          <w:spacing w:val="-3"/>
          <w:w w:val="95"/>
        </w:rPr>
        <w:t>的听力丧</w:t>
      </w:r>
    </w:p>
    <w:p>
      <w:pPr>
        <w:spacing w:line="350" w:lineRule="exact" w:before="0"/>
        <w:ind w:left="2946" w:right="0" w:firstLine="0"/>
        <w:jc w:val="left"/>
        <w:rPr>
          <w:rFonts w:ascii="微软雅黑" w:eastAsia="微软雅黑"/>
          <w:b/>
          <w:sz w:val="21"/>
        </w:rPr>
      </w:pPr>
      <w:r>
        <w:rPr>
          <w:rFonts w:ascii="微软雅黑" w:eastAsia="微软雅黑"/>
          <w:b/>
          <w:spacing w:val="-2"/>
          <w:sz w:val="21"/>
        </w:rPr>
        <w:t>失诊断及检查证据。</w:t>
      </w:r>
    </w:p>
    <w:p>
      <w:pPr>
        <w:pStyle w:val="BodyText"/>
        <w:spacing w:before="13"/>
        <w:rPr>
          <w:rFonts w:ascii="微软雅黑"/>
          <w:b/>
          <w:sz w:val="11"/>
        </w:rPr>
      </w:pPr>
    </w:p>
    <w:p>
      <w:pPr>
        <w:pStyle w:val="ListParagraph"/>
        <w:numPr>
          <w:ilvl w:val="0"/>
          <w:numId w:val="18"/>
        </w:numPr>
        <w:tabs>
          <w:tab w:pos="1325" w:val="left" w:leader="none"/>
          <w:tab w:pos="2946" w:val="left" w:leader="none"/>
        </w:tabs>
        <w:spacing w:line="278" w:lineRule="auto" w:before="0" w:after="0"/>
        <w:ind w:left="2946" w:right="438" w:hanging="1940"/>
        <w:jc w:val="left"/>
        <w:rPr>
          <w:sz w:val="21"/>
        </w:rPr>
      </w:pPr>
      <w:r>
        <w:rPr>
          <w:spacing w:val="-4"/>
          <w:sz w:val="21"/>
        </w:rPr>
        <w:t>双目失明</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w:t>
      </w:r>
      <w:r>
        <w:rPr>
          <w:spacing w:val="-2"/>
          <w:sz w:val="21"/>
        </w:rPr>
        <w:t>性</w:t>
      </w:r>
      <w:r>
        <w:rPr>
          <w:spacing w:val="-2"/>
          <w:sz w:val="21"/>
        </w:rPr>
        <w:t>丧</w:t>
      </w:r>
      <w:r>
        <w:rPr>
          <w:spacing w:val="-2"/>
          <w:sz w:val="21"/>
        </w:rPr>
        <w:t>失</w:t>
      </w:r>
      <w:r>
        <w:rPr>
          <w:spacing w:val="-2"/>
          <w:sz w:val="21"/>
        </w:rPr>
        <w:t>，</w:t>
      </w:r>
      <w:r>
        <w:rPr>
          <w:spacing w:val="-2"/>
          <w:sz w:val="21"/>
        </w:rPr>
        <w:t>双</w:t>
      </w:r>
      <w:r>
        <w:rPr>
          <w:spacing w:val="-2"/>
          <w:sz w:val="21"/>
        </w:rPr>
        <w:t>眼</w:t>
      </w:r>
      <w:r>
        <w:rPr>
          <w:spacing w:val="-2"/>
          <w:sz w:val="21"/>
        </w:rPr>
        <w:t>中</w:t>
      </w:r>
      <w:r>
        <w:rPr>
          <w:spacing w:val="-2"/>
          <w:sz w:val="21"/>
        </w:rPr>
        <w:t>较</w:t>
      </w:r>
      <w:r>
        <w:rPr>
          <w:spacing w:val="-2"/>
          <w:sz w:val="21"/>
        </w:rPr>
        <w:t>好</w:t>
      </w:r>
      <w:r>
        <w:rPr>
          <w:spacing w:val="-2"/>
          <w:sz w:val="21"/>
        </w:rPr>
        <w:t>眼</w:t>
      </w:r>
      <w:r>
        <w:rPr>
          <w:spacing w:val="-2"/>
          <w:sz w:val="21"/>
        </w:rPr>
        <w:t>须</w:t>
      </w:r>
      <w:r>
        <w:rPr>
          <w:spacing w:val="-2"/>
          <w:sz w:val="21"/>
        </w:rPr>
        <w:t>满</w:t>
      </w:r>
      <w:r>
        <w:rPr>
          <w:spacing w:val="-2"/>
          <w:sz w:val="21"/>
        </w:rPr>
        <w:t>足</w:t>
      </w:r>
      <w:r>
        <w:rPr>
          <w:spacing w:val="-2"/>
          <w:sz w:val="21"/>
        </w:rPr>
        <w:t>下</w:t>
      </w:r>
      <w:r>
        <w:rPr>
          <w:spacing w:val="-2"/>
          <w:sz w:val="21"/>
        </w:rPr>
        <w:t>列</w:t>
      </w:r>
      <w:r>
        <w:rPr>
          <w:spacing w:val="-2"/>
          <w:sz w:val="21"/>
        </w:rPr>
        <w:t>至</w:t>
      </w:r>
      <w:r>
        <w:rPr>
          <w:spacing w:val="-2"/>
          <w:sz w:val="21"/>
        </w:rPr>
        <w:t>少一项条件：</w:t>
      </w:r>
    </w:p>
    <w:p>
      <w:pPr>
        <w:pStyle w:val="ListParagraph"/>
        <w:numPr>
          <w:ilvl w:val="1"/>
          <w:numId w:val="18"/>
        </w:numPr>
        <w:tabs>
          <w:tab w:pos="3476" w:val="left" w:leader="none"/>
        </w:tabs>
        <w:spacing w:line="269" w:lineRule="exact" w:before="0" w:after="0"/>
        <w:ind w:left="3475" w:right="0" w:hanging="530"/>
        <w:jc w:val="left"/>
        <w:rPr>
          <w:sz w:val="21"/>
        </w:rPr>
      </w:pPr>
      <w:r>
        <w:rPr>
          <w:spacing w:val="-4"/>
          <w:sz w:val="21"/>
        </w:rPr>
        <w:t>眼球缺失或摘除；</w:t>
      </w:r>
    </w:p>
    <w:p>
      <w:pPr>
        <w:spacing w:after="0" w:line="269" w:lineRule="exact"/>
        <w:jc w:val="left"/>
        <w:rPr>
          <w:sz w:val="21"/>
        </w:rPr>
        <w:sectPr>
          <w:type w:val="continuous"/>
          <w:pgSz w:w="11910" w:h="16840"/>
          <w:pgMar w:header="0" w:footer="401" w:top="600" w:bottom="280" w:left="760" w:right="580"/>
        </w:sectPr>
      </w:pPr>
    </w:p>
    <w:p>
      <w:pPr>
        <w:pStyle w:val="ListParagraph"/>
        <w:numPr>
          <w:ilvl w:val="1"/>
          <w:numId w:val="18"/>
        </w:numPr>
        <w:tabs>
          <w:tab w:pos="3476" w:val="left" w:leader="none"/>
        </w:tabs>
        <w:spacing w:line="278" w:lineRule="auto" w:before="57" w:after="0"/>
        <w:ind w:left="3472" w:right="438" w:hanging="526"/>
        <w:jc w:val="left"/>
        <w:rPr>
          <w:sz w:val="21"/>
        </w:rPr>
      </w:pPr>
      <w:r>
        <w:rPr>
          <w:sz w:val="21"/>
        </w:rPr>
        <w:t>矫正视力低于 0.02（采用国际标准视力表，如果使用其他视力表应进行</w:t>
      </w:r>
      <w:r>
        <w:rPr>
          <w:spacing w:val="-6"/>
          <w:sz w:val="21"/>
        </w:rPr>
        <w:t>换算</w:t>
      </w:r>
      <w:r>
        <w:rPr>
          <w:spacing w:val="-108"/>
          <w:sz w:val="21"/>
        </w:rPr>
        <w:t>）</w:t>
      </w:r>
      <w:r>
        <w:rPr>
          <w:sz w:val="21"/>
        </w:rPr>
        <w:t>；</w:t>
      </w:r>
    </w:p>
    <w:p>
      <w:pPr>
        <w:pStyle w:val="ListParagraph"/>
        <w:numPr>
          <w:ilvl w:val="1"/>
          <w:numId w:val="18"/>
        </w:numPr>
        <w:tabs>
          <w:tab w:pos="3476" w:val="left" w:leader="none"/>
        </w:tabs>
        <w:spacing w:line="257" w:lineRule="exact" w:before="0" w:after="0"/>
        <w:ind w:left="3475" w:right="0" w:hanging="530"/>
        <w:jc w:val="left"/>
        <w:rPr>
          <w:sz w:val="21"/>
        </w:rPr>
      </w:pPr>
      <w:r>
        <w:rPr>
          <w:spacing w:val="-10"/>
          <w:sz w:val="21"/>
        </w:rPr>
        <w:t>视野半径小于 </w:t>
      </w:r>
      <w:r>
        <w:rPr>
          <w:spacing w:val="-2"/>
          <w:sz w:val="21"/>
        </w:rPr>
        <w:t>5</w:t>
      </w:r>
      <w:r>
        <w:rPr>
          <w:spacing w:val="-21"/>
          <w:sz w:val="21"/>
        </w:rPr>
        <w:t> 度。</w:t>
      </w:r>
    </w:p>
    <w:p>
      <w:pPr>
        <w:pStyle w:val="Heading2"/>
        <w:spacing w:line="194" w:lineRule="auto" w:before="41"/>
        <w:ind w:left="2946" w:right="438"/>
      </w:pPr>
      <w:r>
        <w:rPr>
          <w:spacing w:val="-1"/>
        </w:rPr>
        <w:t>除眼球缺失或摘除情形外，申请理赔时，被保险人年龄必须在 </w:t>
      </w:r>
      <w:r>
        <w:rPr/>
        <w:t>3</w:t>
      </w:r>
      <w:r>
        <w:rPr>
          <w:spacing w:val="-4"/>
        </w:rPr>
        <w:t> 周岁以上，并</w:t>
      </w:r>
      <w:r>
        <w:rPr>
          <w:spacing w:val="-2"/>
        </w:rPr>
        <w:t>且须提供理赔当时的视力丧失诊断及检查证据。</w:t>
      </w:r>
    </w:p>
    <w:p>
      <w:pPr>
        <w:pStyle w:val="BodyText"/>
        <w:spacing w:before="18"/>
        <w:rPr>
          <w:rFonts w:ascii="微软雅黑"/>
          <w:b/>
          <w:sz w:val="12"/>
        </w:rPr>
      </w:pPr>
    </w:p>
    <w:p>
      <w:pPr>
        <w:pStyle w:val="ListParagraph"/>
        <w:numPr>
          <w:ilvl w:val="0"/>
          <w:numId w:val="18"/>
        </w:numPr>
        <w:tabs>
          <w:tab w:pos="1325" w:val="left" w:leader="none"/>
          <w:tab w:pos="2946" w:val="left" w:leader="none"/>
        </w:tabs>
        <w:spacing w:line="278" w:lineRule="auto" w:before="0" w:after="0"/>
        <w:ind w:left="2946" w:right="327" w:hanging="1940"/>
        <w:jc w:val="left"/>
        <w:rPr>
          <w:sz w:val="21"/>
        </w:rPr>
      </w:pPr>
      <w:r>
        <w:rPr>
          <w:spacing w:val="-3"/>
          <w:w w:val="100"/>
          <w:sz w:val="21"/>
        </w:rPr>
        <w:t>瘫</w:t>
      </w:r>
      <w:r>
        <w:rPr>
          <w:w w:val="100"/>
          <w:sz w:val="21"/>
        </w:rPr>
        <w:t>痪</w:t>
      </w:r>
      <w:r>
        <w:rPr>
          <w:sz w:val="21"/>
        </w:rPr>
        <w:tab/>
      </w:r>
      <w:r>
        <w:rPr>
          <w:w w:val="100"/>
          <w:sz w:val="21"/>
        </w:rPr>
        <w:t>指因疾病或意外伤害导致两肢或两肢以上肢体随意运动功能永久完全丧失。肢体随</w:t>
      </w:r>
      <w:r>
        <w:rPr>
          <w:spacing w:val="-3"/>
          <w:w w:val="100"/>
          <w:sz w:val="21"/>
        </w:rPr>
        <w:t>意</w:t>
      </w:r>
      <w:r>
        <w:rPr>
          <w:w w:val="100"/>
          <w:sz w:val="21"/>
        </w:rPr>
        <w:t>运</w:t>
      </w:r>
      <w:r>
        <w:rPr>
          <w:spacing w:val="-3"/>
          <w:w w:val="100"/>
          <w:sz w:val="21"/>
        </w:rPr>
        <w:t>动</w:t>
      </w:r>
      <w:r>
        <w:rPr>
          <w:w w:val="100"/>
          <w:sz w:val="21"/>
        </w:rPr>
        <w:t>功</w:t>
      </w:r>
      <w:r>
        <w:rPr>
          <w:spacing w:val="-3"/>
          <w:w w:val="100"/>
          <w:sz w:val="21"/>
        </w:rPr>
        <w:t>能</w:t>
      </w:r>
      <w:r>
        <w:rPr>
          <w:w w:val="100"/>
          <w:sz w:val="21"/>
        </w:rPr>
        <w:t>永</w:t>
      </w:r>
      <w:r>
        <w:rPr>
          <w:spacing w:val="-3"/>
          <w:w w:val="100"/>
          <w:sz w:val="21"/>
        </w:rPr>
        <w:t>久</w:t>
      </w:r>
      <w:r>
        <w:rPr>
          <w:w w:val="100"/>
          <w:sz w:val="21"/>
        </w:rPr>
        <w:t>完</w:t>
      </w:r>
      <w:r>
        <w:rPr>
          <w:spacing w:val="-3"/>
          <w:w w:val="100"/>
          <w:sz w:val="21"/>
        </w:rPr>
        <w:t>全</w:t>
      </w:r>
      <w:r>
        <w:rPr>
          <w:w w:val="100"/>
          <w:sz w:val="21"/>
        </w:rPr>
        <w:t>丧失</w:t>
      </w:r>
      <w:r>
        <w:rPr>
          <w:spacing w:val="-68"/>
          <w:w w:val="100"/>
          <w:sz w:val="21"/>
        </w:rPr>
        <w:t>，</w:t>
      </w:r>
      <w:r>
        <w:rPr>
          <w:spacing w:val="-3"/>
          <w:w w:val="100"/>
          <w:sz w:val="21"/>
        </w:rPr>
        <w:t>指</w:t>
      </w:r>
      <w:r>
        <w:rPr>
          <w:w w:val="100"/>
          <w:sz w:val="21"/>
        </w:rPr>
        <w:t>疾</w:t>
      </w:r>
      <w:r>
        <w:rPr>
          <w:spacing w:val="-3"/>
          <w:w w:val="100"/>
          <w:sz w:val="21"/>
        </w:rPr>
        <w:t>病确</w:t>
      </w:r>
      <w:r>
        <w:rPr>
          <w:w w:val="100"/>
          <w:sz w:val="21"/>
        </w:rPr>
        <w:t>诊</w:t>
      </w:r>
      <w:r>
        <w:rPr>
          <w:spacing w:val="-53"/>
          <w:sz w:val="21"/>
        </w:rPr>
        <w:t> </w:t>
      </w:r>
      <w:r>
        <w:rPr>
          <w:w w:val="100"/>
          <w:sz w:val="21"/>
        </w:rPr>
        <w:t>180</w:t>
      </w:r>
      <w:r>
        <w:rPr>
          <w:spacing w:val="-55"/>
          <w:sz w:val="21"/>
        </w:rPr>
        <w:t> </w:t>
      </w:r>
      <w:r>
        <w:rPr>
          <w:w w:val="100"/>
          <w:sz w:val="21"/>
        </w:rPr>
        <w:t>天</w:t>
      </w:r>
      <w:r>
        <w:rPr>
          <w:spacing w:val="-3"/>
          <w:w w:val="100"/>
          <w:sz w:val="21"/>
        </w:rPr>
        <w:t>后</w:t>
      </w:r>
      <w:r>
        <w:rPr>
          <w:w w:val="100"/>
          <w:sz w:val="21"/>
        </w:rPr>
        <w:t>或意</w:t>
      </w:r>
      <w:r>
        <w:rPr>
          <w:spacing w:val="-3"/>
          <w:w w:val="100"/>
          <w:sz w:val="21"/>
        </w:rPr>
        <w:t>外</w:t>
      </w:r>
      <w:r>
        <w:rPr>
          <w:w w:val="100"/>
          <w:sz w:val="21"/>
        </w:rPr>
        <w:t>伤</w:t>
      </w:r>
      <w:r>
        <w:rPr>
          <w:spacing w:val="-3"/>
          <w:w w:val="100"/>
          <w:sz w:val="21"/>
        </w:rPr>
        <w:t>害发</w:t>
      </w:r>
      <w:r>
        <w:rPr>
          <w:w w:val="100"/>
          <w:sz w:val="21"/>
        </w:rPr>
        <w:t>生</w:t>
      </w:r>
      <w:r>
        <w:rPr>
          <w:spacing w:val="-52"/>
          <w:sz w:val="21"/>
        </w:rPr>
        <w:t> </w:t>
      </w:r>
      <w:r>
        <w:rPr>
          <w:w w:val="100"/>
          <w:sz w:val="21"/>
        </w:rPr>
        <w:t>180</w:t>
      </w:r>
      <w:r>
        <w:rPr>
          <w:spacing w:val="-55"/>
          <w:sz w:val="21"/>
        </w:rPr>
        <w:t> </w:t>
      </w:r>
      <w:r>
        <w:rPr>
          <w:w w:val="100"/>
          <w:sz w:val="21"/>
        </w:rPr>
        <w:t>天</w:t>
      </w:r>
      <w:r>
        <w:rPr>
          <w:spacing w:val="-3"/>
          <w:w w:val="100"/>
          <w:sz w:val="21"/>
        </w:rPr>
        <w:t>后</w:t>
      </w:r>
      <w:r>
        <w:rPr>
          <w:w w:val="100"/>
          <w:sz w:val="21"/>
        </w:rPr>
        <w:t>，</w:t>
      </w:r>
    </w:p>
    <w:p>
      <w:pPr>
        <w:pStyle w:val="BodyText"/>
        <w:spacing w:line="269" w:lineRule="exact"/>
        <w:ind w:left="2946"/>
      </w:pPr>
      <w:r>
        <w:rPr>
          <w:spacing w:val="-4"/>
        </w:rPr>
        <w:t>每肢三大关节中的两大关节仍然完全僵硬，或肢体肌力在 </w:t>
      </w:r>
      <w:r>
        <w:rPr>
          <w:spacing w:val="-2"/>
        </w:rPr>
        <w:t>2</w:t>
      </w:r>
      <w:r>
        <w:rPr>
          <w:spacing w:val="-22"/>
        </w:rPr>
        <w:t> 级</w:t>
      </w:r>
      <w:r>
        <w:rPr>
          <w:spacing w:val="-2"/>
        </w:rPr>
        <w:t>（含）</w:t>
      </w:r>
      <w:r>
        <w:rPr>
          <w:spacing w:val="-5"/>
        </w:rPr>
        <w:t>以下。</w:t>
      </w:r>
    </w:p>
    <w:p>
      <w:pPr>
        <w:pStyle w:val="BodyText"/>
        <w:spacing w:before="2"/>
      </w:pPr>
    </w:p>
    <w:p>
      <w:pPr>
        <w:pStyle w:val="ListParagraph"/>
        <w:numPr>
          <w:ilvl w:val="0"/>
          <w:numId w:val="18"/>
        </w:numPr>
        <w:tabs>
          <w:tab w:pos="1325" w:val="left" w:leader="none"/>
          <w:tab w:pos="2946" w:val="left" w:leader="none"/>
        </w:tabs>
        <w:spacing w:line="278" w:lineRule="auto" w:before="0" w:after="0"/>
        <w:ind w:left="2946" w:right="438" w:hanging="1940"/>
        <w:jc w:val="left"/>
        <w:rPr>
          <w:sz w:val="21"/>
        </w:rPr>
      </w:pPr>
      <w:r>
        <w:rPr>
          <w:spacing w:val="-2"/>
          <w:sz w:val="21"/>
        </w:rPr>
        <w:t>心脏瓣膜手术</w:t>
      </w:r>
      <w:r>
        <w:rPr>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脏</w:t>
      </w:r>
      <w:r>
        <w:rPr>
          <w:spacing w:val="-2"/>
          <w:sz w:val="21"/>
        </w:rPr>
        <w:t>瓣</w:t>
      </w:r>
      <w:r>
        <w:rPr>
          <w:spacing w:val="-2"/>
          <w:sz w:val="21"/>
        </w:rPr>
        <w:t>膜</w:t>
      </w:r>
      <w:r>
        <w:rPr>
          <w:spacing w:val="-2"/>
          <w:sz w:val="21"/>
        </w:rPr>
        <w:t>疾</w:t>
      </w:r>
      <w:r>
        <w:rPr>
          <w:spacing w:val="-2"/>
          <w:sz w:val="21"/>
        </w:rPr>
        <w:t>病</w:t>
      </w:r>
      <w:r>
        <w:rPr>
          <w:spacing w:val="-2"/>
          <w:sz w:val="21"/>
        </w:rPr>
        <w:t>，</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切</w:t>
      </w:r>
      <w:r>
        <w:rPr>
          <w:spacing w:val="-2"/>
          <w:sz w:val="21"/>
        </w:rPr>
        <w:t>开</w:t>
      </w:r>
      <w:r>
        <w:rPr>
          <w:spacing w:val="-2"/>
          <w:sz w:val="21"/>
        </w:rPr>
        <w:t>心</w:t>
      </w:r>
      <w:r>
        <w:rPr>
          <w:spacing w:val="-2"/>
          <w:sz w:val="21"/>
        </w:rPr>
        <w:t>脏</w:t>
      </w:r>
      <w:r>
        <w:rPr>
          <w:spacing w:val="-2"/>
          <w:sz w:val="21"/>
        </w:rPr>
        <w:t>进</w:t>
      </w:r>
      <w:r>
        <w:rPr>
          <w:spacing w:val="-2"/>
          <w:sz w:val="21"/>
        </w:rPr>
        <w:t>行</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置</w:t>
      </w:r>
      <w:r>
        <w:rPr>
          <w:spacing w:val="-2"/>
          <w:sz w:val="21"/>
        </w:rPr>
        <w:t>换</w:t>
      </w:r>
      <w:r>
        <w:rPr>
          <w:spacing w:val="-2"/>
          <w:sz w:val="21"/>
        </w:rPr>
        <w:t>或</w:t>
      </w:r>
      <w:r>
        <w:rPr>
          <w:spacing w:val="-2"/>
          <w:sz w:val="21"/>
        </w:rPr>
        <w:t>修</w:t>
      </w:r>
      <w:r>
        <w:rPr>
          <w:spacing w:val="-2"/>
          <w:sz w:val="21"/>
        </w:rPr>
        <w:t>复</w:t>
      </w:r>
      <w:r>
        <w:rPr>
          <w:spacing w:val="-2"/>
          <w:sz w:val="21"/>
        </w:rPr>
        <w:t>的</w:t>
      </w:r>
      <w:r>
        <w:rPr>
          <w:spacing w:val="-2"/>
          <w:sz w:val="21"/>
        </w:rPr>
        <w:t>手</w:t>
      </w:r>
      <w:r>
        <w:rPr>
          <w:spacing w:val="-6"/>
          <w:sz w:val="21"/>
        </w:rPr>
        <w:t>术</w:t>
      </w:r>
      <w:r>
        <w:rPr>
          <w:spacing w:val="-6"/>
          <w:sz w:val="21"/>
        </w:rPr>
        <w:t>。</w:t>
      </w:r>
    </w:p>
    <w:p>
      <w:pPr>
        <w:pStyle w:val="Heading2"/>
        <w:spacing w:line="320" w:lineRule="exact"/>
        <w:ind w:left="2946"/>
      </w:pPr>
      <w:r>
        <w:rPr>
          <w:spacing w:val="-3"/>
        </w:rPr>
        <w:t>所有未切开心脏的心脏瓣膜介入手术不在保障范围内。</w:t>
      </w:r>
    </w:p>
    <w:p>
      <w:pPr>
        <w:pStyle w:val="BodyText"/>
        <w:spacing w:before="17"/>
        <w:rPr>
          <w:rFonts w:ascii="微软雅黑"/>
          <w:b/>
          <w:sz w:val="7"/>
        </w:rPr>
      </w:pPr>
    </w:p>
    <w:p>
      <w:pPr>
        <w:spacing w:after="0"/>
        <w:rPr>
          <w:rFonts w:ascii="微软雅黑"/>
          <w:sz w:val="7"/>
        </w:rPr>
        <w:sectPr>
          <w:pgSz w:w="11910" w:h="16840"/>
          <w:pgMar w:header="0" w:footer="401" w:top="1080" w:bottom="600" w:left="760" w:right="580"/>
        </w:sectPr>
      </w:pPr>
    </w:p>
    <w:p>
      <w:pPr>
        <w:pStyle w:val="ListParagraph"/>
        <w:numPr>
          <w:ilvl w:val="0"/>
          <w:numId w:val="18"/>
        </w:numPr>
        <w:tabs>
          <w:tab w:pos="1348" w:val="left" w:leader="none"/>
        </w:tabs>
        <w:spacing w:line="278" w:lineRule="auto" w:before="72" w:after="0"/>
        <w:ind w:left="1006" w:right="0" w:firstLine="0"/>
        <w:jc w:val="left"/>
        <w:rPr>
          <w:sz w:val="21"/>
        </w:rPr>
      </w:pPr>
      <w:r>
        <w:rPr>
          <w:spacing w:val="15"/>
          <w:sz w:val="21"/>
        </w:rPr>
        <w:t>严重阿尔茨海</w:t>
      </w:r>
      <w:r>
        <w:rPr>
          <w:spacing w:val="-6"/>
          <w:sz w:val="21"/>
        </w:rPr>
        <w:t>默病</w:t>
      </w:r>
    </w:p>
    <w:p>
      <w:pPr>
        <w:pStyle w:val="BodyText"/>
        <w:spacing w:line="278" w:lineRule="auto" w:before="72"/>
        <w:ind w:left="175" w:right="436"/>
        <w:jc w:val="both"/>
      </w:pPr>
      <w:r>
        <w:rPr/>
        <w:br w:type="column"/>
      </w:r>
      <w:r>
        <w:rPr>
          <w:spacing w:val="-2"/>
        </w:rPr>
        <w:t>指因大脑进行性、不可逆性改变导致智能严重衰退或丧失，临床表现为严重的</w:t>
      </w:r>
      <w:r>
        <w:rPr>
          <w:spacing w:val="-2"/>
        </w:rPr>
        <w:t>认知功能障碍、精神行为异常和社交能力减退等，其日常生活必须持续受到他</w:t>
      </w:r>
      <w:r>
        <w:rPr>
          <w:spacing w:val="-2"/>
        </w:rPr>
        <w:t>人监护。须由头颅断层扫描</w:t>
      </w:r>
      <w:r>
        <w:rPr>
          <w:spacing w:val="24"/>
        </w:rPr>
        <w:t>（CT</w:t>
      </w:r>
      <w:r>
        <w:rPr>
          <w:spacing w:val="-80"/>
        </w:rPr>
        <w:t>）</w:t>
      </w:r>
      <w:r>
        <w:rPr>
          <w:spacing w:val="-2"/>
        </w:rPr>
        <w:t>、核磁共振检查（MRI）或正电子发射断层扫</w:t>
      </w:r>
      <w:r>
        <w:rPr>
          <w:spacing w:val="-2"/>
        </w:rPr>
        <w:t>描（PET）等影像学检查证实，并经相关专科医生确诊，且须满足下列至少一项</w:t>
      </w:r>
      <w:r>
        <w:rPr>
          <w:spacing w:val="-4"/>
        </w:rPr>
        <w:t>条件：</w:t>
      </w:r>
    </w:p>
    <w:p>
      <w:pPr>
        <w:pStyle w:val="ListParagraph"/>
        <w:numPr>
          <w:ilvl w:val="0"/>
          <w:numId w:val="26"/>
        </w:numPr>
        <w:tabs>
          <w:tab w:pos="751" w:val="left" w:leader="none"/>
        </w:tabs>
        <w:spacing w:line="278" w:lineRule="auto" w:before="0" w:after="0"/>
        <w:ind w:left="700" w:right="438" w:hanging="526"/>
        <w:jc w:val="left"/>
        <w:rPr>
          <w:sz w:val="21"/>
        </w:rPr>
      </w:pPr>
      <w:r>
        <w:rPr>
          <w:spacing w:val="14"/>
          <w:sz w:val="21"/>
        </w:rPr>
        <w:t>由具有评估资格的专科医生根据临床痴呆评定量表</w:t>
      </w:r>
      <w:r>
        <w:rPr>
          <w:sz w:val="21"/>
        </w:rPr>
        <w:t>（</w:t>
      </w:r>
      <w:r>
        <w:rPr>
          <w:spacing w:val="-85"/>
          <w:sz w:val="21"/>
        </w:rPr>
        <w:t> </w:t>
      </w:r>
      <w:r>
        <w:rPr>
          <w:sz w:val="21"/>
        </w:rPr>
        <w:t>CDR，Clinical Dementia Rating）</w:t>
      </w:r>
      <w:r>
        <w:rPr>
          <w:spacing w:val="-3"/>
          <w:sz w:val="21"/>
        </w:rPr>
        <w:t>评估结果为 </w:t>
      </w:r>
      <w:r>
        <w:rPr>
          <w:sz w:val="21"/>
        </w:rPr>
        <w:t>3</w:t>
      </w:r>
      <w:r>
        <w:rPr>
          <w:spacing w:val="-6"/>
          <w:sz w:val="21"/>
        </w:rPr>
        <w:t> 分；</w:t>
      </w:r>
    </w:p>
    <w:p>
      <w:pPr>
        <w:pStyle w:val="ListParagraph"/>
        <w:numPr>
          <w:ilvl w:val="0"/>
          <w:numId w:val="26"/>
        </w:numPr>
        <w:tabs>
          <w:tab w:pos="704" w:val="left" w:leader="none"/>
        </w:tabs>
        <w:spacing w:line="278" w:lineRule="auto" w:before="0" w:after="0"/>
        <w:ind w:left="700"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Heading2"/>
        <w:spacing w:line="320" w:lineRule="exact"/>
        <w:ind w:left="175"/>
      </w:pPr>
      <w:r>
        <w:rPr>
          <w:spacing w:val="-3"/>
        </w:rPr>
        <w:t>阿尔茨海默病之外的其他类型痴呆不在保障范围内。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rPr>
          <w:rFonts w:ascii="微软雅黑"/>
          <w:b/>
          <w:sz w:val="8"/>
        </w:rPr>
      </w:pPr>
    </w:p>
    <w:p>
      <w:pPr>
        <w:pStyle w:val="ListParagraph"/>
        <w:numPr>
          <w:ilvl w:val="0"/>
          <w:numId w:val="18"/>
        </w:numPr>
        <w:tabs>
          <w:tab w:pos="1325" w:val="left" w:leader="none"/>
          <w:tab w:pos="2946" w:val="left" w:leader="none"/>
        </w:tabs>
        <w:spacing w:line="278" w:lineRule="auto" w:before="72" w:after="0"/>
        <w:ind w:left="2946" w:right="436" w:hanging="1940"/>
        <w:jc w:val="left"/>
        <w:rPr>
          <w:sz w:val="21"/>
        </w:rPr>
      </w:pPr>
      <w:r>
        <w:rPr>
          <w:spacing w:val="-2"/>
          <w:sz w:val="21"/>
        </w:rPr>
        <w:t>严重脑</w:t>
      </w:r>
      <w:r>
        <w:rPr>
          <w:spacing w:val="-2"/>
          <w:sz w:val="21"/>
        </w:rPr>
        <w:t>损</w:t>
      </w:r>
      <w:r>
        <w:rPr>
          <w:spacing w:val="-2"/>
          <w:sz w:val="21"/>
        </w:rPr>
        <w:t>伤</w:t>
      </w:r>
      <w:r>
        <w:rPr>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w:t>
      </w:r>
      <w:r>
        <w:rPr>
          <w:spacing w:val="-2"/>
          <w:sz w:val="21"/>
        </w:rPr>
        <w:t>机</w:t>
      </w:r>
      <w:r>
        <w:rPr>
          <w:spacing w:val="-2"/>
          <w:sz w:val="21"/>
        </w:rPr>
        <w:t>械</w:t>
      </w:r>
      <w:r>
        <w:rPr>
          <w:spacing w:val="-2"/>
          <w:sz w:val="21"/>
        </w:rPr>
        <w:t>性</w:t>
      </w:r>
      <w:r>
        <w:rPr>
          <w:spacing w:val="-2"/>
          <w:sz w:val="21"/>
        </w:rPr>
        <w:t>外</w:t>
      </w:r>
      <w:r>
        <w:rPr>
          <w:spacing w:val="-2"/>
          <w:sz w:val="21"/>
        </w:rPr>
        <w:t>力</w:t>
      </w:r>
      <w:r>
        <w:rPr>
          <w:spacing w:val="-2"/>
          <w:sz w:val="21"/>
        </w:rPr>
        <w:t>，</w:t>
      </w:r>
      <w:r>
        <w:rPr>
          <w:spacing w:val="-2"/>
          <w:sz w:val="21"/>
        </w:rPr>
        <w:t>引</w:t>
      </w:r>
      <w:r>
        <w:rPr>
          <w:spacing w:val="-2"/>
          <w:sz w:val="21"/>
        </w:rPr>
        <w:t>起</w:t>
      </w:r>
      <w:r>
        <w:rPr>
          <w:spacing w:val="-2"/>
          <w:sz w:val="21"/>
        </w:rPr>
        <w:t>脑</w:t>
      </w:r>
      <w:r>
        <w:rPr>
          <w:spacing w:val="-2"/>
          <w:sz w:val="21"/>
        </w:rPr>
        <w:t>重</w:t>
      </w:r>
      <w:r>
        <w:rPr>
          <w:spacing w:val="-2"/>
          <w:sz w:val="21"/>
        </w:rPr>
        <w:t>要</w:t>
      </w:r>
      <w:r>
        <w:rPr>
          <w:spacing w:val="-2"/>
          <w:sz w:val="21"/>
        </w:rPr>
        <w:t>部</w:t>
      </w:r>
      <w:r>
        <w:rPr>
          <w:spacing w:val="-2"/>
          <w:sz w:val="21"/>
        </w:rPr>
        <w:t>位</w:t>
      </w:r>
      <w:r>
        <w:rPr>
          <w:spacing w:val="-2"/>
          <w:sz w:val="21"/>
        </w:rPr>
        <w:t>损</w:t>
      </w:r>
      <w:r>
        <w:rPr>
          <w:spacing w:val="-2"/>
          <w:sz w:val="21"/>
        </w:rPr>
        <w:t>伤</w:t>
      </w:r>
      <w:r>
        <w:rPr>
          <w:spacing w:val="-2"/>
          <w:sz w:val="21"/>
        </w:rPr>
        <w:t>，</w:t>
      </w:r>
      <w:r>
        <w:rPr>
          <w:spacing w:val="-2"/>
          <w:sz w:val="21"/>
        </w:rPr>
        <w:t>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2"/>
          <w:sz w:val="21"/>
        </w:rPr>
        <w:t>永</w:t>
      </w:r>
      <w:r>
        <w:rPr>
          <w:spacing w:val="-2"/>
          <w:sz w:val="21"/>
        </w:rPr>
        <w:t>久</w:t>
      </w:r>
      <w:r>
        <w:rPr>
          <w:spacing w:val="-2"/>
          <w:sz w:val="21"/>
        </w:rPr>
        <w:t>性</w:t>
      </w:r>
      <w:r>
        <w:rPr>
          <w:spacing w:val="-2"/>
          <w:sz w:val="21"/>
        </w:rPr>
        <w:t>的</w:t>
      </w:r>
      <w:r>
        <w:rPr>
          <w:spacing w:val="-2"/>
          <w:sz w:val="21"/>
        </w:rPr>
        <w:t>功</w:t>
      </w:r>
      <w:r>
        <w:rPr>
          <w:spacing w:val="-2"/>
          <w:sz w:val="21"/>
        </w:rPr>
        <w:t>能</w:t>
      </w:r>
      <w:r>
        <w:rPr>
          <w:spacing w:val="-2"/>
          <w:sz w:val="21"/>
        </w:rPr>
        <w:t>障</w:t>
      </w:r>
      <w:r>
        <w:rPr>
          <w:spacing w:val="-2"/>
          <w:sz w:val="21"/>
        </w:rPr>
        <w:t>碍</w:t>
      </w:r>
      <w:r>
        <w:rPr>
          <w:spacing w:val="-2"/>
          <w:sz w:val="21"/>
        </w:rPr>
        <w:t>。</w:t>
      </w:r>
      <w:r>
        <w:rPr>
          <w:spacing w:val="-2"/>
          <w:sz w:val="21"/>
        </w:rPr>
        <w:t>须</w:t>
      </w:r>
      <w:r>
        <w:rPr>
          <w:spacing w:val="-2"/>
          <w:sz w:val="21"/>
        </w:rPr>
        <w:t>由</w:t>
      </w:r>
      <w:r>
        <w:rPr>
          <w:spacing w:val="-2"/>
          <w:sz w:val="21"/>
        </w:rPr>
        <w:t>头</w:t>
      </w:r>
      <w:r>
        <w:rPr>
          <w:spacing w:val="-2"/>
          <w:sz w:val="21"/>
        </w:rPr>
        <w:t>颅</w:t>
      </w:r>
      <w:r>
        <w:rPr>
          <w:spacing w:val="-2"/>
          <w:sz w:val="21"/>
        </w:rPr>
        <w:t>断</w:t>
      </w:r>
      <w:r>
        <w:rPr>
          <w:spacing w:val="-2"/>
          <w:sz w:val="21"/>
        </w:rPr>
        <w:t>层</w:t>
      </w:r>
      <w:r>
        <w:rPr>
          <w:spacing w:val="-2"/>
          <w:sz w:val="21"/>
        </w:rPr>
        <w:t>扫</w:t>
      </w:r>
      <w:r>
        <w:rPr>
          <w:spacing w:val="-2"/>
          <w:sz w:val="21"/>
        </w:rPr>
        <w:t>描</w:t>
      </w:r>
      <w:r>
        <w:rPr>
          <w:spacing w:val="24"/>
          <w:sz w:val="21"/>
        </w:rPr>
        <w:t>（CT</w:t>
      </w:r>
      <w:r>
        <w:rPr>
          <w:spacing w:val="-80"/>
          <w:sz w:val="21"/>
        </w:rPr>
        <w:t>）</w:t>
      </w:r>
      <w:r>
        <w:rPr>
          <w:spacing w:val="-2"/>
          <w:sz w:val="21"/>
        </w:rPr>
        <w:t>、</w:t>
      </w:r>
      <w:r>
        <w:rPr>
          <w:spacing w:val="-2"/>
          <w:sz w:val="21"/>
        </w:rPr>
        <w:t>核</w:t>
      </w:r>
      <w:r>
        <w:rPr>
          <w:spacing w:val="-2"/>
          <w:sz w:val="21"/>
        </w:rPr>
        <w:t>磁</w:t>
      </w:r>
      <w:r>
        <w:rPr>
          <w:spacing w:val="-2"/>
          <w:sz w:val="21"/>
        </w:rPr>
        <w:t>共</w:t>
      </w:r>
      <w:r>
        <w:rPr>
          <w:spacing w:val="-2"/>
          <w:sz w:val="21"/>
        </w:rPr>
        <w:t>振</w:t>
      </w:r>
      <w:r>
        <w:rPr>
          <w:spacing w:val="-2"/>
          <w:sz w:val="21"/>
        </w:rPr>
        <w:t>检</w:t>
      </w:r>
      <w:r>
        <w:rPr>
          <w:spacing w:val="-2"/>
          <w:sz w:val="21"/>
        </w:rPr>
        <w:t>查</w:t>
      </w:r>
      <w:r>
        <w:rPr>
          <w:spacing w:val="-2"/>
          <w:sz w:val="21"/>
        </w:rPr>
        <w:t>（MRI）</w:t>
      </w:r>
      <w:r>
        <w:rPr>
          <w:spacing w:val="-2"/>
          <w:sz w:val="21"/>
        </w:rPr>
        <w:t>或</w:t>
      </w:r>
      <w:r>
        <w:rPr>
          <w:spacing w:val="-2"/>
          <w:sz w:val="21"/>
        </w:rPr>
        <w:t>正</w:t>
      </w:r>
      <w:r>
        <w:rPr>
          <w:spacing w:val="-2"/>
          <w:sz w:val="21"/>
        </w:rPr>
        <w:t>电</w:t>
      </w:r>
      <w:r>
        <w:rPr>
          <w:spacing w:val="-2"/>
          <w:sz w:val="21"/>
        </w:rPr>
        <w:t>子</w:t>
      </w:r>
      <w:r>
        <w:rPr>
          <w:spacing w:val="-2"/>
          <w:sz w:val="21"/>
        </w:rPr>
        <w:t>发</w:t>
      </w:r>
      <w:r>
        <w:rPr>
          <w:spacing w:val="-2"/>
          <w:sz w:val="21"/>
        </w:rPr>
        <w:t>射</w:t>
      </w:r>
      <w:r>
        <w:rPr>
          <w:spacing w:val="-2"/>
          <w:sz w:val="21"/>
        </w:rPr>
        <w:t>断</w:t>
      </w:r>
      <w:r>
        <w:rPr>
          <w:spacing w:val="-2"/>
          <w:sz w:val="21"/>
        </w:rPr>
        <w:t>层</w:t>
      </w:r>
      <w:r>
        <w:rPr>
          <w:spacing w:val="-2"/>
          <w:sz w:val="21"/>
        </w:rPr>
        <w:t>扫</w:t>
      </w:r>
      <w:r>
        <w:rPr>
          <w:spacing w:val="-2"/>
          <w:sz w:val="21"/>
        </w:rPr>
        <w:t>描</w:t>
      </w:r>
    </w:p>
    <w:p>
      <w:pPr>
        <w:pStyle w:val="BodyText"/>
        <w:spacing w:line="278" w:lineRule="auto"/>
        <w:ind w:left="2946" w:right="366"/>
      </w:pPr>
      <w:r>
        <w:rPr/>
        <w:t>（PET）</w:t>
      </w:r>
      <w:r>
        <w:rPr>
          <w:spacing w:val="-2"/>
        </w:rPr>
        <w:t>等影像学检查证实。神经系统永久性的功能障碍，指脑损伤 </w:t>
      </w:r>
      <w:r>
        <w:rPr/>
        <w:t>180</w:t>
      </w:r>
      <w:r>
        <w:rPr>
          <w:spacing w:val="-15"/>
        </w:rPr>
        <w:t> 天后，</w:t>
      </w:r>
      <w:r>
        <w:rPr>
          <w:spacing w:val="-2"/>
        </w:rPr>
        <w:t>仍遗留下列至少一种障碍：</w:t>
      </w:r>
    </w:p>
    <w:p>
      <w:pPr>
        <w:pStyle w:val="ListParagraph"/>
        <w:numPr>
          <w:ilvl w:val="0"/>
          <w:numId w:val="27"/>
        </w:numPr>
        <w:tabs>
          <w:tab w:pos="3476" w:val="left" w:leader="none"/>
        </w:tabs>
        <w:spacing w:line="269" w:lineRule="exact" w:before="0" w:after="0"/>
        <w:ind w:left="3475"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27"/>
        </w:numPr>
        <w:tabs>
          <w:tab w:pos="3476" w:val="left" w:leader="none"/>
        </w:tabs>
        <w:spacing w:line="240" w:lineRule="auto" w:before="43" w:after="0"/>
        <w:ind w:left="3475" w:right="0" w:hanging="530"/>
        <w:jc w:val="left"/>
        <w:rPr>
          <w:sz w:val="21"/>
        </w:rPr>
      </w:pPr>
      <w:r>
        <w:rPr>
          <w:spacing w:val="-3"/>
          <w:sz w:val="21"/>
        </w:rPr>
        <w:t>语言能力完全丧失，或严重咀嚼吞咽功能障碍；</w:t>
      </w:r>
    </w:p>
    <w:p>
      <w:pPr>
        <w:pStyle w:val="ListParagraph"/>
        <w:numPr>
          <w:ilvl w:val="0"/>
          <w:numId w:val="27"/>
        </w:numPr>
        <w:tabs>
          <w:tab w:pos="3476" w:val="left" w:leader="none"/>
        </w:tabs>
        <w:spacing w:line="278" w:lineRule="auto" w:before="43" w:after="0"/>
        <w:ind w:left="3472"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BodyText"/>
        <w:rPr>
          <w:sz w:val="12"/>
        </w:rPr>
      </w:pPr>
    </w:p>
    <w:p>
      <w:pPr>
        <w:spacing w:after="0"/>
        <w:rPr>
          <w:sz w:val="12"/>
        </w:rPr>
        <w:sectPr>
          <w:type w:val="continuous"/>
          <w:pgSz w:w="11910" w:h="16840"/>
          <w:pgMar w:header="0" w:footer="401" w:top="600" w:bottom="280" w:left="760" w:right="580"/>
        </w:sectPr>
      </w:pPr>
    </w:p>
    <w:p>
      <w:pPr>
        <w:pStyle w:val="ListParagraph"/>
        <w:numPr>
          <w:ilvl w:val="0"/>
          <w:numId w:val="18"/>
        </w:numPr>
        <w:tabs>
          <w:tab w:pos="1348" w:val="left" w:leader="none"/>
        </w:tabs>
        <w:spacing w:line="278" w:lineRule="auto" w:before="71" w:after="0"/>
        <w:ind w:left="1006" w:right="0" w:firstLine="0"/>
        <w:jc w:val="left"/>
        <w:rPr>
          <w:sz w:val="21"/>
        </w:rPr>
      </w:pPr>
      <w:r>
        <w:rPr>
          <w:spacing w:val="15"/>
          <w:sz w:val="21"/>
        </w:rPr>
        <w:t>严重原发性帕</w:t>
      </w:r>
      <w:r>
        <w:rPr>
          <w:spacing w:val="-4"/>
          <w:sz w:val="21"/>
        </w:rPr>
        <w:t>金森病</w:t>
      </w:r>
    </w:p>
    <w:p>
      <w:pPr>
        <w:pStyle w:val="BodyText"/>
        <w:spacing w:line="278" w:lineRule="auto" w:before="71"/>
        <w:ind w:left="175" w:right="438"/>
        <w:jc w:val="both"/>
      </w:pPr>
      <w:r>
        <w:rPr/>
        <w:br w:type="column"/>
      </w:r>
      <w:r>
        <w:rPr>
          <w:spacing w:val="-2"/>
        </w:rPr>
        <w:t>是一种中枢神经系统的退行性疾病，临床表现为运动迟缓、静止性震颤或肌强</w:t>
      </w:r>
      <w:r>
        <w:rPr>
          <w:spacing w:val="-2"/>
        </w:rPr>
        <w:t>直等，经相关专科医生确诊，且须满足自主生活能力完全丧失，无法独立完成</w:t>
      </w:r>
      <w:r>
        <w:rPr>
          <w:spacing w:val="-2"/>
        </w:rPr>
        <w:t>六项基本日常生活活动中的三项或三项以上。</w:t>
      </w:r>
    </w:p>
    <w:p>
      <w:pPr>
        <w:pStyle w:val="Heading2"/>
        <w:spacing w:line="320" w:lineRule="exact"/>
        <w:ind w:left="175"/>
      </w:pPr>
      <w:r>
        <w:rPr>
          <w:spacing w:val="-3"/>
        </w:rPr>
        <w:t>继发性帕金森综合征、帕金森叠加综合征不在保障范围内。</w:t>
      </w:r>
    </w:p>
    <w:p>
      <w:pPr>
        <w:spacing w:after="0" w:line="320" w:lineRule="exact"/>
        <w:sectPr>
          <w:type w:val="continuous"/>
          <w:pgSz w:w="11910" w:h="16840"/>
          <w:pgMar w:header="0" w:footer="401" w:top="600" w:bottom="280" w:left="760" w:right="580"/>
          <w:cols w:num="2" w:equalWidth="0">
            <w:col w:w="2732" w:space="40"/>
            <w:col w:w="7798"/>
          </w:cols>
        </w:sectPr>
      </w:pPr>
    </w:p>
    <w:p>
      <w:pPr>
        <w:pStyle w:val="BodyText"/>
        <w:spacing w:before="2"/>
        <w:rPr>
          <w:rFonts w:ascii="微软雅黑"/>
          <w:b/>
          <w:sz w:val="8"/>
        </w:rPr>
      </w:pPr>
    </w:p>
    <w:p>
      <w:pPr>
        <w:pStyle w:val="ListParagraph"/>
        <w:numPr>
          <w:ilvl w:val="0"/>
          <w:numId w:val="18"/>
        </w:numPr>
        <w:tabs>
          <w:tab w:pos="1325" w:val="left" w:leader="none"/>
          <w:tab w:pos="2946" w:val="left" w:leader="none"/>
        </w:tabs>
        <w:spacing w:line="278" w:lineRule="auto" w:before="72" w:after="0"/>
        <w:ind w:left="2946" w:right="368" w:hanging="1940"/>
        <w:jc w:val="left"/>
        <w:rPr>
          <w:sz w:val="21"/>
        </w:rPr>
      </w:pPr>
      <w:r>
        <w:rPr>
          <w:spacing w:val="-2"/>
          <w:sz w:val="21"/>
        </w:rPr>
        <w:t>严重Ⅲ度烧伤</w:t>
      </w:r>
      <w:r>
        <w:rPr>
          <w:sz w:val="21"/>
        </w:rPr>
        <w:tab/>
        <w:t>指烧伤程度为Ⅲ度，且Ⅲ</w:t>
      </w:r>
      <w:r>
        <w:rPr>
          <w:sz w:val="21"/>
        </w:rPr>
        <w:t>度烧伤的面积达到全身体</w:t>
      </w:r>
      <w:r>
        <w:rPr>
          <w:sz w:val="21"/>
        </w:rPr>
        <w:t>表面积的</w:t>
      </w:r>
      <w:r>
        <w:rPr>
          <w:spacing w:val="-53"/>
          <w:sz w:val="21"/>
        </w:rPr>
        <w:t> </w:t>
      </w:r>
      <w:r>
        <w:rPr>
          <w:sz w:val="21"/>
        </w:rPr>
        <w:t>20％或</w:t>
      </w:r>
      <w:r>
        <w:rPr>
          <w:spacing w:val="-53"/>
          <w:sz w:val="21"/>
        </w:rPr>
        <w:t> </w:t>
      </w:r>
      <w:r>
        <w:rPr>
          <w:sz w:val="21"/>
        </w:rPr>
        <w:t>20％以上。</w:t>
      </w:r>
      <w:r>
        <w:rPr>
          <w:spacing w:val="-2"/>
          <w:sz w:val="21"/>
        </w:rPr>
        <w:t>体</w:t>
      </w:r>
      <w:r>
        <w:rPr>
          <w:spacing w:val="-2"/>
          <w:sz w:val="21"/>
        </w:rPr>
        <w:t>表</w:t>
      </w:r>
      <w:r>
        <w:rPr>
          <w:spacing w:val="-2"/>
          <w:sz w:val="21"/>
        </w:rPr>
        <w:t>面积根据《中国新九</w:t>
      </w:r>
      <w:r>
        <w:rPr>
          <w:spacing w:val="-2"/>
          <w:sz w:val="21"/>
        </w:rPr>
        <w:t>分</w:t>
      </w:r>
      <w:r>
        <w:rPr>
          <w:spacing w:val="-2"/>
          <w:sz w:val="21"/>
        </w:rPr>
        <w:t>法</w:t>
      </w:r>
      <w:r>
        <w:rPr>
          <w:spacing w:val="-2"/>
          <w:sz w:val="21"/>
        </w:rPr>
        <w:t>》计算。</w:t>
      </w: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18"/>
        </w:numPr>
        <w:tabs>
          <w:tab w:pos="1348" w:val="left" w:leader="none"/>
        </w:tabs>
        <w:spacing w:line="278" w:lineRule="auto" w:before="72" w:after="0"/>
        <w:ind w:left="1006" w:right="0" w:firstLine="0"/>
        <w:jc w:val="left"/>
        <w:rPr>
          <w:sz w:val="21"/>
        </w:rPr>
      </w:pPr>
      <w:r>
        <w:rPr>
          <w:spacing w:val="15"/>
          <w:sz w:val="21"/>
        </w:rPr>
        <w:t>严重特发性肺</w:t>
      </w:r>
      <w:r>
        <w:rPr>
          <w:spacing w:val="-4"/>
          <w:sz w:val="21"/>
        </w:rPr>
        <w:t>动脉高压</w:t>
      </w:r>
    </w:p>
    <w:p>
      <w:pPr>
        <w:spacing w:line="312" w:lineRule="exact" w:before="32"/>
        <w:ind w:left="175" w:right="433" w:firstLine="0"/>
        <w:jc w:val="both"/>
        <w:rPr>
          <w:sz w:val="21"/>
        </w:rPr>
      </w:pPr>
      <w:r>
        <w:rPr/>
        <w:br w:type="column"/>
      </w:r>
      <w:r>
        <w:rPr>
          <w:spacing w:val="-2"/>
          <w:sz w:val="21"/>
        </w:rPr>
        <w:t>指不明原因的肺动脉压力持续性增高，进行性发展而导致的慢性疾病，已经造</w:t>
      </w:r>
      <w:r>
        <w:rPr>
          <w:w w:val="95"/>
          <w:sz w:val="21"/>
        </w:rPr>
        <w:t>成</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体</w:t>
      </w:r>
      <w:r>
        <w:rPr>
          <w:w w:val="95"/>
          <w:sz w:val="21"/>
        </w:rPr>
        <w:t>力</w:t>
      </w:r>
      <w:r>
        <w:rPr>
          <w:w w:val="95"/>
          <w:sz w:val="21"/>
        </w:rPr>
        <w:t>活</w:t>
      </w:r>
      <w:r>
        <w:rPr>
          <w:w w:val="95"/>
          <w:sz w:val="21"/>
        </w:rPr>
        <w:t>动</w:t>
      </w:r>
      <w:r>
        <w:rPr>
          <w:w w:val="95"/>
          <w:sz w:val="21"/>
        </w:rPr>
        <w:t>能</w:t>
      </w:r>
      <w:r>
        <w:rPr>
          <w:w w:val="95"/>
          <w:sz w:val="21"/>
        </w:rPr>
        <w:t>力</w:t>
      </w:r>
      <w:r>
        <w:rPr>
          <w:spacing w:val="1"/>
          <w:w w:val="95"/>
          <w:sz w:val="21"/>
        </w:rPr>
        <w:t>受限，达到</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w:t>
      </w:r>
      <w:r>
        <w:rPr>
          <w:rFonts w:ascii="微软雅黑" w:eastAsia="微软雅黑"/>
          <w:b/>
          <w:w w:val="95"/>
          <w:sz w:val="21"/>
        </w:rPr>
        <w:t>（New</w:t>
      </w:r>
      <w:r>
        <w:rPr>
          <w:rFonts w:ascii="微软雅黑" w:eastAsia="微软雅黑"/>
          <w:b/>
          <w:w w:val="95"/>
          <w:sz w:val="21"/>
        </w:rPr>
        <w:t> York Heart</w:t>
      </w:r>
      <w:r>
        <w:rPr>
          <w:rFonts w:ascii="微软雅黑" w:eastAsia="微软雅黑"/>
          <w:b/>
          <w:spacing w:val="22"/>
          <w:sz w:val="21"/>
        </w:rPr>
        <w:t> </w:t>
      </w:r>
      <w:r>
        <w:rPr>
          <w:rFonts w:ascii="微软雅黑" w:eastAsia="微软雅黑"/>
          <w:b/>
          <w:w w:val="95"/>
          <w:sz w:val="21"/>
        </w:rPr>
        <w:t>Association，NYHA）</w:t>
      </w:r>
      <w:r>
        <w:rPr>
          <w:rFonts w:ascii="微软雅黑" w:eastAsia="微软雅黑"/>
          <w:b/>
          <w:w w:val="95"/>
          <w:sz w:val="21"/>
        </w:rPr>
        <w:t>心</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状</w:t>
      </w:r>
      <w:r>
        <w:rPr>
          <w:rFonts w:ascii="微软雅黑" w:eastAsia="微软雅黑"/>
          <w:b/>
          <w:w w:val="95"/>
          <w:sz w:val="21"/>
        </w:rPr>
        <w:t>态</w:t>
      </w:r>
      <w:r>
        <w:rPr>
          <w:rFonts w:ascii="微软雅黑" w:eastAsia="微软雅黑"/>
          <w:b/>
          <w:w w:val="95"/>
          <w:sz w:val="21"/>
        </w:rPr>
        <w:t>分</w:t>
      </w:r>
      <w:r>
        <w:rPr>
          <w:rFonts w:ascii="微软雅黑" w:eastAsia="微软雅黑"/>
          <w:b/>
          <w:w w:val="95"/>
          <w:sz w:val="21"/>
        </w:rPr>
        <w:t>级</w:t>
      </w:r>
      <w:r>
        <w:rPr>
          <w:rFonts w:ascii="微软雅黑" w:eastAsia="微软雅黑"/>
          <w:b/>
          <w:spacing w:val="-4"/>
          <w:w w:val="95"/>
          <w:sz w:val="21"/>
        </w:rPr>
        <w:t> </w:t>
      </w:r>
      <w:r>
        <w:rPr>
          <w:w w:val="95"/>
          <w:position w:val="11"/>
          <w:sz w:val="11"/>
        </w:rPr>
        <w:t>9.42</w:t>
      </w:r>
      <w:r>
        <w:rPr>
          <w:w w:val="95"/>
          <w:sz w:val="21"/>
        </w:rPr>
        <w:t>IV</w:t>
      </w:r>
      <w:r>
        <w:rPr>
          <w:spacing w:val="-8"/>
          <w:w w:val="95"/>
          <w:sz w:val="21"/>
        </w:rPr>
        <w:t> 级，</w:t>
      </w:r>
      <w:r>
        <w:rPr>
          <w:w w:val="95"/>
          <w:sz w:val="21"/>
        </w:rPr>
        <w:t>且</w:t>
      </w:r>
      <w:r>
        <w:rPr>
          <w:w w:val="95"/>
          <w:sz w:val="21"/>
        </w:rPr>
        <w:t>静息状态下肺动脉平</w:t>
      </w:r>
      <w:r>
        <w:rPr>
          <w:spacing w:val="-11"/>
          <w:sz w:val="21"/>
        </w:rPr>
        <w:t>均压在 </w:t>
      </w:r>
      <w:r>
        <w:rPr>
          <w:sz w:val="21"/>
        </w:rPr>
        <w:t>36mmHg（含）以上。</w:t>
      </w:r>
    </w:p>
    <w:p>
      <w:pPr>
        <w:spacing w:after="0" w:line="312" w:lineRule="exact"/>
        <w:jc w:val="both"/>
        <w:rPr>
          <w:sz w:val="21"/>
        </w:rPr>
        <w:sectPr>
          <w:type w:val="continuous"/>
          <w:pgSz w:w="11910" w:h="16840"/>
          <w:pgMar w:header="0" w:footer="401" w:top="600" w:bottom="280" w:left="760" w:right="580"/>
          <w:cols w:num="2" w:equalWidth="0">
            <w:col w:w="2732" w:space="40"/>
            <w:col w:w="7798"/>
          </w:cols>
        </w:sectPr>
      </w:pPr>
    </w:p>
    <w:p>
      <w:pPr>
        <w:pStyle w:val="BodyText"/>
        <w:spacing w:before="1"/>
        <w:rPr>
          <w:sz w:val="15"/>
        </w:rPr>
      </w:pPr>
    </w:p>
    <w:p>
      <w:pPr>
        <w:pStyle w:val="ListParagraph"/>
        <w:numPr>
          <w:ilvl w:val="0"/>
          <w:numId w:val="18"/>
        </w:numPr>
        <w:tabs>
          <w:tab w:pos="1348" w:val="left" w:leader="none"/>
        </w:tabs>
        <w:spacing w:line="240" w:lineRule="auto" w:before="72" w:after="0"/>
        <w:ind w:left="1347" w:right="0" w:hanging="342"/>
        <w:jc w:val="left"/>
        <w:rPr>
          <w:sz w:val="21"/>
        </w:rPr>
      </w:pPr>
      <w:r>
        <w:rPr>
          <w:spacing w:val="-1"/>
          <w:sz w:val="21"/>
        </w:rPr>
        <w:t>严重运动神经 是一组中枢神经系统运动神经元的进行性变性疾病，包括进行性脊肌萎缩症、</w:t>
      </w:r>
    </w:p>
    <w:p>
      <w:pPr>
        <w:spacing w:after="0" w:line="240" w:lineRule="auto"/>
        <w:jc w:val="left"/>
        <w:rPr>
          <w:sz w:val="21"/>
        </w:rPr>
        <w:sectPr>
          <w:type w:val="continuous"/>
          <w:pgSz w:w="11910" w:h="16840"/>
          <w:pgMar w:header="0" w:footer="401" w:top="600" w:bottom="280" w:left="760" w:right="580"/>
        </w:sectPr>
      </w:pPr>
    </w:p>
    <w:p>
      <w:pPr>
        <w:pStyle w:val="BodyText"/>
        <w:tabs>
          <w:tab w:pos="2946" w:val="left" w:leader="none"/>
        </w:tabs>
        <w:spacing w:line="278" w:lineRule="auto" w:before="57"/>
        <w:ind w:left="2946" w:right="438" w:hanging="1940"/>
      </w:pPr>
      <w:r>
        <w:rPr>
          <w:spacing w:val="-6"/>
        </w:rPr>
        <w:t>元</w:t>
      </w:r>
      <w:r>
        <w:rPr>
          <w:spacing w:val="-6"/>
        </w:rPr>
        <w:t>病</w:t>
      </w:r>
      <w:r>
        <w:rPr/>
        <w:tab/>
      </w:r>
      <w:r>
        <w:rPr>
          <w:spacing w:val="-2"/>
        </w:rPr>
        <w:t>进</w:t>
      </w:r>
      <w:r>
        <w:rPr>
          <w:spacing w:val="-2"/>
        </w:rPr>
        <w:t>行</w:t>
      </w:r>
      <w:r>
        <w:rPr>
          <w:spacing w:val="-2"/>
        </w:rPr>
        <w:t>性</w:t>
      </w:r>
      <w:r>
        <w:rPr>
          <w:spacing w:val="-2"/>
        </w:rPr>
        <w:t>延</w:t>
      </w:r>
      <w:r>
        <w:rPr>
          <w:spacing w:val="-2"/>
        </w:rPr>
        <w:t>髓</w:t>
      </w:r>
      <w:r>
        <w:rPr>
          <w:spacing w:val="-2"/>
        </w:rPr>
        <w:t>麻</w:t>
      </w:r>
      <w:r>
        <w:rPr>
          <w:spacing w:val="-2"/>
        </w:rPr>
        <w:t>痹</w:t>
      </w:r>
      <w:r>
        <w:rPr>
          <w:spacing w:val="-2"/>
        </w:rPr>
        <w:t>症</w:t>
      </w:r>
      <w:r>
        <w:rPr>
          <w:spacing w:val="-2"/>
        </w:rPr>
        <w:t>、</w:t>
      </w:r>
      <w:r>
        <w:rPr>
          <w:spacing w:val="-2"/>
        </w:rPr>
        <w:t>原</w:t>
      </w:r>
      <w:r>
        <w:rPr>
          <w:spacing w:val="-2"/>
        </w:rPr>
        <w:t>发</w:t>
      </w:r>
      <w:r>
        <w:rPr>
          <w:spacing w:val="-2"/>
        </w:rPr>
        <w:t>性</w:t>
      </w:r>
      <w:r>
        <w:rPr>
          <w:spacing w:val="-2"/>
        </w:rPr>
        <w:t>侧</w:t>
      </w:r>
      <w:r>
        <w:rPr>
          <w:spacing w:val="-2"/>
        </w:rPr>
        <w:t>索</w:t>
      </w:r>
      <w:r>
        <w:rPr>
          <w:spacing w:val="-2"/>
        </w:rPr>
        <w:t>硬</w:t>
      </w:r>
      <w:r>
        <w:rPr>
          <w:spacing w:val="-2"/>
        </w:rPr>
        <w:t>化</w:t>
      </w:r>
      <w:r>
        <w:rPr>
          <w:spacing w:val="-2"/>
        </w:rPr>
        <w:t>症</w:t>
      </w:r>
      <w:r>
        <w:rPr>
          <w:spacing w:val="-2"/>
        </w:rPr>
        <w:t>、</w:t>
      </w:r>
      <w:r>
        <w:rPr>
          <w:spacing w:val="-2"/>
        </w:rPr>
        <w:t>肌</w:t>
      </w:r>
      <w:r>
        <w:rPr>
          <w:spacing w:val="-2"/>
        </w:rPr>
        <w:t>萎</w:t>
      </w:r>
      <w:r>
        <w:rPr>
          <w:spacing w:val="-2"/>
        </w:rPr>
        <w:t>缩</w:t>
      </w:r>
      <w:r>
        <w:rPr>
          <w:spacing w:val="-2"/>
        </w:rPr>
        <w:t>性</w:t>
      </w:r>
      <w:r>
        <w:rPr>
          <w:spacing w:val="-2"/>
        </w:rPr>
        <w:t>侧</w:t>
      </w:r>
      <w:r>
        <w:rPr>
          <w:spacing w:val="-2"/>
        </w:rPr>
        <w:t>索</w:t>
      </w:r>
      <w:r>
        <w:rPr>
          <w:spacing w:val="-2"/>
        </w:rPr>
        <w:t>硬</w:t>
      </w:r>
      <w:r>
        <w:rPr>
          <w:spacing w:val="-2"/>
        </w:rPr>
        <w:t>化</w:t>
      </w:r>
      <w:r>
        <w:rPr>
          <w:spacing w:val="-2"/>
        </w:rPr>
        <w:t>症</w:t>
      </w:r>
      <w:r>
        <w:rPr>
          <w:spacing w:val="-2"/>
        </w:rPr>
        <w:t>，</w:t>
      </w:r>
      <w:r>
        <w:rPr>
          <w:spacing w:val="-2"/>
        </w:rPr>
        <w:t>经</w:t>
      </w:r>
      <w:r>
        <w:rPr>
          <w:spacing w:val="-2"/>
        </w:rPr>
        <w:t>相</w:t>
      </w:r>
      <w:r>
        <w:rPr>
          <w:spacing w:val="-2"/>
        </w:rPr>
        <w:t>关</w:t>
      </w:r>
      <w:r>
        <w:rPr>
          <w:spacing w:val="-2"/>
        </w:rPr>
        <w:t>专</w:t>
      </w:r>
      <w:r>
        <w:rPr>
          <w:spacing w:val="-2"/>
        </w:rPr>
        <w:t>科</w:t>
      </w:r>
      <w:r>
        <w:rPr>
          <w:spacing w:val="-2"/>
        </w:rPr>
        <w:t>医</w:t>
      </w:r>
      <w:r>
        <w:rPr>
          <w:spacing w:val="-2"/>
        </w:rPr>
        <w:t>生</w:t>
      </w:r>
      <w:r>
        <w:rPr>
          <w:spacing w:val="-2"/>
        </w:rPr>
        <w:t>确</w:t>
      </w:r>
      <w:r>
        <w:rPr>
          <w:spacing w:val="-2"/>
        </w:rPr>
        <w:t>诊，且须满足下列至</w:t>
      </w:r>
      <w:r>
        <w:rPr>
          <w:spacing w:val="-2"/>
        </w:rPr>
        <w:t>少</w:t>
      </w:r>
      <w:r>
        <w:rPr>
          <w:spacing w:val="-2"/>
        </w:rPr>
        <w:t>一</w:t>
      </w:r>
      <w:r>
        <w:rPr>
          <w:spacing w:val="-2"/>
        </w:rPr>
        <w:t>项条件：</w:t>
      </w:r>
    </w:p>
    <w:p>
      <w:pPr>
        <w:pStyle w:val="ListParagraph"/>
        <w:numPr>
          <w:ilvl w:val="0"/>
          <w:numId w:val="28"/>
        </w:numPr>
        <w:tabs>
          <w:tab w:pos="3476" w:val="left" w:leader="none"/>
        </w:tabs>
        <w:spacing w:line="240" w:lineRule="auto" w:before="0" w:after="0"/>
        <w:ind w:left="3475" w:right="0" w:hanging="530"/>
        <w:jc w:val="left"/>
        <w:rPr>
          <w:sz w:val="21"/>
        </w:rPr>
      </w:pPr>
      <w:r>
        <w:rPr>
          <w:spacing w:val="-3"/>
          <w:sz w:val="21"/>
        </w:rPr>
        <w:t>严重咀嚼吞咽功能障碍；</w:t>
      </w:r>
    </w:p>
    <w:p>
      <w:pPr>
        <w:pStyle w:val="ListParagraph"/>
        <w:numPr>
          <w:ilvl w:val="0"/>
          <w:numId w:val="28"/>
        </w:numPr>
        <w:tabs>
          <w:tab w:pos="3476" w:val="left" w:leader="none"/>
        </w:tabs>
        <w:spacing w:line="240" w:lineRule="auto" w:before="43" w:after="0"/>
        <w:ind w:left="3475" w:right="0" w:hanging="530"/>
        <w:jc w:val="left"/>
        <w:rPr>
          <w:sz w:val="21"/>
        </w:rPr>
      </w:pP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5"/>
          <w:sz w:val="21"/>
        </w:rPr>
        <w:t>以上；</w:t>
      </w:r>
    </w:p>
    <w:p>
      <w:pPr>
        <w:pStyle w:val="ListParagraph"/>
        <w:numPr>
          <w:ilvl w:val="0"/>
          <w:numId w:val="28"/>
        </w:numPr>
        <w:tabs>
          <w:tab w:pos="3476" w:val="left" w:leader="none"/>
        </w:tabs>
        <w:spacing w:line="278" w:lineRule="auto" w:before="43" w:after="0"/>
        <w:ind w:left="3472" w:right="435" w:hanging="526"/>
        <w:jc w:val="left"/>
        <w:rPr>
          <w:sz w:val="21"/>
        </w:rPr>
      </w:pPr>
      <w:r>
        <w:rPr>
          <w:spacing w:val="-6"/>
          <w:w w:val="100"/>
          <w:sz w:val="21"/>
        </w:rPr>
        <w:t>自主生活能力完全丧失，无法独立完成六项基本日常生活活动中的三项</w:t>
      </w:r>
      <w:r>
        <w:rPr>
          <w:spacing w:val="-1"/>
          <w:w w:val="100"/>
          <w:sz w:val="21"/>
        </w:rPr>
        <w:t>或三项以上。</w:t>
      </w:r>
    </w:p>
    <w:p>
      <w:pPr>
        <w:pStyle w:val="BodyText"/>
        <w:spacing w:before="10"/>
        <w:rPr>
          <w:sz w:val="17"/>
        </w:rPr>
      </w:pPr>
    </w:p>
    <w:p>
      <w:pPr>
        <w:pStyle w:val="ListParagraph"/>
        <w:numPr>
          <w:ilvl w:val="0"/>
          <w:numId w:val="18"/>
        </w:numPr>
        <w:tabs>
          <w:tab w:pos="1325" w:val="left" w:leader="none"/>
          <w:tab w:pos="2946" w:val="left" w:leader="none"/>
        </w:tabs>
        <w:spacing w:line="278" w:lineRule="auto" w:before="0" w:after="0"/>
        <w:ind w:left="2946" w:right="435" w:hanging="1940"/>
        <w:jc w:val="left"/>
        <w:rPr>
          <w:sz w:val="21"/>
        </w:rPr>
      </w:pPr>
      <w:r>
        <w:rPr>
          <w:spacing w:val="-2"/>
          <w:sz w:val="21"/>
        </w:rPr>
        <w:t>语言能力丧失</w:t>
      </w:r>
      <w:r>
        <w:rPr>
          <w:sz w:val="21"/>
        </w:rPr>
        <w:tab/>
      </w:r>
      <w:r>
        <w:rPr>
          <w:spacing w:val="-2"/>
          <w:sz w:val="21"/>
        </w:rPr>
        <w:t>指</w:t>
      </w:r>
      <w:r>
        <w:rPr>
          <w:spacing w:val="-2"/>
          <w:sz w:val="21"/>
        </w:rPr>
        <w:t>因</w:t>
      </w:r>
      <w:r>
        <w:rPr>
          <w:spacing w:val="-2"/>
          <w:sz w:val="21"/>
        </w:rPr>
        <w:t>疾病或意外伤害导致</w:t>
      </w:r>
      <w:r>
        <w:rPr>
          <w:spacing w:val="-2"/>
          <w:sz w:val="21"/>
        </w:rPr>
        <w:t>语</w:t>
      </w:r>
      <w:r>
        <w:rPr>
          <w:spacing w:val="-2"/>
          <w:sz w:val="21"/>
        </w:rPr>
        <w:t>言</w:t>
      </w:r>
      <w:r>
        <w:rPr>
          <w:spacing w:val="-2"/>
          <w:sz w:val="21"/>
        </w:rPr>
        <w:t>能力完全丧失，经过</w:t>
      </w:r>
      <w:r>
        <w:rPr>
          <w:spacing w:val="-2"/>
          <w:sz w:val="21"/>
        </w:rPr>
        <w:t>积</w:t>
      </w:r>
      <w:r>
        <w:rPr>
          <w:spacing w:val="-2"/>
          <w:sz w:val="21"/>
        </w:rPr>
        <w:t>极</w:t>
      </w:r>
      <w:r>
        <w:rPr>
          <w:spacing w:val="-2"/>
          <w:sz w:val="21"/>
        </w:rPr>
        <w:t>治疗至少</w:t>
      </w:r>
      <w:r>
        <w:rPr>
          <w:spacing w:val="-53"/>
          <w:sz w:val="21"/>
        </w:rPr>
        <w:t> </w:t>
      </w:r>
      <w:r>
        <w:rPr>
          <w:spacing w:val="-2"/>
          <w:sz w:val="21"/>
        </w:rPr>
        <w:t>12</w:t>
      </w:r>
      <w:r>
        <w:rPr>
          <w:spacing w:val="-53"/>
          <w:sz w:val="21"/>
        </w:rPr>
        <w:t> </w:t>
      </w:r>
      <w:r>
        <w:rPr>
          <w:spacing w:val="-2"/>
          <w:sz w:val="21"/>
        </w:rPr>
        <w:t>个月（声带</w:t>
      </w:r>
      <w:r>
        <w:rPr>
          <w:spacing w:val="-2"/>
          <w:sz w:val="21"/>
        </w:rPr>
        <w:t>完</w:t>
      </w:r>
      <w:r>
        <w:rPr>
          <w:spacing w:val="-2"/>
          <w:sz w:val="21"/>
        </w:rPr>
        <w:t>全</w:t>
      </w:r>
      <w:r>
        <w:rPr>
          <w:spacing w:val="-2"/>
          <w:sz w:val="21"/>
        </w:rPr>
        <w:t>切除不受此时间限制</w:t>
      </w:r>
      <w:r>
        <w:rPr>
          <w:spacing w:val="-108"/>
          <w:sz w:val="21"/>
        </w:rPr>
        <w:t>）</w:t>
      </w:r>
      <w:r>
        <w:rPr>
          <w:sz w:val="21"/>
        </w:rPr>
        <w:t>，</w:t>
      </w:r>
      <w:r>
        <w:rPr>
          <w:spacing w:val="-2"/>
          <w:sz w:val="21"/>
        </w:rPr>
        <w:t>仍</w:t>
      </w:r>
      <w:r>
        <w:rPr>
          <w:spacing w:val="-2"/>
          <w:sz w:val="21"/>
        </w:rPr>
        <w:t>无法通过现有医疗手</w:t>
      </w:r>
      <w:r>
        <w:rPr>
          <w:spacing w:val="-2"/>
          <w:sz w:val="21"/>
        </w:rPr>
        <w:t>段</w:t>
      </w:r>
      <w:r>
        <w:rPr>
          <w:spacing w:val="-2"/>
          <w:sz w:val="21"/>
        </w:rPr>
        <w:t>恢</w:t>
      </w:r>
      <w:r>
        <w:rPr>
          <w:spacing w:val="-2"/>
          <w:sz w:val="21"/>
        </w:rPr>
        <w:t>复。</w:t>
      </w:r>
    </w:p>
    <w:p>
      <w:pPr>
        <w:pStyle w:val="Heading2"/>
        <w:spacing w:line="282" w:lineRule="exact"/>
        <w:ind w:left="2946"/>
      </w:pPr>
      <w:r>
        <w:rPr>
          <w:spacing w:val="-3"/>
        </w:rPr>
        <w:t>精神心理因素所致的语言能力丧失不在保障范围内。</w:t>
      </w:r>
    </w:p>
    <w:p>
      <w:pPr>
        <w:spacing w:line="194" w:lineRule="auto" w:before="15"/>
        <w:ind w:left="2946" w:right="438" w:firstLine="0"/>
        <w:jc w:val="left"/>
        <w:rPr>
          <w:rFonts w:ascii="微软雅黑" w:eastAsia="微软雅黑"/>
          <w:b/>
          <w:sz w:val="21"/>
        </w:rPr>
      </w:pPr>
      <w:r>
        <w:rPr>
          <w:rFonts w:ascii="微软雅黑" w:eastAsia="微软雅黑"/>
          <w:b/>
          <w:spacing w:val="-1"/>
          <w:sz w:val="21"/>
        </w:rPr>
        <w:t>申请理赔时，被保险人年龄必须在 </w:t>
      </w:r>
      <w:r>
        <w:rPr>
          <w:rFonts w:ascii="微软雅黑" w:eastAsia="微软雅黑"/>
          <w:b/>
          <w:sz w:val="21"/>
        </w:rPr>
        <w:t>3</w:t>
      </w:r>
      <w:r>
        <w:rPr>
          <w:rFonts w:ascii="微软雅黑" w:eastAsia="微软雅黑"/>
          <w:b/>
          <w:spacing w:val="-4"/>
          <w:sz w:val="21"/>
        </w:rPr>
        <w:t> 周岁以上，并且须提供理赔当时的语言能</w:t>
      </w:r>
      <w:r>
        <w:rPr>
          <w:rFonts w:ascii="微软雅黑" w:eastAsia="微软雅黑"/>
          <w:b/>
          <w:spacing w:val="-2"/>
          <w:sz w:val="21"/>
        </w:rPr>
        <w:t>力丧失诊断及检查证据。</w:t>
      </w:r>
    </w:p>
    <w:p>
      <w:pPr>
        <w:pStyle w:val="BodyText"/>
        <w:spacing w:before="2"/>
        <w:rPr>
          <w:rFonts w:ascii="微软雅黑"/>
          <w:b/>
          <w:sz w:val="9"/>
        </w:rPr>
      </w:pPr>
    </w:p>
    <w:p>
      <w:pPr>
        <w:spacing w:after="0"/>
        <w:rPr>
          <w:rFonts w:ascii="微软雅黑"/>
          <w:sz w:val="9"/>
        </w:rPr>
        <w:sectPr>
          <w:pgSz w:w="11910" w:h="16840"/>
          <w:pgMar w:header="0" w:footer="401" w:top="1080" w:bottom="600" w:left="760" w:right="580"/>
        </w:sectPr>
      </w:pPr>
    </w:p>
    <w:p>
      <w:pPr>
        <w:pStyle w:val="ListParagraph"/>
        <w:numPr>
          <w:ilvl w:val="0"/>
          <w:numId w:val="18"/>
        </w:numPr>
        <w:tabs>
          <w:tab w:pos="1348" w:val="left" w:leader="none"/>
        </w:tabs>
        <w:spacing w:line="278" w:lineRule="auto" w:before="72" w:after="0"/>
        <w:ind w:left="1006" w:right="0" w:firstLine="0"/>
        <w:jc w:val="left"/>
        <w:rPr>
          <w:sz w:val="21"/>
        </w:rPr>
      </w:pPr>
      <w:r>
        <w:rPr>
          <w:spacing w:val="15"/>
          <w:sz w:val="21"/>
        </w:rPr>
        <w:t>重型再生障碍</w:t>
      </w:r>
      <w:r>
        <w:rPr>
          <w:spacing w:val="-4"/>
          <w:sz w:val="21"/>
        </w:rPr>
        <w:t>性贫血</w:t>
      </w:r>
    </w:p>
    <w:p>
      <w:pPr>
        <w:pStyle w:val="BodyText"/>
        <w:spacing w:line="278" w:lineRule="auto" w:before="72"/>
        <w:ind w:left="175" w:right="328"/>
      </w:pPr>
      <w:r>
        <w:rPr/>
        <w:br w:type="column"/>
      </w:r>
      <w:r>
        <w:rPr>
          <w:spacing w:val="-6"/>
        </w:rPr>
        <w:t>指因骨髓造血功能慢性持续性衰竭导致的贫血、中性粒细胞减少及血小板减少。</w:t>
      </w:r>
      <w:r>
        <w:rPr>
          <w:spacing w:val="-2"/>
        </w:rPr>
        <w:t>须满足下列全部条件：</w:t>
      </w:r>
    </w:p>
    <w:p>
      <w:pPr>
        <w:pStyle w:val="ListParagraph"/>
        <w:numPr>
          <w:ilvl w:val="0"/>
          <w:numId w:val="29"/>
        </w:numPr>
        <w:tabs>
          <w:tab w:pos="704" w:val="left" w:leader="none"/>
        </w:tabs>
        <w:spacing w:line="278" w:lineRule="auto" w:before="0" w:after="0"/>
        <w:ind w:left="700" w:right="330" w:hanging="526"/>
        <w:jc w:val="left"/>
        <w:rPr>
          <w:sz w:val="21"/>
        </w:rPr>
      </w:pPr>
      <w:r>
        <w:rPr>
          <w:spacing w:val="-4"/>
          <w:sz w:val="21"/>
        </w:rPr>
        <w:t>骨髓穿刺检查或骨髓活检结果支持诊断：骨髓细胞增生程度&lt;正常的 </w:t>
      </w:r>
      <w:r>
        <w:rPr>
          <w:spacing w:val="-2"/>
          <w:sz w:val="21"/>
        </w:rPr>
        <w:t>25%；</w:t>
      </w:r>
      <w:r>
        <w:rPr>
          <w:spacing w:val="-8"/>
          <w:sz w:val="21"/>
        </w:rPr>
        <w:t>如≥正常的 </w:t>
      </w:r>
      <w:r>
        <w:rPr>
          <w:sz w:val="21"/>
        </w:rPr>
        <w:t>25%但&lt;50%，则残存的造血细胞应&lt;30%；</w:t>
      </w:r>
    </w:p>
    <w:p>
      <w:pPr>
        <w:pStyle w:val="ListParagraph"/>
        <w:numPr>
          <w:ilvl w:val="0"/>
          <w:numId w:val="29"/>
        </w:numPr>
        <w:tabs>
          <w:tab w:pos="704" w:val="left" w:leader="none"/>
        </w:tabs>
        <w:spacing w:line="269" w:lineRule="exact" w:before="0" w:after="0"/>
        <w:ind w:left="704" w:right="0" w:hanging="529"/>
        <w:jc w:val="left"/>
        <w:rPr>
          <w:sz w:val="21"/>
        </w:rPr>
      </w:pPr>
      <w:r>
        <w:rPr>
          <w:spacing w:val="-3"/>
          <w:sz w:val="21"/>
        </w:rPr>
        <w:t>外周血象须具备以下三项条件中的两项：</w:t>
      </w:r>
    </w:p>
    <w:p>
      <w:pPr>
        <w:pStyle w:val="BodyText"/>
        <w:spacing w:before="33"/>
        <w:ind w:left="700"/>
      </w:pPr>
      <w:r>
        <w:rPr>
          <w:spacing w:val="-2"/>
        </w:rPr>
        <w:t>①中性粒细胞绝对值&lt;0.5×10</w:t>
      </w:r>
      <w:r>
        <w:rPr>
          <w:spacing w:val="-2"/>
          <w:position w:val="11"/>
          <w:sz w:val="11"/>
        </w:rPr>
        <w:t>9</w:t>
      </w:r>
      <w:r>
        <w:rPr>
          <w:spacing w:val="-2"/>
        </w:rPr>
        <w:t>/L；</w:t>
      </w:r>
    </w:p>
    <w:p>
      <w:pPr>
        <w:pStyle w:val="BodyText"/>
        <w:spacing w:before="33"/>
        <w:ind w:left="700"/>
      </w:pPr>
      <w:r>
        <w:rPr>
          <w:spacing w:val="-2"/>
        </w:rPr>
        <w:t>②网织红细胞计数&lt;20×10</w:t>
      </w:r>
      <w:r>
        <w:rPr>
          <w:spacing w:val="-2"/>
          <w:position w:val="11"/>
          <w:sz w:val="11"/>
        </w:rPr>
        <w:t>9</w:t>
      </w:r>
      <w:r>
        <w:rPr>
          <w:spacing w:val="-2"/>
        </w:rPr>
        <w:t>/L；</w:t>
      </w:r>
    </w:p>
    <w:p>
      <w:pPr>
        <w:pStyle w:val="BodyText"/>
        <w:spacing w:before="33"/>
        <w:ind w:left="700"/>
      </w:pPr>
      <w:r>
        <w:rPr>
          <w:spacing w:val="-2"/>
        </w:rPr>
        <w:t>③血小板绝对值&lt;20×10</w:t>
      </w:r>
      <w:r>
        <w:rPr>
          <w:spacing w:val="-2"/>
          <w:position w:val="11"/>
          <w:sz w:val="11"/>
        </w:rPr>
        <w:t>9</w:t>
      </w:r>
      <w:r>
        <w:rPr>
          <w:spacing w:val="-2"/>
        </w:rPr>
        <w:t>/L</w:t>
      </w:r>
      <w:r>
        <w:rPr>
          <w:spacing w:val="-12"/>
        </w:rPr>
        <w:t>。</w:t>
      </w:r>
    </w:p>
    <w:p>
      <w:pPr>
        <w:spacing w:after="0"/>
        <w:sectPr>
          <w:type w:val="continuous"/>
          <w:pgSz w:w="11910" w:h="16840"/>
          <w:pgMar w:header="0" w:footer="401" w:top="600" w:bottom="280" w:left="760" w:right="580"/>
          <w:cols w:num="2" w:equalWidth="0">
            <w:col w:w="2732" w:space="40"/>
            <w:col w:w="7798"/>
          </w:cols>
        </w:sectPr>
      </w:pPr>
    </w:p>
    <w:p>
      <w:pPr>
        <w:pStyle w:val="BodyText"/>
        <w:spacing w:before="4"/>
        <w:rPr>
          <w:sz w:val="15"/>
        </w:rPr>
      </w:pPr>
    </w:p>
    <w:p>
      <w:pPr>
        <w:pStyle w:val="ListParagraph"/>
        <w:numPr>
          <w:ilvl w:val="0"/>
          <w:numId w:val="18"/>
        </w:numPr>
        <w:tabs>
          <w:tab w:pos="1325" w:val="left" w:leader="none"/>
        </w:tabs>
        <w:spacing w:line="278" w:lineRule="auto" w:before="72" w:after="0"/>
        <w:ind w:left="2946" w:right="436" w:hanging="1940"/>
        <w:jc w:val="both"/>
        <w:rPr>
          <w:sz w:val="21"/>
        </w:rPr>
      </w:pPr>
      <w:r>
        <w:rPr>
          <w:sz w:val="21"/>
        </w:rPr>
        <w:t>主动脉手术 指为治疗主动脉疾病或主动脉创伤，已经实施了开胸（含胸腔镜下）或开腹（含</w:t>
      </w:r>
      <w:r>
        <w:rPr>
          <w:spacing w:val="-2"/>
          <w:sz w:val="21"/>
        </w:rPr>
        <w:t>腹腔镜下）进行的切除、置换、修补病损主动脉血管、主动脉创伤后修复的手</w:t>
      </w:r>
      <w:r>
        <w:rPr>
          <w:spacing w:val="-2"/>
          <w:sz w:val="21"/>
        </w:rPr>
        <w:t>术。主动脉指升主动脉、主动脉弓和降主动脉（含胸主动脉和腹主动脉</w:t>
      </w:r>
      <w:r>
        <w:rPr>
          <w:spacing w:val="-63"/>
          <w:sz w:val="21"/>
        </w:rPr>
        <w:t>）</w:t>
      </w:r>
      <w:r>
        <w:rPr>
          <w:spacing w:val="-23"/>
          <w:sz w:val="21"/>
        </w:rPr>
        <w:t>，不包</w:t>
      </w:r>
      <w:r>
        <w:rPr>
          <w:spacing w:val="-2"/>
          <w:sz w:val="21"/>
        </w:rPr>
        <w:t>括升主动脉、主动脉弓和降主动脉的分支血管。</w:t>
      </w:r>
    </w:p>
    <w:p>
      <w:pPr>
        <w:pStyle w:val="Heading2"/>
        <w:spacing w:line="320" w:lineRule="exact"/>
        <w:ind w:left="2946"/>
      </w:pPr>
      <w:r>
        <w:rPr>
          <w:spacing w:val="-3"/>
        </w:rPr>
        <w:t>所有未实施开胸或开腹的动脉内介入治疗不在保障范围内。</w:t>
      </w:r>
    </w:p>
    <w:p>
      <w:pPr>
        <w:pStyle w:val="BodyText"/>
        <w:spacing w:before="1"/>
        <w:rPr>
          <w:rFonts w:ascii="微软雅黑"/>
          <w:b/>
          <w:sz w:val="8"/>
        </w:rPr>
      </w:pPr>
    </w:p>
    <w:p>
      <w:pPr>
        <w:spacing w:after="0"/>
        <w:rPr>
          <w:rFonts w:ascii="微软雅黑"/>
          <w:sz w:val="8"/>
        </w:rPr>
        <w:sectPr>
          <w:type w:val="continuous"/>
          <w:pgSz w:w="11910" w:h="16840"/>
          <w:pgMar w:header="0" w:footer="401" w:top="600" w:bottom="280" w:left="760" w:right="580"/>
        </w:sectPr>
      </w:pPr>
    </w:p>
    <w:p>
      <w:pPr>
        <w:pStyle w:val="ListParagraph"/>
        <w:numPr>
          <w:ilvl w:val="0"/>
          <w:numId w:val="18"/>
        </w:numPr>
        <w:tabs>
          <w:tab w:pos="1348" w:val="left" w:leader="none"/>
        </w:tabs>
        <w:spacing w:line="278" w:lineRule="auto" w:before="72" w:after="0"/>
        <w:ind w:left="1006" w:right="0" w:firstLine="0"/>
        <w:jc w:val="left"/>
        <w:rPr>
          <w:sz w:val="21"/>
        </w:rPr>
      </w:pPr>
      <w:r>
        <w:rPr>
          <w:spacing w:val="15"/>
          <w:sz w:val="21"/>
        </w:rPr>
        <w:t>严重慢性呼吸</w:t>
      </w:r>
      <w:r>
        <w:rPr>
          <w:spacing w:val="-6"/>
          <w:sz w:val="21"/>
        </w:rPr>
        <w:t>衰竭</w:t>
      </w:r>
    </w:p>
    <w:p>
      <w:pPr>
        <w:pStyle w:val="BodyText"/>
        <w:spacing w:line="278" w:lineRule="auto" w:before="72"/>
        <w:ind w:left="175" w:right="438"/>
      </w:pPr>
      <w:r>
        <w:rPr/>
        <w:br w:type="column"/>
      </w:r>
      <w:r>
        <w:rPr>
          <w:spacing w:val="-3"/>
        </w:rPr>
        <w:t>指因慢性呼吸系统疾病导致永久不可逆性的呼吸衰竭，经过积极治疗 </w:t>
      </w:r>
      <w:r>
        <w:rPr>
          <w:spacing w:val="-2"/>
        </w:rPr>
        <w:t>180</w:t>
      </w:r>
      <w:r>
        <w:rPr>
          <w:spacing w:val="-8"/>
        </w:rPr>
        <w:t> 天后</w:t>
      </w:r>
      <w:r>
        <w:rPr>
          <w:spacing w:val="-2"/>
        </w:rPr>
        <w:t>满足以下所有条件：</w:t>
      </w:r>
    </w:p>
    <w:p>
      <w:pPr>
        <w:pStyle w:val="ListParagraph"/>
        <w:numPr>
          <w:ilvl w:val="0"/>
          <w:numId w:val="30"/>
        </w:numPr>
        <w:tabs>
          <w:tab w:pos="704" w:val="left" w:leader="none"/>
        </w:tabs>
        <w:spacing w:line="269" w:lineRule="exact" w:before="0" w:after="0"/>
        <w:ind w:left="704" w:right="0" w:hanging="529"/>
        <w:jc w:val="left"/>
        <w:rPr>
          <w:sz w:val="21"/>
        </w:rPr>
      </w:pPr>
      <w:r>
        <w:rPr>
          <w:spacing w:val="-3"/>
          <w:sz w:val="21"/>
        </w:rPr>
        <w:t>静息时出现呼吸困难；</w:t>
      </w:r>
    </w:p>
    <w:p>
      <w:pPr>
        <w:pStyle w:val="ListParagraph"/>
        <w:numPr>
          <w:ilvl w:val="0"/>
          <w:numId w:val="30"/>
        </w:numPr>
        <w:tabs>
          <w:tab w:pos="704" w:val="left" w:leader="none"/>
        </w:tabs>
        <w:spacing w:line="240" w:lineRule="auto" w:before="42" w:after="0"/>
        <w:ind w:left="704" w:right="0" w:hanging="529"/>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30"/>
        </w:numPr>
        <w:tabs>
          <w:tab w:pos="704" w:val="left" w:leader="none"/>
        </w:tabs>
        <w:spacing w:line="240" w:lineRule="auto" w:before="43" w:after="0"/>
        <w:ind w:left="704" w:right="0" w:hanging="529"/>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401" w:top="600" w:bottom="280" w:left="760" w:right="580"/>
          <w:cols w:num="2" w:equalWidth="0">
            <w:col w:w="2732" w:space="40"/>
            <w:col w:w="7798"/>
          </w:cols>
        </w:sectPr>
      </w:pPr>
    </w:p>
    <w:p>
      <w:pPr>
        <w:pStyle w:val="BodyText"/>
        <w:spacing w:before="5"/>
        <w:rPr>
          <w:sz w:val="15"/>
        </w:rPr>
      </w:pPr>
    </w:p>
    <w:p>
      <w:pPr>
        <w:pStyle w:val="ListParagraph"/>
        <w:numPr>
          <w:ilvl w:val="0"/>
          <w:numId w:val="18"/>
        </w:numPr>
        <w:tabs>
          <w:tab w:pos="1325" w:val="left" w:leader="none"/>
          <w:tab w:pos="2946" w:val="left" w:leader="none"/>
        </w:tabs>
        <w:spacing w:line="278" w:lineRule="auto" w:before="72" w:after="0"/>
        <w:ind w:left="2946" w:right="330" w:hanging="1940"/>
        <w:jc w:val="left"/>
        <w:rPr>
          <w:sz w:val="21"/>
        </w:rPr>
      </w:pPr>
      <w:r>
        <w:rPr>
          <w:spacing w:val="-2"/>
          <w:sz w:val="21"/>
        </w:rPr>
        <w:t>严重克罗恩病</w:t>
      </w:r>
      <w:r>
        <w:rPr>
          <w:sz w:val="21"/>
        </w:rPr>
        <w:tab/>
        <w:t>指一种慢性肉芽肿性肠炎，具有特征性的克罗恩病（Crohn </w:t>
      </w:r>
      <w:r>
        <w:rPr>
          <w:sz w:val="21"/>
        </w:rPr>
        <w:t>病）病理组织学变</w:t>
      </w:r>
      <w:r>
        <w:rPr>
          <w:spacing w:val="-2"/>
          <w:sz w:val="21"/>
        </w:rPr>
        <w:t>化，须根据组织病理学特</w:t>
      </w:r>
      <w:r>
        <w:rPr>
          <w:spacing w:val="-2"/>
          <w:sz w:val="21"/>
        </w:rPr>
        <w:t>点</w:t>
      </w:r>
      <w:r>
        <w:rPr>
          <w:spacing w:val="-2"/>
          <w:sz w:val="21"/>
        </w:rPr>
        <w:t>诊</w:t>
      </w:r>
      <w:r>
        <w:rPr>
          <w:spacing w:val="-2"/>
          <w:sz w:val="21"/>
        </w:rPr>
        <w:t>断，且已经造成瘘管</w:t>
      </w:r>
      <w:r>
        <w:rPr>
          <w:spacing w:val="-2"/>
          <w:sz w:val="21"/>
        </w:rPr>
        <w:t>形</w:t>
      </w:r>
      <w:r>
        <w:rPr>
          <w:spacing w:val="-2"/>
          <w:sz w:val="21"/>
        </w:rPr>
        <w:t>成</w:t>
      </w:r>
      <w:r>
        <w:rPr>
          <w:spacing w:val="-2"/>
          <w:sz w:val="21"/>
        </w:rPr>
        <w:t>并伴有肠梗阻或肠穿孔。</w:t>
      </w:r>
    </w:p>
    <w:p>
      <w:pPr>
        <w:pStyle w:val="BodyText"/>
        <w:spacing w:before="2"/>
        <w:rPr>
          <w:sz w:val="12"/>
        </w:rPr>
      </w:pPr>
    </w:p>
    <w:p>
      <w:pPr>
        <w:spacing w:after="0"/>
        <w:rPr>
          <w:sz w:val="12"/>
        </w:rPr>
        <w:sectPr>
          <w:type w:val="continuous"/>
          <w:pgSz w:w="11910" w:h="16840"/>
          <w:pgMar w:header="0" w:footer="401" w:top="600" w:bottom="280" w:left="760" w:right="580"/>
        </w:sectPr>
      </w:pPr>
    </w:p>
    <w:p>
      <w:pPr>
        <w:pStyle w:val="ListParagraph"/>
        <w:numPr>
          <w:ilvl w:val="0"/>
          <w:numId w:val="18"/>
        </w:numPr>
        <w:tabs>
          <w:tab w:pos="1348" w:val="left" w:leader="none"/>
        </w:tabs>
        <w:spacing w:line="278" w:lineRule="auto" w:before="72" w:after="0"/>
        <w:ind w:left="1006" w:right="0" w:firstLine="0"/>
        <w:jc w:val="left"/>
        <w:rPr>
          <w:sz w:val="21"/>
        </w:rPr>
      </w:pPr>
      <w:r>
        <w:rPr>
          <w:spacing w:val="15"/>
          <w:sz w:val="21"/>
        </w:rPr>
        <w:t>严重溃疡性结</w:t>
      </w:r>
      <w:r>
        <w:rPr>
          <w:spacing w:val="-6"/>
          <w:sz w:val="21"/>
        </w:rPr>
        <w:t>肠炎</w:t>
      </w:r>
    </w:p>
    <w:p>
      <w:pPr>
        <w:pStyle w:val="BodyText"/>
        <w:rPr>
          <w:sz w:val="20"/>
        </w:rPr>
      </w:pPr>
    </w:p>
    <w:p>
      <w:pPr>
        <w:pStyle w:val="BodyText"/>
        <w:spacing w:before="7"/>
        <w:rPr>
          <w:sz w:val="26"/>
        </w:rPr>
      </w:pPr>
    </w:p>
    <w:p>
      <w:pPr>
        <w:tabs>
          <w:tab w:pos="1249" w:val="left" w:leader="none"/>
        </w:tabs>
        <w:spacing w:before="0"/>
        <w:ind w:left="260" w:right="0" w:firstLine="0"/>
        <w:jc w:val="left"/>
        <w:rPr>
          <w:rFonts w:ascii="微软雅黑" w:hAnsi="微软雅黑" w:eastAsia="微软雅黑"/>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微软雅黑" w:hAnsi="微软雅黑" w:eastAsia="微软雅黑"/>
          <w:b/>
          <w:spacing w:val="-5"/>
          <w:sz w:val="24"/>
        </w:rPr>
        <w:t>释义</w:t>
      </w:r>
    </w:p>
    <w:p>
      <w:pPr>
        <w:pStyle w:val="BodyText"/>
        <w:spacing w:line="278" w:lineRule="auto" w:before="72"/>
        <w:ind w:left="175" w:right="438"/>
        <w:jc w:val="both"/>
      </w:pPr>
      <w:r>
        <w:rPr/>
        <w:br w:type="column"/>
      </w:r>
      <w:r>
        <w:rPr>
          <w:spacing w:val="-2"/>
        </w:rPr>
        <w:t>指伴有致命性电解质紊乱的急性暴发性溃疡性结肠炎，病变已经累及全结肠，</w:t>
      </w:r>
      <w:r>
        <w:rPr>
          <w:spacing w:val="-2"/>
        </w:rPr>
        <w:t>表现为严重的血便和系统性症状体征，须根据组织病理学特点诊断，且已经实</w:t>
      </w:r>
      <w:r>
        <w:rPr>
          <w:spacing w:val="-2"/>
        </w:rPr>
        <w:t>施了结肠切除或回肠造瘘术。</w:t>
      </w:r>
    </w:p>
    <w:p>
      <w:pPr>
        <w:spacing w:after="0" w:line="278" w:lineRule="auto"/>
        <w:jc w:val="both"/>
        <w:sectPr>
          <w:type w:val="continuous"/>
          <w:pgSz w:w="11910" w:h="16840"/>
          <w:pgMar w:header="0" w:footer="401" w:top="600" w:bottom="280" w:left="760" w:right="580"/>
          <w:cols w:num="2" w:equalWidth="0">
            <w:col w:w="2732" w:space="40"/>
            <w:col w:w="7798"/>
          </w:cols>
        </w:sectPr>
      </w:pPr>
    </w:p>
    <w:p>
      <w:pPr>
        <w:pStyle w:val="BodyText"/>
        <w:rPr>
          <w:sz w:val="8"/>
        </w:rPr>
      </w:pPr>
    </w:p>
    <w:p>
      <w:pPr>
        <w:pStyle w:val="BodyText"/>
        <w:spacing w:line="20" w:lineRule="exact"/>
        <w:ind w:left="152"/>
        <w:rPr>
          <w:sz w:val="2"/>
        </w:rPr>
      </w:pPr>
      <w:r>
        <w:rPr>
          <w:sz w:val="2"/>
        </w:rPr>
        <w:drawing>
          <wp:inline distT="0" distB="0" distL="0" distR="0">
            <wp:extent cx="6451823" cy="12287"/>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51823" cy="12287"/>
                    </a:xfrm>
                    <a:prstGeom prst="rect">
                      <a:avLst/>
                    </a:prstGeom>
                  </pic:spPr>
                </pic:pic>
              </a:graphicData>
            </a:graphic>
          </wp:inline>
        </w:drawing>
      </w:r>
      <w:r>
        <w:rPr>
          <w:sz w:val="2"/>
        </w:rPr>
      </w:r>
    </w:p>
    <w:p>
      <w:pPr>
        <w:pStyle w:val="BodyText"/>
        <w:spacing w:before="3"/>
        <w:rPr>
          <w:sz w:val="12"/>
        </w:rPr>
      </w:pPr>
    </w:p>
    <w:p>
      <w:pPr>
        <w:pStyle w:val="ListParagraph"/>
        <w:numPr>
          <w:ilvl w:val="1"/>
          <w:numId w:val="31"/>
        </w:numPr>
        <w:tabs>
          <w:tab w:pos="1006" w:val="left" w:leader="none"/>
          <w:tab w:pos="1007" w:val="left" w:leader="none"/>
          <w:tab w:pos="2946" w:val="left" w:leader="none"/>
        </w:tabs>
        <w:spacing w:line="235" w:lineRule="auto" w:before="10" w:after="0"/>
        <w:ind w:left="2946" w:right="471" w:hanging="2687"/>
        <w:jc w:val="left"/>
        <w:rPr>
          <w:sz w:val="21"/>
        </w:rPr>
      </w:pPr>
      <w:r>
        <w:rPr>
          <w:rFonts w:ascii="微软雅黑" w:eastAsia="微软雅黑"/>
          <w:b/>
          <w:spacing w:val="-6"/>
          <w:sz w:val="21"/>
        </w:rPr>
        <w:t>周</w:t>
      </w:r>
      <w:r>
        <w:rPr>
          <w:rFonts w:ascii="微软雅黑" w:eastAsia="微软雅黑"/>
          <w:b/>
          <w:spacing w:val="-6"/>
          <w:sz w:val="21"/>
        </w:rPr>
        <w:t>岁</w:t>
      </w:r>
      <w:r>
        <w:rPr>
          <w:rFonts w:ascii="微软雅黑" w:eastAsia="微软雅黑"/>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3"/>
        <w:rPr>
          <w:sz w:val="16"/>
        </w:rPr>
      </w:pPr>
    </w:p>
    <w:p>
      <w:pPr>
        <w:pStyle w:val="ListParagraph"/>
        <w:numPr>
          <w:ilvl w:val="1"/>
          <w:numId w:val="31"/>
        </w:numPr>
        <w:tabs>
          <w:tab w:pos="1006" w:val="left" w:leader="none"/>
          <w:tab w:pos="1007" w:val="left" w:leader="none"/>
          <w:tab w:pos="2946" w:val="left" w:leader="none"/>
        </w:tabs>
        <w:spacing w:line="235" w:lineRule="auto" w:before="1" w:after="0"/>
        <w:ind w:left="2946" w:right="471" w:hanging="2687"/>
        <w:jc w:val="left"/>
        <w:rPr>
          <w:sz w:val="21"/>
        </w:rPr>
      </w:pPr>
      <w:r>
        <w:rPr>
          <w:rFonts w:ascii="微软雅黑" w:eastAsia="微软雅黑"/>
          <w:b/>
          <w:spacing w:val="-4"/>
          <w:sz w:val="21"/>
        </w:rPr>
        <w:t>意</w:t>
      </w:r>
      <w:r>
        <w:rPr>
          <w:rFonts w:ascii="微软雅黑" w:eastAsia="微软雅黑"/>
          <w:b/>
          <w:spacing w:val="-4"/>
          <w:sz w:val="21"/>
        </w:rPr>
        <w:t>外</w:t>
      </w:r>
      <w:r>
        <w:rPr>
          <w:rFonts w:ascii="微软雅黑" w:eastAsia="微软雅黑"/>
          <w:b/>
          <w:spacing w:val="-4"/>
          <w:sz w:val="21"/>
        </w:rPr>
        <w:t>伤</w:t>
      </w:r>
      <w:r>
        <w:rPr>
          <w:rFonts w:ascii="微软雅黑" w:eastAsia="微软雅黑"/>
          <w:b/>
          <w:spacing w:val="-4"/>
          <w:sz w:val="21"/>
        </w:rPr>
        <w:t>害</w:t>
      </w:r>
      <w:r>
        <w:rPr>
          <w:rFonts w:ascii="微软雅黑" w:eastAsia="微软雅黑"/>
          <w:b/>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意的、非疾病的客观</w:t>
      </w:r>
      <w:r>
        <w:rPr>
          <w:spacing w:val="-2"/>
          <w:sz w:val="21"/>
        </w:rPr>
        <w:t>事</w:t>
      </w:r>
      <w:r>
        <w:rPr>
          <w:spacing w:val="-2"/>
          <w:sz w:val="21"/>
        </w:rPr>
        <w:t>件</w:t>
      </w:r>
      <w:r>
        <w:rPr>
          <w:spacing w:val="-2"/>
          <w:sz w:val="21"/>
        </w:rPr>
        <w:t>直接致使身体受到的伤</w:t>
      </w:r>
      <w:r>
        <w:rPr>
          <w:spacing w:val="-6"/>
          <w:sz w:val="21"/>
        </w:rPr>
        <w:t>害</w:t>
      </w:r>
      <w:r>
        <w:rPr>
          <w:spacing w:val="-6"/>
          <w:sz w:val="21"/>
        </w:rPr>
        <w:t>。</w:t>
      </w:r>
    </w:p>
    <w:p>
      <w:pPr>
        <w:spacing w:after="0" w:line="235" w:lineRule="auto"/>
        <w:jc w:val="left"/>
        <w:rPr>
          <w:sz w:val="21"/>
        </w:rPr>
        <w:sectPr>
          <w:type w:val="continuous"/>
          <w:pgSz w:w="11910" w:h="16840"/>
          <w:pgMar w:header="0" w:footer="401" w:top="600" w:bottom="280" w:left="760" w:right="580"/>
        </w:sectPr>
      </w:pPr>
    </w:p>
    <w:p>
      <w:pPr>
        <w:pStyle w:val="ListParagraph"/>
        <w:numPr>
          <w:ilvl w:val="1"/>
          <w:numId w:val="31"/>
        </w:numPr>
        <w:tabs>
          <w:tab w:pos="1007" w:val="left" w:leader="none"/>
          <w:tab w:pos="2946" w:val="left" w:leader="none"/>
        </w:tabs>
        <w:spacing w:line="194" w:lineRule="auto" w:before="30" w:after="0"/>
        <w:ind w:left="2946" w:right="438" w:hanging="2687"/>
        <w:jc w:val="both"/>
        <w:rPr>
          <w:rFonts w:ascii="微软雅黑" w:eastAsia="微软雅黑"/>
          <w:b/>
          <w:sz w:val="21"/>
        </w:rPr>
      </w:pPr>
      <w:r>
        <w:rPr>
          <w:rFonts w:ascii="微软雅黑" w:eastAsia="微软雅黑"/>
          <w:b/>
          <w:spacing w:val="-6"/>
          <w:sz w:val="21"/>
        </w:rPr>
        <w:t>住</w:t>
      </w:r>
      <w:r>
        <w:rPr>
          <w:rFonts w:ascii="微软雅黑" w:eastAsia="微软雅黑"/>
          <w:b/>
          <w:spacing w:val="-6"/>
          <w:sz w:val="21"/>
        </w:rPr>
        <w:t>院</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确</w:t>
      </w:r>
      <w:r>
        <w:rPr>
          <w:spacing w:val="-2"/>
          <w:sz w:val="21"/>
        </w:rPr>
        <w:t>因</w:t>
      </w:r>
      <w:r>
        <w:rPr>
          <w:spacing w:val="-2"/>
          <w:sz w:val="21"/>
        </w:rPr>
        <w:t>临</w:t>
      </w:r>
      <w:r>
        <w:rPr>
          <w:spacing w:val="-2"/>
          <w:sz w:val="21"/>
        </w:rPr>
        <w:t>床</w:t>
      </w:r>
      <w:r>
        <w:rPr>
          <w:spacing w:val="-2"/>
          <w:sz w:val="21"/>
        </w:rPr>
        <w:t>需</w:t>
      </w:r>
      <w:r>
        <w:rPr>
          <w:spacing w:val="-2"/>
          <w:sz w:val="21"/>
        </w:rPr>
        <w:t>要</w:t>
      </w:r>
      <w:r>
        <w:rPr>
          <w:spacing w:val="-2"/>
          <w:sz w:val="21"/>
        </w:rPr>
        <w:t>，</w:t>
      </w:r>
      <w:r>
        <w:rPr>
          <w:spacing w:val="-2"/>
          <w:sz w:val="21"/>
        </w:rPr>
        <w:t>正</w:t>
      </w:r>
      <w:r>
        <w:rPr>
          <w:spacing w:val="-2"/>
          <w:sz w:val="21"/>
        </w:rPr>
        <w:t>式</w:t>
      </w:r>
      <w:r>
        <w:rPr>
          <w:spacing w:val="-2"/>
          <w:sz w:val="21"/>
        </w:rPr>
        <w:t>办</w:t>
      </w:r>
      <w:r>
        <w:rPr>
          <w:spacing w:val="-2"/>
          <w:sz w:val="21"/>
        </w:rPr>
        <w:t>理</w:t>
      </w:r>
      <w:r>
        <w:rPr>
          <w:spacing w:val="-2"/>
          <w:sz w:val="21"/>
        </w:rPr>
        <w:t>入</w:t>
      </w:r>
      <w:r>
        <w:rPr>
          <w:spacing w:val="-2"/>
          <w:sz w:val="21"/>
        </w:rPr>
        <w:t>院</w:t>
      </w:r>
      <w:r>
        <w:rPr>
          <w:spacing w:val="-2"/>
          <w:sz w:val="21"/>
        </w:rPr>
        <w:t>及</w:t>
      </w:r>
      <w:r>
        <w:rPr>
          <w:spacing w:val="-2"/>
          <w:sz w:val="21"/>
        </w:rPr>
        <w:t>出</w:t>
      </w:r>
      <w:r>
        <w:rPr>
          <w:spacing w:val="-2"/>
          <w:sz w:val="21"/>
        </w:rPr>
        <w:t>院</w:t>
      </w:r>
      <w:r>
        <w:rPr>
          <w:spacing w:val="-2"/>
          <w:sz w:val="21"/>
        </w:rPr>
        <w:t>手</w:t>
      </w:r>
      <w:r>
        <w:rPr>
          <w:spacing w:val="-2"/>
          <w:sz w:val="21"/>
        </w:rPr>
        <w:t>续</w:t>
      </w:r>
      <w:r>
        <w:rPr>
          <w:spacing w:val="-2"/>
          <w:sz w:val="21"/>
        </w:rPr>
        <w:t>，</w:t>
      </w:r>
      <w:r>
        <w:rPr>
          <w:spacing w:val="-2"/>
          <w:sz w:val="21"/>
        </w:rPr>
        <w:t>并</w:t>
      </w:r>
      <w:r>
        <w:rPr>
          <w:spacing w:val="-2"/>
          <w:sz w:val="21"/>
        </w:rPr>
        <w:t>确</w:t>
      </w:r>
      <w:r>
        <w:rPr>
          <w:spacing w:val="-2"/>
          <w:sz w:val="21"/>
        </w:rPr>
        <w:t>实</w:t>
      </w:r>
      <w:r>
        <w:rPr>
          <w:spacing w:val="-2"/>
          <w:sz w:val="21"/>
        </w:rPr>
        <w:t>入</w:t>
      </w:r>
      <w:r>
        <w:rPr>
          <w:spacing w:val="-2"/>
          <w:sz w:val="21"/>
        </w:rPr>
        <w:t>住</w:t>
      </w:r>
      <w:r>
        <w:rPr>
          <w:spacing w:val="-2"/>
          <w:sz w:val="21"/>
        </w:rPr>
        <w:t>医</w:t>
      </w:r>
      <w:r>
        <w:rPr>
          <w:spacing w:val="-2"/>
          <w:sz w:val="21"/>
        </w:rPr>
        <w:t>院</w:t>
      </w:r>
      <w:r>
        <w:rPr>
          <w:spacing w:val="-2"/>
          <w:sz w:val="21"/>
        </w:rPr>
        <w:t>正</w:t>
      </w:r>
      <w:r>
        <w:rPr>
          <w:spacing w:val="-2"/>
          <w:sz w:val="21"/>
        </w:rPr>
        <w:t>式</w:t>
      </w:r>
      <w:r>
        <w:rPr>
          <w:spacing w:val="-2"/>
          <w:sz w:val="21"/>
        </w:rPr>
        <w:t>病</w:t>
      </w:r>
      <w:r>
        <w:rPr>
          <w:spacing w:val="-2"/>
          <w:sz w:val="21"/>
        </w:rPr>
        <w:t>房</w:t>
      </w:r>
      <w:r>
        <w:rPr>
          <w:spacing w:val="-2"/>
          <w:sz w:val="21"/>
        </w:rPr>
        <w:t>接</w:t>
      </w:r>
      <w:r>
        <w:rPr>
          <w:spacing w:val="-2"/>
          <w:sz w:val="21"/>
        </w:rPr>
        <w:t>受</w:t>
      </w:r>
      <w:r>
        <w:rPr>
          <w:spacing w:val="-2"/>
          <w:sz w:val="21"/>
        </w:rPr>
        <w:t>治</w:t>
      </w:r>
      <w:r>
        <w:rPr>
          <w:spacing w:val="-2"/>
          <w:sz w:val="21"/>
        </w:rPr>
        <w:t>疗</w:t>
      </w:r>
      <w:r>
        <w:rPr>
          <w:spacing w:val="-2"/>
          <w:sz w:val="21"/>
        </w:rPr>
        <w:t>的</w:t>
      </w:r>
      <w:r>
        <w:rPr>
          <w:spacing w:val="-2"/>
          <w:sz w:val="21"/>
        </w:rPr>
        <w:t>行</w:t>
      </w:r>
      <w:r>
        <w:rPr>
          <w:spacing w:val="-2"/>
          <w:sz w:val="21"/>
        </w:rPr>
        <w:t>为</w:t>
      </w:r>
      <w:r>
        <w:rPr>
          <w:spacing w:val="-2"/>
          <w:sz w:val="21"/>
        </w:rPr>
        <w:t>过</w:t>
      </w:r>
      <w:r>
        <w:rPr>
          <w:spacing w:val="-2"/>
          <w:sz w:val="21"/>
        </w:rPr>
        <w:t>程，</w:t>
      </w:r>
      <w:r>
        <w:rPr>
          <w:rFonts w:ascii="微软雅黑" w:eastAsia="微软雅黑"/>
          <w:b/>
          <w:spacing w:val="-2"/>
          <w:sz w:val="21"/>
        </w:rPr>
        <w:t>不</w:t>
      </w:r>
      <w:r>
        <w:rPr>
          <w:rFonts w:ascii="微软雅黑" w:eastAsia="微软雅黑"/>
          <w:b/>
          <w:spacing w:val="-2"/>
          <w:sz w:val="21"/>
        </w:rPr>
        <w:t>包</w:t>
      </w:r>
      <w:r>
        <w:rPr>
          <w:rFonts w:ascii="微软雅黑" w:eastAsia="微软雅黑"/>
          <w:b/>
          <w:spacing w:val="-2"/>
          <w:sz w:val="21"/>
        </w:rPr>
        <w:t>括</w:t>
      </w:r>
      <w:r>
        <w:rPr>
          <w:rFonts w:ascii="微软雅黑" w:eastAsia="微软雅黑"/>
          <w:b/>
          <w:spacing w:val="-2"/>
          <w:sz w:val="21"/>
        </w:rPr>
        <w:t>入</w:t>
      </w:r>
      <w:r>
        <w:rPr>
          <w:rFonts w:ascii="微软雅黑" w:eastAsia="微软雅黑"/>
          <w:b/>
          <w:spacing w:val="-2"/>
          <w:sz w:val="21"/>
        </w:rPr>
        <w:t>住</w:t>
      </w:r>
      <w:r>
        <w:rPr>
          <w:rFonts w:ascii="微软雅黑" w:eastAsia="微软雅黑"/>
          <w:b/>
          <w:spacing w:val="-2"/>
          <w:sz w:val="21"/>
        </w:rPr>
        <w:t>门</w:t>
      </w:r>
      <w:r>
        <w:rPr>
          <w:rFonts w:ascii="微软雅黑" w:eastAsia="微软雅黑"/>
          <w:b/>
          <w:spacing w:val="-2"/>
          <w:sz w:val="21"/>
        </w:rPr>
        <w:t>诊</w:t>
      </w:r>
      <w:r>
        <w:rPr>
          <w:rFonts w:ascii="微软雅黑" w:eastAsia="微软雅黑"/>
          <w:b/>
          <w:spacing w:val="-2"/>
          <w:sz w:val="21"/>
        </w:rPr>
        <w:t>观</w:t>
      </w:r>
      <w:r>
        <w:rPr>
          <w:rFonts w:ascii="微软雅黑" w:eastAsia="微软雅黑"/>
          <w:b/>
          <w:spacing w:val="-2"/>
          <w:sz w:val="21"/>
        </w:rPr>
        <w:t>察</w:t>
      </w:r>
      <w:r>
        <w:rPr>
          <w:rFonts w:ascii="微软雅黑" w:eastAsia="微软雅黑"/>
          <w:b/>
          <w:spacing w:val="-2"/>
          <w:sz w:val="21"/>
        </w:rPr>
        <w:t>室</w:t>
      </w:r>
      <w:r>
        <w:rPr>
          <w:rFonts w:ascii="微软雅黑" w:eastAsia="微软雅黑"/>
          <w:b/>
          <w:spacing w:val="-2"/>
          <w:sz w:val="21"/>
        </w:rPr>
        <w:t>、</w:t>
      </w:r>
      <w:r>
        <w:rPr>
          <w:rFonts w:ascii="微软雅黑" w:eastAsia="微软雅黑"/>
          <w:b/>
          <w:spacing w:val="-2"/>
          <w:sz w:val="21"/>
        </w:rPr>
        <w:t>家</w:t>
      </w:r>
      <w:r>
        <w:rPr>
          <w:rFonts w:ascii="微软雅黑" w:eastAsia="微软雅黑"/>
          <w:b/>
          <w:spacing w:val="-2"/>
          <w:sz w:val="21"/>
        </w:rPr>
        <w:t>庭</w:t>
      </w:r>
      <w:r>
        <w:rPr>
          <w:rFonts w:ascii="微软雅黑" w:eastAsia="微软雅黑"/>
          <w:b/>
          <w:spacing w:val="-2"/>
          <w:sz w:val="21"/>
        </w:rPr>
        <w:t>病</w:t>
      </w:r>
      <w:r>
        <w:rPr>
          <w:rFonts w:ascii="微软雅黑" w:eastAsia="微软雅黑"/>
          <w:b/>
          <w:spacing w:val="-2"/>
          <w:sz w:val="21"/>
        </w:rPr>
        <w:t>床</w:t>
      </w:r>
      <w:r>
        <w:rPr>
          <w:rFonts w:ascii="微软雅黑" w:eastAsia="微软雅黑"/>
          <w:b/>
          <w:spacing w:val="-2"/>
          <w:sz w:val="21"/>
        </w:rPr>
        <w:t>、</w:t>
      </w:r>
      <w:r>
        <w:rPr>
          <w:rFonts w:ascii="微软雅黑" w:eastAsia="微软雅黑"/>
          <w:b/>
          <w:spacing w:val="-2"/>
          <w:sz w:val="21"/>
        </w:rPr>
        <w:t>挂</w:t>
      </w:r>
      <w:r>
        <w:rPr>
          <w:rFonts w:ascii="微软雅黑" w:eastAsia="微软雅黑"/>
          <w:b/>
          <w:spacing w:val="-2"/>
          <w:sz w:val="21"/>
        </w:rPr>
        <w:t>床</w:t>
      </w:r>
      <w:r>
        <w:rPr>
          <w:rFonts w:ascii="微软雅黑" w:eastAsia="微软雅黑"/>
          <w:b/>
          <w:spacing w:val="-2"/>
          <w:sz w:val="21"/>
        </w:rPr>
        <w:t>住</w:t>
      </w:r>
      <w:r>
        <w:rPr>
          <w:rFonts w:ascii="微软雅黑" w:eastAsia="微软雅黑"/>
          <w:b/>
          <w:spacing w:val="-2"/>
          <w:sz w:val="21"/>
        </w:rPr>
        <w:t>院</w:t>
      </w:r>
      <w:r>
        <w:rPr>
          <w:rFonts w:ascii="微软雅黑" w:eastAsia="微软雅黑"/>
          <w:b/>
          <w:spacing w:val="-2"/>
          <w:sz w:val="21"/>
        </w:rPr>
        <w:t>及</w:t>
      </w:r>
      <w:r>
        <w:rPr>
          <w:rFonts w:ascii="微软雅黑" w:eastAsia="微软雅黑"/>
          <w:b/>
          <w:spacing w:val="-2"/>
          <w:sz w:val="21"/>
        </w:rPr>
        <w:t>不</w:t>
      </w:r>
      <w:r>
        <w:rPr>
          <w:rFonts w:ascii="微软雅黑" w:eastAsia="微软雅黑"/>
          <w:b/>
          <w:spacing w:val="-2"/>
          <w:sz w:val="21"/>
        </w:rPr>
        <w:t>合</w:t>
      </w:r>
      <w:r>
        <w:rPr>
          <w:rFonts w:ascii="微软雅黑" w:eastAsia="微软雅黑"/>
          <w:b/>
          <w:spacing w:val="-2"/>
          <w:sz w:val="21"/>
        </w:rPr>
        <w:t>理</w:t>
      </w:r>
      <w:r>
        <w:rPr>
          <w:rFonts w:ascii="微软雅黑" w:eastAsia="微软雅黑"/>
          <w:b/>
          <w:spacing w:val="-2"/>
          <w:sz w:val="21"/>
        </w:rPr>
        <w:t>住</w:t>
      </w:r>
      <w:r>
        <w:rPr>
          <w:rFonts w:ascii="微软雅黑" w:eastAsia="微软雅黑"/>
          <w:b/>
          <w:spacing w:val="-2"/>
          <w:sz w:val="21"/>
        </w:rPr>
        <w:t>院</w:t>
      </w:r>
      <w:r>
        <w:rPr>
          <w:rFonts w:ascii="微软雅黑" w:eastAsia="微软雅黑"/>
          <w:b/>
          <w:spacing w:val="-2"/>
          <w:sz w:val="21"/>
        </w:rPr>
        <w:t>形</w:t>
      </w:r>
      <w:r>
        <w:rPr>
          <w:rFonts w:ascii="微软雅黑" w:eastAsia="微软雅黑"/>
          <w:b/>
          <w:spacing w:val="-2"/>
          <w:sz w:val="21"/>
        </w:rPr>
        <w:t>式</w:t>
      </w:r>
      <w:r>
        <w:rPr>
          <w:rFonts w:ascii="微软雅黑" w:eastAsia="微软雅黑"/>
          <w:b/>
          <w:spacing w:val="-2"/>
          <w:sz w:val="21"/>
        </w:rPr>
        <w:t>。</w:t>
      </w:r>
    </w:p>
    <w:p>
      <w:pPr>
        <w:spacing w:line="194" w:lineRule="auto" w:before="90"/>
        <w:ind w:left="2946" w:right="436" w:firstLine="0"/>
        <w:jc w:val="both"/>
        <w:rPr>
          <w:rFonts w:ascii="微软雅黑" w:eastAsia="微软雅黑"/>
          <w:b/>
          <w:sz w:val="21"/>
        </w:rPr>
      </w:pPr>
      <w:r>
        <w:rPr>
          <w:spacing w:val="-4"/>
          <w:sz w:val="21"/>
        </w:rPr>
        <w:t>挂床住院指被保险人住院期间未全天（</w:t>
      </w:r>
      <w:r>
        <w:rPr>
          <w:spacing w:val="-11"/>
          <w:sz w:val="21"/>
        </w:rPr>
        <w:t>连续 </w:t>
      </w:r>
      <w:r>
        <w:rPr>
          <w:spacing w:val="-4"/>
          <w:sz w:val="21"/>
        </w:rPr>
        <w:t>24</w:t>
      </w:r>
      <w:r>
        <w:rPr>
          <w:spacing w:val="-10"/>
          <w:sz w:val="21"/>
        </w:rPr>
        <w:t> 小时</w:t>
      </w:r>
      <w:r>
        <w:rPr>
          <w:spacing w:val="-4"/>
          <w:sz w:val="21"/>
        </w:rPr>
        <w:t>）在医院入住的情况；</w:t>
      </w:r>
      <w:r>
        <w:rPr>
          <w:rFonts w:ascii="微软雅黑" w:eastAsia="微软雅黑"/>
          <w:b/>
          <w:spacing w:val="-4"/>
          <w:sz w:val="21"/>
        </w:rPr>
        <w:t>挂床</w:t>
      </w:r>
      <w:r>
        <w:rPr>
          <w:rFonts w:ascii="微软雅黑" w:eastAsia="微软雅黑"/>
          <w:b/>
          <w:spacing w:val="-2"/>
          <w:sz w:val="21"/>
        </w:rPr>
        <w:t>住院期间内，我们不承担给付保险金的责任。</w:t>
      </w:r>
    </w:p>
    <w:p>
      <w:pPr>
        <w:spacing w:line="206" w:lineRule="auto" w:before="134"/>
        <w:ind w:left="2946" w:right="469" w:firstLine="0"/>
        <w:jc w:val="both"/>
        <w:rPr>
          <w:rFonts w:ascii="微软雅黑" w:eastAsia="微软雅黑"/>
          <w:b/>
          <w:sz w:val="21"/>
        </w:rPr>
      </w:pPr>
      <w:r>
        <w:rPr>
          <w:spacing w:val="-2"/>
          <w:sz w:val="21"/>
        </w:rPr>
        <w:t>不合理住院指被保险人未达到入院标准而办理入院手续或已达到出院标准而不</w:t>
      </w:r>
      <w:r>
        <w:rPr>
          <w:spacing w:val="-2"/>
          <w:sz w:val="21"/>
        </w:rPr>
        <w:t>办理出院手续的情形，入出院标准按当地卫生部门规定标准执行；</w:t>
      </w:r>
      <w:r>
        <w:rPr>
          <w:rFonts w:ascii="微软雅黑" w:eastAsia="微软雅黑"/>
          <w:b/>
          <w:spacing w:val="-2"/>
          <w:sz w:val="21"/>
        </w:rPr>
        <w:t>不合理住院</w:t>
      </w:r>
      <w:r>
        <w:rPr>
          <w:rFonts w:ascii="微软雅黑" w:eastAsia="微软雅黑"/>
          <w:b/>
          <w:spacing w:val="-2"/>
          <w:sz w:val="21"/>
        </w:rPr>
        <w:t>期间内，我们不承担给付保险金的责任。</w:t>
      </w:r>
    </w:p>
    <w:p>
      <w:pPr>
        <w:pStyle w:val="BodyText"/>
        <w:spacing w:before="13"/>
        <w:rPr>
          <w:rFonts w:ascii="微软雅黑"/>
          <w:b/>
          <w:sz w:val="13"/>
        </w:rPr>
      </w:pPr>
    </w:p>
    <w:p>
      <w:pPr>
        <w:pStyle w:val="ListParagraph"/>
        <w:numPr>
          <w:ilvl w:val="1"/>
          <w:numId w:val="31"/>
        </w:numPr>
        <w:tabs>
          <w:tab w:pos="1007" w:val="left" w:leader="none"/>
          <w:tab w:pos="2946" w:val="left" w:leader="none"/>
        </w:tabs>
        <w:spacing w:line="235" w:lineRule="auto" w:before="0" w:after="0"/>
        <w:ind w:left="2946" w:right="471" w:hanging="2687"/>
        <w:jc w:val="both"/>
        <w:rPr>
          <w:sz w:val="21"/>
        </w:rPr>
      </w:pPr>
      <w:r>
        <w:rPr>
          <w:rFonts w:ascii="微软雅黑" w:eastAsia="微软雅黑"/>
          <w:b/>
          <w:spacing w:val="-2"/>
          <w:sz w:val="21"/>
        </w:rPr>
        <w:t>同</w:t>
      </w:r>
      <w:r>
        <w:rPr>
          <w:rFonts w:ascii="微软雅黑" w:eastAsia="微软雅黑"/>
          <w:b/>
          <w:spacing w:val="-2"/>
          <w:sz w:val="21"/>
        </w:rPr>
        <w:t>一</w:t>
      </w:r>
      <w:r>
        <w:rPr>
          <w:rFonts w:ascii="微软雅黑" w:eastAsia="微软雅黑"/>
          <w:b/>
          <w:spacing w:val="-2"/>
          <w:sz w:val="21"/>
        </w:rPr>
        <w:t>次</w:t>
      </w:r>
      <w:r>
        <w:rPr>
          <w:rFonts w:ascii="微软雅黑" w:eastAsia="微软雅黑"/>
          <w:b/>
          <w:spacing w:val="-2"/>
          <w:sz w:val="21"/>
        </w:rPr>
        <w:t>住</w:t>
      </w:r>
      <w:r>
        <w:rPr>
          <w:rFonts w:ascii="微软雅黑" w:eastAsia="微软雅黑"/>
          <w:b/>
          <w:spacing w:val="-2"/>
          <w:sz w:val="21"/>
        </w:rPr>
        <w:t>院</w:t>
      </w:r>
      <w:r>
        <w:rPr>
          <w:rFonts w:ascii="微软雅黑" w:eastAsia="微软雅黑"/>
          <w:b/>
          <w:sz w:val="21"/>
        </w:rPr>
        <w:tab/>
      </w:r>
      <w:r>
        <w:rPr>
          <w:spacing w:val="-2"/>
          <w:sz w:val="21"/>
        </w:rPr>
        <w:t>若</w:t>
      </w:r>
      <w:r>
        <w:rPr>
          <w:spacing w:val="-2"/>
          <w:sz w:val="21"/>
        </w:rPr>
        <w:t>被</w:t>
      </w:r>
      <w:r>
        <w:rPr>
          <w:spacing w:val="-2"/>
          <w:sz w:val="21"/>
        </w:rPr>
        <w:t>保险人因同一原因需</w:t>
      </w:r>
      <w:r>
        <w:rPr>
          <w:spacing w:val="-2"/>
          <w:sz w:val="21"/>
        </w:rPr>
        <w:t>间</w:t>
      </w:r>
      <w:r>
        <w:rPr>
          <w:spacing w:val="-2"/>
          <w:sz w:val="21"/>
        </w:rPr>
        <w:t>歇</w:t>
      </w:r>
      <w:r>
        <w:rPr>
          <w:spacing w:val="-2"/>
          <w:sz w:val="21"/>
        </w:rPr>
        <w:t>性入住医院治疗，并</w:t>
      </w:r>
      <w:r>
        <w:rPr>
          <w:spacing w:val="-2"/>
          <w:sz w:val="21"/>
        </w:rPr>
        <w:t>且</w:t>
      </w:r>
      <w:r>
        <w:rPr>
          <w:spacing w:val="-2"/>
          <w:sz w:val="21"/>
        </w:rPr>
        <w:t>前</w:t>
      </w:r>
      <w:r>
        <w:rPr>
          <w:spacing w:val="-2"/>
          <w:sz w:val="21"/>
        </w:rPr>
        <w:t>次出院与后次入院日期</w:t>
      </w:r>
      <w:r>
        <w:rPr>
          <w:spacing w:val="-2"/>
          <w:sz w:val="21"/>
        </w:rPr>
        <w:t>的</w:t>
      </w:r>
      <w:r>
        <w:rPr>
          <w:spacing w:val="-2"/>
          <w:sz w:val="21"/>
        </w:rPr>
        <w:t>间</w:t>
      </w:r>
      <w:r>
        <w:rPr>
          <w:spacing w:val="-2"/>
          <w:sz w:val="21"/>
        </w:rPr>
        <w:t>隔未达三十日，则视</w:t>
      </w:r>
      <w:r>
        <w:rPr>
          <w:spacing w:val="-2"/>
          <w:sz w:val="21"/>
        </w:rPr>
        <w:t>为</w:t>
      </w:r>
      <w:r>
        <w:rPr>
          <w:spacing w:val="-2"/>
          <w:sz w:val="21"/>
        </w:rPr>
        <w:t>同</w:t>
      </w:r>
      <w:r>
        <w:rPr>
          <w:spacing w:val="-2"/>
          <w:sz w:val="21"/>
        </w:rPr>
        <w:t>一次住</w:t>
      </w:r>
      <w:r>
        <w:rPr>
          <w:spacing w:val="-2"/>
          <w:sz w:val="21"/>
        </w:rPr>
        <w:t>院</w:t>
      </w:r>
      <w:r>
        <w:rPr>
          <w:spacing w:val="-2"/>
          <w:sz w:val="21"/>
        </w:rPr>
        <w:t>。</w:t>
      </w:r>
    </w:p>
    <w:p>
      <w:pPr>
        <w:pStyle w:val="BodyText"/>
        <w:spacing w:before="4"/>
        <w:rPr>
          <w:sz w:val="15"/>
        </w:rPr>
      </w:pPr>
    </w:p>
    <w:p>
      <w:pPr>
        <w:spacing w:after="0"/>
        <w:rPr>
          <w:sz w:val="15"/>
        </w:rPr>
        <w:sectPr>
          <w:pgSz w:w="11910" w:h="16840"/>
          <w:pgMar w:header="0" w:footer="401" w:top="1320" w:bottom="600" w:left="760" w:right="580"/>
        </w:sectPr>
      </w:pPr>
    </w:p>
    <w:p>
      <w:pPr>
        <w:pStyle w:val="Heading2"/>
        <w:numPr>
          <w:ilvl w:val="1"/>
          <w:numId w:val="31"/>
        </w:numPr>
        <w:tabs>
          <w:tab w:pos="1006" w:val="left" w:leader="none"/>
          <w:tab w:pos="1007" w:val="left" w:leader="none"/>
        </w:tabs>
        <w:spacing w:line="350" w:lineRule="exact" w:before="5" w:after="0"/>
        <w:ind w:left="1006" w:right="0" w:hanging="747"/>
        <w:jc w:val="left"/>
      </w:pPr>
      <w:r>
        <w:rPr>
          <w:spacing w:val="-2"/>
        </w:rPr>
        <w:t>本公司认可的医疗</w:t>
      </w:r>
    </w:p>
    <w:p>
      <w:pPr>
        <w:spacing w:line="350" w:lineRule="exact" w:before="0"/>
        <w:ind w:left="1006" w:right="0" w:firstLine="0"/>
        <w:jc w:val="left"/>
        <w:rPr>
          <w:rFonts w:ascii="微软雅黑" w:eastAsia="微软雅黑"/>
          <w:b/>
          <w:sz w:val="21"/>
        </w:rPr>
      </w:pPr>
      <w:r>
        <w:rPr>
          <w:rFonts w:ascii="微软雅黑" w:eastAsia="微软雅黑"/>
          <w:b/>
          <w:spacing w:val="-5"/>
          <w:sz w:val="21"/>
        </w:rPr>
        <w:t>机构</w:t>
      </w:r>
    </w:p>
    <w:p>
      <w:pPr>
        <w:spacing w:line="201" w:lineRule="auto" w:before="106"/>
        <w:ind w:left="210" w:right="330" w:firstLine="0"/>
        <w:jc w:val="left"/>
        <w:rPr>
          <w:sz w:val="21"/>
        </w:rPr>
      </w:pPr>
      <w:r>
        <w:rPr/>
        <w:br w:type="column"/>
      </w:r>
      <w:r>
        <w:rPr>
          <w:spacing w:val="-5"/>
          <w:w w:val="100"/>
          <w:sz w:val="21"/>
        </w:rPr>
        <w:t>指中华人民共和国境内</w:t>
      </w:r>
      <w:r>
        <w:rPr>
          <w:spacing w:val="-3"/>
          <w:w w:val="100"/>
          <w:sz w:val="21"/>
        </w:rPr>
        <w:t>（</w:t>
      </w:r>
      <w:r>
        <w:rPr>
          <w:spacing w:val="-7"/>
          <w:w w:val="100"/>
          <w:sz w:val="21"/>
        </w:rPr>
        <w:t>港、澳、台地区除外</w:t>
      </w:r>
      <w:r>
        <w:rPr>
          <w:spacing w:val="-15"/>
          <w:w w:val="100"/>
          <w:sz w:val="21"/>
        </w:rPr>
        <w:t>）</w:t>
      </w:r>
      <w:r>
        <w:rPr>
          <w:spacing w:val="-5"/>
          <w:w w:val="100"/>
          <w:sz w:val="21"/>
        </w:rPr>
        <w:t>合法经营的二级以上</w:t>
      </w:r>
      <w:r>
        <w:rPr>
          <w:w w:val="100"/>
          <w:sz w:val="21"/>
        </w:rPr>
        <w:t>（</w:t>
      </w:r>
      <w:r>
        <w:rPr>
          <w:spacing w:val="-2"/>
          <w:w w:val="100"/>
          <w:sz w:val="21"/>
        </w:rPr>
        <w:t>含二级</w:t>
      </w:r>
      <w:r>
        <w:rPr>
          <w:w w:val="100"/>
          <w:sz w:val="21"/>
        </w:rPr>
        <w:t>）</w:t>
      </w:r>
      <w:r>
        <w:rPr>
          <w:spacing w:val="-6"/>
          <w:w w:val="100"/>
          <w:sz w:val="21"/>
        </w:rPr>
        <w:t>公立医院的普通部</w:t>
      </w:r>
      <w:r>
        <w:rPr>
          <w:rFonts w:ascii="微软雅黑" w:eastAsia="微软雅黑"/>
          <w:b/>
          <w:w w:val="100"/>
          <w:sz w:val="21"/>
        </w:rPr>
        <w:t>（</w:t>
      </w:r>
      <w:r>
        <w:rPr>
          <w:rFonts w:ascii="微软雅黑" w:eastAsia="微软雅黑"/>
          <w:b/>
          <w:spacing w:val="-7"/>
          <w:w w:val="100"/>
          <w:sz w:val="21"/>
        </w:rPr>
        <w:t>不包含其中的特需医疗、外宾医疗、干部病房</w:t>
      </w:r>
      <w:r>
        <w:rPr>
          <w:rFonts w:ascii="微软雅黑" w:eastAsia="微软雅黑"/>
          <w:b/>
          <w:spacing w:val="-108"/>
          <w:w w:val="100"/>
          <w:sz w:val="21"/>
        </w:rPr>
        <w:t>）</w:t>
      </w:r>
      <w:r>
        <w:rPr>
          <w:rFonts w:ascii="微软雅黑" w:eastAsia="微软雅黑"/>
          <w:b/>
          <w:spacing w:val="-6"/>
          <w:w w:val="100"/>
          <w:sz w:val="21"/>
        </w:rPr>
        <w:t>，不包括疗养院、护理院、康复中心、戒酒或戒毒中心、精神心理治疗中心以及无相应医护人员或设备的二级或三级医院的联合医院或联合病房</w:t>
      </w:r>
      <w:r>
        <w:rPr>
          <w:w w:val="100"/>
          <w:sz w:val="21"/>
        </w:rPr>
        <w:t>。</w:t>
      </w:r>
    </w:p>
    <w:p>
      <w:pPr>
        <w:pStyle w:val="BodyText"/>
        <w:spacing w:before="93"/>
        <w:ind w:left="210"/>
      </w:pPr>
      <w:r>
        <w:rPr>
          <w:spacing w:val="-3"/>
        </w:rPr>
        <w:t>被保险人因情况紧急必须立即就医可不受上述医疗机构范围的限制。</w:t>
      </w:r>
    </w:p>
    <w:p>
      <w:pPr>
        <w:spacing w:after="0"/>
        <w:sectPr>
          <w:type w:val="continuous"/>
          <w:pgSz w:w="11910" w:h="16840"/>
          <w:pgMar w:header="0" w:footer="401" w:top="600" w:bottom="280" w:left="760" w:right="580"/>
          <w:cols w:num="2" w:equalWidth="0">
            <w:col w:w="2697" w:space="40"/>
            <w:col w:w="7833"/>
          </w:cols>
        </w:sectPr>
      </w:pPr>
    </w:p>
    <w:p>
      <w:pPr>
        <w:pStyle w:val="BodyText"/>
        <w:spacing w:before="7"/>
      </w:pPr>
    </w:p>
    <w:p>
      <w:pPr>
        <w:pStyle w:val="ListParagraph"/>
        <w:numPr>
          <w:ilvl w:val="1"/>
          <w:numId w:val="31"/>
        </w:numPr>
        <w:tabs>
          <w:tab w:pos="1006" w:val="left" w:leader="none"/>
          <w:tab w:pos="1007" w:val="left" w:leader="none"/>
          <w:tab w:pos="2946" w:val="left" w:leader="none"/>
        </w:tabs>
        <w:spacing w:line="383" w:lineRule="exact" w:before="4" w:after="0"/>
        <w:ind w:left="1006" w:right="0" w:hanging="747"/>
        <w:jc w:val="left"/>
        <w:rPr>
          <w:sz w:val="21"/>
        </w:rPr>
      </w:pPr>
      <w:r>
        <w:rPr>
          <w:rFonts w:ascii="微软雅黑" w:eastAsia="微软雅黑"/>
          <w:b/>
          <w:sz w:val="21"/>
        </w:rPr>
        <w:t>医疗必需且合</w:t>
      </w:r>
      <w:r>
        <w:rPr>
          <w:rFonts w:ascii="微软雅黑" w:eastAsia="微软雅黑"/>
          <w:b/>
          <w:spacing w:val="-10"/>
          <w:sz w:val="21"/>
        </w:rPr>
        <w:t>理</w:t>
      </w:r>
      <w:r>
        <w:rPr>
          <w:rFonts w:ascii="微软雅黑" w:eastAsia="微软雅黑"/>
          <w:b/>
          <w:sz w:val="21"/>
        </w:rPr>
        <w:tab/>
      </w:r>
      <w:r>
        <w:rPr>
          <w:spacing w:val="-2"/>
          <w:sz w:val="21"/>
        </w:rPr>
        <w:t>指</w:t>
      </w:r>
      <w:r>
        <w:rPr>
          <w:spacing w:val="-2"/>
          <w:sz w:val="21"/>
        </w:rPr>
        <w:t>合</w:t>
      </w:r>
      <w:r>
        <w:rPr>
          <w:spacing w:val="-2"/>
          <w:sz w:val="21"/>
        </w:rPr>
        <w:t>理的、符合通常惯例</w:t>
      </w:r>
      <w:r>
        <w:rPr>
          <w:spacing w:val="-2"/>
          <w:sz w:val="21"/>
        </w:rPr>
        <w:t>且</w:t>
      </w:r>
      <w:r>
        <w:rPr>
          <w:spacing w:val="-2"/>
          <w:sz w:val="21"/>
        </w:rPr>
        <w:t>医</w:t>
      </w:r>
      <w:r>
        <w:rPr>
          <w:spacing w:val="-2"/>
          <w:sz w:val="21"/>
        </w:rPr>
        <w:t>疗必需的医疗费</w:t>
      </w:r>
      <w:r>
        <w:rPr>
          <w:spacing w:val="-2"/>
          <w:sz w:val="21"/>
        </w:rPr>
        <w:t>用</w:t>
      </w:r>
      <w:r>
        <w:rPr>
          <w:spacing w:val="-10"/>
          <w:sz w:val="21"/>
        </w:rPr>
        <w:t>。</w:t>
      </w:r>
    </w:p>
    <w:p>
      <w:pPr>
        <w:pStyle w:val="BodyText"/>
        <w:spacing w:line="265" w:lineRule="exact"/>
        <w:ind w:left="2946"/>
      </w:pPr>
      <w:r>
        <w:rPr>
          <w:spacing w:val="-3"/>
        </w:rPr>
        <w:t>符合通常惯例指被保险人接受的医疗服务满足以下条件：</w:t>
      </w:r>
    </w:p>
    <w:p>
      <w:pPr>
        <w:pStyle w:val="ListParagraph"/>
        <w:numPr>
          <w:ilvl w:val="2"/>
          <w:numId w:val="31"/>
        </w:numPr>
        <w:tabs>
          <w:tab w:pos="3476" w:val="left" w:leader="none"/>
        </w:tabs>
        <w:spacing w:line="278" w:lineRule="auto" w:before="43" w:after="0"/>
        <w:ind w:left="3472" w:right="435" w:hanging="526"/>
        <w:jc w:val="left"/>
        <w:rPr>
          <w:sz w:val="21"/>
        </w:rPr>
      </w:pPr>
      <w:r>
        <w:rPr>
          <w:spacing w:val="-5"/>
          <w:w w:val="100"/>
          <w:sz w:val="21"/>
        </w:rPr>
        <w:t>该服务满足医疗需要而且根据治疗当地通行治疗规范、采用了通行治疗</w:t>
      </w:r>
      <w:r>
        <w:rPr>
          <w:w w:val="100"/>
          <w:sz w:val="21"/>
        </w:rPr>
        <w:t>方法；</w:t>
      </w:r>
    </w:p>
    <w:p>
      <w:pPr>
        <w:pStyle w:val="ListParagraph"/>
        <w:numPr>
          <w:ilvl w:val="2"/>
          <w:numId w:val="31"/>
        </w:numPr>
        <w:tabs>
          <w:tab w:pos="3476" w:val="left" w:leader="none"/>
        </w:tabs>
        <w:spacing w:line="278" w:lineRule="auto" w:before="0" w:after="0"/>
        <w:ind w:left="3472" w:right="433" w:hanging="526"/>
        <w:jc w:val="both"/>
        <w:rPr>
          <w:sz w:val="21"/>
        </w:rPr>
      </w:pPr>
      <w:r>
        <w:rPr>
          <w:spacing w:val="-5"/>
          <w:w w:val="100"/>
          <w:sz w:val="21"/>
        </w:rPr>
        <w:t>医疗费用没有超过当地对类似情形治疗的常规费用，类似情形是指在同</w:t>
      </w:r>
      <w:r>
        <w:rPr>
          <w:spacing w:val="-10"/>
          <w:w w:val="100"/>
          <w:sz w:val="21"/>
        </w:rPr>
        <w:t>一地区、对相同性别、近似年龄的人所患的同类疾病或身体伤害实施的类</w:t>
      </w:r>
      <w:r>
        <w:rPr>
          <w:spacing w:val="-2"/>
          <w:w w:val="100"/>
          <w:sz w:val="21"/>
        </w:rPr>
        <w:t>似治疗或服务。</w:t>
      </w:r>
    </w:p>
    <w:p>
      <w:pPr>
        <w:pStyle w:val="BodyText"/>
        <w:ind w:left="2946"/>
      </w:pPr>
      <w:r>
        <w:rPr>
          <w:spacing w:val="-3"/>
        </w:rPr>
        <w:t>医疗必需指针对意外伤害或疾病本身的医疗服务及医疗费用满足以下条件：</w:t>
      </w:r>
    </w:p>
    <w:p>
      <w:pPr>
        <w:pStyle w:val="ListParagraph"/>
        <w:numPr>
          <w:ilvl w:val="0"/>
          <w:numId w:val="32"/>
        </w:numPr>
        <w:tabs>
          <w:tab w:pos="3476" w:val="left" w:leader="none"/>
        </w:tabs>
        <w:spacing w:line="240" w:lineRule="auto" w:before="43" w:after="0"/>
        <w:ind w:left="3475" w:right="0" w:hanging="530"/>
        <w:jc w:val="left"/>
        <w:rPr>
          <w:sz w:val="21"/>
        </w:rPr>
      </w:pPr>
      <w:r>
        <w:rPr>
          <w:spacing w:val="-3"/>
          <w:sz w:val="21"/>
        </w:rPr>
        <w:t>治疗意外伤害或疾病合适且必须的、有医生处方的项目；</w:t>
      </w:r>
    </w:p>
    <w:p>
      <w:pPr>
        <w:pStyle w:val="ListParagraph"/>
        <w:numPr>
          <w:ilvl w:val="0"/>
          <w:numId w:val="32"/>
        </w:numPr>
        <w:tabs>
          <w:tab w:pos="3476" w:val="left" w:leader="none"/>
        </w:tabs>
        <w:spacing w:line="240" w:lineRule="auto" w:before="43" w:after="0"/>
        <w:ind w:left="3475" w:right="0" w:hanging="530"/>
        <w:jc w:val="left"/>
        <w:rPr>
          <w:sz w:val="21"/>
        </w:rPr>
      </w:pPr>
      <w:r>
        <w:rPr>
          <w:spacing w:val="-3"/>
          <w:sz w:val="21"/>
        </w:rPr>
        <w:t>与接受治疗当地普遍接受的医疗专业实践标准一致；</w:t>
      </w:r>
    </w:p>
    <w:p>
      <w:pPr>
        <w:pStyle w:val="ListParagraph"/>
        <w:numPr>
          <w:ilvl w:val="0"/>
          <w:numId w:val="32"/>
        </w:numPr>
        <w:tabs>
          <w:tab w:pos="3476" w:val="left" w:leader="none"/>
        </w:tabs>
        <w:spacing w:line="240" w:lineRule="auto" w:before="43" w:after="0"/>
        <w:ind w:left="3475" w:right="0" w:hanging="530"/>
        <w:jc w:val="left"/>
        <w:rPr>
          <w:sz w:val="21"/>
        </w:rPr>
      </w:pPr>
      <w:r>
        <w:rPr>
          <w:spacing w:val="-3"/>
          <w:sz w:val="21"/>
        </w:rPr>
        <w:t>非为了医师或其他医疗提供方的方便；</w:t>
      </w:r>
    </w:p>
    <w:p>
      <w:pPr>
        <w:pStyle w:val="ListParagraph"/>
        <w:numPr>
          <w:ilvl w:val="0"/>
          <w:numId w:val="32"/>
        </w:numPr>
        <w:tabs>
          <w:tab w:pos="3476" w:val="left" w:leader="none"/>
        </w:tabs>
        <w:spacing w:line="257" w:lineRule="exact" w:before="43" w:after="0"/>
        <w:ind w:left="3475" w:right="0" w:hanging="530"/>
        <w:jc w:val="left"/>
        <w:rPr>
          <w:sz w:val="21"/>
        </w:rPr>
      </w:pPr>
      <w:r>
        <w:rPr>
          <w:spacing w:val="-3"/>
          <w:sz w:val="21"/>
        </w:rPr>
        <w:t>接受的医疗服务范围是合适的而且经济有效的。</w:t>
      </w:r>
    </w:p>
    <w:p>
      <w:pPr>
        <w:pStyle w:val="Heading2"/>
        <w:spacing w:line="194" w:lineRule="auto" w:before="40"/>
        <w:ind w:left="2946" w:right="450"/>
        <w:jc w:val="both"/>
      </w:pPr>
      <w:r>
        <w:rPr>
          <w:spacing w:val="-2"/>
        </w:rPr>
        <w:t>对是否医疗必需由本公司理赔人员根据客观、审慎、合理的原则进行审核；如</w:t>
      </w:r>
      <w:r>
        <w:rPr>
          <w:spacing w:val="-2"/>
        </w:rPr>
        <w:t>果被保险人对审核结果有不同意见，可由双方认同的权威医学机构或者权威医</w:t>
      </w:r>
      <w:r>
        <w:rPr>
          <w:spacing w:val="-2"/>
        </w:rPr>
        <w:t>学专家进行审核鉴定。</w:t>
      </w:r>
    </w:p>
    <w:p>
      <w:pPr>
        <w:pStyle w:val="ListParagraph"/>
        <w:numPr>
          <w:ilvl w:val="1"/>
          <w:numId w:val="31"/>
        </w:numPr>
        <w:tabs>
          <w:tab w:pos="1006" w:val="left" w:leader="none"/>
          <w:tab w:pos="1007" w:val="left" w:leader="none"/>
          <w:tab w:pos="2946" w:val="left" w:leader="none"/>
        </w:tabs>
        <w:spacing w:line="240" w:lineRule="auto" w:before="168" w:after="0"/>
        <w:ind w:left="1006" w:right="0" w:hanging="747"/>
        <w:jc w:val="left"/>
        <w:rPr>
          <w:sz w:val="21"/>
        </w:rPr>
      </w:pPr>
      <w:r>
        <w:rPr>
          <w:rFonts w:ascii="微软雅黑" w:eastAsia="微软雅黑"/>
          <w:b/>
          <w:sz w:val="21"/>
        </w:rPr>
        <w:t>住院医疗费</w:t>
      </w:r>
      <w:r>
        <w:rPr>
          <w:rFonts w:ascii="微软雅黑" w:eastAsia="微软雅黑"/>
          <w:b/>
          <w:spacing w:val="-10"/>
          <w:sz w:val="21"/>
        </w:rPr>
        <w:t>用</w:t>
      </w:r>
      <w:r>
        <w:rPr>
          <w:rFonts w:ascii="微软雅黑" w:eastAsia="微软雅黑"/>
          <w:b/>
          <w:sz w:val="21"/>
        </w:rPr>
        <w:tab/>
      </w:r>
      <w:r>
        <w:rPr>
          <w:spacing w:val="-2"/>
          <w:sz w:val="21"/>
        </w:rPr>
        <w:t>指</w:t>
      </w:r>
      <w:r>
        <w:rPr>
          <w:spacing w:val="-2"/>
          <w:sz w:val="21"/>
        </w:rPr>
        <w:t>被</w:t>
      </w:r>
      <w:r>
        <w:rPr>
          <w:spacing w:val="-2"/>
          <w:sz w:val="21"/>
        </w:rPr>
        <w:t>保险人住院期间发生</w:t>
      </w:r>
      <w:r>
        <w:rPr>
          <w:spacing w:val="-2"/>
          <w:sz w:val="21"/>
        </w:rPr>
        <w:t>的</w:t>
      </w:r>
      <w:r>
        <w:rPr>
          <w:spacing w:val="-2"/>
          <w:sz w:val="21"/>
        </w:rPr>
        <w:t>医</w:t>
      </w:r>
      <w:r>
        <w:rPr>
          <w:spacing w:val="-2"/>
          <w:sz w:val="21"/>
        </w:rPr>
        <w:t>疗费用，包</w:t>
      </w:r>
      <w:r>
        <w:rPr>
          <w:spacing w:val="-2"/>
          <w:sz w:val="21"/>
        </w:rPr>
        <w:t>括</w:t>
      </w:r>
      <w:r>
        <w:rPr>
          <w:spacing w:val="-10"/>
          <w:sz w:val="21"/>
        </w:rPr>
        <w:t>：</w:t>
      </w:r>
    </w:p>
    <w:p>
      <w:pPr>
        <w:pStyle w:val="ListParagraph"/>
        <w:numPr>
          <w:ilvl w:val="0"/>
          <w:numId w:val="33"/>
        </w:numPr>
        <w:tabs>
          <w:tab w:pos="3476" w:val="left" w:leader="none"/>
        </w:tabs>
        <w:spacing w:line="240" w:lineRule="auto" w:before="86" w:after="0"/>
        <w:ind w:left="3475" w:right="0" w:hanging="530"/>
        <w:jc w:val="left"/>
        <w:rPr>
          <w:sz w:val="21"/>
        </w:rPr>
      </w:pPr>
      <w:r>
        <w:rPr>
          <w:spacing w:val="-4"/>
          <w:sz w:val="21"/>
        </w:rPr>
        <w:t>床位费和膳食费</w:t>
      </w:r>
    </w:p>
    <w:p>
      <w:pPr>
        <w:pStyle w:val="BodyText"/>
        <w:spacing w:before="44"/>
        <w:ind w:left="2946"/>
      </w:pPr>
      <w:r>
        <w:rPr>
          <w:spacing w:val="-3"/>
        </w:rPr>
        <w:t>床位费指被保险人住院期间使用的医院床位的费用。</w:t>
      </w:r>
    </w:p>
    <w:p>
      <w:pPr>
        <w:pStyle w:val="BodyText"/>
        <w:spacing w:line="278" w:lineRule="auto" w:before="43"/>
        <w:ind w:left="2946" w:right="436"/>
      </w:pPr>
      <w:r>
        <w:rPr>
          <w:spacing w:val="-2"/>
        </w:rPr>
        <w:t>膳食费指住院期间根据医生的医嘱且由医院内设的专门为住院病人配餐的食堂</w:t>
      </w:r>
      <w:r>
        <w:rPr>
          <w:spacing w:val="-2"/>
        </w:rPr>
        <w:t>配送的并符合通常惯例的膳食费用。</w:t>
      </w:r>
    </w:p>
    <w:p>
      <w:pPr>
        <w:spacing w:line="282" w:lineRule="exact" w:before="0"/>
        <w:ind w:left="2946" w:right="0" w:firstLine="0"/>
        <w:jc w:val="left"/>
        <w:rPr>
          <w:rFonts w:ascii="微软雅黑" w:eastAsia="微软雅黑"/>
          <w:b/>
          <w:sz w:val="21"/>
        </w:rPr>
      </w:pPr>
      <w:r>
        <w:rPr>
          <w:rFonts w:ascii="微软雅黑" w:eastAsia="微软雅黑"/>
          <w:b/>
          <w:spacing w:val="-2"/>
          <w:sz w:val="21"/>
        </w:rPr>
        <w:t>膳食费不包括：</w:t>
      </w:r>
    </w:p>
    <w:p>
      <w:pPr>
        <w:spacing w:line="312" w:lineRule="exact" w:before="0"/>
        <w:ind w:left="2946" w:right="0" w:firstLine="0"/>
        <w:jc w:val="left"/>
        <w:rPr>
          <w:rFonts w:ascii="微软雅黑" w:hAnsi="微软雅黑" w:eastAsia="微软雅黑"/>
          <w:b/>
          <w:sz w:val="21"/>
        </w:rPr>
      </w:pPr>
      <w:r>
        <w:rPr>
          <w:rFonts w:ascii="微软雅黑" w:hAnsi="微软雅黑" w:eastAsia="微软雅黑"/>
          <w:b/>
          <w:spacing w:val="-1"/>
          <w:sz w:val="21"/>
        </w:rPr>
        <w:t>① 所有医院外其他营利性餐饮服务机构提供的餐饮费用；</w:t>
      </w:r>
    </w:p>
    <w:p>
      <w:pPr>
        <w:spacing w:line="312" w:lineRule="exact" w:before="0"/>
        <w:ind w:left="2946" w:right="0" w:firstLine="0"/>
        <w:jc w:val="left"/>
        <w:rPr>
          <w:rFonts w:ascii="微软雅黑" w:hAnsi="微软雅黑" w:eastAsia="微软雅黑"/>
          <w:b/>
          <w:sz w:val="21"/>
        </w:rPr>
      </w:pPr>
      <w:r>
        <w:rPr>
          <w:rFonts w:ascii="微软雅黑" w:hAnsi="微软雅黑" w:eastAsia="微软雅黑"/>
          <w:b/>
          <w:spacing w:val="-1"/>
          <w:sz w:val="21"/>
        </w:rPr>
        <w:t>② 不是根据医嘱配送的、在医院对外营业的餐厅或食堂的餐饮费用；</w:t>
      </w:r>
    </w:p>
    <w:p>
      <w:pPr>
        <w:spacing w:line="350" w:lineRule="exact" w:before="0"/>
        <w:ind w:left="2946" w:right="0" w:firstLine="0"/>
        <w:jc w:val="left"/>
        <w:rPr>
          <w:rFonts w:ascii="微软雅黑" w:hAnsi="微软雅黑" w:eastAsia="微软雅黑"/>
          <w:b/>
          <w:sz w:val="21"/>
        </w:rPr>
      </w:pPr>
      <w:r>
        <w:rPr>
          <w:rFonts w:ascii="微软雅黑" w:hAnsi="微软雅黑" w:eastAsia="微软雅黑"/>
          <w:b/>
          <w:spacing w:val="-1"/>
          <w:sz w:val="21"/>
        </w:rPr>
        <w:t>③ 不在医院开具的医疗费用清单上的餐饮费用。</w:t>
      </w:r>
    </w:p>
    <w:p>
      <w:pPr>
        <w:pStyle w:val="ListParagraph"/>
        <w:numPr>
          <w:ilvl w:val="0"/>
          <w:numId w:val="33"/>
        </w:numPr>
        <w:tabs>
          <w:tab w:pos="3476" w:val="left" w:leader="none"/>
        </w:tabs>
        <w:spacing w:line="240" w:lineRule="auto" w:before="85" w:after="0"/>
        <w:ind w:left="3475" w:right="0" w:hanging="530"/>
        <w:jc w:val="left"/>
        <w:rPr>
          <w:sz w:val="21"/>
        </w:rPr>
      </w:pPr>
      <w:r>
        <w:rPr>
          <w:spacing w:val="-5"/>
          <w:sz w:val="21"/>
        </w:rPr>
        <w:t>加床费</w:t>
      </w:r>
    </w:p>
    <w:p>
      <w:pPr>
        <w:pStyle w:val="BodyText"/>
        <w:spacing w:before="43"/>
        <w:ind w:left="2946"/>
      </w:pPr>
      <w:r>
        <w:rPr>
          <w:spacing w:val="-12"/>
        </w:rPr>
        <w:t>指未满 </w:t>
      </w:r>
      <w:r>
        <w:rPr>
          <w:spacing w:val="-2"/>
        </w:rPr>
        <w:t>18</w:t>
      </w:r>
      <w:r>
        <w:rPr>
          <w:spacing w:val="-13"/>
        </w:rPr>
        <w:t> 周岁的被保险人在住院治疗期间，我们根据合同约定给付其合法监护</w:t>
      </w:r>
    </w:p>
    <w:p>
      <w:pPr>
        <w:spacing w:after="0"/>
        <w:sectPr>
          <w:type w:val="continuous"/>
          <w:pgSz w:w="11910" w:h="16840"/>
          <w:pgMar w:header="0" w:footer="401" w:top="600" w:bottom="280" w:left="760" w:right="580"/>
        </w:sectPr>
      </w:pPr>
    </w:p>
    <w:p>
      <w:pPr>
        <w:pStyle w:val="BodyText"/>
        <w:spacing w:line="278" w:lineRule="auto" w:before="57"/>
        <w:ind w:left="2946" w:right="435"/>
      </w:pPr>
      <w:r>
        <w:rPr/>
        <w:t>人（</w:t>
      </w:r>
      <w:r>
        <w:rPr>
          <w:spacing w:val="-18"/>
        </w:rPr>
        <w:t>限 </w:t>
      </w:r>
      <w:r>
        <w:rPr/>
        <w:t>1</w:t>
      </w:r>
      <w:r>
        <w:rPr>
          <w:spacing w:val="-17"/>
        </w:rPr>
        <w:t> 人</w:t>
      </w:r>
      <w:r>
        <w:rPr/>
        <w:t>）在医院留宿发生的加床费；或女性被保险人在住院治疗期间，我</w:t>
      </w:r>
      <w:r>
        <w:rPr>
          <w:spacing w:val="-2"/>
        </w:rPr>
        <w:t>们根据合同约定给付其一周岁以下哺乳期婴儿在医院留宿发生的加床费。</w:t>
      </w:r>
    </w:p>
    <w:p>
      <w:pPr>
        <w:pStyle w:val="ListParagraph"/>
        <w:numPr>
          <w:ilvl w:val="0"/>
          <w:numId w:val="33"/>
        </w:numPr>
        <w:tabs>
          <w:tab w:pos="3476" w:val="left" w:leader="none"/>
        </w:tabs>
        <w:spacing w:line="240" w:lineRule="auto" w:before="94" w:after="0"/>
        <w:ind w:left="3475" w:right="0" w:hanging="530"/>
        <w:jc w:val="left"/>
        <w:rPr>
          <w:sz w:val="21"/>
        </w:rPr>
      </w:pPr>
      <w:r>
        <w:rPr>
          <w:spacing w:val="-4"/>
          <w:sz w:val="21"/>
        </w:rPr>
        <w:t>重症监护室床位费</w:t>
      </w:r>
    </w:p>
    <w:p>
      <w:pPr>
        <w:pStyle w:val="BodyText"/>
        <w:spacing w:line="278" w:lineRule="auto" w:before="43"/>
        <w:ind w:left="2946" w:right="368"/>
        <w:jc w:val="both"/>
      </w:pPr>
      <w:r>
        <w:rPr>
          <w:spacing w:val="-2"/>
        </w:rPr>
        <w:t>指住院期间出于医学必要被保险人需在重症监护室进行医疗必需且合理的医疗</w:t>
      </w:r>
      <w:r>
        <w:rPr>
          <w:spacing w:val="-2"/>
        </w:rPr>
        <w:t>而产生的床位费。重症监护室指配有中心监护台、心电监护仪及其他监护抢救</w:t>
      </w:r>
      <w:r>
        <w:rPr>
          <w:spacing w:val="-4"/>
        </w:rPr>
        <w:t>设施，相对封闭管理，符合重症监护病房</w:t>
      </w:r>
      <w:r>
        <w:rPr>
          <w:spacing w:val="17"/>
        </w:rPr>
        <w:t>（</w:t>
      </w:r>
      <w:r>
        <w:rPr>
          <w:spacing w:val="18"/>
        </w:rPr>
        <w:t>I</w:t>
      </w:r>
      <w:r>
        <w:rPr>
          <w:spacing w:val="15"/>
        </w:rPr>
        <w:t>C</w:t>
      </w:r>
      <w:r>
        <w:rPr>
          <w:spacing w:val="17"/>
        </w:rPr>
        <w:t>U</w:t>
      </w:r>
      <w:r>
        <w:rPr>
          <w:spacing w:val="-88"/>
        </w:rPr>
        <w:t>）</w:t>
      </w:r>
      <w:r>
        <w:rPr>
          <w:spacing w:val="-4"/>
        </w:rPr>
        <w:t>、冠心病重症监护病房（CCU）</w:t>
      </w:r>
      <w:r>
        <w:rPr>
          <w:spacing w:val="-2"/>
        </w:rPr>
        <w:t>标准的单人或多人监护病房。</w:t>
      </w:r>
    </w:p>
    <w:p>
      <w:pPr>
        <w:pStyle w:val="BodyText"/>
        <w:spacing w:line="278" w:lineRule="auto"/>
        <w:ind w:left="2946" w:right="328"/>
      </w:pPr>
      <w:r>
        <w:rPr>
          <w:spacing w:val="-7"/>
          <w:w w:val="100"/>
        </w:rPr>
        <w:t>上述医学必要指被保险人接受治疗或服务、使用器械或服用药品符合以下条件：医师处方要求且对治疗被保险人疾病或伤害合适且必需；在范围、持续期、强</w:t>
      </w:r>
      <w:r>
        <w:rPr>
          <w:spacing w:val="-9"/>
          <w:w w:val="100"/>
        </w:rPr>
        <w:t>度、护理上不超过为被保险人提供安全、恰当、合适的诊断或治疗所需的水平；与接受治疗当地普遍接受的医疗专业实践标准一致；非主要为了个人舒适或为了被保险人父母、家庭、医师或其他医疗提供方的方便；非病人学术教育或职</w:t>
      </w:r>
      <w:r>
        <w:rPr>
          <w:spacing w:val="-5"/>
          <w:w w:val="100"/>
        </w:rPr>
        <w:t>业培训的一部分或与之相关；非试验性或研究性。</w:t>
      </w:r>
    </w:p>
    <w:p>
      <w:pPr>
        <w:pStyle w:val="ListParagraph"/>
        <w:numPr>
          <w:ilvl w:val="0"/>
          <w:numId w:val="33"/>
        </w:numPr>
        <w:tabs>
          <w:tab w:pos="3476" w:val="left" w:leader="none"/>
        </w:tabs>
        <w:spacing w:line="240" w:lineRule="auto" w:before="93" w:after="0"/>
        <w:ind w:left="3475" w:right="0" w:hanging="530"/>
        <w:jc w:val="left"/>
        <w:rPr>
          <w:sz w:val="21"/>
        </w:rPr>
      </w:pPr>
      <w:r>
        <w:rPr>
          <w:spacing w:val="-5"/>
          <w:sz w:val="21"/>
        </w:rPr>
        <w:t>药品费</w:t>
      </w:r>
    </w:p>
    <w:p>
      <w:pPr>
        <w:pStyle w:val="BodyText"/>
        <w:spacing w:line="278" w:lineRule="auto" w:before="43"/>
        <w:ind w:left="2946" w:right="438"/>
      </w:pPr>
      <w:r>
        <w:rPr>
          <w:spacing w:val="-2"/>
        </w:rPr>
        <w:t>指在住院以及特殊门诊就医期间实际发生的由医生开具的处方所发生的医疗必</w:t>
      </w:r>
      <w:r>
        <w:rPr>
          <w:spacing w:val="-2"/>
        </w:rPr>
        <w:t>需且合理的西药、中成药和中草药的费用。</w:t>
      </w:r>
    </w:p>
    <w:p>
      <w:pPr>
        <w:pStyle w:val="Heading2"/>
        <w:spacing w:line="282" w:lineRule="exact"/>
        <w:ind w:left="2946"/>
      </w:pPr>
      <w:r>
        <w:rPr>
          <w:spacing w:val="-1"/>
        </w:rPr>
        <w:t>药品费不包括在治疗时当地政府适用的《城镇职工基本医疗保险药品目录》及</w:t>
      </w:r>
    </w:p>
    <w:p>
      <w:pPr>
        <w:spacing w:line="194" w:lineRule="auto" w:before="15"/>
        <w:ind w:left="2946" w:right="438" w:firstLine="0"/>
        <w:jc w:val="left"/>
        <w:rPr>
          <w:rFonts w:ascii="微软雅黑" w:eastAsia="微软雅黑"/>
          <w:b/>
          <w:sz w:val="21"/>
        </w:rPr>
      </w:pPr>
      <w:r>
        <w:rPr>
          <w:rFonts w:ascii="微软雅黑" w:eastAsia="微软雅黑"/>
          <w:b/>
          <w:spacing w:val="-2"/>
          <w:sz w:val="21"/>
        </w:rPr>
        <w:t>相关规定中不予给付的下列药品：营养补充类药品，免疫功能调节类药品，美</w:t>
      </w:r>
      <w:r>
        <w:rPr>
          <w:rFonts w:ascii="微软雅黑" w:eastAsia="微软雅黑"/>
          <w:b/>
          <w:spacing w:val="-2"/>
          <w:sz w:val="21"/>
        </w:rPr>
        <w:t>容及减肥类药品，预防类药品以及中草药类药品。</w:t>
      </w:r>
    </w:p>
    <w:p>
      <w:pPr>
        <w:pStyle w:val="ListParagraph"/>
        <w:numPr>
          <w:ilvl w:val="0"/>
          <w:numId w:val="33"/>
        </w:numPr>
        <w:tabs>
          <w:tab w:pos="3476" w:val="left" w:leader="none"/>
        </w:tabs>
        <w:spacing w:line="240" w:lineRule="auto" w:before="105" w:after="0"/>
        <w:ind w:left="3475" w:right="0" w:hanging="530"/>
        <w:jc w:val="left"/>
        <w:rPr>
          <w:sz w:val="21"/>
        </w:rPr>
      </w:pPr>
      <w:r>
        <w:rPr>
          <w:spacing w:val="-5"/>
          <w:sz w:val="21"/>
        </w:rPr>
        <w:t>材料费</w:t>
      </w:r>
    </w:p>
    <w:p>
      <w:pPr>
        <w:pStyle w:val="BodyText"/>
        <w:spacing w:line="278" w:lineRule="auto" w:before="43"/>
        <w:ind w:left="2946" w:right="438"/>
      </w:pPr>
      <w:r>
        <w:rPr>
          <w:spacing w:val="-2"/>
        </w:rPr>
        <w:t>指在住院以及特殊门诊就医期间医生或护士在为被保险人进行的各种治疗中所</w:t>
      </w:r>
      <w:r>
        <w:rPr>
          <w:spacing w:val="-2"/>
        </w:rPr>
        <w:t>使用的一次性敷料费用。</w:t>
      </w:r>
    </w:p>
    <w:p>
      <w:pPr>
        <w:pStyle w:val="ListParagraph"/>
        <w:numPr>
          <w:ilvl w:val="0"/>
          <w:numId w:val="33"/>
        </w:numPr>
        <w:tabs>
          <w:tab w:pos="3476" w:val="left" w:leader="none"/>
        </w:tabs>
        <w:spacing w:line="240" w:lineRule="auto" w:before="93" w:after="0"/>
        <w:ind w:left="3475" w:right="0" w:hanging="530"/>
        <w:jc w:val="left"/>
        <w:rPr>
          <w:sz w:val="21"/>
        </w:rPr>
      </w:pPr>
      <w:r>
        <w:rPr>
          <w:spacing w:val="-4"/>
          <w:sz w:val="21"/>
        </w:rPr>
        <w:t>医事服务费</w:t>
      </w:r>
    </w:p>
    <w:p>
      <w:pPr>
        <w:pStyle w:val="BodyText"/>
        <w:spacing w:line="278" w:lineRule="auto" w:before="41"/>
        <w:ind w:left="2946" w:right="438"/>
      </w:pPr>
      <w:r>
        <w:rPr>
          <w:spacing w:val="-2"/>
        </w:rPr>
        <w:t>指由医生所实施的病情咨询及检查、各种器械或仪器检查、诊断、治疗方案拟</w:t>
      </w:r>
      <w:r>
        <w:rPr>
          <w:spacing w:val="-2"/>
        </w:rPr>
        <w:t>定等各项医疗服务所收取的费用。</w:t>
      </w:r>
    </w:p>
    <w:p>
      <w:pPr>
        <w:pStyle w:val="ListParagraph"/>
        <w:numPr>
          <w:ilvl w:val="0"/>
          <w:numId w:val="33"/>
        </w:numPr>
        <w:tabs>
          <w:tab w:pos="3476" w:val="left" w:leader="none"/>
        </w:tabs>
        <w:spacing w:line="240" w:lineRule="auto" w:before="93" w:after="0"/>
        <w:ind w:left="3475" w:right="0" w:hanging="530"/>
        <w:jc w:val="left"/>
        <w:rPr>
          <w:sz w:val="21"/>
        </w:rPr>
      </w:pPr>
      <w:r>
        <w:rPr>
          <w:spacing w:val="-5"/>
          <w:sz w:val="21"/>
        </w:rPr>
        <w:t>治疗费</w:t>
      </w:r>
    </w:p>
    <w:p>
      <w:pPr>
        <w:pStyle w:val="BodyText"/>
        <w:spacing w:line="278" w:lineRule="auto" w:before="43"/>
        <w:ind w:left="2946" w:right="438"/>
        <w:jc w:val="both"/>
      </w:pPr>
      <w:r>
        <w:rPr>
          <w:spacing w:val="-2"/>
        </w:rPr>
        <w:t>指由医生或护士对患者进行的除手术外的各种治疗项目而发生的治疗费，包括</w:t>
      </w:r>
      <w:r>
        <w:rPr>
          <w:spacing w:val="-2"/>
        </w:rPr>
        <w:t>因清创、换药、拆线、脓肿切开引流、痿管烧灼、血管穿刺、输血、输液、注</w:t>
      </w:r>
      <w:r>
        <w:rPr>
          <w:spacing w:val="-2"/>
        </w:rPr>
        <w:t>射、肌肉封闭、吸氧、冷冻、激光、急救治疗、心肺复苏等发生的治疗费，具</w:t>
      </w:r>
      <w:r>
        <w:rPr>
          <w:spacing w:val="-2"/>
        </w:rPr>
        <w:t>体以所就诊医院的费用项目划分为准。</w:t>
      </w:r>
    </w:p>
    <w:p>
      <w:pPr>
        <w:pStyle w:val="ListParagraph"/>
        <w:numPr>
          <w:ilvl w:val="0"/>
          <w:numId w:val="33"/>
        </w:numPr>
        <w:tabs>
          <w:tab w:pos="3476" w:val="left" w:leader="none"/>
        </w:tabs>
        <w:spacing w:line="240" w:lineRule="auto" w:before="93" w:after="0"/>
        <w:ind w:left="3475" w:right="0" w:hanging="530"/>
        <w:jc w:val="left"/>
        <w:rPr>
          <w:sz w:val="21"/>
        </w:rPr>
      </w:pPr>
      <w:r>
        <w:rPr>
          <w:spacing w:val="-5"/>
          <w:sz w:val="21"/>
        </w:rPr>
        <w:t>护理费</w:t>
      </w:r>
    </w:p>
    <w:p>
      <w:pPr>
        <w:pStyle w:val="BodyText"/>
        <w:spacing w:line="278" w:lineRule="auto" w:before="43"/>
        <w:ind w:left="2946" w:right="330"/>
      </w:pPr>
      <w:r>
        <w:rPr>
          <w:spacing w:val="-5"/>
        </w:rPr>
        <w:t>指住院期间由护士对被保险人提供临床护理服务所收取的费用。包括各级护理、</w:t>
      </w:r>
      <w:r>
        <w:rPr>
          <w:spacing w:val="-2"/>
        </w:rPr>
        <w:t>重症监护与专项护理费用。</w:t>
      </w:r>
    </w:p>
    <w:p>
      <w:pPr>
        <w:pStyle w:val="BodyText"/>
        <w:spacing w:line="269" w:lineRule="exact"/>
        <w:ind w:left="2946"/>
      </w:pPr>
      <w:r>
        <w:rPr>
          <w:spacing w:val="-3"/>
        </w:rPr>
        <w:t>上述护士指在医院内合法注册的具有护士执业资格且正在执业的护理人员。</w:t>
      </w:r>
    </w:p>
    <w:p>
      <w:pPr>
        <w:pStyle w:val="ListParagraph"/>
        <w:numPr>
          <w:ilvl w:val="0"/>
          <w:numId w:val="33"/>
        </w:numPr>
        <w:tabs>
          <w:tab w:pos="3476" w:val="left" w:leader="none"/>
        </w:tabs>
        <w:spacing w:line="240" w:lineRule="auto" w:before="137" w:after="0"/>
        <w:ind w:left="3475" w:right="0" w:hanging="530"/>
        <w:jc w:val="left"/>
        <w:rPr>
          <w:sz w:val="21"/>
        </w:rPr>
      </w:pPr>
      <w:r>
        <w:rPr>
          <w:spacing w:val="-4"/>
          <w:sz w:val="21"/>
        </w:rPr>
        <w:t>检查化验费</w:t>
      </w:r>
    </w:p>
    <w:p>
      <w:pPr>
        <w:pStyle w:val="BodyText"/>
        <w:spacing w:line="278" w:lineRule="auto" w:before="43"/>
        <w:ind w:left="2946" w:right="328"/>
      </w:pPr>
      <w:r>
        <w:rPr>
          <w:w w:val="100"/>
        </w:rPr>
        <w:t>指由医生开具的由医院专项检查科室的专业检查、检验人员实施的各检查化验</w:t>
      </w:r>
      <w:r>
        <w:rPr>
          <w:spacing w:val="-13"/>
          <w:w w:val="100"/>
        </w:rPr>
        <w:t>项目费用，包括实验室检查、病理检查、放射性检查、</w:t>
      </w:r>
      <w:r>
        <w:rPr>
          <w:w w:val="100"/>
        </w:rPr>
        <w:t>C</w:t>
      </w:r>
      <w:r>
        <w:rPr>
          <w:spacing w:val="-3"/>
          <w:w w:val="100"/>
        </w:rPr>
        <w:t>T</w:t>
      </w:r>
      <w:r>
        <w:rPr>
          <w:spacing w:val="-7"/>
          <w:w w:val="100"/>
        </w:rPr>
        <w:t>、核磁共振检查(</w:t>
      </w:r>
      <w:r>
        <w:rPr>
          <w:spacing w:val="-3"/>
          <w:w w:val="100"/>
        </w:rPr>
        <w:t>M</w:t>
      </w:r>
      <w:r>
        <w:rPr>
          <w:w w:val="100"/>
        </w:rPr>
        <w:t>RI</w:t>
      </w:r>
      <w:r>
        <w:rPr>
          <w:spacing w:val="-1"/>
          <w:w w:val="100"/>
        </w:rPr>
        <w:t>)、 B</w:t>
      </w:r>
      <w:r>
        <w:rPr>
          <w:spacing w:val="-53"/>
        </w:rPr>
        <w:t> </w:t>
      </w:r>
      <w:r>
        <w:rPr>
          <w:spacing w:val="-3"/>
          <w:w w:val="100"/>
        </w:rPr>
        <w:t>超、血管造影、同位素、心电图、心功能、肺功能、骨密度、基因学检查。</w:t>
      </w:r>
    </w:p>
    <w:p>
      <w:pPr>
        <w:pStyle w:val="ListParagraph"/>
        <w:numPr>
          <w:ilvl w:val="0"/>
          <w:numId w:val="33"/>
        </w:numPr>
        <w:tabs>
          <w:tab w:pos="3582" w:val="left" w:leader="none"/>
        </w:tabs>
        <w:spacing w:line="240" w:lineRule="auto" w:before="94" w:after="0"/>
        <w:ind w:left="3581" w:right="0" w:hanging="636"/>
        <w:jc w:val="left"/>
        <w:rPr>
          <w:sz w:val="21"/>
        </w:rPr>
      </w:pPr>
      <w:r>
        <w:rPr>
          <w:spacing w:val="-4"/>
          <w:sz w:val="21"/>
        </w:rPr>
        <w:t>手术费用</w:t>
      </w:r>
    </w:p>
    <w:p>
      <w:pPr>
        <w:pStyle w:val="BodyText"/>
        <w:spacing w:line="278" w:lineRule="auto" w:before="40"/>
        <w:ind w:left="2946" w:right="438"/>
      </w:pPr>
      <w:r>
        <w:rPr>
          <w:spacing w:val="-2"/>
        </w:rPr>
        <w:t>包括手术费、麻醉费、手术检测费、手术辅助费、未独立记账的术中用药费、</w:t>
      </w:r>
      <w:r>
        <w:rPr>
          <w:spacing w:val="-2"/>
        </w:rPr>
        <w:t>手术设备费、医疗必需且合理的手术植入材料费。</w:t>
      </w:r>
    </w:p>
    <w:p>
      <w:pPr>
        <w:pStyle w:val="BodyText"/>
        <w:spacing w:line="278" w:lineRule="auto"/>
        <w:ind w:left="2946" w:right="438"/>
        <w:jc w:val="both"/>
      </w:pPr>
      <w:r>
        <w:rPr>
          <w:spacing w:val="-2"/>
        </w:rPr>
        <w:t>上述手术植入材料指在手术过程中由医生植入患者体内、术后无法自由取摘、</w:t>
      </w:r>
      <w:r>
        <w:rPr>
          <w:spacing w:val="-2"/>
        </w:rPr>
        <w:t>只能由医生进行开创手术才能取出的材料。手术植入材料包括起搏器、钛钉、</w:t>
      </w:r>
      <w:r>
        <w:rPr>
          <w:spacing w:val="-1"/>
        </w:rPr>
        <w:t>钛板、钛网、各种支架、人工关节、人工心脏瓣膜等植入式人工器官等手术中</w:t>
      </w:r>
    </w:p>
    <w:p>
      <w:pPr>
        <w:spacing w:after="0" w:line="278" w:lineRule="auto"/>
        <w:jc w:val="both"/>
        <w:sectPr>
          <w:pgSz w:w="11910" w:h="16840"/>
          <w:pgMar w:header="0" w:footer="401" w:top="1080" w:bottom="600" w:left="760" w:right="580"/>
        </w:sectPr>
      </w:pPr>
    </w:p>
    <w:p>
      <w:pPr>
        <w:pStyle w:val="BodyText"/>
        <w:spacing w:before="57"/>
        <w:ind w:left="2946"/>
      </w:pPr>
      <w:r>
        <w:rPr>
          <w:spacing w:val="-3"/>
        </w:rPr>
        <w:t>留置体内的生物相容性材料。</w:t>
      </w:r>
    </w:p>
    <w:p>
      <w:pPr>
        <w:pStyle w:val="ListParagraph"/>
        <w:numPr>
          <w:ilvl w:val="0"/>
          <w:numId w:val="33"/>
        </w:numPr>
        <w:tabs>
          <w:tab w:pos="3582" w:val="left" w:leader="none"/>
        </w:tabs>
        <w:spacing w:line="240" w:lineRule="auto" w:before="137" w:after="0"/>
        <w:ind w:left="3581" w:right="0" w:hanging="636"/>
        <w:jc w:val="left"/>
        <w:rPr>
          <w:sz w:val="21"/>
        </w:rPr>
      </w:pPr>
      <w:r>
        <w:rPr>
          <w:spacing w:val="-4"/>
          <w:sz w:val="21"/>
        </w:rPr>
        <w:t>器官移植费</w:t>
      </w:r>
    </w:p>
    <w:p>
      <w:pPr>
        <w:spacing w:line="201" w:lineRule="auto" w:before="76"/>
        <w:ind w:left="2946" w:right="436" w:firstLine="0"/>
        <w:jc w:val="both"/>
        <w:rPr>
          <w:sz w:val="21"/>
        </w:rPr>
      </w:pPr>
      <w:r>
        <w:rPr>
          <w:spacing w:val="-2"/>
          <w:sz w:val="21"/>
        </w:rPr>
        <w:t>指经相关专科医生明确诊断，根据医学需要必须进行肝脏移植、肾脏移植、心</w:t>
      </w:r>
      <w:r>
        <w:rPr>
          <w:spacing w:val="-2"/>
          <w:sz w:val="21"/>
        </w:rPr>
        <w:t>脏移植、肺脏移植或骨髓移植而发生的手术费、辅助治疗费、检验费等。</w:t>
      </w:r>
      <w:r>
        <w:rPr>
          <w:rFonts w:ascii="微软雅黑" w:eastAsia="微软雅黑"/>
          <w:b/>
          <w:spacing w:val="-2"/>
          <w:sz w:val="21"/>
        </w:rPr>
        <w:t>但不</w:t>
      </w:r>
      <w:r>
        <w:rPr>
          <w:rFonts w:ascii="微软雅黑" w:eastAsia="微软雅黑"/>
          <w:b/>
          <w:spacing w:val="-2"/>
          <w:sz w:val="21"/>
        </w:rPr>
        <w:t>包括因器官供体寻找、获取以及从供体切除、储藏、运送器官而发生的相关费</w:t>
      </w:r>
      <w:r>
        <w:rPr>
          <w:rFonts w:ascii="微软雅黑" w:eastAsia="微软雅黑"/>
          <w:b/>
          <w:spacing w:val="-6"/>
          <w:sz w:val="21"/>
        </w:rPr>
        <w:t>用</w:t>
      </w:r>
      <w:r>
        <w:rPr>
          <w:spacing w:val="-6"/>
          <w:sz w:val="21"/>
        </w:rPr>
        <w:t>。</w:t>
      </w:r>
    </w:p>
    <w:p>
      <w:pPr>
        <w:pStyle w:val="ListParagraph"/>
        <w:numPr>
          <w:ilvl w:val="0"/>
          <w:numId w:val="33"/>
        </w:numPr>
        <w:tabs>
          <w:tab w:pos="3582" w:val="left" w:leader="none"/>
        </w:tabs>
        <w:spacing w:line="240" w:lineRule="auto" w:before="107" w:after="0"/>
        <w:ind w:left="3581" w:right="0" w:hanging="636"/>
        <w:jc w:val="left"/>
        <w:rPr>
          <w:sz w:val="21"/>
        </w:rPr>
      </w:pPr>
      <w:r>
        <w:rPr>
          <w:spacing w:val="-4"/>
          <w:sz w:val="21"/>
        </w:rPr>
        <w:t>救护车使用费</w:t>
      </w:r>
    </w:p>
    <w:p>
      <w:pPr>
        <w:spacing w:line="223" w:lineRule="auto" w:before="58"/>
        <w:ind w:left="2946" w:right="438" w:firstLine="0"/>
        <w:jc w:val="left"/>
        <w:rPr>
          <w:sz w:val="21"/>
        </w:rPr>
      </w:pPr>
      <w:r>
        <w:rPr>
          <w:spacing w:val="-2"/>
          <w:sz w:val="21"/>
        </w:rPr>
        <w:t>指住院期间以抢救生命或治疗疾病为目的，根据医生建议，被保险人需医院转</w:t>
      </w:r>
      <w:r>
        <w:rPr>
          <w:spacing w:val="-2"/>
          <w:sz w:val="21"/>
        </w:rPr>
        <w:t>诊过程中的医院用车费用，</w:t>
      </w:r>
      <w:r>
        <w:rPr>
          <w:rFonts w:ascii="微软雅黑" w:eastAsia="微软雅黑"/>
          <w:b/>
          <w:spacing w:val="-2"/>
          <w:sz w:val="21"/>
        </w:rPr>
        <w:t>且救护车的使用仅限于同一城市中的医疗运送</w:t>
      </w:r>
      <w:r>
        <w:rPr>
          <w:spacing w:val="-2"/>
          <w:sz w:val="21"/>
        </w:rPr>
        <w:t>。</w:t>
      </w:r>
    </w:p>
    <w:p>
      <w:pPr>
        <w:pStyle w:val="ListParagraph"/>
        <w:numPr>
          <w:ilvl w:val="1"/>
          <w:numId w:val="31"/>
        </w:numPr>
        <w:tabs>
          <w:tab w:pos="1007" w:val="left" w:leader="none"/>
          <w:tab w:pos="2946" w:val="left" w:leader="none"/>
        </w:tabs>
        <w:spacing w:line="256" w:lineRule="auto" w:before="159" w:after="0"/>
        <w:ind w:left="2946" w:right="436" w:hanging="2687"/>
        <w:jc w:val="both"/>
        <w:rPr>
          <w:sz w:val="21"/>
        </w:rPr>
      </w:pPr>
      <w:r>
        <w:rPr>
          <w:rFonts w:ascii="微软雅黑" w:eastAsia="微软雅黑"/>
          <w:b/>
          <w:spacing w:val="-4"/>
          <w:sz w:val="21"/>
        </w:rPr>
        <w:t>化</w:t>
      </w:r>
      <w:r>
        <w:rPr>
          <w:rFonts w:ascii="微软雅黑" w:eastAsia="微软雅黑"/>
          <w:b/>
          <w:spacing w:val="-4"/>
          <w:sz w:val="21"/>
        </w:rPr>
        <w:t>学</w:t>
      </w:r>
      <w:r>
        <w:rPr>
          <w:rFonts w:ascii="微软雅黑" w:eastAsia="微软雅黑"/>
          <w:b/>
          <w:spacing w:val="-4"/>
          <w:sz w:val="21"/>
        </w:rPr>
        <w:t>疗</w:t>
      </w:r>
      <w:r>
        <w:rPr>
          <w:rFonts w:ascii="微软雅黑" w:eastAsia="微软雅黑"/>
          <w:b/>
          <w:spacing w:val="-4"/>
          <w:sz w:val="21"/>
        </w:rPr>
        <w:t>法</w:t>
      </w:r>
      <w:r>
        <w:rPr>
          <w:rFonts w:ascii="微软雅黑" w:eastAsia="微软雅黑"/>
          <w:b/>
          <w:sz w:val="21"/>
        </w:rPr>
        <w:tab/>
      </w:r>
      <w:r>
        <w:rPr>
          <w:spacing w:val="-2"/>
          <w:sz w:val="21"/>
        </w:rPr>
        <w:t>指</w:t>
      </w:r>
      <w:r>
        <w:rPr>
          <w:spacing w:val="-2"/>
          <w:sz w:val="21"/>
        </w:rPr>
        <w:t>针</w:t>
      </w:r>
      <w:r>
        <w:rPr>
          <w:spacing w:val="-2"/>
          <w:sz w:val="21"/>
        </w:rPr>
        <w:t>对</w:t>
      </w:r>
      <w:r>
        <w:rPr>
          <w:spacing w:val="-2"/>
          <w:sz w:val="21"/>
        </w:rPr>
        <w:t>于</w:t>
      </w:r>
      <w:r>
        <w:rPr>
          <w:spacing w:val="-2"/>
          <w:sz w:val="21"/>
        </w:rPr>
        <w:t>恶</w:t>
      </w:r>
      <w:r>
        <w:rPr>
          <w:spacing w:val="-2"/>
          <w:sz w:val="21"/>
        </w:rPr>
        <w:t>性</w:t>
      </w:r>
      <w:r>
        <w:rPr>
          <w:spacing w:val="-2"/>
          <w:sz w:val="21"/>
        </w:rPr>
        <w:t>肿</w:t>
      </w:r>
      <w:r>
        <w:rPr>
          <w:spacing w:val="-2"/>
          <w:sz w:val="21"/>
        </w:rPr>
        <w:t>瘤</w:t>
      </w:r>
      <w:r>
        <w:rPr>
          <w:spacing w:val="-2"/>
          <w:sz w:val="21"/>
        </w:rPr>
        <w:t>的</w:t>
      </w:r>
      <w:r>
        <w:rPr>
          <w:spacing w:val="-2"/>
          <w:sz w:val="21"/>
        </w:rPr>
        <w:t>化</w:t>
      </w:r>
      <w:r>
        <w:rPr>
          <w:spacing w:val="-2"/>
          <w:sz w:val="21"/>
        </w:rPr>
        <w:t>学</w:t>
      </w:r>
      <w:r>
        <w:rPr>
          <w:spacing w:val="-2"/>
          <w:sz w:val="21"/>
        </w:rPr>
        <w:t>治</w:t>
      </w:r>
      <w:r>
        <w:rPr>
          <w:spacing w:val="-2"/>
          <w:sz w:val="21"/>
        </w:rPr>
        <w:t>疗</w:t>
      </w:r>
      <w:r>
        <w:rPr>
          <w:spacing w:val="-2"/>
          <w:sz w:val="21"/>
        </w:rPr>
        <w:t>。</w:t>
      </w:r>
      <w:r>
        <w:rPr>
          <w:spacing w:val="-2"/>
          <w:sz w:val="21"/>
        </w:rPr>
        <w:t>化</w:t>
      </w:r>
      <w:r>
        <w:rPr>
          <w:spacing w:val="-2"/>
          <w:sz w:val="21"/>
        </w:rPr>
        <w:t>学</w:t>
      </w:r>
      <w:r>
        <w:rPr>
          <w:spacing w:val="-2"/>
          <w:sz w:val="21"/>
        </w:rPr>
        <w:t>治</w:t>
      </w:r>
      <w:r>
        <w:rPr>
          <w:spacing w:val="-2"/>
          <w:sz w:val="21"/>
        </w:rPr>
        <w:t>疗</w:t>
      </w:r>
      <w:r>
        <w:rPr>
          <w:spacing w:val="-2"/>
          <w:sz w:val="21"/>
        </w:rPr>
        <w:t>是</w:t>
      </w:r>
      <w:r>
        <w:rPr>
          <w:spacing w:val="-2"/>
          <w:sz w:val="21"/>
        </w:rPr>
        <w:t>使</w:t>
      </w:r>
      <w:r>
        <w:rPr>
          <w:spacing w:val="-2"/>
          <w:sz w:val="21"/>
        </w:rPr>
        <w:t>用</w:t>
      </w:r>
      <w:r>
        <w:rPr>
          <w:spacing w:val="-2"/>
          <w:sz w:val="21"/>
        </w:rPr>
        <w:t>医</w:t>
      </w:r>
      <w:r>
        <w:rPr>
          <w:spacing w:val="-2"/>
          <w:sz w:val="21"/>
        </w:rPr>
        <w:t>学</w:t>
      </w:r>
      <w:r>
        <w:rPr>
          <w:spacing w:val="-2"/>
          <w:sz w:val="21"/>
        </w:rPr>
        <w:t>界</w:t>
      </w:r>
      <w:r>
        <w:rPr>
          <w:spacing w:val="-2"/>
          <w:sz w:val="21"/>
        </w:rPr>
        <w:t>公</w:t>
      </w:r>
      <w:r>
        <w:rPr>
          <w:spacing w:val="-2"/>
          <w:sz w:val="21"/>
        </w:rPr>
        <w:t>认</w:t>
      </w:r>
      <w:r>
        <w:rPr>
          <w:spacing w:val="-2"/>
          <w:sz w:val="21"/>
        </w:rPr>
        <w:t>的</w:t>
      </w:r>
      <w:r>
        <w:rPr>
          <w:spacing w:val="-2"/>
          <w:sz w:val="21"/>
        </w:rPr>
        <w:t>化</w:t>
      </w:r>
      <w:r>
        <w:rPr>
          <w:spacing w:val="-2"/>
          <w:sz w:val="21"/>
        </w:rPr>
        <w:t>学</w:t>
      </w:r>
      <w:r>
        <w:rPr>
          <w:spacing w:val="-2"/>
          <w:sz w:val="21"/>
        </w:rPr>
        <w:t>治</w:t>
      </w:r>
      <w:r>
        <w:rPr>
          <w:spacing w:val="-2"/>
          <w:sz w:val="21"/>
        </w:rPr>
        <w:t>疗</w:t>
      </w:r>
      <w:r>
        <w:rPr>
          <w:spacing w:val="-2"/>
          <w:sz w:val="21"/>
        </w:rPr>
        <w:t>药</w:t>
      </w:r>
      <w:r>
        <w:rPr>
          <w:spacing w:val="-2"/>
          <w:sz w:val="21"/>
        </w:rPr>
        <w:t>物</w:t>
      </w:r>
      <w:r>
        <w:rPr>
          <w:spacing w:val="-2"/>
          <w:sz w:val="21"/>
        </w:rPr>
        <w:t>以</w:t>
      </w:r>
      <w:r>
        <w:rPr>
          <w:spacing w:val="-2"/>
          <w:sz w:val="21"/>
        </w:rPr>
        <w:t>杀</w:t>
      </w:r>
      <w:r>
        <w:rPr>
          <w:spacing w:val="-2"/>
          <w:sz w:val="21"/>
        </w:rPr>
        <w:t>死</w:t>
      </w:r>
      <w:r>
        <w:rPr>
          <w:spacing w:val="-2"/>
          <w:sz w:val="21"/>
        </w:rPr>
        <w:t>癌</w:t>
      </w:r>
      <w:r>
        <w:rPr>
          <w:spacing w:val="-2"/>
          <w:sz w:val="21"/>
        </w:rPr>
        <w:t>细</w:t>
      </w:r>
      <w:r>
        <w:rPr>
          <w:spacing w:val="-2"/>
          <w:sz w:val="21"/>
        </w:rPr>
        <w:t>胞</w:t>
      </w:r>
      <w:r>
        <w:rPr>
          <w:spacing w:val="-2"/>
          <w:sz w:val="21"/>
        </w:rPr>
        <w:t>、</w:t>
      </w:r>
      <w:r>
        <w:rPr>
          <w:spacing w:val="-2"/>
          <w:sz w:val="21"/>
        </w:rPr>
        <w:t>抑</w:t>
      </w:r>
      <w:r>
        <w:rPr>
          <w:spacing w:val="-2"/>
          <w:sz w:val="21"/>
        </w:rPr>
        <w:t>制</w:t>
      </w:r>
      <w:r>
        <w:rPr>
          <w:spacing w:val="-2"/>
          <w:sz w:val="21"/>
        </w:rPr>
        <w:t>癌</w:t>
      </w:r>
      <w:r>
        <w:rPr>
          <w:spacing w:val="-2"/>
          <w:sz w:val="21"/>
        </w:rPr>
        <w:t>细</w:t>
      </w:r>
      <w:r>
        <w:rPr>
          <w:spacing w:val="-2"/>
          <w:sz w:val="21"/>
        </w:rPr>
        <w:t>胞</w:t>
      </w:r>
      <w:r>
        <w:rPr>
          <w:spacing w:val="-2"/>
          <w:sz w:val="21"/>
        </w:rPr>
        <w:t>生</w:t>
      </w:r>
      <w:r>
        <w:rPr>
          <w:spacing w:val="-2"/>
          <w:sz w:val="21"/>
        </w:rPr>
        <w:t>长</w:t>
      </w:r>
      <w:r>
        <w:rPr>
          <w:spacing w:val="-2"/>
          <w:sz w:val="21"/>
        </w:rPr>
        <w:t>繁</w:t>
      </w:r>
      <w:r>
        <w:rPr>
          <w:spacing w:val="-2"/>
          <w:sz w:val="21"/>
        </w:rPr>
        <w:t>殖</w:t>
      </w:r>
      <w:r>
        <w:rPr>
          <w:spacing w:val="-2"/>
          <w:sz w:val="21"/>
        </w:rPr>
        <w:t>为</w:t>
      </w:r>
      <w:r>
        <w:rPr>
          <w:spacing w:val="-2"/>
          <w:sz w:val="21"/>
        </w:rPr>
        <w:t>目</w:t>
      </w:r>
      <w:r>
        <w:rPr>
          <w:spacing w:val="-2"/>
          <w:sz w:val="21"/>
        </w:rPr>
        <w:t>的</w:t>
      </w:r>
      <w:r>
        <w:rPr>
          <w:spacing w:val="-2"/>
          <w:sz w:val="21"/>
        </w:rPr>
        <w:t>而</w:t>
      </w:r>
      <w:r>
        <w:rPr>
          <w:spacing w:val="-2"/>
          <w:sz w:val="21"/>
        </w:rPr>
        <w:t>进</w:t>
      </w:r>
      <w:r>
        <w:rPr>
          <w:spacing w:val="-2"/>
          <w:sz w:val="21"/>
        </w:rPr>
        <w:t>行</w:t>
      </w:r>
      <w:r>
        <w:rPr>
          <w:spacing w:val="-2"/>
          <w:sz w:val="21"/>
        </w:rPr>
        <w:t>的</w:t>
      </w:r>
      <w:r>
        <w:rPr>
          <w:spacing w:val="-2"/>
          <w:sz w:val="21"/>
        </w:rPr>
        <w:t>治</w:t>
      </w:r>
      <w:r>
        <w:rPr>
          <w:spacing w:val="-2"/>
          <w:sz w:val="21"/>
        </w:rPr>
        <w:t>疗</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化</w:t>
      </w:r>
      <w:r>
        <w:rPr>
          <w:spacing w:val="-2"/>
          <w:sz w:val="21"/>
        </w:rPr>
        <w:t>学</w:t>
      </w:r>
      <w:r>
        <w:rPr>
          <w:spacing w:val="-2"/>
          <w:sz w:val="21"/>
        </w:rPr>
        <w:t>治</w:t>
      </w:r>
      <w:r>
        <w:rPr>
          <w:spacing w:val="-2"/>
          <w:sz w:val="21"/>
        </w:rPr>
        <w:t>疗</w:t>
      </w:r>
      <w:r>
        <w:rPr>
          <w:spacing w:val="-2"/>
          <w:sz w:val="21"/>
        </w:rPr>
        <w:t>或</w:t>
      </w:r>
      <w:r>
        <w:rPr>
          <w:spacing w:val="-2"/>
          <w:sz w:val="21"/>
        </w:rPr>
        <w:t>化</w:t>
      </w:r>
      <w:r>
        <w:rPr>
          <w:spacing w:val="-2"/>
          <w:sz w:val="21"/>
        </w:rPr>
        <w:t>疗</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根</w:t>
      </w:r>
      <w:r>
        <w:rPr>
          <w:spacing w:val="-2"/>
          <w:sz w:val="21"/>
        </w:rPr>
        <w:t>据</w:t>
      </w:r>
      <w:r>
        <w:rPr>
          <w:spacing w:val="-2"/>
          <w:sz w:val="21"/>
        </w:rPr>
        <w:t>医</w:t>
      </w:r>
      <w:r>
        <w:rPr>
          <w:spacing w:val="-2"/>
          <w:sz w:val="21"/>
        </w:rPr>
        <w:t>嘱</w:t>
      </w:r>
      <w:r>
        <w:rPr>
          <w:spacing w:val="-2"/>
          <w:sz w:val="21"/>
        </w:rPr>
        <w:t>，</w:t>
      </w:r>
      <w:r>
        <w:rPr>
          <w:spacing w:val="-2"/>
          <w:sz w:val="21"/>
        </w:rPr>
        <w:t>在</w:t>
      </w:r>
      <w:r>
        <w:rPr>
          <w:spacing w:val="-2"/>
          <w:sz w:val="21"/>
        </w:rPr>
        <w:t>医</w:t>
      </w:r>
      <w:r>
        <w:rPr>
          <w:spacing w:val="-2"/>
          <w:sz w:val="21"/>
        </w:rPr>
        <w:t>院</w:t>
      </w:r>
      <w:r>
        <w:rPr>
          <w:spacing w:val="-2"/>
          <w:sz w:val="21"/>
        </w:rPr>
        <w:t>进</w:t>
      </w:r>
      <w:r>
        <w:rPr>
          <w:spacing w:val="-2"/>
          <w:sz w:val="21"/>
        </w:rPr>
        <w:t>行</w:t>
      </w:r>
      <w:r>
        <w:rPr>
          <w:spacing w:val="-2"/>
          <w:sz w:val="21"/>
        </w:rPr>
        <w:t>的</w:t>
      </w:r>
      <w:r>
        <w:rPr>
          <w:spacing w:val="-2"/>
          <w:sz w:val="21"/>
        </w:rPr>
        <w:t>静</w:t>
      </w:r>
      <w:r>
        <w:rPr>
          <w:spacing w:val="-2"/>
          <w:sz w:val="21"/>
        </w:rPr>
        <w:t>脉</w:t>
      </w:r>
      <w:r>
        <w:rPr>
          <w:spacing w:val="-2"/>
          <w:sz w:val="21"/>
        </w:rPr>
        <w:t>注</w:t>
      </w:r>
      <w:r>
        <w:rPr>
          <w:spacing w:val="-2"/>
          <w:sz w:val="21"/>
        </w:rPr>
        <w:t>射</w:t>
      </w:r>
      <w:r>
        <w:rPr>
          <w:spacing w:val="-2"/>
          <w:sz w:val="21"/>
        </w:rPr>
        <w:t>化</w:t>
      </w:r>
      <w:r>
        <w:rPr>
          <w:spacing w:val="-2"/>
          <w:sz w:val="21"/>
        </w:rPr>
        <w:t>疗</w:t>
      </w:r>
      <w:r>
        <w:rPr>
          <w:spacing w:val="-2"/>
          <w:sz w:val="21"/>
        </w:rPr>
        <w:t>、</w:t>
      </w:r>
      <w:r>
        <w:rPr>
          <w:spacing w:val="-2"/>
          <w:sz w:val="21"/>
        </w:rPr>
        <w:t>服</w:t>
      </w:r>
      <w:r>
        <w:rPr>
          <w:spacing w:val="-2"/>
          <w:sz w:val="21"/>
        </w:rPr>
        <w:t>用</w:t>
      </w:r>
      <w:r>
        <w:rPr>
          <w:spacing w:val="-2"/>
          <w:sz w:val="21"/>
        </w:rPr>
        <w:t>药</w:t>
      </w:r>
      <w:r>
        <w:rPr>
          <w:spacing w:val="-2"/>
          <w:sz w:val="21"/>
        </w:rPr>
        <w:t>物</w:t>
      </w:r>
      <w:r>
        <w:rPr>
          <w:spacing w:val="-2"/>
          <w:sz w:val="21"/>
        </w:rPr>
        <w:t>等</w:t>
      </w:r>
      <w:r>
        <w:rPr>
          <w:spacing w:val="-2"/>
          <w:sz w:val="21"/>
        </w:rPr>
        <w:t>方</w:t>
      </w:r>
      <w:r>
        <w:rPr>
          <w:spacing w:val="-2"/>
          <w:sz w:val="21"/>
        </w:rPr>
        <w:t>式</w:t>
      </w:r>
    </w:p>
    <w:p>
      <w:pPr>
        <w:pStyle w:val="BodyText"/>
        <w:spacing w:before="14"/>
        <w:ind w:left="2946"/>
      </w:pPr>
      <w:r>
        <w:rPr>
          <w:spacing w:val="-4"/>
        </w:rPr>
        <w:t>的化学治疗。</w:t>
      </w:r>
    </w:p>
    <w:p>
      <w:pPr>
        <w:pStyle w:val="BodyText"/>
        <w:spacing w:before="9"/>
        <w:rPr>
          <w:sz w:val="15"/>
        </w:rPr>
      </w:pPr>
    </w:p>
    <w:p>
      <w:pPr>
        <w:pStyle w:val="ListParagraph"/>
        <w:numPr>
          <w:ilvl w:val="1"/>
          <w:numId w:val="31"/>
        </w:numPr>
        <w:tabs>
          <w:tab w:pos="1007" w:val="left" w:leader="none"/>
          <w:tab w:pos="2946" w:val="left" w:leader="none"/>
        </w:tabs>
        <w:spacing w:line="256" w:lineRule="auto" w:before="0" w:after="0"/>
        <w:ind w:left="2946" w:right="436" w:hanging="2687"/>
        <w:jc w:val="both"/>
        <w:rPr>
          <w:sz w:val="21"/>
        </w:rPr>
      </w:pPr>
      <w:r>
        <w:rPr>
          <w:rFonts w:ascii="微软雅黑" w:eastAsia="微软雅黑"/>
          <w:b/>
          <w:spacing w:val="-4"/>
          <w:sz w:val="21"/>
        </w:rPr>
        <w:t>放</w:t>
      </w:r>
      <w:r>
        <w:rPr>
          <w:rFonts w:ascii="微软雅黑" w:eastAsia="微软雅黑"/>
          <w:b/>
          <w:spacing w:val="-4"/>
          <w:sz w:val="21"/>
        </w:rPr>
        <w:t>射</w:t>
      </w:r>
      <w:r>
        <w:rPr>
          <w:rFonts w:ascii="微软雅黑" w:eastAsia="微软雅黑"/>
          <w:b/>
          <w:spacing w:val="-4"/>
          <w:sz w:val="21"/>
        </w:rPr>
        <w:t>疗</w:t>
      </w:r>
      <w:r>
        <w:rPr>
          <w:rFonts w:ascii="微软雅黑" w:eastAsia="微软雅黑"/>
          <w:b/>
          <w:spacing w:val="-4"/>
          <w:sz w:val="21"/>
        </w:rPr>
        <w:t>法</w:t>
      </w:r>
      <w:r>
        <w:rPr>
          <w:rFonts w:ascii="微软雅黑" w:eastAsia="微软雅黑"/>
          <w:b/>
          <w:sz w:val="21"/>
        </w:rPr>
        <w:tab/>
      </w:r>
      <w:r>
        <w:rPr>
          <w:spacing w:val="-2"/>
          <w:sz w:val="21"/>
        </w:rPr>
        <w:t>指</w:t>
      </w:r>
      <w:r>
        <w:rPr>
          <w:spacing w:val="-2"/>
          <w:sz w:val="21"/>
        </w:rPr>
        <w:t>针</w:t>
      </w:r>
      <w:r>
        <w:rPr>
          <w:spacing w:val="-2"/>
          <w:sz w:val="21"/>
        </w:rPr>
        <w:t>对</w:t>
      </w:r>
      <w:r>
        <w:rPr>
          <w:spacing w:val="-2"/>
          <w:sz w:val="21"/>
        </w:rPr>
        <w:t>恶</w:t>
      </w:r>
      <w:r>
        <w:rPr>
          <w:spacing w:val="-2"/>
          <w:sz w:val="21"/>
        </w:rPr>
        <w:t>性</w:t>
      </w:r>
      <w:r>
        <w:rPr>
          <w:spacing w:val="-2"/>
          <w:sz w:val="21"/>
        </w:rPr>
        <w:t>肿</w:t>
      </w:r>
      <w:r>
        <w:rPr>
          <w:spacing w:val="-2"/>
          <w:sz w:val="21"/>
        </w:rPr>
        <w:t>瘤</w:t>
      </w:r>
      <w:r>
        <w:rPr>
          <w:spacing w:val="-2"/>
          <w:sz w:val="21"/>
        </w:rPr>
        <w:t>的</w:t>
      </w:r>
      <w:r>
        <w:rPr>
          <w:spacing w:val="-2"/>
          <w:sz w:val="21"/>
        </w:rPr>
        <w:t>放</w:t>
      </w:r>
      <w:r>
        <w:rPr>
          <w:spacing w:val="-2"/>
          <w:sz w:val="21"/>
        </w:rPr>
        <w:t>射</w:t>
      </w:r>
      <w:r>
        <w:rPr>
          <w:spacing w:val="-2"/>
          <w:sz w:val="21"/>
        </w:rPr>
        <w:t>治</w:t>
      </w:r>
      <w:r>
        <w:rPr>
          <w:spacing w:val="-2"/>
          <w:sz w:val="21"/>
        </w:rPr>
        <w:t>疗</w:t>
      </w:r>
      <w:r>
        <w:rPr>
          <w:spacing w:val="-2"/>
          <w:sz w:val="21"/>
        </w:rPr>
        <w:t>。</w:t>
      </w:r>
      <w:r>
        <w:rPr>
          <w:spacing w:val="-2"/>
          <w:sz w:val="21"/>
        </w:rPr>
        <w:t>放</w:t>
      </w:r>
      <w:r>
        <w:rPr>
          <w:spacing w:val="-2"/>
          <w:sz w:val="21"/>
        </w:rPr>
        <w:t>射</w:t>
      </w:r>
      <w:r>
        <w:rPr>
          <w:spacing w:val="-2"/>
          <w:sz w:val="21"/>
        </w:rPr>
        <w:t>治</w:t>
      </w:r>
      <w:r>
        <w:rPr>
          <w:spacing w:val="-2"/>
          <w:sz w:val="21"/>
        </w:rPr>
        <w:t>疗</w:t>
      </w:r>
      <w:r>
        <w:rPr>
          <w:spacing w:val="-2"/>
          <w:sz w:val="21"/>
        </w:rPr>
        <w:t>是</w:t>
      </w:r>
      <w:r>
        <w:rPr>
          <w:spacing w:val="-2"/>
          <w:sz w:val="21"/>
        </w:rPr>
        <w:t>使</w:t>
      </w:r>
      <w:r>
        <w:rPr>
          <w:spacing w:val="-2"/>
          <w:sz w:val="21"/>
        </w:rPr>
        <w:t>用</w:t>
      </w:r>
      <w:r>
        <w:rPr>
          <w:spacing w:val="-2"/>
          <w:sz w:val="21"/>
        </w:rPr>
        <w:t>各</w:t>
      </w:r>
      <w:r>
        <w:rPr>
          <w:spacing w:val="-2"/>
          <w:sz w:val="21"/>
        </w:rPr>
        <w:t>种</w:t>
      </w:r>
      <w:r>
        <w:rPr>
          <w:spacing w:val="-2"/>
          <w:sz w:val="21"/>
        </w:rPr>
        <w:t>不</w:t>
      </w:r>
      <w:r>
        <w:rPr>
          <w:spacing w:val="-2"/>
          <w:sz w:val="21"/>
        </w:rPr>
        <w:t>同</w:t>
      </w:r>
      <w:r>
        <w:rPr>
          <w:spacing w:val="-2"/>
          <w:sz w:val="21"/>
        </w:rPr>
        <w:t>能</w:t>
      </w:r>
      <w:r>
        <w:rPr>
          <w:spacing w:val="-2"/>
          <w:sz w:val="21"/>
        </w:rPr>
        <w:t>量</w:t>
      </w:r>
      <w:r>
        <w:rPr>
          <w:spacing w:val="-2"/>
          <w:sz w:val="21"/>
        </w:rPr>
        <w:t>的</w:t>
      </w:r>
      <w:r>
        <w:rPr>
          <w:spacing w:val="-2"/>
          <w:sz w:val="21"/>
        </w:rPr>
        <w:t>射</w:t>
      </w:r>
      <w:r>
        <w:rPr>
          <w:spacing w:val="-2"/>
          <w:sz w:val="21"/>
        </w:rPr>
        <w:t>线</w:t>
      </w:r>
      <w:r>
        <w:rPr>
          <w:spacing w:val="-2"/>
          <w:sz w:val="21"/>
        </w:rPr>
        <w:t>照</w:t>
      </w:r>
      <w:r>
        <w:rPr>
          <w:spacing w:val="-2"/>
          <w:sz w:val="21"/>
        </w:rPr>
        <w:t>射</w:t>
      </w:r>
      <w:r>
        <w:rPr>
          <w:spacing w:val="-2"/>
          <w:sz w:val="21"/>
        </w:rPr>
        <w:t>肿</w:t>
      </w:r>
      <w:r>
        <w:rPr>
          <w:spacing w:val="-2"/>
          <w:sz w:val="21"/>
        </w:rPr>
        <w:t>瘤</w:t>
      </w:r>
      <w:r>
        <w:rPr>
          <w:spacing w:val="-2"/>
          <w:sz w:val="21"/>
        </w:rPr>
        <w:t>组</w:t>
      </w:r>
      <w:r>
        <w:rPr>
          <w:spacing w:val="-2"/>
          <w:sz w:val="21"/>
        </w:rPr>
        <w:t>织</w:t>
      </w:r>
      <w:r>
        <w:rPr>
          <w:spacing w:val="-2"/>
          <w:sz w:val="21"/>
        </w:rPr>
        <w:t>，</w:t>
      </w:r>
      <w:r>
        <w:rPr>
          <w:spacing w:val="-2"/>
          <w:sz w:val="21"/>
        </w:rPr>
        <w:t>以</w:t>
      </w:r>
      <w:r>
        <w:rPr>
          <w:spacing w:val="-2"/>
          <w:sz w:val="21"/>
        </w:rPr>
        <w:t>抑</w:t>
      </w:r>
      <w:r>
        <w:rPr>
          <w:spacing w:val="-2"/>
          <w:sz w:val="21"/>
        </w:rPr>
        <w:t>制</w:t>
      </w:r>
      <w:r>
        <w:rPr>
          <w:spacing w:val="-2"/>
          <w:sz w:val="21"/>
        </w:rPr>
        <w:t>和</w:t>
      </w:r>
      <w:r>
        <w:rPr>
          <w:spacing w:val="-2"/>
          <w:sz w:val="21"/>
        </w:rPr>
        <w:t>杀</w:t>
      </w:r>
      <w:r>
        <w:rPr>
          <w:spacing w:val="-2"/>
          <w:sz w:val="21"/>
        </w:rPr>
        <w:t>灭</w:t>
      </w:r>
      <w:r>
        <w:rPr>
          <w:spacing w:val="-2"/>
          <w:sz w:val="21"/>
        </w:rPr>
        <w:t>癌</w:t>
      </w:r>
      <w:r>
        <w:rPr>
          <w:spacing w:val="-2"/>
          <w:sz w:val="21"/>
        </w:rPr>
        <w:t>细</w:t>
      </w:r>
      <w:r>
        <w:rPr>
          <w:spacing w:val="-2"/>
          <w:sz w:val="21"/>
        </w:rPr>
        <w:t>胞</w:t>
      </w:r>
      <w:r>
        <w:rPr>
          <w:spacing w:val="-2"/>
          <w:sz w:val="21"/>
        </w:rPr>
        <w:t>为</w:t>
      </w:r>
      <w:r>
        <w:rPr>
          <w:spacing w:val="-2"/>
          <w:sz w:val="21"/>
        </w:rPr>
        <w:t>目</w:t>
      </w:r>
      <w:r>
        <w:rPr>
          <w:spacing w:val="-2"/>
          <w:sz w:val="21"/>
        </w:rPr>
        <w:t>的</w:t>
      </w:r>
      <w:r>
        <w:rPr>
          <w:spacing w:val="-2"/>
          <w:sz w:val="21"/>
        </w:rPr>
        <w:t>而</w:t>
      </w:r>
      <w:r>
        <w:rPr>
          <w:spacing w:val="-2"/>
          <w:sz w:val="21"/>
        </w:rPr>
        <w:t>进</w:t>
      </w:r>
      <w:r>
        <w:rPr>
          <w:spacing w:val="-2"/>
          <w:sz w:val="21"/>
        </w:rPr>
        <w:t>行</w:t>
      </w:r>
      <w:r>
        <w:rPr>
          <w:spacing w:val="-2"/>
          <w:sz w:val="21"/>
        </w:rPr>
        <w:t>的</w:t>
      </w:r>
      <w:r>
        <w:rPr>
          <w:spacing w:val="-2"/>
          <w:sz w:val="21"/>
        </w:rPr>
        <w:t>治</w:t>
      </w:r>
      <w:r>
        <w:rPr>
          <w:spacing w:val="-2"/>
          <w:sz w:val="21"/>
        </w:rPr>
        <w:t>疗</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放</w:t>
      </w:r>
      <w:r>
        <w:rPr>
          <w:spacing w:val="-2"/>
          <w:sz w:val="21"/>
        </w:rPr>
        <w:t>射</w:t>
      </w:r>
      <w:r>
        <w:rPr>
          <w:spacing w:val="-2"/>
          <w:sz w:val="21"/>
        </w:rPr>
        <w:t>治</w:t>
      </w:r>
      <w:r>
        <w:rPr>
          <w:spacing w:val="-2"/>
          <w:sz w:val="21"/>
        </w:rPr>
        <w:t>疗</w:t>
      </w:r>
      <w:r>
        <w:rPr>
          <w:spacing w:val="-2"/>
          <w:sz w:val="21"/>
        </w:rPr>
        <w:t>或</w:t>
      </w:r>
      <w:r>
        <w:rPr>
          <w:spacing w:val="-2"/>
          <w:sz w:val="21"/>
        </w:rPr>
        <w:t>放</w:t>
      </w:r>
      <w:r>
        <w:rPr>
          <w:spacing w:val="-2"/>
          <w:sz w:val="21"/>
        </w:rPr>
        <w:t>疗</w:t>
      </w:r>
      <w:r>
        <w:rPr>
          <w:spacing w:val="-2"/>
          <w:sz w:val="21"/>
        </w:rPr>
        <w:t>为</w:t>
      </w:r>
      <w:r>
        <w:rPr>
          <w:spacing w:val="-2"/>
          <w:sz w:val="21"/>
        </w:rPr>
        <w:t>被</w:t>
      </w:r>
      <w:r>
        <w:rPr>
          <w:spacing w:val="-2"/>
          <w:sz w:val="21"/>
        </w:rPr>
        <w:t>保险人根据医嘱，在</w:t>
      </w:r>
      <w:r>
        <w:rPr>
          <w:spacing w:val="-2"/>
          <w:sz w:val="21"/>
        </w:rPr>
        <w:t>医</w:t>
      </w:r>
      <w:r>
        <w:rPr>
          <w:spacing w:val="-2"/>
          <w:sz w:val="21"/>
        </w:rPr>
        <w:t>院</w:t>
      </w:r>
      <w:r>
        <w:rPr>
          <w:spacing w:val="-2"/>
          <w:sz w:val="21"/>
        </w:rPr>
        <w:t>的专门科室进行的放</w:t>
      </w:r>
      <w:r>
        <w:rPr>
          <w:spacing w:val="-2"/>
          <w:sz w:val="21"/>
        </w:rPr>
        <w:t>射</w:t>
      </w:r>
      <w:r>
        <w:rPr>
          <w:spacing w:val="-2"/>
          <w:sz w:val="21"/>
        </w:rPr>
        <w:t>治</w:t>
      </w:r>
      <w:r>
        <w:rPr>
          <w:spacing w:val="-2"/>
          <w:sz w:val="21"/>
        </w:rPr>
        <w:t>疗。</w:t>
      </w:r>
    </w:p>
    <w:p>
      <w:pPr>
        <w:pStyle w:val="BodyText"/>
        <w:spacing w:before="10"/>
        <w:rPr>
          <w:sz w:val="15"/>
        </w:rPr>
      </w:pPr>
    </w:p>
    <w:p>
      <w:pPr>
        <w:pStyle w:val="ListParagraph"/>
        <w:numPr>
          <w:ilvl w:val="1"/>
          <w:numId w:val="31"/>
        </w:numPr>
        <w:tabs>
          <w:tab w:pos="1007" w:val="left" w:leader="none"/>
          <w:tab w:pos="2946" w:val="left" w:leader="none"/>
        </w:tabs>
        <w:spacing w:line="312" w:lineRule="exact" w:before="0" w:after="0"/>
        <w:ind w:left="2946" w:right="436" w:hanging="2687"/>
        <w:jc w:val="both"/>
        <w:rPr>
          <w:sz w:val="21"/>
        </w:rPr>
      </w:pPr>
      <w:r>
        <w:rPr>
          <w:rFonts w:ascii="微软雅黑" w:eastAsia="微软雅黑"/>
          <w:b/>
          <w:spacing w:val="-2"/>
          <w:sz w:val="21"/>
        </w:rPr>
        <w:t>肿</w:t>
      </w:r>
      <w:r>
        <w:rPr>
          <w:rFonts w:ascii="微软雅黑" w:eastAsia="微软雅黑"/>
          <w:b/>
          <w:spacing w:val="-2"/>
          <w:sz w:val="21"/>
        </w:rPr>
        <w:t>瘤</w:t>
      </w:r>
      <w:r>
        <w:rPr>
          <w:rFonts w:ascii="微软雅黑" w:eastAsia="微软雅黑"/>
          <w:b/>
          <w:spacing w:val="-2"/>
          <w:sz w:val="21"/>
        </w:rPr>
        <w:t>免</w:t>
      </w:r>
      <w:r>
        <w:rPr>
          <w:rFonts w:ascii="微软雅黑" w:eastAsia="微软雅黑"/>
          <w:b/>
          <w:spacing w:val="-2"/>
          <w:sz w:val="21"/>
        </w:rPr>
        <w:t>疫</w:t>
      </w:r>
      <w:r>
        <w:rPr>
          <w:rFonts w:ascii="微软雅黑" w:eastAsia="微软雅黑"/>
          <w:b/>
          <w:spacing w:val="-2"/>
          <w:sz w:val="21"/>
        </w:rPr>
        <w:t>疗</w:t>
      </w:r>
      <w:r>
        <w:rPr>
          <w:rFonts w:ascii="微软雅黑" w:eastAsia="微软雅黑"/>
          <w:b/>
          <w:spacing w:val="-2"/>
          <w:sz w:val="21"/>
        </w:rPr>
        <w:t>法</w:t>
      </w:r>
      <w:r>
        <w:rPr>
          <w:rFonts w:ascii="微软雅黑" w:eastAsia="微软雅黑"/>
          <w:b/>
          <w:sz w:val="21"/>
        </w:rPr>
        <w:tab/>
      </w:r>
      <w:r>
        <w:rPr>
          <w:spacing w:val="-2"/>
          <w:sz w:val="21"/>
        </w:rPr>
        <w:t>指</w:t>
      </w:r>
      <w:r>
        <w:rPr>
          <w:spacing w:val="-2"/>
          <w:sz w:val="21"/>
        </w:rPr>
        <w:t>应</w:t>
      </w:r>
      <w:r>
        <w:rPr>
          <w:spacing w:val="-2"/>
          <w:sz w:val="21"/>
        </w:rPr>
        <w:t>用</w:t>
      </w:r>
      <w:r>
        <w:rPr>
          <w:spacing w:val="-2"/>
          <w:sz w:val="21"/>
        </w:rPr>
        <w:t>免</w:t>
      </w:r>
      <w:r>
        <w:rPr>
          <w:spacing w:val="-2"/>
          <w:sz w:val="21"/>
        </w:rPr>
        <w:t>疫</w:t>
      </w:r>
      <w:r>
        <w:rPr>
          <w:spacing w:val="-2"/>
          <w:sz w:val="21"/>
        </w:rPr>
        <w:t>学</w:t>
      </w:r>
      <w:r>
        <w:rPr>
          <w:spacing w:val="-2"/>
          <w:sz w:val="21"/>
        </w:rPr>
        <w:t>原</w:t>
      </w:r>
      <w:r>
        <w:rPr>
          <w:spacing w:val="-2"/>
          <w:sz w:val="21"/>
        </w:rPr>
        <w:t>理</w:t>
      </w:r>
      <w:r>
        <w:rPr>
          <w:spacing w:val="-2"/>
          <w:sz w:val="21"/>
        </w:rPr>
        <w:t>和</w:t>
      </w:r>
      <w:r>
        <w:rPr>
          <w:spacing w:val="-2"/>
          <w:sz w:val="21"/>
        </w:rPr>
        <w:t>方</w:t>
      </w:r>
      <w:r>
        <w:rPr>
          <w:spacing w:val="-2"/>
          <w:sz w:val="21"/>
        </w:rPr>
        <w:t>法</w:t>
      </w:r>
      <w:r>
        <w:rPr>
          <w:spacing w:val="-2"/>
          <w:sz w:val="21"/>
        </w:rPr>
        <w:t>，</w:t>
      </w:r>
      <w:r>
        <w:rPr>
          <w:spacing w:val="-2"/>
          <w:sz w:val="21"/>
        </w:rPr>
        <w:t>使</w:t>
      </w:r>
      <w:r>
        <w:rPr>
          <w:spacing w:val="-2"/>
          <w:sz w:val="21"/>
        </w:rPr>
        <w:t>用</w:t>
      </w:r>
      <w:r>
        <w:rPr>
          <w:spacing w:val="-2"/>
          <w:sz w:val="21"/>
        </w:rPr>
        <w:t>肿</w:t>
      </w:r>
      <w:r>
        <w:rPr>
          <w:spacing w:val="-2"/>
          <w:sz w:val="21"/>
        </w:rPr>
        <w:t>瘤</w:t>
      </w:r>
      <w:r>
        <w:rPr>
          <w:spacing w:val="-2"/>
          <w:sz w:val="21"/>
        </w:rPr>
        <w:t>免</w:t>
      </w:r>
      <w:r>
        <w:rPr>
          <w:spacing w:val="-2"/>
          <w:sz w:val="21"/>
        </w:rPr>
        <w:t>疫</w:t>
      </w:r>
      <w:r>
        <w:rPr>
          <w:spacing w:val="-2"/>
          <w:sz w:val="21"/>
        </w:rPr>
        <w:t>治</w:t>
      </w:r>
      <w:r>
        <w:rPr>
          <w:spacing w:val="-2"/>
          <w:sz w:val="21"/>
        </w:rPr>
        <w:t>疗</w:t>
      </w:r>
      <w:r>
        <w:rPr>
          <w:spacing w:val="-2"/>
          <w:sz w:val="21"/>
        </w:rPr>
        <w:t>药</w:t>
      </w:r>
      <w:r>
        <w:rPr>
          <w:spacing w:val="-2"/>
          <w:sz w:val="21"/>
        </w:rPr>
        <w:t>物</w:t>
      </w:r>
      <w:r>
        <w:rPr>
          <w:spacing w:val="-2"/>
          <w:sz w:val="21"/>
        </w:rPr>
        <w:t>提</w:t>
      </w:r>
      <w:r>
        <w:rPr>
          <w:spacing w:val="-2"/>
          <w:sz w:val="21"/>
        </w:rPr>
        <w:t>高</w:t>
      </w:r>
      <w:r>
        <w:rPr>
          <w:spacing w:val="-2"/>
          <w:sz w:val="21"/>
        </w:rPr>
        <w:t>肿</w:t>
      </w:r>
      <w:r>
        <w:rPr>
          <w:spacing w:val="-2"/>
          <w:sz w:val="21"/>
        </w:rPr>
        <w:t>瘤</w:t>
      </w:r>
      <w:r>
        <w:rPr>
          <w:spacing w:val="-2"/>
          <w:sz w:val="21"/>
        </w:rPr>
        <w:t>细</w:t>
      </w:r>
      <w:r>
        <w:rPr>
          <w:spacing w:val="-2"/>
          <w:sz w:val="21"/>
        </w:rPr>
        <w:t>胞</w:t>
      </w:r>
      <w:r>
        <w:rPr>
          <w:spacing w:val="-2"/>
          <w:sz w:val="21"/>
        </w:rPr>
        <w:t>的</w:t>
      </w:r>
      <w:r>
        <w:rPr>
          <w:spacing w:val="-2"/>
          <w:sz w:val="21"/>
        </w:rPr>
        <w:t>免</w:t>
      </w:r>
      <w:r>
        <w:rPr>
          <w:spacing w:val="-2"/>
          <w:sz w:val="21"/>
        </w:rPr>
        <w:t>疫</w:t>
      </w:r>
      <w:r>
        <w:rPr>
          <w:spacing w:val="-2"/>
          <w:sz w:val="21"/>
        </w:rPr>
        <w:t>原</w:t>
      </w:r>
      <w:r>
        <w:rPr>
          <w:spacing w:val="-2"/>
          <w:sz w:val="21"/>
        </w:rPr>
        <w:t>性</w:t>
      </w:r>
      <w:r>
        <w:rPr>
          <w:spacing w:val="-2"/>
          <w:sz w:val="21"/>
        </w:rPr>
        <w:t>和</w:t>
      </w:r>
      <w:r>
        <w:rPr>
          <w:spacing w:val="-2"/>
          <w:sz w:val="21"/>
        </w:rPr>
        <w:t>对</w:t>
      </w:r>
      <w:r>
        <w:rPr>
          <w:spacing w:val="-2"/>
          <w:sz w:val="21"/>
        </w:rPr>
        <w:t>效</w:t>
      </w:r>
      <w:r>
        <w:rPr>
          <w:spacing w:val="-2"/>
          <w:sz w:val="21"/>
        </w:rPr>
        <w:t>应</w:t>
      </w:r>
      <w:r>
        <w:rPr>
          <w:spacing w:val="-2"/>
          <w:sz w:val="21"/>
        </w:rPr>
        <w:t>细</w:t>
      </w:r>
      <w:r>
        <w:rPr>
          <w:spacing w:val="-2"/>
          <w:sz w:val="21"/>
        </w:rPr>
        <w:t>胞</w:t>
      </w:r>
      <w:r>
        <w:rPr>
          <w:spacing w:val="-2"/>
          <w:sz w:val="21"/>
        </w:rPr>
        <w:t>杀</w:t>
      </w:r>
      <w:r>
        <w:rPr>
          <w:spacing w:val="-2"/>
          <w:sz w:val="21"/>
        </w:rPr>
        <w:t>伤</w:t>
      </w:r>
      <w:r>
        <w:rPr>
          <w:spacing w:val="-2"/>
          <w:sz w:val="21"/>
        </w:rPr>
        <w:t>的</w:t>
      </w:r>
      <w:r>
        <w:rPr>
          <w:spacing w:val="-2"/>
          <w:sz w:val="21"/>
        </w:rPr>
        <w:t>敏</w:t>
      </w:r>
      <w:r>
        <w:rPr>
          <w:spacing w:val="-2"/>
          <w:sz w:val="21"/>
        </w:rPr>
        <w:t>感</w:t>
      </w:r>
      <w:r>
        <w:rPr>
          <w:spacing w:val="-2"/>
          <w:sz w:val="21"/>
        </w:rPr>
        <w:t>性</w:t>
      </w:r>
      <w:r>
        <w:rPr>
          <w:spacing w:val="-2"/>
          <w:sz w:val="21"/>
        </w:rPr>
        <w:t>，</w:t>
      </w:r>
      <w:r>
        <w:rPr>
          <w:spacing w:val="-2"/>
          <w:sz w:val="21"/>
        </w:rPr>
        <w:t>激</w:t>
      </w:r>
      <w:r>
        <w:rPr>
          <w:spacing w:val="-2"/>
          <w:sz w:val="21"/>
        </w:rPr>
        <w:t>发</w:t>
      </w:r>
      <w:r>
        <w:rPr>
          <w:spacing w:val="-2"/>
          <w:sz w:val="21"/>
        </w:rPr>
        <w:t>和</w:t>
      </w:r>
      <w:r>
        <w:rPr>
          <w:spacing w:val="-2"/>
          <w:sz w:val="21"/>
        </w:rPr>
        <w:t>增</w:t>
      </w:r>
      <w:r>
        <w:rPr>
          <w:spacing w:val="-2"/>
          <w:sz w:val="21"/>
        </w:rPr>
        <w:t>强</w:t>
      </w:r>
      <w:r>
        <w:rPr>
          <w:spacing w:val="-2"/>
          <w:sz w:val="21"/>
        </w:rPr>
        <w:t>机</w:t>
      </w:r>
      <w:r>
        <w:rPr>
          <w:spacing w:val="-2"/>
          <w:sz w:val="21"/>
        </w:rPr>
        <w:t>体</w:t>
      </w:r>
      <w:r>
        <w:rPr>
          <w:spacing w:val="-2"/>
          <w:sz w:val="21"/>
        </w:rPr>
        <w:t>抗</w:t>
      </w:r>
      <w:r>
        <w:rPr>
          <w:spacing w:val="-2"/>
          <w:sz w:val="21"/>
        </w:rPr>
        <w:t>肿</w:t>
      </w:r>
      <w:r>
        <w:rPr>
          <w:spacing w:val="-2"/>
          <w:sz w:val="21"/>
        </w:rPr>
        <w:t>瘤</w:t>
      </w:r>
      <w:r>
        <w:rPr>
          <w:spacing w:val="-2"/>
          <w:sz w:val="21"/>
        </w:rPr>
        <w:t>免</w:t>
      </w:r>
      <w:r>
        <w:rPr>
          <w:spacing w:val="-2"/>
          <w:sz w:val="21"/>
        </w:rPr>
        <w:t>疫</w:t>
      </w:r>
      <w:r>
        <w:rPr>
          <w:spacing w:val="-2"/>
          <w:sz w:val="21"/>
        </w:rPr>
        <w:t>应</w:t>
      </w:r>
      <w:r>
        <w:rPr>
          <w:spacing w:val="-2"/>
          <w:sz w:val="21"/>
        </w:rPr>
        <w:t>答</w:t>
      </w:r>
      <w:r>
        <w:rPr>
          <w:spacing w:val="-2"/>
          <w:sz w:val="21"/>
        </w:rPr>
        <w:t>，</w:t>
      </w:r>
      <w:r>
        <w:rPr>
          <w:spacing w:val="-2"/>
          <w:sz w:val="21"/>
        </w:rPr>
        <w:t>并</w:t>
      </w:r>
      <w:r>
        <w:rPr>
          <w:spacing w:val="-2"/>
          <w:sz w:val="21"/>
        </w:rPr>
        <w:t>应</w:t>
      </w:r>
      <w:r>
        <w:rPr>
          <w:spacing w:val="-2"/>
          <w:sz w:val="21"/>
        </w:rPr>
        <w:t>用</w:t>
      </w:r>
      <w:r>
        <w:rPr>
          <w:spacing w:val="-2"/>
          <w:sz w:val="21"/>
        </w:rPr>
        <w:t>免</w:t>
      </w:r>
      <w:r>
        <w:rPr>
          <w:spacing w:val="-2"/>
          <w:sz w:val="21"/>
        </w:rPr>
        <w:t>疫</w:t>
      </w:r>
      <w:r>
        <w:rPr>
          <w:spacing w:val="-2"/>
          <w:sz w:val="21"/>
        </w:rPr>
        <w:t>细</w:t>
      </w:r>
      <w:r>
        <w:rPr>
          <w:spacing w:val="-2"/>
          <w:sz w:val="21"/>
        </w:rPr>
        <w:t>胞</w:t>
      </w:r>
      <w:r>
        <w:rPr>
          <w:spacing w:val="-2"/>
          <w:sz w:val="21"/>
        </w:rPr>
        <w:t>和</w:t>
      </w:r>
      <w:r>
        <w:rPr>
          <w:spacing w:val="-2"/>
          <w:sz w:val="21"/>
        </w:rPr>
        <w:t>效</w:t>
      </w:r>
      <w:r>
        <w:rPr>
          <w:spacing w:val="-2"/>
          <w:sz w:val="21"/>
        </w:rPr>
        <w:t>应</w:t>
      </w:r>
      <w:r>
        <w:rPr>
          <w:spacing w:val="-2"/>
          <w:sz w:val="21"/>
        </w:rPr>
        <w:t>分</w:t>
      </w:r>
      <w:r>
        <w:rPr>
          <w:spacing w:val="-2"/>
          <w:sz w:val="21"/>
        </w:rPr>
        <w:t>子</w:t>
      </w:r>
      <w:r>
        <w:rPr>
          <w:spacing w:val="-2"/>
          <w:sz w:val="21"/>
        </w:rPr>
        <w:t>输</w:t>
      </w:r>
      <w:r>
        <w:rPr>
          <w:spacing w:val="-2"/>
          <w:sz w:val="21"/>
        </w:rPr>
        <w:t>注</w:t>
      </w:r>
      <w:r>
        <w:rPr>
          <w:spacing w:val="-2"/>
          <w:sz w:val="21"/>
        </w:rPr>
        <w:t>宿</w:t>
      </w:r>
      <w:r>
        <w:rPr>
          <w:spacing w:val="-2"/>
          <w:sz w:val="21"/>
        </w:rPr>
        <w:t>主</w:t>
      </w:r>
      <w:r>
        <w:rPr>
          <w:spacing w:val="-2"/>
          <w:sz w:val="21"/>
        </w:rPr>
        <w:t>体</w:t>
      </w:r>
      <w:r>
        <w:rPr>
          <w:spacing w:val="-2"/>
          <w:sz w:val="21"/>
        </w:rPr>
        <w:t>内</w:t>
      </w:r>
      <w:r>
        <w:rPr>
          <w:spacing w:val="-2"/>
          <w:sz w:val="21"/>
        </w:rPr>
        <w:t>，</w:t>
      </w:r>
      <w:r>
        <w:rPr>
          <w:spacing w:val="-2"/>
          <w:sz w:val="21"/>
        </w:rPr>
        <w:t>协</w:t>
      </w:r>
      <w:r>
        <w:rPr>
          <w:spacing w:val="-2"/>
          <w:sz w:val="21"/>
        </w:rPr>
        <w:t>同</w:t>
      </w:r>
      <w:r>
        <w:rPr>
          <w:spacing w:val="-2"/>
          <w:sz w:val="21"/>
        </w:rPr>
        <w:t>机</w:t>
      </w:r>
      <w:r>
        <w:rPr>
          <w:spacing w:val="-2"/>
          <w:sz w:val="21"/>
        </w:rPr>
        <w:t>体</w:t>
      </w:r>
      <w:r>
        <w:rPr>
          <w:spacing w:val="-2"/>
          <w:sz w:val="21"/>
        </w:rPr>
        <w:t>免</w:t>
      </w:r>
      <w:r>
        <w:rPr>
          <w:spacing w:val="-2"/>
          <w:sz w:val="21"/>
        </w:rPr>
        <w:t>疫</w:t>
      </w:r>
      <w:r>
        <w:rPr>
          <w:spacing w:val="-2"/>
          <w:sz w:val="21"/>
        </w:rPr>
        <w:t>系</w:t>
      </w:r>
      <w:r>
        <w:rPr>
          <w:spacing w:val="-2"/>
          <w:sz w:val="21"/>
        </w:rPr>
        <w:t>统</w:t>
      </w:r>
      <w:r>
        <w:rPr>
          <w:spacing w:val="-2"/>
          <w:sz w:val="21"/>
        </w:rPr>
        <w:t>杀</w:t>
      </w:r>
      <w:r>
        <w:rPr>
          <w:spacing w:val="-2"/>
          <w:sz w:val="21"/>
        </w:rPr>
        <w:t>伤</w:t>
      </w:r>
      <w:r>
        <w:rPr>
          <w:spacing w:val="-2"/>
          <w:sz w:val="21"/>
        </w:rPr>
        <w:t>肿</w:t>
      </w:r>
      <w:r>
        <w:rPr>
          <w:spacing w:val="-2"/>
          <w:sz w:val="21"/>
        </w:rPr>
        <w:t>瘤</w:t>
      </w:r>
      <w:r>
        <w:rPr>
          <w:spacing w:val="-2"/>
          <w:sz w:val="21"/>
        </w:rPr>
        <w:t>、</w:t>
      </w:r>
      <w:r>
        <w:rPr>
          <w:spacing w:val="-2"/>
          <w:sz w:val="21"/>
        </w:rPr>
        <w:t>抑</w:t>
      </w:r>
      <w:r>
        <w:rPr>
          <w:spacing w:val="-2"/>
          <w:sz w:val="21"/>
        </w:rPr>
        <w:t>制</w:t>
      </w:r>
      <w:r>
        <w:rPr>
          <w:spacing w:val="-2"/>
          <w:sz w:val="21"/>
        </w:rPr>
        <w:t>肿</w:t>
      </w:r>
      <w:r>
        <w:rPr>
          <w:spacing w:val="-2"/>
          <w:sz w:val="21"/>
        </w:rPr>
        <w:t>瘤</w:t>
      </w:r>
      <w:r>
        <w:rPr>
          <w:spacing w:val="-2"/>
          <w:sz w:val="21"/>
        </w:rPr>
        <w:t>生</w:t>
      </w:r>
      <w:r>
        <w:rPr>
          <w:spacing w:val="-2"/>
          <w:sz w:val="21"/>
        </w:rPr>
        <w:t>长</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肿</w:t>
      </w:r>
      <w:r>
        <w:rPr>
          <w:spacing w:val="-2"/>
          <w:sz w:val="21"/>
        </w:rPr>
        <w:t>瘤</w:t>
      </w:r>
      <w:r>
        <w:rPr>
          <w:spacing w:val="-2"/>
          <w:sz w:val="21"/>
        </w:rPr>
        <w:t>免</w:t>
      </w:r>
      <w:r>
        <w:rPr>
          <w:spacing w:val="-2"/>
          <w:sz w:val="21"/>
        </w:rPr>
        <w:t>疫</w:t>
      </w:r>
      <w:r>
        <w:rPr>
          <w:spacing w:val="-2"/>
          <w:sz w:val="21"/>
        </w:rPr>
        <w:t>治</w:t>
      </w:r>
      <w:r>
        <w:rPr>
          <w:spacing w:val="-2"/>
          <w:sz w:val="21"/>
        </w:rPr>
        <w:t>疗</w:t>
      </w:r>
      <w:r>
        <w:rPr>
          <w:spacing w:val="-2"/>
          <w:sz w:val="21"/>
        </w:rPr>
        <w:t>药</w:t>
      </w:r>
      <w:r>
        <w:rPr>
          <w:spacing w:val="-2"/>
          <w:sz w:val="21"/>
        </w:rPr>
        <w:t>物</w:t>
      </w:r>
      <w:r>
        <w:rPr>
          <w:spacing w:val="-2"/>
          <w:sz w:val="21"/>
        </w:rPr>
        <w:t>需</w:t>
      </w:r>
      <w:r>
        <w:rPr>
          <w:spacing w:val="-2"/>
          <w:sz w:val="21"/>
        </w:rPr>
        <w:t>符</w:t>
      </w:r>
      <w:r>
        <w:rPr>
          <w:spacing w:val="-2"/>
          <w:sz w:val="21"/>
        </w:rPr>
        <w:t>合</w:t>
      </w:r>
      <w:r>
        <w:rPr>
          <w:spacing w:val="-2"/>
          <w:sz w:val="21"/>
        </w:rPr>
        <w:t>法</w:t>
      </w:r>
      <w:r>
        <w:rPr>
          <w:spacing w:val="-2"/>
          <w:sz w:val="21"/>
        </w:rPr>
        <w:t>律</w:t>
      </w:r>
      <w:r>
        <w:rPr>
          <w:spacing w:val="-2"/>
          <w:sz w:val="21"/>
        </w:rPr>
        <w:t>、</w:t>
      </w:r>
      <w:r>
        <w:rPr>
          <w:spacing w:val="-2"/>
          <w:sz w:val="21"/>
        </w:rPr>
        <w:t>法</w:t>
      </w:r>
      <w:r>
        <w:rPr>
          <w:spacing w:val="-2"/>
          <w:sz w:val="21"/>
        </w:rPr>
        <w:t>规</w:t>
      </w:r>
      <w:r>
        <w:rPr>
          <w:spacing w:val="-2"/>
          <w:sz w:val="21"/>
        </w:rPr>
        <w:t>要</w:t>
      </w:r>
      <w:r>
        <w:rPr>
          <w:spacing w:val="-2"/>
          <w:sz w:val="21"/>
        </w:rPr>
        <w:t>求</w:t>
      </w:r>
      <w:r>
        <w:rPr>
          <w:spacing w:val="-2"/>
          <w:sz w:val="21"/>
        </w:rPr>
        <w:t>并</w:t>
      </w:r>
      <w:r>
        <w:rPr>
          <w:spacing w:val="-2"/>
          <w:sz w:val="21"/>
        </w:rPr>
        <w:t>经</w:t>
      </w:r>
      <w:r>
        <w:rPr>
          <w:spacing w:val="-2"/>
          <w:sz w:val="21"/>
        </w:rPr>
        <w:t>过</w:t>
      </w:r>
      <w:r>
        <w:rPr>
          <w:spacing w:val="-2"/>
          <w:sz w:val="21"/>
        </w:rPr>
        <w:t>国</w:t>
      </w:r>
      <w:r>
        <w:rPr>
          <w:spacing w:val="-2"/>
          <w:sz w:val="21"/>
        </w:rPr>
        <w:t>家</w:t>
      </w:r>
      <w:r>
        <w:rPr>
          <w:spacing w:val="-2"/>
          <w:sz w:val="21"/>
        </w:rPr>
        <w:t>食</w:t>
      </w:r>
      <w:r>
        <w:rPr>
          <w:spacing w:val="-2"/>
          <w:sz w:val="21"/>
        </w:rPr>
        <w:t>品</w:t>
      </w:r>
      <w:r>
        <w:rPr>
          <w:spacing w:val="-2"/>
          <w:sz w:val="21"/>
        </w:rPr>
        <w:t>药</w:t>
      </w:r>
      <w:r>
        <w:rPr>
          <w:spacing w:val="-2"/>
          <w:sz w:val="21"/>
        </w:rPr>
        <w:t>品</w:t>
      </w:r>
      <w:r>
        <w:rPr>
          <w:spacing w:val="-2"/>
          <w:sz w:val="21"/>
        </w:rPr>
        <w:t>监</w:t>
      </w:r>
      <w:r>
        <w:rPr>
          <w:spacing w:val="-2"/>
          <w:sz w:val="21"/>
        </w:rPr>
        <w:t>督</w:t>
      </w:r>
      <w:r>
        <w:rPr>
          <w:spacing w:val="-2"/>
          <w:sz w:val="21"/>
        </w:rPr>
        <w:t>管</w:t>
      </w:r>
      <w:r>
        <w:rPr>
          <w:spacing w:val="-2"/>
          <w:sz w:val="21"/>
        </w:rPr>
        <w:t>理</w:t>
      </w:r>
      <w:r>
        <w:rPr>
          <w:spacing w:val="-2"/>
          <w:sz w:val="21"/>
        </w:rPr>
        <w:t>总</w:t>
      </w:r>
      <w:r>
        <w:rPr>
          <w:spacing w:val="-2"/>
          <w:sz w:val="21"/>
        </w:rPr>
        <w:t>局批准用于临床治疗。</w:t>
      </w:r>
    </w:p>
    <w:p>
      <w:pPr>
        <w:pStyle w:val="BodyText"/>
        <w:spacing w:before="6"/>
        <w:rPr>
          <w:sz w:val="15"/>
        </w:rPr>
      </w:pPr>
    </w:p>
    <w:p>
      <w:pPr>
        <w:pStyle w:val="ListParagraph"/>
        <w:numPr>
          <w:ilvl w:val="1"/>
          <w:numId w:val="31"/>
        </w:numPr>
        <w:tabs>
          <w:tab w:pos="1007" w:val="left" w:leader="none"/>
        </w:tabs>
        <w:spacing w:line="256" w:lineRule="auto" w:before="0" w:after="0"/>
        <w:ind w:left="2946" w:right="438" w:hanging="2687"/>
        <w:jc w:val="both"/>
        <w:rPr>
          <w:sz w:val="21"/>
        </w:rPr>
      </w:pPr>
      <w:r>
        <w:rPr>
          <w:rFonts w:ascii="微软雅黑" w:eastAsia="微软雅黑"/>
          <w:b/>
          <w:spacing w:val="49"/>
          <w:sz w:val="21"/>
        </w:rPr>
        <w:t>肿瘤内分泌疗法 </w:t>
      </w:r>
      <w:r>
        <w:rPr>
          <w:sz w:val="21"/>
        </w:rPr>
        <w:t>指针对于恶性肿瘤的内分泌疗法，用药物抑制激素生成和激素反应，杀死癌细</w:t>
      </w:r>
      <w:r>
        <w:rPr>
          <w:spacing w:val="-2"/>
          <w:sz w:val="21"/>
        </w:rPr>
        <w:t>胞或抑制癌细胞的生长。本合同所指的内分泌治疗药物需要符合法律、法规要</w:t>
      </w:r>
      <w:r>
        <w:rPr>
          <w:spacing w:val="-2"/>
          <w:sz w:val="21"/>
        </w:rPr>
        <w:t>求并经过国家食品药品监督管理总局批准用于临床治疗。</w:t>
      </w:r>
    </w:p>
    <w:p>
      <w:pPr>
        <w:pStyle w:val="BodyText"/>
        <w:spacing w:before="9"/>
        <w:rPr>
          <w:sz w:val="15"/>
        </w:rPr>
      </w:pPr>
    </w:p>
    <w:p>
      <w:pPr>
        <w:pStyle w:val="ListParagraph"/>
        <w:numPr>
          <w:ilvl w:val="1"/>
          <w:numId w:val="31"/>
        </w:numPr>
        <w:tabs>
          <w:tab w:pos="1007" w:val="left" w:leader="none"/>
          <w:tab w:pos="2946" w:val="left" w:leader="none"/>
        </w:tabs>
        <w:spacing w:line="312" w:lineRule="exact" w:before="0" w:after="0"/>
        <w:ind w:left="2946" w:right="438" w:hanging="2687"/>
        <w:jc w:val="both"/>
        <w:rPr>
          <w:sz w:val="21"/>
        </w:rPr>
      </w:pPr>
      <w:r>
        <w:rPr>
          <w:rFonts w:ascii="微软雅黑" w:eastAsia="微软雅黑"/>
          <w:b/>
          <w:spacing w:val="-2"/>
          <w:sz w:val="21"/>
        </w:rPr>
        <w:t>肿</w:t>
      </w:r>
      <w:r>
        <w:rPr>
          <w:rFonts w:ascii="微软雅黑" w:eastAsia="微软雅黑"/>
          <w:b/>
          <w:spacing w:val="-2"/>
          <w:sz w:val="21"/>
        </w:rPr>
        <w:t>瘤</w:t>
      </w:r>
      <w:r>
        <w:rPr>
          <w:rFonts w:ascii="微软雅黑" w:eastAsia="微软雅黑"/>
          <w:b/>
          <w:spacing w:val="-2"/>
          <w:sz w:val="21"/>
        </w:rPr>
        <w:t>靶</w:t>
      </w:r>
      <w:r>
        <w:rPr>
          <w:rFonts w:ascii="微软雅黑" w:eastAsia="微软雅黑"/>
          <w:b/>
          <w:spacing w:val="-2"/>
          <w:sz w:val="21"/>
        </w:rPr>
        <w:t>向</w:t>
      </w:r>
      <w:r>
        <w:rPr>
          <w:rFonts w:ascii="微软雅黑" w:eastAsia="微软雅黑"/>
          <w:b/>
          <w:spacing w:val="-2"/>
          <w:sz w:val="21"/>
        </w:rPr>
        <w:t>疗</w:t>
      </w:r>
      <w:r>
        <w:rPr>
          <w:rFonts w:ascii="微软雅黑" w:eastAsia="微软雅黑"/>
          <w:b/>
          <w:spacing w:val="-2"/>
          <w:sz w:val="21"/>
        </w:rPr>
        <w:t>法</w:t>
      </w:r>
      <w:r>
        <w:rPr>
          <w:rFonts w:ascii="微软雅黑" w:eastAsia="微软雅黑"/>
          <w:b/>
          <w:sz w:val="21"/>
        </w:rPr>
        <w:tab/>
      </w:r>
      <w:r>
        <w:rPr>
          <w:spacing w:val="-2"/>
          <w:sz w:val="21"/>
        </w:rPr>
        <w:t>指</w:t>
      </w:r>
      <w:r>
        <w:rPr>
          <w:spacing w:val="-2"/>
          <w:sz w:val="21"/>
        </w:rPr>
        <w:t>在</w:t>
      </w:r>
      <w:r>
        <w:rPr>
          <w:spacing w:val="-2"/>
          <w:sz w:val="21"/>
        </w:rPr>
        <w:t>细</w:t>
      </w:r>
      <w:r>
        <w:rPr>
          <w:spacing w:val="-2"/>
          <w:sz w:val="21"/>
        </w:rPr>
        <w:t>胞</w:t>
      </w:r>
      <w:r>
        <w:rPr>
          <w:spacing w:val="-2"/>
          <w:sz w:val="21"/>
        </w:rPr>
        <w:t>分</w:t>
      </w:r>
      <w:r>
        <w:rPr>
          <w:spacing w:val="-2"/>
          <w:sz w:val="21"/>
        </w:rPr>
        <w:t>子</w:t>
      </w:r>
      <w:r>
        <w:rPr>
          <w:spacing w:val="-2"/>
          <w:sz w:val="21"/>
        </w:rPr>
        <w:t>水</w:t>
      </w:r>
      <w:r>
        <w:rPr>
          <w:spacing w:val="-2"/>
          <w:sz w:val="21"/>
        </w:rPr>
        <w:t>平</w:t>
      </w:r>
      <w:r>
        <w:rPr>
          <w:spacing w:val="-2"/>
          <w:sz w:val="21"/>
        </w:rPr>
        <w:t>上</w:t>
      </w:r>
      <w:r>
        <w:rPr>
          <w:spacing w:val="-2"/>
          <w:sz w:val="21"/>
        </w:rPr>
        <w:t>，</w:t>
      </w:r>
      <w:r>
        <w:rPr>
          <w:spacing w:val="-2"/>
          <w:sz w:val="21"/>
        </w:rPr>
        <w:t>针</w:t>
      </w:r>
      <w:r>
        <w:rPr>
          <w:spacing w:val="-2"/>
          <w:sz w:val="21"/>
        </w:rPr>
        <w:t>对</w:t>
      </w:r>
      <w:r>
        <w:rPr>
          <w:spacing w:val="-2"/>
          <w:sz w:val="21"/>
        </w:rPr>
        <w:t>已</w:t>
      </w:r>
      <w:r>
        <w:rPr>
          <w:spacing w:val="-2"/>
          <w:sz w:val="21"/>
        </w:rPr>
        <w:t>经</w:t>
      </w:r>
      <w:r>
        <w:rPr>
          <w:spacing w:val="-2"/>
          <w:sz w:val="21"/>
        </w:rPr>
        <w:t>明</w:t>
      </w:r>
      <w:r>
        <w:rPr>
          <w:spacing w:val="-2"/>
          <w:sz w:val="21"/>
        </w:rPr>
        <w:t>确</w:t>
      </w:r>
      <w:r>
        <w:rPr>
          <w:spacing w:val="-2"/>
          <w:sz w:val="21"/>
        </w:rPr>
        <w:t>的</w:t>
      </w:r>
      <w:r>
        <w:rPr>
          <w:spacing w:val="-2"/>
          <w:sz w:val="21"/>
        </w:rPr>
        <w:t>致</w:t>
      </w:r>
      <w:r>
        <w:rPr>
          <w:spacing w:val="-2"/>
          <w:sz w:val="21"/>
        </w:rPr>
        <w:t>癌</w:t>
      </w:r>
      <w:r>
        <w:rPr>
          <w:spacing w:val="-2"/>
          <w:sz w:val="21"/>
        </w:rPr>
        <w:t>点</w:t>
      </w:r>
      <w:r>
        <w:rPr>
          <w:spacing w:val="-2"/>
          <w:sz w:val="21"/>
        </w:rPr>
        <w:t>来</w:t>
      </w:r>
      <w:r>
        <w:rPr>
          <w:spacing w:val="-2"/>
          <w:sz w:val="21"/>
        </w:rPr>
        <w:t>设</w:t>
      </w:r>
      <w:r>
        <w:rPr>
          <w:spacing w:val="-2"/>
          <w:sz w:val="21"/>
        </w:rPr>
        <w:t>计</w:t>
      </w:r>
      <w:r>
        <w:rPr>
          <w:spacing w:val="-2"/>
          <w:sz w:val="21"/>
        </w:rPr>
        <w:t>相</w:t>
      </w:r>
      <w:r>
        <w:rPr>
          <w:spacing w:val="-2"/>
          <w:sz w:val="21"/>
        </w:rPr>
        <w:t>应</w:t>
      </w:r>
      <w:r>
        <w:rPr>
          <w:spacing w:val="-2"/>
          <w:sz w:val="21"/>
        </w:rPr>
        <w:t>的</w:t>
      </w:r>
      <w:r>
        <w:rPr>
          <w:spacing w:val="-2"/>
          <w:sz w:val="21"/>
        </w:rPr>
        <w:t>靶</w:t>
      </w:r>
      <w:r>
        <w:rPr>
          <w:spacing w:val="-2"/>
          <w:sz w:val="21"/>
        </w:rPr>
        <w:t>向</w:t>
      </w:r>
      <w:r>
        <w:rPr>
          <w:spacing w:val="-2"/>
          <w:sz w:val="21"/>
        </w:rPr>
        <w:t>治</w:t>
      </w:r>
      <w:r>
        <w:rPr>
          <w:spacing w:val="-2"/>
          <w:sz w:val="21"/>
        </w:rPr>
        <w:t>疗</w:t>
      </w:r>
      <w:r>
        <w:rPr>
          <w:spacing w:val="-2"/>
          <w:sz w:val="21"/>
        </w:rPr>
        <w:t>药</w:t>
      </w:r>
      <w:r>
        <w:rPr>
          <w:spacing w:val="-2"/>
          <w:sz w:val="21"/>
        </w:rPr>
        <w:t>物</w:t>
      </w:r>
      <w:r>
        <w:rPr>
          <w:spacing w:val="-2"/>
          <w:sz w:val="21"/>
        </w:rPr>
        <w:t>，</w:t>
      </w:r>
      <w:r>
        <w:rPr>
          <w:spacing w:val="-2"/>
          <w:sz w:val="21"/>
        </w:rPr>
        <w:t>利</w:t>
      </w:r>
      <w:r>
        <w:rPr>
          <w:spacing w:val="-2"/>
          <w:sz w:val="21"/>
        </w:rPr>
        <w:t>用</w:t>
      </w:r>
      <w:r>
        <w:rPr>
          <w:spacing w:val="-2"/>
          <w:sz w:val="21"/>
        </w:rPr>
        <w:t>具</w:t>
      </w:r>
      <w:r>
        <w:rPr>
          <w:spacing w:val="-2"/>
          <w:sz w:val="21"/>
        </w:rPr>
        <w:t>有</w:t>
      </w:r>
      <w:r>
        <w:rPr>
          <w:spacing w:val="-2"/>
          <w:sz w:val="21"/>
        </w:rPr>
        <w:t>一</w:t>
      </w:r>
      <w:r>
        <w:rPr>
          <w:spacing w:val="-2"/>
          <w:sz w:val="21"/>
        </w:rPr>
        <w:t>定</w:t>
      </w:r>
      <w:r>
        <w:rPr>
          <w:spacing w:val="-2"/>
          <w:sz w:val="21"/>
        </w:rPr>
        <w:t>特</w:t>
      </w:r>
      <w:r>
        <w:rPr>
          <w:spacing w:val="-2"/>
          <w:sz w:val="21"/>
        </w:rPr>
        <w:t>异</w:t>
      </w:r>
      <w:r>
        <w:rPr>
          <w:spacing w:val="-2"/>
          <w:sz w:val="21"/>
        </w:rPr>
        <w:t>性</w:t>
      </w:r>
      <w:r>
        <w:rPr>
          <w:spacing w:val="-2"/>
          <w:sz w:val="21"/>
        </w:rPr>
        <w:t>的</w:t>
      </w:r>
      <w:r>
        <w:rPr>
          <w:spacing w:val="-2"/>
          <w:sz w:val="21"/>
        </w:rPr>
        <w:t>载</w:t>
      </w:r>
      <w:r>
        <w:rPr>
          <w:spacing w:val="-2"/>
          <w:sz w:val="21"/>
        </w:rPr>
        <w:t>体</w:t>
      </w:r>
      <w:r>
        <w:rPr>
          <w:spacing w:val="-2"/>
          <w:sz w:val="21"/>
        </w:rPr>
        <w:t>，</w:t>
      </w:r>
      <w:r>
        <w:rPr>
          <w:spacing w:val="-2"/>
          <w:sz w:val="21"/>
        </w:rPr>
        <w:t>将</w:t>
      </w:r>
      <w:r>
        <w:rPr>
          <w:spacing w:val="-2"/>
          <w:sz w:val="21"/>
        </w:rPr>
        <w:t>药</w:t>
      </w:r>
      <w:r>
        <w:rPr>
          <w:spacing w:val="-2"/>
          <w:sz w:val="21"/>
        </w:rPr>
        <w:t>物</w:t>
      </w:r>
      <w:r>
        <w:rPr>
          <w:spacing w:val="-2"/>
          <w:sz w:val="21"/>
        </w:rPr>
        <w:t>或</w:t>
      </w:r>
      <w:r>
        <w:rPr>
          <w:spacing w:val="-2"/>
          <w:sz w:val="21"/>
        </w:rPr>
        <w:t>其</w:t>
      </w:r>
      <w:r>
        <w:rPr>
          <w:spacing w:val="-2"/>
          <w:sz w:val="21"/>
        </w:rPr>
        <w:t>他</w:t>
      </w:r>
      <w:r>
        <w:rPr>
          <w:spacing w:val="-2"/>
          <w:sz w:val="21"/>
        </w:rPr>
        <w:t>杀</w:t>
      </w:r>
      <w:r>
        <w:rPr>
          <w:spacing w:val="-2"/>
          <w:sz w:val="21"/>
        </w:rPr>
        <w:t>伤</w:t>
      </w:r>
      <w:r>
        <w:rPr>
          <w:spacing w:val="-2"/>
          <w:sz w:val="21"/>
        </w:rPr>
        <w:t>肿</w:t>
      </w:r>
      <w:r>
        <w:rPr>
          <w:spacing w:val="-2"/>
          <w:sz w:val="21"/>
        </w:rPr>
        <w:t>瘤</w:t>
      </w:r>
      <w:r>
        <w:rPr>
          <w:spacing w:val="-2"/>
          <w:sz w:val="21"/>
        </w:rPr>
        <w:t>细</w:t>
      </w:r>
      <w:r>
        <w:rPr>
          <w:spacing w:val="-2"/>
          <w:sz w:val="21"/>
        </w:rPr>
        <w:t>胞</w:t>
      </w:r>
      <w:r>
        <w:rPr>
          <w:spacing w:val="-2"/>
          <w:sz w:val="21"/>
        </w:rPr>
        <w:t>的</w:t>
      </w:r>
      <w:r>
        <w:rPr>
          <w:spacing w:val="-2"/>
          <w:sz w:val="21"/>
        </w:rPr>
        <w:t>活</w:t>
      </w:r>
      <w:r>
        <w:rPr>
          <w:spacing w:val="-2"/>
          <w:sz w:val="21"/>
        </w:rPr>
        <w:t>性</w:t>
      </w:r>
      <w:r>
        <w:rPr>
          <w:spacing w:val="-2"/>
          <w:sz w:val="21"/>
        </w:rPr>
        <w:t>药</w:t>
      </w:r>
      <w:r>
        <w:rPr>
          <w:spacing w:val="-2"/>
          <w:sz w:val="21"/>
        </w:rPr>
        <w:t>物</w:t>
      </w:r>
      <w:r>
        <w:rPr>
          <w:spacing w:val="-2"/>
          <w:sz w:val="21"/>
        </w:rPr>
        <w:t>选</w:t>
      </w:r>
      <w:r>
        <w:rPr>
          <w:spacing w:val="-2"/>
          <w:sz w:val="21"/>
        </w:rPr>
        <w:t>择</w:t>
      </w:r>
      <w:r>
        <w:rPr>
          <w:spacing w:val="-2"/>
          <w:sz w:val="21"/>
        </w:rPr>
        <w:t>性</w:t>
      </w:r>
      <w:r>
        <w:rPr>
          <w:spacing w:val="-2"/>
          <w:sz w:val="21"/>
        </w:rPr>
        <w:t>地</w:t>
      </w:r>
      <w:r>
        <w:rPr>
          <w:spacing w:val="-2"/>
          <w:sz w:val="21"/>
        </w:rPr>
        <w:t>运</w:t>
      </w:r>
      <w:r>
        <w:rPr>
          <w:spacing w:val="-2"/>
          <w:sz w:val="21"/>
        </w:rPr>
        <w:t>送</w:t>
      </w:r>
      <w:r>
        <w:rPr>
          <w:spacing w:val="-2"/>
          <w:sz w:val="21"/>
        </w:rPr>
        <w:t>到</w:t>
      </w:r>
      <w:r>
        <w:rPr>
          <w:spacing w:val="-2"/>
          <w:sz w:val="21"/>
        </w:rPr>
        <w:t>肿</w:t>
      </w:r>
      <w:r>
        <w:rPr>
          <w:spacing w:val="-2"/>
          <w:sz w:val="21"/>
        </w:rPr>
        <w:t>瘤</w:t>
      </w:r>
      <w:r>
        <w:rPr>
          <w:spacing w:val="-2"/>
          <w:sz w:val="21"/>
        </w:rPr>
        <w:t>部</w:t>
      </w:r>
      <w:r>
        <w:rPr>
          <w:spacing w:val="-2"/>
          <w:sz w:val="21"/>
        </w:rPr>
        <w:t>位</w:t>
      </w:r>
      <w:r>
        <w:rPr>
          <w:spacing w:val="-2"/>
          <w:sz w:val="21"/>
        </w:rPr>
        <w:t>攻</w:t>
      </w:r>
      <w:r>
        <w:rPr>
          <w:spacing w:val="-2"/>
          <w:sz w:val="21"/>
        </w:rPr>
        <w:t>击</w:t>
      </w:r>
      <w:r>
        <w:rPr>
          <w:spacing w:val="-2"/>
          <w:sz w:val="21"/>
        </w:rPr>
        <w:t>癌</w:t>
      </w:r>
      <w:r>
        <w:rPr>
          <w:spacing w:val="-2"/>
          <w:sz w:val="21"/>
        </w:rPr>
        <w:t>细</w:t>
      </w:r>
      <w:r>
        <w:rPr>
          <w:spacing w:val="-2"/>
          <w:sz w:val="21"/>
        </w:rPr>
        <w:t>胞</w:t>
      </w:r>
      <w:r>
        <w:rPr>
          <w:spacing w:val="-2"/>
          <w:sz w:val="21"/>
        </w:rPr>
        <w:t>的</w:t>
      </w:r>
      <w:r>
        <w:rPr>
          <w:spacing w:val="-2"/>
          <w:sz w:val="21"/>
        </w:rPr>
        <w:t>疗</w:t>
      </w:r>
      <w:r>
        <w:rPr>
          <w:spacing w:val="-2"/>
          <w:sz w:val="21"/>
        </w:rPr>
        <w:t>法</w:t>
      </w:r>
      <w:r>
        <w:rPr>
          <w:spacing w:val="-2"/>
          <w:sz w:val="21"/>
        </w:rPr>
        <w:t>。</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靶</w:t>
      </w:r>
      <w:r>
        <w:rPr>
          <w:spacing w:val="-2"/>
          <w:sz w:val="21"/>
        </w:rPr>
        <w:t>向</w:t>
      </w:r>
      <w:r>
        <w:rPr>
          <w:spacing w:val="-2"/>
          <w:sz w:val="21"/>
        </w:rPr>
        <w:t>治</w:t>
      </w:r>
      <w:r>
        <w:rPr>
          <w:spacing w:val="-2"/>
          <w:sz w:val="21"/>
        </w:rPr>
        <w:t>疗</w:t>
      </w:r>
      <w:r>
        <w:rPr>
          <w:spacing w:val="-2"/>
          <w:sz w:val="21"/>
        </w:rPr>
        <w:t>的</w:t>
      </w:r>
      <w:r>
        <w:rPr>
          <w:spacing w:val="-2"/>
          <w:sz w:val="21"/>
        </w:rPr>
        <w:t>药</w:t>
      </w:r>
      <w:r>
        <w:rPr>
          <w:spacing w:val="-2"/>
          <w:sz w:val="21"/>
        </w:rPr>
        <w:t>物</w:t>
      </w:r>
      <w:r>
        <w:rPr>
          <w:spacing w:val="-2"/>
          <w:sz w:val="21"/>
        </w:rPr>
        <w:t>需</w:t>
      </w:r>
      <w:r>
        <w:rPr>
          <w:spacing w:val="-2"/>
          <w:sz w:val="21"/>
        </w:rPr>
        <w:t>具</w:t>
      </w:r>
      <w:r>
        <w:rPr>
          <w:spacing w:val="-2"/>
          <w:sz w:val="21"/>
        </w:rPr>
        <w:t>有</w:t>
      </w:r>
      <w:r>
        <w:rPr>
          <w:spacing w:val="-2"/>
          <w:sz w:val="21"/>
        </w:rPr>
        <w:t>国</w:t>
      </w:r>
      <w:r>
        <w:rPr>
          <w:spacing w:val="-2"/>
          <w:sz w:val="21"/>
        </w:rPr>
        <w:t>家</w:t>
      </w:r>
      <w:r>
        <w:rPr>
          <w:spacing w:val="-2"/>
          <w:sz w:val="21"/>
        </w:rPr>
        <w:t>药</w:t>
      </w:r>
      <w:r>
        <w:rPr>
          <w:spacing w:val="-2"/>
          <w:sz w:val="21"/>
        </w:rPr>
        <w:t>品</w:t>
      </w:r>
      <w:r>
        <w:rPr>
          <w:spacing w:val="-2"/>
          <w:sz w:val="21"/>
        </w:rPr>
        <w:t>监</w:t>
      </w:r>
      <w:r>
        <w:rPr>
          <w:spacing w:val="-2"/>
          <w:sz w:val="21"/>
        </w:rPr>
        <w:t>督</w:t>
      </w:r>
      <w:r>
        <w:rPr>
          <w:spacing w:val="-2"/>
          <w:sz w:val="21"/>
        </w:rPr>
        <w:t>管</w:t>
      </w:r>
      <w:r>
        <w:rPr>
          <w:spacing w:val="-2"/>
          <w:sz w:val="21"/>
        </w:rPr>
        <w:t>理</w:t>
      </w:r>
      <w:r>
        <w:rPr>
          <w:spacing w:val="-2"/>
          <w:sz w:val="21"/>
        </w:rPr>
        <w:t>部</w:t>
      </w:r>
      <w:r>
        <w:rPr>
          <w:spacing w:val="-2"/>
          <w:sz w:val="21"/>
        </w:rPr>
        <w:t>门</w:t>
      </w:r>
      <w:r>
        <w:rPr>
          <w:spacing w:val="-2"/>
          <w:sz w:val="21"/>
        </w:rPr>
        <w:t>核</w:t>
      </w:r>
      <w:r>
        <w:rPr>
          <w:spacing w:val="-2"/>
          <w:sz w:val="21"/>
        </w:rPr>
        <w:t>发</w:t>
      </w:r>
      <w:r>
        <w:rPr>
          <w:spacing w:val="-2"/>
          <w:sz w:val="21"/>
        </w:rPr>
        <w:t>的</w:t>
      </w:r>
      <w:r>
        <w:rPr>
          <w:spacing w:val="-2"/>
          <w:sz w:val="21"/>
        </w:rPr>
        <w:t>药</w:t>
      </w:r>
      <w:r>
        <w:rPr>
          <w:spacing w:val="-2"/>
          <w:sz w:val="21"/>
        </w:rPr>
        <w:t>品</w:t>
      </w:r>
      <w:r>
        <w:rPr>
          <w:spacing w:val="-2"/>
          <w:sz w:val="21"/>
        </w:rPr>
        <w:t>批</w:t>
      </w:r>
      <w:r>
        <w:rPr>
          <w:spacing w:val="-2"/>
          <w:sz w:val="21"/>
        </w:rPr>
        <w:t>准</w:t>
      </w:r>
      <w:r>
        <w:rPr>
          <w:spacing w:val="-2"/>
          <w:sz w:val="21"/>
        </w:rPr>
        <w:t>文</w:t>
      </w:r>
      <w:r>
        <w:rPr>
          <w:spacing w:val="-2"/>
          <w:sz w:val="21"/>
        </w:rPr>
        <w:t>号</w:t>
      </w:r>
      <w:r>
        <w:rPr>
          <w:spacing w:val="-2"/>
          <w:sz w:val="21"/>
        </w:rPr>
        <w:t>或</w:t>
      </w:r>
      <w:r>
        <w:rPr>
          <w:spacing w:val="-2"/>
          <w:sz w:val="21"/>
        </w:rPr>
        <w:t>者</w:t>
      </w:r>
      <w:r>
        <w:rPr>
          <w:spacing w:val="-2"/>
          <w:sz w:val="21"/>
        </w:rPr>
        <w:t>进</w:t>
      </w:r>
      <w:r>
        <w:rPr>
          <w:spacing w:val="-2"/>
          <w:sz w:val="21"/>
        </w:rPr>
        <w:t>口</w:t>
      </w:r>
      <w:r>
        <w:rPr>
          <w:spacing w:val="-2"/>
          <w:sz w:val="21"/>
        </w:rPr>
        <w:t>药</w:t>
      </w:r>
      <w:r>
        <w:rPr>
          <w:spacing w:val="-2"/>
          <w:sz w:val="21"/>
        </w:rPr>
        <w:t>品</w:t>
      </w:r>
      <w:r>
        <w:rPr>
          <w:spacing w:val="-2"/>
          <w:sz w:val="21"/>
        </w:rPr>
        <w:t>注</w:t>
      </w:r>
      <w:r>
        <w:rPr>
          <w:spacing w:val="-2"/>
          <w:sz w:val="21"/>
        </w:rPr>
        <w:t>册</w:t>
      </w:r>
      <w:r>
        <w:rPr>
          <w:spacing w:val="-2"/>
          <w:sz w:val="21"/>
        </w:rPr>
        <w:t>证</w:t>
      </w:r>
      <w:r>
        <w:rPr>
          <w:spacing w:val="-2"/>
          <w:sz w:val="21"/>
        </w:rPr>
        <w:t>书</w:t>
      </w:r>
      <w:r>
        <w:rPr>
          <w:spacing w:val="-2"/>
          <w:sz w:val="21"/>
        </w:rPr>
        <w:t>、</w:t>
      </w:r>
      <w:r>
        <w:rPr>
          <w:spacing w:val="-2"/>
          <w:sz w:val="21"/>
        </w:rPr>
        <w:t>医</w:t>
      </w:r>
      <w:r>
        <w:rPr>
          <w:spacing w:val="-2"/>
          <w:sz w:val="21"/>
        </w:rPr>
        <w:t>药</w:t>
      </w:r>
      <w:r>
        <w:rPr>
          <w:spacing w:val="-2"/>
          <w:sz w:val="21"/>
        </w:rPr>
        <w:t>产</w:t>
      </w:r>
      <w:r>
        <w:rPr>
          <w:spacing w:val="-2"/>
          <w:sz w:val="21"/>
        </w:rPr>
        <w:t>品</w:t>
      </w:r>
      <w:r>
        <w:rPr>
          <w:spacing w:val="-2"/>
          <w:sz w:val="21"/>
        </w:rPr>
        <w:t>注</w:t>
      </w:r>
      <w:r>
        <w:rPr>
          <w:spacing w:val="-2"/>
          <w:sz w:val="21"/>
        </w:rPr>
        <w:t>册</w:t>
      </w:r>
      <w:r>
        <w:rPr>
          <w:spacing w:val="-2"/>
          <w:sz w:val="21"/>
        </w:rPr>
        <w:t>证</w:t>
      </w:r>
      <w:r>
        <w:rPr>
          <w:spacing w:val="-6"/>
          <w:sz w:val="21"/>
        </w:rPr>
        <w:t>书</w:t>
      </w:r>
      <w:r>
        <w:rPr>
          <w:spacing w:val="-6"/>
          <w:sz w:val="21"/>
        </w:rPr>
        <w:t>。</w:t>
      </w:r>
    </w:p>
    <w:p>
      <w:pPr>
        <w:pStyle w:val="BodyText"/>
        <w:spacing w:before="6"/>
        <w:rPr>
          <w:sz w:val="15"/>
        </w:rPr>
      </w:pPr>
    </w:p>
    <w:p>
      <w:pPr>
        <w:pStyle w:val="ListParagraph"/>
        <w:numPr>
          <w:ilvl w:val="1"/>
          <w:numId w:val="31"/>
        </w:numPr>
        <w:tabs>
          <w:tab w:pos="1007" w:val="left" w:leader="none"/>
        </w:tabs>
        <w:spacing w:line="256" w:lineRule="auto" w:before="0" w:after="0"/>
        <w:ind w:left="2946" w:right="436" w:hanging="2687"/>
        <w:jc w:val="both"/>
        <w:rPr>
          <w:sz w:val="21"/>
        </w:rPr>
      </w:pPr>
      <w:r>
        <w:rPr>
          <w:rFonts w:ascii="微软雅黑" w:eastAsia="微软雅黑"/>
          <w:b/>
          <w:spacing w:val="4"/>
          <w:sz w:val="21"/>
        </w:rPr>
        <w:t>门诊手术医疗费用 </w:t>
      </w:r>
      <w:r>
        <w:rPr>
          <w:sz w:val="21"/>
        </w:rPr>
        <w:t>指门诊发生的医疗必需且合理的手术医疗费用，包括外科医生费、手术室费、</w:t>
      </w:r>
      <w:r>
        <w:rPr>
          <w:spacing w:val="-2"/>
          <w:sz w:val="21"/>
        </w:rPr>
        <w:t>恢复室费、麻醉费、手术监测费、手术辅助费、材料费、一次性用品费、术中</w:t>
      </w:r>
      <w:r>
        <w:rPr>
          <w:spacing w:val="-2"/>
          <w:sz w:val="21"/>
        </w:rPr>
        <w:t>用药费、手术设备费。</w:t>
      </w:r>
    </w:p>
    <w:p>
      <w:pPr>
        <w:pStyle w:val="ListParagraph"/>
        <w:numPr>
          <w:ilvl w:val="1"/>
          <w:numId w:val="31"/>
        </w:numPr>
        <w:tabs>
          <w:tab w:pos="1007" w:val="left" w:leader="none"/>
        </w:tabs>
        <w:spacing w:line="383" w:lineRule="exact" w:before="175" w:after="0"/>
        <w:ind w:left="1006" w:right="0" w:hanging="747"/>
        <w:jc w:val="both"/>
        <w:rPr>
          <w:sz w:val="21"/>
        </w:rPr>
      </w:pPr>
      <w:r>
        <w:rPr>
          <w:rFonts w:ascii="微软雅黑" w:eastAsia="微软雅黑"/>
          <w:b/>
          <w:spacing w:val="17"/>
          <w:sz w:val="21"/>
        </w:rPr>
        <w:t>门诊急诊医疗费用 </w:t>
      </w:r>
      <w:r>
        <w:rPr>
          <w:spacing w:val="-1"/>
          <w:sz w:val="21"/>
        </w:rPr>
        <w:t>指被保险人在医院门诊急诊治疗发生的医疗费用，包括：</w:t>
      </w:r>
    </w:p>
    <w:p>
      <w:pPr>
        <w:pStyle w:val="ListParagraph"/>
        <w:numPr>
          <w:ilvl w:val="0"/>
          <w:numId w:val="34"/>
        </w:numPr>
        <w:tabs>
          <w:tab w:pos="3476" w:val="left" w:leader="none"/>
        </w:tabs>
        <w:spacing w:line="265" w:lineRule="exact" w:before="0" w:after="0"/>
        <w:ind w:left="3475" w:right="0" w:hanging="530"/>
        <w:jc w:val="left"/>
        <w:rPr>
          <w:sz w:val="21"/>
        </w:rPr>
      </w:pPr>
      <w:r>
        <w:rPr>
          <w:spacing w:val="-4"/>
          <w:sz w:val="21"/>
        </w:rPr>
        <w:t>医事服务费；</w:t>
      </w:r>
    </w:p>
    <w:p>
      <w:pPr>
        <w:pStyle w:val="ListParagraph"/>
        <w:numPr>
          <w:ilvl w:val="0"/>
          <w:numId w:val="34"/>
        </w:numPr>
        <w:tabs>
          <w:tab w:pos="3476" w:val="left" w:leader="none"/>
        </w:tabs>
        <w:spacing w:line="240" w:lineRule="auto" w:before="43" w:after="0"/>
        <w:ind w:left="3475" w:right="0" w:hanging="530"/>
        <w:jc w:val="left"/>
        <w:rPr>
          <w:sz w:val="21"/>
        </w:rPr>
      </w:pPr>
      <w:r>
        <w:rPr>
          <w:spacing w:val="-4"/>
          <w:sz w:val="21"/>
        </w:rPr>
        <w:t>治疗费；</w:t>
      </w:r>
    </w:p>
    <w:p>
      <w:pPr>
        <w:pStyle w:val="ListParagraph"/>
        <w:numPr>
          <w:ilvl w:val="0"/>
          <w:numId w:val="34"/>
        </w:numPr>
        <w:tabs>
          <w:tab w:pos="3476" w:val="left" w:leader="none"/>
        </w:tabs>
        <w:spacing w:line="240" w:lineRule="auto" w:before="43" w:after="0"/>
        <w:ind w:left="3475" w:right="0" w:hanging="530"/>
        <w:jc w:val="left"/>
        <w:rPr>
          <w:sz w:val="21"/>
        </w:rPr>
      </w:pPr>
      <w:r>
        <w:rPr>
          <w:spacing w:val="-4"/>
          <w:sz w:val="21"/>
        </w:rPr>
        <w:t>检查化验费；</w:t>
      </w:r>
    </w:p>
    <w:p>
      <w:pPr>
        <w:pStyle w:val="ListParagraph"/>
        <w:numPr>
          <w:ilvl w:val="0"/>
          <w:numId w:val="34"/>
        </w:numPr>
        <w:tabs>
          <w:tab w:pos="3476" w:val="left" w:leader="none"/>
        </w:tabs>
        <w:spacing w:line="240" w:lineRule="auto" w:before="43" w:after="0"/>
        <w:ind w:left="3475" w:right="0" w:hanging="530"/>
        <w:jc w:val="left"/>
        <w:rPr>
          <w:sz w:val="21"/>
        </w:rPr>
      </w:pPr>
      <w:r>
        <w:rPr>
          <w:spacing w:val="-4"/>
          <w:sz w:val="21"/>
        </w:rPr>
        <w:t>药品费；</w:t>
      </w:r>
    </w:p>
    <w:p>
      <w:pPr>
        <w:pStyle w:val="ListParagraph"/>
        <w:numPr>
          <w:ilvl w:val="0"/>
          <w:numId w:val="34"/>
        </w:numPr>
        <w:tabs>
          <w:tab w:pos="3476" w:val="left" w:leader="none"/>
        </w:tabs>
        <w:spacing w:line="240" w:lineRule="auto" w:before="43" w:after="0"/>
        <w:ind w:left="3475" w:right="0" w:hanging="530"/>
        <w:jc w:val="left"/>
        <w:rPr>
          <w:sz w:val="21"/>
        </w:rPr>
      </w:pPr>
      <w:r>
        <w:rPr>
          <w:spacing w:val="-4"/>
          <w:sz w:val="21"/>
        </w:rPr>
        <w:t>救护车使用费；</w:t>
      </w:r>
    </w:p>
    <w:p>
      <w:pPr>
        <w:pStyle w:val="BodyText"/>
        <w:spacing w:before="11"/>
        <w:rPr>
          <w:sz w:val="15"/>
        </w:rPr>
      </w:pPr>
    </w:p>
    <w:p>
      <w:pPr>
        <w:pStyle w:val="ListParagraph"/>
        <w:numPr>
          <w:ilvl w:val="1"/>
          <w:numId w:val="31"/>
        </w:numPr>
        <w:tabs>
          <w:tab w:pos="1006" w:val="left" w:leader="none"/>
          <w:tab w:pos="1007" w:val="left" w:leader="none"/>
          <w:tab w:pos="2946" w:val="left" w:leader="none"/>
        </w:tabs>
        <w:spacing w:line="383" w:lineRule="exact" w:before="0" w:after="0"/>
        <w:ind w:left="1006" w:right="0" w:hanging="747"/>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35"/>
        </w:numPr>
        <w:tabs>
          <w:tab w:pos="3476" w:val="left" w:leader="none"/>
        </w:tabs>
        <w:spacing w:line="265" w:lineRule="exact" w:before="0" w:after="0"/>
        <w:ind w:left="3475" w:right="0" w:hanging="530"/>
        <w:jc w:val="left"/>
        <w:rPr>
          <w:sz w:val="21"/>
        </w:rPr>
      </w:pPr>
      <w:r>
        <w:rPr>
          <w:spacing w:val="-9"/>
          <w:sz w:val="21"/>
        </w:rPr>
        <w:t>具有有效的中华人民共和国《医师资格证书》；</w:t>
      </w:r>
    </w:p>
    <w:p>
      <w:pPr>
        <w:spacing w:after="0" w:line="265" w:lineRule="exact"/>
        <w:jc w:val="left"/>
        <w:rPr>
          <w:sz w:val="21"/>
        </w:rPr>
        <w:sectPr>
          <w:pgSz w:w="11910" w:h="16840"/>
          <w:pgMar w:header="0" w:footer="401" w:top="1080" w:bottom="600" w:left="760" w:right="580"/>
        </w:sectPr>
      </w:pPr>
    </w:p>
    <w:p>
      <w:pPr>
        <w:pStyle w:val="ListParagraph"/>
        <w:numPr>
          <w:ilvl w:val="0"/>
          <w:numId w:val="35"/>
        </w:numPr>
        <w:tabs>
          <w:tab w:pos="3476" w:val="left" w:leader="none"/>
        </w:tabs>
        <w:spacing w:line="278" w:lineRule="auto" w:before="57" w:after="0"/>
        <w:ind w:left="3472" w:right="438" w:hanging="526"/>
        <w:jc w:val="left"/>
        <w:rPr>
          <w:sz w:val="21"/>
        </w:rPr>
      </w:pPr>
      <w:r>
        <w:rPr>
          <w:spacing w:val="-8"/>
          <w:sz w:val="21"/>
        </w:rPr>
        <w:t>具有有效的中华人民共和国《医师执业证书》，并按期到相关部门登记注</w:t>
      </w:r>
      <w:r>
        <w:rPr>
          <w:spacing w:val="-6"/>
          <w:sz w:val="21"/>
        </w:rPr>
        <w:t>册；</w:t>
      </w:r>
    </w:p>
    <w:p>
      <w:pPr>
        <w:pStyle w:val="ListParagraph"/>
        <w:numPr>
          <w:ilvl w:val="0"/>
          <w:numId w:val="35"/>
        </w:numPr>
        <w:tabs>
          <w:tab w:pos="3476" w:val="left" w:leader="none"/>
        </w:tabs>
        <w:spacing w:line="278" w:lineRule="auto" w:before="0" w:after="0"/>
        <w:ind w:left="3472" w:right="435" w:hanging="526"/>
        <w:jc w:val="left"/>
        <w:rPr>
          <w:sz w:val="21"/>
        </w:rPr>
      </w:pPr>
      <w:r>
        <w:rPr>
          <w:spacing w:val="-5"/>
          <w:w w:val="100"/>
          <w:sz w:val="21"/>
        </w:rPr>
        <w:t>具有有效的中华人民共和国主治医师或主治医师以上职称的《医师职称</w:t>
      </w:r>
      <w:r>
        <w:rPr>
          <w:spacing w:val="-27"/>
          <w:w w:val="100"/>
          <w:sz w:val="21"/>
        </w:rPr>
        <w:t>证书》；</w:t>
      </w:r>
    </w:p>
    <w:p>
      <w:pPr>
        <w:pStyle w:val="ListParagraph"/>
        <w:numPr>
          <w:ilvl w:val="0"/>
          <w:numId w:val="35"/>
        </w:numPr>
        <w:tabs>
          <w:tab w:pos="3476" w:val="left" w:leader="none"/>
        </w:tabs>
        <w:spacing w:line="278" w:lineRule="auto" w:before="0" w:after="0"/>
        <w:ind w:left="3681" w:right="436" w:hanging="735"/>
        <w:jc w:val="left"/>
        <w:rPr>
          <w:sz w:val="21"/>
        </w:rPr>
      </w:pPr>
      <w:r>
        <w:rPr>
          <w:spacing w:val="-8"/>
          <w:w w:val="100"/>
          <w:sz w:val="21"/>
        </w:rPr>
        <w:t>在国家《医院分级管理标准》二级或二级以上医院的相应科室从事临床</w:t>
      </w:r>
      <w:r>
        <w:rPr>
          <w:spacing w:val="-2"/>
          <w:w w:val="100"/>
          <w:sz w:val="21"/>
        </w:rPr>
        <w:t>工作三年以上。</w:t>
      </w:r>
    </w:p>
    <w:p>
      <w:pPr>
        <w:pStyle w:val="BodyText"/>
        <w:spacing w:before="2"/>
        <w:rPr>
          <w:sz w:val="12"/>
        </w:rPr>
      </w:pPr>
    </w:p>
    <w:p>
      <w:pPr>
        <w:spacing w:after="0"/>
        <w:rPr>
          <w:sz w:val="12"/>
        </w:rPr>
        <w:sectPr>
          <w:pgSz w:w="11910" w:h="16840"/>
          <w:pgMar w:header="0" w:footer="401" w:top="1080" w:bottom="600" w:left="760" w:right="580"/>
        </w:sectPr>
      </w:pPr>
    </w:p>
    <w:p>
      <w:pPr>
        <w:pStyle w:val="Heading2"/>
        <w:numPr>
          <w:ilvl w:val="1"/>
          <w:numId w:val="31"/>
        </w:numPr>
        <w:tabs>
          <w:tab w:pos="1006" w:val="left" w:leader="none"/>
          <w:tab w:pos="1007" w:val="left" w:leader="none"/>
        </w:tabs>
        <w:spacing w:line="350" w:lineRule="exact" w:before="5" w:after="0"/>
        <w:ind w:left="1006" w:right="0" w:hanging="747"/>
        <w:jc w:val="left"/>
      </w:pPr>
      <w:r>
        <w:rPr>
          <w:spacing w:val="-2"/>
        </w:rPr>
        <w:t>初次确诊本合同所</w:t>
      </w:r>
    </w:p>
    <w:p>
      <w:pPr>
        <w:spacing w:line="350" w:lineRule="exact" w:before="0"/>
        <w:ind w:left="1006" w:right="0" w:firstLine="0"/>
        <w:jc w:val="left"/>
        <w:rPr>
          <w:rFonts w:ascii="微软雅黑" w:eastAsia="微软雅黑"/>
          <w:b/>
          <w:sz w:val="21"/>
        </w:rPr>
      </w:pPr>
      <w:r>
        <w:rPr>
          <w:rFonts w:ascii="微软雅黑" w:eastAsia="微软雅黑"/>
          <w:b/>
          <w:spacing w:val="-2"/>
          <w:sz w:val="21"/>
        </w:rPr>
        <w:t>定义的重大疾病</w:t>
      </w:r>
    </w:p>
    <w:p>
      <w:pPr>
        <w:pStyle w:val="BodyText"/>
        <w:spacing w:before="72"/>
        <w:ind w:left="171"/>
      </w:pPr>
      <w:r>
        <w:rPr/>
        <w:br w:type="column"/>
      </w:r>
      <w:r>
        <w:rPr>
          <w:spacing w:val="-3"/>
        </w:rPr>
        <w:t>指被保险人患同时符合以下条件的重大疾病：</w:t>
      </w:r>
    </w:p>
    <w:p>
      <w:pPr>
        <w:pStyle w:val="ListParagraph"/>
        <w:numPr>
          <w:ilvl w:val="0"/>
          <w:numId w:val="36"/>
        </w:numPr>
        <w:tabs>
          <w:tab w:pos="701" w:val="left" w:leader="none"/>
        </w:tabs>
        <w:spacing w:line="257" w:lineRule="exact" w:before="136" w:after="0"/>
        <w:ind w:left="700" w:right="0" w:hanging="530"/>
        <w:jc w:val="left"/>
        <w:rPr>
          <w:sz w:val="21"/>
        </w:rPr>
      </w:pPr>
      <w:r>
        <w:rPr>
          <w:spacing w:val="-3"/>
          <w:sz w:val="21"/>
        </w:rPr>
        <w:t>被保险人自出生后初次被专科医生确诊患该重大疾病；</w:t>
      </w:r>
    </w:p>
    <w:p>
      <w:pPr>
        <w:pStyle w:val="ListParagraph"/>
        <w:numPr>
          <w:ilvl w:val="0"/>
          <w:numId w:val="36"/>
        </w:numPr>
        <w:tabs>
          <w:tab w:pos="701" w:val="left" w:leader="none"/>
        </w:tabs>
        <w:spacing w:line="235" w:lineRule="auto" w:before="0" w:after="0"/>
        <w:ind w:left="697" w:right="440" w:hanging="526"/>
        <w:jc w:val="left"/>
        <w:rPr>
          <w:sz w:val="21"/>
        </w:rPr>
      </w:pPr>
      <w:r>
        <w:rPr>
          <w:sz w:val="21"/>
        </w:rPr>
        <w:t>该重大疾病已在本合同中列明，且须符合本合同</w:t>
      </w:r>
      <w:r>
        <w:rPr>
          <w:rFonts w:ascii="微软雅黑" w:hAnsi="微软雅黑" w:eastAsia="微软雅黑"/>
          <w:b/>
          <w:sz w:val="21"/>
        </w:rPr>
        <w:t>“8</w:t>
      </w:r>
      <w:r>
        <w:rPr>
          <w:rFonts w:ascii="微软雅黑" w:hAnsi="微软雅黑" w:eastAsia="微软雅黑"/>
          <w:b/>
          <w:spacing w:val="4"/>
          <w:sz w:val="21"/>
        </w:rPr>
        <w:t> 重大疾病定义”</w:t>
      </w:r>
      <w:r>
        <w:rPr>
          <w:sz w:val="21"/>
        </w:rPr>
        <w:t>中</w:t>
      </w:r>
      <w:r>
        <w:rPr>
          <w:spacing w:val="-4"/>
          <w:sz w:val="21"/>
        </w:rPr>
        <w:t>的定义。</w:t>
      </w:r>
    </w:p>
    <w:p>
      <w:pPr>
        <w:spacing w:after="0" w:line="235" w:lineRule="auto"/>
        <w:jc w:val="left"/>
        <w:rPr>
          <w:sz w:val="21"/>
        </w:rPr>
        <w:sectPr>
          <w:type w:val="continuous"/>
          <w:pgSz w:w="11910" w:h="16840"/>
          <w:pgMar w:header="0" w:footer="401" w:top="600" w:bottom="280" w:left="760" w:right="580"/>
          <w:cols w:num="2" w:equalWidth="0">
            <w:col w:w="2735" w:space="40"/>
            <w:col w:w="7795"/>
          </w:cols>
        </w:sectPr>
      </w:pPr>
    </w:p>
    <w:p>
      <w:pPr>
        <w:pStyle w:val="BodyText"/>
        <w:spacing w:before="1"/>
        <w:rPr>
          <w:sz w:val="5"/>
        </w:rPr>
      </w:pPr>
    </w:p>
    <w:tbl>
      <w:tblPr>
        <w:tblW w:w="0" w:type="auto"/>
        <w:jc w:val="left"/>
        <w:tblInd w:w="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5"/>
        <w:gridCol w:w="1977"/>
        <w:gridCol w:w="7424"/>
      </w:tblGrid>
      <w:tr>
        <w:trPr>
          <w:trHeight w:val="686" w:hRule="atLeast"/>
        </w:trPr>
        <w:tc>
          <w:tcPr>
            <w:tcW w:w="2612" w:type="dxa"/>
            <w:gridSpan w:val="2"/>
          </w:tcPr>
          <w:p>
            <w:pPr>
              <w:pStyle w:val="TableParagraph"/>
              <w:rPr>
                <w:rFonts w:ascii="Times New Roman"/>
                <w:sz w:val="20"/>
              </w:rPr>
            </w:pPr>
          </w:p>
        </w:tc>
        <w:tc>
          <w:tcPr>
            <w:tcW w:w="7424" w:type="dxa"/>
          </w:tcPr>
          <w:p>
            <w:pPr>
              <w:pStyle w:val="TableParagraph"/>
              <w:spacing w:line="254" w:lineRule="exact"/>
              <w:ind w:left="124"/>
              <w:rPr>
                <w:rFonts w:ascii="微软雅黑" w:eastAsia="微软雅黑"/>
                <w:b/>
                <w:sz w:val="21"/>
              </w:rPr>
            </w:pPr>
            <w:r>
              <w:rPr>
                <w:rFonts w:ascii="微软雅黑" w:eastAsia="微软雅黑"/>
                <w:b/>
                <w:spacing w:val="-1"/>
                <w:sz w:val="21"/>
              </w:rPr>
              <w:t>对于被保险人在本合同生效日前被专科医生确诊患本合同所定义重大疾病的，</w:t>
            </w:r>
          </w:p>
          <w:p>
            <w:pPr>
              <w:pStyle w:val="TableParagraph"/>
              <w:spacing w:line="350" w:lineRule="exact"/>
              <w:ind w:left="124"/>
              <w:rPr>
                <w:rFonts w:ascii="微软雅黑" w:eastAsia="微软雅黑"/>
                <w:b/>
                <w:sz w:val="21"/>
              </w:rPr>
            </w:pPr>
            <w:r>
              <w:rPr>
                <w:rFonts w:ascii="微软雅黑" w:eastAsia="微软雅黑"/>
                <w:b/>
                <w:spacing w:val="-3"/>
                <w:sz w:val="21"/>
              </w:rPr>
              <w:t>本公司不承担保险责任。</w:t>
            </w:r>
          </w:p>
        </w:tc>
      </w:tr>
      <w:tr>
        <w:trPr>
          <w:trHeight w:val="1170" w:hRule="atLeast"/>
        </w:trPr>
        <w:tc>
          <w:tcPr>
            <w:tcW w:w="635" w:type="dxa"/>
          </w:tcPr>
          <w:p>
            <w:pPr>
              <w:pStyle w:val="TableParagraph"/>
              <w:spacing w:before="68"/>
              <w:ind w:left="50"/>
              <w:rPr>
                <w:rFonts w:ascii="微软雅黑"/>
                <w:b/>
                <w:sz w:val="21"/>
              </w:rPr>
            </w:pPr>
            <w:r>
              <w:rPr>
                <w:rFonts w:ascii="微软雅黑"/>
                <w:b/>
                <w:spacing w:val="-4"/>
                <w:sz w:val="21"/>
              </w:rPr>
              <w:t>9.17</w:t>
            </w:r>
          </w:p>
        </w:tc>
        <w:tc>
          <w:tcPr>
            <w:tcW w:w="1977" w:type="dxa"/>
          </w:tcPr>
          <w:p>
            <w:pPr>
              <w:pStyle w:val="TableParagraph"/>
              <w:spacing w:line="194" w:lineRule="auto" w:before="120"/>
              <w:ind w:left="161" w:right="123"/>
              <w:rPr>
                <w:rFonts w:ascii="微软雅黑" w:eastAsia="微软雅黑"/>
                <w:b/>
                <w:sz w:val="21"/>
              </w:rPr>
            </w:pPr>
            <w:r>
              <w:rPr>
                <w:rFonts w:ascii="微软雅黑" w:eastAsia="微软雅黑"/>
                <w:b/>
                <w:spacing w:val="-2"/>
                <w:sz w:val="21"/>
              </w:rPr>
              <w:t>当地社会基本医疗</w:t>
            </w:r>
            <w:r>
              <w:rPr>
                <w:rFonts w:ascii="微软雅黑" w:eastAsia="微软雅黑"/>
                <w:b/>
                <w:spacing w:val="-6"/>
                <w:sz w:val="21"/>
              </w:rPr>
              <w:t>保险</w:t>
            </w:r>
          </w:p>
        </w:tc>
        <w:tc>
          <w:tcPr>
            <w:tcW w:w="7424" w:type="dxa"/>
          </w:tcPr>
          <w:p>
            <w:pPr>
              <w:pStyle w:val="TableParagraph"/>
              <w:spacing w:line="278" w:lineRule="auto" w:before="135"/>
              <w:ind w:left="124" w:right="116"/>
              <w:jc w:val="both"/>
              <w:rPr>
                <w:sz w:val="21"/>
              </w:rPr>
            </w:pPr>
            <w:r>
              <w:rPr>
                <w:spacing w:val="-2"/>
                <w:sz w:val="21"/>
              </w:rPr>
              <w:t>指被保险人社会基本医疗保险关系所在地的社会基本医疗保险，包括但不限于</w:t>
            </w:r>
            <w:r>
              <w:rPr>
                <w:spacing w:val="-2"/>
                <w:sz w:val="21"/>
              </w:rPr>
              <w:t>职工基本医疗保险、新型农村合作医疗和城镇居民基本医疗保险等政府举办的</w:t>
            </w:r>
            <w:r>
              <w:rPr>
                <w:spacing w:val="-2"/>
                <w:sz w:val="21"/>
              </w:rPr>
              <w:t>基本医疗保障项目。</w:t>
            </w:r>
          </w:p>
        </w:tc>
      </w:tr>
      <w:tr>
        <w:trPr>
          <w:trHeight w:val="1483" w:hRule="atLeast"/>
        </w:trPr>
        <w:tc>
          <w:tcPr>
            <w:tcW w:w="635" w:type="dxa"/>
          </w:tcPr>
          <w:p>
            <w:pPr>
              <w:pStyle w:val="TableParagraph"/>
              <w:spacing w:before="76"/>
              <w:ind w:left="50"/>
              <w:rPr>
                <w:rFonts w:ascii="微软雅黑"/>
                <w:b/>
                <w:sz w:val="21"/>
              </w:rPr>
            </w:pPr>
            <w:r>
              <w:rPr>
                <w:rFonts w:ascii="微软雅黑"/>
                <w:b/>
                <w:spacing w:val="-4"/>
                <w:sz w:val="21"/>
              </w:rPr>
              <w:t>9.18</w:t>
            </w:r>
          </w:p>
        </w:tc>
        <w:tc>
          <w:tcPr>
            <w:tcW w:w="1977" w:type="dxa"/>
          </w:tcPr>
          <w:p>
            <w:pPr>
              <w:pStyle w:val="TableParagraph"/>
              <w:spacing w:before="76"/>
              <w:ind w:left="161"/>
              <w:rPr>
                <w:rFonts w:ascii="微软雅黑" w:eastAsia="微软雅黑"/>
                <w:b/>
                <w:sz w:val="21"/>
              </w:rPr>
            </w:pPr>
            <w:r>
              <w:rPr>
                <w:rFonts w:ascii="微软雅黑" w:eastAsia="微软雅黑"/>
                <w:b/>
                <w:spacing w:val="-4"/>
                <w:sz w:val="21"/>
              </w:rPr>
              <w:t>既往病症</w:t>
            </w:r>
          </w:p>
        </w:tc>
        <w:tc>
          <w:tcPr>
            <w:tcW w:w="7424" w:type="dxa"/>
          </w:tcPr>
          <w:p>
            <w:pPr>
              <w:pStyle w:val="TableParagraph"/>
              <w:spacing w:before="143"/>
              <w:ind w:left="124"/>
              <w:rPr>
                <w:sz w:val="21"/>
              </w:rPr>
            </w:pPr>
            <w:r>
              <w:rPr>
                <w:spacing w:val="-3"/>
                <w:sz w:val="21"/>
              </w:rPr>
              <w:t>指在本合同生效日之前被保险人已确诊的疾病，包括下列情况：</w:t>
            </w:r>
          </w:p>
          <w:p>
            <w:pPr>
              <w:pStyle w:val="TableParagraph"/>
              <w:numPr>
                <w:ilvl w:val="0"/>
                <w:numId w:val="37"/>
              </w:numPr>
              <w:tabs>
                <w:tab w:pos="654" w:val="left" w:leader="none"/>
              </w:tabs>
              <w:spacing w:line="240" w:lineRule="auto" w:before="43" w:after="0"/>
              <w:ind w:left="653" w:right="0" w:hanging="530"/>
              <w:jc w:val="left"/>
              <w:rPr>
                <w:sz w:val="21"/>
              </w:rPr>
            </w:pPr>
            <w:r>
              <w:rPr>
                <w:spacing w:val="-3"/>
                <w:sz w:val="21"/>
              </w:rPr>
              <w:t>本合同生效前，医生已有明确诊断，且长期治疗未间断；</w:t>
            </w:r>
          </w:p>
          <w:p>
            <w:pPr>
              <w:pStyle w:val="TableParagraph"/>
              <w:numPr>
                <w:ilvl w:val="0"/>
                <w:numId w:val="37"/>
              </w:numPr>
              <w:tabs>
                <w:tab w:pos="654" w:val="left" w:leader="none"/>
              </w:tabs>
              <w:spacing w:line="240" w:lineRule="auto" w:before="43" w:after="0"/>
              <w:ind w:left="653" w:right="0" w:hanging="530"/>
              <w:jc w:val="left"/>
              <w:rPr>
                <w:sz w:val="21"/>
              </w:rPr>
            </w:pPr>
            <w:r>
              <w:rPr>
                <w:spacing w:val="-3"/>
                <w:sz w:val="21"/>
              </w:rPr>
              <w:t>本合同生效前，医生已有明确诊断，且治疗后未康复，有间断用药情况；</w:t>
            </w:r>
          </w:p>
          <w:p>
            <w:pPr>
              <w:pStyle w:val="TableParagraph"/>
              <w:numPr>
                <w:ilvl w:val="0"/>
                <w:numId w:val="37"/>
              </w:numPr>
              <w:tabs>
                <w:tab w:pos="654" w:val="left" w:leader="none"/>
              </w:tabs>
              <w:spacing w:line="240" w:lineRule="auto" w:before="43" w:after="0"/>
              <w:ind w:left="653" w:right="0" w:hanging="530"/>
              <w:jc w:val="left"/>
              <w:rPr>
                <w:sz w:val="21"/>
              </w:rPr>
            </w:pPr>
            <w:r>
              <w:rPr>
                <w:spacing w:val="-3"/>
                <w:sz w:val="21"/>
              </w:rPr>
              <w:t>本合同生效前，医生已有明确诊断，但未接受任何治疗。</w:t>
            </w:r>
          </w:p>
        </w:tc>
      </w:tr>
      <w:tr>
        <w:trPr>
          <w:trHeight w:val="1163" w:hRule="atLeast"/>
        </w:trPr>
        <w:tc>
          <w:tcPr>
            <w:tcW w:w="635" w:type="dxa"/>
          </w:tcPr>
          <w:p>
            <w:pPr>
              <w:pStyle w:val="TableParagraph"/>
              <w:spacing w:before="68"/>
              <w:ind w:left="50"/>
              <w:rPr>
                <w:rFonts w:ascii="微软雅黑"/>
                <w:b/>
                <w:sz w:val="21"/>
              </w:rPr>
            </w:pPr>
            <w:r>
              <w:rPr>
                <w:rFonts w:ascii="微软雅黑"/>
                <w:b/>
                <w:spacing w:val="-4"/>
                <w:sz w:val="21"/>
              </w:rPr>
              <w:t>9.19</w:t>
            </w:r>
          </w:p>
        </w:tc>
        <w:tc>
          <w:tcPr>
            <w:tcW w:w="1977" w:type="dxa"/>
          </w:tcPr>
          <w:p>
            <w:pPr>
              <w:pStyle w:val="TableParagraph"/>
              <w:spacing w:before="68"/>
              <w:ind w:left="161"/>
              <w:rPr>
                <w:rFonts w:ascii="微软雅黑" w:eastAsia="微软雅黑"/>
                <w:b/>
                <w:sz w:val="21"/>
              </w:rPr>
            </w:pPr>
            <w:r>
              <w:rPr>
                <w:rFonts w:ascii="微软雅黑" w:eastAsia="微软雅黑"/>
                <w:b/>
                <w:spacing w:val="-3"/>
                <w:sz w:val="21"/>
              </w:rPr>
              <w:t>酒后驾驶</w:t>
            </w:r>
          </w:p>
        </w:tc>
        <w:tc>
          <w:tcPr>
            <w:tcW w:w="7424" w:type="dxa"/>
          </w:tcPr>
          <w:p>
            <w:pPr>
              <w:pStyle w:val="TableParagraph"/>
              <w:spacing w:line="278" w:lineRule="auto" w:before="136"/>
              <w:ind w:left="124" w:right="151"/>
              <w:jc w:val="both"/>
              <w:rPr>
                <w:sz w:val="21"/>
              </w:rPr>
            </w:pPr>
            <w:r>
              <w:rPr>
                <w:spacing w:val="-2"/>
                <w:sz w:val="21"/>
              </w:rPr>
              <w:t>指经检测或鉴定，发生事故时车辆驾驶人员每百毫升血液中的酒精含量达到或</w:t>
            </w:r>
            <w:r>
              <w:rPr>
                <w:spacing w:val="-2"/>
                <w:sz w:val="21"/>
              </w:rPr>
              <w:t>超过一定的标准，公安机关交通管理部门依据《道路交通安全法》的规定认定</w:t>
            </w:r>
            <w:r>
              <w:rPr>
                <w:spacing w:val="-2"/>
                <w:sz w:val="21"/>
              </w:rPr>
              <w:t>为饮酒后驾驶或醉酒后驾驶。</w:t>
            </w:r>
          </w:p>
        </w:tc>
      </w:tr>
      <w:tr>
        <w:trPr>
          <w:trHeight w:val="425" w:hRule="atLeast"/>
        </w:trPr>
        <w:tc>
          <w:tcPr>
            <w:tcW w:w="635" w:type="dxa"/>
          </w:tcPr>
          <w:p>
            <w:pPr>
              <w:pStyle w:val="TableParagraph"/>
              <w:spacing w:line="337" w:lineRule="exact" w:before="67"/>
              <w:ind w:left="50"/>
              <w:rPr>
                <w:rFonts w:ascii="微软雅黑"/>
                <w:b/>
                <w:sz w:val="21"/>
              </w:rPr>
            </w:pPr>
            <w:r>
              <w:rPr>
                <w:rFonts w:ascii="微软雅黑"/>
                <w:b/>
                <w:spacing w:val="-4"/>
                <w:sz w:val="21"/>
              </w:rPr>
              <w:t>9.20</w:t>
            </w:r>
          </w:p>
        </w:tc>
        <w:tc>
          <w:tcPr>
            <w:tcW w:w="1977" w:type="dxa"/>
          </w:tcPr>
          <w:p>
            <w:pPr>
              <w:pStyle w:val="TableParagraph"/>
              <w:spacing w:line="337" w:lineRule="exact" w:before="67"/>
              <w:ind w:left="161"/>
              <w:rPr>
                <w:rFonts w:ascii="微软雅黑" w:eastAsia="微软雅黑"/>
                <w:b/>
                <w:sz w:val="21"/>
              </w:rPr>
            </w:pPr>
            <w:r>
              <w:rPr>
                <w:rFonts w:ascii="微软雅黑" w:eastAsia="微软雅黑"/>
                <w:b/>
                <w:spacing w:val="-2"/>
                <w:sz w:val="21"/>
              </w:rPr>
              <w:t>无合法有效驾驶证</w:t>
            </w:r>
          </w:p>
        </w:tc>
        <w:tc>
          <w:tcPr>
            <w:tcW w:w="7424" w:type="dxa"/>
          </w:tcPr>
          <w:p>
            <w:pPr>
              <w:pStyle w:val="TableParagraph"/>
              <w:spacing w:before="135"/>
              <w:ind w:left="124"/>
              <w:rPr>
                <w:sz w:val="21"/>
              </w:rPr>
            </w:pPr>
            <w:r>
              <w:rPr>
                <w:spacing w:val="-4"/>
                <w:sz w:val="21"/>
              </w:rPr>
              <w:t>指下列情形之一：</w:t>
            </w:r>
          </w:p>
        </w:tc>
      </w:tr>
      <w:tr>
        <w:trPr>
          <w:trHeight w:val="311" w:hRule="atLeast"/>
        </w:trPr>
        <w:tc>
          <w:tcPr>
            <w:tcW w:w="635" w:type="dxa"/>
          </w:tcPr>
          <w:p>
            <w:pPr>
              <w:pStyle w:val="TableParagraph"/>
              <w:rPr>
                <w:rFonts w:ascii="Times New Roman"/>
                <w:sz w:val="20"/>
              </w:rPr>
            </w:pPr>
          </w:p>
        </w:tc>
        <w:tc>
          <w:tcPr>
            <w:tcW w:w="1977" w:type="dxa"/>
          </w:tcPr>
          <w:p>
            <w:pPr>
              <w:pStyle w:val="TableParagraph"/>
              <w:spacing w:line="292" w:lineRule="exact"/>
              <w:ind w:left="161"/>
              <w:rPr>
                <w:rFonts w:ascii="微软雅黑" w:eastAsia="微软雅黑"/>
                <w:b/>
                <w:sz w:val="21"/>
              </w:rPr>
            </w:pPr>
            <w:r>
              <w:rPr>
                <w:rFonts w:ascii="微软雅黑" w:eastAsia="微软雅黑"/>
                <w:b/>
                <w:spacing w:val="-5"/>
                <w:sz w:val="21"/>
              </w:rPr>
              <w:t>驾驶</w:t>
            </w:r>
          </w:p>
        </w:tc>
        <w:tc>
          <w:tcPr>
            <w:tcW w:w="7424" w:type="dxa"/>
          </w:tcPr>
          <w:p>
            <w:pPr>
              <w:pStyle w:val="TableParagraph"/>
              <w:spacing w:before="22"/>
              <w:ind w:left="124"/>
              <w:rPr>
                <w:sz w:val="21"/>
              </w:rPr>
            </w:pPr>
            <w:r>
              <w:rPr>
                <w:spacing w:val="-2"/>
                <w:sz w:val="21"/>
              </w:rPr>
              <w:t>（1）</w:t>
            </w:r>
            <w:r>
              <w:rPr>
                <w:spacing w:val="-3"/>
                <w:sz w:val="21"/>
              </w:rPr>
              <w:t>没有取得驾驶资格；</w:t>
            </w:r>
          </w:p>
        </w:tc>
      </w:tr>
      <w:tr>
        <w:trPr>
          <w:trHeight w:val="312" w:hRule="atLeast"/>
        </w:trPr>
        <w:tc>
          <w:tcPr>
            <w:tcW w:w="635" w:type="dxa"/>
          </w:tcPr>
          <w:p>
            <w:pPr>
              <w:pStyle w:val="TableParagraph"/>
              <w:rPr>
                <w:rFonts w:ascii="Times New Roman"/>
                <w:sz w:val="20"/>
              </w:rPr>
            </w:pPr>
          </w:p>
        </w:tc>
        <w:tc>
          <w:tcPr>
            <w:tcW w:w="1977" w:type="dxa"/>
          </w:tcPr>
          <w:p>
            <w:pPr>
              <w:pStyle w:val="TableParagraph"/>
              <w:rPr>
                <w:rFonts w:ascii="Times New Roman"/>
                <w:sz w:val="20"/>
              </w:rPr>
            </w:pPr>
          </w:p>
        </w:tc>
        <w:tc>
          <w:tcPr>
            <w:tcW w:w="7424" w:type="dxa"/>
          </w:tcPr>
          <w:p>
            <w:pPr>
              <w:pStyle w:val="TableParagraph"/>
              <w:spacing w:before="22"/>
              <w:ind w:left="124"/>
              <w:rPr>
                <w:sz w:val="21"/>
              </w:rPr>
            </w:pPr>
            <w:r>
              <w:rPr>
                <w:spacing w:val="-2"/>
                <w:sz w:val="21"/>
              </w:rPr>
              <w:t>（2）</w:t>
            </w:r>
            <w:r>
              <w:rPr>
                <w:spacing w:val="-3"/>
                <w:sz w:val="21"/>
              </w:rPr>
              <w:t>驾驶与驾驶证准驾车型不相符合的车辆；</w:t>
            </w:r>
          </w:p>
        </w:tc>
      </w:tr>
      <w:tr>
        <w:trPr>
          <w:trHeight w:val="312" w:hRule="atLeast"/>
        </w:trPr>
        <w:tc>
          <w:tcPr>
            <w:tcW w:w="635" w:type="dxa"/>
          </w:tcPr>
          <w:p>
            <w:pPr>
              <w:pStyle w:val="TableParagraph"/>
              <w:rPr>
                <w:rFonts w:ascii="Times New Roman"/>
                <w:sz w:val="20"/>
              </w:rPr>
            </w:pPr>
          </w:p>
        </w:tc>
        <w:tc>
          <w:tcPr>
            <w:tcW w:w="1977" w:type="dxa"/>
          </w:tcPr>
          <w:p>
            <w:pPr>
              <w:pStyle w:val="TableParagraph"/>
              <w:rPr>
                <w:rFonts w:ascii="Times New Roman"/>
                <w:sz w:val="20"/>
              </w:rPr>
            </w:pPr>
          </w:p>
        </w:tc>
        <w:tc>
          <w:tcPr>
            <w:tcW w:w="7424" w:type="dxa"/>
          </w:tcPr>
          <w:p>
            <w:pPr>
              <w:pStyle w:val="TableParagraph"/>
              <w:spacing w:before="22"/>
              <w:ind w:left="124"/>
              <w:rPr>
                <w:sz w:val="21"/>
              </w:rPr>
            </w:pPr>
            <w:r>
              <w:rPr>
                <w:spacing w:val="-2"/>
                <w:sz w:val="21"/>
              </w:rPr>
              <w:t>（3）</w:t>
            </w:r>
            <w:r>
              <w:rPr>
                <w:spacing w:val="-3"/>
                <w:sz w:val="21"/>
              </w:rPr>
              <w:t>持审验不合格的驾驶证驾驶；</w:t>
            </w:r>
          </w:p>
        </w:tc>
      </w:tr>
      <w:tr>
        <w:trPr>
          <w:trHeight w:val="261" w:hRule="atLeast"/>
        </w:trPr>
        <w:tc>
          <w:tcPr>
            <w:tcW w:w="635" w:type="dxa"/>
          </w:tcPr>
          <w:p>
            <w:pPr>
              <w:pStyle w:val="TableParagraph"/>
              <w:rPr>
                <w:rFonts w:ascii="Times New Roman"/>
                <w:sz w:val="18"/>
              </w:rPr>
            </w:pPr>
          </w:p>
        </w:tc>
        <w:tc>
          <w:tcPr>
            <w:tcW w:w="1977" w:type="dxa"/>
          </w:tcPr>
          <w:p>
            <w:pPr>
              <w:pStyle w:val="TableParagraph"/>
              <w:rPr>
                <w:rFonts w:ascii="Times New Roman"/>
                <w:sz w:val="18"/>
              </w:rPr>
            </w:pPr>
          </w:p>
        </w:tc>
        <w:tc>
          <w:tcPr>
            <w:tcW w:w="7424" w:type="dxa"/>
          </w:tcPr>
          <w:p>
            <w:pPr>
              <w:pStyle w:val="TableParagraph"/>
              <w:spacing w:line="220" w:lineRule="exact" w:before="22"/>
              <w:ind w:left="124"/>
              <w:rPr>
                <w:sz w:val="21"/>
              </w:rPr>
            </w:pPr>
            <w:r>
              <w:rPr>
                <w:spacing w:val="-4"/>
                <w:sz w:val="21"/>
              </w:rPr>
              <w:t>（4）</w:t>
            </w:r>
            <w:r>
              <w:rPr>
                <w:spacing w:val="-5"/>
                <w:sz w:val="21"/>
              </w:rPr>
              <w:t>在驾驶证有效期内未按照中华人民共和国法律、行政法规的规定，定期对</w:t>
            </w:r>
          </w:p>
        </w:tc>
      </w:tr>
    </w:tbl>
    <w:p>
      <w:pPr>
        <w:pStyle w:val="BodyText"/>
        <w:spacing w:before="75"/>
        <w:ind w:left="3472"/>
      </w:pPr>
      <w:r>
        <w:rPr>
          <w:spacing w:val="-3"/>
        </w:rPr>
        <w:t>机动车驾驶证实施审验的；</w:t>
      </w:r>
    </w:p>
    <w:p>
      <w:pPr>
        <w:pStyle w:val="BodyText"/>
        <w:spacing w:line="278" w:lineRule="auto" w:before="43" w:after="28"/>
        <w:ind w:left="3472" w:right="436" w:hanging="526"/>
      </w:pPr>
      <w:r>
        <w:rPr>
          <w:spacing w:val="-2"/>
        </w:rPr>
        <w:t>（5）持学习驾驶证学习驾车时，无教练员随车指导，或不按指定时间、路线学</w:t>
      </w:r>
      <w:r>
        <w:rPr>
          <w:spacing w:val="-4"/>
        </w:rPr>
        <w:t>习驾车；</w:t>
      </w:r>
    </w:p>
    <w:tbl>
      <w:tblPr>
        <w:tblW w:w="0" w:type="auto"/>
        <w:jc w:val="left"/>
        <w:tblInd w:w="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5"/>
        <w:gridCol w:w="1977"/>
        <w:gridCol w:w="7465"/>
      </w:tblGrid>
      <w:tr>
        <w:trPr>
          <w:trHeight w:val="375" w:hRule="atLeast"/>
        </w:trPr>
        <w:tc>
          <w:tcPr>
            <w:tcW w:w="2612" w:type="dxa"/>
            <w:gridSpan w:val="2"/>
          </w:tcPr>
          <w:p>
            <w:pPr>
              <w:pStyle w:val="TableParagraph"/>
              <w:rPr>
                <w:rFonts w:ascii="Times New Roman"/>
                <w:sz w:val="20"/>
              </w:rPr>
            </w:pPr>
          </w:p>
        </w:tc>
        <w:tc>
          <w:tcPr>
            <w:tcW w:w="7465" w:type="dxa"/>
          </w:tcPr>
          <w:p>
            <w:pPr>
              <w:pStyle w:val="TableParagraph"/>
              <w:spacing w:line="241" w:lineRule="exact"/>
              <w:ind w:left="124"/>
              <w:rPr>
                <w:sz w:val="21"/>
              </w:rPr>
            </w:pPr>
            <w:r>
              <w:rPr>
                <w:spacing w:val="-2"/>
                <w:sz w:val="21"/>
              </w:rPr>
              <w:t>（6）</w:t>
            </w:r>
            <w:r>
              <w:rPr>
                <w:spacing w:val="-3"/>
                <w:sz w:val="21"/>
              </w:rPr>
              <w:t>驾驶证已过有效期的。</w:t>
            </w:r>
          </w:p>
        </w:tc>
      </w:tr>
      <w:tr>
        <w:trPr>
          <w:trHeight w:val="1476" w:hRule="atLeast"/>
        </w:trPr>
        <w:tc>
          <w:tcPr>
            <w:tcW w:w="635" w:type="dxa"/>
          </w:tcPr>
          <w:p>
            <w:pPr>
              <w:pStyle w:val="TableParagraph"/>
              <w:spacing w:before="68"/>
              <w:ind w:left="50"/>
              <w:rPr>
                <w:rFonts w:ascii="微软雅黑"/>
                <w:b/>
                <w:sz w:val="21"/>
              </w:rPr>
            </w:pPr>
            <w:r>
              <w:rPr>
                <w:rFonts w:ascii="微软雅黑"/>
                <w:b/>
                <w:spacing w:val="-4"/>
                <w:sz w:val="21"/>
              </w:rPr>
              <w:t>9.21</w:t>
            </w:r>
          </w:p>
        </w:tc>
        <w:tc>
          <w:tcPr>
            <w:tcW w:w="1977" w:type="dxa"/>
          </w:tcPr>
          <w:p>
            <w:pPr>
              <w:pStyle w:val="TableParagraph"/>
              <w:spacing w:before="68"/>
              <w:ind w:left="161"/>
              <w:rPr>
                <w:rFonts w:ascii="微软雅黑" w:eastAsia="微软雅黑"/>
                <w:b/>
                <w:sz w:val="21"/>
              </w:rPr>
            </w:pPr>
            <w:r>
              <w:rPr>
                <w:rFonts w:ascii="微软雅黑" w:eastAsia="微软雅黑"/>
                <w:b/>
                <w:spacing w:val="-2"/>
                <w:sz w:val="21"/>
              </w:rPr>
              <w:t>无合法有效行驶证</w:t>
            </w:r>
          </w:p>
        </w:tc>
        <w:tc>
          <w:tcPr>
            <w:tcW w:w="7465" w:type="dxa"/>
          </w:tcPr>
          <w:p>
            <w:pPr>
              <w:pStyle w:val="TableParagraph"/>
              <w:spacing w:before="136"/>
              <w:ind w:left="124"/>
              <w:rPr>
                <w:sz w:val="21"/>
              </w:rPr>
            </w:pPr>
            <w:r>
              <w:rPr>
                <w:spacing w:val="-4"/>
                <w:sz w:val="21"/>
              </w:rPr>
              <w:t>指下列情形之一：</w:t>
            </w:r>
          </w:p>
          <w:p>
            <w:pPr>
              <w:pStyle w:val="TableParagraph"/>
              <w:numPr>
                <w:ilvl w:val="0"/>
                <w:numId w:val="38"/>
              </w:numPr>
              <w:tabs>
                <w:tab w:pos="654" w:val="left" w:leader="none"/>
              </w:tabs>
              <w:spacing w:line="240" w:lineRule="auto" w:before="43" w:after="0"/>
              <w:ind w:left="653" w:right="0" w:hanging="530"/>
              <w:jc w:val="left"/>
              <w:rPr>
                <w:sz w:val="21"/>
              </w:rPr>
            </w:pPr>
            <w:r>
              <w:rPr>
                <w:spacing w:val="-4"/>
                <w:sz w:val="21"/>
              </w:rPr>
              <w:t>未取得行驶证；</w:t>
            </w:r>
          </w:p>
          <w:p>
            <w:pPr>
              <w:pStyle w:val="TableParagraph"/>
              <w:numPr>
                <w:ilvl w:val="0"/>
                <w:numId w:val="38"/>
              </w:numPr>
              <w:tabs>
                <w:tab w:pos="654" w:val="left" w:leader="none"/>
              </w:tabs>
              <w:spacing w:line="240" w:lineRule="auto" w:before="43" w:after="0"/>
              <w:ind w:left="653" w:right="0" w:hanging="530"/>
              <w:jc w:val="left"/>
              <w:rPr>
                <w:sz w:val="21"/>
              </w:rPr>
            </w:pPr>
            <w:r>
              <w:rPr>
                <w:spacing w:val="-3"/>
                <w:sz w:val="21"/>
              </w:rPr>
              <w:t>机动车被依法注销登记的；</w:t>
            </w:r>
          </w:p>
          <w:p>
            <w:pPr>
              <w:pStyle w:val="TableParagraph"/>
              <w:numPr>
                <w:ilvl w:val="0"/>
                <w:numId w:val="38"/>
              </w:numPr>
              <w:tabs>
                <w:tab w:pos="654" w:val="left" w:leader="none"/>
              </w:tabs>
              <w:spacing w:line="240" w:lineRule="auto" w:before="43" w:after="0"/>
              <w:ind w:left="653" w:right="0" w:hanging="530"/>
              <w:jc w:val="left"/>
              <w:rPr>
                <w:sz w:val="21"/>
              </w:rPr>
            </w:pPr>
            <w:r>
              <w:rPr>
                <w:spacing w:val="-3"/>
                <w:sz w:val="21"/>
              </w:rPr>
              <w:t>未依法按时进行或通过机动车安全技术检验。</w:t>
            </w:r>
          </w:p>
        </w:tc>
      </w:tr>
      <w:tr>
        <w:trPr>
          <w:trHeight w:val="1162" w:hRule="atLeast"/>
        </w:trPr>
        <w:tc>
          <w:tcPr>
            <w:tcW w:w="635" w:type="dxa"/>
          </w:tcPr>
          <w:p>
            <w:pPr>
              <w:pStyle w:val="TableParagraph"/>
              <w:spacing w:before="68"/>
              <w:ind w:left="50"/>
              <w:rPr>
                <w:rFonts w:ascii="微软雅黑"/>
                <w:b/>
                <w:sz w:val="21"/>
              </w:rPr>
            </w:pPr>
            <w:r>
              <w:rPr>
                <w:rFonts w:ascii="微软雅黑"/>
                <w:b/>
                <w:spacing w:val="-4"/>
                <w:sz w:val="21"/>
              </w:rPr>
              <w:t>9.22</w:t>
            </w:r>
          </w:p>
        </w:tc>
        <w:tc>
          <w:tcPr>
            <w:tcW w:w="1977" w:type="dxa"/>
          </w:tcPr>
          <w:p>
            <w:pPr>
              <w:pStyle w:val="TableParagraph"/>
              <w:spacing w:before="68"/>
              <w:ind w:left="161"/>
              <w:rPr>
                <w:rFonts w:ascii="微软雅黑" w:eastAsia="微软雅黑"/>
                <w:b/>
                <w:sz w:val="21"/>
              </w:rPr>
            </w:pPr>
            <w:r>
              <w:rPr>
                <w:rFonts w:ascii="微软雅黑" w:eastAsia="微软雅黑"/>
                <w:b/>
                <w:spacing w:val="-5"/>
                <w:sz w:val="21"/>
              </w:rPr>
              <w:t>毒品</w:t>
            </w:r>
          </w:p>
        </w:tc>
        <w:tc>
          <w:tcPr>
            <w:tcW w:w="7465" w:type="dxa"/>
          </w:tcPr>
          <w:p>
            <w:pPr>
              <w:pStyle w:val="TableParagraph"/>
              <w:spacing w:line="278" w:lineRule="auto" w:before="136"/>
              <w:ind w:left="124" w:right="48"/>
              <w:rPr>
                <w:sz w:val="21"/>
              </w:rPr>
            </w:pPr>
            <w:r>
              <w:rPr>
                <w:spacing w:val="-9"/>
                <w:w w:val="100"/>
                <w:sz w:val="21"/>
              </w:rPr>
              <w:t>指中华人民共和国刑法规定的鸦片、海洛因、甲基苯丙胺</w:t>
            </w:r>
            <w:r>
              <w:rPr>
                <w:w w:val="100"/>
                <w:sz w:val="21"/>
              </w:rPr>
              <w:t>（</w:t>
            </w:r>
            <w:r>
              <w:rPr>
                <w:spacing w:val="-2"/>
                <w:w w:val="100"/>
                <w:sz w:val="21"/>
              </w:rPr>
              <w:t>冰毒</w:t>
            </w:r>
            <w:r>
              <w:rPr>
                <w:spacing w:val="-108"/>
                <w:w w:val="100"/>
                <w:sz w:val="21"/>
              </w:rPr>
              <w:t>）</w:t>
            </w:r>
            <w:r>
              <w:rPr>
                <w:spacing w:val="-12"/>
                <w:w w:val="100"/>
                <w:sz w:val="21"/>
              </w:rPr>
              <w:t>、吗啡、大麻、可卡因以及国家规定管制的其他能够使人形成瘾癖的麻醉药品和精神药品，但</w:t>
            </w:r>
            <w:r>
              <w:rPr>
                <w:spacing w:val="-6"/>
                <w:w w:val="100"/>
                <w:sz w:val="21"/>
              </w:rPr>
              <w:t>不包括由医生开具并遵医嘱使用的用于治疗疾病但含有毒品成分的处方药品。</w:t>
            </w:r>
          </w:p>
        </w:tc>
      </w:tr>
      <w:tr>
        <w:trPr>
          <w:trHeight w:val="424" w:hRule="atLeast"/>
        </w:trPr>
        <w:tc>
          <w:tcPr>
            <w:tcW w:w="635" w:type="dxa"/>
          </w:tcPr>
          <w:p>
            <w:pPr>
              <w:pStyle w:val="TableParagraph"/>
              <w:spacing w:line="337" w:lineRule="exact" w:before="67"/>
              <w:ind w:left="50"/>
              <w:rPr>
                <w:rFonts w:ascii="微软雅黑"/>
                <w:b/>
                <w:sz w:val="21"/>
              </w:rPr>
            </w:pPr>
            <w:r>
              <w:rPr>
                <w:rFonts w:ascii="微软雅黑"/>
                <w:b/>
                <w:spacing w:val="-4"/>
                <w:sz w:val="21"/>
              </w:rPr>
              <w:t>9.23</w:t>
            </w:r>
          </w:p>
        </w:tc>
        <w:tc>
          <w:tcPr>
            <w:tcW w:w="1977" w:type="dxa"/>
          </w:tcPr>
          <w:p>
            <w:pPr>
              <w:pStyle w:val="TableParagraph"/>
              <w:spacing w:line="337" w:lineRule="exact" w:before="67"/>
              <w:ind w:left="161"/>
              <w:rPr>
                <w:rFonts w:ascii="微软雅黑"/>
                <w:b/>
                <w:sz w:val="21"/>
              </w:rPr>
            </w:pPr>
            <w:r>
              <w:rPr>
                <w:rFonts w:ascii="微软雅黑"/>
                <w:b/>
                <w:w w:val="85"/>
                <w:sz w:val="21"/>
              </w:rPr>
              <w:t>ICD-</w:t>
            </w:r>
            <w:r>
              <w:rPr>
                <w:rFonts w:ascii="微软雅黑"/>
                <w:b/>
                <w:spacing w:val="-5"/>
                <w:sz w:val="21"/>
              </w:rPr>
              <w:t>10</w:t>
            </w:r>
          </w:p>
        </w:tc>
        <w:tc>
          <w:tcPr>
            <w:tcW w:w="7465" w:type="dxa"/>
          </w:tcPr>
          <w:p>
            <w:pPr>
              <w:pStyle w:val="TableParagraph"/>
              <w:spacing w:before="134"/>
              <w:ind w:left="124"/>
              <w:rPr>
                <w:sz w:val="21"/>
              </w:rPr>
            </w:pPr>
            <w:r>
              <w:rPr>
                <w:spacing w:val="-6"/>
                <w:sz w:val="21"/>
              </w:rPr>
              <w:t>《疾病和有关健康问题的国际统计分类》第十次修订版（ICD-</w:t>
            </w:r>
            <w:r>
              <w:rPr>
                <w:spacing w:val="27"/>
                <w:sz w:val="21"/>
              </w:rPr>
              <w:t>10</w:t>
            </w:r>
            <w:r>
              <w:rPr>
                <w:spacing w:val="-81"/>
                <w:sz w:val="21"/>
              </w:rPr>
              <w:t>）</w:t>
            </w:r>
            <w:r>
              <w:rPr>
                <w:spacing w:val="-7"/>
                <w:sz w:val="21"/>
              </w:rPr>
              <w:t>，是世界卫生</w:t>
            </w:r>
          </w:p>
        </w:tc>
      </w:tr>
      <w:tr>
        <w:trPr>
          <w:trHeight w:val="261" w:hRule="atLeast"/>
        </w:trPr>
        <w:tc>
          <w:tcPr>
            <w:tcW w:w="635" w:type="dxa"/>
          </w:tcPr>
          <w:p>
            <w:pPr>
              <w:pStyle w:val="TableParagraph"/>
              <w:rPr>
                <w:rFonts w:ascii="Times New Roman"/>
                <w:sz w:val="18"/>
              </w:rPr>
            </w:pPr>
          </w:p>
        </w:tc>
        <w:tc>
          <w:tcPr>
            <w:tcW w:w="1977" w:type="dxa"/>
          </w:tcPr>
          <w:p>
            <w:pPr>
              <w:pStyle w:val="TableParagraph"/>
              <w:rPr>
                <w:rFonts w:ascii="Times New Roman"/>
                <w:sz w:val="18"/>
              </w:rPr>
            </w:pPr>
          </w:p>
        </w:tc>
        <w:tc>
          <w:tcPr>
            <w:tcW w:w="7465" w:type="dxa"/>
          </w:tcPr>
          <w:p>
            <w:pPr>
              <w:pStyle w:val="TableParagraph"/>
              <w:spacing w:line="220" w:lineRule="exact" w:before="22"/>
              <w:ind w:left="124"/>
              <w:rPr>
                <w:sz w:val="21"/>
              </w:rPr>
            </w:pPr>
            <w:r>
              <w:rPr>
                <w:spacing w:val="-2"/>
                <w:sz w:val="21"/>
              </w:rPr>
              <w:t>组织（WHO）</w:t>
            </w:r>
            <w:r>
              <w:rPr>
                <w:spacing w:val="-3"/>
                <w:sz w:val="21"/>
              </w:rPr>
              <w:t>发布的国际通用的疾病分类方法。</w:t>
            </w:r>
          </w:p>
        </w:tc>
      </w:tr>
    </w:tbl>
    <w:p>
      <w:pPr>
        <w:spacing w:after="0" w:line="220" w:lineRule="exact"/>
        <w:rPr>
          <w:sz w:val="21"/>
        </w:rPr>
        <w:sectPr>
          <w:type w:val="continuous"/>
          <w:pgSz w:w="11910" w:h="16840"/>
          <w:pgMar w:header="0" w:footer="401" w:top="600" w:bottom="280" w:left="760" w:right="580"/>
        </w:sectPr>
      </w:pPr>
    </w:p>
    <w:p>
      <w:pPr>
        <w:pStyle w:val="ListParagraph"/>
        <w:numPr>
          <w:ilvl w:val="1"/>
          <w:numId w:val="39"/>
        </w:numPr>
        <w:tabs>
          <w:tab w:pos="1007" w:val="left" w:leader="none"/>
          <w:tab w:pos="2946" w:val="left" w:leader="none"/>
        </w:tabs>
        <w:spacing w:line="361" w:lineRule="exact" w:before="0" w:after="0"/>
        <w:ind w:left="2946" w:right="0" w:hanging="2687"/>
        <w:jc w:val="both"/>
        <w:rPr>
          <w:sz w:val="21"/>
        </w:rPr>
      </w:pPr>
      <w:r>
        <w:rPr>
          <w:rFonts w:ascii="微软雅黑" w:eastAsia="微软雅黑"/>
          <w:b/>
          <w:sz w:val="21"/>
        </w:rPr>
        <w:t>医疗事</w:t>
      </w:r>
      <w:r>
        <w:rPr>
          <w:rFonts w:ascii="微软雅黑" w:eastAsia="微软雅黑"/>
          <w:b/>
          <w:spacing w:val="-10"/>
          <w:sz w:val="21"/>
        </w:rPr>
        <w:t>故</w:t>
      </w:r>
      <w:r>
        <w:rPr>
          <w:rFonts w:ascii="微软雅黑" w:eastAsia="微软雅黑"/>
          <w:b/>
          <w:sz w:val="21"/>
        </w:rPr>
        <w:tab/>
      </w:r>
      <w:r>
        <w:rPr>
          <w:spacing w:val="-2"/>
          <w:sz w:val="21"/>
        </w:rPr>
        <w:t>指</w:t>
      </w:r>
      <w:r>
        <w:rPr>
          <w:spacing w:val="-2"/>
          <w:sz w:val="21"/>
        </w:rPr>
        <w:t>医</w:t>
      </w:r>
      <w:r>
        <w:rPr>
          <w:spacing w:val="-2"/>
          <w:sz w:val="21"/>
        </w:rPr>
        <w:t>疗机构及其医务人员</w:t>
      </w:r>
      <w:r>
        <w:rPr>
          <w:spacing w:val="-2"/>
          <w:sz w:val="21"/>
        </w:rPr>
        <w:t>在</w:t>
      </w:r>
      <w:r>
        <w:rPr>
          <w:spacing w:val="-2"/>
          <w:sz w:val="21"/>
        </w:rPr>
        <w:t>医</w:t>
      </w:r>
      <w:r>
        <w:rPr>
          <w:spacing w:val="-2"/>
          <w:sz w:val="21"/>
        </w:rPr>
        <w:t>疗活动中，违反医疗</w:t>
      </w:r>
      <w:r>
        <w:rPr>
          <w:spacing w:val="-2"/>
          <w:sz w:val="21"/>
        </w:rPr>
        <w:t>卫</w:t>
      </w:r>
      <w:r>
        <w:rPr>
          <w:spacing w:val="-2"/>
          <w:sz w:val="21"/>
        </w:rPr>
        <w:t>生</w:t>
      </w:r>
      <w:r>
        <w:rPr>
          <w:spacing w:val="-2"/>
          <w:sz w:val="21"/>
        </w:rPr>
        <w:t>管理法律、行政法规</w:t>
      </w:r>
      <w:r>
        <w:rPr>
          <w:spacing w:val="-10"/>
          <w:sz w:val="21"/>
        </w:rPr>
        <w:t>、</w:t>
      </w:r>
    </w:p>
    <w:p>
      <w:pPr>
        <w:pStyle w:val="BodyText"/>
        <w:spacing w:line="278" w:lineRule="auto"/>
        <w:ind w:left="2946" w:right="471"/>
        <w:jc w:val="both"/>
      </w:pPr>
      <w:r>
        <w:rPr>
          <w:spacing w:val="-2"/>
        </w:rPr>
        <w:t>部门规章和诊疗护理规范、常规，过失造成患者人身损害的医疗事故。医疗事</w:t>
      </w:r>
      <w:r>
        <w:rPr>
          <w:spacing w:val="-8"/>
        </w:rPr>
        <w:t>故应依据《医疗事故处理条例》</w:t>
      </w:r>
      <w:r>
        <w:rPr/>
        <w:t>（中华人民共和国国务院令第 351</w:t>
      </w:r>
      <w:r>
        <w:rPr>
          <w:spacing w:val="-14"/>
        </w:rPr>
        <w:t> 号</w:t>
      </w:r>
      <w:r>
        <w:rPr/>
        <w:t>）规定的</w:t>
      </w:r>
      <w:r>
        <w:rPr>
          <w:spacing w:val="-2"/>
        </w:rPr>
        <w:t>程序，交由负责医疗事故技术鉴定工作的医学会组织鉴定。</w:t>
      </w:r>
    </w:p>
    <w:p>
      <w:pPr>
        <w:pStyle w:val="ListParagraph"/>
        <w:numPr>
          <w:ilvl w:val="1"/>
          <w:numId w:val="39"/>
        </w:numPr>
        <w:tabs>
          <w:tab w:pos="1007" w:val="left" w:leader="none"/>
          <w:tab w:pos="2946" w:val="left" w:leader="none"/>
        </w:tabs>
        <w:spacing w:line="235" w:lineRule="auto" w:before="162" w:after="0"/>
        <w:ind w:left="2946" w:right="471" w:hanging="2687"/>
        <w:jc w:val="both"/>
        <w:rPr>
          <w:sz w:val="21"/>
        </w:rPr>
      </w:pPr>
      <w:r>
        <w:rPr>
          <w:rFonts w:ascii="微软雅黑" w:eastAsia="微软雅黑"/>
          <w:b/>
          <w:spacing w:val="-2"/>
          <w:sz w:val="21"/>
        </w:rPr>
        <w:t>遗</w:t>
      </w:r>
      <w:r>
        <w:rPr>
          <w:rFonts w:ascii="微软雅黑" w:eastAsia="微软雅黑"/>
          <w:b/>
          <w:spacing w:val="-2"/>
          <w:sz w:val="21"/>
        </w:rPr>
        <w:t>传</w:t>
      </w:r>
      <w:r>
        <w:rPr>
          <w:rFonts w:ascii="微软雅黑" w:eastAsia="微软雅黑"/>
          <w:b/>
          <w:spacing w:val="-2"/>
          <w:sz w:val="21"/>
        </w:rPr>
        <w:t>性</w:t>
      </w:r>
      <w:r>
        <w:rPr>
          <w:rFonts w:ascii="微软雅黑" w:eastAsia="微软雅黑"/>
          <w:b/>
          <w:spacing w:val="-2"/>
          <w:sz w:val="21"/>
        </w:rPr>
        <w:t>疾</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突变或畸变所引起的疾</w:t>
      </w:r>
      <w:r>
        <w:rPr>
          <w:spacing w:val="-2"/>
          <w:sz w:val="21"/>
        </w:rPr>
        <w:t>病</w:t>
      </w:r>
      <w:r>
        <w:rPr>
          <w:spacing w:val="-2"/>
          <w:sz w:val="21"/>
        </w:rPr>
        <w:t>，通常具有由亲代传至</w:t>
      </w:r>
      <w:r>
        <w:rPr>
          <w:spacing w:val="-2"/>
          <w:sz w:val="21"/>
        </w:rPr>
        <w:t>后</w:t>
      </w:r>
      <w:r>
        <w:rPr>
          <w:spacing w:val="-2"/>
          <w:sz w:val="21"/>
        </w:rPr>
        <w:t>代</w:t>
      </w:r>
      <w:r>
        <w:rPr>
          <w:spacing w:val="-2"/>
          <w:sz w:val="21"/>
        </w:rPr>
        <w:t>的垂直传递的特</w:t>
      </w:r>
      <w:r>
        <w:rPr>
          <w:spacing w:val="-2"/>
          <w:sz w:val="21"/>
        </w:rPr>
        <w:t>征</w:t>
      </w:r>
      <w:r>
        <w:rPr>
          <w:spacing w:val="-2"/>
          <w:sz w:val="21"/>
        </w:rPr>
        <w:t>。</w:t>
      </w:r>
    </w:p>
    <w:p>
      <w:pPr>
        <w:pStyle w:val="BodyText"/>
        <w:spacing w:before="4"/>
        <w:rPr>
          <w:sz w:val="15"/>
        </w:rPr>
      </w:pPr>
    </w:p>
    <w:p>
      <w:pPr>
        <w:spacing w:after="0"/>
        <w:rPr>
          <w:sz w:val="15"/>
        </w:rPr>
        <w:sectPr>
          <w:pgSz w:w="11910" w:h="16840"/>
          <w:pgMar w:header="0" w:footer="401" w:top="1320" w:bottom="600" w:left="760" w:right="580"/>
        </w:sectPr>
      </w:pPr>
    </w:p>
    <w:p>
      <w:pPr>
        <w:pStyle w:val="Heading2"/>
        <w:numPr>
          <w:ilvl w:val="1"/>
          <w:numId w:val="39"/>
        </w:numPr>
        <w:tabs>
          <w:tab w:pos="1006" w:val="left" w:leader="none"/>
          <w:tab w:pos="1007" w:val="left" w:leader="none"/>
        </w:tabs>
        <w:spacing w:line="350" w:lineRule="exact" w:before="5" w:after="0"/>
        <w:ind w:left="1006" w:right="0" w:hanging="747"/>
        <w:jc w:val="left"/>
      </w:pPr>
      <w:r>
        <w:rPr>
          <w:spacing w:val="-2"/>
        </w:rPr>
        <w:t>先天性畸形、变形</w:t>
      </w:r>
    </w:p>
    <w:p>
      <w:pPr>
        <w:spacing w:line="350" w:lineRule="exact" w:before="0"/>
        <w:ind w:left="1006" w:right="0" w:firstLine="0"/>
        <w:jc w:val="left"/>
        <w:rPr>
          <w:rFonts w:ascii="微软雅黑" w:eastAsia="微软雅黑"/>
          <w:b/>
          <w:sz w:val="21"/>
        </w:rPr>
      </w:pPr>
      <w:r>
        <w:rPr>
          <w:rFonts w:ascii="微软雅黑" w:eastAsia="微软雅黑"/>
          <w:b/>
          <w:spacing w:val="-2"/>
          <w:sz w:val="21"/>
        </w:rPr>
        <w:t>或染色体异常</w:t>
      </w:r>
    </w:p>
    <w:p>
      <w:pPr>
        <w:pStyle w:val="BodyText"/>
        <w:spacing w:line="278" w:lineRule="auto" w:before="72"/>
        <w:ind w:left="210" w:right="471"/>
        <w:jc w:val="both"/>
      </w:pPr>
      <w:r>
        <w:rPr/>
        <w:br w:type="column"/>
      </w:r>
      <w:r>
        <w:rPr>
          <w:spacing w:val="-2"/>
        </w:rPr>
        <w:t>指被保险人出生时就具有的畸形、变形或染色体异常。先天性畸形、变形和染</w:t>
      </w:r>
      <w:r>
        <w:rPr>
          <w:spacing w:val="-2"/>
        </w:rPr>
        <w:t>色体异常依照世界卫生组织《疾病和有关健康问题的国际统计分类》第十次修</w:t>
      </w:r>
      <w:r>
        <w:rPr>
          <w:spacing w:val="-2"/>
        </w:rPr>
        <w:t>订版（ICD-10）确定。</w:t>
      </w:r>
    </w:p>
    <w:p>
      <w:pPr>
        <w:spacing w:after="0" w:line="278" w:lineRule="auto"/>
        <w:jc w:val="both"/>
        <w:sectPr>
          <w:type w:val="continuous"/>
          <w:pgSz w:w="11910" w:h="16840"/>
          <w:pgMar w:header="0" w:footer="401" w:top="600" w:bottom="280" w:left="760" w:right="580"/>
          <w:cols w:num="2" w:equalWidth="0">
            <w:col w:w="2697" w:space="40"/>
            <w:col w:w="7833"/>
          </w:cols>
        </w:sectPr>
      </w:pPr>
    </w:p>
    <w:p>
      <w:pPr>
        <w:pStyle w:val="BodyText"/>
        <w:spacing w:before="2"/>
        <w:rPr>
          <w:sz w:val="12"/>
        </w:rPr>
      </w:pPr>
    </w:p>
    <w:p>
      <w:pPr>
        <w:pStyle w:val="ListParagraph"/>
        <w:numPr>
          <w:ilvl w:val="1"/>
          <w:numId w:val="39"/>
        </w:numPr>
        <w:tabs>
          <w:tab w:pos="1006" w:val="left" w:leader="none"/>
          <w:tab w:pos="1007" w:val="left" w:leader="none"/>
          <w:tab w:pos="2946" w:val="left" w:leader="none"/>
        </w:tabs>
        <w:spacing w:line="240" w:lineRule="auto" w:before="5" w:after="0"/>
        <w:ind w:left="1006" w:right="0" w:hanging="747"/>
        <w:jc w:val="left"/>
        <w:rPr>
          <w:sz w:val="21"/>
        </w:rPr>
      </w:pPr>
      <w:r>
        <w:rPr>
          <w:rFonts w:ascii="微软雅黑" w:eastAsia="微软雅黑"/>
          <w:b/>
          <w:sz w:val="21"/>
        </w:rPr>
        <w:t>潜</w:t>
      </w:r>
      <w:r>
        <w:rPr>
          <w:rFonts w:ascii="微软雅黑" w:eastAsia="微软雅黑"/>
          <w:b/>
          <w:spacing w:val="-10"/>
          <w:sz w:val="21"/>
        </w:rPr>
        <w:t>水</w:t>
      </w:r>
      <w:r>
        <w:rPr>
          <w:rFonts w:ascii="微软雅黑" w:eastAsia="微软雅黑"/>
          <w:b/>
          <w:sz w:val="21"/>
        </w:rPr>
        <w:tab/>
      </w:r>
      <w:r>
        <w:rPr>
          <w:spacing w:val="-2"/>
          <w:sz w:val="21"/>
        </w:rPr>
        <w:t>指</w:t>
      </w:r>
      <w:r>
        <w:rPr>
          <w:spacing w:val="-2"/>
          <w:sz w:val="21"/>
        </w:rPr>
        <w:t>以</w:t>
      </w:r>
      <w:r>
        <w:rPr>
          <w:spacing w:val="-2"/>
          <w:sz w:val="21"/>
        </w:rPr>
        <w:t>辅助呼吸器材在江、</w:t>
      </w:r>
      <w:r>
        <w:rPr>
          <w:spacing w:val="-2"/>
          <w:sz w:val="21"/>
        </w:rPr>
        <w:t>河</w:t>
      </w:r>
      <w:r>
        <w:rPr>
          <w:spacing w:val="-2"/>
          <w:sz w:val="21"/>
        </w:rPr>
        <w:t>、</w:t>
      </w:r>
      <w:r>
        <w:rPr>
          <w:spacing w:val="-2"/>
          <w:sz w:val="21"/>
        </w:rPr>
        <w:t>湖、海、水库、运河</w:t>
      </w:r>
      <w:r>
        <w:rPr>
          <w:spacing w:val="-2"/>
          <w:sz w:val="21"/>
        </w:rPr>
        <w:t>等</w:t>
      </w:r>
      <w:r>
        <w:rPr>
          <w:spacing w:val="-2"/>
          <w:sz w:val="21"/>
        </w:rPr>
        <w:t>水</w:t>
      </w:r>
      <w:r>
        <w:rPr>
          <w:spacing w:val="-2"/>
          <w:sz w:val="21"/>
        </w:rPr>
        <w:t>域进行的水下运</w:t>
      </w:r>
      <w:r>
        <w:rPr>
          <w:spacing w:val="-2"/>
          <w:sz w:val="21"/>
        </w:rPr>
        <w:t>动</w:t>
      </w:r>
      <w:r>
        <w:rPr>
          <w:spacing w:val="-10"/>
          <w:sz w:val="21"/>
        </w:rPr>
        <w:t>。</w:t>
      </w:r>
    </w:p>
    <w:p>
      <w:pPr>
        <w:pStyle w:val="ListParagraph"/>
        <w:numPr>
          <w:ilvl w:val="1"/>
          <w:numId w:val="39"/>
        </w:numPr>
        <w:tabs>
          <w:tab w:pos="1006" w:val="left" w:leader="none"/>
          <w:tab w:pos="1007" w:val="left" w:leader="none"/>
          <w:tab w:pos="2946" w:val="left" w:leader="none"/>
        </w:tabs>
        <w:spacing w:line="240" w:lineRule="auto" w:before="151" w:after="0"/>
        <w:ind w:left="1006" w:right="0" w:hanging="747"/>
        <w:jc w:val="left"/>
        <w:rPr>
          <w:sz w:val="21"/>
        </w:rPr>
      </w:pPr>
      <w:r>
        <w:rPr>
          <w:rFonts w:ascii="微软雅黑" w:eastAsia="微软雅黑"/>
          <w:b/>
          <w:sz w:val="21"/>
        </w:rPr>
        <w:t>攀</w:t>
      </w:r>
      <w:r>
        <w:rPr>
          <w:rFonts w:ascii="微软雅黑" w:eastAsia="微软雅黑"/>
          <w:b/>
          <w:spacing w:val="-10"/>
          <w:sz w:val="21"/>
        </w:rPr>
        <w:t>岩</w:t>
      </w:r>
      <w:r>
        <w:rPr>
          <w:rFonts w:ascii="微软雅黑" w:eastAsia="微软雅黑"/>
          <w:b/>
          <w:sz w:val="21"/>
        </w:rPr>
        <w:tab/>
      </w:r>
      <w:r>
        <w:rPr>
          <w:spacing w:val="-2"/>
          <w:sz w:val="21"/>
        </w:rPr>
        <w:t>指</w:t>
      </w:r>
      <w:r>
        <w:rPr>
          <w:spacing w:val="-2"/>
          <w:sz w:val="21"/>
        </w:rPr>
        <w:t>攀</w:t>
      </w:r>
      <w:r>
        <w:rPr>
          <w:spacing w:val="-2"/>
          <w:sz w:val="21"/>
        </w:rPr>
        <w:t>登悬崖、楼宇外墙、</w:t>
      </w:r>
      <w:r>
        <w:rPr>
          <w:spacing w:val="-2"/>
          <w:sz w:val="21"/>
        </w:rPr>
        <w:t>人</w:t>
      </w:r>
      <w:r>
        <w:rPr>
          <w:spacing w:val="-2"/>
          <w:sz w:val="21"/>
        </w:rPr>
        <w:t>造</w:t>
      </w:r>
      <w:r>
        <w:rPr>
          <w:spacing w:val="-2"/>
          <w:sz w:val="21"/>
        </w:rPr>
        <w:t>悬崖、冰崖、冰山等</w:t>
      </w:r>
      <w:r>
        <w:rPr>
          <w:spacing w:val="-2"/>
          <w:sz w:val="21"/>
        </w:rPr>
        <w:t>运</w:t>
      </w:r>
      <w:r>
        <w:rPr>
          <w:spacing w:val="-2"/>
          <w:sz w:val="21"/>
        </w:rPr>
        <w:t>动</w:t>
      </w:r>
      <w:r>
        <w:rPr>
          <w:spacing w:val="-10"/>
          <w:sz w:val="21"/>
        </w:rPr>
        <w:t>。</w:t>
      </w:r>
    </w:p>
    <w:p>
      <w:pPr>
        <w:pStyle w:val="ListParagraph"/>
        <w:numPr>
          <w:ilvl w:val="1"/>
          <w:numId w:val="39"/>
        </w:numPr>
        <w:tabs>
          <w:tab w:pos="1006" w:val="left" w:leader="none"/>
          <w:tab w:pos="1007" w:val="left" w:leader="none"/>
          <w:tab w:pos="2946" w:val="left" w:leader="none"/>
        </w:tabs>
        <w:spacing w:line="235" w:lineRule="auto" w:before="158" w:after="0"/>
        <w:ind w:left="2946" w:right="471" w:hanging="2687"/>
        <w:jc w:val="left"/>
        <w:rPr>
          <w:sz w:val="21"/>
        </w:rPr>
      </w:pPr>
      <w:r>
        <w:rPr>
          <w:rFonts w:ascii="微软雅黑" w:eastAsia="微软雅黑"/>
          <w:b/>
          <w:spacing w:val="-4"/>
          <w:sz w:val="21"/>
        </w:rPr>
        <w:t>武</w:t>
      </w:r>
      <w:r>
        <w:rPr>
          <w:rFonts w:ascii="微软雅黑" w:eastAsia="微软雅黑"/>
          <w:b/>
          <w:spacing w:val="-4"/>
          <w:sz w:val="21"/>
        </w:rPr>
        <w:t>术</w:t>
      </w:r>
      <w:r>
        <w:rPr>
          <w:rFonts w:ascii="微软雅黑" w:eastAsia="微软雅黑"/>
          <w:b/>
          <w:spacing w:val="-4"/>
          <w:sz w:val="21"/>
        </w:rPr>
        <w:t>比</w:t>
      </w:r>
      <w:r>
        <w:rPr>
          <w:rFonts w:ascii="微软雅黑" w:eastAsia="微软雅黑"/>
          <w:b/>
          <w:spacing w:val="-4"/>
          <w:sz w:val="21"/>
        </w:rPr>
        <w:t>赛</w:t>
      </w:r>
      <w:r>
        <w:rPr>
          <w:rFonts w:ascii="微软雅黑" w:eastAsia="微软雅黑"/>
          <w:b/>
          <w:sz w:val="21"/>
        </w:rPr>
        <w:tab/>
      </w:r>
      <w:r>
        <w:rPr>
          <w:spacing w:val="-2"/>
          <w:sz w:val="21"/>
        </w:rPr>
        <w:t>指</w:t>
      </w:r>
      <w:r>
        <w:rPr>
          <w:spacing w:val="-2"/>
          <w:sz w:val="21"/>
        </w:rPr>
        <w:t>两</w:t>
      </w:r>
      <w:r>
        <w:rPr>
          <w:spacing w:val="-2"/>
          <w:sz w:val="21"/>
        </w:rPr>
        <w:t>人或两人以上对抗柔</w:t>
      </w:r>
      <w:r>
        <w:rPr>
          <w:spacing w:val="-2"/>
          <w:sz w:val="21"/>
        </w:rPr>
        <w:t>道</w:t>
      </w:r>
      <w:r>
        <w:rPr>
          <w:spacing w:val="-2"/>
          <w:sz w:val="21"/>
        </w:rPr>
        <w:t>、</w:t>
      </w:r>
      <w:r>
        <w:rPr>
          <w:spacing w:val="-2"/>
          <w:sz w:val="21"/>
        </w:rPr>
        <w:t>空手道、跆拳道、散</w:t>
      </w:r>
      <w:r>
        <w:rPr>
          <w:spacing w:val="-2"/>
          <w:sz w:val="21"/>
        </w:rPr>
        <w:t>打</w:t>
      </w:r>
      <w:r>
        <w:rPr>
          <w:spacing w:val="-2"/>
          <w:sz w:val="21"/>
        </w:rPr>
        <w:t>、</w:t>
      </w:r>
      <w:r>
        <w:rPr>
          <w:spacing w:val="-2"/>
          <w:sz w:val="21"/>
        </w:rPr>
        <w:t>拳击等各种拳术及各种</w:t>
      </w:r>
      <w:r>
        <w:rPr>
          <w:spacing w:val="-2"/>
          <w:sz w:val="21"/>
        </w:rPr>
        <w:t>使</w:t>
      </w:r>
      <w:r>
        <w:rPr>
          <w:spacing w:val="-2"/>
          <w:sz w:val="21"/>
        </w:rPr>
        <w:t>用</w:t>
      </w:r>
      <w:r>
        <w:rPr>
          <w:spacing w:val="-2"/>
          <w:sz w:val="21"/>
        </w:rPr>
        <w:t>器械的对抗性比</w:t>
      </w:r>
      <w:r>
        <w:rPr>
          <w:spacing w:val="-2"/>
          <w:sz w:val="21"/>
        </w:rPr>
        <w:t>赛</w:t>
      </w:r>
      <w:r>
        <w:rPr>
          <w:spacing w:val="-2"/>
          <w:sz w:val="21"/>
        </w:rPr>
        <w:t>。</w:t>
      </w:r>
    </w:p>
    <w:p>
      <w:pPr>
        <w:pStyle w:val="BodyText"/>
        <w:spacing w:before="11"/>
        <w:rPr>
          <w:sz w:val="15"/>
        </w:rPr>
      </w:pPr>
    </w:p>
    <w:p>
      <w:pPr>
        <w:pStyle w:val="ListParagraph"/>
        <w:numPr>
          <w:ilvl w:val="1"/>
          <w:numId w:val="39"/>
        </w:numPr>
        <w:tabs>
          <w:tab w:pos="1007" w:val="left" w:leader="none"/>
          <w:tab w:pos="2946" w:val="left" w:leader="none"/>
        </w:tabs>
        <w:spacing w:line="240" w:lineRule="auto" w:before="1" w:after="0"/>
        <w:ind w:left="1006" w:right="0" w:hanging="747"/>
        <w:jc w:val="both"/>
        <w:rPr>
          <w:sz w:val="21"/>
        </w:rPr>
      </w:pPr>
      <w:r>
        <w:rPr>
          <w:rFonts w:ascii="微软雅黑" w:eastAsia="微软雅黑"/>
          <w:b/>
          <w:sz w:val="21"/>
        </w:rPr>
        <w:t>特技表</w:t>
      </w:r>
      <w:r>
        <w:rPr>
          <w:rFonts w:ascii="微软雅黑" w:eastAsia="微软雅黑"/>
          <w:b/>
          <w:spacing w:val="-10"/>
          <w:sz w:val="21"/>
        </w:rPr>
        <w:t>演</w:t>
      </w:r>
      <w:r>
        <w:rPr>
          <w:rFonts w:ascii="微软雅黑" w:eastAsia="微软雅黑"/>
          <w:b/>
          <w:sz w:val="21"/>
        </w:rPr>
        <w:tab/>
      </w:r>
      <w:r>
        <w:rPr>
          <w:spacing w:val="-2"/>
          <w:sz w:val="21"/>
        </w:rPr>
        <w:t>指</w:t>
      </w:r>
      <w:r>
        <w:rPr>
          <w:spacing w:val="-2"/>
          <w:sz w:val="21"/>
        </w:rPr>
        <w:t>从</w:t>
      </w:r>
      <w:r>
        <w:rPr>
          <w:spacing w:val="-2"/>
          <w:sz w:val="21"/>
        </w:rPr>
        <w:t>事马术、杂技、驯兽</w:t>
      </w:r>
      <w:r>
        <w:rPr>
          <w:spacing w:val="-2"/>
          <w:sz w:val="21"/>
        </w:rPr>
        <w:t>等</w:t>
      </w:r>
      <w:r>
        <w:rPr>
          <w:spacing w:val="-2"/>
          <w:sz w:val="21"/>
        </w:rPr>
        <w:t>特</w:t>
      </w:r>
      <w:r>
        <w:rPr>
          <w:spacing w:val="-2"/>
          <w:sz w:val="21"/>
        </w:rPr>
        <w:t>殊技能的表</w:t>
      </w:r>
      <w:r>
        <w:rPr>
          <w:spacing w:val="-2"/>
          <w:sz w:val="21"/>
        </w:rPr>
        <w:t>演</w:t>
      </w:r>
      <w:r>
        <w:rPr>
          <w:spacing w:val="-10"/>
          <w:sz w:val="21"/>
        </w:rPr>
        <w:t>。</w:t>
      </w:r>
    </w:p>
    <w:p>
      <w:pPr>
        <w:pStyle w:val="ListParagraph"/>
        <w:numPr>
          <w:ilvl w:val="1"/>
          <w:numId w:val="39"/>
        </w:numPr>
        <w:tabs>
          <w:tab w:pos="1007" w:val="left" w:leader="none"/>
          <w:tab w:pos="2946" w:val="left" w:leader="none"/>
        </w:tabs>
        <w:spacing w:line="256" w:lineRule="auto" w:before="150" w:after="0"/>
        <w:ind w:left="2946" w:right="471" w:hanging="2687"/>
        <w:jc w:val="both"/>
        <w:rPr>
          <w:sz w:val="21"/>
        </w:rPr>
      </w:pPr>
      <w:r>
        <w:rPr>
          <w:rFonts w:ascii="微软雅黑" w:eastAsia="微软雅黑"/>
          <w:b/>
          <w:spacing w:val="-6"/>
          <w:sz w:val="21"/>
        </w:rPr>
        <w:t>探</w:t>
      </w:r>
      <w:r>
        <w:rPr>
          <w:rFonts w:ascii="微软雅黑" w:eastAsia="微软雅黑"/>
          <w:b/>
          <w:spacing w:val="-6"/>
          <w:sz w:val="21"/>
        </w:rPr>
        <w:t>险</w:t>
      </w:r>
      <w:r>
        <w:rPr>
          <w:rFonts w:ascii="微软雅黑" w:eastAsia="微软雅黑"/>
          <w:b/>
          <w:sz w:val="21"/>
        </w:rPr>
        <w:tab/>
      </w:r>
      <w:r>
        <w:rPr>
          <w:spacing w:val="-2"/>
          <w:sz w:val="21"/>
        </w:rPr>
        <w:t>指</w:t>
      </w:r>
      <w:r>
        <w:rPr>
          <w:spacing w:val="-2"/>
          <w:sz w:val="21"/>
        </w:rPr>
        <w:t>明</w:t>
      </w:r>
      <w:r>
        <w:rPr>
          <w:spacing w:val="-2"/>
          <w:sz w:val="21"/>
        </w:rPr>
        <w:t>知在某种特定的自然</w:t>
      </w:r>
      <w:r>
        <w:rPr>
          <w:spacing w:val="-2"/>
          <w:sz w:val="21"/>
        </w:rPr>
        <w:t>条</w:t>
      </w:r>
      <w:r>
        <w:rPr>
          <w:spacing w:val="-2"/>
          <w:sz w:val="21"/>
        </w:rPr>
        <w:t>件</w:t>
      </w:r>
      <w:r>
        <w:rPr>
          <w:spacing w:val="-2"/>
          <w:sz w:val="21"/>
        </w:rPr>
        <w:t>下有失去生命或使身</w:t>
      </w:r>
      <w:r>
        <w:rPr>
          <w:spacing w:val="-2"/>
          <w:sz w:val="21"/>
        </w:rPr>
        <w:t>体</w:t>
      </w:r>
      <w:r>
        <w:rPr>
          <w:spacing w:val="-2"/>
          <w:sz w:val="21"/>
        </w:rPr>
        <w:t>受</w:t>
      </w:r>
      <w:r>
        <w:rPr>
          <w:spacing w:val="-2"/>
          <w:sz w:val="21"/>
        </w:rPr>
        <w:t>到伤害的危险，而故意</w:t>
      </w:r>
      <w:r>
        <w:rPr>
          <w:spacing w:val="-2"/>
          <w:sz w:val="21"/>
        </w:rPr>
        <w:t>使</w:t>
      </w:r>
      <w:r>
        <w:rPr>
          <w:spacing w:val="-2"/>
          <w:sz w:val="21"/>
        </w:rPr>
        <w:t>自</w:t>
      </w:r>
      <w:r>
        <w:rPr>
          <w:spacing w:val="-2"/>
          <w:sz w:val="21"/>
        </w:rPr>
        <w:t>己置身其中的行为。</w:t>
      </w:r>
      <w:r>
        <w:rPr>
          <w:spacing w:val="-2"/>
          <w:sz w:val="21"/>
        </w:rPr>
        <w:t>如</w:t>
      </w:r>
      <w:r>
        <w:rPr>
          <w:spacing w:val="-2"/>
          <w:sz w:val="21"/>
        </w:rPr>
        <w:t>江</w:t>
      </w:r>
      <w:r>
        <w:rPr>
          <w:spacing w:val="-2"/>
          <w:sz w:val="21"/>
        </w:rPr>
        <w:t>河漂流、徒步穿越沙</w:t>
      </w:r>
      <w:r>
        <w:rPr>
          <w:spacing w:val="-2"/>
          <w:sz w:val="21"/>
        </w:rPr>
        <w:t>漠</w:t>
      </w:r>
      <w:r>
        <w:rPr>
          <w:spacing w:val="-2"/>
          <w:sz w:val="21"/>
        </w:rPr>
        <w:t>或</w:t>
      </w:r>
      <w:r>
        <w:rPr>
          <w:spacing w:val="-2"/>
          <w:sz w:val="21"/>
        </w:rPr>
        <w:t>人迹罕至的原始森林等</w:t>
      </w:r>
      <w:r>
        <w:rPr>
          <w:spacing w:val="-4"/>
          <w:sz w:val="21"/>
        </w:rPr>
        <w:t>活</w:t>
      </w:r>
      <w:r>
        <w:rPr>
          <w:spacing w:val="-4"/>
          <w:sz w:val="21"/>
        </w:rPr>
        <w:t>动</w:t>
      </w:r>
      <w:r>
        <w:rPr>
          <w:spacing w:val="-4"/>
          <w:sz w:val="21"/>
        </w:rPr>
        <w:t>。</w:t>
      </w:r>
    </w:p>
    <w:p>
      <w:pPr>
        <w:pStyle w:val="BodyText"/>
        <w:spacing w:before="3"/>
        <w:rPr>
          <w:sz w:val="13"/>
        </w:rPr>
      </w:pPr>
    </w:p>
    <w:p>
      <w:pPr>
        <w:spacing w:after="0"/>
        <w:rPr>
          <w:sz w:val="13"/>
        </w:rPr>
        <w:sectPr>
          <w:type w:val="continuous"/>
          <w:pgSz w:w="11910" w:h="16840"/>
          <w:pgMar w:header="0" w:footer="401" w:top="600" w:bottom="280" w:left="760" w:right="580"/>
        </w:sectPr>
      </w:pPr>
    </w:p>
    <w:p>
      <w:pPr>
        <w:pStyle w:val="Heading2"/>
        <w:numPr>
          <w:ilvl w:val="1"/>
          <w:numId w:val="39"/>
        </w:numPr>
        <w:tabs>
          <w:tab w:pos="1006" w:val="left" w:leader="none"/>
          <w:tab w:pos="1007" w:val="left" w:leader="none"/>
        </w:tabs>
        <w:spacing w:line="194" w:lineRule="auto" w:before="57" w:after="0"/>
        <w:ind w:left="1006" w:right="0" w:hanging="747"/>
        <w:jc w:val="left"/>
      </w:pPr>
      <w:r>
        <w:rPr>
          <w:spacing w:val="-2"/>
        </w:rPr>
        <w:t>感染艾滋病病毒或</w:t>
      </w:r>
      <w:r>
        <w:rPr>
          <w:spacing w:val="-4"/>
        </w:rPr>
        <w:t>患艾滋病</w:t>
      </w:r>
    </w:p>
    <w:p>
      <w:pPr>
        <w:pStyle w:val="BodyText"/>
        <w:spacing w:line="278" w:lineRule="auto" w:before="72"/>
        <w:ind w:left="210" w:right="436"/>
        <w:jc w:val="both"/>
      </w:pPr>
      <w:r>
        <w:rPr/>
        <w:br w:type="column"/>
      </w:r>
      <w:r>
        <w:rPr/>
        <w:t>艾滋病病毒指人类免疫缺陷病毒，英文缩写为 HIV。艾滋病指人类免疫缺陷病</w:t>
      </w:r>
      <w:r>
        <w:rPr>
          <w:spacing w:val="-4"/>
        </w:rPr>
        <w:t>毒引起的获得性免疫缺陷综合征，英文缩写为 </w:t>
      </w:r>
      <w:r>
        <w:rPr>
          <w:spacing w:val="-2"/>
        </w:rPr>
        <w:t>AIDS。在人体血液或其他样本中</w:t>
      </w:r>
      <w:r>
        <w:rPr>
          <w:spacing w:val="-2"/>
        </w:rPr>
        <w:t>检测到艾滋病病毒或其抗体呈阳性，没有出现临床症状或体征的，为感染艾滋</w:t>
      </w:r>
      <w:r>
        <w:rPr>
          <w:spacing w:val="-2"/>
        </w:rPr>
        <w:t>病病毒；如果同时出现了明显临床症状或体征的，为患艾滋病。</w:t>
      </w:r>
    </w:p>
    <w:p>
      <w:pPr>
        <w:spacing w:after="0" w:line="278" w:lineRule="auto"/>
        <w:jc w:val="both"/>
        <w:sectPr>
          <w:type w:val="continuous"/>
          <w:pgSz w:w="11910" w:h="16840"/>
          <w:pgMar w:header="0" w:footer="401" w:top="600" w:bottom="280" w:left="760" w:right="580"/>
          <w:cols w:num="2" w:equalWidth="0">
            <w:col w:w="2697" w:space="40"/>
            <w:col w:w="7833"/>
          </w:cols>
        </w:sectPr>
      </w:pPr>
    </w:p>
    <w:p>
      <w:pPr>
        <w:pStyle w:val="BodyText"/>
        <w:rPr>
          <w:sz w:val="12"/>
        </w:rPr>
      </w:pPr>
    </w:p>
    <w:p>
      <w:pPr>
        <w:pStyle w:val="ListParagraph"/>
        <w:numPr>
          <w:ilvl w:val="1"/>
          <w:numId w:val="39"/>
        </w:numPr>
        <w:tabs>
          <w:tab w:pos="1007" w:val="left" w:leader="none"/>
          <w:tab w:pos="2946" w:val="left" w:leader="none"/>
        </w:tabs>
        <w:spacing w:line="312" w:lineRule="exact" w:before="32" w:after="0"/>
        <w:ind w:left="2946" w:right="471" w:hanging="2687"/>
        <w:jc w:val="both"/>
        <w:rPr>
          <w:sz w:val="21"/>
        </w:rPr>
      </w:pPr>
      <w:r>
        <w:rPr>
          <w:rFonts w:ascii="微软雅黑" w:hAnsi="微软雅黑" w:eastAsia="微软雅黑"/>
          <w:b/>
          <w:spacing w:val="-4"/>
          <w:sz w:val="21"/>
        </w:rPr>
        <w:t>现</w:t>
      </w:r>
      <w:r>
        <w:rPr>
          <w:rFonts w:ascii="微软雅黑" w:hAnsi="微软雅黑" w:eastAsia="微软雅黑"/>
          <w:b/>
          <w:spacing w:val="-4"/>
          <w:sz w:val="21"/>
        </w:rPr>
        <w:t>金</w:t>
      </w:r>
      <w:r>
        <w:rPr>
          <w:rFonts w:ascii="微软雅黑" w:hAnsi="微软雅黑" w:eastAsia="微软雅黑"/>
          <w:b/>
          <w:spacing w:val="-4"/>
          <w:sz w:val="21"/>
        </w:rPr>
        <w:t>价</w:t>
      </w:r>
      <w:r>
        <w:rPr>
          <w:rFonts w:ascii="微软雅黑" w:hAnsi="微软雅黑" w:eastAsia="微软雅黑"/>
          <w:b/>
          <w:spacing w:val="-4"/>
          <w:sz w:val="21"/>
        </w:rPr>
        <w:t>值</w:t>
      </w:r>
      <w:r>
        <w:rPr>
          <w:rFonts w:ascii="微软雅黑" w:hAnsi="微软雅黑" w:eastAsia="微软雅黑"/>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精算原理计算的，由本</w:t>
      </w:r>
      <w:r>
        <w:rPr>
          <w:spacing w:val="-2"/>
          <w:sz w:val="21"/>
        </w:rPr>
        <w:t>公</w:t>
      </w:r>
      <w:r>
        <w:rPr>
          <w:spacing w:val="-2"/>
          <w:sz w:val="21"/>
        </w:rPr>
        <w:t>司</w:t>
      </w:r>
      <w:r>
        <w:rPr>
          <w:spacing w:val="-2"/>
          <w:sz w:val="21"/>
        </w:rPr>
        <w:t>退还的那部分金额。</w:t>
      </w:r>
      <w:r>
        <w:rPr>
          <w:spacing w:val="-2"/>
          <w:sz w:val="21"/>
        </w:rPr>
        <w:t>计</w:t>
      </w:r>
      <w:r>
        <w:rPr>
          <w:spacing w:val="-2"/>
          <w:sz w:val="21"/>
        </w:rPr>
        <w:t>算</w:t>
      </w:r>
      <w:r>
        <w:rPr>
          <w:spacing w:val="-2"/>
          <w:sz w:val="21"/>
        </w:rPr>
        <w:t>公式为“年保险费×(1-35%)×(1-该保险费所保</w:t>
      </w:r>
      <w:r>
        <w:rPr>
          <w:spacing w:val="-4"/>
          <w:sz w:val="21"/>
        </w:rPr>
        <w:t>障</w:t>
      </w:r>
      <w:r>
        <w:rPr>
          <w:spacing w:val="-4"/>
          <w:sz w:val="21"/>
        </w:rPr>
        <w:t>的</w:t>
      </w:r>
      <w:r>
        <w:rPr>
          <w:spacing w:val="-4"/>
          <w:sz w:val="21"/>
        </w:rPr>
        <w:t>已经过天数÷该保险</w:t>
      </w:r>
      <w:r>
        <w:rPr>
          <w:spacing w:val="-4"/>
          <w:sz w:val="21"/>
        </w:rPr>
        <w:t>费</w:t>
      </w:r>
      <w:r>
        <w:rPr>
          <w:spacing w:val="-4"/>
          <w:sz w:val="21"/>
        </w:rPr>
        <w:t>所</w:t>
      </w:r>
      <w:r>
        <w:rPr>
          <w:spacing w:val="-4"/>
          <w:sz w:val="21"/>
        </w:rPr>
        <w:t>保障的保障期间天数</w:t>
      </w:r>
      <w:r>
        <w:rPr>
          <w:spacing w:val="29"/>
          <w:sz w:val="21"/>
        </w:rPr>
        <w:t>)</w:t>
      </w:r>
      <w:r>
        <w:rPr>
          <w:spacing w:val="-74"/>
          <w:sz w:val="21"/>
        </w:rPr>
        <w:t>”</w:t>
      </w:r>
      <w:r>
        <w:rPr>
          <w:spacing w:val="32"/>
          <w:sz w:val="21"/>
        </w:rPr>
        <w:t>，</w:t>
      </w:r>
      <w:r>
        <w:rPr>
          <w:spacing w:val="-4"/>
          <w:sz w:val="21"/>
        </w:rPr>
        <w:t>经过天数不足一天的按</w:t>
      </w:r>
      <w:r>
        <w:rPr>
          <w:spacing w:val="-4"/>
          <w:sz w:val="21"/>
        </w:rPr>
        <w:t>一</w:t>
      </w:r>
      <w:r>
        <w:rPr>
          <w:spacing w:val="-4"/>
          <w:sz w:val="21"/>
        </w:rPr>
        <w:t>天</w:t>
      </w:r>
      <w:r>
        <w:rPr>
          <w:spacing w:val="-4"/>
          <w:sz w:val="21"/>
        </w:rPr>
        <w:t>计</w:t>
      </w:r>
      <w:r>
        <w:rPr>
          <w:spacing w:val="-4"/>
          <w:sz w:val="21"/>
        </w:rPr>
        <w:t>算</w:t>
      </w:r>
      <w:r>
        <w:rPr>
          <w:spacing w:val="-4"/>
          <w:sz w:val="21"/>
        </w:rPr>
        <w:t>。</w:t>
      </w:r>
    </w:p>
    <w:p>
      <w:pPr>
        <w:pStyle w:val="BodyText"/>
        <w:spacing w:before="1"/>
        <w:rPr>
          <w:sz w:val="16"/>
        </w:rPr>
      </w:pPr>
    </w:p>
    <w:p>
      <w:pPr>
        <w:pStyle w:val="ListParagraph"/>
        <w:numPr>
          <w:ilvl w:val="1"/>
          <w:numId w:val="39"/>
        </w:numPr>
        <w:tabs>
          <w:tab w:pos="1007" w:val="left" w:leader="none"/>
        </w:tabs>
        <w:spacing w:line="235" w:lineRule="auto" w:before="0" w:after="0"/>
        <w:ind w:left="2946" w:right="471" w:hanging="2687"/>
        <w:jc w:val="both"/>
        <w:rPr>
          <w:sz w:val="21"/>
        </w:rPr>
      </w:pPr>
      <w:r>
        <w:rPr>
          <w:rFonts w:ascii="微软雅黑" w:eastAsia="微软雅黑"/>
          <w:b/>
          <w:spacing w:val="47"/>
          <w:sz w:val="21"/>
        </w:rPr>
        <w:t>组织病理学检查 </w:t>
      </w:r>
      <w:r>
        <w:rPr>
          <w:sz w:val="21"/>
        </w:rPr>
        <w:t>组织病理学检查是通过局部切除、钳取、穿刺等手术方法，从患者机体采取病</w:t>
      </w:r>
      <w:r>
        <w:rPr>
          <w:spacing w:val="-2"/>
          <w:sz w:val="21"/>
        </w:rPr>
        <w:t>变组织块，经过包埋、切片后，进行病理检查的方法。</w:t>
      </w:r>
    </w:p>
    <w:p>
      <w:pPr>
        <w:pStyle w:val="Heading2"/>
        <w:spacing w:line="194" w:lineRule="auto" w:before="105"/>
        <w:ind w:left="2946" w:right="333"/>
      </w:pPr>
      <w:r>
        <w:rPr>
          <w:spacing w:val="-3"/>
          <w:w w:val="100"/>
        </w:rPr>
        <w:t>通过采集病变部位脱落细胞、细针吸取病变部位细胞、体腔积液分离病变细胞</w:t>
      </w:r>
      <w:r>
        <w:rPr>
          <w:spacing w:val="-10"/>
          <w:w w:val="100"/>
        </w:rPr>
        <w:t>等方式获取病变细胞，制成涂片，进行病理检查的方法，属于细胞病理学检查，</w:t>
      </w:r>
      <w:r>
        <w:rPr>
          <w:spacing w:val="-1"/>
          <w:w w:val="100"/>
        </w:rPr>
        <w:t>不属于组织病理学检查。</w:t>
      </w:r>
    </w:p>
    <w:p>
      <w:pPr>
        <w:pStyle w:val="BodyText"/>
        <w:spacing w:before="17"/>
        <w:rPr>
          <w:rFonts w:ascii="微软雅黑"/>
          <w:b/>
          <w:sz w:val="14"/>
        </w:rPr>
      </w:pPr>
    </w:p>
    <w:p>
      <w:pPr>
        <w:pStyle w:val="ListParagraph"/>
        <w:numPr>
          <w:ilvl w:val="1"/>
          <w:numId w:val="39"/>
        </w:numPr>
        <w:tabs>
          <w:tab w:pos="1006" w:val="left" w:leader="none"/>
          <w:tab w:pos="1007" w:val="left" w:leader="none"/>
          <w:tab w:pos="2946" w:val="left" w:leader="none"/>
        </w:tabs>
        <w:spacing w:line="312" w:lineRule="exact" w:before="0" w:after="0"/>
        <w:ind w:left="2946" w:right="426" w:hanging="2687"/>
        <w:jc w:val="left"/>
        <w:rPr>
          <w:sz w:val="21"/>
        </w:rPr>
      </w:pPr>
      <w:r>
        <w:rPr>
          <w:rFonts w:ascii="微软雅黑" w:eastAsia="微软雅黑"/>
          <w:b/>
          <w:spacing w:val="-2"/>
          <w:sz w:val="21"/>
        </w:rPr>
        <w:t>ICD-O-3</w:t>
      </w:r>
      <w:r>
        <w:rPr>
          <w:rFonts w:ascii="微软雅黑" w:eastAsia="微软雅黑"/>
          <w:b/>
          <w:sz w:val="21"/>
        </w:rPr>
        <w:tab/>
      </w:r>
      <w:r>
        <w:rPr>
          <w:spacing w:val="-4"/>
          <w:sz w:val="21"/>
        </w:rPr>
        <w:t>《国际疾病分类肿瘤学专辑》第三版（ICD-O-</w:t>
      </w:r>
      <w:r>
        <w:rPr>
          <w:spacing w:val="32"/>
          <w:sz w:val="21"/>
        </w:rPr>
        <w:t>3</w:t>
      </w:r>
      <w:r>
        <w:rPr>
          <w:spacing w:val="-71"/>
          <w:sz w:val="21"/>
        </w:rPr>
        <w:t>）</w:t>
      </w:r>
      <w:r>
        <w:rPr>
          <w:spacing w:val="6"/>
          <w:sz w:val="21"/>
        </w:rPr>
        <w:t>，是 </w:t>
      </w:r>
      <w:r>
        <w:rPr>
          <w:spacing w:val="-4"/>
          <w:sz w:val="21"/>
        </w:rPr>
        <w:t>WHO</w:t>
      </w:r>
      <w:r>
        <w:rPr>
          <w:spacing w:val="-19"/>
          <w:sz w:val="21"/>
        </w:rPr>
        <w:t> 发布的针对 </w:t>
      </w:r>
      <w:r>
        <w:rPr>
          <w:spacing w:val="-4"/>
          <w:sz w:val="21"/>
        </w:rPr>
        <w:t>ICD</w:t>
      </w:r>
      <w:r>
        <w:rPr>
          <w:spacing w:val="-20"/>
          <w:sz w:val="21"/>
        </w:rPr>
        <w:t> 中肿</w:t>
      </w:r>
      <w:r>
        <w:rPr>
          <w:sz w:val="21"/>
        </w:rPr>
        <w:t>瘤形态学组织学细胞类型、动态、分化程度的补充编码。其中形态学编码： 0代表良性肿瘤；1</w:t>
      </w:r>
      <w:r>
        <w:rPr>
          <w:spacing w:val="-6"/>
          <w:sz w:val="21"/>
        </w:rPr>
        <w:t> 代表动态未定性肿瘤； </w:t>
      </w:r>
      <w:r>
        <w:rPr>
          <w:sz w:val="21"/>
        </w:rPr>
        <w:t>2</w:t>
      </w:r>
      <w:r>
        <w:rPr>
          <w:spacing w:val="-7"/>
          <w:sz w:val="21"/>
        </w:rPr>
        <w:t> 代表原位癌和非侵袭性癌；</w:t>
      </w:r>
      <w:r>
        <w:rPr>
          <w:sz w:val="21"/>
        </w:rPr>
        <w:t>3</w:t>
      </w:r>
      <w:r>
        <w:rPr>
          <w:spacing w:val="-13"/>
          <w:sz w:val="21"/>
        </w:rPr>
        <w:t> 代表</w:t>
      </w:r>
      <w:r>
        <w:rPr>
          <w:spacing w:val="-8"/>
          <w:sz w:val="21"/>
        </w:rPr>
        <w:t>恶性肿瘤（原发性</w:t>
      </w:r>
      <w:r>
        <w:rPr>
          <w:spacing w:val="-74"/>
          <w:sz w:val="21"/>
        </w:rPr>
        <w:t>）</w:t>
      </w:r>
      <w:r>
        <w:rPr>
          <w:spacing w:val="17"/>
          <w:sz w:val="21"/>
        </w:rPr>
        <w:t>；</w:t>
      </w:r>
      <w:r>
        <w:rPr>
          <w:spacing w:val="32"/>
          <w:sz w:val="21"/>
        </w:rPr>
        <w:t>6</w:t>
      </w:r>
      <w:r>
        <w:rPr>
          <w:spacing w:val="-16"/>
          <w:sz w:val="21"/>
        </w:rPr>
        <w:t> 代表恶性肿瘤</w:t>
      </w:r>
      <w:r>
        <w:rPr>
          <w:spacing w:val="-8"/>
          <w:sz w:val="21"/>
        </w:rPr>
        <w:t>（转移性</w:t>
      </w:r>
      <w:r>
        <w:rPr>
          <w:spacing w:val="-75"/>
          <w:sz w:val="21"/>
        </w:rPr>
        <w:t>）</w:t>
      </w:r>
      <w:r>
        <w:rPr>
          <w:spacing w:val="18"/>
          <w:sz w:val="21"/>
        </w:rPr>
        <w:t>；</w:t>
      </w:r>
      <w:r>
        <w:rPr>
          <w:spacing w:val="33"/>
          <w:sz w:val="21"/>
        </w:rPr>
        <w:t>9</w:t>
      </w:r>
      <w:r>
        <w:rPr>
          <w:spacing w:val="-16"/>
          <w:sz w:val="21"/>
        </w:rPr>
        <w:t> 代表恶性肿瘤</w:t>
      </w:r>
      <w:r>
        <w:rPr>
          <w:spacing w:val="-8"/>
          <w:sz w:val="21"/>
        </w:rPr>
        <w:t>（原发性或转</w:t>
      </w:r>
      <w:r>
        <w:rPr>
          <w:sz w:val="21"/>
        </w:rPr>
        <w:t>移性未肯定</w:t>
      </w:r>
      <w:r>
        <w:rPr>
          <w:spacing w:val="-106"/>
          <w:sz w:val="21"/>
        </w:rPr>
        <w:t>）</w:t>
      </w:r>
      <w:r>
        <w:rPr>
          <w:spacing w:val="-10"/>
          <w:sz w:val="21"/>
        </w:rPr>
        <w:t>。如果出现 </w:t>
      </w:r>
      <w:r>
        <w:rPr>
          <w:sz w:val="21"/>
        </w:rPr>
        <w:t>ICD-10</w:t>
      </w:r>
      <w:r>
        <w:rPr>
          <w:spacing w:val="-37"/>
          <w:sz w:val="21"/>
        </w:rPr>
        <w:t> 与 </w:t>
      </w:r>
      <w:r>
        <w:rPr>
          <w:sz w:val="21"/>
        </w:rPr>
        <w:t>ICD-O-3</w:t>
      </w:r>
      <w:r>
        <w:rPr>
          <w:spacing w:val="-13"/>
          <w:sz w:val="21"/>
        </w:rPr>
        <w:t> 不一致的情况，以 </w:t>
      </w:r>
      <w:r>
        <w:rPr>
          <w:sz w:val="21"/>
        </w:rPr>
        <w:t>ICD-O-3</w:t>
      </w:r>
      <w:r>
        <w:rPr>
          <w:spacing w:val="-8"/>
          <w:sz w:val="21"/>
        </w:rPr>
        <w:t> 为准。</w:t>
      </w:r>
    </w:p>
    <w:p>
      <w:pPr>
        <w:pStyle w:val="BodyText"/>
        <w:spacing w:before="8"/>
        <w:rPr>
          <w:sz w:val="15"/>
        </w:rPr>
      </w:pPr>
    </w:p>
    <w:p>
      <w:pPr>
        <w:pStyle w:val="ListParagraph"/>
        <w:numPr>
          <w:ilvl w:val="1"/>
          <w:numId w:val="39"/>
        </w:numPr>
        <w:tabs>
          <w:tab w:pos="1006" w:val="left" w:leader="none"/>
          <w:tab w:pos="1007" w:val="left" w:leader="none"/>
          <w:tab w:pos="2946" w:val="left" w:leader="none"/>
        </w:tabs>
        <w:spacing w:line="240" w:lineRule="auto" w:before="1" w:after="0"/>
        <w:ind w:left="1006" w:right="0" w:hanging="747"/>
        <w:jc w:val="left"/>
        <w:rPr>
          <w:sz w:val="21"/>
        </w:rPr>
      </w:pPr>
      <w:r>
        <w:rPr>
          <w:rFonts w:ascii="微软雅黑" w:eastAsia="微软雅黑"/>
          <w:b/>
          <w:w w:val="70"/>
          <w:sz w:val="21"/>
        </w:rPr>
        <w:t>TNM</w:t>
      </w:r>
      <w:r>
        <w:rPr>
          <w:rFonts w:ascii="微软雅黑" w:eastAsia="微软雅黑"/>
          <w:b/>
          <w:sz w:val="21"/>
        </w:rPr>
        <w:t> </w:t>
      </w:r>
      <w:r>
        <w:rPr>
          <w:rFonts w:ascii="微软雅黑" w:eastAsia="微软雅黑"/>
          <w:b/>
          <w:w w:val="70"/>
          <w:sz w:val="21"/>
        </w:rPr>
        <w:t>分</w:t>
      </w:r>
      <w:r>
        <w:rPr>
          <w:rFonts w:ascii="微软雅黑" w:eastAsia="微软雅黑"/>
          <w:b/>
          <w:spacing w:val="-10"/>
          <w:w w:val="70"/>
          <w:sz w:val="21"/>
        </w:rPr>
        <w:t>期</w:t>
      </w:r>
      <w:r>
        <w:rPr>
          <w:rFonts w:ascii="微软雅黑" w:eastAsia="微软雅黑"/>
          <w:b/>
          <w:sz w:val="21"/>
        </w:rPr>
        <w:tab/>
      </w:r>
      <w:r>
        <w:rPr>
          <w:spacing w:val="-2"/>
          <w:sz w:val="21"/>
        </w:rPr>
        <w:t>TNM</w:t>
      </w:r>
      <w:r>
        <w:rPr>
          <w:spacing w:val="-49"/>
          <w:sz w:val="21"/>
        </w:rPr>
        <w:t> </w:t>
      </w:r>
      <w:r>
        <w:rPr>
          <w:spacing w:val="-2"/>
          <w:sz w:val="21"/>
        </w:rPr>
        <w:t>分期采用</w:t>
      </w:r>
      <w:r>
        <w:rPr>
          <w:spacing w:val="-49"/>
          <w:sz w:val="21"/>
        </w:rPr>
        <w:t> </w:t>
      </w:r>
      <w:r>
        <w:rPr>
          <w:spacing w:val="-2"/>
          <w:sz w:val="21"/>
        </w:rPr>
        <w:t>AJCC</w:t>
      </w:r>
      <w:r>
        <w:rPr>
          <w:spacing w:val="-51"/>
          <w:sz w:val="21"/>
        </w:rPr>
        <w:t> </w:t>
      </w:r>
      <w:r>
        <w:rPr>
          <w:spacing w:val="-2"/>
          <w:sz w:val="21"/>
        </w:rPr>
        <w:t>癌症分</w:t>
      </w:r>
      <w:r>
        <w:rPr>
          <w:spacing w:val="-2"/>
          <w:sz w:val="21"/>
        </w:rPr>
        <w:t>期</w:t>
      </w:r>
      <w:r>
        <w:rPr>
          <w:spacing w:val="-2"/>
          <w:sz w:val="21"/>
        </w:rPr>
        <w:t>手</w:t>
      </w:r>
      <w:r>
        <w:rPr>
          <w:spacing w:val="-2"/>
          <w:sz w:val="21"/>
        </w:rPr>
        <w:t>册标准。该标准由美</w:t>
      </w:r>
      <w:r>
        <w:rPr>
          <w:spacing w:val="-2"/>
          <w:sz w:val="21"/>
        </w:rPr>
        <w:t>国</w:t>
      </w:r>
      <w:r>
        <w:rPr>
          <w:spacing w:val="-2"/>
          <w:sz w:val="21"/>
        </w:rPr>
        <w:t>癌</w:t>
      </w:r>
      <w:r>
        <w:rPr>
          <w:spacing w:val="-2"/>
          <w:sz w:val="21"/>
        </w:rPr>
        <w:t>症联合委员会与国际</w:t>
      </w:r>
      <w:r>
        <w:rPr>
          <w:spacing w:val="-10"/>
          <w:sz w:val="21"/>
        </w:rPr>
        <w:t>抗</w:t>
      </w:r>
    </w:p>
    <w:p>
      <w:pPr>
        <w:spacing w:after="0" w:line="240" w:lineRule="auto"/>
        <w:jc w:val="left"/>
        <w:rPr>
          <w:sz w:val="21"/>
        </w:rPr>
        <w:sectPr>
          <w:type w:val="continuous"/>
          <w:pgSz w:w="11910" w:h="16840"/>
          <w:pgMar w:header="0" w:footer="401" w:top="600" w:bottom="280" w:left="760" w:right="580"/>
        </w:sectPr>
      </w:pPr>
    </w:p>
    <w:p>
      <w:pPr>
        <w:pStyle w:val="BodyText"/>
        <w:spacing w:line="278" w:lineRule="auto" w:before="57"/>
        <w:ind w:left="2946" w:right="330"/>
      </w:pPr>
      <w:r>
        <w:rPr>
          <w:spacing w:val="-3"/>
        </w:rPr>
        <w:t>癌联合会 </w:t>
      </w:r>
      <w:r>
        <w:rPr/>
        <w:t>TNM</w:t>
      </w:r>
      <w:r>
        <w:rPr>
          <w:spacing w:val="-4"/>
        </w:rPr>
        <w:t> 委员会联合制定，是目前肿瘤医学分期的国际通用标准。</w:t>
      </w:r>
      <w:r>
        <w:rPr/>
        <w:t>T</w:t>
      </w:r>
      <w:r>
        <w:rPr>
          <w:spacing w:val="-6"/>
        </w:rPr>
        <w:t> 指原</w:t>
      </w:r>
      <w:r>
        <w:rPr/>
        <w:t> </w:t>
      </w:r>
      <w:r>
        <w:rPr>
          <w:spacing w:val="-11"/>
        </w:rPr>
        <w:t>发肿瘤的大小、形态等；</w:t>
      </w:r>
      <w:r>
        <w:rPr>
          <w:spacing w:val="-4"/>
        </w:rPr>
        <w:t>N</w:t>
      </w:r>
      <w:r>
        <w:rPr>
          <w:spacing w:val="-12"/>
        </w:rPr>
        <w:t> 指淋巴结的转移情况；</w:t>
      </w:r>
      <w:r>
        <w:rPr>
          <w:spacing w:val="-4"/>
        </w:rPr>
        <w:t>M</w:t>
      </w:r>
      <w:r>
        <w:rPr>
          <w:spacing w:val="-12"/>
        </w:rPr>
        <w:t> 指有无其他脏器的转移情况。</w:t>
      </w:r>
      <w:r>
        <w:rPr>
          <w:spacing w:val="-6"/>
        </w:rPr>
        <w:t>甲状腺癌的 </w:t>
      </w:r>
      <w:r>
        <w:rPr/>
        <w:t>TNM</w:t>
      </w:r>
      <w:r>
        <w:rPr>
          <w:spacing w:val="-9"/>
        </w:rPr>
        <w:t> 分期采用目前现行的 </w:t>
      </w:r>
      <w:r>
        <w:rPr/>
        <w:t>AJCC</w:t>
      </w:r>
      <w:r>
        <w:rPr>
          <w:spacing w:val="-11"/>
        </w:rPr>
        <w:t> 第八版定义标准，我国国家卫生健康</w:t>
      </w:r>
      <w:r>
        <w:rPr>
          <w:spacing w:val="-8"/>
        </w:rPr>
        <w:t>委员会 </w:t>
      </w:r>
      <w:r>
        <w:rPr/>
        <w:t>2018</w:t>
      </w:r>
      <w:r>
        <w:rPr>
          <w:spacing w:val="-6"/>
        </w:rPr>
        <w:t> 年发布的《甲状腺癌诊疗规范</w:t>
      </w:r>
      <w:r>
        <w:rPr/>
        <w:t>（2018</w:t>
      </w:r>
      <w:r>
        <w:rPr>
          <w:spacing w:val="-12"/>
        </w:rPr>
        <w:t> 年版</w:t>
      </w:r>
      <w:r>
        <w:rPr>
          <w:spacing w:val="-106"/>
        </w:rPr>
        <w:t>）</w:t>
      </w:r>
      <w:r>
        <w:rPr/>
        <w:t>》也采用此定义标准，</w:t>
      </w:r>
      <w:r>
        <w:rPr>
          <w:spacing w:val="-2"/>
        </w:rPr>
        <w:t>具体见下：</w:t>
      </w:r>
    </w:p>
    <w:p>
      <w:pPr>
        <w:spacing w:line="324" w:lineRule="auto" w:before="15"/>
        <w:ind w:left="3525" w:right="1864" w:firstLine="0"/>
        <w:jc w:val="left"/>
        <w:rPr>
          <w:sz w:val="18"/>
        </w:rPr>
      </w:pPr>
      <w:r>
        <w:rPr>
          <w:spacing w:val="-2"/>
          <w:sz w:val="18"/>
        </w:rPr>
        <w:t>甲状腺乳头状癌、滤泡癌、低分化癌、Hürthle</w:t>
      </w:r>
      <w:r>
        <w:rPr>
          <w:spacing w:val="-8"/>
          <w:sz w:val="18"/>
        </w:rPr>
        <w:t> 细胞癌和未分化癌</w:t>
      </w:r>
      <w:r>
        <w:rPr>
          <w:spacing w:val="-2"/>
          <w:sz w:val="18"/>
        </w:rPr>
        <w:t> </w:t>
      </w:r>
      <w:r>
        <w:rPr>
          <w:spacing w:val="-2"/>
          <w:position w:val="1"/>
          <w:sz w:val="18"/>
        </w:rPr>
        <w:t>pT</w:t>
      </w:r>
      <w:r>
        <w:rPr>
          <w:spacing w:val="-2"/>
          <w:sz w:val="9"/>
        </w:rPr>
        <w:t>X</w:t>
      </w:r>
      <w:r>
        <w:rPr>
          <w:spacing w:val="-2"/>
          <w:position w:val="1"/>
          <w:sz w:val="18"/>
        </w:rPr>
        <w:t>：原发肿瘤不能评估</w:t>
      </w:r>
    </w:p>
    <w:p>
      <w:pPr>
        <w:spacing w:line="324" w:lineRule="auto" w:before="1"/>
        <w:ind w:left="3525" w:right="3839" w:firstLine="0"/>
        <w:jc w:val="left"/>
        <w:rPr>
          <w:sz w:val="18"/>
        </w:rPr>
      </w:pPr>
      <w:r>
        <w:rPr>
          <w:spacing w:val="-2"/>
          <w:position w:val="1"/>
          <w:sz w:val="18"/>
        </w:rPr>
        <w:t>pT</w:t>
      </w:r>
      <w:r>
        <w:rPr>
          <w:spacing w:val="-2"/>
          <w:sz w:val="9"/>
        </w:rPr>
        <w:t>0</w:t>
      </w:r>
      <w:r>
        <w:rPr>
          <w:spacing w:val="-2"/>
          <w:position w:val="1"/>
          <w:sz w:val="18"/>
        </w:rPr>
        <w:t>：无肿瘤证据</w:t>
      </w:r>
      <w:r>
        <w:rPr>
          <w:spacing w:val="80"/>
          <w:w w:val="150"/>
          <w:position w:val="1"/>
          <w:sz w:val="18"/>
        </w:rPr>
        <w:t>        </w:t>
      </w:r>
      <w:r>
        <w:rPr>
          <w:spacing w:val="-2"/>
          <w:position w:val="1"/>
          <w:sz w:val="18"/>
        </w:rPr>
        <w:t>pT</w:t>
      </w:r>
      <w:r>
        <w:rPr>
          <w:spacing w:val="-2"/>
          <w:sz w:val="9"/>
        </w:rPr>
        <w:t>1</w:t>
      </w:r>
      <w:r>
        <w:rPr>
          <w:spacing w:val="-2"/>
          <w:position w:val="1"/>
          <w:sz w:val="18"/>
        </w:rPr>
        <w:t>：肿瘤局限在甲状腺内，最大径≤2cm</w:t>
      </w:r>
    </w:p>
    <w:p>
      <w:pPr>
        <w:spacing w:before="2"/>
        <w:ind w:left="3885" w:right="0" w:firstLine="0"/>
        <w:jc w:val="left"/>
        <w:rPr>
          <w:sz w:val="18"/>
        </w:rPr>
      </w:pPr>
      <w:r>
        <w:rPr>
          <w:position w:val="1"/>
          <w:sz w:val="18"/>
        </w:rPr>
        <w:t>T</w:t>
      </w:r>
      <w:r>
        <w:rPr>
          <w:sz w:val="9"/>
        </w:rPr>
        <w:t>1a</w:t>
      </w:r>
      <w:r>
        <w:rPr>
          <w:spacing w:val="-23"/>
          <w:sz w:val="9"/>
        </w:rPr>
        <w:t> </w:t>
      </w:r>
      <w:r>
        <w:rPr>
          <w:spacing w:val="-1"/>
          <w:position w:val="1"/>
          <w:sz w:val="18"/>
        </w:rPr>
        <w:t>肿瘤最大径≤</w:t>
      </w:r>
      <w:r>
        <w:rPr>
          <w:spacing w:val="-4"/>
          <w:position w:val="1"/>
          <w:sz w:val="18"/>
        </w:rPr>
        <w:t>1cm</w:t>
      </w:r>
    </w:p>
    <w:p>
      <w:pPr>
        <w:spacing w:line="324" w:lineRule="auto" w:before="81"/>
        <w:ind w:left="3525" w:right="4165"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1"/>
        <w:ind w:left="3525" w:right="2313"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3"/>
        <w:ind w:left="3525" w:right="1279"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：大体侵犯甲状腺外带状肌外</w:t>
      </w:r>
    </w:p>
    <w:p>
      <w:pPr>
        <w:spacing w:line="324" w:lineRule="auto" w:before="1"/>
        <w:ind w:left="3525" w:right="2988" w:firstLine="0"/>
        <w:jc w:val="left"/>
        <w:rPr>
          <w:sz w:val="18"/>
        </w:rPr>
      </w:pP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line="324" w:lineRule="auto" w:before="2"/>
        <w:ind w:left="3525" w:right="5191" w:firstLine="0"/>
        <w:jc w:val="left"/>
        <w:rPr>
          <w:sz w:val="18"/>
        </w:rPr>
      </w:pPr>
      <w:r>
        <w:rPr>
          <w:spacing w:val="-2"/>
          <w:sz w:val="18"/>
        </w:rPr>
        <w:t>甲状腺髓样癌</w:t>
      </w:r>
      <w:r>
        <w:rPr>
          <w:spacing w:val="80"/>
          <w:w w:val="150"/>
          <w:sz w:val="18"/>
        </w:rPr>
        <w:t>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line="324" w:lineRule="auto" w:before="1"/>
        <w:ind w:left="3885" w:right="3839" w:hanging="360"/>
        <w:jc w:val="left"/>
        <w:rPr>
          <w:sz w:val="18"/>
        </w:rPr>
      </w:pPr>
      <w:r>
        <w:rPr>
          <w:spacing w:val="-2"/>
          <w:position w:val="1"/>
          <w:sz w:val="18"/>
        </w:rPr>
        <w:t>pT</w:t>
      </w:r>
      <w:r>
        <w:rPr>
          <w:spacing w:val="-2"/>
          <w:sz w:val="9"/>
        </w:rPr>
        <w:t>1</w:t>
      </w:r>
      <w:r>
        <w:rPr>
          <w:spacing w:val="-2"/>
          <w:position w:val="1"/>
          <w:sz w:val="18"/>
        </w:rPr>
        <w:t>：肿瘤局限在甲状腺内，最大径≤2c</w:t>
      </w:r>
      <w:r>
        <w:rPr>
          <w:spacing w:val="-2"/>
          <w:position w:val="1"/>
          <w:sz w:val="18"/>
        </w:rPr>
        <w:t>m </w:t>
      </w:r>
      <w:r>
        <w:rPr>
          <w:position w:val="1"/>
          <w:sz w:val="18"/>
        </w:rPr>
        <w:t>T</w:t>
      </w:r>
      <w:r>
        <w:rPr>
          <w:sz w:val="9"/>
        </w:rPr>
        <w:t>1a</w:t>
      </w:r>
      <w:r>
        <w:rPr>
          <w:spacing w:val="-24"/>
          <w:sz w:val="9"/>
        </w:rPr>
        <w:t> </w:t>
      </w:r>
      <w:r>
        <w:rPr>
          <w:position w:val="1"/>
          <w:sz w:val="18"/>
        </w:rPr>
        <w:t>肿瘤最大径≤1cm</w:t>
      </w:r>
    </w:p>
    <w:p>
      <w:pPr>
        <w:spacing w:line="324" w:lineRule="auto" w:before="2"/>
        <w:ind w:left="3525" w:right="4165"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1"/>
        <w:ind w:left="3525" w:right="2313"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3"/>
        <w:ind w:left="3525" w:right="1279"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：进展期病变</w:t>
      </w:r>
    </w:p>
    <w:p>
      <w:pPr>
        <w:spacing w:line="324" w:lineRule="auto" w:before="1"/>
        <w:ind w:left="3525" w:right="444"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：中度进展，任何大小的肿瘤，侵犯甲状腺外颈部周围器官和软组织，如喉、气</w:t>
      </w:r>
      <w:r>
        <w:rPr>
          <w:spacing w:val="-2"/>
          <w:sz w:val="18"/>
        </w:rPr>
        <w:t>管、食管、喉反神经及皮下软组织</w:t>
      </w:r>
    </w:p>
    <w:p>
      <w:pPr>
        <w:spacing w:line="324" w:lineRule="auto" w:before="1"/>
        <w:ind w:left="3525" w:right="1008"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1"/>
        <w:ind w:left="3525" w:right="5011"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w:t>
      </w:r>
      <w:r>
        <w:rPr>
          <w:spacing w:val="-2"/>
          <w:position w:val="1"/>
          <w:sz w:val="18"/>
        </w:rPr>
        <w:t> pN</w:t>
      </w:r>
      <w:r>
        <w:rPr>
          <w:spacing w:val="-2"/>
          <w:sz w:val="9"/>
        </w:rPr>
        <w:t>1</w:t>
      </w:r>
      <w:r>
        <w:rPr>
          <w:spacing w:val="-2"/>
          <w:position w:val="1"/>
          <w:sz w:val="18"/>
        </w:rPr>
        <w:t>：区域淋巴结转移</w:t>
      </w:r>
    </w:p>
    <w:p>
      <w:pPr>
        <w:spacing w:line="324" w:lineRule="auto" w:before="3"/>
        <w:ind w:left="3525" w:right="438" w:firstLine="0"/>
        <w:jc w:val="left"/>
        <w:rPr>
          <w:sz w:val="18"/>
        </w:rPr>
      </w:pPr>
      <w:r>
        <w:rPr>
          <w:position w:val="1"/>
          <w:sz w:val="18"/>
        </w:rPr>
        <w:t>pN</w:t>
      </w:r>
      <w:r>
        <w:rPr>
          <w:sz w:val="9"/>
        </w:rPr>
        <w:t>1a</w:t>
      </w:r>
      <w:r>
        <w:rPr>
          <w:position w:val="1"/>
          <w:sz w:val="18"/>
        </w:rPr>
        <w:t>：转移至Ⅵ、Ⅶ区（包括气管旁、气管前、喉前/Delphian</w:t>
      </w:r>
      <w:r>
        <w:rPr>
          <w:spacing w:val="-2"/>
          <w:position w:val="1"/>
          <w:sz w:val="18"/>
        </w:rPr>
        <w:t> 或上纵隔</w:t>
      </w:r>
      <w:r>
        <w:rPr>
          <w:position w:val="1"/>
          <w:sz w:val="18"/>
        </w:rPr>
        <w:t>）淋巴结，</w:t>
      </w:r>
      <w:r>
        <w:rPr>
          <w:spacing w:val="-2"/>
          <w:sz w:val="18"/>
        </w:rPr>
        <w:t>可以为单侧或双侧。</w:t>
      </w:r>
    </w:p>
    <w:p>
      <w:pPr>
        <w:spacing w:line="324" w:lineRule="auto" w:before="1"/>
        <w:ind w:left="3525" w:right="444" w:firstLine="0"/>
        <w:jc w:val="left"/>
        <w:rPr>
          <w:sz w:val="18"/>
        </w:rPr>
      </w:pPr>
      <w:r>
        <w:rPr>
          <w:spacing w:val="-2"/>
          <w:position w:val="1"/>
          <w:sz w:val="18"/>
        </w:rPr>
        <w:t>pN</w:t>
      </w:r>
      <w:r>
        <w:rPr>
          <w:spacing w:val="-2"/>
          <w:sz w:val="9"/>
        </w:rPr>
        <w:t>1b</w:t>
      </w:r>
      <w:r>
        <w:rPr>
          <w:spacing w:val="-2"/>
          <w:position w:val="1"/>
          <w:sz w:val="18"/>
        </w:rPr>
        <w:t>：单侧、双侧或对侧颈淋巴结转移（包括Ⅰ、Ⅱ、Ⅲ、Ⅳ或Ⅴ区）淋巴结或咽后</w:t>
      </w:r>
      <w:r>
        <w:rPr>
          <w:spacing w:val="-2"/>
          <w:sz w:val="18"/>
        </w:rPr>
        <w:t>淋巴结转移。</w:t>
      </w:r>
    </w:p>
    <w:p>
      <w:pPr>
        <w:spacing w:line="324" w:lineRule="auto" w:before="2"/>
        <w:ind w:left="3525" w:right="4519" w:firstLine="0"/>
        <w:jc w:val="left"/>
        <w:rPr>
          <w:sz w:val="18"/>
        </w:rPr>
      </w:pPr>
      <w:r>
        <w:rPr/>
        <w:pict>
          <v:shape style="position:absolute;margin-left:213.889999pt;margin-top:45.216007pt;width:252.65pt;height:16.2pt;mso-position-horizontal-relative:page;mso-position-vertical-relative:paragraph;z-index:15733760" type="#_x0000_t202" id="docshape4" filled="false" stroked="true" strokeweight=".48001pt" strokecolor="#000000">
            <v:textbox inset="0,0,0,0">
              <w:txbxContent>
                <w:p>
                  <w:pPr>
                    <w:spacing w:before="40"/>
                    <w:ind w:left="105" w:right="0" w:firstLine="0"/>
                    <w:jc w:val="left"/>
                    <w:rPr>
                      <w:sz w:val="18"/>
                    </w:rPr>
                  </w:pPr>
                  <w:r>
                    <w:rPr>
                      <w:sz w:val="18"/>
                    </w:rPr>
                    <w:t>乳头状或滤泡状癌（分化型</w:t>
                  </w:r>
                  <w:r>
                    <w:rPr>
                      <w:spacing w:val="-10"/>
                      <w:sz w:val="18"/>
                    </w:rPr>
                    <w:t>）</w:t>
                  </w:r>
                </w:p>
              </w:txbxContent>
            </v:textbox>
            <v:stroke dashstyle="solid"/>
            <w10:wrap type="none"/>
          </v:shape>
        </w:pict>
      </w:r>
      <w:r>
        <w:rPr>
          <w:spacing w:val="-2"/>
          <w:sz w:val="18"/>
        </w:rPr>
        <w:t>远处转移：适用于所有甲状腺癌 </w:t>
      </w:r>
      <w:r>
        <w:rPr>
          <w:spacing w:val="-2"/>
          <w:position w:val="1"/>
          <w:sz w:val="18"/>
        </w:rPr>
        <w:t>M</w:t>
      </w:r>
      <w:r>
        <w:rPr>
          <w:spacing w:val="-2"/>
          <w:sz w:val="9"/>
        </w:rPr>
        <w:t>0</w:t>
      </w:r>
      <w:r>
        <w:rPr>
          <w:spacing w:val="-2"/>
          <w:position w:val="1"/>
          <w:sz w:val="18"/>
        </w:rPr>
        <w:t>：无远处转移</w:t>
      </w:r>
      <w:r>
        <w:rPr>
          <w:spacing w:val="80"/>
          <w:w w:val="150"/>
          <w:position w:val="1"/>
          <w:sz w:val="18"/>
        </w:rPr>
        <w:t>     </w:t>
      </w:r>
      <w:r>
        <w:rPr>
          <w:spacing w:val="-2"/>
          <w:position w:val="1"/>
          <w:sz w:val="18"/>
        </w:rPr>
        <w:t>M</w:t>
      </w:r>
      <w:r>
        <w:rPr>
          <w:spacing w:val="-2"/>
          <w:sz w:val="9"/>
        </w:rPr>
        <w:t>1</w:t>
      </w:r>
      <w:r>
        <w:rPr>
          <w:spacing w:val="-2"/>
          <w:position w:val="1"/>
          <w:sz w:val="18"/>
        </w:rPr>
        <w:t>：有远处转移</w:t>
      </w:r>
    </w:p>
    <w:p>
      <w:pPr>
        <w:spacing w:after="0" w:line="324" w:lineRule="auto"/>
        <w:jc w:val="left"/>
        <w:rPr>
          <w:sz w:val="18"/>
        </w:rPr>
        <w:sectPr>
          <w:pgSz w:w="11910" w:h="16840"/>
          <w:pgMar w:header="0" w:footer="401" w:top="1080" w:bottom="600" w:left="760" w:right="580"/>
        </w:sectPr>
      </w:pPr>
    </w:p>
    <w:tbl>
      <w:tblPr>
        <w:tblW w:w="0" w:type="auto"/>
        <w:jc w:val="left"/>
        <w:tblInd w:w="3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3" w:hRule="atLeast"/>
        </w:trPr>
        <w:tc>
          <w:tcPr>
            <w:tcW w:w="5053" w:type="dxa"/>
            <w:gridSpan w:val="4"/>
          </w:tcPr>
          <w:p>
            <w:pPr>
              <w:pStyle w:val="TableParagraph"/>
              <w:spacing w:before="35"/>
              <w:ind w:left="110"/>
              <w:rPr>
                <w:sz w:val="18"/>
              </w:rPr>
            </w:pPr>
            <w:r>
              <w:rPr>
                <w:sz w:val="18"/>
              </w:rPr>
              <w:t>年龄＜55</w:t>
            </w:r>
            <w:r>
              <w:rPr>
                <w:spacing w:val="-28"/>
                <w:sz w:val="18"/>
              </w:rPr>
              <w:t> 岁</w:t>
            </w:r>
          </w:p>
        </w:tc>
      </w:tr>
      <w:tr>
        <w:trPr>
          <w:trHeight w:val="312" w:hRule="atLeast"/>
        </w:trPr>
        <w:tc>
          <w:tcPr>
            <w:tcW w:w="1418" w:type="dxa"/>
          </w:tcPr>
          <w:p>
            <w:pPr>
              <w:pStyle w:val="TableParagraph"/>
              <w:rPr>
                <w:rFonts w:ascii="Times New Roman"/>
                <w:sz w:val="20"/>
              </w:rPr>
            </w:pPr>
          </w:p>
        </w:tc>
        <w:tc>
          <w:tcPr>
            <w:tcW w:w="1234" w:type="dxa"/>
          </w:tcPr>
          <w:p>
            <w:pPr>
              <w:pStyle w:val="TableParagraph"/>
              <w:spacing w:before="32"/>
              <w:ind w:left="108"/>
              <w:rPr>
                <w:sz w:val="18"/>
              </w:rPr>
            </w:pPr>
            <w:r>
              <w:rPr>
                <w:sz w:val="18"/>
              </w:rPr>
              <w:t>T</w:t>
            </w:r>
          </w:p>
        </w:tc>
        <w:tc>
          <w:tcPr>
            <w:tcW w:w="1133" w:type="dxa"/>
          </w:tcPr>
          <w:p>
            <w:pPr>
              <w:pStyle w:val="TableParagraph"/>
              <w:spacing w:before="32"/>
              <w:ind w:left="108"/>
              <w:rPr>
                <w:sz w:val="18"/>
              </w:rPr>
            </w:pPr>
            <w:r>
              <w:rPr>
                <w:sz w:val="18"/>
              </w:rPr>
              <w:t>N</w:t>
            </w:r>
          </w:p>
        </w:tc>
        <w:tc>
          <w:tcPr>
            <w:tcW w:w="1268" w:type="dxa"/>
          </w:tcPr>
          <w:p>
            <w:pPr>
              <w:pStyle w:val="TableParagraph"/>
              <w:spacing w:before="32"/>
              <w:ind w:left="110"/>
              <w:rPr>
                <w:sz w:val="18"/>
              </w:rPr>
            </w:pPr>
            <w:r>
              <w:rPr>
                <w:sz w:val="18"/>
              </w:rPr>
              <w:t>M</w:t>
            </w:r>
          </w:p>
        </w:tc>
      </w:tr>
      <w:tr>
        <w:trPr>
          <w:trHeight w:val="311" w:hRule="atLeast"/>
        </w:trPr>
        <w:tc>
          <w:tcPr>
            <w:tcW w:w="1418" w:type="dxa"/>
          </w:tcPr>
          <w:p>
            <w:pPr>
              <w:pStyle w:val="TableParagraph"/>
              <w:spacing w:before="32"/>
              <w:ind w:left="110"/>
              <w:rPr>
                <w:sz w:val="18"/>
              </w:rPr>
            </w:pPr>
            <w:r>
              <w:rPr>
                <w:spacing w:val="-5"/>
                <w:sz w:val="18"/>
              </w:rPr>
              <w:t>Ⅰ期</w:t>
            </w:r>
          </w:p>
        </w:tc>
        <w:tc>
          <w:tcPr>
            <w:tcW w:w="1234" w:type="dxa"/>
          </w:tcPr>
          <w:p>
            <w:pPr>
              <w:pStyle w:val="TableParagraph"/>
              <w:spacing w:before="32"/>
              <w:ind w:left="108"/>
              <w:rPr>
                <w:sz w:val="18"/>
              </w:rPr>
            </w:pPr>
            <w:r>
              <w:rPr>
                <w:spacing w:val="-5"/>
                <w:sz w:val="18"/>
              </w:rPr>
              <w:t>任何</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pacing w:val="-5"/>
                <w:sz w:val="18"/>
              </w:rPr>
              <w:t>Ⅱ期</w:t>
            </w:r>
          </w:p>
        </w:tc>
        <w:tc>
          <w:tcPr>
            <w:tcW w:w="1234" w:type="dxa"/>
          </w:tcPr>
          <w:p>
            <w:pPr>
              <w:pStyle w:val="TableParagraph"/>
              <w:spacing w:before="32"/>
              <w:ind w:left="108"/>
              <w:rPr>
                <w:sz w:val="18"/>
              </w:rPr>
            </w:pPr>
            <w:r>
              <w:rPr>
                <w:spacing w:val="-5"/>
                <w:sz w:val="18"/>
              </w:rPr>
              <w:t>任何</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1</w:t>
            </w:r>
          </w:p>
        </w:tc>
      </w:tr>
      <w:tr>
        <w:trPr>
          <w:trHeight w:val="311" w:hRule="atLeast"/>
        </w:trPr>
        <w:tc>
          <w:tcPr>
            <w:tcW w:w="5053" w:type="dxa"/>
            <w:gridSpan w:val="4"/>
          </w:tcPr>
          <w:p>
            <w:pPr>
              <w:pStyle w:val="TableParagraph"/>
              <w:spacing w:before="32"/>
              <w:ind w:left="110"/>
              <w:rPr>
                <w:sz w:val="18"/>
              </w:rPr>
            </w:pPr>
            <w:r>
              <w:rPr>
                <w:sz w:val="18"/>
              </w:rPr>
              <w:t>年龄≥55</w:t>
            </w:r>
            <w:r>
              <w:rPr>
                <w:spacing w:val="-28"/>
                <w:sz w:val="18"/>
              </w:rPr>
              <w:t> 岁</w:t>
            </w:r>
          </w:p>
        </w:tc>
      </w:tr>
      <w:tr>
        <w:trPr>
          <w:trHeight w:val="311" w:hRule="atLeast"/>
        </w:trPr>
        <w:tc>
          <w:tcPr>
            <w:tcW w:w="1418" w:type="dxa"/>
          </w:tcPr>
          <w:p>
            <w:pPr>
              <w:pStyle w:val="TableParagraph"/>
              <w:spacing w:before="32"/>
              <w:ind w:left="110"/>
              <w:rPr>
                <w:sz w:val="18"/>
              </w:rPr>
            </w:pPr>
            <w:r>
              <w:rPr>
                <w:spacing w:val="-5"/>
                <w:sz w:val="18"/>
              </w:rPr>
              <w:t>Ⅰ期</w:t>
            </w:r>
          </w:p>
        </w:tc>
        <w:tc>
          <w:tcPr>
            <w:tcW w:w="1234" w:type="dxa"/>
          </w:tcPr>
          <w:p>
            <w:pPr>
              <w:pStyle w:val="TableParagraph"/>
              <w:spacing w:before="32"/>
              <w:ind w:left="108"/>
              <w:rPr>
                <w:sz w:val="18"/>
              </w:rPr>
            </w:pPr>
            <w:r>
              <w:rPr>
                <w:sz w:val="18"/>
              </w:rPr>
              <w:t>1</w:t>
            </w:r>
          </w:p>
        </w:tc>
        <w:tc>
          <w:tcPr>
            <w:tcW w:w="1133" w:type="dxa"/>
          </w:tcPr>
          <w:p>
            <w:pPr>
              <w:pStyle w:val="TableParagraph"/>
              <w:spacing w:before="32"/>
              <w:ind w:left="108"/>
              <w:rPr>
                <w:sz w:val="18"/>
              </w:rPr>
            </w:pPr>
            <w:r>
              <w:rPr>
                <w:spacing w:val="-5"/>
                <w:sz w:val="18"/>
              </w:rPr>
              <w:t>0/x</w:t>
            </w:r>
          </w:p>
        </w:tc>
        <w:tc>
          <w:tcPr>
            <w:tcW w:w="1268" w:type="dxa"/>
          </w:tcPr>
          <w:p>
            <w:pPr>
              <w:pStyle w:val="TableParagraph"/>
              <w:spacing w:before="32"/>
              <w:ind w:left="110"/>
              <w:rPr>
                <w:sz w:val="18"/>
              </w:rPr>
            </w:pPr>
            <w:r>
              <w:rPr>
                <w:sz w:val="18"/>
              </w:rPr>
              <w:t>0</w:t>
            </w:r>
          </w:p>
        </w:tc>
      </w:tr>
      <w:tr>
        <w:trPr>
          <w:trHeight w:val="313" w:hRule="atLeast"/>
        </w:trPr>
        <w:tc>
          <w:tcPr>
            <w:tcW w:w="1418" w:type="dxa"/>
          </w:tcPr>
          <w:p>
            <w:pPr>
              <w:pStyle w:val="TableParagraph"/>
              <w:rPr>
                <w:rFonts w:ascii="Times New Roman"/>
                <w:sz w:val="20"/>
              </w:rPr>
            </w:pPr>
          </w:p>
        </w:tc>
        <w:tc>
          <w:tcPr>
            <w:tcW w:w="1234" w:type="dxa"/>
          </w:tcPr>
          <w:p>
            <w:pPr>
              <w:pStyle w:val="TableParagraph"/>
              <w:spacing w:before="35"/>
              <w:ind w:left="108"/>
              <w:rPr>
                <w:sz w:val="18"/>
              </w:rPr>
            </w:pPr>
            <w:r>
              <w:rPr>
                <w:sz w:val="18"/>
              </w:rPr>
              <w:t>2</w:t>
            </w:r>
          </w:p>
        </w:tc>
        <w:tc>
          <w:tcPr>
            <w:tcW w:w="1133" w:type="dxa"/>
          </w:tcPr>
          <w:p>
            <w:pPr>
              <w:pStyle w:val="TableParagraph"/>
              <w:spacing w:before="35"/>
              <w:ind w:left="108"/>
              <w:rPr>
                <w:sz w:val="18"/>
              </w:rPr>
            </w:pPr>
            <w:r>
              <w:rPr>
                <w:spacing w:val="-5"/>
                <w:sz w:val="18"/>
              </w:rPr>
              <w:t>0/x</w:t>
            </w:r>
          </w:p>
        </w:tc>
        <w:tc>
          <w:tcPr>
            <w:tcW w:w="1268" w:type="dxa"/>
          </w:tcPr>
          <w:p>
            <w:pPr>
              <w:pStyle w:val="TableParagraph"/>
              <w:spacing w:before="35"/>
              <w:ind w:left="110"/>
              <w:rPr>
                <w:sz w:val="18"/>
              </w:rPr>
            </w:pPr>
            <w:r>
              <w:rPr>
                <w:sz w:val="18"/>
              </w:rPr>
              <w:t>0</w:t>
            </w:r>
          </w:p>
        </w:tc>
      </w:tr>
      <w:tr>
        <w:trPr>
          <w:trHeight w:val="311" w:hRule="atLeast"/>
        </w:trPr>
        <w:tc>
          <w:tcPr>
            <w:tcW w:w="1418" w:type="dxa"/>
          </w:tcPr>
          <w:p>
            <w:pPr>
              <w:pStyle w:val="TableParagraph"/>
              <w:spacing w:before="32"/>
              <w:ind w:left="110"/>
              <w:rPr>
                <w:sz w:val="18"/>
              </w:rPr>
            </w:pPr>
            <w:r>
              <w:rPr>
                <w:spacing w:val="-5"/>
                <w:sz w:val="18"/>
              </w:rPr>
              <w:t>Ⅱ期</w:t>
            </w:r>
          </w:p>
        </w:tc>
        <w:tc>
          <w:tcPr>
            <w:tcW w:w="1234" w:type="dxa"/>
          </w:tcPr>
          <w:p>
            <w:pPr>
              <w:pStyle w:val="TableParagraph"/>
              <w:spacing w:before="32"/>
              <w:ind w:left="108"/>
              <w:rPr>
                <w:sz w:val="18"/>
              </w:rPr>
            </w:pPr>
            <w:r>
              <w:rPr>
                <w:spacing w:val="-5"/>
                <w:sz w:val="18"/>
              </w:rPr>
              <w:t>1～2</w:t>
            </w:r>
          </w:p>
        </w:tc>
        <w:tc>
          <w:tcPr>
            <w:tcW w:w="1133" w:type="dxa"/>
          </w:tcPr>
          <w:p>
            <w:pPr>
              <w:pStyle w:val="TableParagraph"/>
              <w:spacing w:before="32"/>
              <w:ind w:left="108"/>
              <w:rPr>
                <w:sz w:val="18"/>
              </w:rPr>
            </w:pPr>
            <w:r>
              <w:rPr>
                <w:sz w:val="18"/>
              </w:rPr>
              <w:t>1</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rPr>
                <w:rFonts w:ascii="Times New Roman"/>
                <w:sz w:val="20"/>
              </w:rPr>
            </w:pPr>
          </w:p>
        </w:tc>
        <w:tc>
          <w:tcPr>
            <w:tcW w:w="1234" w:type="dxa"/>
          </w:tcPr>
          <w:p>
            <w:pPr>
              <w:pStyle w:val="TableParagraph"/>
              <w:spacing w:before="32"/>
              <w:ind w:left="108"/>
              <w:rPr>
                <w:sz w:val="18"/>
              </w:rPr>
            </w:pPr>
            <w:r>
              <w:rPr>
                <w:spacing w:val="-4"/>
                <w:sz w:val="18"/>
              </w:rPr>
              <w:t>3a～3b</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pacing w:val="-5"/>
                <w:sz w:val="18"/>
              </w:rPr>
              <w:t>Ⅲ期</w:t>
            </w:r>
          </w:p>
        </w:tc>
        <w:tc>
          <w:tcPr>
            <w:tcW w:w="1234" w:type="dxa"/>
          </w:tcPr>
          <w:p>
            <w:pPr>
              <w:pStyle w:val="TableParagraph"/>
              <w:spacing w:before="32"/>
              <w:ind w:left="108"/>
              <w:rPr>
                <w:sz w:val="18"/>
              </w:rPr>
            </w:pPr>
            <w:r>
              <w:rPr>
                <w:spacing w:val="-5"/>
                <w:sz w:val="18"/>
              </w:rPr>
              <w:t>4a</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z w:val="18"/>
              </w:rPr>
              <w:t>ⅣA</w:t>
            </w:r>
            <w:r>
              <w:rPr>
                <w:spacing w:val="-27"/>
                <w:sz w:val="18"/>
              </w:rPr>
              <w:t> 期</w:t>
            </w:r>
          </w:p>
        </w:tc>
        <w:tc>
          <w:tcPr>
            <w:tcW w:w="1234" w:type="dxa"/>
          </w:tcPr>
          <w:p>
            <w:pPr>
              <w:pStyle w:val="TableParagraph"/>
              <w:spacing w:before="32"/>
              <w:ind w:left="108"/>
              <w:rPr>
                <w:sz w:val="18"/>
              </w:rPr>
            </w:pPr>
            <w:r>
              <w:rPr>
                <w:spacing w:val="-5"/>
                <w:sz w:val="18"/>
              </w:rPr>
              <w:t>4b</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z w:val="18"/>
              </w:rPr>
              <w:t>ⅣB</w:t>
            </w:r>
            <w:r>
              <w:rPr>
                <w:spacing w:val="-27"/>
                <w:sz w:val="18"/>
              </w:rPr>
              <w:t> 期</w:t>
            </w:r>
          </w:p>
        </w:tc>
        <w:tc>
          <w:tcPr>
            <w:tcW w:w="1234" w:type="dxa"/>
          </w:tcPr>
          <w:p>
            <w:pPr>
              <w:pStyle w:val="TableParagraph"/>
              <w:spacing w:before="32"/>
              <w:ind w:left="108"/>
              <w:rPr>
                <w:sz w:val="18"/>
              </w:rPr>
            </w:pPr>
            <w:r>
              <w:rPr>
                <w:spacing w:val="-5"/>
                <w:sz w:val="18"/>
              </w:rPr>
              <w:t>任何</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1</w:t>
            </w:r>
          </w:p>
        </w:tc>
      </w:tr>
      <w:tr>
        <w:trPr>
          <w:trHeight w:val="314" w:hRule="atLeast"/>
        </w:trPr>
        <w:tc>
          <w:tcPr>
            <w:tcW w:w="5053" w:type="dxa"/>
            <w:gridSpan w:val="4"/>
          </w:tcPr>
          <w:p>
            <w:pPr>
              <w:pStyle w:val="TableParagraph"/>
              <w:spacing w:before="35"/>
              <w:ind w:left="110"/>
              <w:rPr>
                <w:sz w:val="18"/>
              </w:rPr>
            </w:pPr>
            <w:r>
              <w:rPr>
                <w:sz w:val="18"/>
              </w:rPr>
              <w:t>髓样癌（所有年龄组</w:t>
            </w:r>
            <w:r>
              <w:rPr>
                <w:spacing w:val="-10"/>
                <w:sz w:val="18"/>
              </w:rPr>
              <w:t>）</w:t>
            </w:r>
          </w:p>
        </w:tc>
      </w:tr>
      <w:tr>
        <w:trPr>
          <w:trHeight w:val="312" w:hRule="atLeast"/>
        </w:trPr>
        <w:tc>
          <w:tcPr>
            <w:tcW w:w="1418" w:type="dxa"/>
          </w:tcPr>
          <w:p>
            <w:pPr>
              <w:pStyle w:val="TableParagraph"/>
              <w:spacing w:before="33"/>
              <w:ind w:left="110"/>
              <w:rPr>
                <w:sz w:val="18"/>
              </w:rPr>
            </w:pPr>
            <w:r>
              <w:rPr>
                <w:spacing w:val="-5"/>
                <w:sz w:val="18"/>
              </w:rPr>
              <w:t>Ⅰ期</w:t>
            </w:r>
          </w:p>
        </w:tc>
        <w:tc>
          <w:tcPr>
            <w:tcW w:w="1234" w:type="dxa"/>
          </w:tcPr>
          <w:p>
            <w:pPr>
              <w:pStyle w:val="TableParagraph"/>
              <w:spacing w:before="33"/>
              <w:ind w:left="108"/>
              <w:rPr>
                <w:sz w:val="18"/>
              </w:rPr>
            </w:pPr>
            <w:r>
              <w:rPr>
                <w:sz w:val="18"/>
              </w:rPr>
              <w:t>1</w:t>
            </w:r>
          </w:p>
        </w:tc>
        <w:tc>
          <w:tcPr>
            <w:tcW w:w="1133" w:type="dxa"/>
          </w:tcPr>
          <w:p>
            <w:pPr>
              <w:pStyle w:val="TableParagraph"/>
              <w:spacing w:before="33"/>
              <w:ind w:left="108"/>
              <w:rPr>
                <w:sz w:val="18"/>
              </w:rPr>
            </w:pPr>
            <w:r>
              <w:rPr>
                <w:sz w:val="18"/>
              </w:rPr>
              <w:t>0</w:t>
            </w:r>
          </w:p>
        </w:tc>
        <w:tc>
          <w:tcPr>
            <w:tcW w:w="1268" w:type="dxa"/>
          </w:tcPr>
          <w:p>
            <w:pPr>
              <w:pStyle w:val="TableParagraph"/>
              <w:spacing w:before="33"/>
              <w:ind w:left="110"/>
              <w:rPr>
                <w:sz w:val="18"/>
              </w:rPr>
            </w:pPr>
            <w:r>
              <w:rPr>
                <w:sz w:val="18"/>
              </w:rPr>
              <w:t>0</w:t>
            </w:r>
          </w:p>
        </w:tc>
      </w:tr>
      <w:tr>
        <w:trPr>
          <w:trHeight w:val="311" w:hRule="atLeast"/>
        </w:trPr>
        <w:tc>
          <w:tcPr>
            <w:tcW w:w="1418" w:type="dxa"/>
          </w:tcPr>
          <w:p>
            <w:pPr>
              <w:pStyle w:val="TableParagraph"/>
              <w:spacing w:before="32"/>
              <w:ind w:left="110"/>
              <w:rPr>
                <w:sz w:val="18"/>
              </w:rPr>
            </w:pPr>
            <w:r>
              <w:rPr>
                <w:spacing w:val="-5"/>
                <w:sz w:val="18"/>
              </w:rPr>
              <w:t>Ⅱ期</w:t>
            </w:r>
          </w:p>
        </w:tc>
        <w:tc>
          <w:tcPr>
            <w:tcW w:w="1234" w:type="dxa"/>
          </w:tcPr>
          <w:p>
            <w:pPr>
              <w:pStyle w:val="TableParagraph"/>
              <w:spacing w:before="32"/>
              <w:ind w:left="108"/>
              <w:rPr>
                <w:sz w:val="18"/>
              </w:rPr>
            </w:pPr>
            <w:r>
              <w:rPr>
                <w:spacing w:val="-5"/>
                <w:sz w:val="18"/>
              </w:rPr>
              <w:t>2～3</w:t>
            </w:r>
          </w:p>
        </w:tc>
        <w:tc>
          <w:tcPr>
            <w:tcW w:w="1133" w:type="dxa"/>
          </w:tcPr>
          <w:p>
            <w:pPr>
              <w:pStyle w:val="TableParagraph"/>
              <w:spacing w:before="32"/>
              <w:ind w:left="108"/>
              <w:rPr>
                <w:sz w:val="18"/>
              </w:rPr>
            </w:pPr>
            <w:r>
              <w:rPr>
                <w:sz w:val="18"/>
              </w:rPr>
              <w:t>0</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pacing w:val="-5"/>
                <w:sz w:val="18"/>
              </w:rPr>
              <w:t>Ⅲ期</w:t>
            </w:r>
          </w:p>
        </w:tc>
        <w:tc>
          <w:tcPr>
            <w:tcW w:w="1234" w:type="dxa"/>
          </w:tcPr>
          <w:p>
            <w:pPr>
              <w:pStyle w:val="TableParagraph"/>
              <w:spacing w:before="32"/>
              <w:ind w:left="108"/>
              <w:rPr>
                <w:sz w:val="18"/>
              </w:rPr>
            </w:pPr>
            <w:r>
              <w:rPr>
                <w:spacing w:val="-5"/>
                <w:sz w:val="18"/>
              </w:rPr>
              <w:t>1～3</w:t>
            </w:r>
          </w:p>
        </w:tc>
        <w:tc>
          <w:tcPr>
            <w:tcW w:w="1133" w:type="dxa"/>
          </w:tcPr>
          <w:p>
            <w:pPr>
              <w:pStyle w:val="TableParagraph"/>
              <w:spacing w:before="32"/>
              <w:ind w:left="108"/>
              <w:rPr>
                <w:sz w:val="18"/>
              </w:rPr>
            </w:pPr>
            <w:r>
              <w:rPr>
                <w:spacing w:val="-5"/>
                <w:sz w:val="18"/>
              </w:rPr>
              <w:t>1a</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z w:val="18"/>
              </w:rPr>
              <w:t>ⅣA</w:t>
            </w:r>
            <w:r>
              <w:rPr>
                <w:spacing w:val="-27"/>
                <w:sz w:val="18"/>
              </w:rPr>
              <w:t> 期</w:t>
            </w:r>
          </w:p>
        </w:tc>
        <w:tc>
          <w:tcPr>
            <w:tcW w:w="1234" w:type="dxa"/>
          </w:tcPr>
          <w:p>
            <w:pPr>
              <w:pStyle w:val="TableParagraph"/>
              <w:spacing w:before="32"/>
              <w:ind w:left="108"/>
              <w:rPr>
                <w:sz w:val="18"/>
              </w:rPr>
            </w:pPr>
            <w:r>
              <w:rPr>
                <w:spacing w:val="-5"/>
                <w:sz w:val="18"/>
              </w:rPr>
              <w:t>4a</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rPr>
                <w:rFonts w:ascii="Times New Roman"/>
                <w:sz w:val="20"/>
              </w:rPr>
            </w:pPr>
          </w:p>
        </w:tc>
        <w:tc>
          <w:tcPr>
            <w:tcW w:w="1234" w:type="dxa"/>
          </w:tcPr>
          <w:p>
            <w:pPr>
              <w:pStyle w:val="TableParagraph"/>
              <w:spacing w:before="32"/>
              <w:ind w:left="108"/>
              <w:rPr>
                <w:sz w:val="18"/>
              </w:rPr>
            </w:pPr>
            <w:r>
              <w:rPr>
                <w:spacing w:val="-5"/>
                <w:sz w:val="18"/>
              </w:rPr>
              <w:t>1～3</w:t>
            </w:r>
          </w:p>
        </w:tc>
        <w:tc>
          <w:tcPr>
            <w:tcW w:w="1133" w:type="dxa"/>
          </w:tcPr>
          <w:p>
            <w:pPr>
              <w:pStyle w:val="TableParagraph"/>
              <w:spacing w:before="32"/>
              <w:ind w:left="108"/>
              <w:rPr>
                <w:sz w:val="18"/>
              </w:rPr>
            </w:pPr>
            <w:r>
              <w:rPr>
                <w:spacing w:val="-5"/>
                <w:sz w:val="18"/>
              </w:rPr>
              <w:t>1b</w:t>
            </w:r>
          </w:p>
        </w:tc>
        <w:tc>
          <w:tcPr>
            <w:tcW w:w="1268" w:type="dxa"/>
          </w:tcPr>
          <w:p>
            <w:pPr>
              <w:pStyle w:val="TableParagraph"/>
              <w:spacing w:before="32"/>
              <w:ind w:left="110"/>
              <w:rPr>
                <w:sz w:val="18"/>
              </w:rPr>
            </w:pPr>
            <w:r>
              <w:rPr>
                <w:sz w:val="18"/>
              </w:rPr>
              <w:t>0</w:t>
            </w:r>
          </w:p>
        </w:tc>
      </w:tr>
      <w:tr>
        <w:trPr>
          <w:trHeight w:val="313" w:hRule="atLeast"/>
        </w:trPr>
        <w:tc>
          <w:tcPr>
            <w:tcW w:w="1418" w:type="dxa"/>
          </w:tcPr>
          <w:p>
            <w:pPr>
              <w:pStyle w:val="TableParagraph"/>
              <w:spacing w:before="35"/>
              <w:ind w:left="110"/>
              <w:rPr>
                <w:sz w:val="18"/>
              </w:rPr>
            </w:pPr>
            <w:r>
              <w:rPr>
                <w:sz w:val="18"/>
              </w:rPr>
              <w:t>ⅣB</w:t>
            </w:r>
            <w:r>
              <w:rPr>
                <w:spacing w:val="-27"/>
                <w:sz w:val="18"/>
              </w:rPr>
              <w:t> 期</w:t>
            </w:r>
          </w:p>
        </w:tc>
        <w:tc>
          <w:tcPr>
            <w:tcW w:w="1234" w:type="dxa"/>
          </w:tcPr>
          <w:p>
            <w:pPr>
              <w:pStyle w:val="TableParagraph"/>
              <w:spacing w:before="35"/>
              <w:ind w:left="108"/>
              <w:rPr>
                <w:sz w:val="18"/>
              </w:rPr>
            </w:pPr>
            <w:r>
              <w:rPr>
                <w:spacing w:val="-5"/>
                <w:sz w:val="18"/>
              </w:rPr>
              <w:t>4b</w:t>
            </w:r>
          </w:p>
        </w:tc>
        <w:tc>
          <w:tcPr>
            <w:tcW w:w="1133" w:type="dxa"/>
          </w:tcPr>
          <w:p>
            <w:pPr>
              <w:pStyle w:val="TableParagraph"/>
              <w:spacing w:before="35"/>
              <w:ind w:left="108"/>
              <w:rPr>
                <w:sz w:val="18"/>
              </w:rPr>
            </w:pPr>
            <w:r>
              <w:rPr>
                <w:spacing w:val="-5"/>
                <w:sz w:val="18"/>
              </w:rPr>
              <w:t>任何</w:t>
            </w:r>
          </w:p>
        </w:tc>
        <w:tc>
          <w:tcPr>
            <w:tcW w:w="1268" w:type="dxa"/>
          </w:tcPr>
          <w:p>
            <w:pPr>
              <w:pStyle w:val="TableParagraph"/>
              <w:spacing w:before="35"/>
              <w:ind w:left="110"/>
              <w:rPr>
                <w:sz w:val="18"/>
              </w:rPr>
            </w:pPr>
            <w:r>
              <w:rPr>
                <w:sz w:val="18"/>
              </w:rPr>
              <w:t>0</w:t>
            </w:r>
          </w:p>
        </w:tc>
      </w:tr>
      <w:tr>
        <w:trPr>
          <w:trHeight w:val="311" w:hRule="atLeast"/>
        </w:trPr>
        <w:tc>
          <w:tcPr>
            <w:tcW w:w="1418" w:type="dxa"/>
          </w:tcPr>
          <w:p>
            <w:pPr>
              <w:pStyle w:val="TableParagraph"/>
              <w:spacing w:before="32"/>
              <w:ind w:left="110"/>
              <w:rPr>
                <w:sz w:val="18"/>
              </w:rPr>
            </w:pPr>
            <w:r>
              <w:rPr>
                <w:sz w:val="18"/>
              </w:rPr>
              <w:t>ⅣC</w:t>
            </w:r>
            <w:r>
              <w:rPr>
                <w:spacing w:val="-27"/>
                <w:sz w:val="18"/>
              </w:rPr>
              <w:t> 期</w:t>
            </w:r>
          </w:p>
        </w:tc>
        <w:tc>
          <w:tcPr>
            <w:tcW w:w="1234" w:type="dxa"/>
          </w:tcPr>
          <w:p>
            <w:pPr>
              <w:pStyle w:val="TableParagraph"/>
              <w:spacing w:before="32"/>
              <w:ind w:left="108"/>
              <w:rPr>
                <w:sz w:val="18"/>
              </w:rPr>
            </w:pPr>
            <w:r>
              <w:rPr>
                <w:spacing w:val="-5"/>
                <w:sz w:val="18"/>
              </w:rPr>
              <w:t>任何</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1</w:t>
            </w:r>
          </w:p>
        </w:tc>
      </w:tr>
      <w:tr>
        <w:trPr>
          <w:trHeight w:val="311" w:hRule="atLeast"/>
        </w:trPr>
        <w:tc>
          <w:tcPr>
            <w:tcW w:w="5053" w:type="dxa"/>
            <w:gridSpan w:val="4"/>
          </w:tcPr>
          <w:p>
            <w:pPr>
              <w:pStyle w:val="TableParagraph"/>
              <w:spacing w:before="32"/>
              <w:ind w:left="110"/>
              <w:rPr>
                <w:sz w:val="18"/>
              </w:rPr>
            </w:pPr>
            <w:r>
              <w:rPr>
                <w:sz w:val="18"/>
              </w:rPr>
              <w:t>未分化癌（所有年龄组</w:t>
            </w:r>
            <w:r>
              <w:rPr>
                <w:spacing w:val="-10"/>
                <w:sz w:val="18"/>
              </w:rPr>
              <w:t>）</w:t>
            </w:r>
          </w:p>
        </w:tc>
      </w:tr>
      <w:tr>
        <w:trPr>
          <w:trHeight w:val="311" w:hRule="atLeast"/>
        </w:trPr>
        <w:tc>
          <w:tcPr>
            <w:tcW w:w="1418" w:type="dxa"/>
          </w:tcPr>
          <w:p>
            <w:pPr>
              <w:pStyle w:val="TableParagraph"/>
              <w:spacing w:before="32"/>
              <w:ind w:left="110"/>
              <w:rPr>
                <w:sz w:val="18"/>
              </w:rPr>
            </w:pPr>
            <w:r>
              <w:rPr>
                <w:sz w:val="18"/>
              </w:rPr>
              <w:t>ⅣA</w:t>
            </w:r>
            <w:r>
              <w:rPr>
                <w:spacing w:val="-27"/>
                <w:sz w:val="18"/>
              </w:rPr>
              <w:t> 期</w:t>
            </w:r>
          </w:p>
        </w:tc>
        <w:tc>
          <w:tcPr>
            <w:tcW w:w="1234" w:type="dxa"/>
          </w:tcPr>
          <w:p>
            <w:pPr>
              <w:pStyle w:val="TableParagraph"/>
              <w:spacing w:before="32"/>
              <w:ind w:left="108"/>
              <w:rPr>
                <w:sz w:val="18"/>
              </w:rPr>
            </w:pPr>
            <w:r>
              <w:rPr>
                <w:spacing w:val="-4"/>
                <w:sz w:val="18"/>
              </w:rPr>
              <w:t>1～3a</w:t>
            </w:r>
          </w:p>
        </w:tc>
        <w:tc>
          <w:tcPr>
            <w:tcW w:w="1133" w:type="dxa"/>
          </w:tcPr>
          <w:p>
            <w:pPr>
              <w:pStyle w:val="TableParagraph"/>
              <w:spacing w:before="32"/>
              <w:ind w:left="108"/>
              <w:rPr>
                <w:sz w:val="18"/>
              </w:rPr>
            </w:pPr>
            <w:r>
              <w:rPr>
                <w:spacing w:val="-5"/>
                <w:sz w:val="18"/>
              </w:rPr>
              <w:t>0/x</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spacing w:before="32"/>
              <w:ind w:left="110"/>
              <w:rPr>
                <w:sz w:val="18"/>
              </w:rPr>
            </w:pPr>
            <w:r>
              <w:rPr>
                <w:sz w:val="18"/>
              </w:rPr>
              <w:t>ⅣB</w:t>
            </w:r>
            <w:r>
              <w:rPr>
                <w:spacing w:val="-27"/>
                <w:sz w:val="18"/>
              </w:rPr>
              <w:t> 期</w:t>
            </w:r>
          </w:p>
        </w:tc>
        <w:tc>
          <w:tcPr>
            <w:tcW w:w="1234" w:type="dxa"/>
          </w:tcPr>
          <w:p>
            <w:pPr>
              <w:pStyle w:val="TableParagraph"/>
              <w:spacing w:before="32"/>
              <w:ind w:left="108"/>
              <w:rPr>
                <w:sz w:val="18"/>
              </w:rPr>
            </w:pPr>
            <w:r>
              <w:rPr>
                <w:spacing w:val="-4"/>
                <w:sz w:val="18"/>
              </w:rPr>
              <w:t>1～3a</w:t>
            </w:r>
          </w:p>
        </w:tc>
        <w:tc>
          <w:tcPr>
            <w:tcW w:w="1133" w:type="dxa"/>
          </w:tcPr>
          <w:p>
            <w:pPr>
              <w:pStyle w:val="TableParagraph"/>
              <w:spacing w:before="32"/>
              <w:ind w:left="108"/>
              <w:rPr>
                <w:sz w:val="18"/>
              </w:rPr>
            </w:pPr>
            <w:r>
              <w:rPr>
                <w:sz w:val="18"/>
              </w:rPr>
              <w:t>1</w:t>
            </w:r>
          </w:p>
        </w:tc>
        <w:tc>
          <w:tcPr>
            <w:tcW w:w="1268" w:type="dxa"/>
          </w:tcPr>
          <w:p>
            <w:pPr>
              <w:pStyle w:val="TableParagraph"/>
              <w:spacing w:before="32"/>
              <w:ind w:left="110"/>
              <w:rPr>
                <w:sz w:val="18"/>
              </w:rPr>
            </w:pPr>
            <w:r>
              <w:rPr>
                <w:sz w:val="18"/>
              </w:rPr>
              <w:t>0</w:t>
            </w:r>
          </w:p>
        </w:tc>
      </w:tr>
      <w:tr>
        <w:trPr>
          <w:trHeight w:val="311" w:hRule="atLeast"/>
        </w:trPr>
        <w:tc>
          <w:tcPr>
            <w:tcW w:w="1418" w:type="dxa"/>
          </w:tcPr>
          <w:p>
            <w:pPr>
              <w:pStyle w:val="TableParagraph"/>
              <w:rPr>
                <w:rFonts w:ascii="Times New Roman"/>
                <w:sz w:val="20"/>
              </w:rPr>
            </w:pPr>
          </w:p>
        </w:tc>
        <w:tc>
          <w:tcPr>
            <w:tcW w:w="1234" w:type="dxa"/>
          </w:tcPr>
          <w:p>
            <w:pPr>
              <w:pStyle w:val="TableParagraph"/>
              <w:spacing w:before="32"/>
              <w:ind w:left="108"/>
              <w:rPr>
                <w:sz w:val="18"/>
              </w:rPr>
            </w:pPr>
            <w:r>
              <w:rPr>
                <w:spacing w:val="-4"/>
                <w:sz w:val="18"/>
              </w:rPr>
              <w:t>3b～4</w:t>
            </w:r>
          </w:p>
        </w:tc>
        <w:tc>
          <w:tcPr>
            <w:tcW w:w="1133" w:type="dxa"/>
          </w:tcPr>
          <w:p>
            <w:pPr>
              <w:pStyle w:val="TableParagraph"/>
              <w:spacing w:before="32"/>
              <w:ind w:left="108"/>
              <w:rPr>
                <w:sz w:val="18"/>
              </w:rPr>
            </w:pPr>
            <w:r>
              <w:rPr>
                <w:spacing w:val="-5"/>
                <w:sz w:val="18"/>
              </w:rPr>
              <w:t>任何</w:t>
            </w:r>
          </w:p>
        </w:tc>
        <w:tc>
          <w:tcPr>
            <w:tcW w:w="1268" w:type="dxa"/>
          </w:tcPr>
          <w:p>
            <w:pPr>
              <w:pStyle w:val="TableParagraph"/>
              <w:spacing w:before="32"/>
              <w:ind w:left="110"/>
              <w:rPr>
                <w:sz w:val="18"/>
              </w:rPr>
            </w:pPr>
            <w:r>
              <w:rPr>
                <w:sz w:val="18"/>
              </w:rPr>
              <w:t>0</w:t>
            </w:r>
          </w:p>
        </w:tc>
      </w:tr>
      <w:tr>
        <w:trPr>
          <w:trHeight w:val="314" w:hRule="atLeast"/>
        </w:trPr>
        <w:tc>
          <w:tcPr>
            <w:tcW w:w="1418" w:type="dxa"/>
          </w:tcPr>
          <w:p>
            <w:pPr>
              <w:pStyle w:val="TableParagraph"/>
              <w:spacing w:before="35"/>
              <w:ind w:left="110"/>
              <w:rPr>
                <w:sz w:val="18"/>
              </w:rPr>
            </w:pPr>
            <w:r>
              <w:rPr>
                <w:sz w:val="18"/>
              </w:rPr>
              <w:t>ⅣC</w:t>
            </w:r>
            <w:r>
              <w:rPr>
                <w:spacing w:val="-27"/>
                <w:sz w:val="18"/>
              </w:rPr>
              <w:t> 期</w:t>
            </w:r>
          </w:p>
        </w:tc>
        <w:tc>
          <w:tcPr>
            <w:tcW w:w="1234" w:type="dxa"/>
          </w:tcPr>
          <w:p>
            <w:pPr>
              <w:pStyle w:val="TableParagraph"/>
              <w:spacing w:before="35"/>
              <w:ind w:left="108"/>
              <w:rPr>
                <w:sz w:val="18"/>
              </w:rPr>
            </w:pPr>
            <w:r>
              <w:rPr>
                <w:spacing w:val="-5"/>
                <w:sz w:val="18"/>
              </w:rPr>
              <w:t>任何</w:t>
            </w:r>
          </w:p>
        </w:tc>
        <w:tc>
          <w:tcPr>
            <w:tcW w:w="1133" w:type="dxa"/>
          </w:tcPr>
          <w:p>
            <w:pPr>
              <w:pStyle w:val="TableParagraph"/>
              <w:spacing w:before="35"/>
              <w:ind w:left="108"/>
              <w:rPr>
                <w:sz w:val="18"/>
              </w:rPr>
            </w:pPr>
            <w:r>
              <w:rPr>
                <w:spacing w:val="-5"/>
                <w:sz w:val="18"/>
              </w:rPr>
              <w:t>任何</w:t>
            </w:r>
          </w:p>
        </w:tc>
        <w:tc>
          <w:tcPr>
            <w:tcW w:w="1268" w:type="dxa"/>
          </w:tcPr>
          <w:p>
            <w:pPr>
              <w:pStyle w:val="TableParagraph"/>
              <w:spacing w:before="35"/>
              <w:ind w:left="110"/>
              <w:rPr>
                <w:sz w:val="18"/>
              </w:rPr>
            </w:pPr>
            <w:r>
              <w:rPr>
                <w:sz w:val="18"/>
              </w:rPr>
              <w:t>1</w:t>
            </w:r>
          </w:p>
        </w:tc>
      </w:tr>
    </w:tbl>
    <w:p>
      <w:pPr>
        <w:spacing w:before="47"/>
        <w:ind w:left="2946" w:right="0" w:firstLine="0"/>
        <w:jc w:val="left"/>
        <w:rPr>
          <w:sz w:val="18"/>
        </w:rPr>
      </w:pPr>
      <w:r>
        <w:rPr>
          <w:spacing w:val="-1"/>
          <w:sz w:val="18"/>
        </w:rPr>
        <w:t>注：以上表格中“年龄”指患者病理组织标本获取日期时的年龄。</w:t>
      </w:r>
    </w:p>
    <w:p>
      <w:pPr>
        <w:pStyle w:val="BodyText"/>
        <w:spacing w:before="6"/>
        <w:rPr>
          <w:sz w:val="17"/>
        </w:rPr>
      </w:pPr>
    </w:p>
    <w:p>
      <w:pPr>
        <w:pStyle w:val="ListParagraph"/>
        <w:numPr>
          <w:ilvl w:val="1"/>
          <w:numId w:val="39"/>
        </w:numPr>
        <w:tabs>
          <w:tab w:pos="1006" w:val="left" w:leader="none"/>
          <w:tab w:pos="1007" w:val="left" w:leader="none"/>
          <w:tab w:pos="2946" w:val="left" w:leader="none"/>
        </w:tabs>
        <w:spacing w:line="240" w:lineRule="auto" w:before="0" w:after="0"/>
        <w:ind w:left="1006" w:right="0" w:hanging="747"/>
        <w:jc w:val="left"/>
        <w:rPr>
          <w:sz w:val="21"/>
        </w:rPr>
      </w:pPr>
      <w:r>
        <w:rPr>
          <w:rFonts w:ascii="微软雅黑" w:eastAsia="微软雅黑"/>
          <w:b/>
          <w:sz w:val="21"/>
        </w:rPr>
        <w:t>肢</w:t>
      </w:r>
      <w:r>
        <w:rPr>
          <w:rFonts w:ascii="微软雅黑" w:eastAsia="微软雅黑"/>
          <w:b/>
          <w:spacing w:val="-10"/>
          <w:sz w:val="21"/>
        </w:rPr>
        <w:t>体</w:t>
      </w:r>
      <w:r>
        <w:rPr>
          <w:rFonts w:ascii="微软雅黑" w:eastAsia="微软雅黑"/>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ListParagraph"/>
        <w:numPr>
          <w:ilvl w:val="1"/>
          <w:numId w:val="39"/>
        </w:numPr>
        <w:tabs>
          <w:tab w:pos="1006" w:val="left" w:leader="none"/>
          <w:tab w:pos="1007" w:val="left" w:leader="none"/>
          <w:tab w:pos="2946" w:val="left" w:leader="none"/>
        </w:tabs>
        <w:spacing w:line="235" w:lineRule="auto" w:before="158" w:after="0"/>
        <w:ind w:left="2946" w:right="2733" w:hanging="2687"/>
        <w:jc w:val="left"/>
        <w:rPr>
          <w:sz w:val="21"/>
        </w:rPr>
      </w:pPr>
      <w:r>
        <w:rPr>
          <w:rFonts w:ascii="微软雅黑" w:eastAsia="微软雅黑"/>
          <w:b/>
          <w:spacing w:val="-6"/>
          <w:sz w:val="21"/>
        </w:rPr>
        <w:t>肌</w:t>
      </w:r>
      <w:r>
        <w:rPr>
          <w:rFonts w:ascii="微软雅黑" w:eastAsia="微软雅黑"/>
          <w:b/>
          <w:spacing w:val="-6"/>
          <w:sz w:val="21"/>
        </w:rPr>
        <w:t>力</w:t>
      </w:r>
      <w:r>
        <w:rPr>
          <w:rFonts w:ascii="微软雅黑" w:eastAsia="微软雅黑"/>
          <w:b/>
          <w:sz w:val="21"/>
        </w:rPr>
        <w:tab/>
      </w:r>
      <w:r>
        <w:rPr>
          <w:sz w:val="21"/>
        </w:rPr>
        <w:t>指肌肉收缩时的力量。肌</w:t>
      </w:r>
      <w:r>
        <w:rPr>
          <w:sz w:val="21"/>
        </w:rPr>
        <w:t>力划分为</w:t>
      </w:r>
      <w:r>
        <w:rPr>
          <w:spacing w:val="-52"/>
          <w:sz w:val="21"/>
        </w:rPr>
        <w:t> </w:t>
      </w:r>
      <w:r>
        <w:rPr>
          <w:sz w:val="21"/>
        </w:rPr>
        <w:t>0-5</w:t>
      </w:r>
      <w:r>
        <w:rPr>
          <w:spacing w:val="-27"/>
          <w:sz w:val="21"/>
        </w:rPr>
        <w:t> </w:t>
      </w:r>
      <w:r>
        <w:rPr>
          <w:sz w:val="21"/>
        </w:rPr>
        <w:t>级，具体为</w:t>
      </w:r>
      <w:r>
        <w:rPr>
          <w:sz w:val="21"/>
        </w:rPr>
        <w:t>： 0</w:t>
      </w:r>
      <w:r>
        <w:rPr>
          <w:spacing w:val="-42"/>
          <w:sz w:val="21"/>
        </w:rPr>
        <w:t> </w:t>
      </w:r>
      <w:r>
        <w:rPr>
          <w:sz w:val="21"/>
        </w:rPr>
        <w:t>级：肌肉完全瘫痪，毫</w:t>
      </w:r>
      <w:r>
        <w:rPr>
          <w:sz w:val="21"/>
        </w:rPr>
        <w:t>无收缩。</w:t>
      </w:r>
    </w:p>
    <w:p>
      <w:pPr>
        <w:pStyle w:val="ListParagraph"/>
        <w:numPr>
          <w:ilvl w:val="2"/>
          <w:numId w:val="39"/>
        </w:numPr>
        <w:tabs>
          <w:tab w:pos="3105" w:val="left" w:leader="none"/>
        </w:tabs>
        <w:spacing w:line="240" w:lineRule="auto" w:before="43" w:after="0"/>
        <w:ind w:left="3105" w:right="0" w:hanging="159"/>
        <w:jc w:val="left"/>
        <w:rPr>
          <w:sz w:val="21"/>
        </w:rPr>
      </w:pPr>
      <w:r>
        <w:rPr>
          <w:spacing w:val="-3"/>
          <w:sz w:val="21"/>
        </w:rPr>
        <w:t>级：可看到或者触及肌肉轻微收缩，但不能产生动作。</w:t>
      </w:r>
    </w:p>
    <w:p>
      <w:pPr>
        <w:pStyle w:val="ListParagraph"/>
        <w:numPr>
          <w:ilvl w:val="2"/>
          <w:numId w:val="39"/>
        </w:numPr>
        <w:tabs>
          <w:tab w:pos="3105" w:val="left" w:leader="none"/>
        </w:tabs>
        <w:spacing w:line="278" w:lineRule="auto" w:before="43" w:after="0"/>
        <w:ind w:left="3525" w:right="524" w:hanging="579"/>
        <w:jc w:val="left"/>
        <w:rPr>
          <w:sz w:val="21"/>
        </w:rPr>
      </w:pPr>
      <w:r>
        <w:rPr>
          <w:spacing w:val="-2"/>
          <w:sz w:val="21"/>
        </w:rPr>
        <w:t>级：肌肉在不受重力影响下，可进行运动，即肢体能在床面上移动，但不能</w:t>
      </w:r>
      <w:r>
        <w:rPr>
          <w:spacing w:val="-4"/>
          <w:sz w:val="21"/>
        </w:rPr>
        <w:t>抬高。</w:t>
      </w:r>
    </w:p>
    <w:p>
      <w:pPr>
        <w:pStyle w:val="ListParagraph"/>
        <w:numPr>
          <w:ilvl w:val="2"/>
          <w:numId w:val="39"/>
        </w:numPr>
        <w:tabs>
          <w:tab w:pos="3105" w:val="left" w:leader="none"/>
        </w:tabs>
        <w:spacing w:line="269" w:lineRule="exact" w:before="0" w:after="0"/>
        <w:ind w:left="3105" w:right="0" w:hanging="159"/>
        <w:jc w:val="left"/>
        <w:rPr>
          <w:sz w:val="21"/>
        </w:rPr>
      </w:pPr>
      <w:r>
        <w:rPr>
          <w:spacing w:val="-3"/>
          <w:sz w:val="21"/>
        </w:rPr>
        <w:t>级：在和地心引力相反的方向中尚能完成其动作，但不能对抗外加阻力。</w:t>
      </w:r>
    </w:p>
    <w:p>
      <w:pPr>
        <w:pStyle w:val="ListParagraph"/>
        <w:numPr>
          <w:ilvl w:val="2"/>
          <w:numId w:val="39"/>
        </w:numPr>
        <w:tabs>
          <w:tab w:pos="3105" w:val="left" w:leader="none"/>
        </w:tabs>
        <w:spacing w:line="240" w:lineRule="auto" w:before="43" w:after="0"/>
        <w:ind w:left="3105" w:right="0" w:hanging="159"/>
        <w:jc w:val="left"/>
        <w:rPr>
          <w:sz w:val="21"/>
        </w:rPr>
      </w:pPr>
      <w:r>
        <w:rPr>
          <w:spacing w:val="-3"/>
          <w:sz w:val="21"/>
        </w:rPr>
        <w:t>级：能对抗一定的阻力，但较正常人为低。</w:t>
      </w:r>
    </w:p>
    <w:p>
      <w:pPr>
        <w:pStyle w:val="ListParagraph"/>
        <w:numPr>
          <w:ilvl w:val="2"/>
          <w:numId w:val="39"/>
        </w:numPr>
        <w:tabs>
          <w:tab w:pos="3105" w:val="left" w:leader="none"/>
        </w:tabs>
        <w:spacing w:line="240" w:lineRule="auto" w:before="43" w:after="0"/>
        <w:ind w:left="3105" w:right="0" w:hanging="159"/>
        <w:jc w:val="left"/>
        <w:rPr>
          <w:sz w:val="21"/>
        </w:rPr>
      </w:pPr>
      <w:r>
        <w:rPr>
          <w:spacing w:val="-4"/>
          <w:sz w:val="21"/>
        </w:rPr>
        <w:t>级：正常肌力。</w:t>
      </w:r>
    </w:p>
    <w:p>
      <w:pPr>
        <w:pStyle w:val="BodyText"/>
        <w:spacing w:before="7"/>
        <w:rPr>
          <w:sz w:val="15"/>
        </w:rPr>
      </w:pPr>
    </w:p>
    <w:p>
      <w:pPr>
        <w:spacing w:after="0"/>
        <w:rPr>
          <w:sz w:val="15"/>
        </w:rPr>
        <w:sectPr>
          <w:pgSz w:w="11910" w:h="16840"/>
          <w:pgMar w:header="0" w:footer="401" w:top="1120" w:bottom="600" w:left="760" w:right="580"/>
        </w:sectPr>
      </w:pPr>
    </w:p>
    <w:p>
      <w:pPr>
        <w:pStyle w:val="Heading2"/>
        <w:numPr>
          <w:ilvl w:val="1"/>
          <w:numId w:val="39"/>
        </w:numPr>
        <w:tabs>
          <w:tab w:pos="1006" w:val="left" w:leader="none"/>
          <w:tab w:pos="1007" w:val="left" w:leader="none"/>
        </w:tabs>
        <w:spacing w:line="350" w:lineRule="exact" w:before="5" w:after="0"/>
        <w:ind w:left="1006" w:right="0" w:hanging="747"/>
        <w:jc w:val="left"/>
      </w:pPr>
      <w:r>
        <w:rPr>
          <w:spacing w:val="-2"/>
        </w:rPr>
        <w:t>语言能力完全丧</w:t>
      </w:r>
    </w:p>
    <w:p>
      <w:pPr>
        <w:spacing w:line="194" w:lineRule="auto" w:before="15"/>
        <w:ind w:left="1006" w:right="0" w:firstLine="0"/>
        <w:jc w:val="left"/>
        <w:rPr>
          <w:rFonts w:ascii="微软雅黑" w:eastAsia="微软雅黑"/>
          <w:b/>
          <w:sz w:val="21"/>
        </w:rPr>
      </w:pPr>
      <w:r>
        <w:rPr>
          <w:rFonts w:ascii="微软雅黑" w:eastAsia="微软雅黑"/>
          <w:b/>
          <w:spacing w:val="-2"/>
          <w:sz w:val="21"/>
        </w:rPr>
        <w:t>失，或严重咀嚼吞</w:t>
      </w:r>
      <w:r>
        <w:rPr>
          <w:rFonts w:ascii="微软雅黑" w:eastAsia="微软雅黑"/>
          <w:b/>
          <w:spacing w:val="-2"/>
          <w:sz w:val="21"/>
        </w:rPr>
        <w:t>咽功能障碍</w:t>
      </w:r>
    </w:p>
    <w:p>
      <w:pPr>
        <w:pStyle w:val="BodyText"/>
        <w:spacing w:line="278" w:lineRule="auto" w:before="72"/>
        <w:ind w:left="210" w:right="330"/>
      </w:pPr>
      <w:r>
        <w:rPr/>
        <w:br w:type="column"/>
      </w:r>
      <w:r>
        <w:rPr>
          <w:spacing w:val="-3"/>
          <w:w w:val="100"/>
        </w:rPr>
        <w:t>语言能力完全丧失，指无法发出四种语音</w:t>
      </w:r>
      <w:r>
        <w:rPr>
          <w:w w:val="100"/>
        </w:rPr>
        <w:t>（</w:t>
      </w:r>
      <w:r>
        <w:rPr>
          <w:spacing w:val="-3"/>
          <w:w w:val="100"/>
        </w:rPr>
        <w:t>包括口唇音、齿舌音、口盖音和喉头音</w:t>
      </w:r>
      <w:r>
        <w:rPr>
          <w:spacing w:val="-22"/>
          <w:w w:val="100"/>
        </w:rPr>
        <w:t>）</w:t>
      </w:r>
      <w:r>
        <w:rPr>
          <w:spacing w:val="-8"/>
          <w:w w:val="100"/>
        </w:rPr>
        <w:t>中的任何三种、或声带全部切除，或因大脑语言中枢受伤害而患失语症。</w:t>
      </w:r>
      <w:r>
        <w:rPr>
          <w:spacing w:val="-5"/>
          <w:w w:val="100"/>
        </w:rPr>
        <w:t>严重咀嚼吞咽功能障碍，指因牙齿以外的原因导致器质障碍或机能障碍，以致</w:t>
      </w:r>
      <w:r>
        <w:rPr>
          <w:spacing w:val="-4"/>
          <w:w w:val="100"/>
        </w:rPr>
        <w:t>不能作咀嚼吞咽运动，除流质食物外不能摄取或吞咽的状态。</w:t>
      </w:r>
    </w:p>
    <w:p>
      <w:pPr>
        <w:spacing w:after="0" w:line="278" w:lineRule="auto"/>
        <w:sectPr>
          <w:type w:val="continuous"/>
          <w:pgSz w:w="11910" w:h="16840"/>
          <w:pgMar w:header="0" w:footer="401" w:top="600" w:bottom="280" w:left="760" w:right="580"/>
          <w:cols w:num="2" w:equalWidth="0">
            <w:col w:w="2697" w:space="40"/>
            <w:col w:w="7833"/>
          </w:cols>
        </w:sectPr>
      </w:pPr>
    </w:p>
    <w:p>
      <w:pPr>
        <w:pStyle w:val="BodyText"/>
        <w:rPr>
          <w:sz w:val="12"/>
        </w:rPr>
      </w:pPr>
    </w:p>
    <w:p>
      <w:pPr>
        <w:spacing w:after="0"/>
        <w:rPr>
          <w:sz w:val="12"/>
        </w:rPr>
        <w:sectPr>
          <w:type w:val="continuous"/>
          <w:pgSz w:w="11910" w:h="16840"/>
          <w:pgMar w:header="0" w:footer="401" w:top="600" w:bottom="280" w:left="760" w:right="580"/>
        </w:sectPr>
      </w:pPr>
    </w:p>
    <w:p>
      <w:pPr>
        <w:pStyle w:val="Heading2"/>
        <w:numPr>
          <w:ilvl w:val="1"/>
          <w:numId w:val="39"/>
        </w:numPr>
        <w:tabs>
          <w:tab w:pos="1006" w:val="left" w:leader="none"/>
          <w:tab w:pos="1007" w:val="left" w:leader="none"/>
        </w:tabs>
        <w:spacing w:line="350" w:lineRule="exact" w:before="4" w:after="0"/>
        <w:ind w:left="1006" w:right="0" w:hanging="747"/>
        <w:jc w:val="left"/>
      </w:pPr>
      <w:r>
        <w:rPr>
          <w:spacing w:val="-2"/>
        </w:rPr>
        <w:t>六项基本日常生活</w:t>
      </w:r>
    </w:p>
    <w:p>
      <w:pPr>
        <w:spacing w:line="350" w:lineRule="exact" w:before="0"/>
        <w:ind w:left="1006" w:right="0" w:firstLine="0"/>
        <w:jc w:val="left"/>
        <w:rPr>
          <w:rFonts w:ascii="微软雅黑" w:eastAsia="微软雅黑"/>
          <w:b/>
          <w:sz w:val="21"/>
        </w:rPr>
      </w:pPr>
      <w:r>
        <w:rPr>
          <w:rFonts w:ascii="微软雅黑" w:eastAsia="微软雅黑"/>
          <w:b/>
          <w:spacing w:val="-5"/>
          <w:sz w:val="21"/>
        </w:rPr>
        <w:t>活动</w:t>
      </w:r>
    </w:p>
    <w:p>
      <w:pPr>
        <w:pStyle w:val="BodyText"/>
        <w:spacing w:before="72"/>
        <w:ind w:left="210"/>
      </w:pPr>
      <w:r>
        <w:rPr/>
        <w:br w:type="column"/>
      </w:r>
      <w:r>
        <w:rPr>
          <w:spacing w:val="-3"/>
        </w:rPr>
        <w:t>六项基本日常生活活动是指</w:t>
      </w:r>
    </w:p>
    <w:p>
      <w:pPr>
        <w:pStyle w:val="ListParagraph"/>
        <w:numPr>
          <w:ilvl w:val="0"/>
          <w:numId w:val="40"/>
        </w:numPr>
        <w:tabs>
          <w:tab w:pos="740" w:val="left" w:leader="none"/>
        </w:tabs>
        <w:spacing w:line="240" w:lineRule="auto" w:before="42" w:after="0"/>
        <w:ind w:left="739" w:right="0" w:hanging="530"/>
        <w:jc w:val="left"/>
        <w:rPr>
          <w:sz w:val="21"/>
        </w:rPr>
      </w:pPr>
      <w:r>
        <w:rPr>
          <w:spacing w:val="-3"/>
          <w:sz w:val="21"/>
        </w:rPr>
        <w:t>穿衣：自己能够穿衣及脱衣；</w:t>
      </w:r>
    </w:p>
    <w:p>
      <w:pPr>
        <w:pStyle w:val="ListParagraph"/>
        <w:numPr>
          <w:ilvl w:val="0"/>
          <w:numId w:val="40"/>
        </w:numPr>
        <w:tabs>
          <w:tab w:pos="740" w:val="left" w:leader="none"/>
        </w:tabs>
        <w:spacing w:line="240" w:lineRule="auto" w:before="43" w:after="0"/>
        <w:ind w:left="739" w:right="0" w:hanging="530"/>
        <w:jc w:val="left"/>
        <w:rPr>
          <w:sz w:val="21"/>
        </w:rPr>
      </w:pPr>
      <w:r>
        <w:rPr>
          <w:spacing w:val="-3"/>
          <w:sz w:val="21"/>
        </w:rPr>
        <w:t>移动：自己从一个房间到另一个房间；</w:t>
      </w:r>
    </w:p>
    <w:p>
      <w:pPr>
        <w:spacing w:after="0" w:line="240" w:lineRule="auto"/>
        <w:jc w:val="left"/>
        <w:rPr>
          <w:sz w:val="21"/>
        </w:rPr>
        <w:sectPr>
          <w:type w:val="continuous"/>
          <w:pgSz w:w="11910" w:h="16840"/>
          <w:pgMar w:header="0" w:footer="401" w:top="600" w:bottom="280" w:left="760" w:right="580"/>
          <w:cols w:num="2" w:equalWidth="0">
            <w:col w:w="2697" w:space="40"/>
            <w:col w:w="7833"/>
          </w:cols>
        </w:sectPr>
      </w:pPr>
    </w:p>
    <w:p>
      <w:pPr>
        <w:pStyle w:val="ListParagraph"/>
        <w:numPr>
          <w:ilvl w:val="0"/>
          <w:numId w:val="40"/>
        </w:numPr>
        <w:tabs>
          <w:tab w:pos="3476" w:val="left" w:leader="none"/>
        </w:tabs>
        <w:spacing w:line="240" w:lineRule="auto" w:before="57" w:after="0"/>
        <w:ind w:left="3475" w:right="0" w:hanging="530"/>
        <w:jc w:val="left"/>
        <w:rPr>
          <w:sz w:val="21"/>
        </w:rPr>
      </w:pPr>
      <w:r>
        <w:rPr>
          <w:spacing w:val="-3"/>
          <w:sz w:val="21"/>
        </w:rPr>
        <w:t>行动：自己上下床或上下轮椅；</w:t>
      </w:r>
    </w:p>
    <w:p>
      <w:pPr>
        <w:pStyle w:val="ListParagraph"/>
        <w:numPr>
          <w:ilvl w:val="0"/>
          <w:numId w:val="40"/>
        </w:numPr>
        <w:tabs>
          <w:tab w:pos="3476" w:val="left" w:leader="none"/>
        </w:tabs>
        <w:spacing w:line="240" w:lineRule="auto" w:before="43" w:after="0"/>
        <w:ind w:left="3475" w:right="0" w:hanging="530"/>
        <w:jc w:val="left"/>
        <w:rPr>
          <w:sz w:val="21"/>
        </w:rPr>
      </w:pPr>
      <w:r>
        <w:rPr>
          <w:spacing w:val="-3"/>
          <w:sz w:val="21"/>
        </w:rPr>
        <w:t>如厕：自己控制进行大小便；</w:t>
      </w:r>
    </w:p>
    <w:p>
      <w:pPr>
        <w:pStyle w:val="ListParagraph"/>
        <w:numPr>
          <w:ilvl w:val="0"/>
          <w:numId w:val="40"/>
        </w:numPr>
        <w:tabs>
          <w:tab w:pos="3476" w:val="left" w:leader="none"/>
        </w:tabs>
        <w:spacing w:line="240" w:lineRule="auto" w:before="43" w:after="0"/>
        <w:ind w:left="3475" w:right="0" w:hanging="530"/>
        <w:jc w:val="left"/>
        <w:rPr>
          <w:sz w:val="21"/>
        </w:rPr>
      </w:pPr>
      <w:r>
        <w:rPr>
          <w:spacing w:val="-3"/>
          <w:sz w:val="21"/>
        </w:rPr>
        <w:t>进食：自己从已准备好的碗或碟中取食物放入口中；</w:t>
      </w:r>
    </w:p>
    <w:p>
      <w:pPr>
        <w:pStyle w:val="ListParagraph"/>
        <w:numPr>
          <w:ilvl w:val="0"/>
          <w:numId w:val="40"/>
        </w:numPr>
        <w:tabs>
          <w:tab w:pos="3476" w:val="left" w:leader="none"/>
        </w:tabs>
        <w:spacing w:line="257" w:lineRule="exact" w:before="43" w:after="0"/>
        <w:ind w:left="3475" w:right="0" w:hanging="530"/>
        <w:jc w:val="left"/>
        <w:rPr>
          <w:sz w:val="21"/>
        </w:rPr>
      </w:pPr>
      <w:r>
        <w:rPr>
          <w:spacing w:val="-3"/>
          <w:sz w:val="21"/>
        </w:rPr>
        <w:t>洗澡：自己进行淋浴或盆浴。</w:t>
      </w:r>
    </w:p>
    <w:p>
      <w:pPr>
        <w:pStyle w:val="Heading2"/>
        <w:spacing w:line="375" w:lineRule="exact"/>
        <w:ind w:left="2946"/>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活动能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66"/>
          <w:w w:val="150"/>
        </w:rPr>
        <w:t> </w:t>
      </w:r>
      <w:r>
        <w:rPr>
          <w:w w:val="95"/>
        </w:rPr>
        <w:t>0-3</w:t>
      </w:r>
      <w:r>
        <w:rPr>
          <w:spacing w:val="66"/>
          <w:w w:val="150"/>
        </w:rPr>
        <w:t> </w:t>
      </w:r>
      <w:r>
        <w:rPr>
          <w:w w:val="95"/>
        </w:rPr>
        <w:t>周</w:t>
      </w:r>
      <w:r>
        <w:rPr>
          <w:w w:val="95"/>
        </w:rPr>
        <w:t>岁</w:t>
      </w:r>
      <w:r>
        <w:rPr>
          <w:w w:val="95"/>
        </w:rPr>
        <w:t>幼</w:t>
      </w:r>
      <w:r>
        <w:rPr>
          <w:w w:val="95"/>
        </w:rPr>
        <w:t>儿</w:t>
      </w:r>
      <w:r>
        <w:rPr>
          <w:spacing w:val="-10"/>
          <w:w w:val="95"/>
        </w:rPr>
        <w:t>。</w:t>
      </w:r>
    </w:p>
    <w:p>
      <w:pPr>
        <w:pStyle w:val="ListParagraph"/>
        <w:numPr>
          <w:ilvl w:val="1"/>
          <w:numId w:val="39"/>
        </w:numPr>
        <w:tabs>
          <w:tab w:pos="1006" w:val="left" w:leader="none"/>
          <w:tab w:pos="1007" w:val="left" w:leader="none"/>
          <w:tab w:pos="2946" w:val="left" w:leader="none"/>
        </w:tabs>
        <w:spacing w:line="235" w:lineRule="auto" w:before="159" w:after="0"/>
        <w:ind w:left="2946" w:right="471" w:hanging="2687"/>
        <w:jc w:val="left"/>
        <w:rPr>
          <w:sz w:val="21"/>
        </w:rPr>
      </w:pPr>
      <w:r>
        <w:rPr>
          <w:rFonts w:ascii="微软雅黑" w:eastAsia="微软雅黑"/>
          <w:b/>
          <w:spacing w:val="-2"/>
          <w:sz w:val="21"/>
        </w:rPr>
        <w:t>永</w:t>
      </w:r>
      <w:r>
        <w:rPr>
          <w:rFonts w:ascii="微软雅黑" w:eastAsia="微软雅黑"/>
          <w:b/>
          <w:spacing w:val="-2"/>
          <w:sz w:val="21"/>
        </w:rPr>
        <w:t>久</w:t>
      </w:r>
      <w:r>
        <w:rPr>
          <w:rFonts w:ascii="微软雅黑" w:eastAsia="微软雅黑"/>
          <w:b/>
          <w:spacing w:val="-2"/>
          <w:sz w:val="21"/>
        </w:rPr>
        <w:t>不</w:t>
      </w:r>
      <w:r>
        <w:rPr>
          <w:rFonts w:ascii="微软雅黑" w:eastAsia="微软雅黑"/>
          <w:b/>
          <w:spacing w:val="-2"/>
          <w:sz w:val="21"/>
        </w:rPr>
        <w:t>可</w:t>
      </w:r>
      <w:r>
        <w:rPr>
          <w:rFonts w:ascii="微软雅黑" w:eastAsia="微软雅黑"/>
          <w:b/>
          <w:spacing w:val="-2"/>
          <w:sz w:val="21"/>
        </w:rPr>
        <w:t>逆</w:t>
      </w:r>
      <w:r>
        <w:rPr>
          <w:rFonts w:ascii="微软雅黑" w:eastAsia="微软雅黑"/>
          <w:b/>
          <w:sz w:val="21"/>
        </w:rPr>
        <w:tab/>
      </w:r>
      <w:r>
        <w:rPr>
          <w:sz w:val="21"/>
        </w:rPr>
        <w:t>指自疾病确诊或意外伤害</w:t>
      </w:r>
      <w:r>
        <w:rPr>
          <w:sz w:val="21"/>
        </w:rPr>
        <w:t>发生之日起，经过积极治疗</w:t>
      </w:r>
      <w:r>
        <w:rPr>
          <w:spacing w:val="-53"/>
          <w:sz w:val="21"/>
        </w:rPr>
        <w:t> </w:t>
      </w:r>
      <w:r>
        <w:rPr>
          <w:sz w:val="21"/>
        </w:rPr>
        <w:t>180</w:t>
      </w:r>
      <w:r>
        <w:rPr>
          <w:spacing w:val="-54"/>
          <w:sz w:val="21"/>
        </w:rPr>
        <w:t> </w:t>
      </w:r>
      <w:r>
        <w:rPr>
          <w:sz w:val="21"/>
        </w:rPr>
        <w:t>天后，仍无法通过现</w:t>
      </w:r>
      <w:r>
        <w:rPr>
          <w:spacing w:val="-2"/>
          <w:sz w:val="21"/>
        </w:rPr>
        <w:t>有</w:t>
      </w:r>
      <w:r>
        <w:rPr>
          <w:spacing w:val="-2"/>
          <w:sz w:val="21"/>
        </w:rPr>
        <w:t>医</w:t>
      </w:r>
      <w:r>
        <w:rPr>
          <w:spacing w:val="-2"/>
          <w:sz w:val="21"/>
        </w:rPr>
        <w:t>疗手段恢复。</w:t>
      </w:r>
    </w:p>
    <w:p>
      <w:pPr>
        <w:pStyle w:val="BodyText"/>
        <w:spacing w:before="6"/>
        <w:rPr>
          <w:sz w:val="15"/>
        </w:rPr>
      </w:pPr>
    </w:p>
    <w:p>
      <w:pPr>
        <w:spacing w:after="0"/>
        <w:rPr>
          <w:sz w:val="15"/>
        </w:rPr>
        <w:sectPr>
          <w:pgSz w:w="11910" w:h="16840"/>
          <w:pgMar w:header="0" w:footer="401" w:top="1080" w:bottom="600" w:left="760" w:right="580"/>
        </w:sectPr>
      </w:pPr>
    </w:p>
    <w:p>
      <w:pPr>
        <w:pStyle w:val="Heading2"/>
        <w:numPr>
          <w:ilvl w:val="1"/>
          <w:numId w:val="39"/>
        </w:numPr>
        <w:tabs>
          <w:tab w:pos="1006" w:val="left" w:leader="none"/>
          <w:tab w:pos="1007" w:val="left" w:leader="none"/>
        </w:tabs>
        <w:spacing w:line="350" w:lineRule="exact" w:before="5" w:after="0"/>
        <w:ind w:left="1006" w:right="0" w:hanging="747"/>
        <w:jc w:val="left"/>
      </w:pPr>
      <w:r>
        <w:rPr>
          <w:spacing w:val="-2"/>
        </w:rPr>
        <w:t>美国纽约心脏病学</w:t>
      </w:r>
    </w:p>
    <w:p>
      <w:pPr>
        <w:spacing w:line="194" w:lineRule="auto" w:before="15"/>
        <w:ind w:left="1006" w:right="0" w:firstLine="0"/>
        <w:jc w:val="left"/>
        <w:rPr>
          <w:rFonts w:ascii="微软雅黑" w:eastAsia="微软雅黑"/>
          <w:b/>
          <w:sz w:val="21"/>
        </w:rPr>
      </w:pPr>
      <w:r>
        <w:rPr>
          <w:rFonts w:ascii="微软雅黑" w:eastAsia="微软雅黑"/>
          <w:b/>
          <w:spacing w:val="-75"/>
          <w:w w:val="85"/>
          <w:sz w:val="21"/>
        </w:rPr>
        <w:t>会</w:t>
      </w:r>
      <w:r>
        <w:rPr>
          <w:rFonts w:ascii="微软雅黑" w:eastAsia="微软雅黑"/>
          <w:b/>
          <w:w w:val="85"/>
          <w:sz w:val="21"/>
        </w:rPr>
        <w:t>（New</w:t>
      </w:r>
      <w:r>
        <w:rPr>
          <w:rFonts w:ascii="微软雅黑" w:eastAsia="微软雅黑"/>
          <w:b/>
          <w:spacing w:val="-7"/>
          <w:w w:val="85"/>
          <w:sz w:val="21"/>
        </w:rPr>
        <w:t> </w:t>
      </w:r>
      <w:r>
        <w:rPr>
          <w:rFonts w:ascii="微软雅黑" w:eastAsia="微软雅黑"/>
          <w:b/>
          <w:w w:val="85"/>
          <w:sz w:val="21"/>
        </w:rPr>
        <w:t>York</w:t>
      </w:r>
      <w:r>
        <w:rPr>
          <w:rFonts w:ascii="微软雅黑" w:eastAsia="微软雅黑"/>
          <w:b/>
          <w:spacing w:val="-6"/>
          <w:w w:val="85"/>
          <w:sz w:val="21"/>
        </w:rPr>
        <w:t> </w:t>
      </w:r>
      <w:r>
        <w:rPr>
          <w:rFonts w:ascii="微软雅黑" w:eastAsia="微软雅黑"/>
          <w:b/>
          <w:w w:val="85"/>
          <w:sz w:val="21"/>
        </w:rPr>
        <w:t>Heart </w:t>
      </w:r>
      <w:r>
        <w:rPr>
          <w:rFonts w:ascii="微软雅黑" w:eastAsia="微软雅黑"/>
          <w:b/>
          <w:spacing w:val="-2"/>
          <w:sz w:val="21"/>
        </w:rPr>
        <w:t>Association， </w:t>
      </w:r>
      <w:r>
        <w:rPr>
          <w:rFonts w:ascii="微软雅黑" w:eastAsia="微软雅黑"/>
          <w:b/>
          <w:spacing w:val="-2"/>
          <w:w w:val="90"/>
          <w:sz w:val="21"/>
        </w:rPr>
        <w:t>NYHA）</w:t>
      </w:r>
      <w:r>
        <w:rPr>
          <w:rFonts w:ascii="微软雅黑" w:eastAsia="微软雅黑"/>
          <w:b/>
          <w:spacing w:val="-2"/>
          <w:w w:val="90"/>
          <w:sz w:val="21"/>
        </w:rPr>
        <w:t>心</w:t>
      </w:r>
      <w:r>
        <w:rPr>
          <w:rFonts w:ascii="微软雅黑" w:eastAsia="微软雅黑"/>
          <w:b/>
          <w:spacing w:val="-2"/>
          <w:w w:val="90"/>
          <w:sz w:val="21"/>
        </w:rPr>
        <w:t>功</w:t>
      </w:r>
      <w:r>
        <w:rPr>
          <w:rFonts w:ascii="微软雅黑" w:eastAsia="微软雅黑"/>
          <w:b/>
          <w:spacing w:val="-2"/>
          <w:w w:val="90"/>
          <w:sz w:val="21"/>
        </w:rPr>
        <w:t>能</w:t>
      </w:r>
      <w:r>
        <w:rPr>
          <w:rFonts w:ascii="微软雅黑" w:eastAsia="微软雅黑"/>
          <w:b/>
          <w:spacing w:val="-2"/>
          <w:w w:val="90"/>
          <w:sz w:val="21"/>
        </w:rPr>
        <w:t>状</w:t>
      </w:r>
      <w:r>
        <w:rPr>
          <w:rFonts w:ascii="微软雅黑" w:eastAsia="微软雅黑"/>
          <w:b/>
          <w:spacing w:val="-2"/>
          <w:w w:val="90"/>
          <w:sz w:val="21"/>
        </w:rPr>
        <w:t>态</w:t>
      </w:r>
      <w:r>
        <w:rPr>
          <w:rFonts w:ascii="微软雅黑" w:eastAsia="微软雅黑"/>
          <w:b/>
          <w:spacing w:val="-6"/>
          <w:sz w:val="21"/>
        </w:rPr>
        <w:t>分级</w:t>
      </w:r>
    </w:p>
    <w:p>
      <w:pPr>
        <w:pStyle w:val="BodyText"/>
        <w:spacing w:line="278" w:lineRule="auto" w:before="72"/>
        <w:ind w:left="176" w:right="474"/>
      </w:pPr>
      <w:r>
        <w:rPr/>
        <w:br w:type="column"/>
      </w:r>
      <w:r>
        <w:rPr/>
        <w:t>美国纽约心脏病学会（New</w:t>
      </w:r>
      <w:r>
        <w:rPr>
          <w:spacing w:val="-11"/>
        </w:rPr>
        <w:t> </w:t>
      </w:r>
      <w:r>
        <w:rPr/>
        <w:t>York</w:t>
      </w:r>
      <w:r>
        <w:rPr>
          <w:spacing w:val="-11"/>
        </w:rPr>
        <w:t> </w:t>
      </w:r>
      <w:r>
        <w:rPr/>
        <w:t>Heart</w:t>
      </w:r>
      <w:r>
        <w:rPr>
          <w:spacing w:val="-9"/>
        </w:rPr>
        <w:t> </w:t>
      </w:r>
      <w:r>
        <w:rPr/>
        <w:t>Association，NYHA）将心功能状态分</w:t>
      </w:r>
      <w:r>
        <w:rPr>
          <w:spacing w:val="-4"/>
        </w:rPr>
        <w:t>为四级：</w:t>
      </w:r>
    </w:p>
    <w:p>
      <w:pPr>
        <w:pStyle w:val="BodyText"/>
        <w:spacing w:line="278" w:lineRule="auto"/>
        <w:ind w:left="808" w:right="471" w:hanging="632"/>
      </w:pPr>
      <w:r>
        <w:rPr>
          <w:spacing w:val="-2"/>
        </w:rPr>
        <w:t>Ⅰ级：心脏病病人日常活动量不受限制，一般活动不引起乏力、呼吸困难等心</w:t>
      </w:r>
      <w:r>
        <w:rPr>
          <w:spacing w:val="-4"/>
        </w:rPr>
        <w:t>衰症状。</w:t>
      </w:r>
    </w:p>
    <w:p>
      <w:pPr>
        <w:pStyle w:val="BodyText"/>
        <w:spacing w:line="278" w:lineRule="auto"/>
        <w:ind w:left="808" w:right="471" w:hanging="632"/>
      </w:pPr>
      <w:r>
        <w:rPr>
          <w:spacing w:val="-2"/>
        </w:rPr>
        <w:t>Ⅱ级：心脏病病人体力活动轻度受限制，休息时无自觉症状，一般活动下可出</w:t>
      </w:r>
      <w:r>
        <w:rPr>
          <w:spacing w:val="-2"/>
        </w:rPr>
        <w:t>现心衰症状。</w:t>
      </w:r>
    </w:p>
    <w:p>
      <w:pPr>
        <w:pStyle w:val="BodyText"/>
        <w:spacing w:line="278" w:lineRule="auto"/>
        <w:ind w:left="176" w:right="471"/>
      </w:pPr>
      <w:r>
        <w:rPr>
          <w:spacing w:val="-2"/>
        </w:rPr>
        <w:t>Ⅲ级：心脏病病人体力活动明显受限，低于平时一般活动即引起心衰症状。</w:t>
      </w:r>
      <w:r>
        <w:rPr>
          <w:spacing w:val="40"/>
        </w:rPr>
        <w:t> </w:t>
      </w:r>
      <w:r>
        <w:rPr>
          <w:spacing w:val="-2"/>
        </w:rPr>
        <w:t>Ⅳ级：心脏病病人不能从事任何体力活动，休息状态下也存在心衰症状，活动</w:t>
      </w:r>
    </w:p>
    <w:p>
      <w:pPr>
        <w:pStyle w:val="BodyText"/>
        <w:spacing w:line="269" w:lineRule="exact"/>
        <w:ind w:left="808"/>
      </w:pPr>
      <w:r>
        <w:rPr>
          <w:spacing w:val="-4"/>
        </w:rPr>
        <w:t>后加重。</w:t>
      </w:r>
    </w:p>
    <w:p>
      <w:pPr>
        <w:spacing w:after="0" w:line="269" w:lineRule="exact"/>
        <w:sectPr>
          <w:type w:val="continuous"/>
          <w:pgSz w:w="11910" w:h="16840"/>
          <w:pgMar w:header="0" w:footer="401" w:top="600" w:bottom="280" w:left="760" w:right="580"/>
          <w:cols w:num="2" w:equalWidth="0">
            <w:col w:w="2730" w:space="40"/>
            <w:col w:w="7800"/>
          </w:cols>
        </w:sectPr>
      </w:pPr>
    </w:p>
    <w:p>
      <w:pPr>
        <w:pStyle w:val="Heading2"/>
        <w:spacing w:line="366" w:lineRule="exact"/>
        <w:ind w:left="260"/>
      </w:pPr>
      <w:r>
        <w:rPr>
          <w:spacing w:val="-4"/>
        </w:rPr>
        <w:t>附表：</w:t>
      </w:r>
    </w:p>
    <w:p>
      <w:pPr>
        <w:spacing w:line="240" w:lineRule="auto" w:before="8"/>
        <w:rPr>
          <w:rFonts w:ascii="微软雅黑"/>
          <w:b/>
          <w:sz w:val="22"/>
        </w:rPr>
      </w:pPr>
      <w:r>
        <w:rPr/>
        <w:br w:type="column"/>
      </w:r>
      <w:r>
        <w:rPr>
          <w:rFonts w:ascii="微软雅黑"/>
          <w:b/>
          <w:sz w:val="22"/>
        </w:rPr>
      </w:r>
    </w:p>
    <w:p>
      <w:pPr>
        <w:pStyle w:val="Heading1"/>
      </w:pPr>
      <w:r>
        <w:rPr>
          <w:spacing w:val="-2"/>
        </w:rPr>
        <w:t>信泰全民 </w:t>
      </w:r>
      <w:r>
        <w:rPr>
          <w:rFonts w:ascii="Times New Roman" w:eastAsia="Times New Roman"/>
        </w:rPr>
        <w:t>e</w:t>
      </w:r>
      <w:r>
        <w:rPr>
          <w:rFonts w:ascii="Times New Roman" w:eastAsia="Times New Roman"/>
          <w:spacing w:val="2"/>
        </w:rPr>
        <w:t> </w:t>
      </w:r>
      <w:r>
        <w:rPr>
          <w:spacing w:val="-4"/>
        </w:rPr>
        <w:t>保 </w:t>
      </w:r>
      <w:r>
        <w:rPr>
          <w:rFonts w:ascii="Times New Roman" w:eastAsia="Times New Roman"/>
        </w:rPr>
        <w:t>C </w:t>
      </w:r>
      <w:r>
        <w:rPr>
          <w:spacing w:val="-1"/>
        </w:rPr>
        <w:t>款医疗保险保障计划表</w:t>
      </w:r>
    </w:p>
    <w:p>
      <w:pPr>
        <w:spacing w:after="0"/>
        <w:sectPr>
          <w:pgSz w:w="11910" w:h="16840"/>
          <w:pgMar w:header="0" w:footer="401" w:top="1560" w:bottom="600" w:left="760" w:right="580"/>
          <w:cols w:num="2" w:equalWidth="0">
            <w:col w:w="934" w:space="1930"/>
            <w:col w:w="7706"/>
          </w:cols>
        </w:sectPr>
      </w:pPr>
    </w:p>
    <w:p>
      <w:pPr>
        <w:pStyle w:val="BodyText"/>
        <w:spacing w:before="125"/>
        <w:ind w:right="436"/>
        <w:jc w:val="right"/>
      </w:pPr>
      <w:r>
        <w:rPr>
          <w:spacing w:val="-3"/>
        </w:rPr>
        <w:t>单位：人民币 元</w:t>
      </w:r>
    </w:p>
    <w:p>
      <w:pPr>
        <w:pStyle w:val="BodyText"/>
        <w:spacing w:before="10"/>
        <w:rPr>
          <w:sz w:val="13"/>
        </w:rPr>
      </w:pPr>
    </w:p>
    <w:tbl>
      <w:tblPr>
        <w:tblW w:w="0" w:type="auto"/>
        <w:jc w:val="left"/>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27"/>
        <w:gridCol w:w="3798"/>
        <w:gridCol w:w="2050"/>
        <w:gridCol w:w="2047"/>
      </w:tblGrid>
      <w:tr>
        <w:trPr>
          <w:trHeight w:val="345" w:hRule="atLeast"/>
        </w:trPr>
        <w:tc>
          <w:tcPr>
            <w:tcW w:w="5925" w:type="dxa"/>
            <w:gridSpan w:val="2"/>
            <w:vMerge w:val="restart"/>
          </w:tcPr>
          <w:p>
            <w:pPr>
              <w:pStyle w:val="TableParagraph"/>
              <w:spacing w:before="150"/>
              <w:ind w:left="2421" w:right="2413"/>
              <w:jc w:val="center"/>
              <w:rPr>
                <w:rFonts w:ascii="微软雅黑" w:eastAsia="微软雅黑"/>
                <w:b/>
                <w:sz w:val="21"/>
              </w:rPr>
            </w:pPr>
            <w:r>
              <w:rPr>
                <w:rFonts w:ascii="微软雅黑" w:eastAsia="微软雅黑"/>
                <w:b/>
                <w:spacing w:val="-3"/>
                <w:sz w:val="21"/>
              </w:rPr>
              <w:t>保障项目</w:t>
            </w:r>
          </w:p>
        </w:tc>
        <w:tc>
          <w:tcPr>
            <w:tcW w:w="4097" w:type="dxa"/>
            <w:gridSpan w:val="2"/>
          </w:tcPr>
          <w:p>
            <w:pPr>
              <w:pStyle w:val="TableParagraph"/>
              <w:spacing w:line="325" w:lineRule="exact"/>
              <w:ind w:left="1615" w:right="1604"/>
              <w:jc w:val="center"/>
              <w:rPr>
                <w:rFonts w:ascii="微软雅黑" w:eastAsia="微软雅黑"/>
                <w:b/>
                <w:sz w:val="21"/>
              </w:rPr>
            </w:pPr>
            <w:r>
              <w:rPr>
                <w:rFonts w:ascii="微软雅黑" w:eastAsia="微软雅黑"/>
                <w:b/>
                <w:spacing w:val="-3"/>
                <w:sz w:val="21"/>
              </w:rPr>
              <w:t>保障计划</w:t>
            </w:r>
          </w:p>
        </w:tc>
      </w:tr>
      <w:tr>
        <w:trPr>
          <w:trHeight w:val="345" w:hRule="atLeast"/>
        </w:trPr>
        <w:tc>
          <w:tcPr>
            <w:tcW w:w="5925" w:type="dxa"/>
            <w:gridSpan w:val="2"/>
            <w:vMerge/>
            <w:tcBorders>
              <w:top w:val="nil"/>
            </w:tcBorders>
          </w:tcPr>
          <w:p>
            <w:pPr>
              <w:rPr>
                <w:sz w:val="2"/>
                <w:szCs w:val="2"/>
              </w:rPr>
            </w:pPr>
          </w:p>
        </w:tc>
        <w:tc>
          <w:tcPr>
            <w:tcW w:w="2050" w:type="dxa"/>
          </w:tcPr>
          <w:p>
            <w:pPr>
              <w:pStyle w:val="TableParagraph"/>
              <w:spacing w:line="325" w:lineRule="exact"/>
              <w:ind w:left="490" w:right="477"/>
              <w:jc w:val="center"/>
              <w:rPr>
                <w:rFonts w:ascii="微软雅黑" w:eastAsia="微软雅黑"/>
                <w:b/>
                <w:sz w:val="21"/>
              </w:rPr>
            </w:pPr>
            <w:r>
              <w:rPr>
                <w:rFonts w:ascii="微软雅黑" w:eastAsia="微软雅黑"/>
                <w:b/>
                <w:spacing w:val="-2"/>
                <w:sz w:val="21"/>
              </w:rPr>
              <w:t>保障计划 </w:t>
            </w:r>
            <w:r>
              <w:rPr>
                <w:rFonts w:ascii="微软雅黑" w:eastAsia="微软雅黑"/>
                <w:b/>
                <w:spacing w:val="-10"/>
                <w:w w:val="95"/>
                <w:sz w:val="21"/>
              </w:rPr>
              <w:t>A</w:t>
            </w:r>
          </w:p>
        </w:tc>
        <w:tc>
          <w:tcPr>
            <w:tcW w:w="2047" w:type="dxa"/>
          </w:tcPr>
          <w:p>
            <w:pPr>
              <w:pStyle w:val="TableParagraph"/>
              <w:spacing w:line="325" w:lineRule="exact"/>
              <w:ind w:left="490" w:right="479"/>
              <w:jc w:val="center"/>
              <w:rPr>
                <w:rFonts w:ascii="微软雅黑" w:eastAsia="微软雅黑"/>
                <w:b/>
                <w:sz w:val="21"/>
              </w:rPr>
            </w:pPr>
            <w:r>
              <w:rPr>
                <w:rFonts w:ascii="微软雅黑" w:eastAsia="微软雅黑"/>
                <w:b/>
                <w:spacing w:val="-2"/>
                <w:sz w:val="21"/>
              </w:rPr>
              <w:t>保障计划 </w:t>
            </w:r>
            <w:r>
              <w:rPr>
                <w:rFonts w:ascii="微软雅黑" w:eastAsia="微软雅黑"/>
                <w:b/>
                <w:spacing w:val="-10"/>
                <w:sz w:val="21"/>
              </w:rPr>
              <w:t>B</w:t>
            </w:r>
          </w:p>
        </w:tc>
      </w:tr>
      <w:tr>
        <w:trPr>
          <w:trHeight w:val="342" w:hRule="atLeast"/>
        </w:trPr>
        <w:tc>
          <w:tcPr>
            <w:tcW w:w="2127" w:type="dxa"/>
            <w:vMerge w:val="restart"/>
          </w:tcPr>
          <w:p>
            <w:pPr>
              <w:pStyle w:val="TableParagraph"/>
              <w:rPr>
                <w:sz w:val="20"/>
              </w:rPr>
            </w:pPr>
          </w:p>
          <w:p>
            <w:pPr>
              <w:pStyle w:val="TableParagraph"/>
              <w:rPr>
                <w:sz w:val="19"/>
              </w:rPr>
            </w:pPr>
          </w:p>
          <w:p>
            <w:pPr>
              <w:pStyle w:val="TableParagraph"/>
              <w:ind w:left="324"/>
              <w:rPr>
                <w:rFonts w:ascii="微软雅黑" w:eastAsia="微软雅黑"/>
                <w:b/>
                <w:sz w:val="21"/>
              </w:rPr>
            </w:pPr>
            <w:r>
              <w:rPr>
                <w:rFonts w:ascii="微软雅黑" w:eastAsia="微软雅黑"/>
                <w:b/>
                <w:spacing w:val="-2"/>
                <w:sz w:val="21"/>
              </w:rPr>
              <w:t>一般医疗保险金</w:t>
            </w:r>
          </w:p>
        </w:tc>
        <w:tc>
          <w:tcPr>
            <w:tcW w:w="3798" w:type="dxa"/>
          </w:tcPr>
          <w:p>
            <w:pPr>
              <w:pStyle w:val="TableParagraph"/>
              <w:spacing w:before="39"/>
              <w:ind w:left="121"/>
              <w:rPr>
                <w:sz w:val="21"/>
              </w:rPr>
            </w:pPr>
            <w:r>
              <w:rPr>
                <w:spacing w:val="-4"/>
                <w:sz w:val="21"/>
              </w:rPr>
              <w:t>住院医疗保险金</w:t>
            </w:r>
          </w:p>
        </w:tc>
        <w:tc>
          <w:tcPr>
            <w:tcW w:w="2050" w:type="dxa"/>
            <w:vMerge w:val="restart"/>
          </w:tcPr>
          <w:p>
            <w:pPr>
              <w:pStyle w:val="TableParagraph"/>
              <w:rPr>
                <w:sz w:val="20"/>
              </w:rPr>
            </w:pPr>
          </w:p>
          <w:p>
            <w:pPr>
              <w:pStyle w:val="TableParagraph"/>
              <w:spacing w:line="278" w:lineRule="auto" w:before="155"/>
              <w:ind w:left="736" w:right="380" w:hanging="341"/>
              <w:rPr>
                <w:sz w:val="21"/>
              </w:rPr>
            </w:pPr>
            <w:r>
              <w:rPr>
                <w:spacing w:val="-2"/>
                <w:sz w:val="21"/>
              </w:rPr>
              <w:t>年度给付限额 </w:t>
            </w:r>
            <w:r>
              <w:rPr>
                <w:sz w:val="21"/>
              </w:rPr>
              <w:t>100</w:t>
            </w:r>
            <w:r>
              <w:rPr>
                <w:spacing w:val="-21"/>
                <w:sz w:val="21"/>
              </w:rPr>
              <w:t> 万</w:t>
            </w:r>
          </w:p>
        </w:tc>
        <w:tc>
          <w:tcPr>
            <w:tcW w:w="2047" w:type="dxa"/>
            <w:vMerge w:val="restart"/>
          </w:tcPr>
          <w:p>
            <w:pPr>
              <w:pStyle w:val="TableParagraph"/>
              <w:rPr>
                <w:sz w:val="20"/>
              </w:rPr>
            </w:pPr>
          </w:p>
          <w:p>
            <w:pPr>
              <w:pStyle w:val="TableParagraph"/>
              <w:spacing w:line="278" w:lineRule="auto" w:before="155"/>
              <w:ind w:left="733" w:right="379" w:hanging="341"/>
              <w:rPr>
                <w:sz w:val="21"/>
              </w:rPr>
            </w:pPr>
            <w:r>
              <w:rPr>
                <w:spacing w:val="-2"/>
                <w:sz w:val="21"/>
              </w:rPr>
              <w:t>年度给付限额 </w:t>
            </w:r>
            <w:r>
              <w:rPr>
                <w:sz w:val="21"/>
              </w:rPr>
              <w:t>200</w:t>
            </w:r>
            <w:r>
              <w:rPr>
                <w:spacing w:val="-21"/>
                <w:sz w:val="21"/>
              </w:rPr>
              <w:t> 万</w:t>
            </w: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特殊门诊医疗保险金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0"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门诊手术医疗保险金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9"/>
              <w:ind w:left="121"/>
              <w:rPr>
                <w:sz w:val="21"/>
              </w:rPr>
            </w:pPr>
            <w:r>
              <w:rPr>
                <w:spacing w:val="-3"/>
                <w:sz w:val="21"/>
              </w:rPr>
              <w:t>住院前后门诊急诊医疗保险金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3" w:hRule="atLeast"/>
        </w:trPr>
        <w:tc>
          <w:tcPr>
            <w:tcW w:w="2127" w:type="dxa"/>
            <w:vMerge w:val="restart"/>
          </w:tcPr>
          <w:p>
            <w:pPr>
              <w:pStyle w:val="TableParagraph"/>
              <w:rPr>
                <w:sz w:val="20"/>
              </w:rPr>
            </w:pPr>
          </w:p>
          <w:p>
            <w:pPr>
              <w:pStyle w:val="TableParagraph"/>
              <w:spacing w:before="11"/>
              <w:rPr>
                <w:sz w:val="18"/>
              </w:rPr>
            </w:pPr>
          </w:p>
          <w:p>
            <w:pPr>
              <w:pStyle w:val="TableParagraph"/>
              <w:ind w:left="112"/>
              <w:rPr>
                <w:rFonts w:ascii="微软雅黑" w:eastAsia="微软雅黑"/>
                <w:b/>
                <w:sz w:val="21"/>
              </w:rPr>
            </w:pPr>
            <w:r>
              <w:rPr>
                <w:rFonts w:ascii="微软雅黑" w:eastAsia="微软雅黑"/>
                <w:b/>
                <w:spacing w:val="-2"/>
                <w:sz w:val="21"/>
              </w:rPr>
              <w:t>重大疾病医疗保险金</w:t>
            </w:r>
          </w:p>
        </w:tc>
        <w:tc>
          <w:tcPr>
            <w:tcW w:w="3798" w:type="dxa"/>
          </w:tcPr>
          <w:p>
            <w:pPr>
              <w:pStyle w:val="TableParagraph"/>
              <w:spacing w:before="37"/>
              <w:ind w:left="121"/>
              <w:rPr>
                <w:sz w:val="21"/>
              </w:rPr>
            </w:pPr>
            <w:r>
              <w:rPr>
                <w:spacing w:val="-3"/>
                <w:sz w:val="21"/>
              </w:rPr>
              <w:t>重大疾病住院医疗保险金</w:t>
            </w:r>
          </w:p>
        </w:tc>
        <w:tc>
          <w:tcPr>
            <w:tcW w:w="2050" w:type="dxa"/>
            <w:vMerge w:val="restart"/>
          </w:tcPr>
          <w:p>
            <w:pPr>
              <w:pStyle w:val="TableParagraph"/>
              <w:rPr>
                <w:sz w:val="20"/>
              </w:rPr>
            </w:pPr>
          </w:p>
          <w:p>
            <w:pPr>
              <w:pStyle w:val="TableParagraph"/>
              <w:spacing w:line="278" w:lineRule="auto" w:before="153"/>
              <w:ind w:left="736" w:right="380" w:hanging="341"/>
              <w:rPr>
                <w:sz w:val="21"/>
              </w:rPr>
            </w:pPr>
            <w:r>
              <w:rPr>
                <w:spacing w:val="-2"/>
                <w:sz w:val="21"/>
              </w:rPr>
              <w:t>年度给付限额 </w:t>
            </w:r>
            <w:r>
              <w:rPr>
                <w:sz w:val="21"/>
              </w:rPr>
              <w:t>100</w:t>
            </w:r>
            <w:r>
              <w:rPr>
                <w:spacing w:val="-21"/>
                <w:sz w:val="21"/>
              </w:rPr>
              <w:t> 万</w:t>
            </w:r>
          </w:p>
        </w:tc>
        <w:tc>
          <w:tcPr>
            <w:tcW w:w="2047" w:type="dxa"/>
            <w:vMerge w:val="restart"/>
          </w:tcPr>
          <w:p>
            <w:pPr>
              <w:pStyle w:val="TableParagraph"/>
              <w:rPr>
                <w:sz w:val="20"/>
              </w:rPr>
            </w:pPr>
          </w:p>
          <w:p>
            <w:pPr>
              <w:pStyle w:val="TableParagraph"/>
              <w:spacing w:line="278" w:lineRule="auto" w:before="153"/>
              <w:ind w:left="733" w:right="379" w:hanging="341"/>
              <w:rPr>
                <w:sz w:val="21"/>
              </w:rPr>
            </w:pPr>
            <w:r>
              <w:rPr>
                <w:spacing w:val="-2"/>
                <w:sz w:val="21"/>
              </w:rPr>
              <w:t>年度给付限额 </w:t>
            </w:r>
            <w:r>
              <w:rPr>
                <w:sz w:val="21"/>
              </w:rPr>
              <w:t>200</w:t>
            </w:r>
            <w:r>
              <w:rPr>
                <w:spacing w:val="-21"/>
                <w:sz w:val="21"/>
              </w:rPr>
              <w:t> 万</w:t>
            </w:r>
          </w:p>
        </w:tc>
      </w:tr>
      <w:tr>
        <w:trPr>
          <w:trHeight w:val="340"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重大疾病特殊门诊医疗保险金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9"/>
              <w:ind w:left="121"/>
              <w:rPr>
                <w:sz w:val="21"/>
              </w:rPr>
            </w:pPr>
            <w:r>
              <w:rPr>
                <w:spacing w:val="-3"/>
                <w:sz w:val="21"/>
              </w:rPr>
              <w:t>重大疾病门诊手术医疗保险金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342" w:hRule="atLeast"/>
        </w:trPr>
        <w:tc>
          <w:tcPr>
            <w:tcW w:w="2127" w:type="dxa"/>
            <w:vMerge/>
            <w:tcBorders>
              <w:top w:val="nil"/>
            </w:tcBorders>
          </w:tcPr>
          <w:p>
            <w:pPr>
              <w:rPr>
                <w:sz w:val="2"/>
                <w:szCs w:val="2"/>
              </w:rPr>
            </w:pPr>
          </w:p>
        </w:tc>
        <w:tc>
          <w:tcPr>
            <w:tcW w:w="3798" w:type="dxa"/>
          </w:tcPr>
          <w:p>
            <w:pPr>
              <w:pStyle w:val="TableParagraph"/>
              <w:spacing w:before="37"/>
              <w:ind w:left="121"/>
              <w:rPr>
                <w:sz w:val="21"/>
              </w:rPr>
            </w:pPr>
            <w:r>
              <w:rPr>
                <w:spacing w:val="-3"/>
                <w:sz w:val="21"/>
              </w:rPr>
              <w:t>重大疾病住院前后门诊急诊医疗保险金</w:t>
            </w:r>
          </w:p>
        </w:tc>
        <w:tc>
          <w:tcPr>
            <w:tcW w:w="2050" w:type="dxa"/>
            <w:vMerge/>
            <w:tcBorders>
              <w:top w:val="nil"/>
            </w:tcBorders>
          </w:tcPr>
          <w:p>
            <w:pPr>
              <w:rPr>
                <w:sz w:val="2"/>
                <w:szCs w:val="2"/>
              </w:rPr>
            </w:pPr>
          </w:p>
        </w:tc>
        <w:tc>
          <w:tcPr>
            <w:tcW w:w="2047" w:type="dxa"/>
            <w:vMerge/>
            <w:tcBorders>
              <w:top w:val="nil"/>
            </w:tcBorders>
          </w:tcPr>
          <w:p>
            <w:pPr>
              <w:rPr>
                <w:sz w:val="2"/>
                <w:szCs w:val="2"/>
              </w:rPr>
            </w:pPr>
          </w:p>
        </w:tc>
      </w:tr>
      <w:tr>
        <w:trPr>
          <w:trHeight w:val="417" w:hRule="atLeast"/>
        </w:trPr>
        <w:tc>
          <w:tcPr>
            <w:tcW w:w="5925" w:type="dxa"/>
            <w:gridSpan w:val="2"/>
          </w:tcPr>
          <w:p>
            <w:pPr>
              <w:pStyle w:val="TableParagraph"/>
              <w:spacing w:before="8"/>
              <w:ind w:left="2421" w:right="2413"/>
              <w:jc w:val="center"/>
              <w:rPr>
                <w:rFonts w:ascii="微软雅黑" w:eastAsia="微软雅黑"/>
                <w:b/>
                <w:sz w:val="21"/>
              </w:rPr>
            </w:pPr>
            <w:r>
              <w:rPr>
                <w:rFonts w:ascii="微软雅黑" w:eastAsia="微软雅黑"/>
                <w:b/>
                <w:spacing w:val="-2"/>
                <w:sz w:val="21"/>
              </w:rPr>
              <w:t>年度免赔额</w:t>
            </w:r>
          </w:p>
        </w:tc>
        <w:tc>
          <w:tcPr>
            <w:tcW w:w="2050" w:type="dxa"/>
          </w:tcPr>
          <w:p>
            <w:pPr>
              <w:pStyle w:val="TableParagraph"/>
              <w:spacing w:before="75"/>
              <w:ind w:left="490" w:right="477"/>
              <w:jc w:val="center"/>
              <w:rPr>
                <w:sz w:val="21"/>
              </w:rPr>
            </w:pPr>
            <w:r>
              <w:rPr>
                <w:sz w:val="21"/>
              </w:rPr>
              <w:t>1</w:t>
            </w:r>
            <w:r>
              <w:rPr>
                <w:spacing w:val="-32"/>
                <w:sz w:val="21"/>
              </w:rPr>
              <w:t> 万</w:t>
            </w:r>
          </w:p>
        </w:tc>
        <w:tc>
          <w:tcPr>
            <w:tcW w:w="2047" w:type="dxa"/>
          </w:tcPr>
          <w:p>
            <w:pPr>
              <w:pStyle w:val="TableParagraph"/>
              <w:spacing w:before="75"/>
              <w:ind w:left="490" w:right="479"/>
              <w:jc w:val="center"/>
              <w:rPr>
                <w:sz w:val="21"/>
              </w:rPr>
            </w:pPr>
            <w:r>
              <w:rPr>
                <w:sz w:val="21"/>
              </w:rPr>
              <w:t>1</w:t>
            </w:r>
            <w:r>
              <w:rPr>
                <w:spacing w:val="-32"/>
                <w:sz w:val="21"/>
              </w:rPr>
              <w:t> 万</w:t>
            </w:r>
          </w:p>
        </w:tc>
      </w:tr>
      <w:tr>
        <w:trPr>
          <w:trHeight w:val="1902" w:hRule="atLeast"/>
        </w:trPr>
        <w:tc>
          <w:tcPr>
            <w:tcW w:w="2127" w:type="dxa"/>
          </w:tcPr>
          <w:p>
            <w:pPr>
              <w:pStyle w:val="TableParagraph"/>
              <w:rPr>
                <w:sz w:val="20"/>
              </w:rPr>
            </w:pPr>
          </w:p>
          <w:p>
            <w:pPr>
              <w:pStyle w:val="TableParagraph"/>
              <w:rPr>
                <w:sz w:val="20"/>
              </w:rPr>
            </w:pPr>
          </w:p>
          <w:p>
            <w:pPr>
              <w:pStyle w:val="TableParagraph"/>
              <w:spacing w:before="6"/>
              <w:rPr>
                <w:sz w:val="18"/>
              </w:rPr>
            </w:pPr>
          </w:p>
          <w:p>
            <w:pPr>
              <w:pStyle w:val="TableParagraph"/>
              <w:ind w:left="641"/>
              <w:rPr>
                <w:rFonts w:ascii="微软雅黑" w:eastAsia="微软雅黑"/>
                <w:b/>
                <w:sz w:val="21"/>
              </w:rPr>
            </w:pPr>
            <w:r>
              <w:rPr>
                <w:rFonts w:ascii="微软雅黑" w:eastAsia="微软雅黑"/>
                <w:b/>
                <w:spacing w:val="-3"/>
                <w:sz w:val="21"/>
              </w:rPr>
              <w:t>给付比例</w:t>
            </w:r>
          </w:p>
        </w:tc>
        <w:tc>
          <w:tcPr>
            <w:tcW w:w="3798" w:type="dxa"/>
          </w:tcPr>
          <w:p>
            <w:pPr>
              <w:pStyle w:val="TableParagraph"/>
              <w:rPr>
                <w:sz w:val="20"/>
              </w:rPr>
            </w:pPr>
          </w:p>
          <w:p>
            <w:pPr>
              <w:pStyle w:val="TableParagraph"/>
              <w:rPr>
                <w:sz w:val="20"/>
              </w:rPr>
            </w:pPr>
          </w:p>
          <w:p>
            <w:pPr>
              <w:pStyle w:val="TableParagraph"/>
              <w:spacing w:before="9"/>
              <w:rPr>
                <w:sz w:val="23"/>
              </w:rPr>
            </w:pPr>
          </w:p>
          <w:p>
            <w:pPr>
              <w:pStyle w:val="TableParagraph"/>
              <w:spacing w:before="1"/>
              <w:ind w:left="16"/>
              <w:rPr>
                <w:sz w:val="21"/>
              </w:rPr>
            </w:pPr>
            <w:r>
              <w:rPr>
                <w:spacing w:val="-3"/>
                <w:sz w:val="21"/>
              </w:rPr>
              <w:t>本合同约定的各类医疗费用</w:t>
            </w:r>
          </w:p>
        </w:tc>
        <w:tc>
          <w:tcPr>
            <w:tcW w:w="4097" w:type="dxa"/>
            <w:gridSpan w:val="2"/>
          </w:tcPr>
          <w:p>
            <w:pPr>
              <w:pStyle w:val="TableParagraph"/>
              <w:spacing w:before="37"/>
              <w:ind w:left="1615" w:right="1603"/>
              <w:jc w:val="center"/>
              <w:rPr>
                <w:sz w:val="21"/>
              </w:rPr>
            </w:pPr>
            <w:r>
              <w:rPr>
                <w:spacing w:val="-4"/>
                <w:sz w:val="21"/>
              </w:rPr>
              <w:t>100%</w:t>
            </w:r>
          </w:p>
          <w:p>
            <w:pPr>
              <w:pStyle w:val="TableParagraph"/>
              <w:spacing w:line="310" w:lineRule="atLeast" w:before="2"/>
              <w:ind w:left="52" w:right="38"/>
              <w:jc w:val="both"/>
              <w:rPr>
                <w:sz w:val="21"/>
              </w:rPr>
            </w:pPr>
            <w:r>
              <w:rPr>
                <w:spacing w:val="-2"/>
                <w:sz w:val="21"/>
              </w:rPr>
              <w:t>（若投保时被保险人享有当地社会基本医疗</w:t>
            </w:r>
            <w:r>
              <w:rPr>
                <w:spacing w:val="-2"/>
                <w:sz w:val="21"/>
              </w:rPr>
              <w:t>保险保障，但在保险事故发生时不再享有当</w:t>
            </w:r>
            <w:r>
              <w:rPr>
                <w:spacing w:val="-2"/>
                <w:sz w:val="21"/>
              </w:rPr>
              <w:t>地社会基本医疗保险保障或在理赔申请时未</w:t>
            </w:r>
            <w:r>
              <w:rPr>
                <w:spacing w:val="-2"/>
                <w:sz w:val="21"/>
              </w:rPr>
              <w:t>从当地社会基本医疗保险管理部门获得医疗</w:t>
            </w:r>
            <w:r>
              <w:rPr>
                <w:spacing w:val="-3"/>
                <w:sz w:val="21"/>
              </w:rPr>
              <w:t>费用补偿的，本合同的给付比例为 </w:t>
            </w:r>
            <w:r>
              <w:rPr>
                <w:sz w:val="21"/>
              </w:rPr>
              <w:t>60%）</w:t>
            </w:r>
          </w:p>
        </w:tc>
      </w:tr>
      <w:tr>
        <w:trPr>
          <w:trHeight w:val="417" w:hRule="atLeast"/>
        </w:trPr>
        <w:tc>
          <w:tcPr>
            <w:tcW w:w="10022" w:type="dxa"/>
            <w:gridSpan w:val="4"/>
          </w:tcPr>
          <w:p>
            <w:pPr>
              <w:pStyle w:val="TableParagraph"/>
              <w:spacing w:before="75"/>
              <w:ind w:left="14"/>
              <w:rPr>
                <w:sz w:val="21"/>
              </w:rPr>
            </w:pPr>
            <w:r>
              <w:rPr>
                <w:spacing w:val="-6"/>
                <w:sz w:val="21"/>
              </w:rPr>
              <w:t>说明：本合同保障计划分为 </w:t>
            </w:r>
            <w:r>
              <w:rPr>
                <w:spacing w:val="-2"/>
                <w:sz w:val="21"/>
              </w:rPr>
              <w:t>A</w:t>
            </w:r>
            <w:r>
              <w:rPr>
                <w:spacing w:val="-33"/>
                <w:sz w:val="21"/>
              </w:rPr>
              <w:t> 和 </w:t>
            </w:r>
            <w:r>
              <w:rPr>
                <w:spacing w:val="-2"/>
                <w:sz w:val="21"/>
              </w:rPr>
              <w:t>B</w:t>
            </w:r>
            <w:r>
              <w:rPr>
                <w:spacing w:val="-10"/>
                <w:sz w:val="21"/>
              </w:rPr>
              <w:t> 两种，具体由您从二者中选定一种进行投保。</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p>
    <w:p>
      <w:pPr>
        <w:spacing w:before="5"/>
        <w:ind w:left="260" w:right="0" w:firstLine="0"/>
        <w:jc w:val="left"/>
        <w:rPr>
          <w:rFonts w:ascii="微软雅黑" w:eastAsia="微软雅黑"/>
          <w:b/>
          <w:sz w:val="21"/>
        </w:rPr>
      </w:pPr>
      <w:r>
        <w:rPr>
          <w:rFonts w:ascii="微软雅黑" w:eastAsia="微软雅黑"/>
          <w:b/>
          <w:w w:val="95"/>
          <w:sz w:val="21"/>
        </w:rPr>
        <w:t>&lt;</w:t>
      </w:r>
      <w:r>
        <w:rPr>
          <w:rFonts w:ascii="微软雅黑" w:eastAsia="微软雅黑"/>
          <w:b/>
          <w:w w:val="95"/>
          <w:sz w:val="21"/>
        </w:rPr>
        <w:t>本</w:t>
      </w:r>
      <w:r>
        <w:rPr>
          <w:rFonts w:ascii="微软雅黑" w:eastAsia="微软雅黑"/>
          <w:b/>
          <w:w w:val="95"/>
          <w:sz w:val="21"/>
        </w:rPr>
        <w:t>条</w:t>
      </w:r>
      <w:r>
        <w:rPr>
          <w:rFonts w:ascii="微软雅黑" w:eastAsia="微软雅黑"/>
          <w:b/>
          <w:w w:val="95"/>
          <w:sz w:val="21"/>
        </w:rPr>
        <w:t>款</w:t>
      </w:r>
      <w:r>
        <w:rPr>
          <w:rFonts w:ascii="微软雅黑" w:eastAsia="微软雅黑"/>
          <w:b/>
          <w:w w:val="95"/>
          <w:sz w:val="21"/>
        </w:rPr>
        <w:t>内</w:t>
      </w:r>
      <w:r>
        <w:rPr>
          <w:rFonts w:ascii="微软雅黑" w:eastAsia="微软雅黑"/>
          <w:b/>
          <w:w w:val="95"/>
          <w:sz w:val="21"/>
        </w:rPr>
        <w:t>容</w:t>
      </w:r>
      <w:r>
        <w:rPr>
          <w:rFonts w:ascii="微软雅黑" w:eastAsia="微软雅黑"/>
          <w:b/>
          <w:w w:val="95"/>
          <w:sz w:val="21"/>
        </w:rPr>
        <w:t>结</w:t>
      </w:r>
      <w:r>
        <w:rPr>
          <w:rFonts w:ascii="微软雅黑" w:eastAsia="微软雅黑"/>
          <w:b/>
          <w:w w:val="95"/>
          <w:sz w:val="21"/>
        </w:rPr>
        <w:t>束</w:t>
      </w:r>
      <w:r>
        <w:rPr>
          <w:rFonts w:ascii="微软雅黑" w:eastAsia="微软雅黑"/>
          <w:b/>
          <w:spacing w:val="-10"/>
          <w:w w:val="95"/>
          <w:sz w:val="21"/>
        </w:rPr>
        <w:t>&gt;</w:t>
      </w:r>
    </w:p>
    <w:sectPr>
      <w:type w:val="continuous"/>
      <w:pgSz w:w="11910" w:h="16840"/>
      <w:pgMar w:header="0" w:footer="401" w:top="600" w:bottom="280" w:left="76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9.570007pt;margin-top:810.881592pt;width:16.2pt;height:9.2pt;mso-position-horizontal-relative:page;mso-position-vertical-relative:page;z-index:-16638976" type="#_x0000_t202" id="docshape3" filled="false" stroked="false">
          <v:textbox inset="0,0,0,0">
            <w:txbxContent>
              <w:p>
                <w:pPr>
                  <w:spacing w:before="14"/>
                  <w:ind w:left="20" w:right="0" w:firstLine="0"/>
                  <w:jc w:val="left"/>
                  <w:rPr>
                    <w:rFonts w:ascii="Times New Roman"/>
                    <w:sz w:val="13"/>
                  </w:rPr>
                </w:pPr>
                <w:r>
                  <w:rPr>
                    <w:rFonts w:ascii="Times New Roman"/>
                    <w:sz w:val="13"/>
                  </w:rPr>
                  <w:t>- </w:t>
                </w:r>
                <w:r>
                  <w:rPr>
                    <w:rFonts w:ascii="Times New Roman"/>
                    <w:sz w:val="13"/>
                  </w:rPr>
                  <w:fldChar w:fldCharType="begin"/>
                </w:r>
                <w:r>
                  <w:rPr>
                    <w:rFonts w:ascii="Times New Roman"/>
                    <w:sz w:val="13"/>
                  </w:rPr>
                  <w:instrText> PAGE </w:instrText>
                </w:r>
                <w:r>
                  <w:rPr>
                    <w:rFonts w:ascii="Times New Roman"/>
                    <w:sz w:val="13"/>
                  </w:rPr>
                  <w:fldChar w:fldCharType="separate"/>
                </w:r>
                <w:r>
                  <w:rPr>
                    <w:rFonts w:ascii="Times New Roman"/>
                    <w:sz w:val="13"/>
                  </w:rPr>
                  <w:t>10</w:t>
                </w:r>
                <w:r>
                  <w:rPr>
                    <w:rFonts w:ascii="Times New Roman"/>
                    <w:sz w:val="13"/>
                  </w:rPr>
                  <w:fldChar w:fldCharType="end"/>
                </w:r>
                <w:r>
                  <w:rPr>
                    <w:rFonts w:ascii="Times New Roman"/>
                    <w:sz w:val="13"/>
                  </w:rPr>
                  <w:t> </w:t>
                </w:r>
                <w:r>
                  <w:rPr>
                    <w:rFonts w:ascii="Times New Roman"/>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9">
    <w:multiLevelType w:val="hybridMultilevel"/>
    <w:lvl w:ilvl="0">
      <w:start w:val="1"/>
      <w:numFmt w:val="decimal"/>
      <w:lvlText w:val="（%1）"/>
      <w:lvlJc w:val="left"/>
      <w:pPr>
        <w:ind w:left="739" w:hanging="529"/>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38">
    <w:multiLevelType w:val="hybridMultilevel"/>
    <w:lvl w:ilvl="0">
      <w:start w:val="9"/>
      <w:numFmt w:val="decimal"/>
      <w:lvlText w:val="%1"/>
      <w:lvlJc w:val="left"/>
      <w:pPr>
        <w:ind w:left="1006" w:hanging="747"/>
        <w:jc w:val="left"/>
      </w:pPr>
      <w:rPr>
        <w:rFonts w:hint="default"/>
        <w:lang w:val="en-US" w:eastAsia="zh-CN" w:bidi="ar-SA"/>
      </w:rPr>
    </w:lvl>
    <w:lvl w:ilvl="1">
      <w:start w:val="24"/>
      <w:numFmt w:val="decimal"/>
      <w:lvlText w:val="%1.%2"/>
      <w:lvlJc w:val="left"/>
      <w:pPr>
        <w:ind w:left="1006" w:hanging="747"/>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3"/>
      <w:lvlJc w:val="left"/>
      <w:pPr>
        <w:ind w:left="3105" w:hanging="159"/>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759" w:hanging="159"/>
      </w:pPr>
      <w:rPr>
        <w:rFonts w:hint="default"/>
        <w:lang w:val="en-US" w:eastAsia="zh-CN" w:bidi="ar-SA"/>
      </w:rPr>
    </w:lvl>
    <w:lvl w:ilvl="4">
      <w:start w:val="0"/>
      <w:numFmt w:val="bullet"/>
      <w:lvlText w:val="•"/>
      <w:lvlJc w:val="left"/>
      <w:pPr>
        <w:ind w:left="5588" w:hanging="159"/>
      </w:pPr>
      <w:rPr>
        <w:rFonts w:hint="default"/>
        <w:lang w:val="en-US" w:eastAsia="zh-CN" w:bidi="ar-SA"/>
      </w:rPr>
    </w:lvl>
    <w:lvl w:ilvl="5">
      <w:start w:val="0"/>
      <w:numFmt w:val="bullet"/>
      <w:lvlText w:val="•"/>
      <w:lvlJc w:val="left"/>
      <w:pPr>
        <w:ind w:left="6418" w:hanging="159"/>
      </w:pPr>
      <w:rPr>
        <w:rFonts w:hint="default"/>
        <w:lang w:val="en-US" w:eastAsia="zh-CN" w:bidi="ar-SA"/>
      </w:rPr>
    </w:lvl>
    <w:lvl w:ilvl="6">
      <w:start w:val="0"/>
      <w:numFmt w:val="bullet"/>
      <w:lvlText w:val="•"/>
      <w:lvlJc w:val="left"/>
      <w:pPr>
        <w:ind w:left="7248" w:hanging="159"/>
      </w:pPr>
      <w:rPr>
        <w:rFonts w:hint="default"/>
        <w:lang w:val="en-US" w:eastAsia="zh-CN" w:bidi="ar-SA"/>
      </w:rPr>
    </w:lvl>
    <w:lvl w:ilvl="7">
      <w:start w:val="0"/>
      <w:numFmt w:val="bullet"/>
      <w:lvlText w:val="•"/>
      <w:lvlJc w:val="left"/>
      <w:pPr>
        <w:ind w:left="8077" w:hanging="159"/>
      </w:pPr>
      <w:rPr>
        <w:rFonts w:hint="default"/>
        <w:lang w:val="en-US" w:eastAsia="zh-CN" w:bidi="ar-SA"/>
      </w:rPr>
    </w:lvl>
    <w:lvl w:ilvl="8">
      <w:start w:val="0"/>
      <w:numFmt w:val="bullet"/>
      <w:lvlText w:val="•"/>
      <w:lvlJc w:val="left"/>
      <w:pPr>
        <w:ind w:left="8907" w:hanging="159"/>
      </w:pPr>
      <w:rPr>
        <w:rFonts w:hint="default"/>
        <w:lang w:val="en-US" w:eastAsia="zh-CN" w:bidi="ar-SA"/>
      </w:rPr>
    </w:lvl>
  </w:abstractNum>
  <w:abstractNum w:abstractNumId="37">
    <w:multiLevelType w:val="hybridMultilevel"/>
    <w:lvl w:ilvl="0">
      <w:start w:val="1"/>
      <w:numFmt w:val="decimal"/>
      <w:lvlText w:val="（%1）"/>
      <w:lvlJc w:val="left"/>
      <w:pPr>
        <w:ind w:left="65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40" w:hanging="529"/>
      </w:pPr>
      <w:rPr>
        <w:rFonts w:hint="default"/>
        <w:lang w:val="en-US" w:eastAsia="zh-CN" w:bidi="ar-SA"/>
      </w:rPr>
    </w:lvl>
    <w:lvl w:ilvl="2">
      <w:start w:val="0"/>
      <w:numFmt w:val="bullet"/>
      <w:lvlText w:val="•"/>
      <w:lvlJc w:val="left"/>
      <w:pPr>
        <w:ind w:left="2021" w:hanging="529"/>
      </w:pPr>
      <w:rPr>
        <w:rFonts w:hint="default"/>
        <w:lang w:val="en-US" w:eastAsia="zh-CN" w:bidi="ar-SA"/>
      </w:rPr>
    </w:lvl>
    <w:lvl w:ilvl="3">
      <w:start w:val="0"/>
      <w:numFmt w:val="bullet"/>
      <w:lvlText w:val="•"/>
      <w:lvlJc w:val="left"/>
      <w:pPr>
        <w:ind w:left="2701" w:hanging="529"/>
      </w:pPr>
      <w:rPr>
        <w:rFonts w:hint="default"/>
        <w:lang w:val="en-US" w:eastAsia="zh-CN" w:bidi="ar-SA"/>
      </w:rPr>
    </w:lvl>
    <w:lvl w:ilvl="4">
      <w:start w:val="0"/>
      <w:numFmt w:val="bullet"/>
      <w:lvlText w:val="•"/>
      <w:lvlJc w:val="left"/>
      <w:pPr>
        <w:ind w:left="3382" w:hanging="529"/>
      </w:pPr>
      <w:rPr>
        <w:rFonts w:hint="default"/>
        <w:lang w:val="en-US" w:eastAsia="zh-CN" w:bidi="ar-SA"/>
      </w:rPr>
    </w:lvl>
    <w:lvl w:ilvl="5">
      <w:start w:val="0"/>
      <w:numFmt w:val="bullet"/>
      <w:lvlText w:val="•"/>
      <w:lvlJc w:val="left"/>
      <w:pPr>
        <w:ind w:left="4062" w:hanging="529"/>
      </w:pPr>
      <w:rPr>
        <w:rFonts w:hint="default"/>
        <w:lang w:val="en-US" w:eastAsia="zh-CN" w:bidi="ar-SA"/>
      </w:rPr>
    </w:lvl>
    <w:lvl w:ilvl="6">
      <w:start w:val="0"/>
      <w:numFmt w:val="bullet"/>
      <w:lvlText w:val="•"/>
      <w:lvlJc w:val="left"/>
      <w:pPr>
        <w:ind w:left="4743" w:hanging="529"/>
      </w:pPr>
      <w:rPr>
        <w:rFonts w:hint="default"/>
        <w:lang w:val="en-US" w:eastAsia="zh-CN" w:bidi="ar-SA"/>
      </w:rPr>
    </w:lvl>
    <w:lvl w:ilvl="7">
      <w:start w:val="0"/>
      <w:numFmt w:val="bullet"/>
      <w:lvlText w:val="•"/>
      <w:lvlJc w:val="left"/>
      <w:pPr>
        <w:ind w:left="5423" w:hanging="529"/>
      </w:pPr>
      <w:rPr>
        <w:rFonts w:hint="default"/>
        <w:lang w:val="en-US" w:eastAsia="zh-CN" w:bidi="ar-SA"/>
      </w:rPr>
    </w:lvl>
    <w:lvl w:ilvl="8">
      <w:start w:val="0"/>
      <w:numFmt w:val="bullet"/>
      <w:lvlText w:val="•"/>
      <w:lvlJc w:val="left"/>
      <w:pPr>
        <w:ind w:left="6104" w:hanging="529"/>
      </w:pPr>
      <w:rPr>
        <w:rFonts w:hint="default"/>
        <w:lang w:val="en-US" w:eastAsia="zh-CN" w:bidi="ar-SA"/>
      </w:rPr>
    </w:lvl>
  </w:abstractNum>
  <w:abstractNum w:abstractNumId="36">
    <w:multiLevelType w:val="hybridMultilevel"/>
    <w:lvl w:ilvl="0">
      <w:start w:val="1"/>
      <w:numFmt w:val="decimal"/>
      <w:lvlText w:val="（%1）"/>
      <w:lvlJc w:val="left"/>
      <w:pPr>
        <w:ind w:left="65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6" w:hanging="529"/>
      </w:pPr>
      <w:rPr>
        <w:rFonts w:hint="default"/>
        <w:lang w:val="en-US" w:eastAsia="zh-CN" w:bidi="ar-SA"/>
      </w:rPr>
    </w:lvl>
    <w:lvl w:ilvl="2">
      <w:start w:val="0"/>
      <w:numFmt w:val="bullet"/>
      <w:lvlText w:val="•"/>
      <w:lvlJc w:val="left"/>
      <w:pPr>
        <w:ind w:left="2012" w:hanging="529"/>
      </w:pPr>
      <w:rPr>
        <w:rFonts w:hint="default"/>
        <w:lang w:val="en-US" w:eastAsia="zh-CN" w:bidi="ar-SA"/>
      </w:rPr>
    </w:lvl>
    <w:lvl w:ilvl="3">
      <w:start w:val="0"/>
      <w:numFmt w:val="bullet"/>
      <w:lvlText w:val="•"/>
      <w:lvlJc w:val="left"/>
      <w:pPr>
        <w:ind w:left="2689" w:hanging="529"/>
      </w:pPr>
      <w:rPr>
        <w:rFonts w:hint="default"/>
        <w:lang w:val="en-US" w:eastAsia="zh-CN" w:bidi="ar-SA"/>
      </w:rPr>
    </w:lvl>
    <w:lvl w:ilvl="4">
      <w:start w:val="0"/>
      <w:numFmt w:val="bullet"/>
      <w:lvlText w:val="•"/>
      <w:lvlJc w:val="left"/>
      <w:pPr>
        <w:ind w:left="3365"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718" w:hanging="529"/>
      </w:pPr>
      <w:rPr>
        <w:rFonts w:hint="default"/>
        <w:lang w:val="en-US" w:eastAsia="zh-CN" w:bidi="ar-SA"/>
      </w:rPr>
    </w:lvl>
    <w:lvl w:ilvl="7">
      <w:start w:val="0"/>
      <w:numFmt w:val="bullet"/>
      <w:lvlText w:val="•"/>
      <w:lvlJc w:val="left"/>
      <w:pPr>
        <w:ind w:left="5394" w:hanging="529"/>
      </w:pPr>
      <w:rPr>
        <w:rFonts w:hint="default"/>
        <w:lang w:val="en-US" w:eastAsia="zh-CN" w:bidi="ar-SA"/>
      </w:rPr>
    </w:lvl>
    <w:lvl w:ilvl="8">
      <w:start w:val="0"/>
      <w:numFmt w:val="bullet"/>
      <w:lvlText w:val="•"/>
      <w:lvlJc w:val="left"/>
      <w:pPr>
        <w:ind w:left="6071" w:hanging="529"/>
      </w:pPr>
      <w:rPr>
        <w:rFonts w:hint="default"/>
        <w:lang w:val="en-US" w:eastAsia="zh-CN" w:bidi="ar-SA"/>
      </w:rPr>
    </w:lvl>
  </w:abstractNum>
  <w:abstractNum w:abstractNumId="35">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480" w:hanging="529"/>
      </w:pPr>
      <w:rPr>
        <w:rFonts w:hint="default"/>
        <w:lang w:val="en-US" w:eastAsia="zh-CN" w:bidi="ar-SA"/>
      </w:rPr>
    </w:lvl>
    <w:lvl w:ilvl="2">
      <w:start w:val="0"/>
      <w:numFmt w:val="bullet"/>
      <w:lvlText w:val="•"/>
      <w:lvlJc w:val="left"/>
      <w:pPr>
        <w:ind w:left="3959" w:hanging="529"/>
      </w:pPr>
      <w:rPr>
        <w:rFonts w:hint="default"/>
        <w:lang w:val="en-US" w:eastAsia="zh-CN" w:bidi="ar-SA"/>
      </w:rPr>
    </w:lvl>
    <w:lvl w:ilvl="3">
      <w:start w:val="0"/>
      <w:numFmt w:val="bullet"/>
      <w:lvlText w:val="•"/>
      <w:lvlJc w:val="left"/>
      <w:pPr>
        <w:ind w:left="4438" w:hanging="529"/>
      </w:pPr>
      <w:rPr>
        <w:rFonts w:hint="default"/>
        <w:lang w:val="en-US" w:eastAsia="zh-CN" w:bidi="ar-SA"/>
      </w:rPr>
    </w:lvl>
    <w:lvl w:ilvl="4">
      <w:start w:val="0"/>
      <w:numFmt w:val="bullet"/>
      <w:lvlText w:val="•"/>
      <w:lvlJc w:val="left"/>
      <w:pPr>
        <w:ind w:left="4917" w:hanging="529"/>
      </w:pPr>
      <w:rPr>
        <w:rFonts w:hint="default"/>
        <w:lang w:val="en-US" w:eastAsia="zh-CN" w:bidi="ar-SA"/>
      </w:rPr>
    </w:lvl>
    <w:lvl w:ilvl="5">
      <w:start w:val="0"/>
      <w:numFmt w:val="bullet"/>
      <w:lvlText w:val="•"/>
      <w:lvlJc w:val="left"/>
      <w:pPr>
        <w:ind w:left="5396" w:hanging="529"/>
      </w:pPr>
      <w:rPr>
        <w:rFonts w:hint="default"/>
        <w:lang w:val="en-US" w:eastAsia="zh-CN" w:bidi="ar-SA"/>
      </w:rPr>
    </w:lvl>
    <w:lvl w:ilvl="6">
      <w:start w:val="0"/>
      <w:numFmt w:val="bullet"/>
      <w:lvlText w:val="•"/>
      <w:lvlJc w:val="left"/>
      <w:pPr>
        <w:ind w:left="5875" w:hanging="529"/>
      </w:pPr>
      <w:rPr>
        <w:rFonts w:hint="default"/>
        <w:lang w:val="en-US" w:eastAsia="zh-CN" w:bidi="ar-SA"/>
      </w:rPr>
    </w:lvl>
    <w:lvl w:ilvl="7">
      <w:start w:val="0"/>
      <w:numFmt w:val="bullet"/>
      <w:lvlText w:val="•"/>
      <w:lvlJc w:val="left"/>
      <w:pPr>
        <w:ind w:left="6354" w:hanging="529"/>
      </w:pPr>
      <w:rPr>
        <w:rFonts w:hint="default"/>
        <w:lang w:val="en-US" w:eastAsia="zh-CN" w:bidi="ar-SA"/>
      </w:rPr>
    </w:lvl>
    <w:lvl w:ilvl="8">
      <w:start w:val="0"/>
      <w:numFmt w:val="bullet"/>
      <w:lvlText w:val="•"/>
      <w:lvlJc w:val="left"/>
      <w:pPr>
        <w:ind w:left="6833" w:hanging="529"/>
      </w:pPr>
      <w:rPr>
        <w:rFonts w:hint="default"/>
        <w:lang w:val="en-US" w:eastAsia="zh-CN" w:bidi="ar-SA"/>
      </w:rPr>
    </w:lvl>
  </w:abstractNum>
  <w:abstractNum w:abstractNumId="34">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3">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2">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1">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30">
    <w:multiLevelType w:val="hybridMultilevel"/>
    <w:lvl w:ilvl="0">
      <w:start w:val="9"/>
      <w:numFmt w:val="decimal"/>
      <w:lvlText w:val="%1"/>
      <w:lvlJc w:val="left"/>
      <w:pPr>
        <w:ind w:left="2946" w:hanging="747"/>
        <w:jc w:val="left"/>
      </w:pPr>
      <w:rPr>
        <w:rFonts w:hint="default"/>
        <w:lang w:val="en-US" w:eastAsia="zh-CN" w:bidi="ar-SA"/>
      </w:rPr>
    </w:lvl>
    <w:lvl w:ilvl="1">
      <w:start w:val="1"/>
      <w:numFmt w:val="decimal"/>
      <w:lvlText w:val="%1.%2"/>
      <w:lvlJc w:val="left"/>
      <w:pPr>
        <w:ind w:left="2946" w:hanging="747"/>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72" w:hanging="529"/>
        <w:jc w:val="left"/>
      </w:pPr>
      <w:rPr>
        <w:rFonts w:hint="default" w:ascii="宋体" w:hAnsi="宋体" w:eastAsia="宋体" w:cs="宋体"/>
        <w:b w:val="0"/>
        <w:bCs w:val="0"/>
        <w:i w:val="0"/>
        <w:iCs w:val="0"/>
        <w:spacing w:val="-34"/>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2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8">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10"/>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7">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26">
    <w:multiLevelType w:val="hybridMultilevel"/>
    <w:lvl w:ilvl="0">
      <w:start w:val="1"/>
      <w:numFmt w:val="decimal"/>
      <w:lvlText w:val="（%1）"/>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8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05" w:hanging="529"/>
      </w:pPr>
      <w:rPr>
        <w:rFonts w:hint="default"/>
        <w:lang w:val="en-US" w:eastAsia="zh-CN" w:bidi="ar-SA"/>
      </w:rPr>
    </w:lvl>
    <w:lvl w:ilvl="4">
      <w:start w:val="0"/>
      <w:numFmt w:val="bullet"/>
      <w:lvlText w:val="•"/>
      <w:lvlJc w:val="left"/>
      <w:pPr>
        <w:ind w:left="631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31" w:hanging="529"/>
      </w:pPr>
      <w:rPr>
        <w:rFonts w:hint="default"/>
        <w:lang w:val="en-US" w:eastAsia="zh-CN" w:bidi="ar-SA"/>
      </w:rPr>
    </w:lvl>
    <w:lvl w:ilvl="7">
      <w:start w:val="0"/>
      <w:numFmt w:val="bullet"/>
      <w:lvlText w:val="•"/>
      <w:lvlJc w:val="left"/>
      <w:pPr>
        <w:ind w:left="8440" w:hanging="529"/>
      </w:pPr>
      <w:rPr>
        <w:rFonts w:hint="default"/>
        <w:lang w:val="en-US" w:eastAsia="zh-CN" w:bidi="ar-SA"/>
      </w:rPr>
    </w:lvl>
    <w:lvl w:ilvl="8">
      <w:start w:val="0"/>
      <w:numFmt w:val="bullet"/>
      <w:lvlText w:val="•"/>
      <w:lvlJc w:val="left"/>
      <w:pPr>
        <w:ind w:left="9149" w:hanging="529"/>
      </w:pPr>
      <w:rPr>
        <w:rFonts w:hint="default"/>
        <w:lang w:val="en-US" w:eastAsia="zh-CN" w:bidi="ar-SA"/>
      </w:rPr>
    </w:lvl>
  </w:abstractNum>
  <w:abstractNum w:abstractNumId="25">
    <w:multiLevelType w:val="hybridMultilevel"/>
    <w:lvl w:ilvl="0">
      <w:start w:val="1"/>
      <w:numFmt w:val="decimal"/>
      <w:lvlText w:val="（%1）"/>
      <w:lvlJc w:val="left"/>
      <w:pPr>
        <w:ind w:left="700" w:hanging="576"/>
        <w:jc w:val="left"/>
      </w:pPr>
      <w:rPr>
        <w:rFonts w:hint="default" w:ascii="宋体" w:hAnsi="宋体" w:eastAsia="宋体" w:cs="宋体"/>
        <w:b w:val="0"/>
        <w:bCs w:val="0"/>
        <w:i w:val="0"/>
        <w:iCs w:val="0"/>
        <w:spacing w:val="14"/>
        <w:w w:val="100"/>
        <w:sz w:val="19"/>
        <w:szCs w:val="19"/>
        <w:lang w:val="en-US" w:eastAsia="zh-CN" w:bidi="ar-SA"/>
      </w:rPr>
    </w:lvl>
    <w:lvl w:ilvl="1">
      <w:start w:val="0"/>
      <w:numFmt w:val="bullet"/>
      <w:lvlText w:val="•"/>
      <w:lvlJc w:val="left"/>
      <w:pPr>
        <w:ind w:left="1409" w:hanging="576"/>
      </w:pPr>
      <w:rPr>
        <w:rFonts w:hint="default"/>
        <w:lang w:val="en-US" w:eastAsia="zh-CN" w:bidi="ar-SA"/>
      </w:rPr>
    </w:lvl>
    <w:lvl w:ilvl="2">
      <w:start w:val="0"/>
      <w:numFmt w:val="bullet"/>
      <w:lvlText w:val="•"/>
      <w:lvlJc w:val="left"/>
      <w:pPr>
        <w:ind w:left="2118" w:hanging="576"/>
      </w:pPr>
      <w:rPr>
        <w:rFonts w:hint="default"/>
        <w:lang w:val="en-US" w:eastAsia="zh-CN" w:bidi="ar-SA"/>
      </w:rPr>
    </w:lvl>
    <w:lvl w:ilvl="3">
      <w:start w:val="0"/>
      <w:numFmt w:val="bullet"/>
      <w:lvlText w:val="•"/>
      <w:lvlJc w:val="left"/>
      <w:pPr>
        <w:ind w:left="2828" w:hanging="576"/>
      </w:pPr>
      <w:rPr>
        <w:rFonts w:hint="default"/>
        <w:lang w:val="en-US" w:eastAsia="zh-CN" w:bidi="ar-SA"/>
      </w:rPr>
    </w:lvl>
    <w:lvl w:ilvl="4">
      <w:start w:val="0"/>
      <w:numFmt w:val="bullet"/>
      <w:lvlText w:val="•"/>
      <w:lvlJc w:val="left"/>
      <w:pPr>
        <w:ind w:left="3537" w:hanging="576"/>
      </w:pPr>
      <w:rPr>
        <w:rFonts w:hint="default"/>
        <w:lang w:val="en-US" w:eastAsia="zh-CN" w:bidi="ar-SA"/>
      </w:rPr>
    </w:lvl>
    <w:lvl w:ilvl="5">
      <w:start w:val="0"/>
      <w:numFmt w:val="bullet"/>
      <w:lvlText w:val="•"/>
      <w:lvlJc w:val="left"/>
      <w:pPr>
        <w:ind w:left="4247" w:hanging="576"/>
      </w:pPr>
      <w:rPr>
        <w:rFonts w:hint="default"/>
        <w:lang w:val="en-US" w:eastAsia="zh-CN" w:bidi="ar-SA"/>
      </w:rPr>
    </w:lvl>
    <w:lvl w:ilvl="6">
      <w:start w:val="0"/>
      <w:numFmt w:val="bullet"/>
      <w:lvlText w:val="•"/>
      <w:lvlJc w:val="left"/>
      <w:pPr>
        <w:ind w:left="4956" w:hanging="576"/>
      </w:pPr>
      <w:rPr>
        <w:rFonts w:hint="default"/>
        <w:lang w:val="en-US" w:eastAsia="zh-CN" w:bidi="ar-SA"/>
      </w:rPr>
    </w:lvl>
    <w:lvl w:ilvl="7">
      <w:start w:val="0"/>
      <w:numFmt w:val="bullet"/>
      <w:lvlText w:val="•"/>
      <w:lvlJc w:val="left"/>
      <w:pPr>
        <w:ind w:left="5666" w:hanging="576"/>
      </w:pPr>
      <w:rPr>
        <w:rFonts w:hint="default"/>
        <w:lang w:val="en-US" w:eastAsia="zh-CN" w:bidi="ar-SA"/>
      </w:rPr>
    </w:lvl>
    <w:lvl w:ilvl="8">
      <w:start w:val="0"/>
      <w:numFmt w:val="bullet"/>
      <w:lvlText w:val="•"/>
      <w:lvlJc w:val="left"/>
      <w:pPr>
        <w:ind w:left="6375" w:hanging="576"/>
      </w:pPr>
      <w:rPr>
        <w:rFonts w:hint="default"/>
        <w:lang w:val="en-US" w:eastAsia="zh-CN" w:bidi="ar-SA"/>
      </w:rPr>
    </w:lvl>
  </w:abstractNum>
  <w:abstractNum w:abstractNumId="2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3">
    <w:multiLevelType w:val="hybridMultilevel"/>
    <w:lvl w:ilvl="0">
      <w:start w:val="3"/>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2">
    <w:multiLevelType w:val="hybridMultilevel"/>
    <w:lvl w:ilvl="0">
      <w:start w:val="1"/>
      <w:numFmt w:val="decimal"/>
      <w:lvlText w:val="（%1）"/>
      <w:lvlJc w:val="left"/>
      <w:pPr>
        <w:ind w:left="704" w:hanging="529"/>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20">
    <w:multiLevelType w:val="hybridMultilevel"/>
    <w:lvl w:ilvl="0">
      <w:start w:val="2"/>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480" w:hanging="529"/>
      </w:pPr>
      <w:rPr>
        <w:rFonts w:hint="default"/>
        <w:lang w:val="en-US" w:eastAsia="zh-CN" w:bidi="ar-SA"/>
      </w:rPr>
    </w:lvl>
    <w:lvl w:ilvl="2">
      <w:start w:val="0"/>
      <w:numFmt w:val="bullet"/>
      <w:lvlText w:val="•"/>
      <w:lvlJc w:val="left"/>
      <w:pPr>
        <w:ind w:left="3959" w:hanging="529"/>
      </w:pPr>
      <w:rPr>
        <w:rFonts w:hint="default"/>
        <w:lang w:val="en-US" w:eastAsia="zh-CN" w:bidi="ar-SA"/>
      </w:rPr>
    </w:lvl>
    <w:lvl w:ilvl="3">
      <w:start w:val="0"/>
      <w:numFmt w:val="bullet"/>
      <w:lvlText w:val="•"/>
      <w:lvlJc w:val="left"/>
      <w:pPr>
        <w:ind w:left="4438" w:hanging="529"/>
      </w:pPr>
      <w:rPr>
        <w:rFonts w:hint="default"/>
        <w:lang w:val="en-US" w:eastAsia="zh-CN" w:bidi="ar-SA"/>
      </w:rPr>
    </w:lvl>
    <w:lvl w:ilvl="4">
      <w:start w:val="0"/>
      <w:numFmt w:val="bullet"/>
      <w:lvlText w:val="•"/>
      <w:lvlJc w:val="left"/>
      <w:pPr>
        <w:ind w:left="4918" w:hanging="529"/>
      </w:pPr>
      <w:rPr>
        <w:rFonts w:hint="default"/>
        <w:lang w:val="en-US" w:eastAsia="zh-CN" w:bidi="ar-SA"/>
      </w:rPr>
    </w:lvl>
    <w:lvl w:ilvl="5">
      <w:start w:val="0"/>
      <w:numFmt w:val="bullet"/>
      <w:lvlText w:val="•"/>
      <w:lvlJc w:val="left"/>
      <w:pPr>
        <w:ind w:left="5397" w:hanging="529"/>
      </w:pPr>
      <w:rPr>
        <w:rFonts w:hint="default"/>
        <w:lang w:val="en-US" w:eastAsia="zh-CN" w:bidi="ar-SA"/>
      </w:rPr>
    </w:lvl>
    <w:lvl w:ilvl="6">
      <w:start w:val="0"/>
      <w:numFmt w:val="bullet"/>
      <w:lvlText w:val="•"/>
      <w:lvlJc w:val="left"/>
      <w:pPr>
        <w:ind w:left="5877" w:hanging="529"/>
      </w:pPr>
      <w:rPr>
        <w:rFonts w:hint="default"/>
        <w:lang w:val="en-US" w:eastAsia="zh-CN" w:bidi="ar-SA"/>
      </w:rPr>
    </w:lvl>
    <w:lvl w:ilvl="7">
      <w:start w:val="0"/>
      <w:numFmt w:val="bullet"/>
      <w:lvlText w:val="•"/>
      <w:lvlJc w:val="left"/>
      <w:pPr>
        <w:ind w:left="6356" w:hanging="529"/>
      </w:pPr>
      <w:rPr>
        <w:rFonts w:hint="default"/>
        <w:lang w:val="en-US" w:eastAsia="zh-CN" w:bidi="ar-SA"/>
      </w:rPr>
    </w:lvl>
    <w:lvl w:ilvl="8">
      <w:start w:val="0"/>
      <w:numFmt w:val="bullet"/>
      <w:lvlText w:val="•"/>
      <w:lvlJc w:val="left"/>
      <w:pPr>
        <w:ind w:left="6836" w:hanging="529"/>
      </w:pPr>
      <w:rPr>
        <w:rFonts w:hint="default"/>
        <w:lang w:val="en-US" w:eastAsia="zh-CN" w:bidi="ar-SA"/>
      </w:rPr>
    </w:lvl>
  </w:abstractNum>
  <w:abstractNum w:abstractNumId="19">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09" w:hanging="529"/>
      </w:pPr>
      <w:rPr>
        <w:rFonts w:hint="default"/>
        <w:lang w:val="en-US" w:eastAsia="zh-CN" w:bidi="ar-SA"/>
      </w:rPr>
    </w:lvl>
    <w:lvl w:ilvl="2">
      <w:start w:val="0"/>
      <w:numFmt w:val="bullet"/>
      <w:lvlText w:val="•"/>
      <w:lvlJc w:val="left"/>
      <w:pPr>
        <w:ind w:left="2118" w:hanging="529"/>
      </w:pPr>
      <w:rPr>
        <w:rFonts w:hint="default"/>
        <w:lang w:val="en-US" w:eastAsia="zh-CN" w:bidi="ar-SA"/>
      </w:rPr>
    </w:lvl>
    <w:lvl w:ilvl="3">
      <w:start w:val="0"/>
      <w:numFmt w:val="bullet"/>
      <w:lvlText w:val="•"/>
      <w:lvlJc w:val="left"/>
      <w:pPr>
        <w:ind w:left="2828" w:hanging="529"/>
      </w:pPr>
      <w:rPr>
        <w:rFonts w:hint="default"/>
        <w:lang w:val="en-US" w:eastAsia="zh-CN" w:bidi="ar-SA"/>
      </w:rPr>
    </w:lvl>
    <w:lvl w:ilvl="4">
      <w:start w:val="0"/>
      <w:numFmt w:val="bullet"/>
      <w:lvlText w:val="•"/>
      <w:lvlJc w:val="left"/>
      <w:pPr>
        <w:ind w:left="3537" w:hanging="529"/>
      </w:pPr>
      <w:rPr>
        <w:rFonts w:hint="default"/>
        <w:lang w:val="en-US" w:eastAsia="zh-CN" w:bidi="ar-SA"/>
      </w:rPr>
    </w:lvl>
    <w:lvl w:ilvl="5">
      <w:start w:val="0"/>
      <w:numFmt w:val="bullet"/>
      <w:lvlText w:val="•"/>
      <w:lvlJc w:val="left"/>
      <w:pPr>
        <w:ind w:left="4247" w:hanging="529"/>
      </w:pPr>
      <w:rPr>
        <w:rFonts w:hint="default"/>
        <w:lang w:val="en-US" w:eastAsia="zh-CN" w:bidi="ar-SA"/>
      </w:rPr>
    </w:lvl>
    <w:lvl w:ilvl="6">
      <w:start w:val="0"/>
      <w:numFmt w:val="bullet"/>
      <w:lvlText w:val="•"/>
      <w:lvlJc w:val="left"/>
      <w:pPr>
        <w:ind w:left="4956" w:hanging="529"/>
      </w:pPr>
      <w:rPr>
        <w:rFonts w:hint="default"/>
        <w:lang w:val="en-US" w:eastAsia="zh-CN" w:bidi="ar-SA"/>
      </w:rPr>
    </w:lvl>
    <w:lvl w:ilvl="7">
      <w:start w:val="0"/>
      <w:numFmt w:val="bullet"/>
      <w:lvlText w:val="•"/>
      <w:lvlJc w:val="left"/>
      <w:pPr>
        <w:ind w:left="5666" w:hanging="529"/>
      </w:pPr>
      <w:rPr>
        <w:rFonts w:hint="default"/>
        <w:lang w:val="en-US" w:eastAsia="zh-CN" w:bidi="ar-SA"/>
      </w:rPr>
    </w:lvl>
    <w:lvl w:ilvl="8">
      <w:start w:val="0"/>
      <w:numFmt w:val="bullet"/>
      <w:lvlText w:val="•"/>
      <w:lvlJc w:val="left"/>
      <w:pPr>
        <w:ind w:left="6375" w:hanging="529"/>
      </w:pPr>
      <w:rPr>
        <w:rFonts w:hint="default"/>
        <w:lang w:val="en-US" w:eastAsia="zh-CN" w:bidi="ar-SA"/>
      </w:rPr>
    </w:lvl>
  </w:abstractNum>
  <w:abstractNum w:abstractNumId="18">
    <w:multiLevelType w:val="hybridMultilevel"/>
    <w:lvl w:ilvl="0">
      <w:start w:val="1"/>
      <w:numFmt w:val="decimal"/>
      <w:lvlText w:val="（%1）"/>
      <w:lvlJc w:val="left"/>
      <w:pPr>
        <w:ind w:left="702" w:hanging="529"/>
        <w:jc w:val="left"/>
      </w:pPr>
      <w:rPr>
        <w:rFonts w:hint="default" w:ascii="微软雅黑" w:hAnsi="微软雅黑" w:eastAsia="微软雅黑" w:cs="微软雅黑"/>
        <w:b/>
        <w:bCs/>
        <w:i w:val="0"/>
        <w:iCs w:val="0"/>
        <w:spacing w:val="-34"/>
        <w:w w:val="81"/>
        <w:sz w:val="19"/>
        <w:szCs w:val="19"/>
        <w:lang w:val="en-US" w:eastAsia="zh-CN" w:bidi="ar-SA"/>
      </w:rPr>
    </w:lvl>
    <w:lvl w:ilvl="1">
      <w:start w:val="1"/>
      <w:numFmt w:val="lowerLetter"/>
      <w:lvlText w:val="%2."/>
      <w:lvlJc w:val="left"/>
      <w:pPr>
        <w:ind w:left="699" w:hanging="213"/>
        <w:jc w:val="left"/>
      </w:pPr>
      <w:rPr>
        <w:rFonts w:hint="default" w:ascii="微软雅黑" w:hAnsi="微软雅黑" w:eastAsia="微软雅黑" w:cs="微软雅黑"/>
        <w:b/>
        <w:bCs/>
        <w:i w:val="0"/>
        <w:iCs w:val="0"/>
        <w:w w:val="116"/>
        <w:sz w:val="19"/>
        <w:szCs w:val="19"/>
        <w:lang w:val="en-US" w:eastAsia="zh-CN" w:bidi="ar-SA"/>
      </w:rPr>
    </w:lvl>
    <w:lvl w:ilvl="2">
      <w:start w:val="0"/>
      <w:numFmt w:val="bullet"/>
      <w:lvlText w:val="•"/>
      <w:lvlJc w:val="left"/>
      <w:pPr>
        <w:ind w:left="2118" w:hanging="213"/>
      </w:pPr>
      <w:rPr>
        <w:rFonts w:hint="default"/>
        <w:lang w:val="en-US" w:eastAsia="zh-CN" w:bidi="ar-SA"/>
      </w:rPr>
    </w:lvl>
    <w:lvl w:ilvl="3">
      <w:start w:val="0"/>
      <w:numFmt w:val="bullet"/>
      <w:lvlText w:val="•"/>
      <w:lvlJc w:val="left"/>
      <w:pPr>
        <w:ind w:left="2828" w:hanging="213"/>
      </w:pPr>
      <w:rPr>
        <w:rFonts w:hint="default"/>
        <w:lang w:val="en-US" w:eastAsia="zh-CN" w:bidi="ar-SA"/>
      </w:rPr>
    </w:lvl>
    <w:lvl w:ilvl="4">
      <w:start w:val="0"/>
      <w:numFmt w:val="bullet"/>
      <w:lvlText w:val="•"/>
      <w:lvlJc w:val="left"/>
      <w:pPr>
        <w:ind w:left="3537" w:hanging="213"/>
      </w:pPr>
      <w:rPr>
        <w:rFonts w:hint="default"/>
        <w:lang w:val="en-US" w:eastAsia="zh-CN" w:bidi="ar-SA"/>
      </w:rPr>
    </w:lvl>
    <w:lvl w:ilvl="5">
      <w:start w:val="0"/>
      <w:numFmt w:val="bullet"/>
      <w:lvlText w:val="•"/>
      <w:lvlJc w:val="left"/>
      <w:pPr>
        <w:ind w:left="4247" w:hanging="213"/>
      </w:pPr>
      <w:rPr>
        <w:rFonts w:hint="default"/>
        <w:lang w:val="en-US" w:eastAsia="zh-CN" w:bidi="ar-SA"/>
      </w:rPr>
    </w:lvl>
    <w:lvl w:ilvl="6">
      <w:start w:val="0"/>
      <w:numFmt w:val="bullet"/>
      <w:lvlText w:val="•"/>
      <w:lvlJc w:val="left"/>
      <w:pPr>
        <w:ind w:left="4956" w:hanging="213"/>
      </w:pPr>
      <w:rPr>
        <w:rFonts w:hint="default"/>
        <w:lang w:val="en-US" w:eastAsia="zh-CN" w:bidi="ar-SA"/>
      </w:rPr>
    </w:lvl>
    <w:lvl w:ilvl="7">
      <w:start w:val="0"/>
      <w:numFmt w:val="bullet"/>
      <w:lvlText w:val="•"/>
      <w:lvlJc w:val="left"/>
      <w:pPr>
        <w:ind w:left="5665" w:hanging="213"/>
      </w:pPr>
      <w:rPr>
        <w:rFonts w:hint="default"/>
        <w:lang w:val="en-US" w:eastAsia="zh-CN" w:bidi="ar-SA"/>
      </w:rPr>
    </w:lvl>
    <w:lvl w:ilvl="8">
      <w:start w:val="0"/>
      <w:numFmt w:val="bullet"/>
      <w:lvlText w:val="•"/>
      <w:lvlJc w:val="left"/>
      <w:pPr>
        <w:ind w:left="6375" w:hanging="213"/>
      </w:pPr>
      <w:rPr>
        <w:rFonts w:hint="default"/>
        <w:lang w:val="en-US" w:eastAsia="zh-CN" w:bidi="ar-SA"/>
      </w:rPr>
    </w:lvl>
  </w:abstractNum>
  <w:abstractNum w:abstractNumId="17">
    <w:multiLevelType w:val="hybridMultilevel"/>
    <w:lvl w:ilvl="0">
      <w:start w:val="1"/>
      <w:numFmt w:val="decimal"/>
      <w:lvlText w:val="%1."/>
      <w:lvlJc w:val="left"/>
      <w:pPr>
        <w:ind w:left="1006" w:hanging="216"/>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396" w:hanging="529"/>
      </w:pPr>
      <w:rPr>
        <w:rFonts w:hint="default"/>
        <w:lang w:val="en-US" w:eastAsia="zh-CN" w:bidi="ar-SA"/>
      </w:rPr>
    </w:lvl>
    <w:lvl w:ilvl="3">
      <w:start w:val="0"/>
      <w:numFmt w:val="bullet"/>
      <w:lvlText w:val="•"/>
      <w:lvlJc w:val="left"/>
      <w:pPr>
        <w:ind w:left="3313" w:hanging="529"/>
      </w:pPr>
      <w:rPr>
        <w:rFonts w:hint="default"/>
        <w:lang w:val="en-US" w:eastAsia="zh-CN" w:bidi="ar-SA"/>
      </w:rPr>
    </w:lvl>
    <w:lvl w:ilvl="4">
      <w:start w:val="0"/>
      <w:numFmt w:val="bullet"/>
      <w:lvlText w:val="•"/>
      <w:lvlJc w:val="left"/>
      <w:pPr>
        <w:ind w:left="3230" w:hanging="529"/>
      </w:pPr>
      <w:rPr>
        <w:rFonts w:hint="default"/>
        <w:lang w:val="en-US" w:eastAsia="zh-CN" w:bidi="ar-SA"/>
      </w:rPr>
    </w:lvl>
    <w:lvl w:ilvl="5">
      <w:start w:val="0"/>
      <w:numFmt w:val="bullet"/>
      <w:lvlText w:val="•"/>
      <w:lvlJc w:val="left"/>
      <w:pPr>
        <w:ind w:left="3147" w:hanging="529"/>
      </w:pPr>
      <w:rPr>
        <w:rFonts w:hint="default"/>
        <w:lang w:val="en-US" w:eastAsia="zh-CN" w:bidi="ar-SA"/>
      </w:rPr>
    </w:lvl>
    <w:lvl w:ilvl="6">
      <w:start w:val="0"/>
      <w:numFmt w:val="bullet"/>
      <w:lvlText w:val="•"/>
      <w:lvlJc w:val="left"/>
      <w:pPr>
        <w:ind w:left="3064" w:hanging="529"/>
      </w:pPr>
      <w:rPr>
        <w:rFonts w:hint="default"/>
        <w:lang w:val="en-US" w:eastAsia="zh-CN" w:bidi="ar-SA"/>
      </w:rPr>
    </w:lvl>
    <w:lvl w:ilvl="7">
      <w:start w:val="0"/>
      <w:numFmt w:val="bullet"/>
      <w:lvlText w:val="•"/>
      <w:lvlJc w:val="left"/>
      <w:pPr>
        <w:ind w:left="2981" w:hanging="529"/>
      </w:pPr>
      <w:rPr>
        <w:rFonts w:hint="default"/>
        <w:lang w:val="en-US" w:eastAsia="zh-CN" w:bidi="ar-SA"/>
      </w:rPr>
    </w:lvl>
    <w:lvl w:ilvl="8">
      <w:start w:val="0"/>
      <w:numFmt w:val="bullet"/>
      <w:lvlText w:val="•"/>
      <w:lvlJc w:val="left"/>
      <w:pPr>
        <w:ind w:left="2898" w:hanging="529"/>
      </w:pPr>
      <w:rPr>
        <w:rFonts w:hint="default"/>
        <w:lang w:val="en-US" w:eastAsia="zh-CN" w:bidi="ar-SA"/>
      </w:rPr>
    </w:lvl>
  </w:abstractNum>
  <w:abstractNum w:abstractNumId="16">
    <w:multiLevelType w:val="hybridMultilevel"/>
    <w:lvl w:ilvl="0">
      <w:start w:val="1"/>
      <w:numFmt w:val="decimal"/>
      <w:lvlText w:val="（%1）"/>
      <w:lvlJc w:val="left"/>
      <w:pPr>
        <w:ind w:left="735" w:hanging="529"/>
        <w:jc w:val="right"/>
      </w:pPr>
      <w:rPr>
        <w:rFonts w:hint="default" w:ascii="宋体" w:hAnsi="宋体" w:eastAsia="宋体" w:cs="宋体"/>
        <w:b w:val="0"/>
        <w:bCs w:val="0"/>
        <w:i w:val="0"/>
        <w:iCs w:val="0"/>
        <w:spacing w:val="-48"/>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15">
    <w:multiLevelType w:val="hybridMultilevel"/>
    <w:lvl w:ilvl="0">
      <w:start w:val="7"/>
      <w:numFmt w:val="decimal"/>
      <w:lvlText w:val="%1"/>
      <w:lvlJc w:val="left"/>
      <w:pPr>
        <w:ind w:left="1006" w:hanging="747"/>
        <w:jc w:val="left"/>
      </w:pPr>
      <w:rPr>
        <w:rFonts w:hint="default"/>
        <w:lang w:val="en-US" w:eastAsia="zh-CN" w:bidi="ar-SA"/>
      </w:rPr>
    </w:lvl>
    <w:lvl w:ilvl="1">
      <w:start w:val="1"/>
      <w:numFmt w:val="decimal"/>
      <w:lvlText w:val="%1.%2"/>
      <w:lvlJc w:val="left"/>
      <w:pPr>
        <w:ind w:left="1006" w:hanging="747"/>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72" w:hanging="529"/>
        <w:jc w:val="left"/>
      </w:pPr>
      <w:rPr>
        <w:rFonts w:hint="default" w:ascii="宋体" w:hAnsi="宋体" w:eastAsia="宋体" w:cs="宋体"/>
        <w:b w:val="0"/>
        <w:bCs w:val="0"/>
        <w:i w:val="0"/>
        <w:iCs w:val="0"/>
        <w:spacing w:val="-20"/>
        <w:w w:val="100"/>
        <w:sz w:val="19"/>
        <w:szCs w:val="19"/>
        <w:lang w:val="en-US" w:eastAsia="zh-CN" w:bidi="ar-SA"/>
      </w:rPr>
    </w:lvl>
    <w:lvl w:ilvl="3">
      <w:start w:val="0"/>
      <w:numFmt w:val="bullet"/>
      <w:lvlText w:val="•"/>
      <w:lvlJc w:val="left"/>
      <w:pPr>
        <w:ind w:left="3305" w:hanging="529"/>
      </w:pPr>
      <w:rPr>
        <w:rFonts w:hint="default"/>
        <w:lang w:val="en-US" w:eastAsia="zh-CN" w:bidi="ar-SA"/>
      </w:rPr>
    </w:lvl>
    <w:lvl w:ilvl="4">
      <w:start w:val="0"/>
      <w:numFmt w:val="bullet"/>
      <w:lvlText w:val="•"/>
      <w:lvlJc w:val="left"/>
      <w:pPr>
        <w:ind w:left="3218" w:hanging="529"/>
      </w:pPr>
      <w:rPr>
        <w:rFonts w:hint="default"/>
        <w:lang w:val="en-US" w:eastAsia="zh-CN" w:bidi="ar-SA"/>
      </w:rPr>
    </w:lvl>
    <w:lvl w:ilvl="5">
      <w:start w:val="0"/>
      <w:numFmt w:val="bullet"/>
      <w:lvlText w:val="•"/>
      <w:lvlJc w:val="left"/>
      <w:pPr>
        <w:ind w:left="3131" w:hanging="529"/>
      </w:pPr>
      <w:rPr>
        <w:rFonts w:hint="default"/>
        <w:lang w:val="en-US" w:eastAsia="zh-CN" w:bidi="ar-SA"/>
      </w:rPr>
    </w:lvl>
    <w:lvl w:ilvl="6">
      <w:start w:val="0"/>
      <w:numFmt w:val="bullet"/>
      <w:lvlText w:val="•"/>
      <w:lvlJc w:val="left"/>
      <w:pPr>
        <w:ind w:left="3044" w:hanging="529"/>
      </w:pPr>
      <w:rPr>
        <w:rFonts w:hint="default"/>
        <w:lang w:val="en-US" w:eastAsia="zh-CN" w:bidi="ar-SA"/>
      </w:rPr>
    </w:lvl>
    <w:lvl w:ilvl="7">
      <w:start w:val="0"/>
      <w:numFmt w:val="bullet"/>
      <w:lvlText w:val="•"/>
      <w:lvlJc w:val="left"/>
      <w:pPr>
        <w:ind w:left="2957" w:hanging="529"/>
      </w:pPr>
      <w:rPr>
        <w:rFonts w:hint="default"/>
        <w:lang w:val="en-US" w:eastAsia="zh-CN" w:bidi="ar-SA"/>
      </w:rPr>
    </w:lvl>
    <w:lvl w:ilvl="8">
      <w:start w:val="0"/>
      <w:numFmt w:val="bullet"/>
      <w:lvlText w:val="•"/>
      <w:lvlJc w:val="left"/>
      <w:pPr>
        <w:ind w:left="2870" w:hanging="529"/>
      </w:pPr>
      <w:rPr>
        <w:rFonts w:hint="default"/>
        <w:lang w:val="en-US" w:eastAsia="zh-CN" w:bidi="ar-SA"/>
      </w:rPr>
    </w:lvl>
  </w:abstractNum>
  <w:abstractNum w:abstractNumId="14">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13">
    <w:multiLevelType w:val="hybridMultilevel"/>
    <w:lvl w:ilvl="0">
      <w:start w:val="5"/>
      <w:numFmt w:val="decimal"/>
      <w:lvlText w:val="%1"/>
      <w:lvlJc w:val="left"/>
      <w:pPr>
        <w:ind w:left="1006" w:hanging="747"/>
        <w:jc w:val="left"/>
      </w:pPr>
      <w:rPr>
        <w:rFonts w:hint="default"/>
        <w:lang w:val="en-US" w:eastAsia="zh-CN" w:bidi="ar-SA"/>
      </w:rPr>
    </w:lvl>
    <w:lvl w:ilvl="1">
      <w:start w:val="1"/>
      <w:numFmt w:val="decimal"/>
      <w:lvlText w:val="%1.%2"/>
      <w:lvlJc w:val="left"/>
      <w:pPr>
        <w:ind w:left="1006" w:hanging="747"/>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7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12">
    <w:multiLevelType w:val="hybridMultilevel"/>
    <w:lvl w:ilvl="0">
      <w:start w:val="4"/>
      <w:numFmt w:val="decimal"/>
      <w:lvlText w:val="%1"/>
      <w:lvlJc w:val="left"/>
      <w:pPr>
        <w:ind w:left="1006" w:hanging="747"/>
        <w:jc w:val="left"/>
      </w:pPr>
      <w:rPr>
        <w:rFonts w:hint="default"/>
        <w:lang w:val="en-US" w:eastAsia="zh-CN" w:bidi="ar-SA"/>
      </w:rPr>
    </w:lvl>
    <w:lvl w:ilvl="1">
      <w:start w:val="1"/>
      <w:numFmt w:val="decimal"/>
      <w:lvlText w:val="%1.%2"/>
      <w:lvlJc w:val="left"/>
      <w:pPr>
        <w:ind w:left="1006" w:hanging="747"/>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2913" w:hanging="747"/>
      </w:pPr>
      <w:rPr>
        <w:rFonts w:hint="default"/>
        <w:lang w:val="en-US" w:eastAsia="zh-CN" w:bidi="ar-SA"/>
      </w:rPr>
    </w:lvl>
    <w:lvl w:ilvl="3">
      <w:start w:val="0"/>
      <w:numFmt w:val="bullet"/>
      <w:lvlText w:val="•"/>
      <w:lvlJc w:val="left"/>
      <w:pPr>
        <w:ind w:left="3869" w:hanging="747"/>
      </w:pPr>
      <w:rPr>
        <w:rFonts w:hint="default"/>
        <w:lang w:val="en-US" w:eastAsia="zh-CN" w:bidi="ar-SA"/>
      </w:rPr>
    </w:lvl>
    <w:lvl w:ilvl="4">
      <w:start w:val="0"/>
      <w:numFmt w:val="bullet"/>
      <w:lvlText w:val="•"/>
      <w:lvlJc w:val="left"/>
      <w:pPr>
        <w:ind w:left="4826" w:hanging="747"/>
      </w:pPr>
      <w:rPr>
        <w:rFonts w:hint="default"/>
        <w:lang w:val="en-US" w:eastAsia="zh-CN" w:bidi="ar-SA"/>
      </w:rPr>
    </w:lvl>
    <w:lvl w:ilvl="5">
      <w:start w:val="0"/>
      <w:numFmt w:val="bullet"/>
      <w:lvlText w:val="•"/>
      <w:lvlJc w:val="left"/>
      <w:pPr>
        <w:ind w:left="5783" w:hanging="747"/>
      </w:pPr>
      <w:rPr>
        <w:rFonts w:hint="default"/>
        <w:lang w:val="en-US" w:eastAsia="zh-CN" w:bidi="ar-SA"/>
      </w:rPr>
    </w:lvl>
    <w:lvl w:ilvl="6">
      <w:start w:val="0"/>
      <w:numFmt w:val="bullet"/>
      <w:lvlText w:val="•"/>
      <w:lvlJc w:val="left"/>
      <w:pPr>
        <w:ind w:left="6739" w:hanging="747"/>
      </w:pPr>
      <w:rPr>
        <w:rFonts w:hint="default"/>
        <w:lang w:val="en-US" w:eastAsia="zh-CN" w:bidi="ar-SA"/>
      </w:rPr>
    </w:lvl>
    <w:lvl w:ilvl="7">
      <w:start w:val="0"/>
      <w:numFmt w:val="bullet"/>
      <w:lvlText w:val="•"/>
      <w:lvlJc w:val="left"/>
      <w:pPr>
        <w:ind w:left="7696" w:hanging="747"/>
      </w:pPr>
      <w:rPr>
        <w:rFonts w:hint="default"/>
        <w:lang w:val="en-US" w:eastAsia="zh-CN" w:bidi="ar-SA"/>
      </w:rPr>
    </w:lvl>
    <w:lvl w:ilvl="8">
      <w:start w:val="0"/>
      <w:numFmt w:val="bullet"/>
      <w:lvlText w:val="•"/>
      <w:lvlJc w:val="left"/>
      <w:pPr>
        <w:ind w:left="8653" w:hanging="747"/>
      </w:pPr>
      <w:rPr>
        <w:rFonts w:hint="default"/>
        <w:lang w:val="en-US" w:eastAsia="zh-CN" w:bidi="ar-SA"/>
      </w:rPr>
    </w:lvl>
  </w:abstractNum>
  <w:abstractNum w:abstractNumId="11">
    <w:multiLevelType w:val="hybridMultilevel"/>
    <w:lvl w:ilvl="0">
      <w:start w:val="16"/>
      <w:numFmt w:val="decimal"/>
      <w:lvlText w:val="（%1）"/>
      <w:lvlJc w:val="left"/>
      <w:pPr>
        <w:ind w:left="760" w:hanging="635"/>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5" w:hanging="635"/>
      </w:pPr>
      <w:rPr>
        <w:rFonts w:hint="default"/>
        <w:lang w:val="en-US" w:eastAsia="zh-CN" w:bidi="ar-SA"/>
      </w:rPr>
    </w:lvl>
    <w:lvl w:ilvl="2">
      <w:start w:val="0"/>
      <w:numFmt w:val="bullet"/>
      <w:lvlText w:val="•"/>
      <w:lvlJc w:val="left"/>
      <w:pPr>
        <w:ind w:left="2090" w:hanging="635"/>
      </w:pPr>
      <w:rPr>
        <w:rFonts w:hint="default"/>
        <w:lang w:val="en-US" w:eastAsia="zh-CN" w:bidi="ar-SA"/>
      </w:rPr>
    </w:lvl>
    <w:lvl w:ilvl="3">
      <w:start w:val="0"/>
      <w:numFmt w:val="bullet"/>
      <w:lvlText w:val="•"/>
      <w:lvlJc w:val="left"/>
      <w:pPr>
        <w:ind w:left="2755" w:hanging="635"/>
      </w:pPr>
      <w:rPr>
        <w:rFonts w:hint="default"/>
        <w:lang w:val="en-US" w:eastAsia="zh-CN" w:bidi="ar-SA"/>
      </w:rPr>
    </w:lvl>
    <w:lvl w:ilvl="4">
      <w:start w:val="0"/>
      <w:numFmt w:val="bullet"/>
      <w:lvlText w:val="•"/>
      <w:lvlJc w:val="left"/>
      <w:pPr>
        <w:ind w:left="3420" w:hanging="635"/>
      </w:pPr>
      <w:rPr>
        <w:rFonts w:hint="default"/>
        <w:lang w:val="en-US" w:eastAsia="zh-CN" w:bidi="ar-SA"/>
      </w:rPr>
    </w:lvl>
    <w:lvl w:ilvl="5">
      <w:start w:val="0"/>
      <w:numFmt w:val="bullet"/>
      <w:lvlText w:val="•"/>
      <w:lvlJc w:val="left"/>
      <w:pPr>
        <w:ind w:left="4086" w:hanging="635"/>
      </w:pPr>
      <w:rPr>
        <w:rFonts w:hint="default"/>
        <w:lang w:val="en-US" w:eastAsia="zh-CN" w:bidi="ar-SA"/>
      </w:rPr>
    </w:lvl>
    <w:lvl w:ilvl="6">
      <w:start w:val="0"/>
      <w:numFmt w:val="bullet"/>
      <w:lvlText w:val="•"/>
      <w:lvlJc w:val="left"/>
      <w:pPr>
        <w:ind w:left="4751" w:hanging="635"/>
      </w:pPr>
      <w:rPr>
        <w:rFonts w:hint="default"/>
        <w:lang w:val="en-US" w:eastAsia="zh-CN" w:bidi="ar-SA"/>
      </w:rPr>
    </w:lvl>
    <w:lvl w:ilvl="7">
      <w:start w:val="0"/>
      <w:numFmt w:val="bullet"/>
      <w:lvlText w:val="•"/>
      <w:lvlJc w:val="left"/>
      <w:pPr>
        <w:ind w:left="5416" w:hanging="635"/>
      </w:pPr>
      <w:rPr>
        <w:rFonts w:hint="default"/>
        <w:lang w:val="en-US" w:eastAsia="zh-CN" w:bidi="ar-SA"/>
      </w:rPr>
    </w:lvl>
    <w:lvl w:ilvl="8">
      <w:start w:val="0"/>
      <w:numFmt w:val="bullet"/>
      <w:lvlText w:val="•"/>
      <w:lvlJc w:val="left"/>
      <w:pPr>
        <w:ind w:left="6081" w:hanging="635"/>
      </w:pPr>
      <w:rPr>
        <w:rFonts w:hint="default"/>
        <w:lang w:val="en-US" w:eastAsia="zh-CN" w:bidi="ar-SA"/>
      </w:rPr>
    </w:lvl>
  </w:abstractNum>
  <w:abstractNum w:abstractNumId="10">
    <w:multiLevelType w:val="hybridMultilevel"/>
    <w:lvl w:ilvl="0">
      <w:start w:val="1"/>
      <w:numFmt w:val="decimal"/>
      <w:lvlText w:val="（%1）"/>
      <w:lvlJc w:val="left"/>
      <w:pPr>
        <w:ind w:left="345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70" w:hanging="529"/>
      </w:pPr>
      <w:rPr>
        <w:rFonts w:hint="default"/>
        <w:lang w:val="en-US" w:eastAsia="zh-CN" w:bidi="ar-SA"/>
      </w:rPr>
    </w:lvl>
    <w:lvl w:ilvl="2">
      <w:start w:val="0"/>
      <w:numFmt w:val="bullet"/>
      <w:lvlText w:val="•"/>
      <w:lvlJc w:val="left"/>
      <w:pPr>
        <w:ind w:left="4881" w:hanging="529"/>
      </w:pPr>
      <w:rPr>
        <w:rFonts w:hint="default"/>
        <w:lang w:val="en-US" w:eastAsia="zh-CN" w:bidi="ar-SA"/>
      </w:rPr>
    </w:lvl>
    <w:lvl w:ilvl="3">
      <w:start w:val="0"/>
      <w:numFmt w:val="bullet"/>
      <w:lvlText w:val="•"/>
      <w:lvlJc w:val="left"/>
      <w:pPr>
        <w:ind w:left="5591" w:hanging="529"/>
      </w:pPr>
      <w:rPr>
        <w:rFonts w:hint="default"/>
        <w:lang w:val="en-US" w:eastAsia="zh-CN" w:bidi="ar-SA"/>
      </w:rPr>
    </w:lvl>
    <w:lvl w:ilvl="4">
      <w:start w:val="0"/>
      <w:numFmt w:val="bullet"/>
      <w:lvlText w:val="•"/>
      <w:lvlJc w:val="left"/>
      <w:pPr>
        <w:ind w:left="6302" w:hanging="529"/>
      </w:pPr>
      <w:rPr>
        <w:rFonts w:hint="default"/>
        <w:lang w:val="en-US" w:eastAsia="zh-CN" w:bidi="ar-SA"/>
      </w:rPr>
    </w:lvl>
    <w:lvl w:ilvl="5">
      <w:start w:val="0"/>
      <w:numFmt w:val="bullet"/>
      <w:lvlText w:val="•"/>
      <w:lvlJc w:val="left"/>
      <w:pPr>
        <w:ind w:left="7013" w:hanging="529"/>
      </w:pPr>
      <w:rPr>
        <w:rFonts w:hint="default"/>
        <w:lang w:val="en-US" w:eastAsia="zh-CN" w:bidi="ar-SA"/>
      </w:rPr>
    </w:lvl>
    <w:lvl w:ilvl="6">
      <w:start w:val="0"/>
      <w:numFmt w:val="bullet"/>
      <w:lvlText w:val="•"/>
      <w:lvlJc w:val="left"/>
      <w:pPr>
        <w:ind w:left="7723" w:hanging="529"/>
      </w:pPr>
      <w:rPr>
        <w:rFonts w:hint="default"/>
        <w:lang w:val="en-US" w:eastAsia="zh-CN" w:bidi="ar-SA"/>
      </w:rPr>
    </w:lvl>
    <w:lvl w:ilvl="7">
      <w:start w:val="0"/>
      <w:numFmt w:val="bullet"/>
      <w:lvlText w:val="•"/>
      <w:lvlJc w:val="left"/>
      <w:pPr>
        <w:ind w:left="8434" w:hanging="529"/>
      </w:pPr>
      <w:rPr>
        <w:rFonts w:hint="default"/>
        <w:lang w:val="en-US" w:eastAsia="zh-CN" w:bidi="ar-SA"/>
      </w:rPr>
    </w:lvl>
    <w:lvl w:ilvl="8">
      <w:start w:val="0"/>
      <w:numFmt w:val="bullet"/>
      <w:lvlText w:val="•"/>
      <w:lvlJc w:val="left"/>
      <w:pPr>
        <w:ind w:left="9145" w:hanging="529"/>
      </w:pPr>
      <w:rPr>
        <w:rFonts w:hint="default"/>
        <w:lang w:val="en-US" w:eastAsia="zh-CN" w:bidi="ar-SA"/>
      </w:rPr>
    </w:lvl>
  </w:abstractNum>
  <w:abstractNum w:abstractNumId="9">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8" w:hanging="529"/>
      </w:pPr>
      <w:rPr>
        <w:rFonts w:hint="default"/>
        <w:lang w:val="en-US" w:eastAsia="zh-CN" w:bidi="ar-SA"/>
      </w:rPr>
    </w:lvl>
    <w:lvl w:ilvl="3">
      <w:start w:val="0"/>
      <w:numFmt w:val="bullet"/>
      <w:lvlText w:val="•"/>
      <w:lvlJc w:val="left"/>
      <w:pPr>
        <w:ind w:left="2867" w:hanging="529"/>
      </w:pPr>
      <w:rPr>
        <w:rFonts w:hint="default"/>
        <w:lang w:val="en-US" w:eastAsia="zh-CN" w:bidi="ar-SA"/>
      </w:rPr>
    </w:lvl>
    <w:lvl w:ilvl="4">
      <w:start w:val="0"/>
      <w:numFmt w:val="bullet"/>
      <w:lvlText w:val="•"/>
      <w:lvlJc w:val="left"/>
      <w:pPr>
        <w:ind w:left="3576" w:hanging="529"/>
      </w:pPr>
      <w:rPr>
        <w:rFonts w:hint="default"/>
        <w:lang w:val="en-US" w:eastAsia="zh-CN" w:bidi="ar-SA"/>
      </w:rPr>
    </w:lvl>
    <w:lvl w:ilvl="5">
      <w:start w:val="0"/>
      <w:numFmt w:val="bullet"/>
      <w:lvlText w:val="•"/>
      <w:lvlJc w:val="left"/>
      <w:pPr>
        <w:ind w:left="4285" w:hanging="529"/>
      </w:pPr>
      <w:rPr>
        <w:rFonts w:hint="default"/>
        <w:lang w:val="en-US" w:eastAsia="zh-CN" w:bidi="ar-SA"/>
      </w:rPr>
    </w:lvl>
    <w:lvl w:ilvl="6">
      <w:start w:val="0"/>
      <w:numFmt w:val="bullet"/>
      <w:lvlText w:val="•"/>
      <w:lvlJc w:val="left"/>
      <w:pPr>
        <w:ind w:left="4994" w:hanging="529"/>
      </w:pPr>
      <w:rPr>
        <w:rFonts w:hint="default"/>
        <w:lang w:val="en-US" w:eastAsia="zh-CN" w:bidi="ar-SA"/>
      </w:rPr>
    </w:lvl>
    <w:lvl w:ilvl="7">
      <w:start w:val="0"/>
      <w:numFmt w:val="bullet"/>
      <w:lvlText w:val="•"/>
      <w:lvlJc w:val="left"/>
      <w:pPr>
        <w:ind w:left="5703" w:hanging="529"/>
      </w:pPr>
      <w:rPr>
        <w:rFonts w:hint="default"/>
        <w:lang w:val="en-US" w:eastAsia="zh-CN" w:bidi="ar-SA"/>
      </w:rPr>
    </w:lvl>
    <w:lvl w:ilvl="8">
      <w:start w:val="0"/>
      <w:numFmt w:val="bullet"/>
      <w:lvlText w:val="•"/>
      <w:lvlJc w:val="left"/>
      <w:pPr>
        <w:ind w:left="6412" w:hanging="529"/>
      </w:pPr>
      <w:rPr>
        <w:rFonts w:hint="default"/>
        <w:lang w:val="en-US" w:eastAsia="zh-CN" w:bidi="ar-SA"/>
      </w:rPr>
    </w:lvl>
  </w:abstractNum>
  <w:abstractNum w:abstractNumId="8">
    <w:multiLevelType w:val="hybridMultilevel"/>
    <w:lvl w:ilvl="0">
      <w:start w:val="1"/>
      <w:numFmt w:val="decimal"/>
      <w:lvlText w:val="（%1）"/>
      <w:lvlJc w:val="left"/>
      <w:pPr>
        <w:ind w:left="73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9" w:hanging="529"/>
      </w:pPr>
      <w:rPr>
        <w:rFonts w:hint="default"/>
        <w:lang w:val="en-US" w:eastAsia="zh-CN" w:bidi="ar-SA"/>
      </w:rPr>
    </w:lvl>
    <w:lvl w:ilvl="2">
      <w:start w:val="0"/>
      <w:numFmt w:val="bullet"/>
      <w:lvlText w:val="•"/>
      <w:lvlJc w:val="left"/>
      <w:pPr>
        <w:ind w:left="2157" w:hanging="529"/>
      </w:pPr>
      <w:rPr>
        <w:rFonts w:hint="default"/>
        <w:lang w:val="en-US" w:eastAsia="zh-CN" w:bidi="ar-SA"/>
      </w:rPr>
    </w:lvl>
    <w:lvl w:ilvl="3">
      <w:start w:val="0"/>
      <w:numFmt w:val="bullet"/>
      <w:lvlText w:val="•"/>
      <w:lvlJc w:val="left"/>
      <w:pPr>
        <w:ind w:left="2866" w:hanging="529"/>
      </w:pPr>
      <w:rPr>
        <w:rFonts w:hint="default"/>
        <w:lang w:val="en-US" w:eastAsia="zh-CN" w:bidi="ar-SA"/>
      </w:rPr>
    </w:lvl>
    <w:lvl w:ilvl="4">
      <w:start w:val="0"/>
      <w:numFmt w:val="bullet"/>
      <w:lvlText w:val="•"/>
      <w:lvlJc w:val="left"/>
      <w:pPr>
        <w:ind w:left="3575" w:hanging="529"/>
      </w:pPr>
      <w:rPr>
        <w:rFonts w:hint="default"/>
        <w:lang w:val="en-US" w:eastAsia="zh-CN" w:bidi="ar-SA"/>
      </w:rPr>
    </w:lvl>
    <w:lvl w:ilvl="5">
      <w:start w:val="0"/>
      <w:numFmt w:val="bullet"/>
      <w:lvlText w:val="•"/>
      <w:lvlJc w:val="left"/>
      <w:pPr>
        <w:ind w:left="4284" w:hanging="529"/>
      </w:pPr>
      <w:rPr>
        <w:rFonts w:hint="default"/>
        <w:lang w:val="en-US" w:eastAsia="zh-CN" w:bidi="ar-SA"/>
      </w:rPr>
    </w:lvl>
    <w:lvl w:ilvl="6">
      <w:start w:val="0"/>
      <w:numFmt w:val="bullet"/>
      <w:lvlText w:val="•"/>
      <w:lvlJc w:val="left"/>
      <w:pPr>
        <w:ind w:left="4993" w:hanging="529"/>
      </w:pPr>
      <w:rPr>
        <w:rFonts w:hint="default"/>
        <w:lang w:val="en-US" w:eastAsia="zh-CN" w:bidi="ar-SA"/>
      </w:rPr>
    </w:lvl>
    <w:lvl w:ilvl="7">
      <w:start w:val="0"/>
      <w:numFmt w:val="bullet"/>
      <w:lvlText w:val="•"/>
      <w:lvlJc w:val="left"/>
      <w:pPr>
        <w:ind w:left="5702" w:hanging="529"/>
      </w:pPr>
      <w:rPr>
        <w:rFonts w:hint="default"/>
        <w:lang w:val="en-US" w:eastAsia="zh-CN" w:bidi="ar-SA"/>
      </w:rPr>
    </w:lvl>
    <w:lvl w:ilvl="8">
      <w:start w:val="0"/>
      <w:numFmt w:val="bullet"/>
      <w:lvlText w:val="•"/>
      <w:lvlJc w:val="left"/>
      <w:pPr>
        <w:ind w:left="6411" w:hanging="529"/>
      </w:pPr>
      <w:rPr>
        <w:rFonts w:hint="default"/>
        <w:lang w:val="en-US" w:eastAsia="zh-CN" w:bidi="ar-SA"/>
      </w:rPr>
    </w:lvl>
  </w:abstractNum>
  <w:abstractNum w:abstractNumId="7">
    <w:multiLevelType w:val="hybridMultilevel"/>
    <w:lvl w:ilvl="0">
      <w:start w:val="2"/>
      <w:numFmt w:val="decimal"/>
      <w:lvlText w:val="%1"/>
      <w:lvlJc w:val="left"/>
      <w:pPr>
        <w:ind w:left="2946" w:hanging="747"/>
        <w:jc w:val="left"/>
      </w:pPr>
      <w:rPr>
        <w:rFonts w:hint="default"/>
        <w:lang w:val="en-US" w:eastAsia="zh-CN" w:bidi="ar-SA"/>
      </w:rPr>
    </w:lvl>
    <w:lvl w:ilvl="1">
      <w:start w:val="3"/>
      <w:numFmt w:val="decimal"/>
      <w:lvlText w:val="%1.%2"/>
      <w:lvlJc w:val="left"/>
      <w:pPr>
        <w:ind w:left="2946" w:hanging="747"/>
        <w:jc w:val="left"/>
      </w:pPr>
      <w:rPr>
        <w:rFonts w:hint="default"/>
        <w:lang w:val="en-US" w:eastAsia="zh-CN" w:bidi="ar-SA"/>
      </w:rPr>
    </w:lvl>
    <w:lvl w:ilvl="2">
      <w:start w:val="1"/>
      <w:numFmt w:val="decimal"/>
      <w:lvlText w:val="%1.%2.%3"/>
      <w:lvlJc w:val="left"/>
      <w:pPr>
        <w:ind w:left="2946" w:hanging="747"/>
        <w:jc w:val="left"/>
      </w:pPr>
      <w:rPr>
        <w:rFonts w:hint="default" w:ascii="微软雅黑" w:hAnsi="微软雅黑" w:eastAsia="微软雅黑" w:cs="微软雅黑"/>
        <w:b/>
        <w:bCs/>
        <w:i w:val="0"/>
        <w:iCs w:val="0"/>
        <w:w w:val="99"/>
        <w:sz w:val="21"/>
        <w:szCs w:val="21"/>
        <w:lang w:val="en-US" w:eastAsia="zh-CN" w:bidi="ar-SA"/>
      </w:rPr>
    </w:lvl>
    <w:lvl w:ilvl="3">
      <w:start w:val="0"/>
      <w:numFmt w:val="bullet"/>
      <w:lvlText w:val="•"/>
      <w:lvlJc w:val="left"/>
      <w:pPr>
        <w:ind w:left="5227" w:hanging="747"/>
      </w:pPr>
      <w:rPr>
        <w:rFonts w:hint="default"/>
        <w:lang w:val="en-US" w:eastAsia="zh-CN" w:bidi="ar-SA"/>
      </w:rPr>
    </w:lvl>
    <w:lvl w:ilvl="4">
      <w:start w:val="0"/>
      <w:numFmt w:val="bullet"/>
      <w:lvlText w:val="•"/>
      <w:lvlJc w:val="left"/>
      <w:pPr>
        <w:ind w:left="5990" w:hanging="747"/>
      </w:pPr>
      <w:rPr>
        <w:rFonts w:hint="default"/>
        <w:lang w:val="en-US" w:eastAsia="zh-CN" w:bidi="ar-SA"/>
      </w:rPr>
    </w:lvl>
    <w:lvl w:ilvl="5">
      <w:start w:val="0"/>
      <w:numFmt w:val="bullet"/>
      <w:lvlText w:val="•"/>
      <w:lvlJc w:val="left"/>
      <w:pPr>
        <w:ind w:left="6753" w:hanging="747"/>
      </w:pPr>
      <w:rPr>
        <w:rFonts w:hint="default"/>
        <w:lang w:val="en-US" w:eastAsia="zh-CN" w:bidi="ar-SA"/>
      </w:rPr>
    </w:lvl>
    <w:lvl w:ilvl="6">
      <w:start w:val="0"/>
      <w:numFmt w:val="bullet"/>
      <w:lvlText w:val="•"/>
      <w:lvlJc w:val="left"/>
      <w:pPr>
        <w:ind w:left="7515" w:hanging="747"/>
      </w:pPr>
      <w:rPr>
        <w:rFonts w:hint="default"/>
        <w:lang w:val="en-US" w:eastAsia="zh-CN" w:bidi="ar-SA"/>
      </w:rPr>
    </w:lvl>
    <w:lvl w:ilvl="7">
      <w:start w:val="0"/>
      <w:numFmt w:val="bullet"/>
      <w:lvlText w:val="•"/>
      <w:lvlJc w:val="left"/>
      <w:pPr>
        <w:ind w:left="8278" w:hanging="747"/>
      </w:pPr>
      <w:rPr>
        <w:rFonts w:hint="default"/>
        <w:lang w:val="en-US" w:eastAsia="zh-CN" w:bidi="ar-SA"/>
      </w:rPr>
    </w:lvl>
    <w:lvl w:ilvl="8">
      <w:start w:val="0"/>
      <w:numFmt w:val="bullet"/>
      <w:lvlText w:val="•"/>
      <w:lvlJc w:val="left"/>
      <w:pPr>
        <w:ind w:left="9041" w:hanging="747"/>
      </w:pPr>
      <w:rPr>
        <w:rFonts w:hint="default"/>
        <w:lang w:val="en-US" w:eastAsia="zh-CN" w:bidi="ar-SA"/>
      </w:rPr>
    </w:lvl>
  </w:abstractNum>
  <w:abstractNum w:abstractNumId="6">
    <w:multiLevelType w:val="hybridMultilevel"/>
    <w:lvl w:ilvl="0">
      <w:start w:val="2"/>
      <w:numFmt w:val="decimal"/>
      <w:lvlText w:val="%1"/>
      <w:lvlJc w:val="left"/>
      <w:pPr>
        <w:ind w:left="2946" w:hanging="747"/>
        <w:jc w:val="left"/>
      </w:pPr>
      <w:rPr>
        <w:rFonts w:hint="default"/>
        <w:lang w:val="en-US" w:eastAsia="zh-CN" w:bidi="ar-SA"/>
      </w:rPr>
    </w:lvl>
    <w:lvl w:ilvl="1">
      <w:start w:val="1"/>
      <w:numFmt w:val="decimal"/>
      <w:lvlText w:val="%1.%2"/>
      <w:lvlJc w:val="left"/>
      <w:pPr>
        <w:ind w:left="2946" w:hanging="747"/>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472" w:hanging="529"/>
        <w:jc w:val="left"/>
      </w:pPr>
      <w:rPr>
        <w:rFonts w:hint="default" w:ascii="宋体" w:hAnsi="宋体" w:eastAsia="宋体" w:cs="宋体"/>
        <w:b w:val="0"/>
        <w:bCs w:val="0"/>
        <w:i w:val="0"/>
        <w:iCs w:val="0"/>
        <w:spacing w:val="-34"/>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29" w:hanging="529"/>
      </w:pPr>
      <w:rPr>
        <w:rFonts w:hint="default"/>
        <w:lang w:val="en-US" w:eastAsia="zh-CN" w:bidi="ar-SA"/>
      </w:rPr>
    </w:lvl>
    <w:lvl w:ilvl="6">
      <w:start w:val="0"/>
      <w:numFmt w:val="bullet"/>
      <w:lvlText w:val="•"/>
      <w:lvlJc w:val="left"/>
      <w:pPr>
        <w:ind w:left="7416" w:hanging="529"/>
      </w:pPr>
      <w:rPr>
        <w:rFonts w:hint="default"/>
        <w:lang w:val="en-US" w:eastAsia="zh-CN" w:bidi="ar-SA"/>
      </w:rPr>
    </w:lvl>
    <w:lvl w:ilvl="7">
      <w:start w:val="0"/>
      <w:numFmt w:val="bullet"/>
      <w:lvlText w:val="•"/>
      <w:lvlJc w:val="left"/>
      <w:pPr>
        <w:ind w:left="8204" w:hanging="529"/>
      </w:pPr>
      <w:rPr>
        <w:rFonts w:hint="default"/>
        <w:lang w:val="en-US" w:eastAsia="zh-CN" w:bidi="ar-SA"/>
      </w:rPr>
    </w:lvl>
    <w:lvl w:ilvl="8">
      <w:start w:val="0"/>
      <w:numFmt w:val="bullet"/>
      <w:lvlText w:val="•"/>
      <w:lvlJc w:val="left"/>
      <w:pPr>
        <w:ind w:left="8991" w:hanging="529"/>
      </w:pPr>
      <w:rPr>
        <w:rFonts w:hint="default"/>
        <w:lang w:val="en-US" w:eastAsia="zh-CN" w:bidi="ar-SA"/>
      </w:rPr>
    </w:lvl>
  </w:abstractNum>
  <w:abstractNum w:abstractNumId="5">
    <w:multiLevelType w:val="hybridMultilevel"/>
    <w:lvl w:ilvl="0">
      <w:start w:val="1"/>
      <w:numFmt w:val="decimal"/>
      <w:lvlText w:val="%1"/>
      <w:lvlJc w:val="left"/>
      <w:pPr>
        <w:ind w:left="2946" w:hanging="747"/>
        <w:jc w:val="left"/>
      </w:pPr>
      <w:rPr>
        <w:rFonts w:hint="default"/>
        <w:lang w:val="en-US" w:eastAsia="zh-CN" w:bidi="ar-SA"/>
      </w:rPr>
    </w:lvl>
    <w:lvl w:ilvl="1">
      <w:start w:val="4"/>
      <w:numFmt w:val="decimal"/>
      <w:lvlText w:val="%1.%2"/>
      <w:lvlJc w:val="left"/>
      <w:pPr>
        <w:ind w:left="2946" w:hanging="747"/>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65" w:hanging="747"/>
      </w:pPr>
      <w:rPr>
        <w:rFonts w:hint="default"/>
        <w:lang w:val="en-US" w:eastAsia="zh-CN" w:bidi="ar-SA"/>
      </w:rPr>
    </w:lvl>
    <w:lvl w:ilvl="3">
      <w:start w:val="0"/>
      <w:numFmt w:val="bullet"/>
      <w:lvlText w:val="•"/>
      <w:lvlJc w:val="left"/>
      <w:pPr>
        <w:ind w:left="5227" w:hanging="747"/>
      </w:pPr>
      <w:rPr>
        <w:rFonts w:hint="default"/>
        <w:lang w:val="en-US" w:eastAsia="zh-CN" w:bidi="ar-SA"/>
      </w:rPr>
    </w:lvl>
    <w:lvl w:ilvl="4">
      <w:start w:val="0"/>
      <w:numFmt w:val="bullet"/>
      <w:lvlText w:val="•"/>
      <w:lvlJc w:val="left"/>
      <w:pPr>
        <w:ind w:left="5990" w:hanging="747"/>
      </w:pPr>
      <w:rPr>
        <w:rFonts w:hint="default"/>
        <w:lang w:val="en-US" w:eastAsia="zh-CN" w:bidi="ar-SA"/>
      </w:rPr>
    </w:lvl>
    <w:lvl w:ilvl="5">
      <w:start w:val="0"/>
      <w:numFmt w:val="bullet"/>
      <w:lvlText w:val="•"/>
      <w:lvlJc w:val="left"/>
      <w:pPr>
        <w:ind w:left="6753" w:hanging="747"/>
      </w:pPr>
      <w:rPr>
        <w:rFonts w:hint="default"/>
        <w:lang w:val="en-US" w:eastAsia="zh-CN" w:bidi="ar-SA"/>
      </w:rPr>
    </w:lvl>
    <w:lvl w:ilvl="6">
      <w:start w:val="0"/>
      <w:numFmt w:val="bullet"/>
      <w:lvlText w:val="•"/>
      <w:lvlJc w:val="left"/>
      <w:pPr>
        <w:ind w:left="7515" w:hanging="747"/>
      </w:pPr>
      <w:rPr>
        <w:rFonts w:hint="default"/>
        <w:lang w:val="en-US" w:eastAsia="zh-CN" w:bidi="ar-SA"/>
      </w:rPr>
    </w:lvl>
    <w:lvl w:ilvl="7">
      <w:start w:val="0"/>
      <w:numFmt w:val="bullet"/>
      <w:lvlText w:val="•"/>
      <w:lvlJc w:val="left"/>
      <w:pPr>
        <w:ind w:left="8278" w:hanging="747"/>
      </w:pPr>
      <w:rPr>
        <w:rFonts w:hint="default"/>
        <w:lang w:val="en-US" w:eastAsia="zh-CN" w:bidi="ar-SA"/>
      </w:rPr>
    </w:lvl>
    <w:lvl w:ilvl="8">
      <w:start w:val="0"/>
      <w:numFmt w:val="bullet"/>
      <w:lvlText w:val="•"/>
      <w:lvlJc w:val="left"/>
      <w:pPr>
        <w:ind w:left="9041" w:hanging="747"/>
      </w:pPr>
      <w:rPr>
        <w:rFonts w:hint="default"/>
        <w:lang w:val="en-US" w:eastAsia="zh-CN" w:bidi="ar-SA"/>
      </w:rPr>
    </w:lvl>
  </w:abstractNum>
  <w:abstractNum w:abstractNumId="4">
    <w:multiLevelType w:val="hybridMultilevel"/>
    <w:lvl w:ilvl="0">
      <w:start w:val="9"/>
      <w:numFmt w:val="decimal"/>
      <w:lvlText w:val="%1"/>
      <w:lvlJc w:val="left"/>
      <w:pPr>
        <w:ind w:left="949" w:hanging="526"/>
        <w:jc w:val="left"/>
      </w:pPr>
      <w:rPr>
        <w:rFonts w:hint="default"/>
        <w:lang w:val="en-US" w:eastAsia="zh-CN" w:bidi="ar-SA"/>
      </w:rPr>
    </w:lvl>
    <w:lvl w:ilvl="1">
      <w:start w:val="39"/>
      <w:numFmt w:val="decimal"/>
      <w:lvlText w:val="%1.%2"/>
      <w:lvlJc w:val="left"/>
      <w:pPr>
        <w:ind w:left="949"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605" w:hanging="526"/>
      </w:pPr>
      <w:rPr>
        <w:rFonts w:hint="default"/>
        <w:lang w:val="en-US" w:eastAsia="zh-CN" w:bidi="ar-SA"/>
      </w:rPr>
    </w:lvl>
    <w:lvl w:ilvl="3">
      <w:start w:val="0"/>
      <w:numFmt w:val="bullet"/>
      <w:lvlText w:val="•"/>
      <w:lvlJc w:val="left"/>
      <w:pPr>
        <w:ind w:left="3731" w:hanging="526"/>
      </w:pPr>
      <w:rPr>
        <w:rFonts w:hint="default"/>
        <w:lang w:val="en-US" w:eastAsia="zh-CN" w:bidi="ar-SA"/>
      </w:rPr>
    </w:lvl>
    <w:lvl w:ilvl="4">
      <w:start w:val="0"/>
      <w:numFmt w:val="bullet"/>
      <w:lvlText w:val="•"/>
      <w:lvlJc w:val="left"/>
      <w:pPr>
        <w:ind w:left="3857" w:hanging="526"/>
      </w:pPr>
      <w:rPr>
        <w:rFonts w:hint="default"/>
        <w:lang w:val="en-US" w:eastAsia="zh-CN" w:bidi="ar-SA"/>
      </w:rPr>
    </w:lvl>
    <w:lvl w:ilvl="5">
      <w:start w:val="0"/>
      <w:numFmt w:val="bullet"/>
      <w:lvlText w:val="•"/>
      <w:lvlJc w:val="left"/>
      <w:pPr>
        <w:ind w:left="3983" w:hanging="526"/>
      </w:pPr>
      <w:rPr>
        <w:rFonts w:hint="default"/>
        <w:lang w:val="en-US" w:eastAsia="zh-CN" w:bidi="ar-SA"/>
      </w:rPr>
    </w:lvl>
    <w:lvl w:ilvl="6">
      <w:start w:val="0"/>
      <w:numFmt w:val="bullet"/>
      <w:lvlText w:val="•"/>
      <w:lvlJc w:val="left"/>
      <w:pPr>
        <w:ind w:left="4109" w:hanging="526"/>
      </w:pPr>
      <w:rPr>
        <w:rFonts w:hint="default"/>
        <w:lang w:val="en-US" w:eastAsia="zh-CN" w:bidi="ar-SA"/>
      </w:rPr>
    </w:lvl>
    <w:lvl w:ilvl="7">
      <w:start w:val="0"/>
      <w:numFmt w:val="bullet"/>
      <w:lvlText w:val="•"/>
      <w:lvlJc w:val="left"/>
      <w:pPr>
        <w:ind w:left="4235" w:hanging="526"/>
      </w:pPr>
      <w:rPr>
        <w:rFonts w:hint="default"/>
        <w:lang w:val="en-US" w:eastAsia="zh-CN" w:bidi="ar-SA"/>
      </w:rPr>
    </w:lvl>
    <w:lvl w:ilvl="8">
      <w:start w:val="0"/>
      <w:numFmt w:val="bullet"/>
      <w:lvlText w:val="•"/>
      <w:lvlJc w:val="left"/>
      <w:pPr>
        <w:ind w:left="4361" w:hanging="526"/>
      </w:pPr>
      <w:rPr>
        <w:rFonts w:hint="default"/>
        <w:lang w:val="en-US" w:eastAsia="zh-CN" w:bidi="ar-SA"/>
      </w:rPr>
    </w:lvl>
  </w:abstractNum>
  <w:abstractNum w:abstractNumId="3">
    <w:multiLevelType w:val="hybridMultilevel"/>
    <w:lvl w:ilvl="0">
      <w:start w:val="5"/>
      <w:numFmt w:val="decimal"/>
      <w:lvlText w:val="%1."/>
      <w:lvlJc w:val="left"/>
      <w:pPr>
        <w:ind w:left="741" w:hanging="318"/>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971" w:hanging="318"/>
      </w:pPr>
      <w:rPr>
        <w:rFonts w:hint="default"/>
        <w:lang w:val="en-US" w:eastAsia="zh-CN" w:bidi="ar-SA"/>
      </w:rPr>
    </w:lvl>
    <w:lvl w:ilvl="2">
      <w:start w:val="0"/>
      <w:numFmt w:val="bullet"/>
      <w:lvlText w:val="•"/>
      <w:lvlJc w:val="left"/>
      <w:pPr>
        <w:ind w:left="1203" w:hanging="318"/>
      </w:pPr>
      <w:rPr>
        <w:rFonts w:hint="default"/>
        <w:lang w:val="en-US" w:eastAsia="zh-CN" w:bidi="ar-SA"/>
      </w:rPr>
    </w:lvl>
    <w:lvl w:ilvl="3">
      <w:start w:val="0"/>
      <w:numFmt w:val="bullet"/>
      <w:lvlText w:val="•"/>
      <w:lvlJc w:val="left"/>
      <w:pPr>
        <w:ind w:left="1435" w:hanging="318"/>
      </w:pPr>
      <w:rPr>
        <w:rFonts w:hint="default"/>
        <w:lang w:val="en-US" w:eastAsia="zh-CN" w:bidi="ar-SA"/>
      </w:rPr>
    </w:lvl>
    <w:lvl w:ilvl="4">
      <w:start w:val="0"/>
      <w:numFmt w:val="bullet"/>
      <w:lvlText w:val="•"/>
      <w:lvlJc w:val="left"/>
      <w:pPr>
        <w:ind w:left="1667" w:hanging="318"/>
      </w:pPr>
      <w:rPr>
        <w:rFonts w:hint="default"/>
        <w:lang w:val="en-US" w:eastAsia="zh-CN" w:bidi="ar-SA"/>
      </w:rPr>
    </w:lvl>
    <w:lvl w:ilvl="5">
      <w:start w:val="0"/>
      <w:numFmt w:val="bullet"/>
      <w:lvlText w:val="•"/>
      <w:lvlJc w:val="left"/>
      <w:pPr>
        <w:ind w:left="1899" w:hanging="318"/>
      </w:pPr>
      <w:rPr>
        <w:rFonts w:hint="default"/>
        <w:lang w:val="en-US" w:eastAsia="zh-CN" w:bidi="ar-SA"/>
      </w:rPr>
    </w:lvl>
    <w:lvl w:ilvl="6">
      <w:start w:val="0"/>
      <w:numFmt w:val="bullet"/>
      <w:lvlText w:val="•"/>
      <w:lvlJc w:val="left"/>
      <w:pPr>
        <w:ind w:left="2131" w:hanging="318"/>
      </w:pPr>
      <w:rPr>
        <w:rFonts w:hint="default"/>
        <w:lang w:val="en-US" w:eastAsia="zh-CN" w:bidi="ar-SA"/>
      </w:rPr>
    </w:lvl>
    <w:lvl w:ilvl="7">
      <w:start w:val="0"/>
      <w:numFmt w:val="bullet"/>
      <w:lvlText w:val="•"/>
      <w:lvlJc w:val="left"/>
      <w:pPr>
        <w:ind w:left="2363" w:hanging="318"/>
      </w:pPr>
      <w:rPr>
        <w:rFonts w:hint="default"/>
        <w:lang w:val="en-US" w:eastAsia="zh-CN" w:bidi="ar-SA"/>
      </w:rPr>
    </w:lvl>
    <w:lvl w:ilvl="8">
      <w:start w:val="0"/>
      <w:numFmt w:val="bullet"/>
      <w:lvlText w:val="•"/>
      <w:lvlJc w:val="left"/>
      <w:pPr>
        <w:ind w:left="2595" w:hanging="318"/>
      </w:pPr>
      <w:rPr>
        <w:rFonts w:hint="default"/>
        <w:lang w:val="en-US" w:eastAsia="zh-CN" w:bidi="ar-SA"/>
      </w:rPr>
    </w:lvl>
  </w:abstractNum>
  <w:abstractNum w:abstractNumId="2">
    <w:multiLevelType w:val="hybridMultilevel"/>
    <w:lvl w:ilvl="0">
      <w:start w:val="9"/>
      <w:numFmt w:val="decimal"/>
      <w:lvlText w:val="%1"/>
      <w:lvlJc w:val="left"/>
      <w:pPr>
        <w:ind w:left="961" w:hanging="526"/>
        <w:jc w:val="left"/>
      </w:pPr>
      <w:rPr>
        <w:rFonts w:hint="default"/>
        <w:lang w:val="en-US" w:eastAsia="zh-CN" w:bidi="ar-SA"/>
      </w:rPr>
    </w:lvl>
    <w:lvl w:ilvl="1">
      <w:start w:val="19"/>
      <w:numFmt w:val="decimal"/>
      <w:lvlText w:val="%1.%2"/>
      <w:lvlJc w:val="left"/>
      <w:pPr>
        <w:ind w:left="961"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93" w:hanging="526"/>
      </w:pPr>
      <w:rPr>
        <w:rFonts w:hint="default"/>
        <w:lang w:val="en-US" w:eastAsia="zh-CN" w:bidi="ar-SA"/>
      </w:rPr>
    </w:lvl>
    <w:lvl w:ilvl="3">
      <w:start w:val="0"/>
      <w:numFmt w:val="bullet"/>
      <w:lvlText w:val="•"/>
      <w:lvlJc w:val="left"/>
      <w:pPr>
        <w:ind w:left="2059" w:hanging="526"/>
      </w:pPr>
      <w:rPr>
        <w:rFonts w:hint="default"/>
        <w:lang w:val="en-US" w:eastAsia="zh-CN" w:bidi="ar-SA"/>
      </w:rPr>
    </w:lvl>
    <w:lvl w:ilvl="4">
      <w:start w:val="0"/>
      <w:numFmt w:val="bullet"/>
      <w:lvlText w:val="•"/>
      <w:lvlJc w:val="left"/>
      <w:pPr>
        <w:ind w:left="2426" w:hanging="526"/>
      </w:pPr>
      <w:rPr>
        <w:rFonts w:hint="default"/>
        <w:lang w:val="en-US" w:eastAsia="zh-CN" w:bidi="ar-SA"/>
      </w:rPr>
    </w:lvl>
    <w:lvl w:ilvl="5">
      <w:start w:val="0"/>
      <w:numFmt w:val="bullet"/>
      <w:lvlText w:val="•"/>
      <w:lvlJc w:val="left"/>
      <w:pPr>
        <w:ind w:left="2792" w:hanging="526"/>
      </w:pPr>
      <w:rPr>
        <w:rFonts w:hint="default"/>
        <w:lang w:val="en-US" w:eastAsia="zh-CN" w:bidi="ar-SA"/>
      </w:rPr>
    </w:lvl>
    <w:lvl w:ilvl="6">
      <w:start w:val="0"/>
      <w:numFmt w:val="bullet"/>
      <w:lvlText w:val="•"/>
      <w:lvlJc w:val="left"/>
      <w:pPr>
        <w:ind w:left="3159" w:hanging="526"/>
      </w:pPr>
      <w:rPr>
        <w:rFonts w:hint="default"/>
        <w:lang w:val="en-US" w:eastAsia="zh-CN" w:bidi="ar-SA"/>
      </w:rPr>
    </w:lvl>
    <w:lvl w:ilvl="7">
      <w:start w:val="0"/>
      <w:numFmt w:val="bullet"/>
      <w:lvlText w:val="•"/>
      <w:lvlJc w:val="left"/>
      <w:pPr>
        <w:ind w:left="3525" w:hanging="526"/>
      </w:pPr>
      <w:rPr>
        <w:rFonts w:hint="default"/>
        <w:lang w:val="en-US" w:eastAsia="zh-CN" w:bidi="ar-SA"/>
      </w:rPr>
    </w:lvl>
    <w:lvl w:ilvl="8">
      <w:start w:val="0"/>
      <w:numFmt w:val="bullet"/>
      <w:lvlText w:val="•"/>
      <w:lvlJc w:val="left"/>
      <w:pPr>
        <w:ind w:left="3892" w:hanging="526"/>
      </w:pPr>
      <w:rPr>
        <w:rFonts w:hint="default"/>
        <w:lang w:val="en-US" w:eastAsia="zh-CN" w:bidi="ar-SA"/>
      </w:rPr>
    </w:lvl>
  </w:abstractNum>
  <w:abstractNum w:abstractNumId="1">
    <w:multiLevelType w:val="hybridMultilevel"/>
    <w:lvl w:ilvl="0">
      <w:start w:val="1"/>
      <w:numFmt w:val="decimal"/>
      <w:lvlText w:val="%1."/>
      <w:lvlJc w:val="left"/>
      <w:pPr>
        <w:ind w:left="741" w:hanging="318"/>
        <w:jc w:val="left"/>
      </w:pPr>
      <w:rPr>
        <w:rFonts w:hint="default" w:ascii="微软雅黑" w:hAnsi="微软雅黑" w:eastAsia="微软雅黑" w:cs="微软雅黑"/>
        <w:b/>
        <w:bCs/>
        <w:i w:val="0"/>
        <w:iCs w:val="0"/>
        <w:w w:val="81"/>
        <w:sz w:val="19"/>
        <w:szCs w:val="19"/>
        <w:lang w:val="en-US" w:eastAsia="zh-CN" w:bidi="ar-SA"/>
      </w:rPr>
    </w:lvl>
    <w:lvl w:ilvl="1">
      <w:start w:val="1"/>
      <w:numFmt w:val="decimal"/>
      <w:lvlText w:val="%1.%2"/>
      <w:lvlJc w:val="left"/>
      <w:pPr>
        <w:ind w:left="10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93" w:hanging="423"/>
      </w:pPr>
      <w:rPr>
        <w:rFonts w:hint="default"/>
        <w:lang w:val="en-US" w:eastAsia="zh-CN" w:bidi="ar-SA"/>
      </w:rPr>
    </w:lvl>
    <w:lvl w:ilvl="3">
      <w:start w:val="0"/>
      <w:numFmt w:val="bullet"/>
      <w:lvlText w:val="•"/>
      <w:lvlJc w:val="left"/>
      <w:pPr>
        <w:ind w:left="1326" w:hanging="423"/>
      </w:pPr>
      <w:rPr>
        <w:rFonts w:hint="default"/>
        <w:lang w:val="en-US" w:eastAsia="zh-CN" w:bidi="ar-SA"/>
      </w:rPr>
    </w:lvl>
    <w:lvl w:ilvl="4">
      <w:start w:val="0"/>
      <w:numFmt w:val="bullet"/>
      <w:lvlText w:val="•"/>
      <w:lvlJc w:val="left"/>
      <w:pPr>
        <w:ind w:left="1459" w:hanging="423"/>
      </w:pPr>
      <w:rPr>
        <w:rFonts w:hint="default"/>
        <w:lang w:val="en-US" w:eastAsia="zh-CN" w:bidi="ar-SA"/>
      </w:rPr>
    </w:lvl>
    <w:lvl w:ilvl="5">
      <w:start w:val="0"/>
      <w:numFmt w:val="bullet"/>
      <w:lvlText w:val="•"/>
      <w:lvlJc w:val="left"/>
      <w:pPr>
        <w:ind w:left="1592" w:hanging="423"/>
      </w:pPr>
      <w:rPr>
        <w:rFonts w:hint="default"/>
        <w:lang w:val="en-US" w:eastAsia="zh-CN" w:bidi="ar-SA"/>
      </w:rPr>
    </w:lvl>
    <w:lvl w:ilvl="6">
      <w:start w:val="0"/>
      <w:numFmt w:val="bullet"/>
      <w:lvlText w:val="•"/>
      <w:lvlJc w:val="left"/>
      <w:pPr>
        <w:ind w:left="1726" w:hanging="423"/>
      </w:pPr>
      <w:rPr>
        <w:rFonts w:hint="default"/>
        <w:lang w:val="en-US" w:eastAsia="zh-CN" w:bidi="ar-SA"/>
      </w:rPr>
    </w:lvl>
    <w:lvl w:ilvl="7">
      <w:start w:val="0"/>
      <w:numFmt w:val="bullet"/>
      <w:lvlText w:val="•"/>
      <w:lvlJc w:val="left"/>
      <w:pPr>
        <w:ind w:left="1859" w:hanging="423"/>
      </w:pPr>
      <w:rPr>
        <w:rFonts w:hint="default"/>
        <w:lang w:val="en-US" w:eastAsia="zh-CN" w:bidi="ar-SA"/>
      </w:rPr>
    </w:lvl>
    <w:lvl w:ilvl="8">
      <w:start w:val="0"/>
      <w:numFmt w:val="bullet"/>
      <w:lvlText w:val="•"/>
      <w:lvlJc w:val="left"/>
      <w:pPr>
        <w:ind w:left="1992" w:hanging="423"/>
      </w:pPr>
      <w:rPr>
        <w:rFonts w:hint="default"/>
        <w:lang w:val="en-US" w:eastAsia="zh-CN" w:bidi="ar-SA"/>
      </w:rPr>
    </w:lvl>
  </w:abstractNum>
  <w:abstractNum w:abstractNumId="0">
    <w:multiLevelType w:val="hybridMultilevel"/>
    <w:lvl w:ilvl="0">
      <w:start w:val="0"/>
      <w:numFmt w:val="bullet"/>
      <w:lvlText w:val=""/>
      <w:lvlJc w:val="left"/>
      <w:pPr>
        <w:ind w:left="1628" w:hanging="401"/>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514" w:hanging="401"/>
      </w:pPr>
      <w:rPr>
        <w:rFonts w:hint="default"/>
        <w:lang w:val="en-US" w:eastAsia="zh-CN" w:bidi="ar-SA"/>
      </w:rPr>
    </w:lvl>
    <w:lvl w:ilvl="2">
      <w:start w:val="0"/>
      <w:numFmt w:val="bullet"/>
      <w:lvlText w:val="•"/>
      <w:lvlJc w:val="left"/>
      <w:pPr>
        <w:ind w:left="3409" w:hanging="401"/>
      </w:pPr>
      <w:rPr>
        <w:rFonts w:hint="default"/>
        <w:lang w:val="en-US" w:eastAsia="zh-CN" w:bidi="ar-SA"/>
      </w:rPr>
    </w:lvl>
    <w:lvl w:ilvl="3">
      <w:start w:val="0"/>
      <w:numFmt w:val="bullet"/>
      <w:lvlText w:val="•"/>
      <w:lvlJc w:val="left"/>
      <w:pPr>
        <w:ind w:left="4303" w:hanging="401"/>
      </w:pPr>
      <w:rPr>
        <w:rFonts w:hint="default"/>
        <w:lang w:val="en-US" w:eastAsia="zh-CN" w:bidi="ar-SA"/>
      </w:rPr>
    </w:lvl>
    <w:lvl w:ilvl="4">
      <w:start w:val="0"/>
      <w:numFmt w:val="bullet"/>
      <w:lvlText w:val="•"/>
      <w:lvlJc w:val="left"/>
      <w:pPr>
        <w:ind w:left="5198" w:hanging="401"/>
      </w:pPr>
      <w:rPr>
        <w:rFonts w:hint="default"/>
        <w:lang w:val="en-US" w:eastAsia="zh-CN" w:bidi="ar-SA"/>
      </w:rPr>
    </w:lvl>
    <w:lvl w:ilvl="5">
      <w:start w:val="0"/>
      <w:numFmt w:val="bullet"/>
      <w:lvlText w:val="•"/>
      <w:lvlJc w:val="left"/>
      <w:pPr>
        <w:ind w:left="6093" w:hanging="401"/>
      </w:pPr>
      <w:rPr>
        <w:rFonts w:hint="default"/>
        <w:lang w:val="en-US" w:eastAsia="zh-CN" w:bidi="ar-SA"/>
      </w:rPr>
    </w:lvl>
    <w:lvl w:ilvl="6">
      <w:start w:val="0"/>
      <w:numFmt w:val="bullet"/>
      <w:lvlText w:val="•"/>
      <w:lvlJc w:val="left"/>
      <w:pPr>
        <w:ind w:left="6987" w:hanging="401"/>
      </w:pPr>
      <w:rPr>
        <w:rFonts w:hint="default"/>
        <w:lang w:val="en-US" w:eastAsia="zh-CN" w:bidi="ar-SA"/>
      </w:rPr>
    </w:lvl>
    <w:lvl w:ilvl="7">
      <w:start w:val="0"/>
      <w:numFmt w:val="bullet"/>
      <w:lvlText w:val="•"/>
      <w:lvlJc w:val="left"/>
      <w:pPr>
        <w:ind w:left="7882" w:hanging="401"/>
      </w:pPr>
      <w:rPr>
        <w:rFonts w:hint="default"/>
        <w:lang w:val="en-US" w:eastAsia="zh-CN" w:bidi="ar-SA"/>
      </w:rPr>
    </w:lvl>
    <w:lvl w:ilvl="8">
      <w:start w:val="0"/>
      <w:numFmt w:val="bullet"/>
      <w:lvlText w:val="•"/>
      <w:lvlJc w:val="left"/>
      <w:pPr>
        <w:ind w:left="8777" w:hanging="401"/>
      </w:pPr>
      <w:rPr>
        <w:rFonts w:hint="default"/>
        <w:lang w:val="en-US" w:eastAsia="zh-CN" w:bidi="ar-SA"/>
      </w:r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1" w:line="451" w:lineRule="exact"/>
      <w:ind w:left="235"/>
    </w:pPr>
    <w:rPr>
      <w:rFonts w:ascii="微软雅黑" w:hAnsi="微软雅黑" w:eastAsia="微软雅黑" w:cs="微软雅黑"/>
      <w:b/>
      <w:bCs/>
      <w:sz w:val="21"/>
      <w:szCs w:val="21"/>
      <w:lang w:val="en-US" w:eastAsia="zh-CN" w:bidi="ar-SA"/>
    </w:rPr>
  </w:style>
  <w:style w:styleId="TOC2" w:type="paragraph">
    <w:name w:val="TOC 2"/>
    <w:basedOn w:val="Normal"/>
    <w:uiPriority w:val="1"/>
    <w:qFormat/>
    <w:pPr>
      <w:spacing w:line="312" w:lineRule="exact"/>
      <w:ind w:left="1628" w:hanging="402"/>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ind w:left="1628" w:hanging="402"/>
    </w:pPr>
    <w:rPr>
      <w:rFonts w:ascii="宋体" w:hAnsi="宋体" w:eastAsia="宋体" w:cs="宋体"/>
      <w:sz w:val="21"/>
      <w:szCs w:val="21"/>
      <w:lang w:val="en-US" w:eastAsia="zh-CN" w:bidi="ar-SA"/>
    </w:rPr>
  </w:style>
  <w:style w:styleId="TOC4" w:type="paragraph">
    <w:name w:val="TOC 4"/>
    <w:basedOn w:val="Normal"/>
    <w:uiPriority w:val="1"/>
    <w:qFormat/>
    <w:pPr>
      <w:spacing w:line="252" w:lineRule="exact"/>
      <w:ind w:left="1654" w:hanging="428"/>
    </w:pPr>
    <w:rPr>
      <w:rFonts w:ascii="Microsoft JhengHei" w:hAnsi="Microsoft JhengHei" w:eastAsia="Microsoft JhengHei" w:cs="Microsoft JhengHei"/>
      <w:b/>
      <w:bCs/>
      <w:i/>
      <w:iCs/>
      <w:lang w:val="en-US" w:eastAsia="zh-CN" w:bidi="ar-SA"/>
    </w:rPr>
  </w:style>
  <w:style w:styleId="TOC5" w:type="paragraph">
    <w:name w:val="TOC 5"/>
    <w:basedOn w:val="Normal"/>
    <w:uiPriority w:val="1"/>
    <w:qFormat/>
    <w:pPr>
      <w:spacing w:line="347" w:lineRule="exact"/>
      <w:ind w:left="1616"/>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60"/>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1006"/>
      <w:outlineLvl w:val="2"/>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2946" w:hanging="53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2023-06-02T06:52:49Z</dcterms:created>
  <dcterms:modified xsi:type="dcterms:W3CDTF">2023-06-02T06:52:49Z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