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78"/>
        <w:ind w:left="0" w:right="168" w:firstLine="0"/>
        <w:jc w:val="right"/>
        <w:rPr>
          <w:sz w:val="14"/>
        </w:rPr>
      </w:pPr>
      <w:r>
        <w:rPr>
          <w:w w:val="95"/>
          <w:sz w:val="14"/>
        </w:rPr>
        <w:t>小</w:t>
      </w:r>
      <w:r>
        <w:rPr>
          <w:w w:val="95"/>
          <w:sz w:val="14"/>
        </w:rPr>
        <w:t>康</w:t>
      </w:r>
      <w:r>
        <w:rPr>
          <w:w w:val="95"/>
          <w:sz w:val="14"/>
        </w:rPr>
        <w:t>人</w:t>
      </w:r>
      <w:r>
        <w:rPr>
          <w:w w:val="95"/>
          <w:sz w:val="14"/>
        </w:rPr>
        <w:t>寿[</w:t>
      </w:r>
      <w:r>
        <w:rPr>
          <w:rFonts w:ascii="Times New Roman" w:eastAsia="Times New Roman"/>
          <w:w w:val="95"/>
          <w:sz w:val="14"/>
        </w:rPr>
        <w:t>2021</w:t>
      </w:r>
      <w:r>
        <w:rPr>
          <w:w w:val="95"/>
          <w:sz w:val="14"/>
        </w:rPr>
        <w:t>]</w:t>
      </w:r>
      <w:r>
        <w:rPr>
          <w:w w:val="95"/>
          <w:sz w:val="14"/>
        </w:rPr>
        <w:t>疾</w:t>
      </w:r>
      <w:r>
        <w:rPr>
          <w:w w:val="95"/>
          <w:sz w:val="14"/>
        </w:rPr>
        <w:t>病</w:t>
      </w:r>
      <w:r>
        <w:rPr>
          <w:w w:val="95"/>
          <w:sz w:val="14"/>
        </w:rPr>
        <w:t>保</w:t>
      </w:r>
      <w:r>
        <w:rPr>
          <w:w w:val="95"/>
          <w:sz w:val="14"/>
        </w:rPr>
        <w:t>险</w:t>
      </w:r>
      <w:r>
        <w:rPr>
          <w:spacing w:val="2"/>
          <w:sz w:val="14"/>
        </w:rPr>
        <w:t> </w:t>
      </w:r>
      <w:r>
        <w:rPr>
          <w:rFonts w:ascii="Times New Roman" w:eastAsia="Times New Roman"/>
          <w:w w:val="95"/>
          <w:sz w:val="14"/>
        </w:rPr>
        <w:t>016</w:t>
      </w:r>
      <w:r>
        <w:rPr>
          <w:rFonts w:ascii="Times New Roman" w:eastAsia="Times New Roman"/>
          <w:spacing w:val="39"/>
          <w:sz w:val="14"/>
        </w:rPr>
        <w:t> </w:t>
      </w:r>
      <w:r>
        <w:rPr>
          <w:spacing w:val="-10"/>
          <w:w w:val="95"/>
          <w:sz w:val="14"/>
        </w:rPr>
        <w:t>号</w:t>
      </w:r>
    </w:p>
    <w:p>
      <w:pPr>
        <w:pStyle w:val="Title"/>
      </w:pPr>
      <w:r>
        <w:rPr/>
        <w:drawing>
          <wp:anchor distT="0" distB="0" distL="0" distR="0" allowOverlap="1" layoutInCell="1" locked="0" behindDoc="0" simplePos="0" relativeHeight="15728640">
            <wp:simplePos x="0" y="0"/>
            <wp:positionH relativeFrom="page">
              <wp:posOffset>5846064</wp:posOffset>
            </wp:positionH>
            <wp:positionV relativeFrom="paragraph">
              <wp:posOffset>30177</wp:posOffset>
            </wp:positionV>
            <wp:extent cx="723899"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899" cy="723900"/>
                    </a:xfrm>
                    <a:prstGeom prst="rect">
                      <a:avLst/>
                    </a:prstGeom>
                  </pic:spPr>
                </pic:pic>
              </a:graphicData>
            </a:graphic>
          </wp:anchor>
        </w:drawing>
      </w:r>
      <w:r>
        <w:rPr>
          <w:w w:val="95"/>
        </w:rPr>
        <w:t>小康</w:t>
      </w:r>
      <w:r>
        <w:rPr>
          <w:w w:val="95"/>
        </w:rPr>
        <w:t>长</w:t>
      </w:r>
      <w:r>
        <w:rPr>
          <w:w w:val="95"/>
        </w:rPr>
        <w:t>享</w:t>
      </w:r>
      <w:r>
        <w:rPr>
          <w:w w:val="95"/>
        </w:rPr>
        <w:t>安</w:t>
      </w:r>
      <w:r>
        <w:rPr>
          <w:w w:val="95"/>
        </w:rPr>
        <w:t>康</w:t>
      </w:r>
      <w:r>
        <w:rPr>
          <w:w w:val="95"/>
        </w:rPr>
        <w:t>重</w:t>
      </w:r>
      <w:r>
        <w:rPr>
          <w:w w:val="95"/>
        </w:rPr>
        <w:t>大</w:t>
      </w:r>
      <w:r>
        <w:rPr>
          <w:w w:val="95"/>
        </w:rPr>
        <w:t>疾</w:t>
      </w:r>
      <w:r>
        <w:rPr>
          <w:w w:val="95"/>
        </w:rPr>
        <w:t>病</w:t>
      </w:r>
      <w:r>
        <w:rPr>
          <w:w w:val="95"/>
        </w:rPr>
        <w:t>保</w:t>
      </w:r>
      <w:r>
        <w:rPr>
          <w:w w:val="95"/>
        </w:rPr>
        <w:t>险</w:t>
      </w:r>
      <w:r>
        <w:rPr>
          <w:spacing w:val="-5"/>
          <w:w w:val="95"/>
        </w:rPr>
        <w:t>条款</w:t>
      </w:r>
    </w:p>
    <w:p>
      <w:pPr>
        <w:spacing w:line="502" w:lineRule="exact" w:before="0"/>
        <w:ind w:left="1463" w:right="1536" w:firstLine="0"/>
        <w:jc w:val="center"/>
        <w:rPr>
          <w:rFonts w:ascii="微软雅黑" w:eastAsia="微软雅黑"/>
          <w:b/>
          <w:sz w:val="32"/>
        </w:rPr>
      </w:pPr>
      <w:r>
        <w:rPr>
          <w:rFonts w:ascii="微软雅黑" w:eastAsia="微软雅黑"/>
          <w:b/>
          <w:w w:val="95"/>
          <w:sz w:val="32"/>
        </w:rPr>
        <w:t>阅</w:t>
      </w:r>
      <w:r>
        <w:rPr>
          <w:rFonts w:ascii="微软雅黑" w:eastAsia="微软雅黑"/>
          <w:b/>
          <w:w w:val="95"/>
          <w:sz w:val="32"/>
        </w:rPr>
        <w:t>读</w:t>
      </w:r>
      <w:r>
        <w:rPr>
          <w:rFonts w:ascii="微软雅黑" w:eastAsia="微软雅黑"/>
          <w:b/>
          <w:w w:val="95"/>
          <w:sz w:val="32"/>
        </w:rPr>
        <w:t>指</w:t>
      </w:r>
      <w:r>
        <w:rPr>
          <w:rFonts w:ascii="微软雅黑" w:eastAsia="微软雅黑"/>
          <w:b/>
          <w:spacing w:val="-10"/>
          <w:w w:val="95"/>
          <w:sz w:val="32"/>
        </w:rPr>
        <w:t>引</w:t>
      </w:r>
    </w:p>
    <w:p>
      <w:pPr>
        <w:spacing w:line="134" w:lineRule="exact" w:before="0"/>
        <w:ind w:left="0" w:right="449" w:firstLine="0"/>
        <w:jc w:val="right"/>
        <w:rPr>
          <w:sz w:val="14"/>
        </w:rPr>
      </w:pPr>
      <w:r>
        <w:rPr>
          <w:w w:val="95"/>
          <w:sz w:val="14"/>
        </w:rPr>
        <w:t>请</w:t>
      </w:r>
      <w:r>
        <w:rPr>
          <w:w w:val="95"/>
          <w:sz w:val="14"/>
        </w:rPr>
        <w:t>扫</w:t>
      </w:r>
      <w:r>
        <w:rPr>
          <w:w w:val="95"/>
          <w:sz w:val="14"/>
        </w:rPr>
        <w:t>描</w:t>
      </w:r>
      <w:r>
        <w:rPr>
          <w:w w:val="95"/>
          <w:sz w:val="14"/>
        </w:rPr>
        <w:t>以</w:t>
      </w:r>
      <w:r>
        <w:rPr>
          <w:w w:val="95"/>
          <w:sz w:val="14"/>
        </w:rPr>
        <w:t>查</w:t>
      </w:r>
      <w:r>
        <w:rPr>
          <w:w w:val="95"/>
          <w:sz w:val="14"/>
        </w:rPr>
        <w:t>询</w:t>
      </w:r>
      <w:r>
        <w:rPr>
          <w:w w:val="95"/>
          <w:sz w:val="14"/>
        </w:rPr>
        <w:t>验</w:t>
      </w:r>
      <w:r>
        <w:rPr>
          <w:w w:val="95"/>
          <w:sz w:val="14"/>
        </w:rPr>
        <w:t>证</w:t>
      </w:r>
      <w:r>
        <w:rPr>
          <w:w w:val="95"/>
          <w:sz w:val="14"/>
        </w:rPr>
        <w:t>条</w:t>
      </w:r>
      <w:r>
        <w:rPr>
          <w:spacing w:val="-10"/>
          <w:w w:val="95"/>
          <w:sz w:val="14"/>
        </w:rPr>
        <w:t>款</w:t>
      </w:r>
    </w:p>
    <w:p>
      <w:pPr>
        <w:pStyle w:val="BodyText"/>
        <w:spacing w:line="244" w:lineRule="exact"/>
        <w:ind w:left="1461" w:right="1536"/>
        <w:jc w:val="center"/>
      </w:pPr>
      <w:r>
        <w:rPr>
          <w:spacing w:val="-3"/>
        </w:rPr>
        <w:t>本阅读指引有助于您理解条款，对本合同内容的解释以条款正文为准。</w:t>
      </w:r>
    </w:p>
    <w:p>
      <w:pPr>
        <w:pStyle w:val="BodyText"/>
        <w:spacing w:before="3"/>
        <w:rPr>
          <w:sz w:val="16"/>
        </w:rPr>
      </w:pPr>
    </w:p>
    <w:p>
      <w:pPr>
        <w:spacing w:line="364" w:lineRule="exact" w:before="0"/>
        <w:ind w:left="1463" w:right="1536" w:firstLine="0"/>
        <w:jc w:val="center"/>
        <w:rPr>
          <w:rFonts w:ascii="微软雅黑" w:eastAsia="微软雅黑"/>
          <w:b/>
          <w:sz w:val="21"/>
        </w:rPr>
      </w:pPr>
      <w:r>
        <w:rPr>
          <w:rFonts w:ascii="微软雅黑" w:eastAsia="微软雅黑"/>
          <w:b/>
          <w:spacing w:val="-2"/>
          <w:sz w:val="21"/>
        </w:rPr>
        <w:t>您拥有的重要权益</w:t>
      </w:r>
    </w:p>
    <w:p>
      <w:pPr>
        <w:pStyle w:val="BodyText"/>
        <w:tabs>
          <w:tab w:pos="9650" w:val="right" w:leader="dot"/>
        </w:tabs>
        <w:spacing w:line="246" w:lineRule="exact"/>
        <w:ind w:left="140"/>
      </w:pPr>
      <w:r>
        <w:rPr/>
        <w:t>签收本合同之日</w:t>
      </w:r>
      <w:r>
        <w:rPr>
          <w:spacing w:val="10"/>
        </w:rPr>
        <w:t>起</w:t>
      </w:r>
      <w:r>
        <w:rPr/>
        <w:t>15</w:t>
      </w:r>
      <w:r>
        <w:rPr>
          <w:spacing w:val="-78"/>
        </w:rPr>
        <w:t> </w:t>
      </w:r>
      <w:r>
        <w:rPr/>
        <w:t>日内</w:t>
      </w:r>
      <w:r>
        <w:rPr/>
        <w:t>为犹豫</w:t>
      </w:r>
      <w:r>
        <w:rPr>
          <w:spacing w:val="-10"/>
        </w:rPr>
        <w:t>期</w:t>
      </w:r>
      <w:r>
        <w:rPr>
          <w:rFonts w:ascii="Times New Roman" w:eastAsia="Times New Roman"/>
        </w:rPr>
        <w:tab/>
      </w:r>
      <w:r>
        <w:rPr>
          <w:spacing w:val="-5"/>
        </w:rPr>
        <w:t>1.4</w:t>
      </w:r>
    </w:p>
    <w:p>
      <w:pPr>
        <w:pStyle w:val="BodyText"/>
        <w:tabs>
          <w:tab w:pos="9645" w:val="right" w:leader="dot"/>
        </w:tabs>
        <w:spacing w:before="2"/>
        <w:ind w:left="140"/>
      </w:pPr>
      <w:r>
        <w:rPr>
          <w:spacing w:val="-2"/>
        </w:rPr>
        <w:t>您</w:t>
      </w:r>
      <w:r>
        <w:rPr>
          <w:spacing w:val="-2"/>
        </w:rPr>
        <w:t>有</w:t>
      </w:r>
      <w:r>
        <w:rPr>
          <w:spacing w:val="-2"/>
        </w:rPr>
        <w:t>解</w:t>
      </w:r>
      <w:r>
        <w:rPr>
          <w:spacing w:val="-2"/>
        </w:rPr>
        <w:t>除</w:t>
      </w:r>
      <w:r>
        <w:rPr>
          <w:spacing w:val="-2"/>
        </w:rPr>
        <w:t>合</w:t>
      </w:r>
      <w:r>
        <w:rPr>
          <w:spacing w:val="-2"/>
        </w:rPr>
        <w:t>同</w:t>
      </w:r>
      <w:r>
        <w:rPr>
          <w:spacing w:val="-2"/>
        </w:rPr>
        <w:t>的</w:t>
      </w:r>
      <w:r>
        <w:rPr>
          <w:spacing w:val="-2"/>
        </w:rPr>
        <w:t>权</w:t>
      </w:r>
      <w:r>
        <w:rPr>
          <w:spacing w:val="-10"/>
        </w:rPr>
        <w:t>利</w:t>
      </w:r>
      <w:r>
        <w:rPr>
          <w:rFonts w:ascii="Times New Roman" w:eastAsia="Times New Roman"/>
        </w:rPr>
        <w:tab/>
      </w:r>
      <w:r>
        <w:rPr>
          <w:spacing w:val="-5"/>
        </w:rPr>
        <w:t>1.5</w:t>
      </w:r>
    </w:p>
    <w:p>
      <w:pPr>
        <w:pStyle w:val="BodyText"/>
        <w:tabs>
          <w:tab w:pos="9648" w:val="right" w:leader="dot"/>
        </w:tabs>
        <w:spacing w:before="5"/>
        <w:ind w:left="140"/>
      </w:pPr>
      <w:r>
        <w:rPr>
          <w:spacing w:val="-2"/>
        </w:rPr>
        <w:t>本</w:t>
      </w:r>
      <w:r>
        <w:rPr>
          <w:spacing w:val="-2"/>
        </w:rPr>
        <w:t>合</w:t>
      </w:r>
      <w:r>
        <w:rPr>
          <w:spacing w:val="-2"/>
        </w:rPr>
        <w:t>同</w:t>
      </w:r>
      <w:r>
        <w:rPr>
          <w:spacing w:val="-2"/>
        </w:rPr>
        <w:t>提</w:t>
      </w:r>
      <w:r>
        <w:rPr>
          <w:spacing w:val="-2"/>
        </w:rPr>
        <w:t>供</w:t>
      </w:r>
      <w:r>
        <w:rPr>
          <w:spacing w:val="-2"/>
        </w:rPr>
        <w:t>的</w:t>
      </w:r>
      <w:r>
        <w:rPr>
          <w:spacing w:val="-2"/>
        </w:rPr>
        <w:t>保</w:t>
      </w:r>
      <w:r>
        <w:rPr>
          <w:spacing w:val="-2"/>
        </w:rPr>
        <w:t>障</w:t>
      </w:r>
      <w:r>
        <w:rPr>
          <w:spacing w:val="-2"/>
        </w:rPr>
        <w:t>在保险</w:t>
      </w:r>
      <w:r>
        <w:rPr>
          <w:spacing w:val="-2"/>
        </w:rPr>
        <w:t>责</w:t>
      </w:r>
      <w:r>
        <w:rPr>
          <w:spacing w:val="-2"/>
        </w:rPr>
        <w:t>任</w:t>
      </w:r>
      <w:r>
        <w:rPr>
          <w:spacing w:val="-2"/>
        </w:rPr>
        <w:t>条</w:t>
      </w:r>
      <w:r>
        <w:rPr>
          <w:spacing w:val="-2"/>
        </w:rPr>
        <w:t>款</w:t>
      </w:r>
      <w:r>
        <w:rPr>
          <w:spacing w:val="-2"/>
        </w:rPr>
        <w:t>中</w:t>
      </w:r>
      <w:r>
        <w:rPr>
          <w:spacing w:val="-2"/>
        </w:rPr>
        <w:t>列</w:t>
      </w:r>
      <w:r>
        <w:rPr>
          <w:spacing w:val="-10"/>
        </w:rPr>
        <w:t>明</w:t>
      </w:r>
      <w:r>
        <w:rPr>
          <w:rFonts w:ascii="Times New Roman" w:eastAsia="Times New Roman"/>
        </w:rPr>
        <w:tab/>
      </w:r>
      <w:r>
        <w:rPr>
          <w:spacing w:val="-5"/>
        </w:rPr>
        <w:t>2.5</w:t>
      </w:r>
    </w:p>
    <w:p>
      <w:pPr>
        <w:pStyle w:val="BodyText"/>
        <w:tabs>
          <w:tab w:pos="9645" w:val="right" w:leader="dot"/>
        </w:tabs>
        <w:spacing w:before="2"/>
        <w:ind w:left="140"/>
      </w:pPr>
      <w:r>
        <w:rPr>
          <w:spacing w:val="-2"/>
        </w:rPr>
        <w:t>您</w:t>
      </w:r>
      <w:r>
        <w:rPr>
          <w:spacing w:val="-2"/>
        </w:rPr>
        <w:t>有</w:t>
      </w:r>
      <w:r>
        <w:rPr>
          <w:spacing w:val="-2"/>
        </w:rPr>
        <w:t>按</w:t>
      </w:r>
      <w:r>
        <w:rPr>
          <w:spacing w:val="-2"/>
        </w:rPr>
        <w:t>本</w:t>
      </w:r>
      <w:r>
        <w:rPr>
          <w:spacing w:val="-2"/>
        </w:rPr>
        <w:t>合</w:t>
      </w:r>
      <w:r>
        <w:rPr>
          <w:spacing w:val="-2"/>
        </w:rPr>
        <w:t>同</w:t>
      </w:r>
      <w:r>
        <w:rPr>
          <w:spacing w:val="-2"/>
        </w:rPr>
        <w:t>约</w:t>
      </w:r>
      <w:r>
        <w:rPr>
          <w:spacing w:val="-2"/>
        </w:rPr>
        <w:t>定</w:t>
      </w:r>
      <w:r>
        <w:rPr>
          <w:spacing w:val="-2"/>
        </w:rPr>
        <w:t>申请保</w:t>
      </w:r>
      <w:r>
        <w:rPr>
          <w:spacing w:val="-2"/>
        </w:rPr>
        <w:t>单</w:t>
      </w:r>
      <w:r>
        <w:rPr>
          <w:spacing w:val="-2"/>
        </w:rPr>
        <w:t>质</w:t>
      </w:r>
      <w:r>
        <w:rPr>
          <w:spacing w:val="-2"/>
        </w:rPr>
        <w:t>押</w:t>
      </w:r>
      <w:r>
        <w:rPr>
          <w:spacing w:val="-2"/>
        </w:rPr>
        <w:t>贷</w:t>
      </w:r>
      <w:r>
        <w:rPr>
          <w:spacing w:val="-2"/>
        </w:rPr>
        <w:t>款</w:t>
      </w:r>
      <w:r>
        <w:rPr>
          <w:spacing w:val="-2"/>
        </w:rPr>
        <w:t>的</w:t>
      </w:r>
      <w:r>
        <w:rPr>
          <w:spacing w:val="-2"/>
        </w:rPr>
        <w:t>权</w:t>
      </w:r>
      <w:r>
        <w:rPr>
          <w:spacing w:val="-10"/>
        </w:rPr>
        <w:t>利</w:t>
      </w:r>
      <w:r>
        <w:rPr>
          <w:rFonts w:ascii="Times New Roman" w:eastAsia="Times New Roman"/>
        </w:rPr>
        <w:tab/>
      </w:r>
      <w:r>
        <w:rPr>
          <w:spacing w:val="-5"/>
        </w:rPr>
        <w:t>4.4</w:t>
      </w:r>
    </w:p>
    <w:p>
      <w:pPr>
        <w:spacing w:line="363" w:lineRule="exact" w:before="209"/>
        <w:ind w:left="1461" w:right="1536" w:firstLine="0"/>
        <w:jc w:val="center"/>
        <w:rPr>
          <w:rFonts w:ascii="微软雅黑" w:eastAsia="微软雅黑"/>
          <w:b/>
          <w:sz w:val="21"/>
        </w:rPr>
      </w:pPr>
      <w:r>
        <w:rPr>
          <w:rFonts w:ascii="微软雅黑" w:eastAsia="微软雅黑"/>
          <w:b/>
          <w:spacing w:val="-3"/>
          <w:sz w:val="21"/>
        </w:rPr>
        <w:t>您应当特别注意的事项</w:t>
      </w:r>
    </w:p>
    <w:p>
      <w:pPr>
        <w:pStyle w:val="BodyText"/>
        <w:tabs>
          <w:tab w:pos="9650" w:val="right" w:leader="dot"/>
        </w:tabs>
        <w:spacing w:line="245" w:lineRule="exact"/>
        <w:ind w:left="140"/>
      </w:pPr>
      <w:r>
        <w:rPr>
          <w:spacing w:val="-2"/>
        </w:rPr>
        <w:t>解</w:t>
      </w:r>
      <w:r>
        <w:rPr>
          <w:spacing w:val="-2"/>
        </w:rPr>
        <w:t>除</w:t>
      </w:r>
      <w:r>
        <w:rPr>
          <w:spacing w:val="-2"/>
        </w:rPr>
        <w:t>合同会给您造成一定</w:t>
      </w:r>
      <w:r>
        <w:rPr>
          <w:spacing w:val="-2"/>
        </w:rPr>
        <w:t>的</w:t>
      </w:r>
      <w:r>
        <w:rPr>
          <w:spacing w:val="-2"/>
        </w:rPr>
        <w:t>损</w:t>
      </w:r>
      <w:r>
        <w:rPr>
          <w:spacing w:val="-2"/>
        </w:rPr>
        <w:t>失</w:t>
      </w:r>
      <w:r>
        <w:rPr>
          <w:spacing w:val="-51"/>
        </w:rPr>
        <w:t>，</w:t>
      </w:r>
      <w:r>
        <w:rPr>
          <w:spacing w:val="-2"/>
        </w:rPr>
        <w:t>请您慎重</w:t>
      </w:r>
      <w:r>
        <w:rPr>
          <w:spacing w:val="-2"/>
        </w:rPr>
        <w:t>决</w:t>
      </w:r>
      <w:r>
        <w:rPr>
          <w:spacing w:val="-10"/>
        </w:rPr>
        <w:t>策</w:t>
      </w:r>
      <w:r>
        <w:rPr>
          <w:rFonts w:ascii="Times New Roman" w:eastAsia="Times New Roman"/>
        </w:rPr>
        <w:tab/>
      </w:r>
      <w:r>
        <w:rPr>
          <w:spacing w:val="-5"/>
        </w:rPr>
        <w:t>1.5</w:t>
      </w:r>
    </w:p>
    <w:p>
      <w:pPr>
        <w:pStyle w:val="BodyText"/>
        <w:tabs>
          <w:tab w:pos="9650" w:val="right" w:leader="dot"/>
        </w:tabs>
        <w:spacing w:before="5"/>
        <w:ind w:left="140"/>
      </w:pPr>
      <w:r>
        <w:rPr>
          <w:spacing w:val="-2"/>
        </w:rPr>
        <w:t>本</w:t>
      </w:r>
      <w:r>
        <w:rPr>
          <w:spacing w:val="-2"/>
        </w:rPr>
        <w:t>合</w:t>
      </w:r>
      <w:r>
        <w:rPr>
          <w:spacing w:val="-2"/>
        </w:rPr>
        <w:t>同有</w:t>
      </w:r>
      <w:r>
        <w:rPr>
          <w:spacing w:val="-23"/>
        </w:rPr>
        <w:t> </w:t>
      </w:r>
      <w:r>
        <w:rPr>
          <w:spacing w:val="-2"/>
        </w:rPr>
        <w:t>180</w:t>
      </w:r>
      <w:r>
        <w:rPr>
          <w:spacing w:val="-17"/>
        </w:rPr>
        <w:t> </w:t>
      </w:r>
      <w:r>
        <w:rPr>
          <w:spacing w:val="-2"/>
        </w:rPr>
        <w:t>天等待期，请</w:t>
      </w:r>
      <w:r>
        <w:rPr>
          <w:spacing w:val="-2"/>
        </w:rPr>
        <w:t>您</w:t>
      </w:r>
      <w:r>
        <w:rPr>
          <w:spacing w:val="-2"/>
        </w:rPr>
        <w:t>注</w:t>
      </w:r>
      <w:r>
        <w:rPr>
          <w:spacing w:val="-10"/>
        </w:rPr>
        <w:t>意</w:t>
      </w:r>
      <w:r>
        <w:rPr>
          <w:rFonts w:ascii="Times New Roman" w:eastAsia="Times New Roman"/>
        </w:rPr>
        <w:tab/>
      </w:r>
      <w:r>
        <w:rPr>
          <w:spacing w:val="-5"/>
          <w:w w:val="95"/>
        </w:rPr>
        <w:t>2.4</w:t>
      </w:r>
    </w:p>
    <w:p>
      <w:pPr>
        <w:pStyle w:val="BodyText"/>
        <w:tabs>
          <w:tab w:pos="8832" w:val="left" w:leader="dot"/>
        </w:tabs>
        <w:spacing w:before="2"/>
        <w:ind w:left="140"/>
      </w:pPr>
      <w:r>
        <w:rPr>
          <w:spacing w:val="-4"/>
        </w:rPr>
        <w:t>在</w:t>
      </w:r>
      <w:r>
        <w:rPr>
          <w:spacing w:val="-4"/>
        </w:rPr>
        <w:t>某</w:t>
      </w:r>
      <w:r>
        <w:rPr>
          <w:spacing w:val="-4"/>
        </w:rPr>
        <w:t>些情</w:t>
      </w:r>
      <w:r>
        <w:rPr>
          <w:spacing w:val="-4"/>
        </w:rPr>
        <w:t>况</w:t>
      </w:r>
      <w:r>
        <w:rPr>
          <w:spacing w:val="-4"/>
        </w:rPr>
        <w:t>下</w:t>
      </w:r>
      <w:r>
        <w:rPr>
          <w:spacing w:val="-4"/>
        </w:rPr>
        <w:t>，我们</w:t>
      </w:r>
      <w:r>
        <w:rPr>
          <w:spacing w:val="-4"/>
        </w:rPr>
        <w:t>不</w:t>
      </w:r>
      <w:r>
        <w:rPr>
          <w:spacing w:val="-4"/>
        </w:rPr>
        <w:t>承</w:t>
      </w:r>
      <w:r>
        <w:rPr>
          <w:spacing w:val="-4"/>
        </w:rPr>
        <w:t>担</w:t>
      </w:r>
      <w:r>
        <w:rPr>
          <w:spacing w:val="-4"/>
        </w:rPr>
        <w:t>保</w:t>
      </w:r>
      <w:r>
        <w:rPr>
          <w:spacing w:val="-4"/>
        </w:rPr>
        <w:t>险</w:t>
      </w:r>
      <w:r>
        <w:rPr>
          <w:spacing w:val="-4"/>
        </w:rPr>
        <w:t>责</w:t>
      </w:r>
      <w:r>
        <w:rPr>
          <w:spacing w:val="-10"/>
        </w:rPr>
        <w:t>任</w:t>
      </w:r>
      <w:r>
        <w:rPr>
          <w:rFonts w:ascii="Times New Roman" w:eastAsia="Times New Roman"/>
        </w:rPr>
        <w:tab/>
      </w:r>
      <w:r>
        <w:rPr>
          <w:spacing w:val="-8"/>
        </w:rPr>
        <w:t>2.5、2.6</w:t>
      </w:r>
    </w:p>
    <w:p>
      <w:pPr>
        <w:pStyle w:val="BodyText"/>
        <w:tabs>
          <w:tab w:pos="9645" w:val="right" w:leader="dot"/>
        </w:tabs>
        <w:spacing w:before="4"/>
        <w:ind w:left="140"/>
      </w:pPr>
      <w:r>
        <w:rPr>
          <w:spacing w:val="-2"/>
        </w:rPr>
        <w:t>保</w:t>
      </w:r>
      <w:r>
        <w:rPr>
          <w:spacing w:val="-2"/>
        </w:rPr>
        <w:t>险</w:t>
      </w:r>
      <w:r>
        <w:rPr>
          <w:spacing w:val="-2"/>
        </w:rPr>
        <w:t>事</w:t>
      </w:r>
      <w:r>
        <w:rPr>
          <w:spacing w:val="-2"/>
        </w:rPr>
        <w:t>故</w:t>
      </w:r>
      <w:r>
        <w:rPr>
          <w:spacing w:val="-2"/>
        </w:rPr>
        <w:t>发</w:t>
      </w:r>
      <w:r>
        <w:rPr>
          <w:spacing w:val="-2"/>
        </w:rPr>
        <w:t>生</w:t>
      </w:r>
      <w:r>
        <w:rPr>
          <w:spacing w:val="-2"/>
        </w:rPr>
        <w:t>后</w:t>
      </w:r>
      <w:r>
        <w:rPr>
          <w:spacing w:val="-2"/>
        </w:rPr>
        <w:t>请</w:t>
      </w:r>
      <w:r>
        <w:rPr>
          <w:spacing w:val="-2"/>
        </w:rPr>
        <w:t>您</w:t>
      </w:r>
      <w:r>
        <w:rPr>
          <w:spacing w:val="-2"/>
        </w:rPr>
        <w:t>及</w:t>
      </w:r>
      <w:r>
        <w:rPr>
          <w:spacing w:val="-2"/>
        </w:rPr>
        <w:t>时</w:t>
      </w:r>
      <w:r>
        <w:rPr>
          <w:spacing w:val="-2"/>
        </w:rPr>
        <w:t>通</w:t>
      </w:r>
      <w:r>
        <w:rPr>
          <w:spacing w:val="-2"/>
        </w:rPr>
        <w:t>知</w:t>
      </w:r>
      <w:r>
        <w:rPr>
          <w:spacing w:val="-2"/>
        </w:rPr>
        <w:t>我</w:t>
      </w:r>
      <w:r>
        <w:rPr>
          <w:spacing w:val="-10"/>
        </w:rPr>
        <w:t>们</w:t>
      </w:r>
      <w:r>
        <w:rPr>
          <w:rFonts w:ascii="Times New Roman" w:eastAsia="Times New Roman"/>
        </w:rPr>
        <w:tab/>
      </w:r>
      <w:r>
        <w:rPr>
          <w:spacing w:val="-5"/>
        </w:rPr>
        <w:t>3.2</w:t>
      </w:r>
    </w:p>
    <w:p>
      <w:pPr>
        <w:pStyle w:val="BodyText"/>
        <w:tabs>
          <w:tab w:pos="9645" w:val="right" w:leader="dot"/>
        </w:tabs>
        <w:spacing w:before="3"/>
        <w:ind w:left="140"/>
      </w:pPr>
      <w:r>
        <w:rPr>
          <w:spacing w:val="-2"/>
        </w:rPr>
        <w:t>您</w:t>
      </w:r>
      <w:r>
        <w:rPr>
          <w:spacing w:val="-2"/>
        </w:rPr>
        <w:t>应</w:t>
      </w:r>
      <w:r>
        <w:rPr>
          <w:spacing w:val="-2"/>
        </w:rPr>
        <w:t>当</w:t>
      </w:r>
      <w:r>
        <w:rPr>
          <w:spacing w:val="-2"/>
        </w:rPr>
        <w:t>按</w:t>
      </w:r>
      <w:r>
        <w:rPr>
          <w:spacing w:val="-2"/>
        </w:rPr>
        <w:t>时</w:t>
      </w:r>
      <w:r>
        <w:rPr>
          <w:spacing w:val="-2"/>
        </w:rPr>
        <w:t>交</w:t>
      </w:r>
      <w:r>
        <w:rPr>
          <w:spacing w:val="-2"/>
        </w:rPr>
        <w:t>纳</w:t>
      </w:r>
      <w:r>
        <w:rPr>
          <w:spacing w:val="-2"/>
        </w:rPr>
        <w:t>保</w:t>
      </w:r>
      <w:r>
        <w:rPr>
          <w:spacing w:val="-2"/>
        </w:rPr>
        <w:t>险</w:t>
      </w:r>
      <w:r>
        <w:rPr>
          <w:spacing w:val="-10"/>
        </w:rPr>
        <w:t>费</w:t>
      </w:r>
      <w:r>
        <w:rPr>
          <w:rFonts w:ascii="Times New Roman" w:eastAsia="Times New Roman"/>
        </w:rPr>
        <w:tab/>
      </w:r>
      <w:r>
        <w:rPr>
          <w:spacing w:val="-5"/>
        </w:rPr>
        <w:t>4.1</w:t>
      </w:r>
    </w:p>
    <w:p>
      <w:pPr>
        <w:pStyle w:val="BodyText"/>
        <w:tabs>
          <w:tab w:pos="9648" w:val="right" w:leader="dot"/>
        </w:tabs>
        <w:spacing w:before="4"/>
        <w:ind w:left="140"/>
      </w:pPr>
      <w:r>
        <w:rPr>
          <w:spacing w:val="-2"/>
        </w:rPr>
        <w:t>本</w:t>
      </w:r>
      <w:r>
        <w:rPr>
          <w:spacing w:val="-2"/>
        </w:rPr>
        <w:t>合</w:t>
      </w:r>
      <w:r>
        <w:rPr>
          <w:spacing w:val="-2"/>
        </w:rPr>
        <w:t>同效力中止期间</w:t>
      </w:r>
      <w:r>
        <w:rPr>
          <w:spacing w:val="-51"/>
        </w:rPr>
        <w:t>，</w:t>
      </w:r>
      <w:r>
        <w:rPr>
          <w:spacing w:val="-2"/>
        </w:rPr>
        <w:t>我</w:t>
      </w:r>
      <w:r>
        <w:rPr>
          <w:spacing w:val="-2"/>
        </w:rPr>
        <w:t>们</w:t>
      </w:r>
      <w:r>
        <w:rPr>
          <w:spacing w:val="-2"/>
        </w:rPr>
        <w:t>不</w:t>
      </w:r>
      <w:r>
        <w:rPr>
          <w:spacing w:val="-2"/>
        </w:rPr>
        <w:t>承担保险责</w:t>
      </w:r>
      <w:r>
        <w:rPr>
          <w:spacing w:val="-10"/>
        </w:rPr>
        <w:t>任</w:t>
      </w:r>
      <w:r>
        <w:rPr>
          <w:rFonts w:ascii="Times New Roman" w:eastAsia="Times New Roman"/>
        </w:rPr>
        <w:tab/>
      </w:r>
      <w:r>
        <w:rPr>
          <w:spacing w:val="-5"/>
        </w:rPr>
        <w:t>5.1</w:t>
      </w:r>
    </w:p>
    <w:p>
      <w:pPr>
        <w:pStyle w:val="BodyText"/>
        <w:tabs>
          <w:tab w:pos="9645" w:val="right" w:leader="dot"/>
        </w:tabs>
        <w:spacing w:before="2"/>
        <w:ind w:left="140"/>
      </w:pPr>
      <w:r>
        <w:rPr>
          <w:spacing w:val="-2"/>
        </w:rPr>
        <w:t>您</w:t>
      </w:r>
      <w:r>
        <w:rPr>
          <w:spacing w:val="-2"/>
        </w:rPr>
        <w:t>有</w:t>
      </w:r>
      <w:r>
        <w:rPr>
          <w:spacing w:val="-2"/>
        </w:rPr>
        <w:t>如</w:t>
      </w:r>
      <w:r>
        <w:rPr>
          <w:spacing w:val="-2"/>
        </w:rPr>
        <w:t>实</w:t>
      </w:r>
      <w:r>
        <w:rPr>
          <w:spacing w:val="-2"/>
        </w:rPr>
        <w:t>告</w:t>
      </w:r>
      <w:r>
        <w:rPr>
          <w:spacing w:val="-2"/>
        </w:rPr>
        <w:t>知</w:t>
      </w:r>
      <w:r>
        <w:rPr>
          <w:spacing w:val="-2"/>
        </w:rPr>
        <w:t>的</w:t>
      </w:r>
      <w:r>
        <w:rPr>
          <w:spacing w:val="-2"/>
        </w:rPr>
        <w:t>义</w:t>
      </w:r>
      <w:r>
        <w:rPr>
          <w:spacing w:val="-10"/>
        </w:rPr>
        <w:t>务</w:t>
      </w:r>
      <w:r>
        <w:rPr>
          <w:rFonts w:ascii="Times New Roman" w:eastAsia="Times New Roman"/>
        </w:rPr>
        <w:tab/>
      </w:r>
      <w:r>
        <w:rPr>
          <w:spacing w:val="-5"/>
        </w:rPr>
        <w:t>6.2</w:t>
      </w:r>
    </w:p>
    <w:p>
      <w:pPr>
        <w:pStyle w:val="BodyText"/>
        <w:spacing w:before="4"/>
        <w:rPr>
          <w:sz w:val="16"/>
        </w:rPr>
      </w:pPr>
    </w:p>
    <w:p>
      <w:pPr>
        <w:spacing w:before="0"/>
        <w:ind w:left="1463" w:right="1536" w:firstLine="0"/>
        <w:jc w:val="center"/>
        <w:rPr>
          <w:rFonts w:ascii="微软雅黑" w:eastAsia="微软雅黑"/>
          <w:b/>
          <w:sz w:val="21"/>
        </w:rPr>
      </w:pPr>
      <w:r>
        <w:rPr>
          <w:rFonts w:ascii="微软雅黑" w:eastAsia="微软雅黑"/>
          <w:b/>
          <w:spacing w:val="-3"/>
          <w:sz w:val="21"/>
        </w:rPr>
        <w:t>条款目录</w:t>
      </w:r>
    </w:p>
    <w:p>
      <w:pPr>
        <w:pStyle w:val="BodyText"/>
        <w:spacing w:before="4"/>
        <w:rPr>
          <w:rFonts w:ascii="微软雅黑"/>
          <w:b/>
          <w:sz w:val="12"/>
        </w:rPr>
      </w:pPr>
    </w:p>
    <w:p>
      <w:pPr>
        <w:pStyle w:val="BodyText"/>
        <w:spacing w:after="4"/>
        <w:ind w:left="1463" w:right="1536"/>
        <w:jc w:val="center"/>
      </w:pPr>
      <w:r>
        <w:rPr>
          <w:spacing w:val="-3"/>
        </w:rPr>
        <w:t>条款是保险合同的重要内容，为充分保障您的权益，请您仔细阅读本条款。</w:t>
      </w:r>
    </w:p>
    <w:tbl>
      <w:tblPr>
        <w:tblW w:w="0" w:type="auto"/>
        <w:jc w:val="left"/>
        <w:tblInd w:w="14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01"/>
        <w:gridCol w:w="3509"/>
        <w:gridCol w:w="2887"/>
      </w:tblGrid>
      <w:tr>
        <w:trPr>
          <w:trHeight w:val="5188" w:hRule="atLeast"/>
        </w:trPr>
        <w:tc>
          <w:tcPr>
            <w:tcW w:w="3101" w:type="dxa"/>
            <w:tcBorders>
              <w:left w:val="nil"/>
              <w:right w:val="dotDotDash" w:sz="4" w:space="0" w:color="000000"/>
            </w:tcBorders>
          </w:tcPr>
          <w:p>
            <w:pPr>
              <w:pStyle w:val="TableParagraph"/>
              <w:numPr>
                <w:ilvl w:val="0"/>
                <w:numId w:val="1"/>
              </w:numPr>
              <w:tabs>
                <w:tab w:pos="537" w:val="left" w:leader="none"/>
                <w:tab w:pos="538" w:val="left" w:leader="none"/>
              </w:tabs>
              <w:spacing w:line="297" w:lineRule="exact" w:before="0" w:after="0"/>
              <w:ind w:left="537" w:right="0" w:hanging="421"/>
              <w:jc w:val="left"/>
              <w:rPr>
                <w:rFonts w:ascii="微软雅黑" w:eastAsia="微软雅黑"/>
                <w:b/>
                <w:sz w:val="21"/>
              </w:rPr>
            </w:pPr>
            <w:r>
              <w:rPr>
                <w:rFonts w:ascii="微软雅黑" w:eastAsia="微软雅黑"/>
                <w:b/>
                <w:spacing w:val="-3"/>
                <w:sz w:val="21"/>
              </w:rPr>
              <w:t>您与我们订立的合同</w:t>
            </w:r>
          </w:p>
          <w:p>
            <w:pPr>
              <w:pStyle w:val="TableParagraph"/>
              <w:numPr>
                <w:ilvl w:val="1"/>
                <w:numId w:val="1"/>
              </w:numPr>
              <w:tabs>
                <w:tab w:pos="648" w:val="left" w:leader="none"/>
              </w:tabs>
              <w:spacing w:line="246" w:lineRule="exact" w:before="0" w:after="0"/>
              <w:ind w:left="647" w:right="0" w:hanging="426"/>
              <w:jc w:val="left"/>
              <w:rPr>
                <w:sz w:val="21"/>
              </w:rPr>
            </w:pPr>
            <w:r>
              <w:rPr>
                <w:spacing w:val="-4"/>
                <w:sz w:val="21"/>
              </w:rPr>
              <w:t>合同构成</w:t>
            </w:r>
          </w:p>
          <w:p>
            <w:pPr>
              <w:pStyle w:val="TableParagraph"/>
              <w:numPr>
                <w:ilvl w:val="1"/>
                <w:numId w:val="1"/>
              </w:numPr>
              <w:tabs>
                <w:tab w:pos="648" w:val="left" w:leader="none"/>
              </w:tabs>
              <w:spacing w:line="240" w:lineRule="auto" w:before="2" w:after="0"/>
              <w:ind w:left="647" w:right="0" w:hanging="426"/>
              <w:jc w:val="left"/>
              <w:rPr>
                <w:sz w:val="21"/>
              </w:rPr>
            </w:pPr>
            <w:r>
              <w:rPr>
                <w:spacing w:val="-4"/>
                <w:sz w:val="21"/>
              </w:rPr>
              <w:t>投保范围</w:t>
            </w:r>
          </w:p>
          <w:p>
            <w:pPr>
              <w:pStyle w:val="TableParagraph"/>
              <w:numPr>
                <w:ilvl w:val="1"/>
                <w:numId w:val="1"/>
              </w:numPr>
              <w:tabs>
                <w:tab w:pos="641" w:val="left" w:leader="none"/>
              </w:tabs>
              <w:spacing w:line="240" w:lineRule="auto" w:before="4" w:after="0"/>
              <w:ind w:left="640" w:right="0" w:hanging="419"/>
              <w:jc w:val="left"/>
              <w:rPr>
                <w:sz w:val="21"/>
              </w:rPr>
            </w:pPr>
            <w:r>
              <w:rPr>
                <w:spacing w:val="-4"/>
                <w:sz w:val="21"/>
              </w:rPr>
              <w:t>合同成立与生效</w:t>
            </w:r>
          </w:p>
          <w:p>
            <w:pPr>
              <w:pStyle w:val="TableParagraph"/>
              <w:numPr>
                <w:ilvl w:val="1"/>
                <w:numId w:val="1"/>
              </w:numPr>
              <w:tabs>
                <w:tab w:pos="648" w:val="left" w:leader="none"/>
              </w:tabs>
              <w:spacing w:line="240" w:lineRule="auto" w:before="3" w:after="0"/>
              <w:ind w:left="647" w:right="0" w:hanging="426"/>
              <w:jc w:val="left"/>
              <w:rPr>
                <w:sz w:val="21"/>
              </w:rPr>
            </w:pPr>
            <w:r>
              <w:rPr>
                <w:spacing w:val="-4"/>
                <w:sz w:val="21"/>
              </w:rPr>
              <w:t>犹豫期</w:t>
            </w:r>
          </w:p>
          <w:p>
            <w:pPr>
              <w:pStyle w:val="TableParagraph"/>
              <w:numPr>
                <w:ilvl w:val="1"/>
                <w:numId w:val="1"/>
              </w:numPr>
              <w:tabs>
                <w:tab w:pos="648" w:val="left" w:leader="none"/>
              </w:tabs>
              <w:spacing w:line="240" w:lineRule="auto" w:before="4" w:after="0"/>
              <w:ind w:left="647" w:right="0" w:hanging="426"/>
              <w:jc w:val="left"/>
              <w:rPr>
                <w:sz w:val="21"/>
              </w:rPr>
            </w:pPr>
            <w:r>
              <w:rPr>
                <w:spacing w:val="-3"/>
                <w:sz w:val="21"/>
              </w:rPr>
              <w:t>您解除合同的手续及风险</w:t>
            </w:r>
          </w:p>
          <w:p>
            <w:pPr>
              <w:pStyle w:val="TableParagraph"/>
              <w:spacing w:before="3"/>
              <w:rPr>
                <w:sz w:val="16"/>
              </w:rPr>
            </w:pPr>
          </w:p>
          <w:p>
            <w:pPr>
              <w:pStyle w:val="TableParagraph"/>
              <w:numPr>
                <w:ilvl w:val="0"/>
                <w:numId w:val="1"/>
              </w:numPr>
              <w:tabs>
                <w:tab w:pos="537" w:val="left" w:leader="none"/>
                <w:tab w:pos="538" w:val="left" w:leader="none"/>
              </w:tabs>
              <w:spacing w:line="363" w:lineRule="exact" w:before="1" w:after="0"/>
              <w:ind w:left="537" w:right="0" w:hanging="421"/>
              <w:jc w:val="left"/>
              <w:rPr>
                <w:rFonts w:ascii="微软雅黑" w:eastAsia="微软雅黑"/>
                <w:b/>
                <w:sz w:val="21"/>
              </w:rPr>
            </w:pPr>
            <w:r>
              <w:rPr>
                <w:rFonts w:ascii="微软雅黑" w:eastAsia="微软雅黑"/>
                <w:b/>
                <w:spacing w:val="-2"/>
                <w:sz w:val="21"/>
              </w:rPr>
              <w:t>我们提供的保障</w:t>
            </w:r>
          </w:p>
          <w:p>
            <w:pPr>
              <w:pStyle w:val="TableParagraph"/>
              <w:numPr>
                <w:ilvl w:val="1"/>
                <w:numId w:val="1"/>
              </w:numPr>
              <w:tabs>
                <w:tab w:pos="648" w:val="left" w:leader="none"/>
              </w:tabs>
              <w:spacing w:line="245" w:lineRule="exact" w:before="0" w:after="0"/>
              <w:ind w:left="647" w:right="0" w:hanging="426"/>
              <w:jc w:val="left"/>
              <w:rPr>
                <w:sz w:val="21"/>
              </w:rPr>
            </w:pPr>
            <w:r>
              <w:rPr>
                <w:spacing w:val="-4"/>
                <w:sz w:val="21"/>
              </w:rPr>
              <w:t>基本保险金额</w:t>
            </w:r>
          </w:p>
          <w:p>
            <w:pPr>
              <w:pStyle w:val="TableParagraph"/>
              <w:numPr>
                <w:ilvl w:val="1"/>
                <w:numId w:val="1"/>
              </w:numPr>
              <w:tabs>
                <w:tab w:pos="648" w:val="left" w:leader="none"/>
              </w:tabs>
              <w:spacing w:line="240" w:lineRule="auto" w:before="2" w:after="0"/>
              <w:ind w:left="647" w:right="0" w:hanging="426"/>
              <w:jc w:val="left"/>
              <w:rPr>
                <w:sz w:val="21"/>
              </w:rPr>
            </w:pPr>
            <w:r>
              <w:rPr>
                <w:spacing w:val="-3"/>
                <w:sz w:val="21"/>
              </w:rPr>
              <w:t>未成年人身故保险金限制</w:t>
            </w:r>
          </w:p>
          <w:p>
            <w:pPr>
              <w:pStyle w:val="TableParagraph"/>
              <w:numPr>
                <w:ilvl w:val="1"/>
                <w:numId w:val="1"/>
              </w:numPr>
              <w:tabs>
                <w:tab w:pos="648" w:val="left" w:leader="none"/>
              </w:tabs>
              <w:spacing w:line="240" w:lineRule="auto" w:before="4" w:after="0"/>
              <w:ind w:left="647" w:right="0" w:hanging="426"/>
              <w:jc w:val="left"/>
              <w:rPr>
                <w:sz w:val="21"/>
              </w:rPr>
            </w:pPr>
            <w:r>
              <w:rPr>
                <w:spacing w:val="-4"/>
                <w:sz w:val="21"/>
              </w:rPr>
              <w:t>保险期间</w:t>
            </w:r>
          </w:p>
          <w:p>
            <w:pPr>
              <w:pStyle w:val="TableParagraph"/>
              <w:numPr>
                <w:ilvl w:val="1"/>
                <w:numId w:val="1"/>
              </w:numPr>
              <w:tabs>
                <w:tab w:pos="648" w:val="left" w:leader="none"/>
              </w:tabs>
              <w:spacing w:line="240" w:lineRule="auto" w:before="2" w:after="0"/>
              <w:ind w:left="647" w:right="0" w:hanging="426"/>
              <w:jc w:val="left"/>
              <w:rPr>
                <w:sz w:val="21"/>
              </w:rPr>
            </w:pPr>
            <w:r>
              <w:rPr>
                <w:spacing w:val="-4"/>
                <w:sz w:val="21"/>
              </w:rPr>
              <w:t>保险责任</w:t>
            </w:r>
          </w:p>
          <w:p>
            <w:pPr>
              <w:pStyle w:val="TableParagraph"/>
              <w:numPr>
                <w:ilvl w:val="1"/>
                <w:numId w:val="1"/>
              </w:numPr>
              <w:tabs>
                <w:tab w:pos="648" w:val="left" w:leader="none"/>
              </w:tabs>
              <w:spacing w:line="240" w:lineRule="auto" w:before="6" w:after="0"/>
              <w:ind w:left="647" w:right="0" w:hanging="426"/>
              <w:jc w:val="left"/>
              <w:rPr>
                <w:sz w:val="21"/>
              </w:rPr>
            </w:pPr>
            <w:r>
              <w:rPr>
                <w:spacing w:val="-4"/>
                <w:sz w:val="21"/>
              </w:rPr>
              <w:t>责任免除</w:t>
            </w:r>
          </w:p>
          <w:p>
            <w:pPr>
              <w:pStyle w:val="TableParagraph"/>
              <w:numPr>
                <w:ilvl w:val="1"/>
                <w:numId w:val="1"/>
              </w:numPr>
              <w:tabs>
                <w:tab w:pos="648" w:val="left" w:leader="none"/>
              </w:tabs>
              <w:spacing w:line="240" w:lineRule="auto" w:before="2" w:after="0"/>
              <w:ind w:left="647" w:right="0" w:hanging="426"/>
              <w:jc w:val="left"/>
              <w:rPr>
                <w:sz w:val="21"/>
              </w:rPr>
            </w:pPr>
            <w:r>
              <w:rPr>
                <w:spacing w:val="-4"/>
                <w:sz w:val="21"/>
              </w:rPr>
              <w:t>其他免责条款</w:t>
            </w:r>
          </w:p>
        </w:tc>
        <w:tc>
          <w:tcPr>
            <w:tcW w:w="3509" w:type="dxa"/>
            <w:tcBorders>
              <w:left w:val="dotDotDash" w:sz="4" w:space="0" w:color="000000"/>
              <w:right w:val="dotDash" w:sz="4" w:space="0" w:color="000000"/>
            </w:tcBorders>
          </w:tcPr>
          <w:p>
            <w:pPr>
              <w:pStyle w:val="TableParagraph"/>
              <w:numPr>
                <w:ilvl w:val="0"/>
                <w:numId w:val="2"/>
              </w:numPr>
              <w:tabs>
                <w:tab w:pos="523" w:val="left" w:leader="none"/>
                <w:tab w:pos="524" w:val="left" w:leader="none"/>
              </w:tabs>
              <w:spacing w:line="297" w:lineRule="exact" w:before="0" w:after="0"/>
              <w:ind w:left="523" w:right="0" w:hanging="421"/>
              <w:jc w:val="left"/>
              <w:rPr>
                <w:rFonts w:ascii="微软雅黑" w:eastAsia="微软雅黑"/>
                <w:b/>
                <w:sz w:val="21"/>
              </w:rPr>
            </w:pPr>
            <w:r>
              <w:rPr>
                <w:rFonts w:ascii="微软雅黑" w:eastAsia="微软雅黑"/>
                <w:b/>
                <w:spacing w:val="-2"/>
                <w:sz w:val="21"/>
              </w:rPr>
              <w:t>如何申请领取保险金</w:t>
            </w:r>
          </w:p>
          <w:p>
            <w:pPr>
              <w:pStyle w:val="TableParagraph"/>
              <w:numPr>
                <w:ilvl w:val="1"/>
                <w:numId w:val="2"/>
              </w:numPr>
              <w:tabs>
                <w:tab w:pos="613" w:val="left" w:leader="none"/>
              </w:tabs>
              <w:spacing w:line="246" w:lineRule="exact" w:before="0" w:after="0"/>
              <w:ind w:left="612" w:right="0" w:hanging="421"/>
              <w:jc w:val="left"/>
              <w:rPr>
                <w:sz w:val="21"/>
              </w:rPr>
            </w:pPr>
            <w:r>
              <w:rPr>
                <w:spacing w:val="-4"/>
                <w:sz w:val="21"/>
              </w:rPr>
              <w:t>受益人</w:t>
            </w:r>
          </w:p>
          <w:p>
            <w:pPr>
              <w:pStyle w:val="TableParagraph"/>
              <w:numPr>
                <w:ilvl w:val="1"/>
                <w:numId w:val="2"/>
              </w:numPr>
              <w:tabs>
                <w:tab w:pos="613" w:val="left" w:leader="none"/>
              </w:tabs>
              <w:spacing w:line="240" w:lineRule="auto" w:before="2" w:after="0"/>
              <w:ind w:left="612" w:right="0" w:hanging="421"/>
              <w:jc w:val="left"/>
              <w:rPr>
                <w:sz w:val="21"/>
              </w:rPr>
            </w:pPr>
            <w:r>
              <w:rPr>
                <w:spacing w:val="-4"/>
                <w:sz w:val="21"/>
              </w:rPr>
              <w:t>保险事故通知</w:t>
            </w:r>
          </w:p>
          <w:p>
            <w:pPr>
              <w:pStyle w:val="TableParagraph"/>
              <w:numPr>
                <w:ilvl w:val="1"/>
                <w:numId w:val="2"/>
              </w:numPr>
              <w:tabs>
                <w:tab w:pos="613" w:val="left" w:leader="none"/>
              </w:tabs>
              <w:spacing w:line="240" w:lineRule="auto" w:before="4" w:after="0"/>
              <w:ind w:left="612" w:right="0" w:hanging="421"/>
              <w:jc w:val="left"/>
              <w:rPr>
                <w:sz w:val="21"/>
              </w:rPr>
            </w:pPr>
            <w:r>
              <w:rPr>
                <w:spacing w:val="-4"/>
                <w:sz w:val="21"/>
              </w:rPr>
              <w:t>保险金申请</w:t>
            </w:r>
          </w:p>
          <w:p>
            <w:pPr>
              <w:pStyle w:val="TableParagraph"/>
              <w:numPr>
                <w:ilvl w:val="1"/>
                <w:numId w:val="2"/>
              </w:numPr>
              <w:tabs>
                <w:tab w:pos="613" w:val="left" w:leader="none"/>
              </w:tabs>
              <w:spacing w:line="240" w:lineRule="auto" w:before="3" w:after="0"/>
              <w:ind w:left="612" w:right="0" w:hanging="421"/>
              <w:jc w:val="left"/>
              <w:rPr>
                <w:sz w:val="21"/>
              </w:rPr>
            </w:pPr>
            <w:r>
              <w:rPr>
                <w:spacing w:val="-4"/>
                <w:sz w:val="21"/>
              </w:rPr>
              <w:t>保险金给付</w:t>
            </w:r>
          </w:p>
          <w:p>
            <w:pPr>
              <w:pStyle w:val="TableParagraph"/>
              <w:numPr>
                <w:ilvl w:val="1"/>
                <w:numId w:val="2"/>
              </w:numPr>
              <w:tabs>
                <w:tab w:pos="613" w:val="left" w:leader="none"/>
              </w:tabs>
              <w:spacing w:line="240" w:lineRule="auto" w:before="4" w:after="0"/>
              <w:ind w:left="612" w:right="0" w:hanging="421"/>
              <w:jc w:val="left"/>
              <w:rPr>
                <w:sz w:val="21"/>
              </w:rPr>
            </w:pPr>
            <w:r>
              <w:rPr>
                <w:spacing w:val="-4"/>
                <w:sz w:val="21"/>
              </w:rPr>
              <w:t>诉讼时效</w:t>
            </w:r>
          </w:p>
          <w:p>
            <w:pPr>
              <w:pStyle w:val="TableParagraph"/>
              <w:numPr>
                <w:ilvl w:val="1"/>
                <w:numId w:val="2"/>
              </w:numPr>
              <w:tabs>
                <w:tab w:pos="613" w:val="left" w:leader="none"/>
              </w:tabs>
              <w:spacing w:line="240" w:lineRule="auto" w:before="2" w:after="0"/>
              <w:ind w:left="612" w:right="0" w:hanging="421"/>
              <w:jc w:val="left"/>
              <w:rPr>
                <w:sz w:val="21"/>
              </w:rPr>
            </w:pPr>
            <w:r>
              <w:rPr>
                <w:spacing w:val="-4"/>
                <w:sz w:val="21"/>
              </w:rPr>
              <w:t>宣告死亡处理</w:t>
            </w:r>
          </w:p>
          <w:p>
            <w:pPr>
              <w:pStyle w:val="TableParagraph"/>
              <w:spacing w:before="4"/>
              <w:rPr>
                <w:sz w:val="16"/>
              </w:rPr>
            </w:pPr>
          </w:p>
          <w:p>
            <w:pPr>
              <w:pStyle w:val="TableParagraph"/>
              <w:numPr>
                <w:ilvl w:val="0"/>
                <w:numId w:val="2"/>
              </w:numPr>
              <w:tabs>
                <w:tab w:pos="523" w:val="left" w:leader="none"/>
                <w:tab w:pos="524" w:val="left" w:leader="none"/>
              </w:tabs>
              <w:spacing w:line="363" w:lineRule="exact" w:before="0" w:after="0"/>
              <w:ind w:left="523" w:right="0" w:hanging="421"/>
              <w:jc w:val="left"/>
              <w:rPr>
                <w:rFonts w:ascii="微软雅黑" w:eastAsia="微软雅黑"/>
                <w:b/>
                <w:sz w:val="21"/>
              </w:rPr>
            </w:pPr>
            <w:r>
              <w:rPr>
                <w:rFonts w:ascii="微软雅黑" w:eastAsia="微软雅黑"/>
                <w:b/>
                <w:spacing w:val="-3"/>
                <w:sz w:val="21"/>
              </w:rPr>
              <w:t>保险费的交纳与现金价值权益</w:t>
            </w:r>
          </w:p>
          <w:p>
            <w:pPr>
              <w:pStyle w:val="TableParagraph"/>
              <w:numPr>
                <w:ilvl w:val="1"/>
                <w:numId w:val="2"/>
              </w:numPr>
              <w:tabs>
                <w:tab w:pos="637" w:val="left" w:leader="none"/>
              </w:tabs>
              <w:spacing w:line="245" w:lineRule="exact" w:before="0" w:after="0"/>
              <w:ind w:left="636" w:right="0" w:hanging="426"/>
              <w:jc w:val="left"/>
              <w:rPr>
                <w:sz w:val="21"/>
              </w:rPr>
            </w:pPr>
            <w:r>
              <w:rPr>
                <w:spacing w:val="-4"/>
                <w:sz w:val="21"/>
              </w:rPr>
              <w:t>保险费的支付</w:t>
            </w:r>
          </w:p>
          <w:p>
            <w:pPr>
              <w:pStyle w:val="TableParagraph"/>
              <w:numPr>
                <w:ilvl w:val="1"/>
                <w:numId w:val="2"/>
              </w:numPr>
              <w:tabs>
                <w:tab w:pos="637" w:val="left" w:leader="none"/>
              </w:tabs>
              <w:spacing w:line="240" w:lineRule="auto" w:before="4" w:after="0"/>
              <w:ind w:left="636" w:right="0" w:hanging="426"/>
              <w:jc w:val="left"/>
              <w:rPr>
                <w:sz w:val="21"/>
              </w:rPr>
            </w:pPr>
            <w:r>
              <w:rPr>
                <w:spacing w:val="-4"/>
                <w:sz w:val="21"/>
              </w:rPr>
              <w:t>宽限期</w:t>
            </w:r>
          </w:p>
          <w:p>
            <w:pPr>
              <w:pStyle w:val="TableParagraph"/>
              <w:numPr>
                <w:ilvl w:val="1"/>
                <w:numId w:val="2"/>
              </w:numPr>
              <w:tabs>
                <w:tab w:pos="637" w:val="left" w:leader="none"/>
              </w:tabs>
              <w:spacing w:line="240" w:lineRule="auto" w:before="2" w:after="0"/>
              <w:ind w:left="636" w:right="0" w:hanging="426"/>
              <w:jc w:val="left"/>
              <w:rPr>
                <w:sz w:val="21"/>
              </w:rPr>
            </w:pPr>
            <w:r>
              <w:rPr>
                <w:spacing w:val="-4"/>
                <w:sz w:val="21"/>
              </w:rPr>
              <w:t>现金价值</w:t>
            </w:r>
          </w:p>
          <w:p>
            <w:pPr>
              <w:pStyle w:val="TableParagraph"/>
              <w:numPr>
                <w:ilvl w:val="1"/>
                <w:numId w:val="2"/>
              </w:numPr>
              <w:tabs>
                <w:tab w:pos="637" w:val="left" w:leader="none"/>
              </w:tabs>
              <w:spacing w:line="240" w:lineRule="auto" w:before="6" w:after="0"/>
              <w:ind w:left="636" w:right="0" w:hanging="426"/>
              <w:jc w:val="left"/>
              <w:rPr>
                <w:sz w:val="21"/>
              </w:rPr>
            </w:pPr>
            <w:r>
              <w:rPr>
                <w:spacing w:val="-4"/>
                <w:sz w:val="21"/>
              </w:rPr>
              <w:t>保单质押贷款</w:t>
            </w:r>
          </w:p>
          <w:p>
            <w:pPr>
              <w:pStyle w:val="TableParagraph"/>
              <w:spacing w:before="3"/>
              <w:rPr>
                <w:sz w:val="16"/>
              </w:rPr>
            </w:pPr>
          </w:p>
          <w:p>
            <w:pPr>
              <w:pStyle w:val="TableParagraph"/>
              <w:numPr>
                <w:ilvl w:val="0"/>
                <w:numId w:val="2"/>
              </w:numPr>
              <w:tabs>
                <w:tab w:pos="523" w:val="left" w:leader="none"/>
                <w:tab w:pos="524" w:val="left" w:leader="none"/>
              </w:tabs>
              <w:spacing w:line="363" w:lineRule="exact" w:before="0" w:after="0"/>
              <w:ind w:left="523" w:right="0" w:hanging="421"/>
              <w:jc w:val="left"/>
              <w:rPr>
                <w:rFonts w:ascii="微软雅黑" w:eastAsia="微软雅黑"/>
                <w:b/>
                <w:sz w:val="21"/>
              </w:rPr>
            </w:pPr>
            <w:r>
              <w:rPr>
                <w:rFonts w:ascii="微软雅黑" w:eastAsia="微软雅黑"/>
                <w:b/>
                <w:spacing w:val="-3"/>
                <w:sz w:val="21"/>
              </w:rPr>
              <w:t>合同效力的中止与恢复</w:t>
            </w:r>
          </w:p>
          <w:p>
            <w:pPr>
              <w:pStyle w:val="TableParagraph"/>
              <w:numPr>
                <w:ilvl w:val="1"/>
                <w:numId w:val="2"/>
              </w:numPr>
              <w:tabs>
                <w:tab w:pos="665" w:val="left" w:leader="none"/>
              </w:tabs>
              <w:spacing w:line="245" w:lineRule="exact" w:before="0" w:after="0"/>
              <w:ind w:left="664" w:right="0" w:hanging="421"/>
              <w:jc w:val="left"/>
              <w:rPr>
                <w:sz w:val="21"/>
              </w:rPr>
            </w:pPr>
            <w:r>
              <w:rPr>
                <w:spacing w:val="-4"/>
                <w:sz w:val="21"/>
              </w:rPr>
              <w:t>合同效力中止</w:t>
            </w:r>
          </w:p>
          <w:p>
            <w:pPr>
              <w:pStyle w:val="TableParagraph"/>
              <w:numPr>
                <w:ilvl w:val="1"/>
                <w:numId w:val="2"/>
              </w:numPr>
              <w:tabs>
                <w:tab w:pos="665" w:val="left" w:leader="none"/>
              </w:tabs>
              <w:spacing w:line="240" w:lineRule="auto" w:before="5" w:after="0"/>
              <w:ind w:left="664" w:right="0" w:hanging="421"/>
              <w:jc w:val="left"/>
              <w:rPr>
                <w:sz w:val="21"/>
              </w:rPr>
            </w:pPr>
            <w:r>
              <w:rPr>
                <w:spacing w:val="-4"/>
                <w:sz w:val="21"/>
              </w:rPr>
              <w:t>合同效力恢复</w:t>
            </w:r>
          </w:p>
        </w:tc>
        <w:tc>
          <w:tcPr>
            <w:tcW w:w="2887" w:type="dxa"/>
            <w:tcBorders>
              <w:left w:val="dotDash" w:sz="4" w:space="0" w:color="000000"/>
              <w:right w:val="nil"/>
            </w:tcBorders>
          </w:tcPr>
          <w:p>
            <w:pPr>
              <w:pStyle w:val="TableParagraph"/>
              <w:numPr>
                <w:ilvl w:val="0"/>
                <w:numId w:val="3"/>
              </w:numPr>
              <w:tabs>
                <w:tab w:pos="521" w:val="left" w:leader="none"/>
                <w:tab w:pos="522" w:val="left" w:leader="none"/>
              </w:tabs>
              <w:spacing w:line="297" w:lineRule="exact" w:before="0" w:after="0"/>
              <w:ind w:left="521" w:right="0" w:hanging="421"/>
              <w:jc w:val="left"/>
              <w:rPr>
                <w:rFonts w:ascii="微软雅黑" w:eastAsia="微软雅黑"/>
                <w:b/>
                <w:sz w:val="21"/>
              </w:rPr>
            </w:pPr>
            <w:r>
              <w:rPr>
                <w:rFonts w:ascii="微软雅黑" w:eastAsia="微软雅黑"/>
                <w:b/>
                <w:spacing w:val="-2"/>
                <w:sz w:val="21"/>
              </w:rPr>
              <w:t>其他需要关注的事项</w:t>
            </w:r>
          </w:p>
          <w:p>
            <w:pPr>
              <w:pStyle w:val="TableParagraph"/>
              <w:numPr>
                <w:ilvl w:val="1"/>
                <w:numId w:val="3"/>
              </w:numPr>
              <w:tabs>
                <w:tab w:pos="628" w:val="left" w:leader="none"/>
              </w:tabs>
              <w:spacing w:line="246" w:lineRule="exact" w:before="0" w:after="0"/>
              <w:ind w:left="627" w:right="0" w:hanging="422"/>
              <w:jc w:val="left"/>
              <w:rPr>
                <w:sz w:val="21"/>
              </w:rPr>
            </w:pPr>
            <w:r>
              <w:rPr>
                <w:spacing w:val="-4"/>
                <w:sz w:val="21"/>
              </w:rPr>
              <w:t>合同终止</w:t>
            </w:r>
          </w:p>
          <w:p>
            <w:pPr>
              <w:pStyle w:val="TableParagraph"/>
              <w:numPr>
                <w:ilvl w:val="1"/>
                <w:numId w:val="3"/>
              </w:numPr>
              <w:tabs>
                <w:tab w:pos="628" w:val="left" w:leader="none"/>
              </w:tabs>
              <w:spacing w:line="240" w:lineRule="auto" w:before="2" w:after="0"/>
              <w:ind w:left="627" w:right="0" w:hanging="422"/>
              <w:jc w:val="left"/>
              <w:rPr>
                <w:sz w:val="21"/>
              </w:rPr>
            </w:pPr>
            <w:r>
              <w:rPr>
                <w:spacing w:val="-3"/>
                <w:sz w:val="21"/>
              </w:rPr>
              <w:t>明确说明与如实告知</w:t>
            </w:r>
          </w:p>
          <w:p>
            <w:pPr>
              <w:pStyle w:val="TableParagraph"/>
              <w:numPr>
                <w:ilvl w:val="1"/>
                <w:numId w:val="3"/>
              </w:numPr>
              <w:tabs>
                <w:tab w:pos="628" w:val="left" w:leader="none"/>
              </w:tabs>
              <w:spacing w:line="240" w:lineRule="auto" w:before="4" w:after="0"/>
              <w:ind w:left="627" w:right="0" w:hanging="422"/>
              <w:jc w:val="left"/>
              <w:rPr>
                <w:sz w:val="21"/>
              </w:rPr>
            </w:pPr>
            <w:r>
              <w:rPr>
                <w:spacing w:val="-4"/>
                <w:sz w:val="21"/>
              </w:rPr>
              <w:t>合同内容变更</w:t>
            </w:r>
          </w:p>
          <w:p>
            <w:pPr>
              <w:pStyle w:val="TableParagraph"/>
              <w:numPr>
                <w:ilvl w:val="1"/>
                <w:numId w:val="3"/>
              </w:numPr>
              <w:tabs>
                <w:tab w:pos="628" w:val="left" w:leader="none"/>
              </w:tabs>
              <w:spacing w:line="240" w:lineRule="auto" w:before="3" w:after="0"/>
              <w:ind w:left="627" w:right="0" w:hanging="422"/>
              <w:jc w:val="left"/>
              <w:rPr>
                <w:sz w:val="21"/>
              </w:rPr>
            </w:pPr>
            <w:r>
              <w:rPr>
                <w:spacing w:val="-4"/>
                <w:sz w:val="21"/>
              </w:rPr>
              <w:t>联系方式变更</w:t>
            </w:r>
          </w:p>
          <w:p>
            <w:pPr>
              <w:pStyle w:val="TableParagraph"/>
              <w:numPr>
                <w:ilvl w:val="1"/>
                <w:numId w:val="3"/>
              </w:numPr>
              <w:tabs>
                <w:tab w:pos="628" w:val="left" w:leader="none"/>
              </w:tabs>
              <w:spacing w:line="240" w:lineRule="auto" w:before="4" w:after="0"/>
              <w:ind w:left="627" w:right="0" w:hanging="422"/>
              <w:jc w:val="left"/>
              <w:rPr>
                <w:sz w:val="21"/>
              </w:rPr>
            </w:pPr>
            <w:r>
              <w:rPr>
                <w:spacing w:val="-3"/>
                <w:sz w:val="21"/>
              </w:rPr>
              <w:t>年龄性别错误的处理</w:t>
            </w:r>
          </w:p>
          <w:p>
            <w:pPr>
              <w:pStyle w:val="TableParagraph"/>
              <w:numPr>
                <w:ilvl w:val="1"/>
                <w:numId w:val="3"/>
              </w:numPr>
              <w:tabs>
                <w:tab w:pos="628" w:val="left" w:leader="none"/>
              </w:tabs>
              <w:spacing w:line="240" w:lineRule="auto" w:before="2" w:after="0"/>
              <w:ind w:left="627" w:right="0" w:hanging="422"/>
              <w:jc w:val="left"/>
              <w:rPr>
                <w:sz w:val="21"/>
              </w:rPr>
            </w:pPr>
            <w:r>
              <w:rPr>
                <w:spacing w:val="-3"/>
                <w:sz w:val="21"/>
              </w:rPr>
              <w:t>我们合同解除权的限制</w:t>
            </w:r>
          </w:p>
          <w:p>
            <w:pPr>
              <w:pStyle w:val="TableParagraph"/>
              <w:numPr>
                <w:ilvl w:val="1"/>
                <w:numId w:val="3"/>
              </w:numPr>
              <w:tabs>
                <w:tab w:pos="628" w:val="left" w:leader="none"/>
              </w:tabs>
              <w:spacing w:line="240" w:lineRule="auto" w:before="5" w:after="0"/>
              <w:ind w:left="627" w:right="0" w:hanging="422"/>
              <w:jc w:val="left"/>
              <w:rPr>
                <w:sz w:val="21"/>
              </w:rPr>
            </w:pPr>
            <w:r>
              <w:rPr>
                <w:spacing w:val="-4"/>
                <w:sz w:val="21"/>
              </w:rPr>
              <w:t>未还款项</w:t>
            </w:r>
          </w:p>
          <w:p>
            <w:pPr>
              <w:pStyle w:val="TableParagraph"/>
              <w:numPr>
                <w:ilvl w:val="1"/>
                <w:numId w:val="3"/>
              </w:numPr>
              <w:tabs>
                <w:tab w:pos="628" w:val="left" w:leader="none"/>
              </w:tabs>
              <w:spacing w:line="240" w:lineRule="auto" w:before="2" w:after="0"/>
              <w:ind w:left="627" w:right="0" w:hanging="422"/>
              <w:jc w:val="left"/>
              <w:rPr>
                <w:sz w:val="21"/>
              </w:rPr>
            </w:pPr>
            <w:r>
              <w:rPr>
                <w:spacing w:val="-4"/>
                <w:sz w:val="21"/>
              </w:rPr>
              <w:t>争议处理</w:t>
            </w:r>
          </w:p>
          <w:p>
            <w:pPr>
              <w:pStyle w:val="TableParagraph"/>
              <w:spacing w:before="1"/>
              <w:rPr>
                <w:sz w:val="22"/>
              </w:rPr>
            </w:pPr>
          </w:p>
          <w:p>
            <w:pPr>
              <w:pStyle w:val="TableParagraph"/>
              <w:ind w:left="206"/>
              <w:rPr>
                <w:sz w:val="21"/>
              </w:rPr>
            </w:pPr>
            <w:r>
              <w:rPr>
                <w:spacing w:val="-5"/>
                <w:sz w:val="21"/>
              </w:rPr>
              <w:t>附表一 重大疾病病种及分</w:t>
            </w:r>
          </w:p>
          <w:p>
            <w:pPr>
              <w:pStyle w:val="TableParagraph"/>
              <w:spacing w:before="5"/>
              <w:ind w:left="941"/>
              <w:rPr>
                <w:sz w:val="21"/>
              </w:rPr>
            </w:pPr>
            <w:r>
              <w:rPr>
                <w:w w:val="100"/>
                <w:sz w:val="21"/>
              </w:rPr>
              <w:t>组</w:t>
            </w:r>
          </w:p>
          <w:p>
            <w:pPr>
              <w:pStyle w:val="TableParagraph"/>
              <w:spacing w:line="244" w:lineRule="auto" w:before="2"/>
              <w:ind w:left="206" w:right="1090"/>
              <w:rPr>
                <w:sz w:val="21"/>
              </w:rPr>
            </w:pPr>
            <w:r>
              <w:rPr>
                <w:spacing w:val="-5"/>
                <w:sz w:val="21"/>
              </w:rPr>
              <w:t>附表二 中症疾病</w:t>
            </w:r>
            <w:r>
              <w:rPr>
                <w:spacing w:val="-3"/>
                <w:sz w:val="21"/>
              </w:rPr>
              <w:t>附表三 轻症疾病</w:t>
            </w:r>
          </w:p>
          <w:p>
            <w:pPr>
              <w:pStyle w:val="TableParagraph"/>
              <w:spacing w:line="265" w:lineRule="exact"/>
              <w:ind w:left="206"/>
              <w:rPr>
                <w:sz w:val="21"/>
              </w:rPr>
            </w:pPr>
            <w:r>
              <w:rPr>
                <w:spacing w:val="-8"/>
                <w:sz w:val="21"/>
              </w:rPr>
              <w:t>附表四 甲状腺癌的 </w:t>
            </w:r>
            <w:r>
              <w:rPr>
                <w:sz w:val="21"/>
              </w:rPr>
              <w:t>TNM</w:t>
            </w:r>
            <w:r>
              <w:rPr>
                <w:spacing w:val="-33"/>
                <w:sz w:val="21"/>
              </w:rPr>
              <w:t> 分</w:t>
            </w:r>
          </w:p>
          <w:p>
            <w:pPr>
              <w:pStyle w:val="TableParagraph"/>
              <w:spacing w:before="5"/>
              <w:ind w:left="941"/>
              <w:rPr>
                <w:sz w:val="21"/>
              </w:rPr>
            </w:pPr>
            <w:r>
              <w:rPr>
                <w:spacing w:val="-4"/>
                <w:sz w:val="21"/>
              </w:rPr>
              <w:t>期标准</w:t>
            </w:r>
          </w:p>
        </w:tc>
      </w:tr>
    </w:tbl>
    <w:p>
      <w:pPr>
        <w:spacing w:before="89"/>
        <w:ind w:left="140" w:right="0" w:firstLine="0"/>
        <w:jc w:val="left"/>
        <w:rPr>
          <w:rFonts w:ascii="微软雅黑" w:eastAsia="微软雅黑"/>
          <w:b/>
          <w:sz w:val="21"/>
        </w:rPr>
      </w:pPr>
      <w:r>
        <w:rPr>
          <w:rFonts w:ascii="微软雅黑" w:eastAsia="微软雅黑"/>
          <w:b/>
          <w:spacing w:val="-3"/>
          <w:sz w:val="21"/>
        </w:rPr>
        <w:t>我们对一些重要术语进行了解释，详见每页脚注。</w:t>
      </w:r>
    </w:p>
    <w:p>
      <w:pPr>
        <w:spacing w:line="168" w:lineRule="auto" w:before="125"/>
        <w:ind w:left="140" w:right="240" w:firstLine="0"/>
        <w:jc w:val="left"/>
        <w:rPr>
          <w:rFonts w:ascii="微软雅黑" w:eastAsia="微软雅黑"/>
          <w:b/>
          <w:sz w:val="21"/>
        </w:rPr>
      </w:pPr>
      <w:r>
        <w:rPr>
          <w:rFonts w:ascii="微软雅黑" w:eastAsia="微软雅黑"/>
          <w:b/>
          <w:spacing w:val="-2"/>
          <w:sz w:val="21"/>
        </w:rPr>
        <w:t>我们对可能影响被保险人享受本保险合同保障的重要内容进行了显著标识，请您仔细阅读正文文字突出</w:t>
      </w:r>
      <w:r>
        <w:rPr>
          <w:rFonts w:ascii="微软雅黑" w:eastAsia="微软雅黑"/>
          <w:b/>
          <w:spacing w:val="-2"/>
          <w:sz w:val="21"/>
        </w:rPr>
        <w:t>显示的部分。</w:t>
      </w:r>
    </w:p>
    <w:p>
      <w:pPr>
        <w:spacing w:after="0" w:line="168" w:lineRule="auto"/>
        <w:jc w:val="left"/>
        <w:rPr>
          <w:rFonts w:ascii="微软雅黑" w:eastAsia="微软雅黑"/>
          <w:sz w:val="21"/>
        </w:rPr>
        <w:sectPr>
          <w:headerReference w:type="default" r:id="rId5"/>
          <w:type w:val="continuous"/>
          <w:pgSz w:w="11910" w:h="16840"/>
          <w:pgMar w:header="877" w:footer="0" w:top="1100" w:bottom="280" w:left="1060" w:right="980"/>
          <w:pgNumType w:start="1"/>
        </w:sectPr>
      </w:pPr>
    </w:p>
    <w:p>
      <w:pPr>
        <w:pStyle w:val="BodyText"/>
        <w:spacing w:line="242" w:lineRule="auto" w:before="83"/>
        <w:ind w:left="140" w:right="218"/>
      </w:pPr>
      <w:r>
        <w:rPr>
          <w:spacing w:val="-2"/>
        </w:rPr>
        <w:t>在本条款中，“您”指投保人，“我们”、“本公司”均指小康人寿保险有限责任公司。“本合同”指</w:t>
      </w:r>
      <w:r>
        <w:rPr>
          <w:spacing w:val="-2"/>
        </w:rPr>
        <w:t>您与我们之间订立的“小康长享安康重大疾病保险合同”。</w:t>
      </w:r>
    </w:p>
    <w:p>
      <w:pPr>
        <w:pStyle w:val="Heading1"/>
        <w:tabs>
          <w:tab w:pos="1210" w:val="left" w:leader="none"/>
        </w:tabs>
        <w:spacing w:line="482" w:lineRule="exact" w:before="0"/>
      </w:pPr>
      <w:r>
        <w:rPr>
          <w:rFonts w:ascii="Wingdings" w:hAnsi="Wingdings" w:eastAsia="Wingdings"/>
          <w:spacing w:val="-10"/>
          <w:position w:val="-5"/>
          <w:sz w:val="44"/>
        </w:rPr>
        <w:t></w:t>
      </w:r>
      <w:r>
        <w:rPr>
          <w:rFonts w:ascii="Times New Roman" w:hAnsi="Times New Roman" w:eastAsia="Times New Roman"/>
          <w:b w:val="0"/>
          <w:position w:val="-5"/>
          <w:sz w:val="44"/>
        </w:rPr>
        <w:tab/>
      </w:r>
      <w:r>
        <w:rPr>
          <w:spacing w:val="-2"/>
        </w:rPr>
        <w:t>您与我们订立的合同</w:t>
      </w:r>
    </w:p>
    <w:p>
      <w:pPr>
        <w:pStyle w:val="BodyText"/>
        <w:spacing w:line="20" w:lineRule="exact"/>
        <w:ind w:left="145"/>
        <w:rPr>
          <w:rFonts w:ascii="微软雅黑"/>
          <w:sz w:val="2"/>
        </w:rPr>
      </w:pPr>
      <w:r>
        <w:rPr>
          <w:rFonts w:ascii="微软雅黑"/>
          <w:sz w:val="2"/>
        </w:rPr>
        <w:drawing>
          <wp:inline distT="0" distB="0" distL="0" distR="0">
            <wp:extent cx="6031433" cy="12192"/>
            <wp:effectExtent l="0" t="0" r="0" b="0"/>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031433" cy="12192"/>
                    </a:xfrm>
                    <a:prstGeom prst="rect">
                      <a:avLst/>
                    </a:prstGeom>
                  </pic:spPr>
                </pic:pic>
              </a:graphicData>
            </a:graphic>
          </wp:inline>
        </w:drawing>
      </w:r>
      <w:r>
        <w:rPr>
          <w:rFonts w:ascii="微软雅黑"/>
          <w:sz w:val="2"/>
        </w:rPr>
      </w:r>
    </w:p>
    <w:p>
      <w:pPr>
        <w:pStyle w:val="ListParagraph"/>
        <w:numPr>
          <w:ilvl w:val="1"/>
          <w:numId w:val="4"/>
        </w:numPr>
        <w:tabs>
          <w:tab w:pos="1210" w:val="left" w:leader="none"/>
          <w:tab w:pos="1211" w:val="left" w:leader="none"/>
          <w:tab w:pos="2780" w:val="left" w:leader="none"/>
        </w:tabs>
        <w:spacing w:line="220" w:lineRule="auto" w:before="164" w:after="0"/>
        <w:ind w:left="2781" w:right="218" w:hanging="2528"/>
        <w:jc w:val="left"/>
        <w:rPr>
          <w:sz w:val="21"/>
        </w:rPr>
      </w:pPr>
      <w:r>
        <w:rPr>
          <w:rFonts w:ascii="微软雅黑" w:eastAsia="微软雅黑"/>
          <w:b/>
          <w:w w:val="100"/>
          <w:sz w:val="21"/>
        </w:rPr>
        <w:t>合同构成</w:t>
      </w:r>
      <w:r>
        <w:rPr>
          <w:rFonts w:ascii="微软雅黑" w:eastAsia="微软雅黑"/>
          <w:b/>
          <w:sz w:val="21"/>
        </w:rPr>
        <w:tab/>
      </w:r>
      <w:r>
        <w:rPr>
          <w:w w:val="100"/>
          <w:sz w:val="21"/>
        </w:rPr>
        <w:t>小康长享安康重大疾病</w:t>
      </w:r>
      <w:r>
        <w:rPr>
          <w:spacing w:val="-3"/>
          <w:w w:val="100"/>
          <w:sz w:val="21"/>
        </w:rPr>
        <w:t>保</w:t>
      </w:r>
      <w:r>
        <w:rPr>
          <w:w w:val="100"/>
          <w:sz w:val="21"/>
        </w:rPr>
        <w:t>险合同（以下简称本合</w:t>
      </w:r>
      <w:r>
        <w:rPr>
          <w:spacing w:val="-2"/>
          <w:w w:val="100"/>
          <w:sz w:val="21"/>
        </w:rPr>
        <w:t>同</w:t>
      </w:r>
      <w:r>
        <w:rPr>
          <w:w w:val="100"/>
          <w:sz w:val="21"/>
        </w:rPr>
        <w:t>）由本保险条款、保险单或</w:t>
      </w:r>
      <w:r>
        <w:rPr>
          <w:spacing w:val="-3"/>
          <w:w w:val="100"/>
          <w:sz w:val="21"/>
        </w:rPr>
        <w:t>其</w:t>
      </w:r>
      <w:r>
        <w:rPr>
          <w:w w:val="100"/>
          <w:sz w:val="21"/>
        </w:rPr>
        <w:t>他</w:t>
      </w:r>
      <w:r>
        <w:rPr>
          <w:spacing w:val="-3"/>
          <w:w w:val="100"/>
          <w:sz w:val="21"/>
        </w:rPr>
        <w:t>保</w:t>
      </w:r>
      <w:r>
        <w:rPr>
          <w:w w:val="100"/>
          <w:sz w:val="21"/>
        </w:rPr>
        <w:t>险</w:t>
      </w:r>
      <w:r>
        <w:rPr>
          <w:spacing w:val="-3"/>
          <w:w w:val="100"/>
          <w:sz w:val="21"/>
        </w:rPr>
        <w:t>凭</w:t>
      </w:r>
      <w:r>
        <w:rPr>
          <w:w w:val="100"/>
          <w:sz w:val="21"/>
        </w:rPr>
        <w:t>证</w:t>
      </w:r>
      <w:r>
        <w:rPr>
          <w:spacing w:val="-27"/>
          <w:w w:val="100"/>
          <w:sz w:val="21"/>
        </w:rPr>
        <w:t>、</w:t>
      </w:r>
      <w:r>
        <w:rPr>
          <w:w w:val="100"/>
          <w:sz w:val="21"/>
        </w:rPr>
        <w:t>投</w:t>
      </w:r>
      <w:r>
        <w:rPr>
          <w:spacing w:val="-3"/>
          <w:w w:val="100"/>
          <w:sz w:val="21"/>
        </w:rPr>
        <w:t>保</w:t>
      </w:r>
      <w:r>
        <w:rPr>
          <w:w w:val="100"/>
          <w:sz w:val="21"/>
        </w:rPr>
        <w:t>单</w:t>
      </w:r>
      <w:r>
        <w:rPr>
          <w:spacing w:val="-24"/>
          <w:w w:val="100"/>
          <w:sz w:val="21"/>
        </w:rPr>
        <w:t>、</w:t>
      </w:r>
      <w:r>
        <w:rPr>
          <w:spacing w:val="-3"/>
          <w:w w:val="100"/>
          <w:sz w:val="21"/>
        </w:rPr>
        <w:t>与</w:t>
      </w:r>
      <w:r>
        <w:rPr>
          <w:w w:val="100"/>
          <w:sz w:val="21"/>
        </w:rPr>
        <w:t>本</w:t>
      </w:r>
      <w:r>
        <w:rPr>
          <w:spacing w:val="-3"/>
          <w:w w:val="100"/>
          <w:sz w:val="21"/>
        </w:rPr>
        <w:t>合</w:t>
      </w:r>
      <w:r>
        <w:rPr>
          <w:w w:val="100"/>
          <w:sz w:val="21"/>
        </w:rPr>
        <w:t>同</w:t>
      </w:r>
      <w:r>
        <w:rPr>
          <w:spacing w:val="-3"/>
          <w:w w:val="100"/>
          <w:sz w:val="21"/>
        </w:rPr>
        <w:t>有</w:t>
      </w:r>
      <w:r>
        <w:rPr>
          <w:w w:val="100"/>
          <w:sz w:val="21"/>
        </w:rPr>
        <w:t>关</w:t>
      </w:r>
      <w:r>
        <w:rPr>
          <w:spacing w:val="-3"/>
          <w:w w:val="100"/>
          <w:sz w:val="21"/>
        </w:rPr>
        <w:t>的</w:t>
      </w:r>
      <w:r>
        <w:rPr>
          <w:w w:val="100"/>
          <w:sz w:val="21"/>
        </w:rPr>
        <w:t>投</w:t>
      </w:r>
      <w:r>
        <w:rPr>
          <w:spacing w:val="-3"/>
          <w:w w:val="100"/>
          <w:sz w:val="21"/>
        </w:rPr>
        <w:t>保</w:t>
      </w:r>
      <w:r>
        <w:rPr>
          <w:w w:val="100"/>
          <w:sz w:val="21"/>
        </w:rPr>
        <w:t>文件</w:t>
      </w:r>
      <w:r>
        <w:rPr>
          <w:spacing w:val="-27"/>
          <w:w w:val="100"/>
          <w:sz w:val="21"/>
        </w:rPr>
        <w:t>、</w:t>
      </w:r>
      <w:r>
        <w:rPr>
          <w:w w:val="100"/>
          <w:sz w:val="21"/>
        </w:rPr>
        <w:t>合</w:t>
      </w:r>
      <w:r>
        <w:rPr>
          <w:spacing w:val="-3"/>
          <w:w w:val="100"/>
          <w:sz w:val="21"/>
        </w:rPr>
        <w:t>法</w:t>
      </w:r>
      <w:r>
        <w:rPr>
          <w:w w:val="100"/>
          <w:sz w:val="21"/>
        </w:rPr>
        <w:t>有</w:t>
      </w:r>
      <w:r>
        <w:rPr>
          <w:spacing w:val="-3"/>
          <w:w w:val="100"/>
          <w:sz w:val="21"/>
        </w:rPr>
        <w:t>效</w:t>
      </w:r>
      <w:r>
        <w:rPr>
          <w:w w:val="100"/>
          <w:sz w:val="21"/>
        </w:rPr>
        <w:t>的</w:t>
      </w:r>
      <w:r>
        <w:rPr>
          <w:spacing w:val="-3"/>
          <w:w w:val="100"/>
          <w:sz w:val="21"/>
        </w:rPr>
        <w:t>声</w:t>
      </w:r>
      <w:r>
        <w:rPr>
          <w:w w:val="100"/>
          <w:sz w:val="21"/>
        </w:rPr>
        <w:t>明、批注</w:t>
      </w:r>
      <w:r>
        <w:rPr>
          <w:spacing w:val="-3"/>
          <w:w w:val="100"/>
          <w:sz w:val="21"/>
        </w:rPr>
        <w:t>、</w:t>
      </w:r>
      <w:r>
        <w:rPr>
          <w:w w:val="100"/>
          <w:sz w:val="21"/>
        </w:rPr>
        <w:t>批</w:t>
      </w:r>
      <w:r>
        <w:rPr>
          <w:spacing w:val="-3"/>
          <w:w w:val="100"/>
          <w:sz w:val="21"/>
        </w:rPr>
        <w:t>单</w:t>
      </w:r>
      <w:r>
        <w:rPr>
          <w:w w:val="100"/>
          <w:sz w:val="21"/>
        </w:rPr>
        <w:t>以</w:t>
      </w:r>
      <w:r>
        <w:rPr>
          <w:spacing w:val="-3"/>
          <w:w w:val="100"/>
          <w:sz w:val="21"/>
        </w:rPr>
        <w:t>及</w:t>
      </w:r>
      <w:r>
        <w:rPr>
          <w:w w:val="100"/>
          <w:sz w:val="21"/>
        </w:rPr>
        <w:t>与</w:t>
      </w:r>
      <w:r>
        <w:rPr>
          <w:spacing w:val="-3"/>
          <w:w w:val="100"/>
          <w:sz w:val="21"/>
        </w:rPr>
        <w:t>本</w:t>
      </w:r>
      <w:r>
        <w:rPr>
          <w:w w:val="100"/>
          <w:sz w:val="21"/>
        </w:rPr>
        <w:t>合</w:t>
      </w:r>
      <w:r>
        <w:rPr>
          <w:spacing w:val="-3"/>
          <w:w w:val="100"/>
          <w:sz w:val="21"/>
        </w:rPr>
        <w:t>同</w:t>
      </w:r>
      <w:r>
        <w:rPr>
          <w:w w:val="100"/>
          <w:sz w:val="21"/>
        </w:rPr>
        <w:t>有关</w:t>
      </w:r>
      <w:r>
        <w:rPr>
          <w:spacing w:val="-3"/>
          <w:w w:val="100"/>
          <w:sz w:val="21"/>
        </w:rPr>
        <w:t>的</w:t>
      </w:r>
      <w:r>
        <w:rPr>
          <w:w w:val="100"/>
          <w:sz w:val="21"/>
        </w:rPr>
        <w:t>其</w:t>
      </w:r>
      <w:r>
        <w:rPr>
          <w:spacing w:val="-3"/>
          <w:w w:val="100"/>
          <w:sz w:val="21"/>
        </w:rPr>
        <w:t>他</w:t>
      </w:r>
      <w:r>
        <w:rPr>
          <w:w w:val="100"/>
          <w:sz w:val="21"/>
        </w:rPr>
        <w:t>书</w:t>
      </w:r>
      <w:r>
        <w:rPr>
          <w:spacing w:val="-3"/>
          <w:w w:val="100"/>
          <w:sz w:val="21"/>
        </w:rPr>
        <w:t>面</w:t>
      </w:r>
      <w:r>
        <w:rPr>
          <w:w w:val="100"/>
          <w:sz w:val="21"/>
        </w:rPr>
        <w:t>协</w:t>
      </w:r>
      <w:r>
        <w:rPr>
          <w:spacing w:val="-3"/>
          <w:w w:val="100"/>
          <w:sz w:val="21"/>
        </w:rPr>
        <w:t>议</w:t>
      </w:r>
      <w:r>
        <w:rPr>
          <w:w w:val="100"/>
          <w:sz w:val="21"/>
        </w:rPr>
        <w:t>共</w:t>
      </w:r>
      <w:r>
        <w:rPr>
          <w:spacing w:val="-3"/>
          <w:w w:val="100"/>
          <w:sz w:val="21"/>
        </w:rPr>
        <w:t>同</w:t>
      </w:r>
      <w:r>
        <w:rPr>
          <w:w w:val="100"/>
          <w:sz w:val="21"/>
        </w:rPr>
        <w:t>构成。</w:t>
      </w:r>
    </w:p>
    <w:p>
      <w:pPr>
        <w:pStyle w:val="BodyText"/>
        <w:spacing w:before="4"/>
        <w:rPr>
          <w:sz w:val="16"/>
        </w:rPr>
      </w:pPr>
    </w:p>
    <w:p>
      <w:pPr>
        <w:pStyle w:val="ListParagraph"/>
        <w:numPr>
          <w:ilvl w:val="1"/>
          <w:numId w:val="4"/>
        </w:numPr>
        <w:tabs>
          <w:tab w:pos="1210" w:val="left" w:leader="none"/>
          <w:tab w:pos="1211" w:val="left" w:leader="none"/>
          <w:tab w:pos="2804" w:val="left" w:leader="none"/>
        </w:tabs>
        <w:spacing w:line="206" w:lineRule="auto" w:before="0" w:after="0"/>
        <w:ind w:left="2805" w:right="381" w:hanging="2552"/>
        <w:jc w:val="left"/>
        <w:rPr>
          <w:sz w:val="21"/>
        </w:rPr>
      </w:pPr>
      <w:r>
        <w:rPr>
          <w:rFonts w:ascii="微软雅黑" w:eastAsia="微软雅黑"/>
          <w:b/>
          <w:spacing w:val="-4"/>
          <w:sz w:val="21"/>
        </w:rPr>
        <w:t>投</w:t>
      </w:r>
      <w:r>
        <w:rPr>
          <w:rFonts w:ascii="微软雅黑" w:eastAsia="微软雅黑"/>
          <w:b/>
          <w:spacing w:val="-4"/>
          <w:sz w:val="21"/>
        </w:rPr>
        <w:t>保</w:t>
      </w:r>
      <w:r>
        <w:rPr>
          <w:rFonts w:ascii="微软雅黑" w:eastAsia="微软雅黑"/>
          <w:b/>
          <w:spacing w:val="-4"/>
          <w:sz w:val="21"/>
        </w:rPr>
        <w:t>范</w:t>
      </w:r>
      <w:r>
        <w:rPr>
          <w:rFonts w:ascii="微软雅黑" w:eastAsia="微软雅黑"/>
          <w:b/>
          <w:spacing w:val="-4"/>
          <w:sz w:val="21"/>
        </w:rPr>
        <w:t>围</w:t>
      </w:r>
      <w:r>
        <w:rPr>
          <w:rFonts w:ascii="微软雅黑" w:eastAsia="微软雅黑"/>
          <w:b/>
          <w:sz w:val="21"/>
        </w:rPr>
        <w:tab/>
      </w:r>
      <w:r>
        <w:rPr>
          <w:spacing w:val="-2"/>
          <w:sz w:val="21"/>
        </w:rPr>
        <w:t>本</w:t>
      </w:r>
      <w:r>
        <w:rPr>
          <w:spacing w:val="-2"/>
          <w:sz w:val="21"/>
        </w:rPr>
        <w:t>合</w:t>
      </w:r>
      <w:r>
        <w:rPr>
          <w:spacing w:val="-2"/>
          <w:sz w:val="21"/>
        </w:rPr>
        <w:t>同接受的被保险人的</w:t>
      </w:r>
      <w:r>
        <w:rPr>
          <w:spacing w:val="-2"/>
          <w:sz w:val="21"/>
        </w:rPr>
        <w:t>投</w:t>
      </w:r>
      <w:r>
        <w:rPr>
          <w:spacing w:val="-2"/>
          <w:sz w:val="21"/>
        </w:rPr>
        <w:t>保</w:t>
      </w:r>
      <w:r>
        <w:rPr>
          <w:spacing w:val="-2"/>
          <w:sz w:val="21"/>
        </w:rPr>
        <w:t>年龄范围为</w:t>
      </w:r>
      <w:r>
        <w:rPr>
          <w:spacing w:val="-45"/>
          <w:sz w:val="21"/>
        </w:rPr>
        <w:t> </w:t>
      </w:r>
      <w:r>
        <w:rPr>
          <w:spacing w:val="-2"/>
          <w:sz w:val="21"/>
        </w:rPr>
        <w:t>0</w:t>
      </w:r>
      <w:r>
        <w:rPr>
          <w:spacing w:val="-47"/>
          <w:sz w:val="21"/>
        </w:rPr>
        <w:t> </w:t>
      </w:r>
      <w:r>
        <w:rPr>
          <w:rFonts w:ascii="微软雅黑" w:eastAsia="微软雅黑"/>
          <w:b/>
          <w:spacing w:val="-2"/>
          <w:sz w:val="21"/>
        </w:rPr>
        <w:t>周</w:t>
      </w:r>
      <w:r>
        <w:rPr>
          <w:rFonts w:ascii="微软雅黑" w:eastAsia="微软雅黑"/>
          <w:b/>
          <w:spacing w:val="-2"/>
          <w:sz w:val="21"/>
        </w:rPr>
        <w:t>岁</w:t>
      </w:r>
      <w:r>
        <w:rPr>
          <w:rFonts w:ascii="微软雅黑" w:eastAsia="微软雅黑"/>
          <w:b/>
          <w:spacing w:val="-2"/>
          <w:position w:val="11"/>
          <w:sz w:val="11"/>
        </w:rPr>
        <w:t>1</w:t>
      </w:r>
      <w:r>
        <w:rPr>
          <w:spacing w:val="-2"/>
          <w:sz w:val="21"/>
        </w:rPr>
        <w:t>至</w:t>
      </w:r>
      <w:r>
        <w:rPr>
          <w:spacing w:val="-46"/>
          <w:sz w:val="21"/>
        </w:rPr>
        <w:t> </w:t>
      </w:r>
      <w:r>
        <w:rPr>
          <w:spacing w:val="-2"/>
          <w:sz w:val="21"/>
        </w:rPr>
        <w:t>65</w:t>
      </w:r>
      <w:r>
        <w:rPr>
          <w:spacing w:val="-45"/>
          <w:sz w:val="21"/>
        </w:rPr>
        <w:t> </w:t>
      </w:r>
      <w:r>
        <w:rPr>
          <w:spacing w:val="-2"/>
          <w:sz w:val="21"/>
        </w:rPr>
        <w:t>周岁，且须符合我</w:t>
      </w:r>
      <w:r>
        <w:rPr>
          <w:spacing w:val="-2"/>
          <w:sz w:val="21"/>
        </w:rPr>
        <w:t>们</w:t>
      </w:r>
      <w:r>
        <w:rPr>
          <w:spacing w:val="-2"/>
          <w:sz w:val="21"/>
        </w:rPr>
        <w:t>当</w:t>
      </w:r>
      <w:r>
        <w:rPr>
          <w:spacing w:val="-2"/>
          <w:sz w:val="21"/>
        </w:rPr>
        <w:t>时的投保规</w:t>
      </w:r>
      <w:r>
        <w:rPr>
          <w:spacing w:val="-2"/>
          <w:sz w:val="21"/>
        </w:rPr>
        <w:t>定</w:t>
      </w:r>
      <w:r>
        <w:rPr>
          <w:spacing w:val="-2"/>
          <w:sz w:val="21"/>
        </w:rPr>
        <w:t>。</w:t>
      </w:r>
    </w:p>
    <w:p>
      <w:pPr>
        <w:pStyle w:val="BodyText"/>
        <w:spacing w:before="9"/>
        <w:ind w:left="2805"/>
      </w:pPr>
      <w:r>
        <w:rPr>
          <w:spacing w:val="-8"/>
        </w:rPr>
        <w:t>投保时被保险人为 </w:t>
      </w:r>
      <w:r>
        <w:rPr>
          <w:spacing w:val="-2"/>
        </w:rPr>
        <w:t>0</w:t>
      </w:r>
      <w:r>
        <w:rPr>
          <w:spacing w:val="-14"/>
        </w:rPr>
        <w:t> 周岁的，应当为出生满 </w:t>
      </w:r>
      <w:r>
        <w:rPr>
          <w:spacing w:val="-2"/>
        </w:rPr>
        <w:t>28</w:t>
      </w:r>
      <w:r>
        <w:rPr>
          <w:spacing w:val="-10"/>
        </w:rPr>
        <w:t> 日且健康的婴儿。</w:t>
      </w:r>
    </w:p>
    <w:p>
      <w:pPr>
        <w:pStyle w:val="BodyText"/>
        <w:spacing w:line="244" w:lineRule="auto" w:before="2"/>
        <w:ind w:left="2805" w:right="542"/>
      </w:pPr>
      <w:r>
        <w:rPr>
          <w:spacing w:val="-2"/>
        </w:rPr>
        <w:t>被保险人本人或对被保险人有保险利益的其他人可作为投保人投保本保</w:t>
      </w:r>
      <w:r>
        <w:rPr>
          <w:spacing w:val="-6"/>
        </w:rPr>
        <w:t>险。</w:t>
      </w:r>
    </w:p>
    <w:p>
      <w:pPr>
        <w:pStyle w:val="BodyText"/>
        <w:spacing w:before="12"/>
        <w:rPr>
          <w:sz w:val="11"/>
        </w:rPr>
      </w:pPr>
    </w:p>
    <w:p>
      <w:pPr>
        <w:spacing w:after="0"/>
        <w:rPr>
          <w:sz w:val="11"/>
        </w:rPr>
        <w:sectPr>
          <w:pgSz w:w="11910" w:h="16840"/>
          <w:pgMar w:header="877" w:footer="0" w:top="1100" w:bottom="280" w:left="1060" w:right="980"/>
        </w:sectPr>
      </w:pPr>
    </w:p>
    <w:p>
      <w:pPr>
        <w:pStyle w:val="ListParagraph"/>
        <w:numPr>
          <w:ilvl w:val="1"/>
          <w:numId w:val="4"/>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2"/>
          <w:sz w:val="21"/>
        </w:rPr>
        <w:t>合同成立与生</w:t>
      </w:r>
      <w:r>
        <w:rPr>
          <w:rFonts w:ascii="微软雅黑" w:eastAsia="微软雅黑"/>
          <w:b/>
          <w:spacing w:val="-10"/>
          <w:sz w:val="21"/>
        </w:rPr>
        <w:t>效</w:t>
      </w:r>
    </w:p>
    <w:p>
      <w:pPr>
        <w:pStyle w:val="BodyText"/>
        <w:spacing w:line="242" w:lineRule="auto" w:before="72"/>
        <w:ind w:left="253" w:right="333"/>
      </w:pPr>
      <w:r>
        <w:rPr/>
        <w:br w:type="column"/>
      </w:r>
      <w:r>
        <w:rPr>
          <w:spacing w:val="-2"/>
        </w:rPr>
        <w:t>您提出保险申请且我们同意承保，本合同成立。本合同成立日期在保险单</w:t>
      </w:r>
      <w:r>
        <w:rPr>
          <w:spacing w:val="-4"/>
        </w:rPr>
        <w:t>上载明。</w:t>
      </w:r>
    </w:p>
    <w:p>
      <w:pPr>
        <w:pStyle w:val="BodyText"/>
        <w:spacing w:line="242" w:lineRule="auto" w:before="1"/>
        <w:ind w:left="253" w:right="333"/>
      </w:pPr>
      <w:r>
        <w:rPr>
          <w:spacing w:val="-2"/>
        </w:rPr>
        <w:t>除另有约定外，自本合同成立、我们收取保险费并签发保险单的次日零时</w:t>
      </w:r>
      <w:r>
        <w:rPr>
          <w:spacing w:val="-2"/>
        </w:rPr>
        <w:t>起本合同生效。本合同生效日期在保险单上载明。</w:t>
      </w:r>
    </w:p>
    <w:p>
      <w:pPr>
        <w:spacing w:line="184" w:lineRule="auto" w:before="0"/>
        <w:ind w:left="253" w:right="323" w:firstLine="0"/>
        <w:jc w:val="left"/>
        <w:rPr>
          <w:sz w:val="21"/>
        </w:rPr>
      </w:pPr>
      <w:r>
        <w:rPr>
          <w:spacing w:val="-2"/>
          <w:sz w:val="21"/>
        </w:rPr>
        <w:t>本合同生效日以后每年的</w:t>
      </w:r>
      <w:r>
        <w:rPr>
          <w:rFonts w:ascii="微软雅黑" w:eastAsia="微软雅黑"/>
          <w:b/>
          <w:spacing w:val="-2"/>
          <w:sz w:val="21"/>
        </w:rPr>
        <w:t>生效对应日</w:t>
      </w:r>
      <w:r>
        <w:rPr>
          <w:rFonts w:ascii="微软雅黑" w:eastAsia="微软雅黑"/>
          <w:b/>
          <w:spacing w:val="-2"/>
          <w:position w:val="11"/>
          <w:sz w:val="11"/>
        </w:rPr>
        <w:t>2</w:t>
      </w:r>
      <w:r>
        <w:rPr>
          <w:spacing w:val="-9"/>
          <w:sz w:val="21"/>
        </w:rPr>
        <w:t>是保单周年日，保单周年日不含生效</w:t>
      </w:r>
      <w:r>
        <w:rPr>
          <w:spacing w:val="-2"/>
          <w:sz w:val="21"/>
        </w:rPr>
        <w:t>日当日。</w:t>
      </w:r>
      <w:r>
        <w:rPr>
          <w:rFonts w:ascii="微软雅黑" w:eastAsia="微软雅黑"/>
          <w:b/>
          <w:spacing w:val="-2"/>
          <w:sz w:val="21"/>
        </w:rPr>
        <w:t>保单年度</w:t>
      </w:r>
      <w:r>
        <w:rPr>
          <w:rFonts w:ascii="微软雅黑" w:eastAsia="微软雅黑"/>
          <w:b/>
          <w:spacing w:val="-2"/>
          <w:position w:val="11"/>
          <w:sz w:val="11"/>
        </w:rPr>
        <w:t>3</w:t>
      </w:r>
      <w:r>
        <w:rPr>
          <w:spacing w:val="-2"/>
          <w:sz w:val="21"/>
        </w:rPr>
        <w:t>、</w:t>
      </w:r>
      <w:r>
        <w:rPr>
          <w:rFonts w:ascii="微软雅黑" w:eastAsia="微软雅黑"/>
          <w:b/>
          <w:spacing w:val="-2"/>
          <w:sz w:val="21"/>
        </w:rPr>
        <w:t>保险费约定支付日</w:t>
      </w:r>
      <w:r>
        <w:rPr>
          <w:rFonts w:ascii="微软雅黑" w:eastAsia="微软雅黑"/>
          <w:b/>
          <w:spacing w:val="-2"/>
          <w:position w:val="11"/>
          <w:sz w:val="11"/>
        </w:rPr>
        <w:t>4</w:t>
      </w:r>
      <w:r>
        <w:rPr>
          <w:spacing w:val="-2"/>
          <w:sz w:val="21"/>
        </w:rPr>
        <w:t>均以本合同生效日为准计算。</w:t>
      </w:r>
      <w:r>
        <w:rPr>
          <w:spacing w:val="80"/>
          <w:w w:val="150"/>
          <w:sz w:val="21"/>
        </w:rPr>
        <w:t> </w:t>
      </w:r>
      <w:r>
        <w:rPr>
          <w:spacing w:val="-2"/>
          <w:sz w:val="21"/>
        </w:rPr>
        <w:t>我们自本合同生效日零时起开始承担保险责任。</w:t>
      </w:r>
    </w:p>
    <w:p>
      <w:pPr>
        <w:spacing w:after="0" w:line="184" w:lineRule="auto"/>
        <w:jc w:val="left"/>
        <w:rPr>
          <w:sz w:val="21"/>
        </w:rPr>
        <w:sectPr>
          <w:type w:val="continuous"/>
          <w:pgSz w:w="11910" w:h="16840"/>
          <w:pgMar w:header="877" w:footer="0" w:top="1100" w:bottom="280" w:left="1060" w:right="980"/>
          <w:cols w:num="2" w:equalWidth="0">
            <w:col w:w="2479" w:space="73"/>
            <w:col w:w="7318"/>
          </w:cols>
        </w:sectPr>
      </w:pPr>
    </w:p>
    <w:p>
      <w:pPr>
        <w:pStyle w:val="BodyText"/>
        <w:spacing w:before="4"/>
        <w:rPr>
          <w:sz w:val="13"/>
        </w:rPr>
      </w:pPr>
    </w:p>
    <w:p>
      <w:pPr>
        <w:pStyle w:val="ListParagraph"/>
        <w:numPr>
          <w:ilvl w:val="1"/>
          <w:numId w:val="4"/>
        </w:numPr>
        <w:tabs>
          <w:tab w:pos="1210" w:val="left" w:leader="none"/>
          <w:tab w:pos="1211" w:val="left" w:leader="none"/>
          <w:tab w:pos="2804" w:val="left" w:leader="none"/>
        </w:tabs>
        <w:spacing w:line="199" w:lineRule="auto" w:before="52" w:after="0"/>
        <w:ind w:left="2805" w:right="218" w:hanging="2552"/>
        <w:jc w:val="left"/>
        <w:rPr>
          <w:rFonts w:ascii="微软雅黑" w:eastAsia="微软雅黑"/>
          <w:b/>
          <w:sz w:val="21"/>
        </w:rPr>
      </w:pPr>
      <w:r>
        <w:rPr>
          <w:rFonts w:ascii="微软雅黑" w:eastAsia="微软雅黑"/>
          <w:b/>
          <w:spacing w:val="-4"/>
          <w:sz w:val="21"/>
        </w:rPr>
        <w:t>犹</w:t>
      </w:r>
      <w:r>
        <w:rPr>
          <w:rFonts w:ascii="微软雅黑" w:eastAsia="微软雅黑"/>
          <w:b/>
          <w:spacing w:val="-4"/>
          <w:sz w:val="21"/>
        </w:rPr>
        <w:t>豫</w:t>
      </w:r>
      <w:r>
        <w:rPr>
          <w:rFonts w:ascii="微软雅黑" w:eastAsia="微软雅黑"/>
          <w:b/>
          <w:spacing w:val="-4"/>
          <w:sz w:val="21"/>
        </w:rPr>
        <w:t>期</w:t>
      </w:r>
      <w:r>
        <w:rPr>
          <w:rFonts w:ascii="微软雅黑" w:eastAsia="微软雅黑"/>
          <w:b/>
          <w:sz w:val="21"/>
        </w:rPr>
        <w:tab/>
      </w:r>
      <w:r>
        <w:rPr>
          <w:sz w:val="21"/>
        </w:rPr>
        <w:t>自您签收本合同之日起</w:t>
      </w:r>
      <w:r>
        <w:rPr>
          <w:spacing w:val="-104"/>
          <w:sz w:val="21"/>
        </w:rPr>
        <w:t>，</w:t>
      </w:r>
      <w:r>
        <w:rPr>
          <w:sz w:val="21"/>
        </w:rPr>
        <w:t>有</w:t>
      </w:r>
      <w:r>
        <w:rPr>
          <w:spacing w:val="-53"/>
          <w:sz w:val="21"/>
        </w:rPr>
        <w:t> </w:t>
      </w:r>
      <w:r>
        <w:rPr>
          <w:sz w:val="21"/>
        </w:rPr>
        <w:t>15</w:t>
      </w:r>
      <w:r>
        <w:rPr>
          <w:spacing w:val="-55"/>
          <w:sz w:val="21"/>
        </w:rPr>
        <w:t> </w:t>
      </w:r>
      <w:r>
        <w:rPr>
          <w:sz w:val="21"/>
        </w:rPr>
        <w:t>日的犹豫期</w:t>
      </w:r>
      <w:r>
        <w:rPr>
          <w:spacing w:val="-101"/>
          <w:sz w:val="21"/>
        </w:rPr>
        <w:t>。</w:t>
      </w:r>
      <w:r>
        <w:rPr>
          <w:sz w:val="21"/>
        </w:rPr>
        <w:t>在此期</w:t>
      </w:r>
      <w:r>
        <w:rPr>
          <w:sz w:val="21"/>
        </w:rPr>
        <w:t>间请您认真审视本合</w:t>
      </w:r>
      <w:r>
        <w:rPr>
          <w:sz w:val="21"/>
        </w:rPr>
        <w:t>同，</w:t>
      </w:r>
      <w:r>
        <w:rPr>
          <w:spacing w:val="-2"/>
          <w:sz w:val="21"/>
        </w:rPr>
        <w:t>如</w:t>
      </w:r>
      <w:r>
        <w:rPr>
          <w:spacing w:val="-2"/>
          <w:sz w:val="21"/>
        </w:rPr>
        <w:t>果</w:t>
      </w:r>
      <w:r>
        <w:rPr>
          <w:spacing w:val="-2"/>
          <w:sz w:val="21"/>
        </w:rPr>
        <w:t>您认为本合同与您的</w:t>
      </w:r>
      <w:r>
        <w:rPr>
          <w:spacing w:val="-2"/>
          <w:sz w:val="21"/>
        </w:rPr>
        <w:t>需</w:t>
      </w:r>
      <w:r>
        <w:rPr>
          <w:spacing w:val="-2"/>
          <w:sz w:val="21"/>
        </w:rPr>
        <w:t>求</w:t>
      </w:r>
      <w:r>
        <w:rPr>
          <w:spacing w:val="-2"/>
          <w:sz w:val="21"/>
        </w:rPr>
        <w:t>不相符，您可以在此</w:t>
      </w:r>
      <w:r>
        <w:rPr>
          <w:spacing w:val="-2"/>
          <w:sz w:val="21"/>
        </w:rPr>
        <w:t>期</w:t>
      </w:r>
      <w:r>
        <w:rPr>
          <w:spacing w:val="-2"/>
          <w:sz w:val="21"/>
        </w:rPr>
        <w:t>间</w:t>
      </w:r>
      <w:r>
        <w:rPr>
          <w:spacing w:val="-2"/>
          <w:sz w:val="21"/>
        </w:rPr>
        <w:t>申请解除本合同，</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将</w:t>
      </w:r>
      <w:r>
        <w:rPr>
          <w:rFonts w:ascii="微软雅黑" w:eastAsia="微软雅黑"/>
          <w:b/>
          <w:spacing w:val="-2"/>
          <w:sz w:val="21"/>
        </w:rPr>
        <w:t>无</w:t>
      </w:r>
      <w:r>
        <w:rPr>
          <w:rFonts w:ascii="微软雅黑" w:eastAsia="微软雅黑"/>
          <w:b/>
          <w:spacing w:val="-2"/>
          <w:sz w:val="21"/>
        </w:rPr>
        <w:t>息</w:t>
      </w:r>
      <w:r>
        <w:rPr>
          <w:rFonts w:ascii="微软雅黑" w:eastAsia="微软雅黑"/>
          <w:b/>
          <w:spacing w:val="-2"/>
          <w:sz w:val="21"/>
        </w:rPr>
        <w:t>退</w:t>
      </w:r>
      <w:r>
        <w:rPr>
          <w:rFonts w:ascii="微软雅黑" w:eastAsia="微软雅黑"/>
          <w:b/>
          <w:spacing w:val="-2"/>
          <w:sz w:val="21"/>
        </w:rPr>
        <w:t>还</w:t>
      </w:r>
      <w:r>
        <w:rPr>
          <w:rFonts w:ascii="微软雅黑" w:eastAsia="微软雅黑"/>
          <w:b/>
          <w:spacing w:val="-2"/>
          <w:sz w:val="21"/>
        </w:rPr>
        <w:t>您</w:t>
      </w:r>
      <w:r>
        <w:rPr>
          <w:rFonts w:ascii="微软雅黑" w:eastAsia="微软雅黑"/>
          <w:b/>
          <w:spacing w:val="-2"/>
          <w:sz w:val="21"/>
        </w:rPr>
        <w:t>所支付</w:t>
      </w:r>
      <w:r>
        <w:rPr>
          <w:rFonts w:ascii="微软雅黑" w:eastAsia="微软雅黑"/>
          <w:b/>
          <w:spacing w:val="-2"/>
          <w:sz w:val="21"/>
        </w:rPr>
        <w:t>的</w:t>
      </w:r>
      <w:r>
        <w:rPr>
          <w:rFonts w:ascii="微软雅黑" w:eastAsia="微软雅黑"/>
          <w:b/>
          <w:spacing w:val="-2"/>
          <w:sz w:val="21"/>
        </w:rPr>
        <w:t>全</w:t>
      </w:r>
      <w:r>
        <w:rPr>
          <w:rFonts w:ascii="微软雅黑" w:eastAsia="微软雅黑"/>
          <w:b/>
          <w:spacing w:val="-2"/>
          <w:sz w:val="21"/>
        </w:rPr>
        <w:t>部</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w:t>
      </w:r>
    </w:p>
    <w:p>
      <w:pPr>
        <w:spacing w:line="234" w:lineRule="exact" w:before="0"/>
        <w:ind w:left="2805" w:right="0" w:firstLine="0"/>
        <w:jc w:val="left"/>
        <w:rPr>
          <w:sz w:val="21"/>
        </w:rPr>
      </w:pPr>
      <w:r>
        <w:rPr>
          <w:w w:val="95"/>
          <w:sz w:val="21"/>
        </w:rPr>
        <w:t>解</w:t>
      </w:r>
      <w:r>
        <w:rPr>
          <w:w w:val="95"/>
          <w:sz w:val="21"/>
        </w:rPr>
        <w:t>除</w:t>
      </w:r>
      <w:r>
        <w:rPr>
          <w:w w:val="95"/>
          <w:sz w:val="21"/>
        </w:rPr>
        <w:t>本合</w:t>
      </w:r>
      <w:r>
        <w:rPr>
          <w:w w:val="95"/>
          <w:sz w:val="21"/>
        </w:rPr>
        <w:t>同</w:t>
      </w:r>
      <w:r>
        <w:rPr>
          <w:w w:val="95"/>
          <w:sz w:val="21"/>
        </w:rPr>
        <w:t>时</w:t>
      </w:r>
      <w:r>
        <w:rPr>
          <w:spacing w:val="-14"/>
          <w:w w:val="95"/>
          <w:sz w:val="21"/>
        </w:rPr>
        <w:t>，您需要填写</w:t>
      </w:r>
      <w:r>
        <w:rPr>
          <w:w w:val="95"/>
          <w:sz w:val="21"/>
        </w:rPr>
        <w:t>申</w:t>
      </w:r>
      <w:r>
        <w:rPr>
          <w:w w:val="95"/>
          <w:sz w:val="21"/>
        </w:rPr>
        <w:t>请</w:t>
      </w:r>
      <w:r>
        <w:rPr>
          <w:spacing w:val="-10"/>
          <w:w w:val="95"/>
          <w:sz w:val="21"/>
        </w:rPr>
        <w:t>书，并提供您的保险合同及</w:t>
      </w:r>
      <w:r>
        <w:rPr>
          <w:rFonts w:ascii="微软雅黑" w:eastAsia="微软雅黑"/>
          <w:b/>
          <w:w w:val="95"/>
          <w:sz w:val="21"/>
        </w:rPr>
        <w:t>有</w:t>
      </w:r>
      <w:r>
        <w:rPr>
          <w:rFonts w:ascii="微软雅黑" w:eastAsia="微软雅黑"/>
          <w:b/>
          <w:w w:val="95"/>
          <w:sz w:val="21"/>
        </w:rPr>
        <w:t>效</w:t>
      </w:r>
      <w:r>
        <w:rPr>
          <w:rFonts w:ascii="微软雅黑" w:eastAsia="微软雅黑"/>
          <w:b/>
          <w:w w:val="95"/>
          <w:sz w:val="21"/>
        </w:rPr>
        <w:t>身</w:t>
      </w:r>
      <w:r>
        <w:rPr>
          <w:rFonts w:ascii="微软雅黑" w:eastAsia="微软雅黑"/>
          <w:b/>
          <w:w w:val="95"/>
          <w:sz w:val="21"/>
        </w:rPr>
        <w:t>份</w:t>
      </w:r>
      <w:r>
        <w:rPr>
          <w:rFonts w:ascii="微软雅黑" w:eastAsia="微软雅黑"/>
          <w:b/>
          <w:w w:val="95"/>
          <w:sz w:val="21"/>
        </w:rPr>
        <w:t>证</w:t>
      </w:r>
      <w:r>
        <w:rPr>
          <w:rFonts w:ascii="微软雅黑" w:eastAsia="微软雅黑"/>
          <w:b/>
          <w:w w:val="95"/>
          <w:sz w:val="21"/>
        </w:rPr>
        <w:t>件</w:t>
      </w:r>
      <w:r>
        <w:rPr>
          <w:rFonts w:ascii="微软雅黑" w:eastAsia="微软雅黑"/>
          <w:b/>
          <w:w w:val="95"/>
          <w:position w:val="11"/>
          <w:sz w:val="11"/>
        </w:rPr>
        <w:t>5</w:t>
      </w:r>
      <w:r>
        <w:rPr>
          <w:spacing w:val="-10"/>
          <w:w w:val="95"/>
          <w:sz w:val="21"/>
        </w:rPr>
        <w:t>。</w:t>
      </w:r>
    </w:p>
    <w:p>
      <w:pPr>
        <w:spacing w:line="168" w:lineRule="auto" w:before="26"/>
        <w:ind w:left="2805" w:right="326" w:firstLine="0"/>
        <w:jc w:val="left"/>
        <w:rPr>
          <w:rFonts w:ascii="微软雅黑" w:eastAsia="微软雅黑"/>
          <w:b/>
          <w:sz w:val="21"/>
        </w:rPr>
      </w:pPr>
      <w:r>
        <w:rPr>
          <w:rFonts w:ascii="微软雅黑" w:eastAsia="微软雅黑"/>
          <w:b/>
          <w:spacing w:val="-2"/>
          <w:sz w:val="21"/>
        </w:rPr>
        <w:t>自我们收到您解除合同的书面申请时起，本合同即被解除，合同解除前发</w:t>
      </w:r>
      <w:r>
        <w:rPr>
          <w:rFonts w:ascii="微软雅黑" w:eastAsia="微软雅黑"/>
          <w:b/>
          <w:spacing w:val="-2"/>
          <w:sz w:val="21"/>
        </w:rPr>
        <w:t>生的保险事故我们不承担保险责任。</w:t>
      </w:r>
    </w:p>
    <w:p>
      <w:pPr>
        <w:pStyle w:val="BodyText"/>
        <w:spacing w:before="12"/>
        <w:rPr>
          <w:rFonts w:ascii="微软雅黑"/>
          <w:b/>
          <w:sz w:val="7"/>
        </w:rPr>
      </w:pPr>
    </w:p>
    <w:p>
      <w:pPr>
        <w:spacing w:after="0"/>
        <w:rPr>
          <w:rFonts w:ascii="微软雅黑"/>
          <w:sz w:val="7"/>
        </w:rPr>
        <w:sectPr>
          <w:type w:val="continuous"/>
          <w:pgSz w:w="11910" w:h="16840"/>
          <w:pgMar w:header="877" w:footer="0" w:top="1100" w:bottom="280" w:left="1060" w:right="980"/>
        </w:sectPr>
      </w:pPr>
    </w:p>
    <w:p>
      <w:pPr>
        <w:pStyle w:val="ListParagraph"/>
        <w:numPr>
          <w:ilvl w:val="1"/>
          <w:numId w:val="4"/>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2"/>
          <w:sz w:val="21"/>
        </w:rPr>
        <w:t>您解除合同的</w:t>
      </w:r>
      <w:r>
        <w:rPr>
          <w:rFonts w:ascii="微软雅黑" w:eastAsia="微软雅黑"/>
          <w:b/>
          <w:spacing w:val="-2"/>
          <w:sz w:val="21"/>
        </w:rPr>
        <w:t>手续及风险</w:t>
      </w:r>
    </w:p>
    <w:p>
      <w:pPr>
        <w:pStyle w:val="BodyText"/>
        <w:spacing w:line="244" w:lineRule="auto" w:before="71"/>
        <w:ind w:left="253" w:right="333"/>
      </w:pPr>
      <w:r>
        <w:rPr/>
        <w:br w:type="column"/>
      </w:r>
      <w:r>
        <w:rPr>
          <w:spacing w:val="-2"/>
        </w:rPr>
        <w:t>您在犹豫期后可以申请解除本合同，请填写解除合同申请书并向我们提供</w:t>
      </w:r>
      <w:r>
        <w:rPr>
          <w:spacing w:val="-2"/>
        </w:rPr>
        <w:t>下列证明和资料：</w:t>
      </w:r>
    </w:p>
    <w:p>
      <w:pPr>
        <w:pStyle w:val="ListParagraph"/>
        <w:numPr>
          <w:ilvl w:val="0"/>
          <w:numId w:val="5"/>
        </w:numPr>
        <w:tabs>
          <w:tab w:pos="783" w:val="left" w:leader="none"/>
        </w:tabs>
        <w:spacing w:line="265" w:lineRule="exact" w:before="0" w:after="0"/>
        <w:ind w:left="782" w:right="0" w:hanging="530"/>
        <w:jc w:val="left"/>
        <w:rPr>
          <w:sz w:val="21"/>
        </w:rPr>
      </w:pPr>
      <w:r>
        <w:rPr>
          <w:spacing w:val="-4"/>
          <w:sz w:val="21"/>
        </w:rPr>
        <w:t>保险合同；</w:t>
      </w:r>
    </w:p>
    <w:p>
      <w:pPr>
        <w:pStyle w:val="ListParagraph"/>
        <w:numPr>
          <w:ilvl w:val="0"/>
          <w:numId w:val="5"/>
        </w:numPr>
        <w:tabs>
          <w:tab w:pos="783" w:val="left" w:leader="none"/>
        </w:tabs>
        <w:spacing w:line="240" w:lineRule="auto" w:before="5" w:after="0"/>
        <w:ind w:left="782" w:right="0" w:hanging="530"/>
        <w:jc w:val="left"/>
        <w:rPr>
          <w:sz w:val="21"/>
        </w:rPr>
      </w:pPr>
      <w:r>
        <w:rPr>
          <w:spacing w:val="-3"/>
          <w:sz w:val="21"/>
        </w:rPr>
        <w:t>您的有效身份证件。</w:t>
      </w:r>
    </w:p>
    <w:p>
      <w:pPr>
        <w:pStyle w:val="BodyText"/>
        <w:spacing w:line="244" w:lineRule="auto" w:before="2"/>
        <w:ind w:left="253" w:right="333"/>
      </w:pPr>
      <w:r>
        <w:rPr>
          <w:spacing w:val="-2"/>
        </w:rPr>
        <w:t>自我们收到解除合同申请书时起，本合同终止。我们自收到解除合同申请</w:t>
      </w:r>
      <w:r>
        <w:rPr>
          <w:spacing w:val="-5"/>
        </w:rPr>
        <w:t>书之日起 </w:t>
      </w:r>
      <w:r>
        <w:rPr/>
        <w:t>30</w:t>
      </w:r>
      <w:r>
        <w:rPr>
          <w:spacing w:val="-5"/>
        </w:rPr>
        <w:t> 日内向您退还本合同的现金价值。</w:t>
      </w:r>
    </w:p>
    <w:p>
      <w:pPr>
        <w:spacing w:line="316" w:lineRule="exact" w:before="0"/>
        <w:ind w:left="253" w:right="0" w:firstLine="0"/>
        <w:jc w:val="left"/>
        <w:rPr>
          <w:rFonts w:ascii="微软雅黑" w:eastAsia="微软雅黑"/>
          <w:b/>
          <w:sz w:val="21"/>
        </w:rPr>
      </w:pPr>
      <w:r>
        <w:rPr>
          <w:rFonts w:ascii="微软雅黑" w:eastAsia="微软雅黑"/>
          <w:b/>
          <w:spacing w:val="-3"/>
          <w:sz w:val="21"/>
        </w:rPr>
        <w:t>您在犹豫期后解除合同会遭受一定损失。</w:t>
      </w:r>
    </w:p>
    <w:p>
      <w:pPr>
        <w:spacing w:after="0" w:line="316" w:lineRule="exact"/>
        <w:jc w:val="left"/>
        <w:rPr>
          <w:rFonts w:ascii="微软雅黑" w:eastAsia="微软雅黑"/>
          <w:sz w:val="21"/>
        </w:rPr>
        <w:sectPr>
          <w:type w:val="continuous"/>
          <w:pgSz w:w="11910" w:h="16840"/>
          <w:pgMar w:header="877" w:footer="0" w:top="1100" w:bottom="280" w:left="1060" w:right="980"/>
          <w:cols w:num="2" w:equalWidth="0">
            <w:col w:w="2479" w:space="73"/>
            <w:col w:w="7318"/>
          </w:cols>
        </w:sectPr>
      </w:pPr>
    </w:p>
    <w:p>
      <w:pPr>
        <w:tabs>
          <w:tab w:pos="1186" w:val="left" w:leader="none"/>
        </w:tabs>
        <w:spacing w:before="172"/>
        <w:ind w:left="253" w:right="0" w:firstLine="0"/>
        <w:jc w:val="left"/>
        <w:rPr>
          <w:rFonts w:ascii="微软雅黑" w:hAnsi="微软雅黑" w:eastAsia="微软雅黑"/>
          <w:b/>
          <w:sz w:val="24"/>
        </w:rPr>
      </w:pPr>
      <w:r>
        <w:rPr/>
        <w:drawing>
          <wp:anchor distT="0" distB="0" distL="0" distR="0" allowOverlap="1" layoutInCell="1" locked="0" behindDoc="0" simplePos="0" relativeHeight="1">
            <wp:simplePos x="0" y="0"/>
            <wp:positionH relativeFrom="page">
              <wp:posOffset>765352</wp:posOffset>
            </wp:positionH>
            <wp:positionV relativeFrom="paragraph">
              <wp:posOffset>424387</wp:posOffset>
            </wp:positionV>
            <wp:extent cx="6078427"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078427" cy="12287"/>
                    </a:xfrm>
                    <a:prstGeom prst="rect">
                      <a:avLst/>
                    </a:prstGeom>
                  </pic:spPr>
                </pic:pic>
              </a:graphicData>
            </a:graphic>
          </wp:anchor>
        </w:drawing>
      </w:r>
      <w:r>
        <w:rPr>
          <w:rFonts w:ascii="Wingdings" w:hAnsi="Wingdings" w:eastAsia="Wingdings"/>
          <w:b/>
          <w:spacing w:val="-10"/>
          <w:position w:val="-5"/>
          <w:sz w:val="44"/>
        </w:rPr>
        <w:t></w:t>
      </w:r>
      <w:r>
        <w:rPr>
          <w:rFonts w:ascii="Times New Roman" w:hAnsi="Times New Roman" w:eastAsia="Times New Roman"/>
          <w:position w:val="-5"/>
          <w:sz w:val="44"/>
        </w:rPr>
        <w:tab/>
      </w:r>
      <w:r>
        <w:rPr>
          <w:rFonts w:ascii="微软雅黑" w:hAnsi="微软雅黑" w:eastAsia="微软雅黑"/>
          <w:b/>
          <w:spacing w:val="-2"/>
          <w:sz w:val="24"/>
        </w:rPr>
        <w:t>我们提供的保障</w:t>
      </w:r>
    </w:p>
    <w:p>
      <w:pPr>
        <w:pStyle w:val="ListParagraph"/>
        <w:numPr>
          <w:ilvl w:val="1"/>
          <w:numId w:val="6"/>
        </w:numPr>
        <w:tabs>
          <w:tab w:pos="1210" w:val="left" w:leader="none"/>
          <w:tab w:pos="1211" w:val="left" w:leader="none"/>
          <w:tab w:pos="2804" w:val="left" w:leader="none"/>
        </w:tabs>
        <w:spacing w:line="240" w:lineRule="auto" w:before="140" w:after="0"/>
        <w:ind w:left="1210" w:right="0" w:hanging="958"/>
        <w:jc w:val="left"/>
        <w:rPr>
          <w:sz w:val="21"/>
        </w:rPr>
      </w:pPr>
      <w:r>
        <w:rPr>
          <w:rFonts w:ascii="微软雅黑" w:eastAsia="微软雅黑"/>
          <w:b/>
          <w:sz w:val="21"/>
        </w:rPr>
        <w:t>基本保险金</w:t>
      </w:r>
      <w:r>
        <w:rPr>
          <w:rFonts w:ascii="微软雅黑" w:eastAsia="微软雅黑"/>
          <w:b/>
          <w:spacing w:val="-10"/>
          <w:sz w:val="21"/>
        </w:rPr>
        <w:t>额</w:t>
      </w:r>
      <w:r>
        <w:rPr>
          <w:rFonts w:ascii="微软雅黑" w:eastAsia="微软雅黑"/>
          <w:b/>
          <w:sz w:val="21"/>
        </w:rPr>
        <w:tab/>
      </w:r>
      <w:r>
        <w:rPr>
          <w:spacing w:val="-2"/>
          <w:sz w:val="21"/>
        </w:rPr>
        <w:t>本</w:t>
      </w:r>
      <w:r>
        <w:rPr>
          <w:spacing w:val="-2"/>
          <w:sz w:val="21"/>
        </w:rPr>
        <w:t>合</w:t>
      </w:r>
      <w:r>
        <w:rPr>
          <w:spacing w:val="-2"/>
          <w:sz w:val="21"/>
        </w:rPr>
        <w:t>同基本保险金额由您</w:t>
      </w:r>
      <w:r>
        <w:rPr>
          <w:spacing w:val="-2"/>
          <w:sz w:val="21"/>
        </w:rPr>
        <w:t>和</w:t>
      </w:r>
      <w:r>
        <w:rPr>
          <w:spacing w:val="-2"/>
          <w:sz w:val="21"/>
        </w:rPr>
        <w:t>我</w:t>
      </w:r>
      <w:r>
        <w:rPr>
          <w:spacing w:val="-2"/>
          <w:sz w:val="21"/>
        </w:rPr>
        <w:t>们在投保时约定并在</w:t>
      </w:r>
      <w:r>
        <w:rPr>
          <w:spacing w:val="-2"/>
          <w:sz w:val="21"/>
        </w:rPr>
        <w:t>保</w:t>
      </w:r>
      <w:r>
        <w:rPr>
          <w:spacing w:val="-2"/>
          <w:sz w:val="21"/>
        </w:rPr>
        <w:t>险</w:t>
      </w:r>
      <w:r>
        <w:rPr>
          <w:spacing w:val="-2"/>
          <w:sz w:val="21"/>
        </w:rPr>
        <w:t>单上载明。若该</w:t>
      </w:r>
      <w:r>
        <w:rPr>
          <w:spacing w:val="-10"/>
          <w:sz w:val="21"/>
        </w:rPr>
        <w:t>金</w:t>
      </w:r>
    </w:p>
    <w:p>
      <w:pPr>
        <w:pStyle w:val="BodyText"/>
        <w:spacing w:before="11"/>
        <w:rPr>
          <w:sz w:val="19"/>
        </w:rPr>
      </w:pPr>
      <w:r>
        <w:rPr/>
        <w:drawing>
          <wp:anchor distT="0" distB="0" distL="0" distR="0" allowOverlap="1" layoutInCell="1" locked="0" behindDoc="0" simplePos="0" relativeHeight="2">
            <wp:simplePos x="0" y="0"/>
            <wp:positionH relativeFrom="page">
              <wp:posOffset>762304</wp:posOffset>
            </wp:positionH>
            <wp:positionV relativeFrom="paragraph">
              <wp:posOffset>177270</wp:posOffset>
            </wp:positionV>
            <wp:extent cx="1829130" cy="6095"/>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1829130" cy="6095"/>
                    </a:xfrm>
                    <a:prstGeom prst="rect">
                      <a:avLst/>
                    </a:prstGeom>
                  </pic:spPr>
                </pic:pic>
              </a:graphicData>
            </a:graphic>
          </wp:anchor>
        </w:drawing>
      </w:r>
    </w:p>
    <w:p>
      <w:pPr>
        <w:pStyle w:val="BodyText"/>
        <w:spacing w:line="204" w:lineRule="auto" w:before="74"/>
        <w:ind w:left="308" w:right="314" w:hanging="168"/>
      </w:pPr>
      <w:r>
        <w:rPr>
          <w:position w:val="11"/>
          <w:sz w:val="11"/>
        </w:rPr>
        <w:t>1</w:t>
      </w:r>
      <w:r>
        <w:rPr>
          <w:spacing w:val="25"/>
          <w:position w:val="11"/>
          <w:sz w:val="11"/>
        </w:rPr>
        <w:t> </w:t>
      </w:r>
      <w:r>
        <w:rPr>
          <w:rFonts w:ascii="微软雅黑" w:eastAsia="微软雅黑"/>
          <w:b/>
        </w:rPr>
        <w:t>周岁</w:t>
      </w:r>
      <w:r>
        <w:rPr/>
        <w:t>：指按有效身份证件中记载的出生日期计算的年龄，自出生之日起为零周岁，每经过一年增加一</w:t>
      </w:r>
      <w:r>
        <w:rPr>
          <w:spacing w:val="-2"/>
        </w:rPr>
        <w:t>岁，不足一年的不计。</w:t>
      </w:r>
    </w:p>
    <w:p>
      <w:pPr>
        <w:pStyle w:val="BodyText"/>
        <w:spacing w:line="308" w:lineRule="exact"/>
        <w:ind w:left="140"/>
      </w:pPr>
      <w:r>
        <w:rPr>
          <w:spacing w:val="-2"/>
          <w:position w:val="11"/>
          <w:sz w:val="11"/>
        </w:rPr>
        <w:t>2</w:t>
      </w:r>
      <w:r>
        <w:rPr>
          <w:spacing w:val="55"/>
          <w:w w:val="150"/>
          <w:position w:val="11"/>
          <w:sz w:val="11"/>
        </w:rPr>
        <w:t> </w:t>
      </w:r>
      <w:r>
        <w:rPr>
          <w:rFonts w:ascii="微软雅黑" w:eastAsia="微软雅黑"/>
          <w:b/>
          <w:spacing w:val="-2"/>
        </w:rPr>
        <w:t>生效对应日</w:t>
      </w:r>
      <w:r>
        <w:rPr>
          <w:spacing w:val="-2"/>
        </w:rPr>
        <w:t>：生效日每年（半年、季或月）的对应日为本合同每年（半年、季或月）</w:t>
      </w:r>
      <w:r>
        <w:rPr>
          <w:spacing w:val="-4"/>
        </w:rPr>
        <w:t>生效对应日。如</w:t>
      </w:r>
    </w:p>
    <w:p>
      <w:pPr>
        <w:pStyle w:val="BodyText"/>
        <w:spacing w:line="212" w:lineRule="exact"/>
        <w:ind w:left="308"/>
      </w:pPr>
      <w:r>
        <w:rPr>
          <w:spacing w:val="-3"/>
        </w:rPr>
        <w:t>果当月没有对应的同一日，则以该月最后一日为对应日。</w:t>
      </w:r>
    </w:p>
    <w:p>
      <w:pPr>
        <w:pStyle w:val="BodyText"/>
        <w:spacing w:line="206" w:lineRule="auto" w:before="6"/>
        <w:ind w:left="308" w:right="312" w:hanging="168"/>
      </w:pPr>
      <w:r>
        <w:rPr>
          <w:position w:val="11"/>
          <w:sz w:val="11"/>
        </w:rPr>
        <w:t>3</w:t>
      </w:r>
      <w:r>
        <w:rPr>
          <w:spacing w:val="27"/>
          <w:position w:val="11"/>
          <w:sz w:val="11"/>
        </w:rPr>
        <w:t> </w:t>
      </w:r>
      <w:r>
        <w:rPr>
          <w:rFonts w:ascii="微软雅黑" w:eastAsia="微软雅黑"/>
          <w:b/>
        </w:rPr>
        <w:t>保单年度</w:t>
      </w:r>
      <w:r>
        <w:rPr/>
        <w:t>：指从保险合同生效日或保单周年日零时起至下一年度保险合同保单周年日零时止的期间为</w:t>
      </w:r>
      <w:r>
        <w:rPr>
          <w:spacing w:val="-2"/>
        </w:rPr>
        <w:t>一个保单年度。</w:t>
      </w:r>
    </w:p>
    <w:p>
      <w:pPr>
        <w:spacing w:line="306" w:lineRule="exact" w:before="0"/>
        <w:ind w:left="140" w:right="0" w:firstLine="0"/>
        <w:jc w:val="left"/>
        <w:rPr>
          <w:sz w:val="21"/>
        </w:rPr>
      </w:pPr>
      <w:r>
        <w:rPr>
          <w:spacing w:val="-4"/>
          <w:position w:val="11"/>
          <w:sz w:val="11"/>
        </w:rPr>
        <w:t>4</w:t>
      </w:r>
      <w:r>
        <w:rPr>
          <w:spacing w:val="55"/>
          <w:position w:val="11"/>
          <w:sz w:val="11"/>
        </w:rPr>
        <w:t> </w:t>
      </w:r>
      <w:r>
        <w:rPr>
          <w:rFonts w:ascii="微软雅黑" w:eastAsia="微软雅黑"/>
          <w:b/>
          <w:spacing w:val="-4"/>
          <w:sz w:val="21"/>
        </w:rPr>
        <w:t>保险费约定支付日</w:t>
      </w:r>
      <w:r>
        <w:rPr>
          <w:spacing w:val="-4"/>
          <w:sz w:val="21"/>
        </w:rPr>
        <w:t>：指保险合同生效日在每月、每季、每半年或每年（根据交费方式确定）</w:t>
      </w:r>
      <w:r>
        <w:rPr>
          <w:spacing w:val="-6"/>
          <w:sz w:val="21"/>
        </w:rPr>
        <w:t>的对应日。</w:t>
      </w:r>
    </w:p>
    <w:p>
      <w:pPr>
        <w:pStyle w:val="BodyText"/>
        <w:spacing w:line="214" w:lineRule="exact"/>
        <w:ind w:left="308"/>
      </w:pPr>
      <w:r>
        <w:rPr>
          <w:spacing w:val="-3"/>
        </w:rPr>
        <w:t>如果当月无对应的同一日，则以该月最后一日为对应日。</w:t>
      </w:r>
    </w:p>
    <w:p>
      <w:pPr>
        <w:pStyle w:val="BodyText"/>
        <w:spacing w:line="206" w:lineRule="auto" w:before="6"/>
        <w:ind w:left="308" w:right="307" w:hanging="168"/>
      </w:pPr>
      <w:r>
        <w:rPr>
          <w:position w:val="11"/>
          <w:sz w:val="11"/>
        </w:rPr>
        <w:t>5</w:t>
      </w:r>
      <w:r>
        <w:rPr>
          <w:spacing w:val="32"/>
          <w:position w:val="11"/>
          <w:sz w:val="11"/>
        </w:rPr>
        <w:t> </w:t>
      </w:r>
      <w:r>
        <w:rPr>
          <w:rFonts w:ascii="微软雅黑" w:eastAsia="微软雅黑"/>
          <w:b/>
        </w:rPr>
        <w:t>有效身份证件</w:t>
      </w:r>
      <w:r>
        <w:rPr/>
        <w:t>：指由中华人民共和国政府主管部门规定的能够证明其身份的证件，如：有效期内的居</w:t>
      </w:r>
      <w:r>
        <w:rPr>
          <w:spacing w:val="-3"/>
        </w:rPr>
        <w:t>民身份证、港澳台居民居住证、户口簿以及中华人民共和国政府主管部门颁发或者认可的有效护照或</w:t>
      </w:r>
    </w:p>
    <w:p>
      <w:pPr>
        <w:pStyle w:val="BodyText"/>
        <w:spacing w:before="9"/>
        <w:ind w:left="308"/>
      </w:pPr>
      <w:r>
        <w:rPr>
          <w:spacing w:val="-3"/>
        </w:rPr>
        <w:t>者其他身份证明文件。</w:t>
      </w:r>
    </w:p>
    <w:p>
      <w:pPr>
        <w:spacing w:after="0"/>
        <w:sectPr>
          <w:type w:val="continuous"/>
          <w:pgSz w:w="11910" w:h="16840"/>
          <w:pgMar w:header="877" w:footer="0" w:top="1100" w:bottom="280" w:left="1060" w:right="980"/>
        </w:sectPr>
      </w:pPr>
    </w:p>
    <w:p>
      <w:pPr>
        <w:pStyle w:val="BodyText"/>
        <w:spacing w:before="83"/>
        <w:ind w:left="1463" w:right="1094"/>
        <w:jc w:val="center"/>
      </w:pPr>
      <w:r>
        <w:rPr>
          <w:spacing w:val="-3"/>
        </w:rPr>
        <w:t>额发生变更，则以变更后的金额为基本保险金额。</w:t>
      </w:r>
    </w:p>
    <w:p>
      <w:pPr>
        <w:pStyle w:val="BodyText"/>
        <w:spacing w:before="5"/>
        <w:rPr>
          <w:sz w:val="12"/>
        </w:rPr>
      </w:pPr>
    </w:p>
    <w:p>
      <w:pPr>
        <w:spacing w:after="0"/>
        <w:rPr>
          <w:sz w:val="12"/>
        </w:rPr>
        <w:sectPr>
          <w:pgSz w:w="11910" w:h="16840"/>
          <w:pgMar w:header="877" w:footer="0" w:top="1100" w:bottom="280" w:left="1060" w:right="980"/>
        </w:sectPr>
      </w:pPr>
    </w:p>
    <w:p>
      <w:pPr>
        <w:pStyle w:val="ListParagraph"/>
        <w:numPr>
          <w:ilvl w:val="1"/>
          <w:numId w:val="6"/>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2"/>
          <w:sz w:val="21"/>
        </w:rPr>
        <w:t>未成年人身故</w:t>
      </w:r>
      <w:r>
        <w:rPr>
          <w:rFonts w:ascii="微软雅黑" w:eastAsia="微软雅黑"/>
          <w:b/>
          <w:spacing w:val="-2"/>
          <w:sz w:val="21"/>
        </w:rPr>
        <w:t>保险金限制</w:t>
      </w:r>
    </w:p>
    <w:p>
      <w:pPr>
        <w:spacing w:line="168" w:lineRule="auto" w:before="87"/>
        <w:ind w:left="253" w:right="326" w:firstLine="0"/>
        <w:jc w:val="both"/>
        <w:rPr>
          <w:rFonts w:ascii="微软雅黑" w:eastAsia="微软雅黑"/>
          <w:b/>
          <w:sz w:val="21"/>
        </w:rPr>
      </w:pPr>
      <w:r>
        <w:rPr/>
        <w:br w:type="column"/>
      </w:r>
      <w:r>
        <w:rPr>
          <w:rFonts w:ascii="微软雅黑" w:eastAsia="微软雅黑"/>
          <w:b/>
          <w:spacing w:val="-2"/>
          <w:sz w:val="21"/>
        </w:rPr>
        <w:t>为未成年人投保的人身保险，在被保险人成年之前，因被保险人身故给付</w:t>
      </w:r>
      <w:r>
        <w:rPr>
          <w:rFonts w:ascii="微软雅黑" w:eastAsia="微软雅黑"/>
          <w:b/>
          <w:spacing w:val="-2"/>
          <w:sz w:val="21"/>
        </w:rPr>
        <w:t>的保险金总和不得超过国务院保险监督管理机构规定的限额，身故给付的</w:t>
      </w:r>
      <w:r>
        <w:rPr>
          <w:rFonts w:ascii="微软雅黑" w:eastAsia="微软雅黑"/>
          <w:b/>
          <w:spacing w:val="-2"/>
          <w:sz w:val="21"/>
        </w:rPr>
        <w:t>保险金总和约定也不得超过前述限额。</w:t>
      </w:r>
    </w:p>
    <w:p>
      <w:pPr>
        <w:spacing w:after="0" w:line="168" w:lineRule="auto"/>
        <w:jc w:val="both"/>
        <w:rPr>
          <w:rFonts w:ascii="微软雅黑" w:eastAsia="微软雅黑"/>
          <w:sz w:val="21"/>
        </w:rPr>
        <w:sectPr>
          <w:type w:val="continuous"/>
          <w:pgSz w:w="11910" w:h="16840"/>
          <w:pgMar w:header="877" w:footer="0" w:top="1100" w:bottom="280" w:left="1060" w:right="980"/>
          <w:cols w:num="2" w:equalWidth="0">
            <w:col w:w="2479" w:space="73"/>
            <w:col w:w="7318"/>
          </w:cols>
        </w:sectPr>
      </w:pPr>
    </w:p>
    <w:p>
      <w:pPr>
        <w:pStyle w:val="BodyText"/>
        <w:spacing w:before="15"/>
        <w:rPr>
          <w:rFonts w:ascii="微软雅黑"/>
          <w:b/>
          <w:sz w:val="7"/>
        </w:rPr>
      </w:pPr>
    </w:p>
    <w:p>
      <w:pPr>
        <w:pStyle w:val="ListParagraph"/>
        <w:numPr>
          <w:ilvl w:val="1"/>
          <w:numId w:val="6"/>
        </w:numPr>
        <w:tabs>
          <w:tab w:pos="1210" w:val="left" w:leader="none"/>
          <w:tab w:pos="1211" w:val="left" w:leader="none"/>
          <w:tab w:pos="2804" w:val="left" w:leader="none"/>
        </w:tabs>
        <w:spacing w:line="206" w:lineRule="auto" w:before="43" w:after="0"/>
        <w:ind w:left="2805" w:right="333" w:hanging="2552"/>
        <w:jc w:val="left"/>
        <w:rPr>
          <w:sz w:val="21"/>
        </w:rPr>
      </w:pPr>
      <w:r>
        <w:rPr>
          <w:rFonts w:ascii="微软雅黑" w:eastAsia="微软雅黑"/>
          <w:b/>
          <w:spacing w:val="-4"/>
          <w:sz w:val="21"/>
        </w:rPr>
        <w:t>保</w:t>
      </w:r>
      <w:r>
        <w:rPr>
          <w:rFonts w:ascii="微软雅黑" w:eastAsia="微软雅黑"/>
          <w:b/>
          <w:spacing w:val="-4"/>
          <w:sz w:val="21"/>
        </w:rPr>
        <w:t>险</w:t>
      </w:r>
      <w:r>
        <w:rPr>
          <w:rFonts w:ascii="微软雅黑" w:eastAsia="微软雅黑"/>
          <w:b/>
          <w:spacing w:val="-4"/>
          <w:sz w:val="21"/>
        </w:rPr>
        <w:t>期</w:t>
      </w:r>
      <w:r>
        <w:rPr>
          <w:rFonts w:ascii="微软雅黑" w:eastAsia="微软雅黑"/>
          <w:b/>
          <w:spacing w:val="-4"/>
          <w:sz w:val="21"/>
        </w:rPr>
        <w:t>间</w:t>
      </w:r>
      <w:r>
        <w:rPr>
          <w:rFonts w:ascii="微软雅黑" w:eastAsia="微软雅黑"/>
          <w:b/>
          <w:sz w:val="21"/>
        </w:rPr>
        <w:tab/>
      </w:r>
      <w:r>
        <w:rPr>
          <w:spacing w:val="-2"/>
          <w:sz w:val="21"/>
        </w:rPr>
        <w:t>本</w:t>
      </w:r>
      <w:r>
        <w:rPr>
          <w:spacing w:val="-2"/>
          <w:sz w:val="21"/>
        </w:rPr>
        <w:t>合</w:t>
      </w:r>
      <w:r>
        <w:rPr>
          <w:spacing w:val="-2"/>
          <w:sz w:val="21"/>
        </w:rPr>
        <w:t>同的保险期间为被保</w:t>
      </w:r>
      <w:r>
        <w:rPr>
          <w:spacing w:val="-2"/>
          <w:sz w:val="21"/>
        </w:rPr>
        <w:t>险</w:t>
      </w:r>
      <w:r>
        <w:rPr>
          <w:spacing w:val="-2"/>
          <w:sz w:val="21"/>
        </w:rPr>
        <w:t>人</w:t>
      </w:r>
      <w:r>
        <w:rPr>
          <w:spacing w:val="-2"/>
          <w:sz w:val="21"/>
        </w:rPr>
        <w:t>终身，自本合同生效</w:t>
      </w:r>
      <w:r>
        <w:rPr>
          <w:spacing w:val="-2"/>
          <w:sz w:val="21"/>
        </w:rPr>
        <w:t>之</w:t>
      </w:r>
      <w:r>
        <w:rPr>
          <w:spacing w:val="-2"/>
          <w:sz w:val="21"/>
        </w:rPr>
        <w:t>日</w:t>
      </w:r>
      <w:r>
        <w:rPr>
          <w:spacing w:val="-2"/>
          <w:sz w:val="21"/>
        </w:rPr>
        <w:t>零时起至被保险人</w:t>
      </w:r>
      <w:r>
        <w:rPr>
          <w:spacing w:val="-2"/>
          <w:sz w:val="21"/>
        </w:rPr>
        <w:t>身</w:t>
      </w:r>
      <w:r>
        <w:rPr>
          <w:spacing w:val="-2"/>
          <w:sz w:val="21"/>
        </w:rPr>
        <w:t>故</w:t>
      </w:r>
      <w:r>
        <w:rPr>
          <w:spacing w:val="-2"/>
          <w:sz w:val="21"/>
        </w:rPr>
        <w:t>时止，保险期间在保</w:t>
      </w:r>
      <w:r>
        <w:rPr>
          <w:spacing w:val="-2"/>
          <w:sz w:val="21"/>
        </w:rPr>
        <w:t>险</w:t>
      </w:r>
      <w:r>
        <w:rPr>
          <w:spacing w:val="-2"/>
          <w:sz w:val="21"/>
        </w:rPr>
        <w:t>单</w:t>
      </w:r>
      <w:r>
        <w:rPr>
          <w:spacing w:val="-2"/>
          <w:sz w:val="21"/>
        </w:rPr>
        <w:t>上载明。</w:t>
      </w:r>
    </w:p>
    <w:p>
      <w:pPr>
        <w:pStyle w:val="ListParagraph"/>
        <w:numPr>
          <w:ilvl w:val="1"/>
          <w:numId w:val="6"/>
        </w:numPr>
        <w:tabs>
          <w:tab w:pos="1210" w:val="left" w:leader="none"/>
          <w:tab w:pos="1211" w:val="left" w:leader="none"/>
          <w:tab w:pos="2804" w:val="left" w:leader="none"/>
        </w:tabs>
        <w:spacing w:line="240" w:lineRule="auto" w:before="170" w:after="0"/>
        <w:ind w:left="1210" w:right="0" w:hanging="958"/>
        <w:jc w:val="left"/>
        <w:rPr>
          <w:sz w:val="21"/>
        </w:rPr>
      </w:pPr>
      <w:r>
        <w:rPr>
          <w:rFonts w:ascii="微软雅黑" w:eastAsia="微软雅黑"/>
          <w:b/>
          <w:sz w:val="21"/>
        </w:rPr>
        <w:t>保险责</w:t>
      </w:r>
      <w:r>
        <w:rPr>
          <w:rFonts w:ascii="微软雅黑" w:eastAsia="微软雅黑"/>
          <w:b/>
          <w:spacing w:val="-10"/>
          <w:sz w:val="21"/>
        </w:rPr>
        <w:t>任</w:t>
      </w:r>
      <w:r>
        <w:rPr>
          <w:rFonts w:ascii="微软雅黑" w:eastAsia="微软雅黑"/>
          <w:b/>
          <w:sz w:val="21"/>
        </w:rPr>
        <w:tab/>
      </w:r>
      <w:r>
        <w:rPr>
          <w:spacing w:val="-2"/>
          <w:sz w:val="21"/>
        </w:rPr>
        <w:t>在</w:t>
      </w:r>
      <w:r>
        <w:rPr>
          <w:spacing w:val="-2"/>
          <w:sz w:val="21"/>
        </w:rPr>
        <w:t>本</w:t>
      </w:r>
      <w:r>
        <w:rPr>
          <w:spacing w:val="-2"/>
          <w:sz w:val="21"/>
        </w:rPr>
        <w:t>合同有效期间内，我</w:t>
      </w:r>
      <w:r>
        <w:rPr>
          <w:spacing w:val="-2"/>
          <w:sz w:val="21"/>
        </w:rPr>
        <w:t>们</w:t>
      </w:r>
      <w:r>
        <w:rPr>
          <w:spacing w:val="-2"/>
          <w:sz w:val="21"/>
        </w:rPr>
        <w:t>承</w:t>
      </w:r>
      <w:r>
        <w:rPr>
          <w:spacing w:val="-2"/>
          <w:sz w:val="21"/>
        </w:rPr>
        <w:t>担以下保险责任</w:t>
      </w:r>
      <w:r>
        <w:rPr>
          <w:spacing w:val="-10"/>
          <w:sz w:val="21"/>
        </w:rPr>
        <w:t>：</w:t>
      </w:r>
    </w:p>
    <w:p>
      <w:pPr>
        <w:pStyle w:val="BodyText"/>
        <w:spacing w:before="3"/>
        <w:rPr>
          <w:sz w:val="15"/>
        </w:rPr>
      </w:pPr>
    </w:p>
    <w:p>
      <w:pPr>
        <w:tabs>
          <w:tab w:pos="2804" w:val="left" w:leader="none"/>
        </w:tabs>
        <w:spacing w:line="168" w:lineRule="auto" w:before="0"/>
        <w:ind w:left="2805" w:right="309" w:hanging="1595"/>
        <w:jc w:val="both"/>
        <w:rPr>
          <w:rFonts w:ascii="微软雅黑" w:eastAsia="微软雅黑"/>
          <w:b/>
          <w:sz w:val="21"/>
        </w:rPr>
      </w:pPr>
      <w:r>
        <w:rPr>
          <w:rFonts w:ascii="微软雅黑" w:eastAsia="微软雅黑"/>
          <w:b/>
          <w:spacing w:val="-4"/>
          <w:sz w:val="21"/>
        </w:rPr>
        <w:t>等</w:t>
      </w:r>
      <w:r>
        <w:rPr>
          <w:rFonts w:ascii="微软雅黑" w:eastAsia="微软雅黑"/>
          <w:b/>
          <w:spacing w:val="-4"/>
          <w:sz w:val="21"/>
        </w:rPr>
        <w:t>待</w:t>
      </w:r>
      <w:r>
        <w:rPr>
          <w:rFonts w:ascii="微软雅黑" w:eastAsia="微软雅黑"/>
          <w:b/>
          <w:spacing w:val="-4"/>
          <w:sz w:val="21"/>
        </w:rPr>
        <w:t>期</w:t>
      </w:r>
      <w:r>
        <w:rPr>
          <w:rFonts w:ascii="微软雅黑" w:eastAsia="微软雅黑"/>
          <w:b/>
          <w:sz w:val="21"/>
        </w:rPr>
        <w:tab/>
      </w:r>
      <w:r>
        <w:rPr>
          <w:w w:val="95"/>
          <w:sz w:val="21"/>
        </w:rPr>
        <w:t>本</w:t>
      </w:r>
      <w:r>
        <w:rPr>
          <w:w w:val="95"/>
          <w:sz w:val="21"/>
        </w:rPr>
        <w:t>合</w:t>
      </w:r>
      <w:r>
        <w:rPr>
          <w:w w:val="95"/>
          <w:sz w:val="21"/>
        </w:rPr>
        <w:t>同生效（或最后一次</w:t>
      </w:r>
      <w:r>
        <w:rPr>
          <w:w w:val="95"/>
          <w:sz w:val="21"/>
        </w:rPr>
        <w:t>复</w:t>
      </w:r>
      <w:r>
        <w:rPr>
          <w:w w:val="95"/>
          <w:sz w:val="21"/>
        </w:rPr>
        <w:t>效</w:t>
      </w:r>
      <w:r>
        <w:rPr>
          <w:w w:val="95"/>
          <w:sz w:val="21"/>
        </w:rPr>
        <w:t>）之日起 180 日内（</w:t>
      </w:r>
      <w:r>
        <w:rPr>
          <w:w w:val="95"/>
          <w:sz w:val="21"/>
        </w:rPr>
        <w:t>包</w:t>
      </w:r>
      <w:r>
        <w:rPr>
          <w:w w:val="95"/>
          <w:sz w:val="21"/>
        </w:rPr>
        <w:t>含</w:t>
      </w:r>
      <w:r>
        <w:rPr>
          <w:w w:val="95"/>
          <w:sz w:val="21"/>
        </w:rPr>
        <w:t> 180 日），被保</w:t>
      </w:r>
      <w:r>
        <w:rPr>
          <w:w w:val="95"/>
          <w:sz w:val="21"/>
        </w:rPr>
        <w:t>险</w:t>
      </w:r>
      <w:r>
        <w:rPr>
          <w:spacing w:val="-2"/>
          <w:sz w:val="21"/>
        </w:rPr>
        <w:t>人</w:t>
      </w:r>
      <w:r>
        <w:rPr>
          <w:spacing w:val="-2"/>
          <w:sz w:val="21"/>
        </w:rPr>
        <w:t>因</w:t>
      </w:r>
      <w:r>
        <w:rPr>
          <w:spacing w:val="-2"/>
          <w:sz w:val="21"/>
        </w:rPr>
        <w:t>非</w:t>
      </w:r>
      <w:r>
        <w:rPr>
          <w:rFonts w:ascii="微软雅黑" w:eastAsia="微软雅黑"/>
          <w:b/>
          <w:spacing w:val="-2"/>
          <w:sz w:val="21"/>
        </w:rPr>
        <w:t>意</w:t>
      </w:r>
      <w:r>
        <w:rPr>
          <w:rFonts w:ascii="微软雅黑" w:eastAsia="微软雅黑"/>
          <w:b/>
          <w:spacing w:val="-2"/>
          <w:sz w:val="21"/>
        </w:rPr>
        <w:t>外</w:t>
      </w:r>
      <w:r>
        <w:rPr>
          <w:rFonts w:ascii="微软雅黑" w:eastAsia="微软雅黑"/>
          <w:b/>
          <w:spacing w:val="-2"/>
          <w:sz w:val="21"/>
        </w:rPr>
        <w:t>伤</w:t>
      </w:r>
      <w:r>
        <w:rPr>
          <w:rFonts w:ascii="微软雅黑" w:eastAsia="微软雅黑"/>
          <w:b/>
          <w:spacing w:val="-2"/>
          <w:sz w:val="21"/>
        </w:rPr>
        <w:t>害</w:t>
      </w:r>
      <w:r>
        <w:rPr>
          <w:rFonts w:ascii="微软雅黑" w:eastAsia="微软雅黑"/>
          <w:b/>
          <w:spacing w:val="-2"/>
          <w:position w:val="11"/>
          <w:sz w:val="11"/>
        </w:rPr>
        <w:t>6</w:t>
      </w:r>
      <w:r>
        <w:rPr>
          <w:spacing w:val="-2"/>
          <w:sz w:val="21"/>
        </w:rPr>
        <w:t>原因发生</w:t>
      </w:r>
      <w:r>
        <w:rPr>
          <w:spacing w:val="-2"/>
          <w:sz w:val="21"/>
        </w:rPr>
        <w:t>以</w:t>
      </w:r>
      <w:r>
        <w:rPr>
          <w:spacing w:val="-2"/>
          <w:sz w:val="21"/>
        </w:rPr>
        <w:t>下</w:t>
      </w:r>
      <w:r>
        <w:rPr>
          <w:spacing w:val="-2"/>
          <w:sz w:val="21"/>
        </w:rPr>
        <w:t>保险事故之一的</w:t>
      </w:r>
      <w:r>
        <w:rPr>
          <w:spacing w:val="-60"/>
          <w:sz w:val="21"/>
        </w:rPr>
        <w:t>，</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不</w:t>
      </w:r>
      <w:r>
        <w:rPr>
          <w:rFonts w:ascii="微软雅黑" w:eastAsia="微软雅黑"/>
          <w:b/>
          <w:spacing w:val="-2"/>
          <w:sz w:val="21"/>
        </w:rPr>
        <w:t>承</w:t>
      </w:r>
      <w:r>
        <w:rPr>
          <w:rFonts w:ascii="微软雅黑" w:eastAsia="微软雅黑"/>
          <w:b/>
          <w:spacing w:val="-2"/>
          <w:sz w:val="21"/>
        </w:rPr>
        <w:t>担</w:t>
      </w:r>
      <w:r>
        <w:rPr>
          <w:rFonts w:ascii="微软雅黑" w:eastAsia="微软雅黑"/>
          <w:b/>
          <w:spacing w:val="-2"/>
          <w:sz w:val="21"/>
        </w:rPr>
        <w:t>给</w:t>
      </w:r>
      <w:r>
        <w:rPr>
          <w:rFonts w:ascii="微软雅黑" w:eastAsia="微软雅黑"/>
          <w:b/>
          <w:spacing w:val="-2"/>
          <w:sz w:val="21"/>
        </w:rPr>
        <w:t>付</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责</w:t>
      </w:r>
      <w:r>
        <w:rPr>
          <w:rFonts w:ascii="微软雅黑" w:eastAsia="微软雅黑"/>
          <w:b/>
          <w:spacing w:val="-2"/>
          <w:sz w:val="21"/>
        </w:rPr>
        <w:t>任</w:t>
      </w:r>
      <w:r>
        <w:rPr>
          <w:rFonts w:ascii="微软雅黑" w:eastAsia="微软雅黑"/>
          <w:b/>
          <w:spacing w:val="-2"/>
          <w:sz w:val="21"/>
        </w:rPr>
        <w:t>，</w:t>
      </w:r>
      <w:r>
        <w:rPr>
          <w:rFonts w:ascii="微软雅黑" w:eastAsia="微软雅黑"/>
          <w:b/>
          <w:spacing w:val="-2"/>
          <w:sz w:val="21"/>
        </w:rPr>
        <w:t>并</w:t>
      </w:r>
      <w:r>
        <w:rPr>
          <w:rFonts w:ascii="微软雅黑" w:eastAsia="微软雅黑"/>
          <w:b/>
          <w:spacing w:val="-2"/>
          <w:sz w:val="21"/>
        </w:rPr>
        <w:t>向</w:t>
      </w:r>
      <w:r>
        <w:rPr>
          <w:rFonts w:ascii="微软雅黑" w:eastAsia="微软雅黑"/>
          <w:b/>
          <w:spacing w:val="-2"/>
          <w:sz w:val="21"/>
        </w:rPr>
        <w:t>您</w:t>
      </w:r>
      <w:r>
        <w:rPr>
          <w:rFonts w:ascii="微软雅黑" w:eastAsia="微软雅黑"/>
          <w:b/>
          <w:spacing w:val="-2"/>
          <w:sz w:val="21"/>
        </w:rPr>
        <w:t>退</w:t>
      </w:r>
      <w:r>
        <w:rPr>
          <w:rFonts w:ascii="微软雅黑" w:eastAsia="微软雅黑"/>
          <w:b/>
          <w:spacing w:val="-2"/>
          <w:sz w:val="21"/>
        </w:rPr>
        <w:t>还</w:t>
      </w:r>
      <w:r>
        <w:rPr>
          <w:rFonts w:ascii="微软雅黑" w:eastAsia="微软雅黑"/>
          <w:b/>
          <w:spacing w:val="-2"/>
          <w:sz w:val="21"/>
        </w:rPr>
        <w:t>本</w:t>
      </w:r>
      <w:r>
        <w:rPr>
          <w:rFonts w:ascii="微软雅黑" w:eastAsia="微软雅黑"/>
          <w:b/>
          <w:spacing w:val="-2"/>
          <w:sz w:val="21"/>
        </w:rPr>
        <w:t>合同累</w:t>
      </w:r>
      <w:r>
        <w:rPr>
          <w:rFonts w:ascii="微软雅黑" w:eastAsia="微软雅黑"/>
          <w:b/>
          <w:spacing w:val="-2"/>
          <w:sz w:val="21"/>
        </w:rPr>
        <w:t>计</w:t>
      </w:r>
      <w:r>
        <w:rPr>
          <w:rFonts w:ascii="微软雅黑" w:eastAsia="微软雅黑"/>
          <w:b/>
          <w:spacing w:val="-2"/>
          <w:sz w:val="21"/>
        </w:rPr>
        <w:t>已</w:t>
      </w:r>
      <w:r>
        <w:rPr>
          <w:rFonts w:ascii="微软雅黑" w:eastAsia="微软雅黑"/>
          <w:b/>
          <w:spacing w:val="-2"/>
          <w:sz w:val="21"/>
        </w:rPr>
        <w:t>交</w:t>
      </w:r>
      <w:r>
        <w:rPr>
          <w:rFonts w:ascii="微软雅黑" w:eastAsia="微软雅黑"/>
          <w:b/>
          <w:spacing w:val="-2"/>
          <w:sz w:val="21"/>
        </w:rPr>
        <w:t>纳</w:t>
      </w:r>
      <w:r>
        <w:rPr>
          <w:rFonts w:ascii="微软雅黑" w:eastAsia="微软雅黑"/>
          <w:b/>
          <w:spacing w:val="-2"/>
          <w:sz w:val="21"/>
        </w:rPr>
        <w:t>的</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（不计</w:t>
      </w:r>
      <w:r>
        <w:rPr>
          <w:rFonts w:ascii="微软雅黑" w:eastAsia="微软雅黑"/>
          <w:b/>
          <w:spacing w:val="-2"/>
          <w:sz w:val="21"/>
        </w:rPr>
        <w:t>利</w:t>
      </w:r>
      <w:r>
        <w:rPr>
          <w:rFonts w:ascii="微软雅黑" w:eastAsia="微软雅黑"/>
          <w:b/>
          <w:spacing w:val="-2"/>
          <w:sz w:val="21"/>
        </w:rPr>
        <w:t>息</w:t>
      </w:r>
      <w:r>
        <w:rPr>
          <w:rFonts w:ascii="微软雅黑" w:eastAsia="微软雅黑"/>
          <w:b/>
          <w:spacing w:val="-2"/>
          <w:sz w:val="21"/>
        </w:rPr>
        <w:t>），</w:t>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终</w:t>
      </w:r>
      <w:r>
        <w:rPr>
          <w:rFonts w:ascii="微软雅黑" w:eastAsia="微软雅黑"/>
          <w:b/>
          <w:spacing w:val="-2"/>
          <w:sz w:val="21"/>
        </w:rPr>
        <w:t>止</w:t>
      </w:r>
      <w:r>
        <w:rPr>
          <w:rFonts w:ascii="微软雅黑" w:eastAsia="微软雅黑"/>
          <w:b/>
          <w:spacing w:val="-10"/>
          <w:sz w:val="21"/>
        </w:rPr>
        <w:t>。</w:t>
      </w:r>
    </w:p>
    <w:p>
      <w:pPr>
        <w:pStyle w:val="ListParagraph"/>
        <w:numPr>
          <w:ilvl w:val="2"/>
          <w:numId w:val="6"/>
        </w:numPr>
        <w:tabs>
          <w:tab w:pos="3334" w:val="left" w:leader="none"/>
        </w:tabs>
        <w:spacing w:line="251" w:lineRule="exact" w:before="0" w:after="0"/>
        <w:ind w:left="3334" w:right="0" w:hanging="529"/>
        <w:jc w:val="left"/>
        <w:rPr>
          <w:sz w:val="21"/>
        </w:rPr>
      </w:pPr>
      <w:r>
        <w:rPr>
          <w:spacing w:val="-2"/>
          <w:sz w:val="21"/>
        </w:rPr>
        <w:t>被保险人身故或</w:t>
      </w:r>
      <w:r>
        <w:rPr>
          <w:rFonts w:ascii="微软雅黑" w:eastAsia="微软雅黑"/>
          <w:b/>
          <w:spacing w:val="-2"/>
          <w:sz w:val="21"/>
        </w:rPr>
        <w:t>全残</w:t>
      </w:r>
      <w:r>
        <w:rPr>
          <w:rFonts w:ascii="Times New Roman" w:eastAsia="Times New Roman"/>
          <w:b/>
          <w:spacing w:val="-5"/>
          <w:position w:val="11"/>
          <w:sz w:val="11"/>
        </w:rPr>
        <w:t>7</w:t>
      </w:r>
      <w:r>
        <w:rPr>
          <w:spacing w:val="-5"/>
          <w:sz w:val="21"/>
        </w:rPr>
        <w:t>；</w:t>
      </w:r>
    </w:p>
    <w:p>
      <w:pPr>
        <w:pStyle w:val="ListParagraph"/>
        <w:numPr>
          <w:ilvl w:val="2"/>
          <w:numId w:val="6"/>
        </w:numPr>
        <w:tabs>
          <w:tab w:pos="3334" w:val="left" w:leader="none"/>
        </w:tabs>
        <w:spacing w:line="168" w:lineRule="auto" w:before="26" w:after="0"/>
        <w:ind w:left="2805" w:right="403" w:firstLine="0"/>
        <w:jc w:val="left"/>
        <w:rPr>
          <w:sz w:val="21"/>
        </w:rPr>
      </w:pPr>
      <w:r>
        <w:rPr>
          <w:spacing w:val="-3"/>
          <w:w w:val="100"/>
          <w:sz w:val="21"/>
        </w:rPr>
        <w:t>被保险人经我们认可</w:t>
      </w:r>
      <w:r>
        <w:rPr>
          <w:rFonts w:ascii="微软雅黑" w:eastAsia="微软雅黑"/>
          <w:b/>
          <w:spacing w:val="-2"/>
          <w:w w:val="100"/>
          <w:sz w:val="21"/>
        </w:rPr>
        <w:t>医院</w:t>
      </w:r>
      <w:r>
        <w:rPr>
          <w:rFonts w:ascii="微软雅黑" w:eastAsia="微软雅黑"/>
          <w:b/>
          <w:spacing w:val="2"/>
          <w:w w:val="81"/>
          <w:position w:val="11"/>
          <w:sz w:val="11"/>
        </w:rPr>
        <w:t>8</w:t>
      </w:r>
      <w:r>
        <w:rPr>
          <w:spacing w:val="-3"/>
          <w:w w:val="100"/>
          <w:sz w:val="21"/>
        </w:rPr>
        <w:t>的</w:t>
      </w:r>
      <w:r>
        <w:rPr>
          <w:rFonts w:ascii="微软雅黑" w:eastAsia="微软雅黑"/>
          <w:b/>
          <w:w w:val="100"/>
          <w:sz w:val="21"/>
        </w:rPr>
        <w:t>专科医生</w:t>
      </w:r>
      <w:r>
        <w:rPr>
          <w:rFonts w:ascii="微软雅黑" w:eastAsia="微软雅黑"/>
          <w:b/>
          <w:spacing w:val="2"/>
          <w:w w:val="81"/>
          <w:position w:val="11"/>
          <w:sz w:val="11"/>
        </w:rPr>
        <w:t>9</w:t>
      </w:r>
      <w:r>
        <w:rPr>
          <w:spacing w:val="-3"/>
          <w:w w:val="100"/>
          <w:sz w:val="21"/>
        </w:rPr>
        <w:t>确诊患有本合同约定的</w:t>
      </w:r>
      <w:r>
        <w:rPr>
          <w:rFonts w:ascii="微软雅黑" w:eastAsia="微软雅黑"/>
          <w:b/>
          <w:w w:val="100"/>
          <w:sz w:val="21"/>
        </w:rPr>
        <w:t>重大疾病</w:t>
      </w:r>
      <w:r>
        <w:rPr>
          <w:rFonts w:ascii="微软雅黑" w:eastAsia="微软雅黑"/>
          <w:b/>
          <w:spacing w:val="2"/>
          <w:w w:val="81"/>
          <w:position w:val="11"/>
          <w:sz w:val="11"/>
        </w:rPr>
        <w:t>10</w:t>
      </w:r>
      <w:r>
        <w:rPr>
          <w:w w:val="100"/>
          <w:sz w:val="21"/>
        </w:rPr>
        <w:t>（</w:t>
      </w:r>
      <w:r>
        <w:rPr>
          <w:spacing w:val="-3"/>
          <w:w w:val="100"/>
          <w:sz w:val="21"/>
        </w:rPr>
        <w:t>无论一种或者多种，下同</w:t>
      </w:r>
      <w:r>
        <w:rPr>
          <w:w w:val="100"/>
          <w:sz w:val="21"/>
        </w:rPr>
        <w:t>）</w:t>
      </w:r>
      <w:r>
        <w:rPr>
          <w:spacing w:val="-3"/>
          <w:w w:val="100"/>
          <w:sz w:val="21"/>
        </w:rPr>
        <w:t>、</w:t>
      </w:r>
      <w:r>
        <w:rPr>
          <w:rFonts w:ascii="微软雅黑" w:eastAsia="微软雅黑"/>
          <w:b/>
          <w:spacing w:val="-1"/>
          <w:w w:val="100"/>
          <w:sz w:val="21"/>
        </w:rPr>
        <w:t>中症疾病</w:t>
      </w:r>
      <w:r>
        <w:rPr>
          <w:rFonts w:ascii="微软雅黑" w:eastAsia="微软雅黑"/>
          <w:b/>
          <w:spacing w:val="2"/>
          <w:w w:val="81"/>
          <w:position w:val="11"/>
          <w:sz w:val="11"/>
        </w:rPr>
        <w:t>11</w:t>
      </w:r>
      <w:r>
        <w:rPr>
          <w:spacing w:val="-2"/>
          <w:w w:val="100"/>
          <w:sz w:val="21"/>
        </w:rPr>
        <w:t>、</w:t>
      </w:r>
      <w:r>
        <w:rPr>
          <w:rFonts w:ascii="微软雅黑" w:eastAsia="微软雅黑"/>
          <w:b/>
          <w:w w:val="100"/>
          <w:sz w:val="21"/>
        </w:rPr>
        <w:t>轻症疾病</w:t>
      </w:r>
      <w:r>
        <w:rPr>
          <w:rFonts w:ascii="微软雅黑" w:eastAsia="微软雅黑"/>
          <w:b/>
          <w:spacing w:val="2"/>
          <w:w w:val="81"/>
          <w:position w:val="11"/>
          <w:sz w:val="11"/>
        </w:rPr>
        <w:t>12</w:t>
      </w:r>
      <w:r>
        <w:rPr>
          <w:spacing w:val="-3"/>
          <w:w w:val="100"/>
          <w:sz w:val="21"/>
        </w:rPr>
        <w:t>或达到</w:t>
      </w:r>
      <w:r>
        <w:rPr>
          <w:rFonts w:ascii="微软雅黑" w:eastAsia="微软雅黑"/>
          <w:b/>
          <w:w w:val="100"/>
          <w:sz w:val="21"/>
        </w:rPr>
        <w:t>疾病</w:t>
      </w:r>
      <w:r>
        <w:rPr>
          <w:rFonts w:ascii="微软雅黑" w:eastAsia="微软雅黑"/>
          <w:b/>
          <w:spacing w:val="-1"/>
          <w:w w:val="100"/>
          <w:sz w:val="21"/>
        </w:rPr>
        <w:t>终末期阶段</w:t>
      </w:r>
      <w:r>
        <w:rPr>
          <w:rFonts w:ascii="微软雅黑" w:eastAsia="微软雅黑"/>
          <w:b/>
          <w:spacing w:val="2"/>
          <w:w w:val="81"/>
          <w:position w:val="11"/>
          <w:sz w:val="11"/>
        </w:rPr>
        <w:t>13</w:t>
      </w:r>
      <w:r>
        <w:rPr>
          <w:w w:val="100"/>
          <w:sz w:val="21"/>
        </w:rPr>
        <w:t>。</w:t>
      </w:r>
    </w:p>
    <w:p>
      <w:pPr>
        <w:pStyle w:val="BodyText"/>
        <w:spacing w:line="256" w:lineRule="exact"/>
        <w:ind w:left="2805"/>
      </w:pPr>
      <w:r>
        <w:rPr>
          <w:spacing w:val="-25"/>
        </w:rPr>
        <w:t>这 </w:t>
      </w:r>
      <w:r>
        <w:rPr>
          <w:spacing w:val="-2"/>
        </w:rPr>
        <w:t>180</w:t>
      </w:r>
      <w:r>
        <w:rPr>
          <w:spacing w:val="-10"/>
        </w:rPr>
        <w:t> 日的时间称为等待期。</w:t>
      </w:r>
    </w:p>
    <w:p>
      <w:pPr>
        <w:pStyle w:val="BodyText"/>
        <w:spacing w:before="2"/>
        <w:ind w:left="2805"/>
      </w:pPr>
      <w:r>
        <w:rPr>
          <w:spacing w:val="-3"/>
        </w:rPr>
        <w:t>被保险人因意外伤害原因发生保险事故，则无等待期。</w:t>
      </w:r>
    </w:p>
    <w:p>
      <w:pPr>
        <w:pStyle w:val="BodyText"/>
        <w:spacing w:before="10"/>
        <w:rPr>
          <w:sz w:val="25"/>
        </w:rPr>
      </w:pPr>
      <w:r>
        <w:rPr/>
        <w:drawing>
          <wp:anchor distT="0" distB="0" distL="0" distR="0" allowOverlap="1" layoutInCell="1" locked="0" behindDoc="0" simplePos="0" relativeHeight="3">
            <wp:simplePos x="0" y="0"/>
            <wp:positionH relativeFrom="page">
              <wp:posOffset>762304</wp:posOffset>
            </wp:positionH>
            <wp:positionV relativeFrom="paragraph">
              <wp:posOffset>225036</wp:posOffset>
            </wp:positionV>
            <wp:extent cx="1829015" cy="6096"/>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1829015" cy="6096"/>
                    </a:xfrm>
                    <a:prstGeom prst="rect">
                      <a:avLst/>
                    </a:prstGeom>
                  </pic:spPr>
                </pic:pic>
              </a:graphicData>
            </a:graphic>
          </wp:anchor>
        </w:drawing>
      </w:r>
    </w:p>
    <w:p>
      <w:pPr>
        <w:pStyle w:val="BodyText"/>
        <w:spacing w:line="168" w:lineRule="auto" w:before="115"/>
        <w:ind w:left="351" w:right="312" w:hanging="212"/>
        <w:rPr>
          <w:rFonts w:ascii="微软雅黑" w:eastAsia="微软雅黑"/>
          <w:b/>
        </w:rPr>
      </w:pPr>
      <w:r>
        <w:rPr>
          <w:position w:val="11"/>
          <w:sz w:val="11"/>
        </w:rPr>
        <w:t>6</w:t>
      </w:r>
      <w:r>
        <w:rPr>
          <w:spacing w:val="28"/>
          <w:position w:val="11"/>
          <w:sz w:val="11"/>
        </w:rPr>
        <w:t> </w:t>
      </w:r>
      <w:r>
        <w:rPr>
          <w:rFonts w:ascii="微软雅黑" w:eastAsia="微软雅黑"/>
          <w:b/>
        </w:rPr>
        <w:t>意外伤害</w:t>
      </w:r>
      <w:r>
        <w:rPr/>
        <w:t>：指遭受外来的、突发的、非本意的、非疾病的使身体受到伤害的客观事件，并以此客观事</w:t>
      </w:r>
      <w:r>
        <w:rPr>
          <w:spacing w:val="-2"/>
        </w:rPr>
        <w:t>件为直接且单独原因导致被保险人身体蒙受伤害或者身故。</w:t>
      </w:r>
      <w:r>
        <w:rPr>
          <w:rFonts w:ascii="微软雅黑" w:eastAsia="微软雅黑"/>
          <w:b/>
          <w:spacing w:val="-2"/>
        </w:rPr>
        <w:t>猝死不属于意外伤害。</w:t>
      </w:r>
    </w:p>
    <w:p>
      <w:pPr>
        <w:spacing w:line="282" w:lineRule="exact" w:before="0"/>
        <w:ind w:left="140" w:right="0" w:firstLine="0"/>
        <w:jc w:val="left"/>
        <w:rPr>
          <w:sz w:val="21"/>
        </w:rPr>
      </w:pPr>
      <w:r>
        <w:rPr>
          <w:position w:val="11"/>
          <w:sz w:val="11"/>
        </w:rPr>
        <w:t>7</w:t>
      </w:r>
      <w:r>
        <w:rPr>
          <w:spacing w:val="41"/>
          <w:position w:val="11"/>
          <w:sz w:val="11"/>
        </w:rPr>
        <w:t> </w:t>
      </w:r>
      <w:r>
        <w:rPr>
          <w:rFonts w:ascii="微软雅黑" w:eastAsia="微软雅黑"/>
          <w:b/>
          <w:sz w:val="21"/>
        </w:rPr>
        <w:t>全残：</w:t>
      </w:r>
      <w:r>
        <w:rPr>
          <w:spacing w:val="-2"/>
          <w:sz w:val="21"/>
        </w:rPr>
        <w:t>指下列情形之一：</w:t>
      </w:r>
    </w:p>
    <w:p>
      <w:pPr>
        <w:pStyle w:val="ListParagraph"/>
        <w:numPr>
          <w:ilvl w:val="0"/>
          <w:numId w:val="7"/>
        </w:numPr>
        <w:tabs>
          <w:tab w:pos="670" w:val="left" w:leader="none"/>
        </w:tabs>
        <w:spacing w:line="245" w:lineRule="exact" w:before="0" w:after="0"/>
        <w:ind w:left="669" w:right="0" w:hanging="530"/>
        <w:jc w:val="left"/>
        <w:rPr>
          <w:sz w:val="21"/>
        </w:rPr>
      </w:pPr>
      <w:r>
        <w:rPr>
          <w:spacing w:val="-6"/>
          <w:sz w:val="21"/>
        </w:rPr>
        <w:t>双目永久完全失明的(注 </w:t>
      </w:r>
      <w:r>
        <w:rPr>
          <w:spacing w:val="-5"/>
          <w:sz w:val="21"/>
        </w:rPr>
        <w:t>1)；</w:t>
      </w:r>
    </w:p>
    <w:p>
      <w:pPr>
        <w:pStyle w:val="ListParagraph"/>
        <w:numPr>
          <w:ilvl w:val="0"/>
          <w:numId w:val="7"/>
        </w:numPr>
        <w:tabs>
          <w:tab w:pos="670" w:val="left" w:leader="none"/>
        </w:tabs>
        <w:spacing w:line="240" w:lineRule="auto" w:before="3" w:after="0"/>
        <w:ind w:left="669" w:right="0" w:hanging="530"/>
        <w:jc w:val="left"/>
        <w:rPr>
          <w:sz w:val="21"/>
        </w:rPr>
      </w:pPr>
      <w:r>
        <w:rPr>
          <w:spacing w:val="-3"/>
          <w:sz w:val="21"/>
        </w:rPr>
        <w:t>两上肢腕关节以上或两下肢踝关节以上缺失的；</w:t>
      </w:r>
    </w:p>
    <w:p>
      <w:pPr>
        <w:pStyle w:val="ListParagraph"/>
        <w:numPr>
          <w:ilvl w:val="0"/>
          <w:numId w:val="7"/>
        </w:numPr>
        <w:tabs>
          <w:tab w:pos="670" w:val="left" w:leader="none"/>
        </w:tabs>
        <w:spacing w:line="240" w:lineRule="auto" w:before="4" w:after="0"/>
        <w:ind w:left="669" w:right="0" w:hanging="530"/>
        <w:jc w:val="left"/>
        <w:rPr>
          <w:sz w:val="21"/>
        </w:rPr>
      </w:pPr>
      <w:r>
        <w:rPr>
          <w:spacing w:val="-3"/>
          <w:sz w:val="21"/>
        </w:rPr>
        <w:t>一上肢腕关节以上及一下肢踝关节以上缺失的；</w:t>
      </w:r>
    </w:p>
    <w:p>
      <w:pPr>
        <w:pStyle w:val="ListParagraph"/>
        <w:numPr>
          <w:ilvl w:val="0"/>
          <w:numId w:val="7"/>
        </w:numPr>
        <w:tabs>
          <w:tab w:pos="670" w:val="left" w:leader="none"/>
        </w:tabs>
        <w:spacing w:line="240" w:lineRule="auto" w:before="2" w:after="0"/>
        <w:ind w:left="669" w:right="0" w:hanging="530"/>
        <w:jc w:val="left"/>
        <w:rPr>
          <w:sz w:val="21"/>
        </w:rPr>
      </w:pPr>
      <w:r>
        <w:rPr>
          <w:spacing w:val="-3"/>
          <w:sz w:val="21"/>
        </w:rPr>
        <w:t>一目永久完全失明及一上肢腕关节以上缺失的；</w:t>
      </w:r>
    </w:p>
    <w:p>
      <w:pPr>
        <w:pStyle w:val="ListParagraph"/>
        <w:numPr>
          <w:ilvl w:val="0"/>
          <w:numId w:val="7"/>
        </w:numPr>
        <w:tabs>
          <w:tab w:pos="670" w:val="left" w:leader="none"/>
        </w:tabs>
        <w:spacing w:line="240" w:lineRule="auto" w:before="5" w:after="0"/>
        <w:ind w:left="669" w:right="0" w:hanging="530"/>
        <w:jc w:val="left"/>
        <w:rPr>
          <w:sz w:val="21"/>
        </w:rPr>
      </w:pPr>
      <w:r>
        <w:rPr>
          <w:spacing w:val="-3"/>
          <w:sz w:val="21"/>
        </w:rPr>
        <w:t>一目永久完全失明及一下肢踝关节以上缺失的；</w:t>
      </w:r>
    </w:p>
    <w:p>
      <w:pPr>
        <w:pStyle w:val="ListParagraph"/>
        <w:numPr>
          <w:ilvl w:val="0"/>
          <w:numId w:val="7"/>
        </w:numPr>
        <w:tabs>
          <w:tab w:pos="670" w:val="left" w:leader="none"/>
        </w:tabs>
        <w:spacing w:line="240" w:lineRule="auto" w:before="2" w:after="0"/>
        <w:ind w:left="669" w:right="0" w:hanging="530"/>
        <w:jc w:val="left"/>
        <w:rPr>
          <w:sz w:val="21"/>
        </w:rPr>
      </w:pPr>
      <w:r>
        <w:rPr>
          <w:spacing w:val="-2"/>
          <w:sz w:val="21"/>
        </w:rPr>
        <w:t>四肢关节机能永久完全丧失的（</w:t>
      </w:r>
      <w:r>
        <w:rPr>
          <w:spacing w:val="-24"/>
          <w:sz w:val="21"/>
        </w:rPr>
        <w:t>注 </w:t>
      </w:r>
      <w:r>
        <w:rPr>
          <w:spacing w:val="-5"/>
          <w:sz w:val="21"/>
        </w:rPr>
        <w:t>2）；</w:t>
      </w:r>
    </w:p>
    <w:p>
      <w:pPr>
        <w:pStyle w:val="ListParagraph"/>
        <w:numPr>
          <w:ilvl w:val="0"/>
          <w:numId w:val="7"/>
        </w:numPr>
        <w:tabs>
          <w:tab w:pos="670" w:val="left" w:leader="none"/>
        </w:tabs>
        <w:spacing w:line="240" w:lineRule="auto" w:before="5" w:after="0"/>
        <w:ind w:left="669" w:right="0" w:hanging="530"/>
        <w:jc w:val="left"/>
        <w:rPr>
          <w:sz w:val="21"/>
        </w:rPr>
      </w:pPr>
      <w:r>
        <w:rPr>
          <w:spacing w:val="-2"/>
          <w:sz w:val="21"/>
        </w:rPr>
        <w:t>咀嚼、吞咽机能永久完全丧失的（</w:t>
      </w:r>
      <w:r>
        <w:rPr>
          <w:spacing w:val="-25"/>
          <w:sz w:val="21"/>
        </w:rPr>
        <w:t>注 </w:t>
      </w:r>
      <w:r>
        <w:rPr>
          <w:spacing w:val="-5"/>
          <w:sz w:val="21"/>
        </w:rPr>
        <w:t>3）；</w:t>
      </w:r>
    </w:p>
    <w:p>
      <w:pPr>
        <w:pStyle w:val="ListParagraph"/>
        <w:numPr>
          <w:ilvl w:val="0"/>
          <w:numId w:val="7"/>
        </w:numPr>
        <w:tabs>
          <w:tab w:pos="670" w:val="left" w:leader="none"/>
        </w:tabs>
        <w:spacing w:line="244" w:lineRule="auto" w:before="2" w:after="0"/>
        <w:ind w:left="666" w:right="218" w:hanging="526"/>
        <w:jc w:val="left"/>
        <w:rPr>
          <w:sz w:val="21"/>
        </w:rPr>
      </w:pPr>
      <w:r>
        <w:rPr>
          <w:spacing w:val="-2"/>
          <w:sz w:val="21"/>
        </w:rPr>
        <w:t>中枢神经系统机能或胸、腹部脏器机能极度障碍，终身不能从事任何工作，为维持生命必要的日常</w:t>
      </w:r>
      <w:r>
        <w:rPr>
          <w:sz w:val="21"/>
        </w:rPr>
        <w:t>生活活动，全需他人扶助的（</w:t>
      </w:r>
      <w:r>
        <w:rPr>
          <w:spacing w:val="-21"/>
          <w:sz w:val="21"/>
        </w:rPr>
        <w:t>注 </w:t>
      </w:r>
      <w:r>
        <w:rPr>
          <w:sz w:val="21"/>
        </w:rPr>
        <w:t>4）。</w:t>
      </w:r>
    </w:p>
    <w:p>
      <w:pPr>
        <w:pStyle w:val="BodyText"/>
        <w:spacing w:line="244" w:lineRule="auto"/>
        <w:ind w:left="874" w:right="211" w:hanging="524"/>
      </w:pPr>
      <w:r>
        <w:rPr>
          <w:spacing w:val="-24"/>
        </w:rPr>
        <w:t>注 </w:t>
      </w:r>
      <w:r>
        <w:rPr>
          <w:spacing w:val="-4"/>
        </w:rPr>
        <w:t>1：失明包括眼球缺失或摘除、或不能辨别明暗、或仅能辨别眼前手动者，最佳矫正视力低于国际标</w:t>
      </w:r>
      <w:r>
        <w:rPr>
          <w:spacing w:val="-3"/>
        </w:rPr>
        <w:t>准视力表 </w:t>
      </w:r>
      <w:r>
        <w:rPr/>
        <w:t>0.02</w:t>
      </w:r>
      <w:r>
        <w:rPr>
          <w:spacing w:val="-2"/>
        </w:rPr>
        <w:t>，或视野半径小于 </w:t>
      </w:r>
      <w:r>
        <w:rPr/>
        <w:t>5</w:t>
      </w:r>
      <w:r>
        <w:rPr>
          <w:spacing w:val="-4"/>
        </w:rPr>
        <w:t> 度，须由我们认可的眼科医师出具医疗诊断证明。</w:t>
      </w:r>
    </w:p>
    <w:p>
      <w:pPr>
        <w:pStyle w:val="BodyText"/>
        <w:spacing w:line="265" w:lineRule="exact"/>
        <w:ind w:left="351"/>
      </w:pPr>
      <w:r>
        <w:rPr>
          <w:spacing w:val="-16"/>
        </w:rPr>
        <w:t>注 </w:t>
      </w:r>
      <w:r>
        <w:rPr>
          <w:spacing w:val="-2"/>
        </w:rPr>
        <w:t>2</w:t>
      </w:r>
      <w:r>
        <w:rPr>
          <w:spacing w:val="-3"/>
        </w:rPr>
        <w:t>：关节机能的丧失指关节永久完全僵硬、或麻痹、或关节不能随意识活动。</w:t>
      </w:r>
    </w:p>
    <w:p>
      <w:pPr>
        <w:pStyle w:val="BodyText"/>
        <w:spacing w:line="242" w:lineRule="auto"/>
        <w:ind w:left="874" w:right="211" w:hanging="524"/>
      </w:pPr>
      <w:r>
        <w:rPr>
          <w:spacing w:val="-24"/>
        </w:rPr>
        <w:t>注 </w:t>
      </w:r>
      <w:r>
        <w:rPr>
          <w:spacing w:val="-4"/>
        </w:rPr>
        <w:t>3：咀嚼、吞咽机能的丧失指由于牙齿以外的原因引起器质障碍或机能障碍，以致不能作咀嚼、吞咽</w:t>
      </w:r>
      <w:r>
        <w:rPr>
          <w:spacing w:val="-2"/>
        </w:rPr>
        <w:t>运动，除流质食物外不能摄取或吞咽的状态。</w:t>
      </w:r>
    </w:p>
    <w:p>
      <w:pPr>
        <w:pStyle w:val="BodyText"/>
        <w:spacing w:line="242" w:lineRule="auto" w:before="2"/>
        <w:ind w:left="874" w:right="211" w:hanging="524"/>
      </w:pPr>
      <w:r>
        <w:rPr>
          <w:spacing w:val="-24"/>
        </w:rPr>
        <w:t>注 </w:t>
      </w:r>
      <w:r>
        <w:rPr>
          <w:spacing w:val="-4"/>
        </w:rPr>
        <w:t>4：为维持生命必要之日常生活活动，全需他人扶助指食物摄取、大小便始末、穿脱衣服、起居、步</w:t>
      </w:r>
      <w:r>
        <w:rPr>
          <w:spacing w:val="-2"/>
        </w:rPr>
        <w:t>行、入浴等，皆不能自理，需要他人帮助。</w:t>
      </w:r>
    </w:p>
    <w:p>
      <w:pPr>
        <w:spacing w:line="168" w:lineRule="auto" w:before="17"/>
        <w:ind w:left="351" w:right="236" w:hanging="212"/>
        <w:jc w:val="both"/>
        <w:rPr>
          <w:rFonts w:ascii="微软雅黑" w:eastAsia="微软雅黑"/>
          <w:b/>
          <w:sz w:val="21"/>
        </w:rPr>
      </w:pPr>
      <w:r>
        <w:rPr>
          <w:position w:val="11"/>
          <w:sz w:val="11"/>
        </w:rPr>
        <w:t>8 </w:t>
      </w:r>
      <w:r>
        <w:rPr>
          <w:rFonts w:ascii="微软雅黑" w:eastAsia="微软雅黑"/>
          <w:b/>
          <w:sz w:val="21"/>
        </w:rPr>
        <w:t>医院</w:t>
      </w:r>
      <w:r>
        <w:rPr>
          <w:sz w:val="21"/>
        </w:rPr>
        <w:t>：指中华人民共和国境内</w:t>
      </w:r>
      <w:r>
        <w:rPr>
          <w:rFonts w:ascii="微软雅黑" w:eastAsia="微软雅黑"/>
          <w:b/>
          <w:sz w:val="21"/>
        </w:rPr>
        <w:t>（港、澳、台地区除外）</w:t>
      </w:r>
      <w:r>
        <w:rPr>
          <w:sz w:val="21"/>
        </w:rPr>
        <w:t>合法经营的二级以上（含二级）公立医院，</w:t>
      </w:r>
      <w:r>
        <w:rPr>
          <w:rFonts w:ascii="微软雅黑" w:eastAsia="微软雅黑"/>
          <w:b/>
          <w:sz w:val="21"/>
        </w:rPr>
        <w:t>但</w:t>
      </w:r>
      <w:r>
        <w:rPr>
          <w:rFonts w:ascii="微软雅黑" w:eastAsia="微软雅黑"/>
          <w:b/>
          <w:spacing w:val="-2"/>
          <w:sz w:val="21"/>
        </w:rPr>
        <w:t>不包括疗养院、护理院、康复中心、戒酒或戒毒中心、精神心理治疗中心以及无相应医护人员或设备</w:t>
      </w:r>
      <w:r>
        <w:rPr>
          <w:rFonts w:ascii="微软雅黑" w:eastAsia="微软雅黑"/>
          <w:b/>
          <w:spacing w:val="-2"/>
          <w:sz w:val="21"/>
        </w:rPr>
        <w:t>的非以直接诊治病人为目的的医疗机构。</w:t>
      </w:r>
    </w:p>
    <w:p>
      <w:pPr>
        <w:pStyle w:val="BodyText"/>
        <w:spacing w:line="284" w:lineRule="exact"/>
        <w:ind w:left="140"/>
      </w:pPr>
      <w:r>
        <w:rPr>
          <w:spacing w:val="-2"/>
          <w:position w:val="11"/>
          <w:sz w:val="11"/>
        </w:rPr>
        <w:t>9</w:t>
      </w:r>
      <w:r>
        <w:rPr>
          <w:spacing w:val="79"/>
          <w:position w:val="11"/>
          <w:sz w:val="11"/>
        </w:rPr>
        <w:t> </w:t>
      </w:r>
      <w:r>
        <w:rPr>
          <w:rFonts w:ascii="微软雅黑" w:eastAsia="微软雅黑"/>
          <w:b/>
          <w:spacing w:val="-2"/>
        </w:rPr>
        <w:t>专科医生</w:t>
      </w:r>
      <w:r>
        <w:rPr>
          <w:spacing w:val="-2"/>
        </w:rPr>
        <w:t>：专科医生应当同时满足以下四项资格条件：（1）</w:t>
      </w:r>
      <w:r>
        <w:rPr>
          <w:spacing w:val="-3"/>
        </w:rPr>
        <w:t>具有有效的中华人民共和国《医师资格证</w:t>
      </w:r>
    </w:p>
    <w:p>
      <w:pPr>
        <w:pStyle w:val="BodyText"/>
        <w:spacing w:line="246" w:lineRule="exact"/>
        <w:ind w:left="351"/>
      </w:pPr>
      <w:r>
        <w:rPr>
          <w:spacing w:val="-2"/>
        </w:rPr>
        <w:t>书》；（2）具有有效的中华人民共和国《医师执业证书》，并按期到相关部门登记注册；（3）</w:t>
      </w:r>
      <w:r>
        <w:rPr>
          <w:spacing w:val="-6"/>
        </w:rPr>
        <w:t>具有</w:t>
      </w:r>
    </w:p>
    <w:p>
      <w:pPr>
        <w:pStyle w:val="BodyText"/>
        <w:spacing w:line="242" w:lineRule="auto" w:before="3"/>
        <w:ind w:left="351" w:right="210"/>
      </w:pPr>
      <w:r>
        <w:rPr>
          <w:spacing w:val="-2"/>
        </w:rPr>
        <w:t>有效的中华人民共和国主治医师或主治医师以上职称的《医师职称证书》；（4）在国家《医院分级管</w:t>
      </w:r>
      <w:r>
        <w:rPr>
          <w:spacing w:val="-2"/>
        </w:rPr>
        <w:t>理标准》二级或二级以上医院的相应科室从事临床工作三年以上。</w:t>
      </w:r>
    </w:p>
    <w:p>
      <w:pPr>
        <w:pStyle w:val="BodyText"/>
        <w:spacing w:line="263" w:lineRule="exact"/>
        <w:ind w:left="140"/>
      </w:pPr>
      <w:r>
        <w:rPr>
          <w:spacing w:val="-2"/>
          <w:position w:val="11"/>
          <w:sz w:val="11"/>
        </w:rPr>
        <w:t>10</w:t>
      </w:r>
      <w:r>
        <w:rPr>
          <w:spacing w:val="53"/>
          <w:w w:val="150"/>
          <w:position w:val="11"/>
          <w:sz w:val="11"/>
        </w:rPr>
        <w:t> </w:t>
      </w:r>
      <w:r>
        <w:rPr>
          <w:rFonts w:ascii="微软雅黑" w:eastAsia="微软雅黑"/>
          <w:b/>
          <w:spacing w:val="-2"/>
        </w:rPr>
        <w:t>重大疾病</w:t>
      </w:r>
      <w:r>
        <w:rPr>
          <w:spacing w:val="-3"/>
        </w:rPr>
        <w:t>：指符合本合同附表一约定的疾病种类和疾病定义所述条件的重大疾病。</w:t>
      </w:r>
    </w:p>
    <w:p>
      <w:pPr>
        <w:pStyle w:val="BodyText"/>
        <w:spacing w:line="272" w:lineRule="exact"/>
        <w:ind w:left="140"/>
      </w:pPr>
      <w:r>
        <w:rPr>
          <w:spacing w:val="-2"/>
          <w:position w:val="11"/>
          <w:sz w:val="11"/>
        </w:rPr>
        <w:t>11</w:t>
      </w:r>
      <w:r>
        <w:rPr>
          <w:spacing w:val="53"/>
          <w:w w:val="150"/>
          <w:position w:val="11"/>
          <w:sz w:val="11"/>
        </w:rPr>
        <w:t> </w:t>
      </w:r>
      <w:r>
        <w:rPr>
          <w:rFonts w:ascii="微软雅黑" w:eastAsia="微软雅黑"/>
          <w:b/>
          <w:spacing w:val="-2"/>
        </w:rPr>
        <w:t>中症疾病</w:t>
      </w:r>
      <w:r>
        <w:rPr>
          <w:spacing w:val="-3"/>
        </w:rPr>
        <w:t>：指符合本合同附表二约定的疾病种类和疾病定义所述条件的中症疾病。</w:t>
      </w:r>
    </w:p>
    <w:p>
      <w:pPr>
        <w:pStyle w:val="BodyText"/>
        <w:spacing w:line="273" w:lineRule="exact"/>
        <w:ind w:left="140"/>
      </w:pPr>
      <w:r>
        <w:rPr>
          <w:spacing w:val="-2"/>
          <w:position w:val="11"/>
          <w:sz w:val="11"/>
        </w:rPr>
        <w:t>12</w:t>
      </w:r>
      <w:r>
        <w:rPr>
          <w:spacing w:val="53"/>
          <w:w w:val="150"/>
          <w:position w:val="11"/>
          <w:sz w:val="11"/>
        </w:rPr>
        <w:t> </w:t>
      </w:r>
      <w:r>
        <w:rPr>
          <w:rFonts w:ascii="微软雅黑" w:eastAsia="微软雅黑"/>
          <w:b/>
          <w:spacing w:val="-2"/>
        </w:rPr>
        <w:t>轻症疾病</w:t>
      </w:r>
      <w:r>
        <w:rPr>
          <w:spacing w:val="-3"/>
        </w:rPr>
        <w:t>：指符合本合同附表三约定的疾病种类和疾病定义所述条件的轻症疾病。</w:t>
      </w:r>
    </w:p>
    <w:p>
      <w:pPr>
        <w:spacing w:line="306" w:lineRule="exact" w:before="0"/>
        <w:ind w:left="140" w:right="0" w:firstLine="0"/>
        <w:jc w:val="left"/>
        <w:rPr>
          <w:sz w:val="21"/>
        </w:rPr>
      </w:pPr>
      <w:r>
        <w:rPr>
          <w:rFonts w:ascii="Times New Roman" w:eastAsia="Times New Roman"/>
          <w:position w:val="6"/>
          <w:sz w:val="12"/>
        </w:rPr>
        <w:t>13</w:t>
      </w:r>
      <w:r>
        <w:rPr>
          <w:rFonts w:ascii="Times New Roman" w:eastAsia="Times New Roman"/>
          <w:spacing w:val="44"/>
          <w:position w:val="6"/>
          <w:sz w:val="12"/>
        </w:rPr>
        <w:t> </w:t>
      </w:r>
      <w:r>
        <w:rPr>
          <w:rFonts w:ascii="微软雅黑" w:eastAsia="微软雅黑"/>
          <w:b/>
          <w:sz w:val="21"/>
        </w:rPr>
        <w:t>疾病终末期阶段</w:t>
      </w:r>
      <w:r>
        <w:rPr>
          <w:spacing w:val="-1"/>
          <w:sz w:val="21"/>
        </w:rPr>
        <w:t>：疾病终末期阶段需要同时满足以下两个条件：</w:t>
      </w:r>
    </w:p>
    <w:p>
      <w:pPr>
        <w:pStyle w:val="ListParagraph"/>
        <w:numPr>
          <w:ilvl w:val="1"/>
          <w:numId w:val="7"/>
        </w:numPr>
        <w:tabs>
          <w:tab w:pos="881" w:val="left" w:leader="none"/>
        </w:tabs>
        <w:spacing w:line="246" w:lineRule="exact" w:before="0" w:after="0"/>
        <w:ind w:left="880" w:right="0" w:hanging="530"/>
        <w:jc w:val="left"/>
        <w:rPr>
          <w:sz w:val="21"/>
        </w:rPr>
      </w:pPr>
      <w:r>
        <w:rPr>
          <w:spacing w:val="-3"/>
          <w:sz w:val="21"/>
        </w:rPr>
        <w:t>依现有医疗技术无法缓解；</w:t>
      </w:r>
    </w:p>
    <w:p>
      <w:pPr>
        <w:pStyle w:val="ListParagraph"/>
        <w:numPr>
          <w:ilvl w:val="1"/>
          <w:numId w:val="7"/>
        </w:numPr>
        <w:tabs>
          <w:tab w:pos="881" w:val="left" w:leader="none"/>
        </w:tabs>
        <w:spacing w:line="240" w:lineRule="auto" w:before="2" w:after="0"/>
        <w:ind w:left="880" w:right="0" w:hanging="530"/>
        <w:jc w:val="left"/>
        <w:rPr>
          <w:sz w:val="21"/>
        </w:rPr>
      </w:pPr>
      <w:r>
        <w:rPr>
          <w:spacing w:val="-3"/>
          <w:sz w:val="21"/>
        </w:rPr>
        <w:t>根据临床医学经验判断被保险人存活期低于六个月。</w:t>
      </w:r>
    </w:p>
    <w:p>
      <w:pPr>
        <w:spacing w:after="0" w:line="240" w:lineRule="auto"/>
        <w:jc w:val="left"/>
        <w:rPr>
          <w:sz w:val="21"/>
        </w:rPr>
        <w:sectPr>
          <w:type w:val="continuous"/>
          <w:pgSz w:w="11910" w:h="16840"/>
          <w:pgMar w:header="877" w:footer="0" w:top="1100" w:bottom="280" w:left="1060" w:right="980"/>
        </w:sectPr>
      </w:pPr>
    </w:p>
    <w:p>
      <w:pPr>
        <w:pStyle w:val="BodyText"/>
        <w:spacing w:before="9"/>
        <w:rPr>
          <w:sz w:val="18"/>
        </w:rPr>
      </w:pPr>
    </w:p>
    <w:p>
      <w:pPr>
        <w:spacing w:after="0"/>
        <w:rPr>
          <w:sz w:val="18"/>
        </w:rPr>
        <w:sectPr>
          <w:pgSz w:w="11910" w:h="16840"/>
          <w:pgMar w:header="877" w:footer="0" w:top="1100" w:bottom="280" w:left="1060" w:right="980"/>
        </w:sectPr>
      </w:pPr>
    </w:p>
    <w:p>
      <w:pPr>
        <w:spacing w:line="168" w:lineRule="auto" w:before="87"/>
        <w:ind w:left="1210" w:right="0" w:firstLine="0"/>
        <w:jc w:val="left"/>
        <w:rPr>
          <w:rFonts w:ascii="微软雅黑" w:eastAsia="微软雅黑"/>
          <w:b/>
          <w:sz w:val="21"/>
        </w:rPr>
      </w:pPr>
      <w:r>
        <w:rPr>
          <w:rFonts w:ascii="微软雅黑" w:eastAsia="微软雅黑"/>
          <w:b/>
          <w:spacing w:val="-2"/>
          <w:sz w:val="21"/>
        </w:rPr>
        <w:t>重大疾病保险</w:t>
      </w:r>
      <w:r>
        <w:rPr>
          <w:rFonts w:ascii="微软雅黑" w:eastAsia="微软雅黑"/>
          <w:b/>
          <w:spacing w:val="-10"/>
          <w:sz w:val="21"/>
        </w:rPr>
        <w:t>金</w:t>
      </w:r>
    </w:p>
    <w:p>
      <w:pPr>
        <w:spacing w:line="175" w:lineRule="auto" w:before="128"/>
        <w:ind w:left="286" w:right="326" w:firstLine="0"/>
        <w:jc w:val="both"/>
        <w:rPr>
          <w:rFonts w:ascii="微软雅黑" w:hAnsi="微软雅黑" w:eastAsia="微软雅黑"/>
          <w:b/>
          <w:sz w:val="21"/>
        </w:rPr>
      </w:pPr>
      <w:r>
        <w:rPr/>
        <w:br w:type="column"/>
      </w:r>
      <w:r>
        <w:rPr>
          <w:spacing w:val="-3"/>
          <w:sz w:val="21"/>
        </w:rPr>
        <w:t>本合同所列的重大疾病共 </w:t>
      </w:r>
      <w:r>
        <w:rPr>
          <w:sz w:val="21"/>
        </w:rPr>
        <w:t>120</w:t>
      </w:r>
      <w:r>
        <w:rPr>
          <w:spacing w:val="-10"/>
          <w:sz w:val="21"/>
        </w:rPr>
        <w:t> 种，分为 </w:t>
      </w:r>
      <w:r>
        <w:rPr>
          <w:sz w:val="21"/>
        </w:rPr>
        <w:t>A、B、C、D、E、F</w:t>
      </w:r>
      <w:r>
        <w:rPr>
          <w:spacing w:val="-5"/>
          <w:sz w:val="21"/>
        </w:rPr>
        <w:t> 六组，具体分</w:t>
      </w:r>
      <w:r>
        <w:rPr>
          <w:spacing w:val="-7"/>
          <w:sz w:val="21"/>
        </w:rPr>
        <w:t>组信息请见本合同“附表一 重大疾病病种及分组”。</w:t>
      </w:r>
      <w:r>
        <w:rPr>
          <w:rFonts w:ascii="微软雅黑" w:hAnsi="微软雅黑" w:eastAsia="微软雅黑"/>
          <w:b/>
          <w:sz w:val="21"/>
        </w:rPr>
        <w:t>每组重大疾病保险金</w:t>
      </w:r>
      <w:r>
        <w:rPr>
          <w:rFonts w:ascii="微软雅黑" w:hAnsi="微软雅黑" w:eastAsia="微软雅黑"/>
          <w:b/>
          <w:spacing w:val="-2"/>
          <w:sz w:val="21"/>
        </w:rPr>
        <w:t>的给付次数以一次为限，给付后该组重大疾病的保险责任终止。本合同重</w:t>
      </w:r>
      <w:r>
        <w:rPr>
          <w:rFonts w:ascii="微软雅黑" w:hAnsi="微软雅黑" w:eastAsia="微软雅黑"/>
          <w:b/>
          <w:spacing w:val="-2"/>
          <w:sz w:val="21"/>
        </w:rPr>
        <w:t>大疾病保险金的累计给付次数以六次为限，当累计给付达到六次时，重大</w:t>
      </w:r>
      <w:r>
        <w:rPr>
          <w:rFonts w:ascii="微软雅黑" w:hAnsi="微软雅黑" w:eastAsia="微软雅黑"/>
          <w:b/>
          <w:spacing w:val="-2"/>
          <w:sz w:val="21"/>
        </w:rPr>
        <w:t>疾病保险金责任终止。</w:t>
      </w:r>
    </w:p>
    <w:p>
      <w:pPr>
        <w:pStyle w:val="ListParagraph"/>
        <w:numPr>
          <w:ilvl w:val="0"/>
          <w:numId w:val="8"/>
        </w:numPr>
        <w:tabs>
          <w:tab w:pos="816" w:val="left" w:leader="none"/>
        </w:tabs>
        <w:spacing w:line="273" w:lineRule="exact" w:before="0" w:after="0"/>
        <w:ind w:left="816" w:right="0" w:hanging="530"/>
        <w:jc w:val="left"/>
        <w:rPr>
          <w:rFonts w:ascii="微软雅黑" w:eastAsia="微软雅黑"/>
          <w:b/>
          <w:sz w:val="21"/>
        </w:rPr>
      </w:pPr>
      <w:r>
        <w:rPr>
          <w:rFonts w:ascii="微软雅黑" w:eastAsia="微软雅黑"/>
          <w:b/>
          <w:spacing w:val="-3"/>
          <w:sz w:val="21"/>
        </w:rPr>
        <w:t>第一次重大疾病保险金</w:t>
      </w:r>
    </w:p>
    <w:p>
      <w:pPr>
        <w:pStyle w:val="BodyText"/>
        <w:spacing w:line="199" w:lineRule="auto" w:before="11"/>
        <w:ind w:left="286" w:right="326"/>
        <w:jc w:val="both"/>
      </w:pPr>
      <w:r>
        <w:rPr>
          <w:spacing w:val="-2"/>
        </w:rPr>
        <w:t>被保险人因意外伤害或在等待期后因非意外伤害原因经我们认可医院的专</w:t>
      </w:r>
      <w:r>
        <w:rPr>
          <w:spacing w:val="-2"/>
        </w:rPr>
        <w:t>科医生</w:t>
      </w:r>
      <w:r>
        <w:rPr>
          <w:rFonts w:ascii="微软雅黑" w:eastAsia="微软雅黑"/>
          <w:b/>
          <w:spacing w:val="-2"/>
        </w:rPr>
        <w:t>初次确诊</w:t>
      </w:r>
      <w:r>
        <w:rPr>
          <w:rFonts w:ascii="微软雅黑" w:eastAsia="微软雅黑"/>
          <w:b/>
          <w:spacing w:val="-2"/>
          <w:position w:val="11"/>
          <w:sz w:val="11"/>
        </w:rPr>
        <w:t>14</w:t>
      </w:r>
      <w:r>
        <w:rPr>
          <w:spacing w:val="-10"/>
        </w:rPr>
        <w:t>患有本合同约定的重大疾病，我们将按照本合同的基本保</w:t>
      </w:r>
      <w:r>
        <w:rPr>
          <w:spacing w:val="-3"/>
        </w:rPr>
        <w:t>险金额给付第一次重大疾病保险金，该重大疾病所属组别的重大疾病保险</w:t>
      </w:r>
    </w:p>
    <w:p>
      <w:pPr>
        <w:pStyle w:val="BodyText"/>
        <w:spacing w:line="237" w:lineRule="exact" w:before="15"/>
        <w:ind w:left="286"/>
      </w:pPr>
      <w:r>
        <w:rPr>
          <w:spacing w:val="-4"/>
        </w:rPr>
        <w:t>责任终止。</w:t>
      </w:r>
    </w:p>
    <w:p>
      <w:pPr>
        <w:spacing w:line="168" w:lineRule="auto" w:before="51"/>
        <w:ind w:left="286" w:right="309" w:firstLine="0"/>
        <w:jc w:val="both"/>
        <w:rPr>
          <w:rFonts w:ascii="微软雅黑" w:hAnsi="微软雅黑" w:eastAsia="微软雅黑"/>
          <w:b/>
          <w:sz w:val="21"/>
        </w:rPr>
      </w:pPr>
      <w:r>
        <w:rPr>
          <w:rFonts w:ascii="微软雅黑" w:hAnsi="微软雅黑" w:eastAsia="微软雅黑"/>
          <w:b/>
          <w:spacing w:val="-2"/>
          <w:sz w:val="21"/>
        </w:rPr>
        <w:t>本合同的现金价值自第一次重大疾病确诊之日起降为零，同时，本合同约</w:t>
      </w:r>
      <w:r>
        <w:rPr>
          <w:rFonts w:ascii="微软雅黑" w:hAnsi="微软雅黑" w:eastAsia="微软雅黑"/>
          <w:b/>
          <w:spacing w:val="-2"/>
          <w:sz w:val="21"/>
        </w:rPr>
        <w:t>定的“中症疾病保险金”“轻症疾病保险金”“‘恶性肿瘤——轻度’二</w:t>
      </w:r>
      <w:r>
        <w:rPr>
          <w:rFonts w:ascii="微软雅黑" w:hAnsi="微软雅黑" w:eastAsia="微软雅黑"/>
          <w:b/>
          <w:sz w:val="21"/>
        </w:rPr>
        <w:t>次给付保险金” “身故或全残保险金” “疾病终末期保险金”及该组别</w:t>
      </w:r>
      <w:r>
        <w:rPr>
          <w:rFonts w:ascii="微软雅黑" w:hAnsi="微软雅黑" w:eastAsia="微软雅黑"/>
          <w:b/>
          <w:spacing w:val="-2"/>
          <w:sz w:val="21"/>
        </w:rPr>
        <w:t>的重大疾病特别关爱保险金责任均终止。但是，我们将继续承担其他组别</w:t>
      </w:r>
      <w:r>
        <w:rPr>
          <w:rFonts w:ascii="微软雅黑" w:hAnsi="微软雅黑" w:eastAsia="微软雅黑"/>
          <w:b/>
          <w:spacing w:val="-2"/>
          <w:sz w:val="21"/>
        </w:rPr>
        <w:t>的重大疾病保险金责任、其他组别的重大疾病特别关爱保险金、“‘恶性</w:t>
      </w:r>
      <w:r>
        <w:rPr>
          <w:rFonts w:ascii="微软雅黑" w:hAnsi="微软雅黑" w:eastAsia="微软雅黑"/>
          <w:b/>
          <w:spacing w:val="-2"/>
          <w:sz w:val="21"/>
        </w:rPr>
        <w:t>肿瘤——</w:t>
      </w:r>
      <w:r>
        <w:rPr>
          <w:rFonts w:ascii="微软雅黑" w:hAnsi="微软雅黑" w:eastAsia="微软雅黑"/>
          <w:b/>
          <w:spacing w:val="-2"/>
          <w:sz w:val="21"/>
        </w:rPr>
        <w:t>重度’二次给付保险金”“严重脑中风后遗症二次给付保险金”</w:t>
      </w:r>
      <w:r>
        <w:rPr>
          <w:rFonts w:ascii="微软雅黑" w:hAnsi="微软雅黑" w:eastAsia="微软雅黑"/>
          <w:b/>
          <w:spacing w:val="-2"/>
          <w:sz w:val="21"/>
        </w:rPr>
        <w:t>及“较重急性心肌梗死二次给付保险金”责任。</w:t>
      </w:r>
    </w:p>
    <w:p>
      <w:pPr>
        <w:pStyle w:val="ListParagraph"/>
        <w:numPr>
          <w:ilvl w:val="0"/>
          <w:numId w:val="8"/>
        </w:numPr>
        <w:tabs>
          <w:tab w:pos="816" w:val="left" w:leader="none"/>
        </w:tabs>
        <w:spacing w:line="291" w:lineRule="exact" w:before="0" w:after="0"/>
        <w:ind w:left="816" w:right="0" w:hanging="530"/>
        <w:jc w:val="left"/>
        <w:rPr>
          <w:rFonts w:ascii="微软雅黑" w:eastAsia="微软雅黑"/>
          <w:b/>
          <w:sz w:val="21"/>
        </w:rPr>
      </w:pPr>
      <w:r>
        <w:rPr>
          <w:rFonts w:ascii="微软雅黑" w:eastAsia="微软雅黑"/>
          <w:b/>
          <w:spacing w:val="-3"/>
          <w:sz w:val="21"/>
        </w:rPr>
        <w:t>第二次重大疾病保险金</w:t>
      </w:r>
    </w:p>
    <w:p>
      <w:pPr>
        <w:pStyle w:val="BodyText"/>
        <w:spacing w:line="245" w:lineRule="exact"/>
        <w:ind w:left="286"/>
      </w:pPr>
      <w:r>
        <w:rPr>
          <w:spacing w:val="-3"/>
        </w:rPr>
        <w:t>我们给付第一次重大疾病保险金后，若被保险人自第一次重大疾病确诊之</w:t>
      </w:r>
    </w:p>
    <w:p>
      <w:pPr>
        <w:pStyle w:val="BodyText"/>
        <w:spacing w:line="242" w:lineRule="auto" w:before="4"/>
        <w:ind w:left="286" w:right="333"/>
        <w:jc w:val="both"/>
      </w:pPr>
      <w:r>
        <w:rPr>
          <w:w w:val="95"/>
        </w:rPr>
        <w:t>日</w:t>
      </w:r>
      <w:r>
        <w:rPr>
          <w:w w:val="95"/>
        </w:rPr>
        <w:t>起</w:t>
      </w:r>
      <w:r>
        <w:rPr>
          <w:spacing w:val="32"/>
        </w:rPr>
        <w:t> </w:t>
      </w:r>
      <w:r>
        <w:rPr>
          <w:w w:val="95"/>
        </w:rPr>
        <w:t>180</w:t>
      </w:r>
      <w:r>
        <w:rPr>
          <w:spacing w:val="32"/>
        </w:rPr>
        <w:t> </w:t>
      </w:r>
      <w:r>
        <w:rPr>
          <w:w w:val="95"/>
        </w:rPr>
        <w:t>日后，经我们认</w:t>
      </w:r>
      <w:r>
        <w:rPr>
          <w:w w:val="95"/>
        </w:rPr>
        <w:t>可</w:t>
      </w:r>
      <w:r>
        <w:rPr>
          <w:w w:val="95"/>
        </w:rPr>
        <w:t>医</w:t>
      </w:r>
      <w:r>
        <w:rPr>
          <w:w w:val="95"/>
        </w:rPr>
        <w:t>院的专科医生初次确</w:t>
      </w:r>
      <w:r>
        <w:rPr>
          <w:w w:val="95"/>
        </w:rPr>
        <w:t>诊</w:t>
      </w:r>
      <w:r>
        <w:rPr>
          <w:w w:val="95"/>
        </w:rPr>
        <w:t>患</w:t>
      </w:r>
      <w:r>
        <w:rPr>
          <w:w w:val="95"/>
        </w:rPr>
        <w:t>有本合同所列的</w:t>
      </w:r>
      <w:r>
        <w:rPr>
          <w:w w:val="95"/>
        </w:rPr>
        <w:t>第</w:t>
      </w:r>
      <w:r>
        <w:rPr>
          <w:spacing w:val="-2"/>
        </w:rPr>
        <w:t>一次重大疾病所属组别以外其他组别中的重大疾病，我们将按本合同的基</w:t>
      </w:r>
      <w:r>
        <w:rPr>
          <w:spacing w:val="-2"/>
        </w:rPr>
        <w:t>本保险金额给付第二次重大疾病保险金，该种重大疾病所属组别的重大疾</w:t>
      </w:r>
      <w:r>
        <w:rPr>
          <w:spacing w:val="-2"/>
        </w:rPr>
        <w:t>病保险金责任终止。</w:t>
      </w:r>
    </w:p>
    <w:p>
      <w:pPr>
        <w:pStyle w:val="ListParagraph"/>
        <w:numPr>
          <w:ilvl w:val="0"/>
          <w:numId w:val="8"/>
        </w:numPr>
        <w:tabs>
          <w:tab w:pos="816" w:val="left" w:leader="none"/>
        </w:tabs>
        <w:spacing w:line="298" w:lineRule="exact" w:before="0" w:after="0"/>
        <w:ind w:left="816" w:right="0" w:hanging="530"/>
        <w:jc w:val="left"/>
        <w:rPr>
          <w:rFonts w:ascii="微软雅黑" w:eastAsia="微软雅黑"/>
          <w:b/>
          <w:sz w:val="21"/>
        </w:rPr>
      </w:pPr>
      <w:r>
        <w:rPr>
          <w:rFonts w:ascii="微软雅黑" w:eastAsia="微软雅黑"/>
          <w:b/>
          <w:spacing w:val="-3"/>
          <w:sz w:val="21"/>
        </w:rPr>
        <w:t>第三次重大疾病保险金</w:t>
      </w:r>
    </w:p>
    <w:p>
      <w:pPr>
        <w:pStyle w:val="BodyText"/>
        <w:spacing w:line="245" w:lineRule="exact"/>
        <w:ind w:left="286"/>
      </w:pPr>
      <w:r>
        <w:rPr>
          <w:spacing w:val="-3"/>
        </w:rPr>
        <w:t>我们给付第二次重大疾病保险金后，若被保险人自第二次重大疾病确诊之</w:t>
      </w:r>
    </w:p>
    <w:p>
      <w:pPr>
        <w:pStyle w:val="BodyText"/>
        <w:spacing w:line="242" w:lineRule="auto" w:before="3"/>
        <w:ind w:left="286" w:right="333"/>
        <w:jc w:val="both"/>
      </w:pPr>
      <w:r>
        <w:rPr>
          <w:w w:val="95"/>
        </w:rPr>
        <w:t>日</w:t>
      </w:r>
      <w:r>
        <w:rPr>
          <w:w w:val="95"/>
        </w:rPr>
        <w:t>起</w:t>
      </w:r>
      <w:r>
        <w:rPr>
          <w:spacing w:val="32"/>
        </w:rPr>
        <w:t> </w:t>
      </w:r>
      <w:r>
        <w:rPr>
          <w:w w:val="95"/>
        </w:rPr>
        <w:t>180</w:t>
      </w:r>
      <w:r>
        <w:rPr>
          <w:spacing w:val="32"/>
        </w:rPr>
        <w:t> </w:t>
      </w:r>
      <w:r>
        <w:rPr>
          <w:w w:val="95"/>
        </w:rPr>
        <w:t>日后，经我们认</w:t>
      </w:r>
      <w:r>
        <w:rPr>
          <w:w w:val="95"/>
        </w:rPr>
        <w:t>可</w:t>
      </w:r>
      <w:r>
        <w:rPr>
          <w:w w:val="95"/>
        </w:rPr>
        <w:t>医</w:t>
      </w:r>
      <w:r>
        <w:rPr>
          <w:w w:val="95"/>
        </w:rPr>
        <w:t>院的专科医生初次确</w:t>
      </w:r>
      <w:r>
        <w:rPr>
          <w:w w:val="95"/>
        </w:rPr>
        <w:t>诊</w:t>
      </w:r>
      <w:r>
        <w:rPr>
          <w:w w:val="95"/>
        </w:rPr>
        <w:t>患</w:t>
      </w:r>
      <w:r>
        <w:rPr>
          <w:w w:val="95"/>
        </w:rPr>
        <w:t>有本合同所列的</w:t>
      </w:r>
      <w:r>
        <w:rPr>
          <w:w w:val="95"/>
        </w:rPr>
        <w:t>第</w:t>
      </w:r>
      <w:r>
        <w:rPr>
          <w:spacing w:val="-2"/>
        </w:rPr>
        <w:t>一、二次重大疾病所属组别以外其他组别中的重大疾病，我们将按本合同</w:t>
      </w:r>
      <w:r>
        <w:rPr>
          <w:spacing w:val="-2"/>
        </w:rPr>
        <w:t>的基本保险金额给付第三次重大疾病保险金，该种重大疾病所属组别的重</w:t>
      </w:r>
      <w:r>
        <w:rPr>
          <w:spacing w:val="-2"/>
        </w:rPr>
        <w:t>大疾病保险金责任终止。</w:t>
      </w:r>
    </w:p>
    <w:p>
      <w:pPr>
        <w:pStyle w:val="ListParagraph"/>
        <w:numPr>
          <w:ilvl w:val="0"/>
          <w:numId w:val="8"/>
        </w:numPr>
        <w:tabs>
          <w:tab w:pos="816" w:val="left" w:leader="none"/>
        </w:tabs>
        <w:spacing w:line="299" w:lineRule="exact" w:before="0" w:after="0"/>
        <w:ind w:left="816" w:right="0" w:hanging="530"/>
        <w:jc w:val="left"/>
        <w:rPr>
          <w:rFonts w:ascii="微软雅黑" w:eastAsia="微软雅黑"/>
          <w:b/>
          <w:sz w:val="21"/>
        </w:rPr>
      </w:pPr>
      <w:r>
        <w:rPr>
          <w:rFonts w:ascii="微软雅黑" w:eastAsia="微软雅黑"/>
          <w:b/>
          <w:spacing w:val="-3"/>
          <w:sz w:val="21"/>
        </w:rPr>
        <w:t>第四次重大疾病保险金</w:t>
      </w:r>
    </w:p>
    <w:p>
      <w:pPr>
        <w:pStyle w:val="BodyText"/>
        <w:spacing w:line="246" w:lineRule="exact"/>
        <w:ind w:left="286"/>
      </w:pPr>
      <w:r>
        <w:rPr>
          <w:spacing w:val="-3"/>
        </w:rPr>
        <w:t>我们给付第三次重大疾病保险金后，若被保险人自第三次重大疾病确诊之</w:t>
      </w:r>
    </w:p>
    <w:p>
      <w:pPr>
        <w:pStyle w:val="BodyText"/>
        <w:spacing w:line="242" w:lineRule="auto" w:before="2"/>
        <w:ind w:left="286" w:right="333"/>
        <w:jc w:val="both"/>
      </w:pPr>
      <w:r>
        <w:rPr>
          <w:w w:val="95"/>
        </w:rPr>
        <w:t>日</w:t>
      </w:r>
      <w:r>
        <w:rPr>
          <w:w w:val="95"/>
        </w:rPr>
        <w:t>起</w:t>
      </w:r>
      <w:r>
        <w:rPr>
          <w:spacing w:val="32"/>
        </w:rPr>
        <w:t> </w:t>
      </w:r>
      <w:r>
        <w:rPr>
          <w:w w:val="95"/>
        </w:rPr>
        <w:t>180</w:t>
      </w:r>
      <w:r>
        <w:rPr>
          <w:spacing w:val="32"/>
        </w:rPr>
        <w:t> </w:t>
      </w:r>
      <w:r>
        <w:rPr>
          <w:w w:val="95"/>
        </w:rPr>
        <w:t>日后，经我们认</w:t>
      </w:r>
      <w:r>
        <w:rPr>
          <w:w w:val="95"/>
        </w:rPr>
        <w:t>可</w:t>
      </w:r>
      <w:r>
        <w:rPr>
          <w:w w:val="95"/>
        </w:rPr>
        <w:t>医</w:t>
      </w:r>
      <w:r>
        <w:rPr>
          <w:w w:val="95"/>
        </w:rPr>
        <w:t>院的专科医生初次确</w:t>
      </w:r>
      <w:r>
        <w:rPr>
          <w:w w:val="95"/>
        </w:rPr>
        <w:t>诊</w:t>
      </w:r>
      <w:r>
        <w:rPr>
          <w:w w:val="95"/>
        </w:rPr>
        <w:t>患</w:t>
      </w:r>
      <w:r>
        <w:rPr>
          <w:w w:val="95"/>
        </w:rPr>
        <w:t>有本合同所列的</w:t>
      </w:r>
      <w:r>
        <w:rPr>
          <w:w w:val="95"/>
        </w:rPr>
        <w:t>第</w:t>
      </w:r>
      <w:r>
        <w:rPr>
          <w:spacing w:val="-2"/>
        </w:rPr>
        <w:t>一、二、三次重大疾病所属组别以外其他组别中的重大疾病，我们将按本</w:t>
      </w:r>
      <w:r>
        <w:rPr>
          <w:spacing w:val="-2"/>
        </w:rPr>
        <w:t>合同的基本保险金额给付第四次重大疾病保险金，该种重大疾病所属组别</w:t>
      </w:r>
      <w:r>
        <w:rPr>
          <w:spacing w:val="-2"/>
        </w:rPr>
        <w:t>的重大疾病保险金责任终止。</w:t>
      </w:r>
    </w:p>
    <w:p>
      <w:pPr>
        <w:pStyle w:val="ListParagraph"/>
        <w:numPr>
          <w:ilvl w:val="0"/>
          <w:numId w:val="8"/>
        </w:numPr>
        <w:tabs>
          <w:tab w:pos="816" w:val="left" w:leader="none"/>
        </w:tabs>
        <w:spacing w:line="299" w:lineRule="exact" w:before="0" w:after="0"/>
        <w:ind w:left="816" w:right="0" w:hanging="530"/>
        <w:jc w:val="left"/>
        <w:rPr>
          <w:rFonts w:ascii="微软雅黑" w:eastAsia="微软雅黑"/>
          <w:b/>
          <w:sz w:val="21"/>
        </w:rPr>
      </w:pPr>
      <w:r>
        <w:rPr>
          <w:rFonts w:ascii="微软雅黑" w:eastAsia="微软雅黑"/>
          <w:b/>
          <w:spacing w:val="-3"/>
          <w:sz w:val="21"/>
        </w:rPr>
        <w:t>第五次重大疾病保险金</w:t>
      </w:r>
    </w:p>
    <w:p>
      <w:pPr>
        <w:pStyle w:val="BodyText"/>
        <w:spacing w:line="246" w:lineRule="exact"/>
        <w:ind w:left="286"/>
      </w:pPr>
      <w:r>
        <w:rPr>
          <w:spacing w:val="-3"/>
        </w:rPr>
        <w:t>我们给付第四次重大疾病保险金后，若被保险人自第四次重大疾病确诊之</w:t>
      </w:r>
    </w:p>
    <w:p>
      <w:pPr>
        <w:pStyle w:val="BodyText"/>
        <w:spacing w:line="242" w:lineRule="auto" w:before="3"/>
        <w:ind w:left="286" w:right="333"/>
        <w:jc w:val="both"/>
      </w:pPr>
      <w:r>
        <w:rPr>
          <w:spacing w:val="-10"/>
        </w:rPr>
        <w:t>日起 </w:t>
      </w:r>
      <w:r>
        <w:rPr>
          <w:spacing w:val="-2"/>
        </w:rPr>
        <w:t>180</w:t>
      </w:r>
      <w:r>
        <w:rPr>
          <w:spacing w:val="-7"/>
        </w:rPr>
        <w:t> 日后，经我们认可医院的专科医生初次确诊患有本合同所列的第</w:t>
      </w:r>
      <w:r>
        <w:rPr>
          <w:spacing w:val="-2"/>
        </w:rPr>
        <w:t>一、二、三、四次重大疾病所属组别以外其他组别中的重大疾病，我们将</w:t>
      </w:r>
      <w:r>
        <w:rPr>
          <w:spacing w:val="-2"/>
        </w:rPr>
        <w:t>按本合同的基本保险金额给付第五次重大疾病保险金，该种重大疾病所属</w:t>
      </w:r>
      <w:r>
        <w:rPr>
          <w:spacing w:val="-2"/>
        </w:rPr>
        <w:t>组别的重大疾病保险金责任终止。</w:t>
      </w:r>
    </w:p>
    <w:p>
      <w:pPr>
        <w:pStyle w:val="ListParagraph"/>
        <w:numPr>
          <w:ilvl w:val="0"/>
          <w:numId w:val="8"/>
        </w:numPr>
        <w:tabs>
          <w:tab w:pos="816" w:val="left" w:leader="none"/>
        </w:tabs>
        <w:spacing w:line="299" w:lineRule="exact" w:before="0" w:after="0"/>
        <w:ind w:left="816" w:right="0" w:hanging="530"/>
        <w:jc w:val="left"/>
        <w:rPr>
          <w:rFonts w:ascii="微软雅黑" w:eastAsia="微软雅黑"/>
          <w:b/>
          <w:sz w:val="21"/>
        </w:rPr>
      </w:pPr>
      <w:r>
        <w:rPr>
          <w:rFonts w:ascii="微软雅黑" w:eastAsia="微软雅黑"/>
          <w:b/>
          <w:spacing w:val="-3"/>
          <w:sz w:val="21"/>
        </w:rPr>
        <w:t>第六次重大疾病保险金</w:t>
      </w:r>
    </w:p>
    <w:p>
      <w:pPr>
        <w:pStyle w:val="BodyText"/>
        <w:spacing w:line="246" w:lineRule="exact"/>
        <w:ind w:left="286"/>
      </w:pPr>
      <w:r>
        <w:rPr>
          <w:spacing w:val="-3"/>
        </w:rPr>
        <w:t>我们给付第五次重大疾病保险金后，若被保险人自第五次重大疾病确诊之</w:t>
      </w:r>
    </w:p>
    <w:p>
      <w:pPr>
        <w:pStyle w:val="BodyText"/>
        <w:spacing w:line="242" w:lineRule="auto" w:before="2"/>
        <w:ind w:left="286" w:right="333"/>
        <w:jc w:val="both"/>
      </w:pPr>
      <w:r>
        <w:rPr>
          <w:w w:val="95"/>
        </w:rPr>
        <w:t>日</w:t>
      </w:r>
      <w:r>
        <w:rPr>
          <w:w w:val="95"/>
        </w:rPr>
        <w:t>起</w:t>
      </w:r>
      <w:r>
        <w:rPr>
          <w:spacing w:val="32"/>
        </w:rPr>
        <w:t> </w:t>
      </w:r>
      <w:r>
        <w:rPr>
          <w:w w:val="95"/>
        </w:rPr>
        <w:t>180</w:t>
      </w:r>
      <w:r>
        <w:rPr>
          <w:spacing w:val="32"/>
        </w:rPr>
        <w:t> </w:t>
      </w:r>
      <w:r>
        <w:rPr>
          <w:w w:val="95"/>
        </w:rPr>
        <w:t>日后，经我们认</w:t>
      </w:r>
      <w:r>
        <w:rPr>
          <w:w w:val="95"/>
        </w:rPr>
        <w:t>可</w:t>
      </w:r>
      <w:r>
        <w:rPr>
          <w:w w:val="95"/>
        </w:rPr>
        <w:t>医</w:t>
      </w:r>
      <w:r>
        <w:rPr>
          <w:w w:val="95"/>
        </w:rPr>
        <w:t>院的专科医生初次确</w:t>
      </w:r>
      <w:r>
        <w:rPr>
          <w:w w:val="95"/>
        </w:rPr>
        <w:t>诊</w:t>
      </w:r>
      <w:r>
        <w:rPr>
          <w:w w:val="95"/>
        </w:rPr>
        <w:t>患</w:t>
      </w:r>
      <w:r>
        <w:rPr>
          <w:w w:val="95"/>
        </w:rPr>
        <w:t>有本合同所列的</w:t>
      </w:r>
      <w:r>
        <w:rPr>
          <w:w w:val="95"/>
        </w:rPr>
        <w:t>第</w:t>
      </w:r>
      <w:r>
        <w:rPr>
          <w:spacing w:val="-2"/>
        </w:rPr>
        <w:t>一、二、三、四、五次重大疾病所属组别以外其他组别中的重大疾病，我</w:t>
      </w:r>
      <w:r>
        <w:rPr>
          <w:spacing w:val="-2"/>
        </w:rPr>
        <w:t>们将按本合同的基本保险金额给付第六次重大疾病保险金，重大疾病保险</w:t>
      </w:r>
      <w:r>
        <w:rPr>
          <w:spacing w:val="-2"/>
        </w:rPr>
        <w:t>金责任终止。</w:t>
      </w:r>
    </w:p>
    <w:p>
      <w:pPr>
        <w:spacing w:after="0" w:line="242" w:lineRule="auto"/>
        <w:jc w:val="both"/>
        <w:sectPr>
          <w:type w:val="continuous"/>
          <w:pgSz w:w="11910" w:h="16840"/>
          <w:pgMar w:header="877" w:footer="0" w:top="1100" w:bottom="280" w:left="1060" w:right="980"/>
          <w:cols w:num="2" w:equalWidth="0">
            <w:col w:w="2479" w:space="40"/>
            <w:col w:w="7351"/>
          </w:cols>
        </w:sectPr>
      </w:pPr>
    </w:p>
    <w:p>
      <w:pPr>
        <w:pStyle w:val="BodyText"/>
        <w:spacing w:before="5"/>
        <w:rPr>
          <w:sz w:val="12"/>
        </w:rPr>
      </w:pPr>
    </w:p>
    <w:p>
      <w:pPr>
        <w:pStyle w:val="BodyText"/>
        <w:tabs>
          <w:tab w:pos="2804" w:val="left" w:leader="none"/>
        </w:tabs>
        <w:spacing w:before="4"/>
        <w:ind w:left="1210"/>
      </w:pPr>
      <w:r>
        <w:rPr>
          <w:rFonts w:ascii="微软雅黑" w:eastAsia="微软雅黑"/>
          <w:b/>
        </w:rPr>
        <w:t>重大疾病特</w:t>
      </w:r>
      <w:r>
        <w:rPr>
          <w:rFonts w:ascii="微软雅黑" w:eastAsia="微软雅黑"/>
          <w:b/>
          <w:spacing w:val="-10"/>
        </w:rPr>
        <w:t>别</w:t>
      </w:r>
      <w:r>
        <w:rPr>
          <w:rFonts w:ascii="微软雅黑" w:eastAsia="微软雅黑"/>
          <w:b/>
        </w:rPr>
        <w:tab/>
      </w:r>
      <w:r>
        <w:rPr/>
        <w:t>若投保时被保险人年龄未满</w:t>
      </w:r>
      <w:r>
        <w:rPr>
          <w:spacing w:val="-10"/>
        </w:rPr>
        <w:t> </w:t>
      </w:r>
      <w:r>
        <w:rPr/>
        <w:t>18</w:t>
      </w:r>
      <w:r>
        <w:rPr>
          <w:spacing w:val="-12"/>
        </w:rPr>
        <w:t> </w:t>
      </w:r>
      <w:r>
        <w:rPr/>
        <w:t>周岁，则在被保险</w:t>
      </w:r>
      <w:r>
        <w:rPr/>
        <w:t>人于</w:t>
      </w:r>
      <w:r>
        <w:rPr>
          <w:spacing w:val="-9"/>
        </w:rPr>
        <w:t> </w:t>
      </w:r>
      <w:r>
        <w:rPr/>
        <w:t>18</w:t>
      </w:r>
      <w:r>
        <w:rPr>
          <w:spacing w:val="-9"/>
        </w:rPr>
        <w:t> </w:t>
      </w:r>
      <w:r>
        <w:rPr/>
        <w:t>周岁之前（</w:t>
      </w:r>
      <w:r>
        <w:rPr>
          <w:spacing w:val="-10"/>
        </w:rPr>
        <w:t>不</w:t>
      </w:r>
    </w:p>
    <w:p>
      <w:pPr>
        <w:pStyle w:val="BodyText"/>
        <w:spacing w:before="7"/>
        <w:rPr>
          <w:sz w:val="14"/>
        </w:rPr>
      </w:pPr>
      <w:r>
        <w:rPr/>
        <w:drawing>
          <wp:anchor distT="0" distB="0" distL="0" distR="0" allowOverlap="1" layoutInCell="1" locked="0" behindDoc="0" simplePos="0" relativeHeight="4">
            <wp:simplePos x="0" y="0"/>
            <wp:positionH relativeFrom="page">
              <wp:posOffset>762304</wp:posOffset>
            </wp:positionH>
            <wp:positionV relativeFrom="paragraph">
              <wp:posOffset>133646</wp:posOffset>
            </wp:positionV>
            <wp:extent cx="1829130" cy="6096"/>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10" cstate="print"/>
                    <a:stretch>
                      <a:fillRect/>
                    </a:stretch>
                  </pic:blipFill>
                  <pic:spPr>
                    <a:xfrm>
                      <a:off x="0" y="0"/>
                      <a:ext cx="1829130" cy="6096"/>
                    </a:xfrm>
                    <a:prstGeom prst="rect">
                      <a:avLst/>
                    </a:prstGeom>
                  </pic:spPr>
                </pic:pic>
              </a:graphicData>
            </a:graphic>
          </wp:anchor>
        </w:drawing>
      </w:r>
    </w:p>
    <w:p>
      <w:pPr>
        <w:spacing w:line="168" w:lineRule="auto" w:before="115"/>
        <w:ind w:left="320" w:right="242" w:hanging="180"/>
        <w:jc w:val="left"/>
        <w:rPr>
          <w:rFonts w:ascii="微软雅黑" w:eastAsia="微软雅黑"/>
          <w:b/>
          <w:sz w:val="21"/>
        </w:rPr>
      </w:pPr>
      <w:r>
        <w:rPr>
          <w:rFonts w:ascii="Times New Roman" w:eastAsia="Times New Roman"/>
          <w:position w:val="6"/>
          <w:sz w:val="12"/>
        </w:rPr>
        <w:t>14</w:t>
      </w:r>
      <w:r>
        <w:rPr>
          <w:rFonts w:ascii="Times New Roman" w:eastAsia="Times New Roman"/>
          <w:spacing w:val="57"/>
          <w:position w:val="6"/>
          <w:sz w:val="12"/>
        </w:rPr>
        <w:t> </w:t>
      </w:r>
      <w:r>
        <w:rPr>
          <w:rFonts w:ascii="微软雅黑" w:eastAsia="微软雅黑"/>
          <w:b/>
          <w:sz w:val="21"/>
        </w:rPr>
        <w:t>初次确诊</w:t>
      </w:r>
      <w:r>
        <w:rPr>
          <w:sz w:val="21"/>
        </w:rPr>
        <w:t>：指自被保险人出生之日起第一次经医院的专科医生确诊患有某种疾病，</w:t>
      </w:r>
      <w:r>
        <w:rPr>
          <w:rFonts w:ascii="微软雅黑" w:eastAsia="微软雅黑"/>
          <w:b/>
          <w:sz w:val="21"/>
        </w:rPr>
        <w:t>而不是指自本合同</w:t>
      </w:r>
      <w:r>
        <w:rPr>
          <w:rFonts w:ascii="微软雅黑" w:eastAsia="微软雅黑"/>
          <w:b/>
          <w:spacing w:val="-2"/>
          <w:sz w:val="21"/>
        </w:rPr>
        <w:t>生效之后第一次经医院的专科医生确诊患有某种疾病。</w:t>
      </w:r>
    </w:p>
    <w:p>
      <w:pPr>
        <w:spacing w:after="0" w:line="168" w:lineRule="auto"/>
        <w:jc w:val="left"/>
        <w:rPr>
          <w:rFonts w:ascii="微软雅黑" w:eastAsia="微软雅黑"/>
          <w:sz w:val="21"/>
        </w:rPr>
        <w:sectPr>
          <w:type w:val="continuous"/>
          <w:pgSz w:w="11910" w:h="16840"/>
          <w:pgMar w:header="877" w:footer="0" w:top="1100" w:bottom="280" w:left="1060" w:right="980"/>
        </w:sectPr>
      </w:pPr>
    </w:p>
    <w:p>
      <w:pPr>
        <w:pStyle w:val="BodyText"/>
        <w:tabs>
          <w:tab w:pos="2804" w:val="left" w:leader="none"/>
        </w:tabs>
        <w:spacing w:line="204" w:lineRule="auto" w:before="57"/>
        <w:ind w:left="2805" w:right="333" w:hanging="1595"/>
      </w:pPr>
      <w:r>
        <w:rPr>
          <w:rFonts w:ascii="微软雅黑" w:eastAsia="微软雅黑"/>
          <w:b/>
          <w:spacing w:val="-2"/>
        </w:rPr>
        <w:t>关</w:t>
      </w:r>
      <w:r>
        <w:rPr>
          <w:rFonts w:ascii="微软雅黑" w:eastAsia="微软雅黑"/>
          <w:b/>
          <w:spacing w:val="-2"/>
        </w:rPr>
        <w:t>爱</w:t>
      </w:r>
      <w:r>
        <w:rPr>
          <w:rFonts w:ascii="微软雅黑" w:eastAsia="微软雅黑"/>
          <w:b/>
          <w:spacing w:val="-2"/>
        </w:rPr>
        <w:t>保</w:t>
      </w:r>
      <w:r>
        <w:rPr>
          <w:rFonts w:ascii="微软雅黑" w:eastAsia="微软雅黑"/>
          <w:b/>
          <w:spacing w:val="-2"/>
        </w:rPr>
        <w:t>险</w:t>
      </w:r>
      <w:r>
        <w:rPr>
          <w:rFonts w:ascii="微软雅黑" w:eastAsia="微软雅黑"/>
          <w:b/>
          <w:spacing w:val="-2"/>
        </w:rPr>
        <w:t>金</w:t>
      </w:r>
      <w:r>
        <w:rPr>
          <w:rFonts w:ascii="微软雅黑" w:eastAsia="微软雅黑"/>
          <w:b/>
        </w:rPr>
        <w:tab/>
      </w:r>
      <w:r>
        <w:rPr/>
        <w:t>含</w:t>
      </w:r>
      <w:r>
        <w:rPr>
          <w:spacing w:val="-4"/>
        </w:rPr>
        <w:t> </w:t>
      </w:r>
      <w:r>
        <w:rPr/>
        <w:t>18</w:t>
      </w:r>
      <w:r>
        <w:rPr>
          <w:spacing w:val="-6"/>
        </w:rPr>
        <w:t> </w:t>
      </w:r>
      <w:r>
        <w:rPr/>
        <w:t>周岁）或于</w:t>
      </w:r>
      <w:r>
        <w:rPr>
          <w:spacing w:val="-4"/>
        </w:rPr>
        <w:t> </w:t>
      </w:r>
      <w:r>
        <w:rPr/>
        <w:t>60</w:t>
      </w:r>
      <w:r>
        <w:rPr>
          <w:spacing w:val="-4"/>
        </w:rPr>
        <w:t> </w:t>
      </w:r>
      <w:r>
        <w:rPr/>
        <w:t>周</w:t>
      </w:r>
      <w:r>
        <w:rPr/>
        <w:t>岁之后（含</w:t>
      </w:r>
      <w:r>
        <w:rPr>
          <w:spacing w:val="-6"/>
        </w:rPr>
        <w:t> </w:t>
      </w:r>
      <w:r>
        <w:rPr/>
        <w:t>60</w:t>
      </w:r>
      <w:r>
        <w:rPr>
          <w:spacing w:val="-6"/>
        </w:rPr>
        <w:t> </w:t>
      </w:r>
      <w:r>
        <w:rPr/>
        <w:t>周岁），</w:t>
      </w:r>
      <w:r>
        <w:rPr/>
        <w:t>因意外伤害或在等待</w:t>
      </w:r>
      <w:r>
        <w:rPr/>
        <w:t>期</w:t>
      </w:r>
      <w:r>
        <w:rPr>
          <w:spacing w:val="-2"/>
        </w:rPr>
        <w:t>后</w:t>
      </w:r>
      <w:r>
        <w:rPr>
          <w:spacing w:val="-2"/>
        </w:rPr>
        <w:t>因</w:t>
      </w:r>
      <w:r>
        <w:rPr>
          <w:spacing w:val="-2"/>
        </w:rPr>
        <w:t>非意外伤害原因初次</w:t>
      </w:r>
      <w:r>
        <w:rPr>
          <w:spacing w:val="-2"/>
        </w:rPr>
        <w:t>确</w:t>
      </w:r>
      <w:r>
        <w:rPr>
          <w:spacing w:val="-2"/>
        </w:rPr>
        <w:t>诊</w:t>
      </w:r>
      <w:r>
        <w:rPr>
          <w:spacing w:val="-2"/>
        </w:rPr>
        <w:t>患本合同约定的重大</w:t>
      </w:r>
      <w:r>
        <w:rPr>
          <w:spacing w:val="-2"/>
        </w:rPr>
        <w:t>疾</w:t>
      </w:r>
      <w:r>
        <w:rPr>
          <w:spacing w:val="-2"/>
        </w:rPr>
        <w:t>病</w:t>
      </w:r>
      <w:r>
        <w:rPr>
          <w:spacing w:val="-2"/>
        </w:rPr>
        <w:t>，我们在给付</w:t>
      </w:r>
      <w:r>
        <w:rPr>
          <w:spacing w:val="-2"/>
        </w:rPr>
        <w:t>重</w:t>
      </w:r>
      <w:r>
        <w:rPr>
          <w:spacing w:val="-10"/>
        </w:rPr>
        <w:t>大</w:t>
      </w:r>
    </w:p>
    <w:p>
      <w:pPr>
        <w:pStyle w:val="BodyText"/>
        <w:spacing w:line="242" w:lineRule="auto" w:before="13"/>
        <w:ind w:left="2805" w:right="333"/>
      </w:pPr>
      <w:r>
        <w:rPr>
          <w:spacing w:val="-2"/>
        </w:rPr>
        <w:t>疾病保险金的同时，还将按本合同的基本保险金额给付重大疾病特别关爱</w:t>
      </w:r>
      <w:r>
        <w:rPr>
          <w:spacing w:val="-6"/>
        </w:rPr>
        <w:t>金。</w:t>
      </w:r>
    </w:p>
    <w:p>
      <w:pPr>
        <w:pStyle w:val="BodyText"/>
        <w:spacing w:before="1"/>
        <w:ind w:left="2805"/>
        <w:jc w:val="both"/>
      </w:pPr>
      <w:r>
        <w:rPr>
          <w:spacing w:val="-1"/>
        </w:rPr>
        <w:t>若投保时被保险人年龄已满 </w:t>
      </w:r>
      <w:r>
        <w:rPr/>
        <w:t>18</w:t>
      </w:r>
      <w:r>
        <w:rPr>
          <w:spacing w:val="-4"/>
        </w:rPr>
        <w:t> 周岁，则在被保险人于 </w:t>
      </w:r>
      <w:r>
        <w:rPr/>
        <w:t>70</w:t>
      </w:r>
      <w:r>
        <w:rPr>
          <w:spacing w:val="-3"/>
        </w:rPr>
        <w:t> 周岁之后</w:t>
      </w:r>
      <w:r>
        <w:rPr/>
        <w:t>（</w:t>
      </w:r>
      <w:r>
        <w:rPr>
          <w:spacing w:val="-10"/>
        </w:rPr>
        <w:t>含</w:t>
      </w:r>
    </w:p>
    <w:p>
      <w:pPr>
        <w:pStyle w:val="BodyText"/>
        <w:spacing w:line="242" w:lineRule="auto" w:before="2"/>
        <w:ind w:left="2805" w:right="326"/>
        <w:jc w:val="both"/>
      </w:pPr>
      <w:r>
        <w:rPr>
          <w:spacing w:val="-4"/>
        </w:rPr>
        <w:t>70 周岁），因意外伤害或在等待期后因非意外伤害原因初次确诊患本合同</w:t>
      </w:r>
      <w:r>
        <w:rPr>
          <w:spacing w:val="-2"/>
        </w:rPr>
        <w:t>约定的重大疾病，我们在给付重大疾病保险金的同时，还将按本合同的基</w:t>
      </w:r>
      <w:r>
        <w:rPr>
          <w:spacing w:val="-2"/>
        </w:rPr>
        <w:t>本保险金额给付重大疾病特别关爱金。</w:t>
      </w:r>
    </w:p>
    <w:p>
      <w:pPr>
        <w:spacing w:line="168" w:lineRule="auto" w:before="20"/>
        <w:ind w:left="2805" w:right="326" w:firstLine="0"/>
        <w:jc w:val="both"/>
        <w:rPr>
          <w:rFonts w:ascii="微软雅黑" w:eastAsia="微软雅黑"/>
          <w:b/>
          <w:sz w:val="21"/>
        </w:rPr>
      </w:pPr>
      <w:r>
        <w:rPr>
          <w:rFonts w:ascii="微软雅黑" w:eastAsia="微软雅黑"/>
          <w:b/>
          <w:spacing w:val="-2"/>
          <w:sz w:val="21"/>
        </w:rPr>
        <w:t>每组重大疾病特别关爱保险金的给付次数以一次为限，给付后该组重大疾</w:t>
      </w:r>
      <w:r>
        <w:rPr>
          <w:rFonts w:ascii="微软雅黑" w:eastAsia="微软雅黑"/>
          <w:b/>
          <w:spacing w:val="-2"/>
          <w:sz w:val="21"/>
        </w:rPr>
        <w:t>病特别关爱保险金的保险责任终止。本合同重大疾病特别关爱保险金的累</w:t>
      </w:r>
      <w:r>
        <w:rPr>
          <w:rFonts w:ascii="微软雅黑" w:eastAsia="微软雅黑"/>
          <w:b/>
          <w:spacing w:val="-2"/>
          <w:sz w:val="21"/>
        </w:rPr>
        <w:t>计给付次数以六次为限，当累计给付达到六次时，重大疾病特别关爱保险</w:t>
      </w:r>
      <w:r>
        <w:rPr>
          <w:rFonts w:ascii="微软雅黑" w:eastAsia="微软雅黑"/>
          <w:b/>
          <w:spacing w:val="-2"/>
          <w:sz w:val="21"/>
        </w:rPr>
        <w:t>金责任终止。</w:t>
      </w:r>
    </w:p>
    <w:p>
      <w:pPr>
        <w:pStyle w:val="BodyText"/>
        <w:spacing w:before="5"/>
        <w:rPr>
          <w:rFonts w:ascii="微软雅黑"/>
          <w:b/>
          <w:sz w:val="10"/>
        </w:rPr>
      </w:pPr>
    </w:p>
    <w:p>
      <w:pPr>
        <w:spacing w:after="0"/>
        <w:rPr>
          <w:rFonts w:ascii="微软雅黑"/>
          <w:sz w:val="10"/>
        </w:rPr>
        <w:sectPr>
          <w:pgSz w:w="11910" w:h="16840"/>
          <w:pgMar w:header="877" w:footer="0" w:top="1100" w:bottom="280" w:left="1060" w:right="980"/>
        </w:sectPr>
      </w:pPr>
    </w:p>
    <w:p>
      <w:pPr>
        <w:spacing w:line="170" w:lineRule="auto" w:before="85"/>
        <w:ind w:left="1210" w:right="0" w:firstLine="0"/>
        <w:jc w:val="left"/>
        <w:rPr>
          <w:rFonts w:ascii="微软雅黑" w:eastAsia="微软雅黑"/>
          <w:b/>
          <w:sz w:val="21"/>
        </w:rPr>
      </w:pPr>
      <w:r>
        <w:rPr>
          <w:rFonts w:ascii="微软雅黑" w:eastAsia="微软雅黑"/>
          <w:b/>
          <w:spacing w:val="-2"/>
          <w:sz w:val="21"/>
        </w:rPr>
        <w:t>中症疾病保险</w:t>
      </w:r>
      <w:r>
        <w:rPr>
          <w:rFonts w:ascii="微软雅黑" w:eastAsia="微软雅黑"/>
          <w:b/>
          <w:spacing w:val="-10"/>
          <w:sz w:val="21"/>
        </w:rPr>
        <w:t>金</w:t>
      </w:r>
    </w:p>
    <w:p>
      <w:pPr>
        <w:spacing w:line="180" w:lineRule="auto" w:before="124"/>
        <w:ind w:left="286" w:right="326" w:firstLine="0"/>
        <w:jc w:val="both"/>
        <w:rPr>
          <w:rFonts w:ascii="微软雅黑" w:eastAsia="微软雅黑"/>
          <w:b/>
          <w:sz w:val="21"/>
        </w:rPr>
      </w:pPr>
      <w:r>
        <w:rPr/>
        <w:br w:type="column"/>
      </w:r>
      <w:r>
        <w:rPr>
          <w:spacing w:val="-2"/>
          <w:sz w:val="21"/>
        </w:rPr>
        <w:t>被保险人因意外伤害或在等待期后因非意外伤害原因经我们认可医院的专</w:t>
      </w:r>
      <w:r>
        <w:rPr>
          <w:spacing w:val="-2"/>
          <w:sz w:val="21"/>
        </w:rPr>
        <w:t>科医生初次确诊患有本合同约定的中症疾病，</w:t>
      </w:r>
      <w:r>
        <w:rPr>
          <w:rFonts w:ascii="微软雅黑" w:eastAsia="微软雅黑"/>
          <w:b/>
          <w:spacing w:val="-2"/>
          <w:sz w:val="21"/>
        </w:rPr>
        <w:t>我们将按照基本保险金额的 60%</w:t>
      </w:r>
      <w:r>
        <w:rPr>
          <w:rFonts w:ascii="微软雅黑" w:eastAsia="微软雅黑"/>
          <w:b/>
          <w:spacing w:val="-2"/>
          <w:sz w:val="21"/>
        </w:rPr>
        <w:t>给付中症疾病保险金。</w:t>
      </w:r>
    </w:p>
    <w:p>
      <w:pPr>
        <w:spacing w:line="168" w:lineRule="auto" w:before="0"/>
        <w:ind w:left="286" w:right="326" w:firstLine="0"/>
        <w:jc w:val="both"/>
        <w:rPr>
          <w:rFonts w:ascii="微软雅黑" w:eastAsia="微软雅黑"/>
          <w:b/>
          <w:sz w:val="21"/>
        </w:rPr>
      </w:pPr>
      <w:r>
        <w:rPr>
          <w:rFonts w:ascii="微软雅黑" w:eastAsia="微软雅黑"/>
          <w:b/>
          <w:spacing w:val="-2"/>
          <w:sz w:val="21"/>
        </w:rPr>
        <w:t>每种中症疾病的给付次数以一次为限，给付后对该种中症疾病的保险责任</w:t>
      </w:r>
      <w:r>
        <w:rPr>
          <w:rFonts w:ascii="微软雅黑" w:eastAsia="微软雅黑"/>
          <w:b/>
          <w:spacing w:val="-2"/>
          <w:sz w:val="21"/>
        </w:rPr>
        <w:t>终止。不同中症疾病可以多次给付，但本合同的中症疾病保险金累计给付</w:t>
      </w:r>
      <w:r>
        <w:rPr>
          <w:rFonts w:ascii="微软雅黑" w:eastAsia="微软雅黑"/>
          <w:b/>
          <w:spacing w:val="-2"/>
          <w:sz w:val="21"/>
        </w:rPr>
        <w:t>次数以二次为限。当中症疾病保险金累计给付次数达到二次时，中症疾病</w:t>
      </w:r>
      <w:r>
        <w:rPr>
          <w:rFonts w:ascii="微软雅黑" w:eastAsia="微软雅黑"/>
          <w:b/>
          <w:spacing w:val="-2"/>
          <w:sz w:val="21"/>
        </w:rPr>
        <w:t>保险金责任终止。</w:t>
      </w:r>
    </w:p>
    <w:p>
      <w:pPr>
        <w:spacing w:after="0" w:line="168" w:lineRule="auto"/>
        <w:jc w:val="both"/>
        <w:rPr>
          <w:rFonts w:ascii="微软雅黑" w:eastAsia="微软雅黑"/>
          <w:sz w:val="21"/>
        </w:rPr>
        <w:sectPr>
          <w:type w:val="continuous"/>
          <w:pgSz w:w="11910" w:h="16840"/>
          <w:pgMar w:header="877" w:footer="0" w:top="1100" w:bottom="280" w:left="1060" w:right="980"/>
          <w:cols w:num="2" w:equalWidth="0">
            <w:col w:w="2479" w:space="40"/>
            <w:col w:w="7351"/>
          </w:cols>
        </w:sectPr>
      </w:pPr>
    </w:p>
    <w:p>
      <w:pPr>
        <w:pStyle w:val="BodyText"/>
        <w:spacing w:before="14"/>
        <w:rPr>
          <w:rFonts w:ascii="微软雅黑"/>
          <w:b/>
          <w:sz w:val="7"/>
        </w:rPr>
      </w:pPr>
    </w:p>
    <w:p>
      <w:pPr>
        <w:spacing w:after="0"/>
        <w:rPr>
          <w:rFonts w:ascii="微软雅黑"/>
          <w:sz w:val="7"/>
        </w:rPr>
        <w:sectPr>
          <w:type w:val="continuous"/>
          <w:pgSz w:w="11910" w:h="16840"/>
          <w:pgMar w:header="877" w:footer="0" w:top="1100" w:bottom="280" w:left="1060" w:right="980"/>
        </w:sectPr>
      </w:pPr>
    </w:p>
    <w:p>
      <w:pPr>
        <w:spacing w:line="170" w:lineRule="auto" w:before="85"/>
        <w:ind w:left="1210" w:right="0" w:firstLine="0"/>
        <w:jc w:val="left"/>
        <w:rPr>
          <w:rFonts w:ascii="微软雅黑" w:eastAsia="微软雅黑"/>
          <w:b/>
          <w:sz w:val="21"/>
        </w:rPr>
      </w:pPr>
      <w:r>
        <w:rPr>
          <w:rFonts w:ascii="微软雅黑" w:eastAsia="微软雅黑"/>
          <w:b/>
          <w:spacing w:val="-2"/>
          <w:sz w:val="21"/>
        </w:rPr>
        <w:t>轻症疾病保险</w:t>
      </w:r>
      <w:r>
        <w:rPr>
          <w:rFonts w:ascii="微软雅黑" w:eastAsia="微软雅黑"/>
          <w:b/>
          <w:spacing w:val="-10"/>
          <w:sz w:val="21"/>
        </w:rPr>
        <w:t>金</w:t>
      </w:r>
    </w:p>
    <w:p>
      <w:pPr>
        <w:spacing w:line="180" w:lineRule="auto" w:before="125"/>
        <w:ind w:left="286" w:right="326" w:firstLine="0"/>
        <w:jc w:val="both"/>
        <w:rPr>
          <w:rFonts w:ascii="微软雅黑" w:eastAsia="微软雅黑"/>
          <w:b/>
          <w:sz w:val="21"/>
        </w:rPr>
      </w:pPr>
      <w:r>
        <w:rPr/>
        <w:br w:type="column"/>
      </w:r>
      <w:r>
        <w:rPr>
          <w:spacing w:val="-2"/>
          <w:sz w:val="21"/>
        </w:rPr>
        <w:t>被保险人因意外伤害或在等待期后因非意外伤害原因经我们认可医院的专</w:t>
      </w:r>
      <w:r>
        <w:rPr>
          <w:spacing w:val="-2"/>
          <w:sz w:val="21"/>
        </w:rPr>
        <w:t>科医生初次确诊患有本合同约定的轻症疾病，</w:t>
      </w:r>
      <w:r>
        <w:rPr>
          <w:rFonts w:ascii="微软雅黑" w:eastAsia="微软雅黑"/>
          <w:b/>
          <w:spacing w:val="-2"/>
          <w:sz w:val="21"/>
        </w:rPr>
        <w:t>我们将按照基本保险金额的 30%</w:t>
      </w:r>
      <w:r>
        <w:rPr>
          <w:rFonts w:ascii="微软雅黑" w:eastAsia="微软雅黑"/>
          <w:b/>
          <w:spacing w:val="-2"/>
          <w:sz w:val="21"/>
        </w:rPr>
        <w:t>给付轻症疾病保险金。</w:t>
      </w:r>
    </w:p>
    <w:p>
      <w:pPr>
        <w:spacing w:line="168" w:lineRule="auto" w:before="0"/>
        <w:ind w:left="286" w:right="326" w:firstLine="0"/>
        <w:jc w:val="both"/>
        <w:rPr>
          <w:rFonts w:ascii="微软雅黑" w:eastAsia="微软雅黑"/>
          <w:b/>
          <w:sz w:val="21"/>
        </w:rPr>
      </w:pPr>
      <w:r>
        <w:rPr>
          <w:rFonts w:ascii="微软雅黑" w:eastAsia="微软雅黑"/>
          <w:b/>
          <w:spacing w:val="-2"/>
          <w:sz w:val="21"/>
        </w:rPr>
        <w:t>每种轻症疾病的给付次数以一次为限，给付后对该种轻症疾病的保险责任</w:t>
      </w:r>
      <w:r>
        <w:rPr>
          <w:rFonts w:ascii="微软雅黑" w:eastAsia="微软雅黑"/>
          <w:b/>
          <w:spacing w:val="-2"/>
          <w:sz w:val="21"/>
        </w:rPr>
        <w:t>终止。不同轻症疾病可以多次给付，但本合同的轻症疾病保险金累计给付</w:t>
      </w:r>
      <w:r>
        <w:rPr>
          <w:rFonts w:ascii="微软雅黑" w:eastAsia="微软雅黑"/>
          <w:b/>
          <w:spacing w:val="-2"/>
          <w:sz w:val="21"/>
        </w:rPr>
        <w:t>次数以四次为限。当轻症疾病保险金累计给付次数达到四次时，轻症疾病</w:t>
      </w:r>
      <w:r>
        <w:rPr>
          <w:rFonts w:ascii="微软雅黑" w:eastAsia="微软雅黑"/>
          <w:b/>
          <w:spacing w:val="-2"/>
          <w:sz w:val="21"/>
        </w:rPr>
        <w:t>保险金责任终止。</w:t>
      </w:r>
    </w:p>
    <w:p>
      <w:pPr>
        <w:spacing w:after="0" w:line="168" w:lineRule="auto"/>
        <w:jc w:val="both"/>
        <w:rPr>
          <w:rFonts w:ascii="微软雅黑" w:eastAsia="微软雅黑"/>
          <w:sz w:val="21"/>
        </w:rPr>
        <w:sectPr>
          <w:type w:val="continuous"/>
          <w:pgSz w:w="11910" w:h="16840"/>
          <w:pgMar w:header="877" w:footer="0" w:top="1100" w:bottom="280" w:left="1060" w:right="980"/>
          <w:cols w:num="2" w:equalWidth="0">
            <w:col w:w="2479" w:space="40"/>
            <w:col w:w="7351"/>
          </w:cols>
        </w:sectPr>
      </w:pPr>
    </w:p>
    <w:p>
      <w:pPr>
        <w:pStyle w:val="BodyText"/>
        <w:spacing w:before="14"/>
        <w:rPr>
          <w:rFonts w:ascii="微软雅黑"/>
          <w:b/>
          <w:sz w:val="7"/>
        </w:rPr>
      </w:pPr>
    </w:p>
    <w:p>
      <w:pPr>
        <w:spacing w:after="0"/>
        <w:rPr>
          <w:rFonts w:ascii="微软雅黑"/>
          <w:sz w:val="7"/>
        </w:rPr>
        <w:sectPr>
          <w:type w:val="continuous"/>
          <w:pgSz w:w="11910" w:h="16840"/>
          <w:pgMar w:header="877" w:footer="0" w:top="1100" w:bottom="280" w:left="1060" w:right="980"/>
        </w:sectPr>
      </w:pPr>
    </w:p>
    <w:p>
      <w:pPr>
        <w:spacing w:line="168" w:lineRule="auto" w:before="88"/>
        <w:ind w:left="1210" w:right="0" w:firstLine="0"/>
        <w:jc w:val="both"/>
        <w:rPr>
          <w:rFonts w:ascii="微软雅黑" w:eastAsia="微软雅黑"/>
          <w:b/>
          <w:sz w:val="21"/>
        </w:rPr>
      </w:pPr>
      <w:r>
        <w:rPr>
          <w:rFonts w:ascii="微软雅黑" w:eastAsia="微软雅黑"/>
          <w:b/>
          <w:spacing w:val="-2"/>
          <w:sz w:val="21"/>
        </w:rPr>
        <w:t>重大疾病/中症</w:t>
      </w:r>
      <w:r>
        <w:rPr>
          <w:rFonts w:ascii="微软雅黑" w:eastAsia="微软雅黑"/>
          <w:b/>
          <w:spacing w:val="-2"/>
          <w:sz w:val="21"/>
        </w:rPr>
        <w:t>疾病/</w:t>
      </w:r>
      <w:r>
        <w:rPr>
          <w:rFonts w:ascii="微软雅黑" w:eastAsia="微软雅黑"/>
          <w:b/>
          <w:spacing w:val="-2"/>
          <w:sz w:val="21"/>
        </w:rPr>
        <w:t>轻症疾病</w:t>
      </w:r>
      <w:r>
        <w:rPr>
          <w:rFonts w:ascii="微软雅黑" w:eastAsia="微软雅黑"/>
          <w:b/>
          <w:spacing w:val="-2"/>
          <w:sz w:val="21"/>
        </w:rPr>
        <w:t>豁免保险费</w:t>
      </w:r>
    </w:p>
    <w:p>
      <w:pPr>
        <w:pStyle w:val="BodyText"/>
        <w:spacing w:before="72"/>
        <w:ind w:left="181"/>
      </w:pPr>
      <w:r>
        <w:rPr/>
        <w:br w:type="column"/>
      </w:r>
      <w:r>
        <w:rPr>
          <w:spacing w:val="-3"/>
        </w:rPr>
        <w:t>被保险人因意外伤害或在等待期后因非意外伤害原因经我们认可医院的专</w:t>
      </w:r>
    </w:p>
    <w:p>
      <w:pPr>
        <w:spacing w:line="180" w:lineRule="auto" w:before="57"/>
        <w:ind w:left="181" w:right="326" w:firstLine="0"/>
        <w:jc w:val="both"/>
        <w:rPr>
          <w:rFonts w:ascii="微软雅黑" w:eastAsia="微软雅黑"/>
          <w:b/>
          <w:sz w:val="21"/>
        </w:rPr>
      </w:pPr>
      <w:r>
        <w:rPr>
          <w:spacing w:val="-2"/>
          <w:sz w:val="21"/>
        </w:rPr>
        <w:t>科医生初次确诊患有本合同约定的重大疾病、中症疾病或轻症疾病，我们</w:t>
      </w:r>
      <w:r>
        <w:rPr>
          <w:spacing w:val="-2"/>
          <w:sz w:val="21"/>
        </w:rPr>
        <w:t>豁免自确诊之日起本合同剩余各期应交保险费，</w:t>
      </w:r>
      <w:r>
        <w:rPr>
          <w:rFonts w:ascii="微软雅黑" w:eastAsia="微软雅黑"/>
          <w:b/>
          <w:spacing w:val="-2"/>
          <w:sz w:val="21"/>
        </w:rPr>
        <w:t>但不包含被保险人确诊之</w:t>
      </w:r>
      <w:r>
        <w:rPr>
          <w:rFonts w:ascii="微软雅黑" w:eastAsia="微软雅黑"/>
          <w:b/>
          <w:spacing w:val="-2"/>
          <w:sz w:val="21"/>
        </w:rPr>
        <w:t>日前所欠交的保险费。</w:t>
      </w:r>
    </w:p>
    <w:p>
      <w:pPr>
        <w:spacing w:line="168" w:lineRule="auto" w:before="0"/>
        <w:ind w:left="181" w:right="326" w:firstLine="0"/>
        <w:jc w:val="left"/>
        <w:rPr>
          <w:rFonts w:ascii="微软雅黑" w:eastAsia="微软雅黑"/>
          <w:b/>
          <w:sz w:val="21"/>
        </w:rPr>
      </w:pPr>
      <w:r>
        <w:rPr>
          <w:spacing w:val="-2"/>
          <w:sz w:val="21"/>
        </w:rPr>
        <w:t>被豁免的保险费视为已交纳。</w:t>
      </w:r>
      <w:r>
        <w:rPr>
          <w:rFonts w:ascii="微软雅黑" w:eastAsia="微软雅黑"/>
          <w:b/>
          <w:spacing w:val="-2"/>
          <w:sz w:val="21"/>
        </w:rPr>
        <w:t>在豁免保险费期间，我们不接受本合同基本</w:t>
      </w:r>
      <w:r>
        <w:rPr>
          <w:rFonts w:ascii="微软雅黑" w:eastAsia="微软雅黑"/>
          <w:b/>
          <w:spacing w:val="-2"/>
          <w:sz w:val="21"/>
        </w:rPr>
        <w:t>保险金额以及交费方式的变更。</w:t>
      </w:r>
    </w:p>
    <w:p>
      <w:pPr>
        <w:spacing w:after="0" w:line="168" w:lineRule="auto"/>
        <w:jc w:val="left"/>
        <w:rPr>
          <w:rFonts w:ascii="微软雅黑" w:eastAsia="微软雅黑"/>
          <w:sz w:val="21"/>
        </w:rPr>
        <w:sectPr>
          <w:type w:val="continuous"/>
          <w:pgSz w:w="11910" w:h="16840"/>
          <w:pgMar w:header="877" w:footer="0" w:top="1100" w:bottom="280" w:left="1060" w:right="980"/>
          <w:cols w:num="2" w:equalWidth="0">
            <w:col w:w="2584" w:space="40"/>
            <w:col w:w="7246"/>
          </w:cols>
        </w:sectPr>
      </w:pPr>
    </w:p>
    <w:p>
      <w:pPr>
        <w:pStyle w:val="BodyText"/>
        <w:spacing w:before="9"/>
        <w:rPr>
          <w:rFonts w:ascii="微软雅黑"/>
          <w:b/>
          <w:sz w:val="7"/>
        </w:rPr>
      </w:pPr>
    </w:p>
    <w:p>
      <w:pPr>
        <w:spacing w:after="0"/>
        <w:rPr>
          <w:rFonts w:ascii="微软雅黑"/>
          <w:sz w:val="7"/>
        </w:rPr>
        <w:sectPr>
          <w:type w:val="continuous"/>
          <w:pgSz w:w="11910" w:h="16840"/>
          <w:pgMar w:header="877" w:footer="0" w:top="1100" w:bottom="280" w:left="1060" w:right="980"/>
        </w:sectPr>
      </w:pPr>
    </w:p>
    <w:p>
      <w:pPr>
        <w:spacing w:line="330" w:lineRule="exact" w:before="4"/>
        <w:ind w:left="1210" w:right="0" w:firstLine="0"/>
        <w:jc w:val="left"/>
        <w:rPr>
          <w:rFonts w:ascii="微软雅黑" w:hAnsi="微软雅黑" w:eastAsia="微软雅黑"/>
          <w:b/>
          <w:sz w:val="21"/>
        </w:rPr>
      </w:pPr>
      <w:r>
        <w:rPr>
          <w:rFonts w:ascii="微软雅黑" w:hAnsi="微软雅黑" w:eastAsia="微软雅黑"/>
          <w:b/>
          <w:spacing w:val="-2"/>
          <w:sz w:val="21"/>
        </w:rPr>
        <w:t>“恶性肿瘤—</w:t>
      </w:r>
    </w:p>
    <w:p>
      <w:pPr>
        <w:spacing w:line="168" w:lineRule="auto" w:before="27"/>
        <w:ind w:left="1210" w:right="0" w:firstLine="0"/>
        <w:jc w:val="left"/>
        <w:rPr>
          <w:rFonts w:ascii="微软雅黑" w:hAnsi="微软雅黑" w:eastAsia="微软雅黑"/>
          <w:b/>
          <w:sz w:val="21"/>
        </w:rPr>
      </w:pPr>
      <w:r>
        <w:rPr>
          <w:rFonts w:ascii="微软雅黑" w:hAnsi="微软雅黑" w:eastAsia="微软雅黑"/>
          <w:b/>
          <w:spacing w:val="-4"/>
          <w:sz w:val="21"/>
        </w:rPr>
        <w:t>—</w:t>
      </w:r>
      <w:r>
        <w:rPr>
          <w:rFonts w:ascii="微软雅黑" w:hAnsi="微软雅黑" w:eastAsia="微软雅黑"/>
          <w:b/>
          <w:spacing w:val="-21"/>
          <w:sz w:val="21"/>
        </w:rPr>
        <w:t>轻度”二次给</w:t>
      </w:r>
      <w:r>
        <w:rPr>
          <w:rFonts w:ascii="微软雅黑" w:hAnsi="微软雅黑" w:eastAsia="微软雅黑"/>
          <w:b/>
          <w:spacing w:val="-4"/>
          <w:sz w:val="21"/>
        </w:rPr>
        <w:t>付保险金</w:t>
      </w:r>
    </w:p>
    <w:p>
      <w:pPr>
        <w:pStyle w:val="BodyText"/>
        <w:spacing w:line="199" w:lineRule="auto" w:before="107"/>
        <w:ind w:left="174" w:right="333"/>
        <w:jc w:val="both"/>
      </w:pPr>
      <w:r>
        <w:rPr/>
        <w:br w:type="column"/>
      </w:r>
      <w:r>
        <w:rPr>
          <w:spacing w:val="-2"/>
        </w:rPr>
        <w:t>被保险人因意外伤害或在等待期后因非意外伤害原因经我们认可医院的专</w:t>
      </w:r>
      <w:r>
        <w:rPr>
          <w:spacing w:val="-2"/>
        </w:rPr>
        <w:t>科医生初次确诊患有本合同约定的“</w:t>
      </w:r>
      <w:r>
        <w:rPr>
          <w:rFonts w:ascii="微软雅黑" w:hAnsi="微软雅黑" w:eastAsia="微软雅黑"/>
          <w:b/>
          <w:spacing w:val="-2"/>
        </w:rPr>
        <w:t>恶性肿瘤——</w:t>
      </w:r>
      <w:r>
        <w:rPr>
          <w:rFonts w:ascii="微软雅黑" w:hAnsi="微软雅黑" w:eastAsia="微软雅黑"/>
          <w:b/>
          <w:spacing w:val="-2"/>
        </w:rPr>
        <w:t>轻度</w:t>
      </w:r>
      <w:r>
        <w:rPr>
          <w:spacing w:val="-2"/>
          <w:position w:val="11"/>
          <w:sz w:val="11"/>
        </w:rPr>
        <w:t>15</w:t>
      </w:r>
      <w:r>
        <w:rPr>
          <w:spacing w:val="-2"/>
        </w:rPr>
        <w:t>”，且我们对该 </w:t>
      </w:r>
      <w:r>
        <w:rPr>
          <w:spacing w:val="-3"/>
        </w:rPr>
        <w:t>“恶性肿瘤——轻度”根据轻症疾病保险金责任给付轻症疾病保险金后，</w:t>
      </w:r>
    </w:p>
    <w:p>
      <w:pPr>
        <w:spacing w:line="180" w:lineRule="auto" w:before="68"/>
        <w:ind w:left="174" w:right="220" w:firstLine="0"/>
        <w:jc w:val="left"/>
        <w:rPr>
          <w:rFonts w:ascii="微软雅黑" w:hAnsi="微软雅黑" w:eastAsia="微软雅黑"/>
          <w:b/>
          <w:sz w:val="21"/>
        </w:rPr>
      </w:pPr>
      <w:r>
        <w:rPr>
          <w:spacing w:val="-2"/>
          <w:sz w:val="21"/>
        </w:rPr>
        <w:t>被保险人经我们认可医院的专科医生再次确诊患有本合同约定的“恶性肿</w:t>
      </w:r>
      <w:r>
        <w:rPr>
          <w:w w:val="95"/>
          <w:sz w:val="21"/>
        </w:rPr>
        <w:t>瘤</w:t>
      </w:r>
      <w:r>
        <w:rPr>
          <w:w w:val="95"/>
          <w:sz w:val="21"/>
        </w:rPr>
        <w:t>——轻度”，</w:t>
      </w:r>
      <w:r>
        <w:rPr>
          <w:rFonts w:ascii="微软雅黑" w:hAnsi="微软雅黑" w:eastAsia="微软雅黑"/>
          <w:b/>
          <w:w w:val="95"/>
          <w:sz w:val="21"/>
        </w:rPr>
        <w:t>我</w:t>
      </w:r>
      <w:r>
        <w:rPr>
          <w:rFonts w:ascii="微软雅黑" w:hAnsi="微软雅黑" w:eastAsia="微软雅黑"/>
          <w:b/>
          <w:w w:val="95"/>
          <w:sz w:val="21"/>
        </w:rPr>
        <w:t>们</w:t>
      </w:r>
      <w:r>
        <w:rPr>
          <w:rFonts w:ascii="微软雅黑" w:hAnsi="微软雅黑" w:eastAsia="微软雅黑"/>
          <w:b/>
          <w:w w:val="95"/>
          <w:sz w:val="21"/>
        </w:rPr>
        <w:t>将</w:t>
      </w:r>
      <w:r>
        <w:rPr>
          <w:rFonts w:ascii="微软雅黑" w:hAnsi="微软雅黑" w:eastAsia="微软雅黑"/>
          <w:b/>
          <w:w w:val="95"/>
          <w:sz w:val="21"/>
        </w:rPr>
        <w:t>按</w:t>
      </w:r>
      <w:r>
        <w:rPr>
          <w:rFonts w:ascii="微软雅黑" w:hAnsi="微软雅黑" w:eastAsia="微软雅黑"/>
          <w:b/>
          <w:w w:val="95"/>
          <w:sz w:val="21"/>
        </w:rPr>
        <w:t>照</w:t>
      </w:r>
      <w:r>
        <w:rPr>
          <w:rFonts w:ascii="微软雅黑" w:hAnsi="微软雅黑" w:eastAsia="微软雅黑"/>
          <w:b/>
          <w:w w:val="95"/>
          <w:sz w:val="21"/>
        </w:rPr>
        <w:t>基</w:t>
      </w:r>
      <w:r>
        <w:rPr>
          <w:rFonts w:ascii="微软雅黑" w:hAnsi="微软雅黑" w:eastAsia="微软雅黑"/>
          <w:b/>
          <w:w w:val="95"/>
          <w:sz w:val="21"/>
        </w:rPr>
        <w:t>本</w:t>
      </w:r>
      <w:r>
        <w:rPr>
          <w:rFonts w:ascii="微软雅黑" w:hAnsi="微软雅黑" w:eastAsia="微软雅黑"/>
          <w:b/>
          <w:w w:val="95"/>
          <w:sz w:val="21"/>
        </w:rPr>
        <w:t>保</w:t>
      </w:r>
      <w:r>
        <w:rPr>
          <w:rFonts w:ascii="微软雅黑" w:hAnsi="微软雅黑" w:eastAsia="微软雅黑"/>
          <w:b/>
          <w:w w:val="95"/>
          <w:sz w:val="21"/>
        </w:rPr>
        <w:t>险</w:t>
      </w:r>
      <w:r>
        <w:rPr>
          <w:rFonts w:ascii="微软雅黑" w:hAnsi="微软雅黑" w:eastAsia="微软雅黑"/>
          <w:b/>
          <w:w w:val="95"/>
          <w:sz w:val="21"/>
        </w:rPr>
        <w:t>金</w:t>
      </w:r>
      <w:r>
        <w:rPr>
          <w:rFonts w:ascii="微软雅黑" w:hAnsi="微软雅黑" w:eastAsia="微软雅黑"/>
          <w:b/>
          <w:w w:val="95"/>
          <w:sz w:val="21"/>
        </w:rPr>
        <w:t>额</w:t>
      </w:r>
      <w:r>
        <w:rPr>
          <w:rFonts w:ascii="微软雅黑" w:hAnsi="微软雅黑" w:eastAsia="微软雅黑"/>
          <w:b/>
          <w:w w:val="95"/>
          <w:sz w:val="21"/>
        </w:rPr>
        <w:t>的</w:t>
      </w:r>
      <w:r>
        <w:rPr>
          <w:rFonts w:ascii="微软雅黑" w:hAnsi="微软雅黑" w:eastAsia="微软雅黑"/>
          <w:b/>
          <w:w w:val="95"/>
          <w:sz w:val="21"/>
        </w:rPr>
        <w:t> 30%给付“</w:t>
      </w: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——轻度”</w:t>
      </w:r>
      <w:r>
        <w:rPr>
          <w:rFonts w:ascii="微软雅黑" w:hAnsi="微软雅黑" w:eastAsia="微软雅黑"/>
          <w:b/>
          <w:spacing w:val="-2"/>
          <w:sz w:val="21"/>
        </w:rPr>
        <w:t>二次给付保险金，</w:t>
      </w:r>
      <w:r>
        <w:rPr>
          <w:spacing w:val="-2"/>
          <w:sz w:val="21"/>
        </w:rPr>
        <w:t>“恶性肿瘤——轻度”二次给付保险金责任终止</w:t>
      </w:r>
      <w:r>
        <w:rPr>
          <w:rFonts w:ascii="微软雅黑" w:hAnsi="微软雅黑" w:eastAsia="微软雅黑"/>
          <w:b/>
          <w:spacing w:val="-2"/>
          <w:sz w:val="21"/>
        </w:rPr>
        <w:t>。</w:t>
      </w:r>
    </w:p>
    <w:p>
      <w:pPr>
        <w:spacing w:line="168" w:lineRule="auto" w:before="0"/>
        <w:ind w:left="174" w:right="326" w:firstLine="0"/>
        <w:jc w:val="both"/>
        <w:rPr>
          <w:rFonts w:ascii="微软雅黑" w:hAnsi="微软雅黑" w:eastAsia="微软雅黑"/>
          <w:b/>
          <w:sz w:val="21"/>
        </w:rPr>
      </w:pPr>
      <w:r>
        <w:rPr>
          <w:rFonts w:ascii="微软雅黑" w:hAnsi="微软雅黑" w:eastAsia="微软雅黑"/>
          <w:b/>
          <w:spacing w:val="-2"/>
          <w:sz w:val="21"/>
        </w:rPr>
        <w:t>再次确诊的“恶性肿瘤——</w:t>
      </w:r>
      <w:r>
        <w:rPr>
          <w:rFonts w:ascii="微软雅黑" w:hAnsi="微软雅黑" w:eastAsia="微软雅黑"/>
          <w:b/>
          <w:spacing w:val="-2"/>
          <w:sz w:val="21"/>
        </w:rPr>
        <w:t>轻度”所位于的器官必须与初次确诊时所位于</w:t>
      </w:r>
      <w:r>
        <w:rPr>
          <w:rFonts w:ascii="微软雅黑" w:hAnsi="微软雅黑" w:eastAsia="微软雅黑"/>
          <w:b/>
          <w:spacing w:val="-2"/>
          <w:sz w:val="21"/>
        </w:rPr>
        <w:t>的器官不同，若器官由左右两部分构成，则该器官左右两部分视作同一器</w:t>
      </w:r>
      <w:r>
        <w:rPr>
          <w:rFonts w:ascii="微软雅黑" w:hAnsi="微软雅黑" w:eastAsia="微软雅黑"/>
          <w:b/>
          <w:spacing w:val="-6"/>
          <w:sz w:val="21"/>
        </w:rPr>
        <w:t>官。</w:t>
      </w:r>
    </w:p>
    <w:p>
      <w:pPr>
        <w:spacing w:after="0" w:line="168" w:lineRule="auto"/>
        <w:jc w:val="both"/>
        <w:rPr>
          <w:rFonts w:ascii="微软雅黑" w:hAnsi="微软雅黑" w:eastAsia="微软雅黑"/>
          <w:sz w:val="21"/>
        </w:rPr>
        <w:sectPr>
          <w:type w:val="continuous"/>
          <w:pgSz w:w="11910" w:h="16840"/>
          <w:pgMar w:header="877" w:footer="0" w:top="1100" w:bottom="280" w:left="1060" w:right="980"/>
          <w:cols w:num="2" w:equalWidth="0">
            <w:col w:w="2591" w:space="40"/>
            <w:col w:w="7239"/>
          </w:cols>
        </w:sectPr>
      </w:pPr>
    </w:p>
    <w:p>
      <w:pPr>
        <w:pStyle w:val="BodyText"/>
        <w:spacing w:before="11"/>
        <w:rPr>
          <w:rFonts w:ascii="微软雅黑"/>
          <w:b/>
          <w:sz w:val="7"/>
        </w:rPr>
      </w:pPr>
    </w:p>
    <w:p>
      <w:pPr>
        <w:spacing w:after="0"/>
        <w:rPr>
          <w:rFonts w:ascii="微软雅黑"/>
          <w:sz w:val="7"/>
        </w:rPr>
        <w:sectPr>
          <w:type w:val="continuous"/>
          <w:pgSz w:w="11910" w:h="16840"/>
          <w:pgMar w:header="877" w:footer="0" w:top="1100" w:bottom="280" w:left="1060" w:right="980"/>
        </w:sectPr>
      </w:pPr>
    </w:p>
    <w:p>
      <w:pPr>
        <w:spacing w:line="330" w:lineRule="exact" w:before="5"/>
        <w:ind w:left="1210" w:right="0" w:firstLine="0"/>
        <w:jc w:val="left"/>
        <w:rPr>
          <w:rFonts w:ascii="微软雅黑" w:hAnsi="微软雅黑" w:eastAsia="微软雅黑"/>
          <w:b/>
          <w:sz w:val="21"/>
        </w:rPr>
      </w:pPr>
      <w:r>
        <w:rPr>
          <w:rFonts w:ascii="微软雅黑" w:hAnsi="微软雅黑" w:eastAsia="微软雅黑"/>
          <w:b/>
          <w:spacing w:val="-2"/>
          <w:sz w:val="21"/>
        </w:rPr>
        <w:t>“恶性肿瘤—</w:t>
      </w:r>
    </w:p>
    <w:p>
      <w:pPr>
        <w:spacing w:line="168" w:lineRule="auto" w:before="26"/>
        <w:ind w:left="1210" w:right="0" w:firstLine="0"/>
        <w:jc w:val="left"/>
        <w:rPr>
          <w:rFonts w:ascii="微软雅黑" w:hAnsi="微软雅黑" w:eastAsia="微软雅黑"/>
          <w:b/>
          <w:sz w:val="21"/>
        </w:rPr>
      </w:pPr>
      <w:r>
        <w:rPr>
          <w:rFonts w:ascii="微软雅黑" w:hAnsi="微软雅黑" w:eastAsia="微软雅黑"/>
          <w:b/>
          <w:spacing w:val="-4"/>
          <w:sz w:val="21"/>
        </w:rPr>
        <w:t>—</w:t>
      </w:r>
      <w:r>
        <w:rPr>
          <w:rFonts w:ascii="微软雅黑" w:hAnsi="微软雅黑" w:eastAsia="微软雅黑"/>
          <w:b/>
          <w:spacing w:val="-21"/>
          <w:sz w:val="21"/>
        </w:rPr>
        <w:t>重度”二次给</w:t>
      </w:r>
      <w:r>
        <w:rPr>
          <w:rFonts w:ascii="微软雅黑" w:hAnsi="微软雅黑" w:eastAsia="微软雅黑"/>
          <w:b/>
          <w:spacing w:val="-4"/>
          <w:sz w:val="21"/>
        </w:rPr>
        <w:t>付保险金</w:t>
      </w:r>
    </w:p>
    <w:p>
      <w:pPr>
        <w:pStyle w:val="BodyText"/>
        <w:spacing w:line="196" w:lineRule="auto" w:before="110"/>
        <w:ind w:left="174" w:right="326"/>
        <w:jc w:val="both"/>
      </w:pPr>
      <w:r>
        <w:rPr/>
        <w:br w:type="column"/>
      </w:r>
      <w:r>
        <w:rPr>
          <w:spacing w:val="-2"/>
        </w:rPr>
        <w:t>被保险人因意外伤害或在等待期后因非意外伤害原因经我们认可医院的专</w:t>
      </w:r>
      <w:r>
        <w:rPr>
          <w:spacing w:val="-2"/>
        </w:rPr>
        <w:t>科医生初次确诊患有的重大疾病为本合同约定的“</w:t>
      </w:r>
      <w:r>
        <w:rPr>
          <w:rFonts w:ascii="微软雅黑" w:hAnsi="微软雅黑" w:eastAsia="微软雅黑"/>
          <w:b/>
          <w:spacing w:val="-2"/>
        </w:rPr>
        <w:t>恶性肿瘤——重度</w:t>
      </w:r>
      <w:r>
        <w:rPr>
          <w:spacing w:val="-2"/>
          <w:position w:val="11"/>
          <w:sz w:val="11"/>
        </w:rPr>
        <w:t>16</w:t>
      </w:r>
      <w:r>
        <w:rPr>
          <w:spacing w:val="-2"/>
        </w:rPr>
        <w:t>”</w:t>
      </w:r>
      <w:r>
        <w:rPr>
          <w:spacing w:val="-14"/>
        </w:rPr>
        <w:t>或 </w:t>
      </w:r>
      <w:r>
        <w:rPr>
          <w:spacing w:val="-2"/>
        </w:rPr>
        <w:t>A</w:t>
      </w:r>
      <w:r>
        <w:rPr>
          <w:spacing w:val="-7"/>
        </w:rPr>
        <w:t> 组中的其他重大疾病，且我们对该疾病根据重大疾病保险金责任给付</w:t>
      </w:r>
      <w:r>
        <w:rPr>
          <w:spacing w:val="-2"/>
        </w:rPr>
        <w:t>重大疾病保险金，</w:t>
      </w:r>
      <w:r>
        <w:rPr>
          <w:rFonts w:ascii="微软雅黑" w:hAnsi="微软雅黑" w:eastAsia="微软雅黑"/>
          <w:b/>
          <w:spacing w:val="-2"/>
        </w:rPr>
        <w:t>自该重大疾病确诊之日起满三年后</w:t>
      </w:r>
      <w:r>
        <w:rPr>
          <w:spacing w:val="-3"/>
        </w:rPr>
        <w:t>，若被保险人经我们</w:t>
      </w:r>
    </w:p>
    <w:p>
      <w:pPr>
        <w:spacing w:after="0" w:line="196" w:lineRule="auto"/>
        <w:jc w:val="both"/>
        <w:sectPr>
          <w:type w:val="continuous"/>
          <w:pgSz w:w="11910" w:h="16840"/>
          <w:pgMar w:header="877" w:footer="0" w:top="1100" w:bottom="280" w:left="1060" w:right="980"/>
          <w:cols w:num="2" w:equalWidth="0">
            <w:col w:w="2591" w:space="40"/>
            <w:col w:w="7239"/>
          </w:cols>
        </w:sectPr>
      </w:pPr>
    </w:p>
    <w:p>
      <w:pPr>
        <w:pStyle w:val="BodyText"/>
        <w:spacing w:before="5"/>
        <w:rPr>
          <w:sz w:val="25"/>
        </w:rPr>
      </w:pPr>
    </w:p>
    <w:p>
      <w:pPr>
        <w:pStyle w:val="BodyText"/>
        <w:spacing w:line="20" w:lineRule="exact"/>
        <w:ind w:left="140"/>
        <w:rPr>
          <w:sz w:val="2"/>
        </w:rPr>
      </w:pPr>
      <w:r>
        <w:rPr>
          <w:sz w:val="2"/>
        </w:rPr>
        <w:drawing>
          <wp:inline distT="0" distB="0" distL="0" distR="0">
            <wp:extent cx="1829130" cy="6096"/>
            <wp:effectExtent l="0" t="0" r="0" b="0"/>
            <wp:docPr id="13" name="image5.png"/>
            <wp:cNvGraphicFramePr>
              <a:graphicFrameLocks noChangeAspect="1"/>
            </wp:cNvGraphicFramePr>
            <a:graphic>
              <a:graphicData uri="http://schemas.openxmlformats.org/drawingml/2006/picture">
                <pic:pic>
                  <pic:nvPicPr>
                    <pic:cNvPr id="14" name="image5.png"/>
                    <pic:cNvPicPr/>
                  </pic:nvPicPr>
                  <pic:blipFill>
                    <a:blip r:embed="rId10" cstate="print"/>
                    <a:stretch>
                      <a:fillRect/>
                    </a:stretch>
                  </pic:blipFill>
                  <pic:spPr>
                    <a:xfrm>
                      <a:off x="0" y="0"/>
                      <a:ext cx="1829130" cy="6096"/>
                    </a:xfrm>
                    <a:prstGeom prst="rect">
                      <a:avLst/>
                    </a:prstGeom>
                  </pic:spPr>
                </pic:pic>
              </a:graphicData>
            </a:graphic>
          </wp:inline>
        </w:drawing>
      </w:r>
      <w:r>
        <w:rPr>
          <w:sz w:val="2"/>
        </w:rPr>
      </w:r>
    </w:p>
    <w:p>
      <w:pPr>
        <w:spacing w:line="329" w:lineRule="exact" w:before="22"/>
        <w:ind w:left="140" w:right="0" w:firstLine="0"/>
        <w:jc w:val="left"/>
        <w:rPr>
          <w:sz w:val="21"/>
        </w:rPr>
      </w:pPr>
      <w:r>
        <w:rPr>
          <w:rFonts w:ascii="Times New Roman" w:hAnsi="Times New Roman" w:eastAsia="Times New Roman"/>
          <w:spacing w:val="-2"/>
          <w:position w:val="6"/>
          <w:sz w:val="12"/>
        </w:rPr>
        <w:t>15</w:t>
      </w:r>
      <w:r>
        <w:rPr>
          <w:rFonts w:ascii="Times New Roman" w:hAnsi="Times New Roman" w:eastAsia="Times New Roman"/>
          <w:spacing w:val="78"/>
          <w:position w:val="6"/>
          <w:sz w:val="12"/>
        </w:rPr>
        <w:t> </w:t>
      </w:r>
      <w:r>
        <w:rPr>
          <w:rFonts w:ascii="微软雅黑" w:hAnsi="微软雅黑" w:eastAsia="微软雅黑"/>
          <w:b/>
          <w:spacing w:val="-2"/>
          <w:sz w:val="21"/>
        </w:rPr>
        <w:t>恶性肿瘤——</w:t>
      </w:r>
      <w:r>
        <w:rPr>
          <w:rFonts w:ascii="微软雅黑" w:hAnsi="微软雅黑" w:eastAsia="微软雅黑"/>
          <w:b/>
          <w:spacing w:val="-2"/>
          <w:sz w:val="21"/>
        </w:rPr>
        <w:t>轻度</w:t>
      </w:r>
      <w:r>
        <w:rPr>
          <w:spacing w:val="-3"/>
          <w:sz w:val="21"/>
        </w:rPr>
        <w:t>：指符合本合同附表三约定的疾病定义所述条件的“恶性肿瘤——轻度”。</w:t>
      </w:r>
    </w:p>
    <w:p>
      <w:pPr>
        <w:spacing w:line="329" w:lineRule="exact" w:before="0"/>
        <w:ind w:left="140" w:right="0" w:firstLine="0"/>
        <w:jc w:val="left"/>
        <w:rPr>
          <w:sz w:val="21"/>
        </w:rPr>
      </w:pPr>
      <w:r>
        <w:rPr>
          <w:spacing w:val="-2"/>
          <w:position w:val="11"/>
          <w:sz w:val="11"/>
        </w:rPr>
        <w:t>16</w:t>
      </w:r>
      <w:r>
        <w:rPr>
          <w:spacing w:val="53"/>
          <w:position w:val="11"/>
          <w:sz w:val="11"/>
        </w:rPr>
        <w:t> </w:t>
      </w:r>
      <w:r>
        <w:rPr>
          <w:rFonts w:ascii="微软雅黑" w:hAnsi="微软雅黑" w:eastAsia="微软雅黑"/>
          <w:b/>
          <w:spacing w:val="-2"/>
          <w:sz w:val="21"/>
        </w:rPr>
        <w:t>恶性肿瘤——</w:t>
      </w:r>
      <w:r>
        <w:rPr>
          <w:rFonts w:ascii="微软雅黑" w:hAnsi="微软雅黑" w:eastAsia="微软雅黑"/>
          <w:b/>
          <w:spacing w:val="-2"/>
          <w:sz w:val="21"/>
        </w:rPr>
        <w:t>重度</w:t>
      </w:r>
      <w:r>
        <w:rPr>
          <w:spacing w:val="-3"/>
          <w:sz w:val="21"/>
        </w:rPr>
        <w:t>：指符合本合同附表一约定的疾病定义所述条件的“恶性肿瘤——重度”。</w:t>
      </w:r>
    </w:p>
    <w:p>
      <w:pPr>
        <w:spacing w:after="0" w:line="329" w:lineRule="exact"/>
        <w:jc w:val="left"/>
        <w:rPr>
          <w:sz w:val="21"/>
        </w:rPr>
        <w:sectPr>
          <w:type w:val="continuous"/>
          <w:pgSz w:w="11910" w:h="16840"/>
          <w:pgMar w:header="877" w:footer="0" w:top="1100" w:bottom="280" w:left="1060" w:right="980"/>
        </w:sectPr>
      </w:pPr>
    </w:p>
    <w:p>
      <w:pPr>
        <w:pStyle w:val="BodyText"/>
        <w:spacing w:line="242" w:lineRule="auto" w:before="83"/>
        <w:ind w:left="2805" w:right="220"/>
      </w:pPr>
      <w:r>
        <w:rPr>
          <w:spacing w:val="-2"/>
        </w:rPr>
        <w:t>认可医院的专科医生再次确诊患有本合同约定的“恶性肿瘤——重度”，</w:t>
      </w:r>
      <w:r>
        <w:rPr>
          <w:spacing w:val="-2"/>
        </w:rPr>
        <w:t>我们将按照再次确诊时本合同的基本保险金额的 </w:t>
      </w:r>
      <w:r>
        <w:rPr/>
        <w:t>120%给付“恶性肿瘤——</w:t>
      </w:r>
      <w:r>
        <w:rPr>
          <w:spacing w:val="-4"/>
        </w:rPr>
        <w:t>重度”二次给付保险金，“恶性肿瘤——重度”二次给付保险金责任终止。</w:t>
      </w:r>
      <w:r>
        <w:rPr>
          <w:spacing w:val="-2"/>
        </w:rPr>
        <w:t>再次确诊患有“恶性肿瘤——重度”包括以下情况：</w:t>
      </w:r>
    </w:p>
    <w:p>
      <w:pPr>
        <w:pStyle w:val="ListParagraph"/>
        <w:numPr>
          <w:ilvl w:val="0"/>
          <w:numId w:val="9"/>
        </w:numPr>
        <w:tabs>
          <w:tab w:pos="3437" w:val="left" w:leader="none"/>
        </w:tabs>
        <w:spacing w:line="242" w:lineRule="auto" w:before="2" w:after="0"/>
        <w:ind w:left="3436" w:right="331" w:hanging="632"/>
        <w:jc w:val="left"/>
        <w:rPr>
          <w:sz w:val="21"/>
        </w:rPr>
      </w:pPr>
      <w:r>
        <w:rPr>
          <w:spacing w:val="-2"/>
          <w:sz w:val="21"/>
        </w:rPr>
        <w:t>与该初次确诊的“恶性肿瘤——重度”无关的新发“恶性肿瘤——</w:t>
      </w:r>
      <w:r>
        <w:rPr>
          <w:spacing w:val="-4"/>
          <w:sz w:val="21"/>
        </w:rPr>
        <w:t>重度”；</w:t>
      </w:r>
    </w:p>
    <w:p>
      <w:pPr>
        <w:pStyle w:val="ListParagraph"/>
        <w:numPr>
          <w:ilvl w:val="0"/>
          <w:numId w:val="9"/>
        </w:numPr>
        <w:tabs>
          <w:tab w:pos="3437" w:val="left" w:leader="none"/>
        </w:tabs>
        <w:spacing w:line="240" w:lineRule="auto" w:before="2" w:after="0"/>
        <w:ind w:left="3436" w:right="0" w:hanging="632"/>
        <w:jc w:val="left"/>
        <w:rPr>
          <w:sz w:val="21"/>
        </w:rPr>
      </w:pPr>
      <w:r>
        <w:rPr>
          <w:spacing w:val="-3"/>
          <w:sz w:val="21"/>
        </w:rPr>
        <w:t>该初次确诊的“恶性肿瘤——重度”复发；</w:t>
      </w:r>
    </w:p>
    <w:p>
      <w:pPr>
        <w:pStyle w:val="ListParagraph"/>
        <w:numPr>
          <w:ilvl w:val="0"/>
          <w:numId w:val="9"/>
        </w:numPr>
        <w:tabs>
          <w:tab w:pos="3437" w:val="left" w:leader="none"/>
        </w:tabs>
        <w:spacing w:line="240" w:lineRule="auto" w:before="2" w:after="0"/>
        <w:ind w:left="3436" w:right="0" w:hanging="632"/>
        <w:jc w:val="left"/>
        <w:rPr>
          <w:sz w:val="21"/>
        </w:rPr>
      </w:pPr>
      <w:r>
        <w:rPr>
          <w:spacing w:val="-3"/>
          <w:sz w:val="21"/>
        </w:rPr>
        <w:t>该初次确诊的“恶性肿瘤——重度”转移或扩散；</w:t>
      </w:r>
    </w:p>
    <w:p>
      <w:pPr>
        <w:pStyle w:val="ListParagraph"/>
        <w:numPr>
          <w:ilvl w:val="0"/>
          <w:numId w:val="9"/>
        </w:numPr>
        <w:tabs>
          <w:tab w:pos="3437" w:val="left" w:leader="none"/>
        </w:tabs>
        <w:spacing w:line="240" w:lineRule="auto" w:before="4" w:after="0"/>
        <w:ind w:left="3436" w:right="0" w:hanging="632"/>
        <w:jc w:val="left"/>
        <w:rPr>
          <w:sz w:val="21"/>
        </w:rPr>
      </w:pPr>
      <w:r>
        <w:rPr>
          <w:spacing w:val="-3"/>
          <w:sz w:val="21"/>
        </w:rPr>
        <w:t>该初次确诊的“恶性肿瘤——重度”持续存在。</w:t>
      </w:r>
    </w:p>
    <w:p>
      <w:pPr>
        <w:pStyle w:val="BodyText"/>
        <w:spacing w:before="5"/>
        <w:rPr>
          <w:sz w:val="12"/>
        </w:rPr>
      </w:pPr>
    </w:p>
    <w:p>
      <w:pPr>
        <w:spacing w:after="0"/>
        <w:rPr>
          <w:sz w:val="12"/>
        </w:rPr>
        <w:sectPr>
          <w:pgSz w:w="11910" w:h="16840"/>
          <w:pgMar w:header="877" w:footer="0" w:top="1100" w:bottom="280" w:left="1060" w:right="980"/>
        </w:sectPr>
      </w:pPr>
    </w:p>
    <w:p>
      <w:pPr>
        <w:spacing w:line="168" w:lineRule="auto" w:before="88"/>
        <w:ind w:left="1210" w:right="0" w:firstLine="0"/>
        <w:jc w:val="both"/>
        <w:rPr>
          <w:rFonts w:ascii="微软雅黑" w:eastAsia="微软雅黑"/>
          <w:b/>
          <w:sz w:val="21"/>
        </w:rPr>
      </w:pPr>
      <w:r>
        <w:rPr>
          <w:rFonts w:ascii="微软雅黑" w:eastAsia="微软雅黑"/>
          <w:b/>
          <w:spacing w:val="-2"/>
          <w:sz w:val="21"/>
        </w:rPr>
        <w:t>严重脑中风后</w:t>
      </w:r>
      <w:r>
        <w:rPr>
          <w:rFonts w:ascii="微软雅黑" w:eastAsia="微软雅黑"/>
          <w:b/>
          <w:spacing w:val="-2"/>
          <w:sz w:val="21"/>
        </w:rPr>
        <w:t>遗症二次给付</w:t>
      </w:r>
      <w:r>
        <w:rPr>
          <w:rFonts w:ascii="微软雅黑" w:eastAsia="微软雅黑"/>
          <w:b/>
          <w:spacing w:val="-4"/>
          <w:sz w:val="21"/>
        </w:rPr>
        <w:t>保险金</w:t>
      </w:r>
    </w:p>
    <w:p>
      <w:pPr>
        <w:pStyle w:val="BodyText"/>
        <w:spacing w:line="199" w:lineRule="auto" w:before="108"/>
        <w:ind w:left="286" w:right="326"/>
        <w:jc w:val="both"/>
      </w:pPr>
      <w:r>
        <w:rPr/>
        <w:br w:type="column"/>
      </w:r>
      <w:r>
        <w:rPr>
          <w:spacing w:val="-2"/>
        </w:rPr>
        <w:t>被保险人因意外伤害或在等待期后因非意外伤害原因经我们认可医院的专</w:t>
      </w:r>
      <w:r>
        <w:rPr>
          <w:spacing w:val="-2"/>
        </w:rPr>
        <w:t>科医生初次确诊患有的重大疾病为本合同约定的“</w:t>
      </w:r>
      <w:r>
        <w:rPr>
          <w:rFonts w:ascii="微软雅黑" w:hAnsi="微软雅黑" w:eastAsia="微软雅黑"/>
          <w:b/>
          <w:spacing w:val="-2"/>
        </w:rPr>
        <w:t>严重脑中风后遗症</w:t>
      </w:r>
      <w:r>
        <w:rPr>
          <w:spacing w:val="-2"/>
          <w:position w:val="11"/>
          <w:sz w:val="11"/>
        </w:rPr>
        <w:t>17</w:t>
      </w:r>
      <w:r>
        <w:rPr>
          <w:spacing w:val="-2"/>
        </w:rPr>
        <w:t>”</w:t>
      </w:r>
      <w:r>
        <w:rPr>
          <w:spacing w:val="-14"/>
        </w:rPr>
        <w:t>或 </w:t>
      </w:r>
      <w:r>
        <w:rPr>
          <w:spacing w:val="-2"/>
        </w:rPr>
        <w:t>E</w:t>
      </w:r>
      <w:r>
        <w:rPr>
          <w:spacing w:val="-7"/>
        </w:rPr>
        <w:t> 组中的其他重大疾病，且我们对该疾病根据重大疾病保险金责任给付</w:t>
      </w:r>
      <w:r>
        <w:rPr>
          <w:spacing w:val="-2"/>
        </w:rPr>
        <w:t>重大疾病保险金，</w:t>
      </w:r>
      <w:r>
        <w:rPr>
          <w:rFonts w:ascii="微软雅黑" w:hAnsi="微软雅黑" w:eastAsia="微软雅黑"/>
          <w:b/>
          <w:spacing w:val="-2"/>
        </w:rPr>
        <w:t>自该重大疾病确诊之日起满三年后</w:t>
      </w:r>
      <w:r>
        <w:rPr>
          <w:spacing w:val="-2"/>
        </w:rPr>
        <w:t>，若被保险人经我们</w:t>
      </w:r>
      <w:r>
        <w:rPr>
          <w:spacing w:val="-4"/>
        </w:rPr>
        <w:t>认可医院的专科医生再次确诊患有本合同约定的“严重脑中风后遗症”，</w:t>
      </w:r>
    </w:p>
    <w:p>
      <w:pPr>
        <w:pStyle w:val="BodyText"/>
        <w:spacing w:line="244" w:lineRule="auto" w:before="13"/>
        <w:ind w:left="286" w:right="491"/>
        <w:jc w:val="both"/>
      </w:pPr>
      <w:r>
        <w:rPr>
          <w:spacing w:val="-3"/>
        </w:rPr>
        <w:t>我们将按照再次确诊时本合同的基本保险金额的 </w:t>
      </w:r>
      <w:r>
        <w:rPr>
          <w:spacing w:val="-2"/>
        </w:rPr>
        <w:t>120%给付严重脑中风后</w:t>
      </w:r>
      <w:r>
        <w:rPr>
          <w:spacing w:val="-2"/>
        </w:rPr>
        <w:t>遗症二次给付保险金，严重脑中风后遗症二次给付保险金责任终止。</w:t>
      </w:r>
    </w:p>
    <w:p>
      <w:pPr>
        <w:spacing w:after="0" w:line="244" w:lineRule="auto"/>
        <w:jc w:val="both"/>
        <w:sectPr>
          <w:type w:val="continuous"/>
          <w:pgSz w:w="11910" w:h="16840"/>
          <w:pgMar w:header="877" w:footer="0" w:top="1100" w:bottom="280" w:left="1060" w:right="980"/>
          <w:cols w:num="2" w:equalWidth="0">
            <w:col w:w="2479" w:space="40"/>
            <w:col w:w="7351"/>
          </w:cols>
        </w:sectPr>
      </w:pPr>
    </w:p>
    <w:p>
      <w:pPr>
        <w:pStyle w:val="BodyText"/>
        <w:spacing w:before="5"/>
        <w:rPr>
          <w:sz w:val="15"/>
        </w:rPr>
      </w:pPr>
    </w:p>
    <w:p>
      <w:pPr>
        <w:spacing w:after="0"/>
        <w:rPr>
          <w:sz w:val="15"/>
        </w:rPr>
        <w:sectPr>
          <w:type w:val="continuous"/>
          <w:pgSz w:w="11910" w:h="16840"/>
          <w:pgMar w:header="877" w:footer="0" w:top="1100" w:bottom="280" w:left="1060" w:right="980"/>
        </w:sectPr>
      </w:pPr>
    </w:p>
    <w:p>
      <w:pPr>
        <w:spacing w:line="168" w:lineRule="auto" w:before="88"/>
        <w:ind w:left="1210" w:right="0" w:firstLine="0"/>
        <w:jc w:val="both"/>
        <w:rPr>
          <w:rFonts w:ascii="微软雅黑" w:eastAsia="微软雅黑"/>
          <w:b/>
          <w:sz w:val="21"/>
        </w:rPr>
      </w:pPr>
      <w:r>
        <w:rPr>
          <w:rFonts w:ascii="微软雅黑" w:eastAsia="微软雅黑"/>
          <w:b/>
          <w:spacing w:val="-2"/>
          <w:sz w:val="21"/>
        </w:rPr>
        <w:t>较重急性心肌</w:t>
      </w:r>
      <w:r>
        <w:rPr>
          <w:rFonts w:ascii="微软雅黑" w:eastAsia="微软雅黑"/>
          <w:b/>
          <w:spacing w:val="-2"/>
          <w:sz w:val="21"/>
        </w:rPr>
        <w:t>梗死二次给付</w:t>
      </w:r>
      <w:r>
        <w:rPr>
          <w:rFonts w:ascii="微软雅黑" w:eastAsia="微软雅黑"/>
          <w:b/>
          <w:spacing w:val="-4"/>
          <w:sz w:val="21"/>
        </w:rPr>
        <w:t>保险金</w:t>
      </w:r>
    </w:p>
    <w:p>
      <w:pPr>
        <w:pStyle w:val="BodyText"/>
        <w:spacing w:line="199" w:lineRule="auto" w:before="108"/>
        <w:ind w:left="286" w:right="326"/>
        <w:jc w:val="both"/>
      </w:pPr>
      <w:r>
        <w:rPr/>
        <w:br w:type="column"/>
      </w:r>
      <w:r>
        <w:rPr>
          <w:spacing w:val="-2"/>
        </w:rPr>
        <w:t>被保险人因意外伤害或在等待期后因非意外伤害原因经我们认可医院的专</w:t>
      </w:r>
      <w:r>
        <w:rPr>
          <w:spacing w:val="-2"/>
        </w:rPr>
        <w:t>科医生初次确诊患有的重大疾病为本合同约定的“</w:t>
      </w:r>
      <w:r>
        <w:rPr>
          <w:rFonts w:ascii="微软雅黑" w:hAnsi="微软雅黑" w:eastAsia="微软雅黑"/>
          <w:b/>
          <w:spacing w:val="-2"/>
        </w:rPr>
        <w:t>较重急性心肌梗死</w:t>
      </w:r>
      <w:r>
        <w:rPr>
          <w:spacing w:val="-2"/>
          <w:position w:val="11"/>
          <w:sz w:val="11"/>
        </w:rPr>
        <w:t>18</w:t>
      </w:r>
      <w:r>
        <w:rPr>
          <w:spacing w:val="-2"/>
        </w:rPr>
        <w:t>”</w:t>
      </w:r>
      <w:r>
        <w:rPr>
          <w:spacing w:val="-14"/>
        </w:rPr>
        <w:t>或 </w:t>
      </w:r>
      <w:r>
        <w:rPr>
          <w:spacing w:val="-2"/>
        </w:rPr>
        <w:t>D</w:t>
      </w:r>
      <w:r>
        <w:rPr>
          <w:spacing w:val="-7"/>
        </w:rPr>
        <w:t> 组中的其他重大疾病，且我们对该疾病根据重大疾病保险金责任给付</w:t>
      </w:r>
      <w:r>
        <w:rPr>
          <w:spacing w:val="-2"/>
        </w:rPr>
        <w:t>重大疾病保险金，</w:t>
      </w:r>
      <w:r>
        <w:rPr>
          <w:rFonts w:ascii="微软雅黑" w:hAnsi="微软雅黑" w:eastAsia="微软雅黑"/>
          <w:b/>
          <w:spacing w:val="-2"/>
        </w:rPr>
        <w:t>自该重大疾病确诊之日起满三年后</w:t>
      </w:r>
      <w:r>
        <w:rPr>
          <w:spacing w:val="-2"/>
        </w:rPr>
        <w:t>，若被保险人经我们</w:t>
      </w:r>
      <w:r>
        <w:rPr>
          <w:spacing w:val="-4"/>
        </w:rPr>
        <w:t>认可医院的专科医生再次确诊患有本合同约定的“较重急性心肌梗死”，</w:t>
      </w:r>
    </w:p>
    <w:p>
      <w:pPr>
        <w:pStyle w:val="BodyText"/>
        <w:spacing w:line="244" w:lineRule="auto" w:before="12"/>
        <w:ind w:left="286" w:right="491"/>
        <w:jc w:val="both"/>
      </w:pPr>
      <w:r>
        <w:rPr>
          <w:spacing w:val="-3"/>
        </w:rPr>
        <w:t>我们将按照再次确诊时本合同的基本保险金额的 </w:t>
      </w:r>
      <w:r>
        <w:rPr>
          <w:spacing w:val="-2"/>
        </w:rPr>
        <w:t>120%给付较重急性心肌</w:t>
      </w:r>
      <w:r>
        <w:rPr>
          <w:spacing w:val="-2"/>
        </w:rPr>
        <w:t>梗死二次给付保险金，较重急性心肌梗死二次给付保险金责任终止。</w:t>
      </w:r>
    </w:p>
    <w:p>
      <w:pPr>
        <w:spacing w:after="0" w:line="244" w:lineRule="auto"/>
        <w:jc w:val="both"/>
        <w:sectPr>
          <w:type w:val="continuous"/>
          <w:pgSz w:w="11910" w:h="16840"/>
          <w:pgMar w:header="877" w:footer="0" w:top="1100" w:bottom="280" w:left="1060" w:right="980"/>
          <w:cols w:num="2" w:equalWidth="0">
            <w:col w:w="2479" w:space="40"/>
            <w:col w:w="7351"/>
          </w:cols>
        </w:sectPr>
      </w:pPr>
    </w:p>
    <w:p>
      <w:pPr>
        <w:pStyle w:val="BodyText"/>
        <w:spacing w:before="4"/>
        <w:rPr>
          <w:sz w:val="15"/>
        </w:rPr>
      </w:pPr>
    </w:p>
    <w:p>
      <w:pPr>
        <w:spacing w:after="0"/>
        <w:rPr>
          <w:sz w:val="15"/>
        </w:rPr>
        <w:sectPr>
          <w:type w:val="continuous"/>
          <w:pgSz w:w="11910" w:h="16840"/>
          <w:pgMar w:header="877" w:footer="0" w:top="1100" w:bottom="280" w:left="1060" w:right="980"/>
        </w:sectPr>
      </w:pPr>
    </w:p>
    <w:p>
      <w:pPr>
        <w:spacing w:line="170" w:lineRule="auto" w:before="85"/>
        <w:ind w:left="1210" w:right="0" w:firstLine="0"/>
        <w:jc w:val="left"/>
        <w:rPr>
          <w:rFonts w:ascii="微软雅黑" w:eastAsia="微软雅黑"/>
          <w:b/>
          <w:sz w:val="21"/>
        </w:rPr>
      </w:pPr>
      <w:r>
        <w:rPr>
          <w:rFonts w:ascii="微软雅黑" w:eastAsia="微软雅黑"/>
          <w:b/>
          <w:spacing w:val="-2"/>
          <w:sz w:val="21"/>
        </w:rPr>
        <w:t>疾病终末期保</w:t>
      </w:r>
      <w:r>
        <w:rPr>
          <w:rFonts w:ascii="微软雅黑" w:eastAsia="微软雅黑"/>
          <w:b/>
          <w:spacing w:val="-6"/>
          <w:sz w:val="21"/>
        </w:rPr>
        <w:t>险金</w:t>
      </w:r>
    </w:p>
    <w:p>
      <w:pPr>
        <w:pStyle w:val="BodyText"/>
        <w:spacing w:line="242" w:lineRule="auto" w:before="72"/>
        <w:ind w:left="286" w:right="333"/>
        <w:jc w:val="both"/>
      </w:pPr>
      <w:r>
        <w:rPr/>
        <w:br w:type="column"/>
      </w:r>
      <w:r>
        <w:rPr>
          <w:spacing w:val="-2"/>
        </w:rPr>
        <w:t>被保险人因意外伤害或在等待期后因非意外伤害原因经我们认可医院的专</w:t>
      </w:r>
      <w:r>
        <w:rPr>
          <w:spacing w:val="-2"/>
        </w:rPr>
        <w:t>科医生初次确诊达到疾病终末期阶段，本合同终止，我们将按照以下约定</w:t>
      </w:r>
      <w:r>
        <w:rPr>
          <w:spacing w:val="-2"/>
        </w:rPr>
        <w:t>给付疾病终末期保险金：</w:t>
      </w:r>
    </w:p>
    <w:p>
      <w:pPr>
        <w:pStyle w:val="ListParagraph"/>
        <w:numPr>
          <w:ilvl w:val="0"/>
          <w:numId w:val="10"/>
        </w:numPr>
        <w:tabs>
          <w:tab w:pos="816" w:val="left" w:leader="none"/>
        </w:tabs>
        <w:spacing w:line="242" w:lineRule="auto" w:before="3" w:after="0"/>
        <w:ind w:left="812" w:right="326" w:hanging="526"/>
        <w:jc w:val="both"/>
        <w:rPr>
          <w:sz w:val="21"/>
        </w:rPr>
      </w:pPr>
      <w:r>
        <w:rPr>
          <w:spacing w:val="-4"/>
          <w:sz w:val="21"/>
        </w:rPr>
        <w:t>被保险人在年满 </w:t>
      </w:r>
      <w:r>
        <w:rPr>
          <w:sz w:val="21"/>
        </w:rPr>
        <w:t>18</w:t>
      </w:r>
      <w:r>
        <w:rPr>
          <w:spacing w:val="-7"/>
          <w:sz w:val="21"/>
        </w:rPr>
        <w:t> 周岁前</w:t>
      </w:r>
      <w:r>
        <w:rPr>
          <w:sz w:val="21"/>
        </w:rPr>
        <w:t>（</w:t>
      </w:r>
      <w:r>
        <w:rPr>
          <w:spacing w:val="-9"/>
          <w:sz w:val="21"/>
        </w:rPr>
        <w:t>不含 </w:t>
      </w:r>
      <w:r>
        <w:rPr>
          <w:sz w:val="21"/>
        </w:rPr>
        <w:t>18</w:t>
      </w:r>
      <w:r>
        <w:rPr>
          <w:spacing w:val="-5"/>
          <w:sz w:val="21"/>
        </w:rPr>
        <w:t> 周岁生日当天</w:t>
      </w:r>
      <w:r>
        <w:rPr>
          <w:sz w:val="21"/>
        </w:rPr>
        <w:t>）达到疾病终末</w:t>
      </w:r>
      <w:r>
        <w:rPr>
          <w:spacing w:val="-2"/>
          <w:sz w:val="21"/>
        </w:rPr>
        <w:t>期阶段，我们将按照累计已交纳的保险费的 </w:t>
      </w:r>
      <w:r>
        <w:rPr>
          <w:sz w:val="21"/>
        </w:rPr>
        <w:t>300%给付疾病终末期保</w:t>
      </w:r>
      <w:r>
        <w:rPr>
          <w:spacing w:val="-4"/>
          <w:sz w:val="21"/>
        </w:rPr>
        <w:t>险金；</w:t>
      </w:r>
    </w:p>
    <w:p>
      <w:pPr>
        <w:pStyle w:val="ListParagraph"/>
        <w:numPr>
          <w:ilvl w:val="0"/>
          <w:numId w:val="10"/>
        </w:numPr>
        <w:tabs>
          <w:tab w:pos="816" w:val="left" w:leader="none"/>
        </w:tabs>
        <w:spacing w:line="244" w:lineRule="auto" w:before="1" w:after="0"/>
        <w:ind w:left="812" w:right="324" w:hanging="526"/>
        <w:jc w:val="both"/>
        <w:rPr>
          <w:sz w:val="21"/>
        </w:rPr>
      </w:pPr>
      <w:r>
        <w:rPr>
          <w:w w:val="95"/>
          <w:sz w:val="21"/>
        </w:rPr>
        <w:t>被</w:t>
      </w:r>
      <w:r>
        <w:rPr>
          <w:w w:val="95"/>
          <w:sz w:val="21"/>
        </w:rPr>
        <w:t>保</w:t>
      </w:r>
      <w:r>
        <w:rPr>
          <w:w w:val="95"/>
          <w:sz w:val="21"/>
        </w:rPr>
        <w:t>险人在年满 18</w:t>
      </w:r>
      <w:r>
        <w:rPr>
          <w:spacing w:val="-13"/>
          <w:w w:val="95"/>
          <w:sz w:val="21"/>
        </w:rPr>
        <w:t> 周岁后</w:t>
      </w:r>
      <w:r>
        <w:rPr>
          <w:w w:val="95"/>
          <w:sz w:val="21"/>
        </w:rPr>
        <w:t>（</w:t>
      </w:r>
      <w:r>
        <w:rPr>
          <w:w w:val="95"/>
          <w:sz w:val="21"/>
        </w:rPr>
        <w:t>含</w:t>
      </w:r>
      <w:r>
        <w:rPr>
          <w:w w:val="95"/>
          <w:sz w:val="21"/>
        </w:rPr>
        <w:t> 18 周</w:t>
      </w:r>
      <w:r>
        <w:rPr>
          <w:w w:val="95"/>
          <w:sz w:val="21"/>
        </w:rPr>
        <w:t>岁</w:t>
      </w:r>
      <w:r>
        <w:rPr>
          <w:w w:val="95"/>
          <w:sz w:val="21"/>
        </w:rPr>
        <w:t>生</w:t>
      </w:r>
      <w:r>
        <w:rPr>
          <w:w w:val="95"/>
          <w:sz w:val="21"/>
        </w:rPr>
        <w:t>日当天）达</w:t>
      </w:r>
      <w:r>
        <w:rPr>
          <w:w w:val="95"/>
          <w:sz w:val="21"/>
        </w:rPr>
        <w:t>到</w:t>
      </w:r>
      <w:r>
        <w:rPr>
          <w:w w:val="95"/>
          <w:sz w:val="21"/>
        </w:rPr>
        <w:t>疾</w:t>
      </w:r>
      <w:r>
        <w:rPr>
          <w:w w:val="95"/>
          <w:sz w:val="21"/>
        </w:rPr>
        <w:t>病终末</w:t>
      </w:r>
      <w:r>
        <w:rPr>
          <w:w w:val="95"/>
          <w:sz w:val="21"/>
        </w:rPr>
        <w:t>期</w:t>
      </w:r>
      <w:r>
        <w:rPr>
          <w:w w:val="95"/>
          <w:sz w:val="21"/>
        </w:rPr>
        <w:t>阶</w:t>
      </w:r>
      <w:r>
        <w:rPr>
          <w:spacing w:val="-2"/>
          <w:sz w:val="21"/>
        </w:rPr>
        <w:t>段，我们将按照基本保险金额给付疾病终末期保险金。</w:t>
      </w:r>
    </w:p>
    <w:p>
      <w:pPr>
        <w:spacing w:after="0" w:line="244" w:lineRule="auto"/>
        <w:jc w:val="both"/>
        <w:rPr>
          <w:sz w:val="21"/>
        </w:rPr>
        <w:sectPr>
          <w:type w:val="continuous"/>
          <w:pgSz w:w="11910" w:h="16840"/>
          <w:pgMar w:header="877" w:footer="0" w:top="1100" w:bottom="280" w:left="1060" w:right="980"/>
          <w:cols w:num="2" w:equalWidth="0">
            <w:col w:w="2479" w:space="40"/>
            <w:col w:w="7351"/>
          </w:cols>
        </w:sectPr>
      </w:pPr>
    </w:p>
    <w:p>
      <w:pPr>
        <w:pStyle w:val="BodyText"/>
        <w:spacing w:before="11"/>
        <w:rPr>
          <w:sz w:val="11"/>
        </w:rPr>
      </w:pPr>
    </w:p>
    <w:p>
      <w:pPr>
        <w:spacing w:after="0"/>
        <w:rPr>
          <w:sz w:val="11"/>
        </w:rPr>
        <w:sectPr>
          <w:type w:val="continuous"/>
          <w:pgSz w:w="11910" w:h="16840"/>
          <w:pgMar w:header="877" w:footer="0" w:top="1100" w:bottom="280" w:left="1060" w:right="980"/>
        </w:sectPr>
      </w:pPr>
    </w:p>
    <w:p>
      <w:pPr>
        <w:spacing w:line="168" w:lineRule="auto" w:before="87"/>
        <w:ind w:left="1210" w:right="0" w:firstLine="0"/>
        <w:jc w:val="left"/>
        <w:rPr>
          <w:rFonts w:ascii="微软雅黑" w:eastAsia="微软雅黑"/>
          <w:b/>
          <w:sz w:val="21"/>
        </w:rPr>
      </w:pPr>
      <w:r>
        <w:rPr>
          <w:rFonts w:ascii="微软雅黑" w:eastAsia="微软雅黑"/>
          <w:b/>
          <w:spacing w:val="-2"/>
          <w:sz w:val="21"/>
        </w:rPr>
        <w:t>身故或全残保</w:t>
      </w:r>
      <w:r>
        <w:rPr>
          <w:rFonts w:ascii="微软雅黑" w:eastAsia="微软雅黑"/>
          <w:b/>
          <w:spacing w:val="-6"/>
          <w:sz w:val="21"/>
        </w:rPr>
        <w:t>险金</w:t>
      </w:r>
    </w:p>
    <w:p>
      <w:pPr>
        <w:pStyle w:val="BodyText"/>
        <w:spacing w:line="242" w:lineRule="auto" w:before="71"/>
        <w:ind w:left="286" w:right="333"/>
      </w:pPr>
      <w:r>
        <w:rPr/>
        <w:br w:type="column"/>
      </w:r>
      <w:r>
        <w:rPr>
          <w:spacing w:val="-2"/>
        </w:rPr>
        <w:t>被保险人因意外伤害或在等待期后因非意外伤害原因导致身故或全残的，</w:t>
      </w:r>
      <w:r>
        <w:rPr>
          <w:spacing w:val="-2"/>
        </w:rPr>
        <w:t>本合同终止，我们将按照以下约定给付身故或全残保险金：</w:t>
      </w:r>
    </w:p>
    <w:p>
      <w:pPr>
        <w:pStyle w:val="ListParagraph"/>
        <w:numPr>
          <w:ilvl w:val="0"/>
          <w:numId w:val="11"/>
        </w:numPr>
        <w:tabs>
          <w:tab w:pos="816" w:val="left" w:leader="none"/>
        </w:tabs>
        <w:spacing w:line="242" w:lineRule="auto" w:before="2" w:after="0"/>
        <w:ind w:left="812" w:right="230" w:hanging="526"/>
        <w:jc w:val="left"/>
        <w:rPr>
          <w:sz w:val="21"/>
        </w:rPr>
      </w:pPr>
      <w:r>
        <w:rPr>
          <w:spacing w:val="-7"/>
          <w:sz w:val="21"/>
        </w:rPr>
        <w:t>被保险人在年满 </w:t>
      </w:r>
      <w:r>
        <w:rPr>
          <w:sz w:val="21"/>
        </w:rPr>
        <w:t>18</w:t>
      </w:r>
      <w:r>
        <w:rPr>
          <w:spacing w:val="-15"/>
          <w:sz w:val="21"/>
        </w:rPr>
        <w:t> 周岁前</w:t>
      </w:r>
      <w:r>
        <w:rPr>
          <w:sz w:val="21"/>
        </w:rPr>
        <w:t>（</w:t>
      </w:r>
      <w:r>
        <w:rPr>
          <w:spacing w:val="-18"/>
          <w:sz w:val="21"/>
        </w:rPr>
        <w:t>不含 </w:t>
      </w:r>
      <w:r>
        <w:rPr>
          <w:sz w:val="21"/>
        </w:rPr>
        <w:t>18</w:t>
      </w:r>
      <w:r>
        <w:rPr>
          <w:spacing w:val="-9"/>
          <w:sz w:val="21"/>
        </w:rPr>
        <w:t> 周岁生日当天</w:t>
      </w:r>
      <w:r>
        <w:rPr>
          <w:sz w:val="21"/>
        </w:rPr>
        <w:t>）身故或全残的，</w:t>
      </w:r>
      <w:r>
        <w:rPr>
          <w:spacing w:val="-3"/>
          <w:sz w:val="21"/>
        </w:rPr>
        <w:t>我们将按照累计已交纳的保险费的 </w:t>
      </w:r>
      <w:r>
        <w:rPr>
          <w:sz w:val="21"/>
        </w:rPr>
        <w:t>300%给付身故或全残保险金；</w:t>
      </w:r>
    </w:p>
    <w:p>
      <w:pPr>
        <w:pStyle w:val="ListParagraph"/>
        <w:numPr>
          <w:ilvl w:val="0"/>
          <w:numId w:val="11"/>
        </w:numPr>
        <w:tabs>
          <w:tab w:pos="816" w:val="left" w:leader="none"/>
        </w:tabs>
        <w:spacing w:line="242" w:lineRule="auto" w:before="2" w:after="0"/>
        <w:ind w:left="812" w:right="352" w:hanging="526"/>
        <w:jc w:val="left"/>
        <w:rPr>
          <w:sz w:val="21"/>
        </w:rPr>
      </w:pPr>
      <w:r>
        <w:rPr>
          <w:spacing w:val="-5"/>
          <w:sz w:val="21"/>
        </w:rPr>
        <w:t>被保险人在年满 </w:t>
      </w:r>
      <w:r>
        <w:rPr>
          <w:sz w:val="21"/>
        </w:rPr>
        <w:t>18</w:t>
      </w:r>
      <w:r>
        <w:rPr>
          <w:spacing w:val="-11"/>
          <w:sz w:val="21"/>
        </w:rPr>
        <w:t> 周岁后</w:t>
      </w:r>
      <w:r>
        <w:rPr>
          <w:sz w:val="21"/>
        </w:rPr>
        <w:t>（</w:t>
      </w:r>
      <w:r>
        <w:rPr>
          <w:spacing w:val="-20"/>
          <w:sz w:val="21"/>
        </w:rPr>
        <w:t>含 </w:t>
      </w:r>
      <w:r>
        <w:rPr>
          <w:sz w:val="21"/>
        </w:rPr>
        <w:t>18</w:t>
      </w:r>
      <w:r>
        <w:rPr>
          <w:spacing w:val="-7"/>
          <w:sz w:val="21"/>
        </w:rPr>
        <w:t> 周岁生日当天</w:t>
      </w:r>
      <w:r>
        <w:rPr>
          <w:sz w:val="21"/>
        </w:rPr>
        <w:t>）身故或全残的，</w:t>
      </w:r>
      <w:r>
        <w:rPr>
          <w:spacing w:val="-2"/>
          <w:sz w:val="21"/>
        </w:rPr>
        <w:t>我们将按照基本保险金额给付身故或全残保险金。</w:t>
      </w:r>
    </w:p>
    <w:p>
      <w:pPr>
        <w:spacing w:after="0" w:line="242" w:lineRule="auto"/>
        <w:jc w:val="left"/>
        <w:rPr>
          <w:sz w:val="21"/>
        </w:rPr>
        <w:sectPr>
          <w:type w:val="continuous"/>
          <w:pgSz w:w="11910" w:h="16840"/>
          <w:pgMar w:header="877" w:footer="0" w:top="1100" w:bottom="280" w:left="1060" w:right="980"/>
          <w:cols w:num="2" w:equalWidth="0">
            <w:col w:w="2479" w:space="40"/>
            <w:col w:w="7351"/>
          </w:cols>
        </w:sectPr>
      </w:pPr>
    </w:p>
    <w:p>
      <w:pPr>
        <w:pStyle w:val="BodyText"/>
        <w:spacing w:before="1"/>
        <w:rPr>
          <w:sz w:val="12"/>
        </w:rPr>
      </w:pPr>
    </w:p>
    <w:p>
      <w:pPr>
        <w:tabs>
          <w:tab w:pos="2804" w:val="left" w:leader="none"/>
        </w:tabs>
        <w:spacing w:line="168" w:lineRule="auto" w:before="88"/>
        <w:ind w:left="3436" w:right="327" w:hanging="2226"/>
        <w:jc w:val="both"/>
        <w:rPr>
          <w:rFonts w:ascii="微软雅黑" w:eastAsia="微软雅黑"/>
          <w:b/>
          <w:sz w:val="21"/>
        </w:rPr>
      </w:pPr>
      <w:r>
        <w:rPr>
          <w:rFonts w:ascii="微软雅黑" w:eastAsia="微软雅黑"/>
          <w:b/>
          <w:spacing w:val="-4"/>
          <w:sz w:val="21"/>
        </w:rPr>
        <w:t>特</w:t>
      </w:r>
      <w:r>
        <w:rPr>
          <w:rFonts w:ascii="微软雅黑" w:eastAsia="微软雅黑"/>
          <w:b/>
          <w:spacing w:val="-4"/>
          <w:sz w:val="21"/>
        </w:rPr>
        <w:t>别</w:t>
      </w:r>
      <w:r>
        <w:rPr>
          <w:rFonts w:ascii="微软雅黑" w:eastAsia="微软雅黑"/>
          <w:b/>
          <w:spacing w:val="-4"/>
          <w:sz w:val="21"/>
        </w:rPr>
        <w:t>说</w:t>
      </w:r>
      <w:r>
        <w:rPr>
          <w:rFonts w:ascii="微软雅黑" w:eastAsia="微软雅黑"/>
          <w:b/>
          <w:spacing w:val="-4"/>
          <w:sz w:val="21"/>
        </w:rPr>
        <w:t>明</w:t>
      </w:r>
      <w:r>
        <w:rPr>
          <w:rFonts w:ascii="微软雅黑" w:eastAsia="微软雅黑"/>
          <w:b/>
          <w:sz w:val="21"/>
        </w:rPr>
        <w:tab/>
        <w:t>（1）</w:t>
      </w:r>
      <w:r>
        <w:rPr>
          <w:rFonts w:ascii="微软雅黑" w:eastAsia="微软雅黑"/>
          <w:b/>
          <w:spacing w:val="-4"/>
          <w:sz w:val="21"/>
        </w:rPr>
        <w:t> </w:t>
      </w:r>
      <w:r>
        <w:rPr>
          <w:rFonts w:ascii="微软雅黑" w:eastAsia="微软雅黑"/>
          <w:b/>
          <w:sz w:val="21"/>
        </w:rPr>
        <w:t>若被保险人因同一疾病原因、</w:t>
      </w:r>
      <w:r>
        <w:rPr>
          <w:rFonts w:ascii="微软雅黑" w:eastAsia="微软雅黑"/>
          <w:b/>
          <w:sz w:val="21"/>
        </w:rPr>
        <w:t>同一医疗行为或同一</w:t>
      </w:r>
      <w:r>
        <w:rPr>
          <w:rFonts w:ascii="微软雅黑" w:eastAsia="微软雅黑"/>
          <w:b/>
          <w:sz w:val="21"/>
        </w:rPr>
        <w:t>次意外伤害事</w:t>
      </w:r>
      <w:r>
        <w:rPr>
          <w:rFonts w:ascii="微软雅黑" w:eastAsia="微软雅黑"/>
          <w:b/>
          <w:sz w:val="21"/>
        </w:rPr>
        <w:t>故</w:t>
      </w:r>
      <w:r>
        <w:rPr>
          <w:rFonts w:ascii="微软雅黑" w:eastAsia="微软雅黑"/>
          <w:b/>
          <w:spacing w:val="-2"/>
          <w:sz w:val="21"/>
        </w:rPr>
        <w:t>导</w:t>
      </w:r>
      <w:r>
        <w:rPr>
          <w:rFonts w:ascii="微软雅黑" w:eastAsia="微软雅黑"/>
          <w:b/>
          <w:spacing w:val="-2"/>
          <w:sz w:val="21"/>
        </w:rPr>
        <w:t>致</w:t>
      </w:r>
      <w:r>
        <w:rPr>
          <w:rFonts w:ascii="微软雅黑" w:eastAsia="微软雅黑"/>
          <w:b/>
          <w:spacing w:val="-2"/>
          <w:sz w:val="21"/>
        </w:rPr>
        <w:t>其</w:t>
      </w:r>
      <w:r>
        <w:rPr>
          <w:rFonts w:ascii="微软雅黑" w:eastAsia="微软雅黑"/>
          <w:b/>
          <w:spacing w:val="-2"/>
          <w:sz w:val="21"/>
        </w:rPr>
        <w:t>发</w:t>
      </w:r>
      <w:r>
        <w:rPr>
          <w:rFonts w:ascii="微软雅黑" w:eastAsia="微软雅黑"/>
          <w:b/>
          <w:spacing w:val="-2"/>
          <w:sz w:val="21"/>
        </w:rPr>
        <w:t>生</w:t>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约定的</w:t>
      </w:r>
      <w:r>
        <w:rPr>
          <w:rFonts w:ascii="微软雅黑" w:eastAsia="微软雅黑"/>
          <w:b/>
          <w:spacing w:val="-2"/>
          <w:sz w:val="21"/>
        </w:rPr>
        <w:t>两</w:t>
      </w:r>
      <w:r>
        <w:rPr>
          <w:rFonts w:ascii="微软雅黑" w:eastAsia="微软雅黑"/>
          <w:b/>
          <w:spacing w:val="-2"/>
          <w:sz w:val="21"/>
        </w:rPr>
        <w:t>种</w:t>
      </w:r>
      <w:r>
        <w:rPr>
          <w:rFonts w:ascii="微软雅黑" w:eastAsia="微软雅黑"/>
          <w:b/>
          <w:spacing w:val="-2"/>
          <w:sz w:val="21"/>
        </w:rPr>
        <w:t>或</w:t>
      </w:r>
      <w:r>
        <w:rPr>
          <w:rFonts w:ascii="微软雅黑" w:eastAsia="微软雅黑"/>
          <w:b/>
          <w:spacing w:val="-2"/>
          <w:sz w:val="21"/>
        </w:rPr>
        <w:t>两</w:t>
      </w:r>
      <w:r>
        <w:rPr>
          <w:rFonts w:ascii="微软雅黑" w:eastAsia="微软雅黑"/>
          <w:b/>
          <w:spacing w:val="-2"/>
          <w:sz w:val="21"/>
        </w:rPr>
        <w:t>种</w:t>
      </w:r>
      <w:r>
        <w:rPr>
          <w:rFonts w:ascii="微软雅黑" w:eastAsia="微软雅黑"/>
          <w:b/>
          <w:spacing w:val="-2"/>
          <w:sz w:val="21"/>
        </w:rPr>
        <w:t>以</w:t>
      </w:r>
      <w:r>
        <w:rPr>
          <w:rFonts w:ascii="微软雅黑" w:eastAsia="微软雅黑"/>
          <w:b/>
          <w:spacing w:val="-2"/>
          <w:sz w:val="21"/>
        </w:rPr>
        <w:t>上</w:t>
      </w:r>
      <w:r>
        <w:rPr>
          <w:rFonts w:ascii="微软雅黑" w:eastAsia="微软雅黑"/>
          <w:b/>
          <w:spacing w:val="-2"/>
          <w:sz w:val="21"/>
        </w:rPr>
        <w:t>的</w:t>
      </w:r>
      <w:r>
        <w:rPr>
          <w:rFonts w:ascii="微软雅黑" w:eastAsia="微软雅黑"/>
          <w:b/>
          <w:spacing w:val="-2"/>
          <w:sz w:val="21"/>
        </w:rPr>
        <w:t>重大疾病，</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仅</w:t>
      </w:r>
      <w:r>
        <w:rPr>
          <w:rFonts w:ascii="微软雅黑" w:eastAsia="微软雅黑"/>
          <w:b/>
          <w:spacing w:val="-2"/>
          <w:sz w:val="21"/>
        </w:rPr>
        <w:t>按</w:t>
      </w:r>
      <w:r>
        <w:rPr>
          <w:rFonts w:ascii="微软雅黑" w:eastAsia="微软雅黑"/>
          <w:b/>
          <w:spacing w:val="-2"/>
          <w:sz w:val="21"/>
        </w:rPr>
        <w:t>一</w:t>
      </w:r>
      <w:r>
        <w:rPr>
          <w:rFonts w:ascii="微软雅黑" w:eastAsia="微软雅黑"/>
          <w:b/>
          <w:spacing w:val="-2"/>
          <w:sz w:val="21"/>
        </w:rPr>
        <w:t>种</w:t>
      </w:r>
      <w:r>
        <w:rPr>
          <w:rFonts w:ascii="微软雅黑" w:eastAsia="微软雅黑"/>
          <w:b/>
          <w:spacing w:val="-2"/>
          <w:sz w:val="21"/>
        </w:rPr>
        <w:t>给</w:t>
      </w:r>
      <w:r>
        <w:rPr>
          <w:rFonts w:ascii="微软雅黑" w:eastAsia="微软雅黑"/>
          <w:b/>
          <w:spacing w:val="-2"/>
          <w:sz w:val="21"/>
        </w:rPr>
        <w:t>付</w:t>
      </w:r>
      <w:r>
        <w:rPr>
          <w:rFonts w:ascii="微软雅黑" w:eastAsia="微软雅黑"/>
          <w:b/>
          <w:spacing w:val="-2"/>
          <w:sz w:val="21"/>
        </w:rPr>
        <w:t>一</w:t>
      </w:r>
      <w:r>
        <w:rPr>
          <w:rFonts w:ascii="微软雅黑" w:eastAsia="微软雅黑"/>
          <w:b/>
          <w:spacing w:val="-2"/>
          <w:sz w:val="21"/>
        </w:rPr>
        <w:t>次</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w:t>
      </w:r>
    </w:p>
    <w:p>
      <w:pPr>
        <w:pStyle w:val="ListParagraph"/>
        <w:numPr>
          <w:ilvl w:val="1"/>
          <w:numId w:val="11"/>
        </w:numPr>
        <w:tabs>
          <w:tab w:pos="3437" w:val="left" w:leader="none"/>
        </w:tabs>
        <w:spacing w:line="168" w:lineRule="auto" w:before="5" w:after="0"/>
        <w:ind w:left="3436" w:right="327" w:hanging="632"/>
        <w:jc w:val="both"/>
        <w:rPr>
          <w:rFonts w:ascii="微软雅黑" w:eastAsia="微软雅黑"/>
          <w:b/>
          <w:sz w:val="21"/>
        </w:rPr>
      </w:pPr>
      <w:r>
        <w:rPr>
          <w:rFonts w:ascii="微软雅黑" w:eastAsia="微软雅黑"/>
          <w:b/>
          <w:spacing w:val="-2"/>
          <w:sz w:val="21"/>
        </w:rPr>
        <w:t>若被保险人因同一疾病原因、同一医疗行为或同一次意外伤害事故</w:t>
      </w:r>
      <w:r>
        <w:rPr>
          <w:rFonts w:ascii="微软雅黑" w:eastAsia="微软雅黑"/>
          <w:b/>
          <w:spacing w:val="-2"/>
          <w:sz w:val="21"/>
        </w:rPr>
        <w:t>导致其发生本合同约定的两种或两种以上的中症疾病，我们仅按一</w:t>
      </w:r>
      <w:r>
        <w:rPr>
          <w:rFonts w:ascii="微软雅黑" w:eastAsia="微软雅黑"/>
          <w:b/>
          <w:spacing w:val="-2"/>
          <w:sz w:val="21"/>
        </w:rPr>
        <w:t>种给付一次保险金。</w:t>
      </w:r>
    </w:p>
    <w:p>
      <w:pPr>
        <w:pStyle w:val="ListParagraph"/>
        <w:numPr>
          <w:ilvl w:val="1"/>
          <w:numId w:val="11"/>
        </w:numPr>
        <w:tabs>
          <w:tab w:pos="3437" w:val="left" w:leader="none"/>
        </w:tabs>
        <w:spacing w:line="170" w:lineRule="auto" w:before="1" w:after="0"/>
        <w:ind w:left="3436" w:right="327" w:hanging="632"/>
        <w:jc w:val="both"/>
        <w:rPr>
          <w:rFonts w:ascii="微软雅黑" w:eastAsia="微软雅黑"/>
          <w:b/>
          <w:sz w:val="21"/>
        </w:rPr>
      </w:pPr>
      <w:r>
        <w:rPr>
          <w:rFonts w:ascii="微软雅黑" w:eastAsia="微软雅黑"/>
          <w:b/>
          <w:spacing w:val="-2"/>
          <w:sz w:val="21"/>
        </w:rPr>
        <w:t>若被保险人因同一疾病原因、同一医疗行为或同一次意外伤害事故</w:t>
      </w:r>
      <w:r>
        <w:rPr>
          <w:rFonts w:ascii="微软雅黑" w:eastAsia="微软雅黑"/>
          <w:b/>
          <w:spacing w:val="-2"/>
          <w:sz w:val="21"/>
        </w:rPr>
        <w:t>导致其发生本合同约定的两种或两种以上的轻症疾病，我们仅按一</w:t>
      </w:r>
    </w:p>
    <w:p>
      <w:pPr>
        <w:pStyle w:val="BodyText"/>
        <w:spacing w:before="3"/>
        <w:rPr>
          <w:rFonts w:ascii="微软雅黑"/>
          <w:b/>
          <w:sz w:val="14"/>
        </w:rPr>
      </w:pPr>
      <w:r>
        <w:rPr/>
        <w:drawing>
          <wp:anchor distT="0" distB="0" distL="0" distR="0" allowOverlap="1" layoutInCell="1" locked="0" behindDoc="0" simplePos="0" relativeHeight="5">
            <wp:simplePos x="0" y="0"/>
            <wp:positionH relativeFrom="page">
              <wp:posOffset>762304</wp:posOffset>
            </wp:positionH>
            <wp:positionV relativeFrom="paragraph">
              <wp:posOffset>181553</wp:posOffset>
            </wp:positionV>
            <wp:extent cx="1829130" cy="6096"/>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10" cstate="print"/>
                    <a:stretch>
                      <a:fillRect/>
                    </a:stretch>
                  </pic:blipFill>
                  <pic:spPr>
                    <a:xfrm>
                      <a:off x="0" y="0"/>
                      <a:ext cx="1829130" cy="6096"/>
                    </a:xfrm>
                    <a:prstGeom prst="rect">
                      <a:avLst/>
                    </a:prstGeom>
                  </pic:spPr>
                </pic:pic>
              </a:graphicData>
            </a:graphic>
          </wp:anchor>
        </w:drawing>
      </w:r>
    </w:p>
    <w:p>
      <w:pPr>
        <w:spacing w:line="329" w:lineRule="exact" w:before="32"/>
        <w:ind w:left="140" w:right="0" w:firstLine="0"/>
        <w:jc w:val="left"/>
        <w:rPr>
          <w:sz w:val="21"/>
        </w:rPr>
      </w:pPr>
      <w:r>
        <w:rPr>
          <w:spacing w:val="-2"/>
          <w:position w:val="11"/>
          <w:sz w:val="11"/>
        </w:rPr>
        <w:t>17</w:t>
      </w:r>
      <w:r>
        <w:rPr>
          <w:spacing w:val="57"/>
          <w:w w:val="150"/>
          <w:position w:val="11"/>
          <w:sz w:val="11"/>
        </w:rPr>
        <w:t> </w:t>
      </w:r>
      <w:r>
        <w:rPr>
          <w:rFonts w:ascii="微软雅黑" w:hAnsi="微软雅黑" w:eastAsia="微软雅黑"/>
          <w:b/>
          <w:spacing w:val="-2"/>
          <w:sz w:val="21"/>
        </w:rPr>
        <w:t>严重脑中风后遗症</w:t>
      </w:r>
      <w:r>
        <w:rPr>
          <w:spacing w:val="-3"/>
          <w:sz w:val="21"/>
        </w:rPr>
        <w:t>：指符合本合同附表一约定的疾病定义所述条件的“严重脑中风后遗症”。</w:t>
      </w:r>
    </w:p>
    <w:p>
      <w:pPr>
        <w:spacing w:line="329" w:lineRule="exact" w:before="0"/>
        <w:ind w:left="140" w:right="0" w:firstLine="0"/>
        <w:jc w:val="left"/>
        <w:rPr>
          <w:sz w:val="21"/>
        </w:rPr>
      </w:pPr>
      <w:r>
        <w:rPr>
          <w:spacing w:val="-2"/>
          <w:position w:val="11"/>
          <w:sz w:val="11"/>
        </w:rPr>
        <w:t>18</w:t>
      </w:r>
      <w:r>
        <w:rPr>
          <w:spacing w:val="57"/>
          <w:w w:val="150"/>
          <w:position w:val="11"/>
          <w:sz w:val="11"/>
        </w:rPr>
        <w:t> </w:t>
      </w:r>
      <w:r>
        <w:rPr>
          <w:rFonts w:ascii="微软雅黑" w:hAnsi="微软雅黑" w:eastAsia="微软雅黑"/>
          <w:b/>
          <w:spacing w:val="-2"/>
          <w:sz w:val="21"/>
        </w:rPr>
        <w:t>较重急性心肌梗死</w:t>
      </w:r>
      <w:r>
        <w:rPr>
          <w:spacing w:val="-3"/>
          <w:sz w:val="21"/>
        </w:rPr>
        <w:t>：指符合本合同附表一约定的疾病定义所述条件的“较重急性心肌梗死”。</w:t>
      </w:r>
    </w:p>
    <w:p>
      <w:pPr>
        <w:spacing w:after="0" w:line="329" w:lineRule="exact"/>
        <w:jc w:val="left"/>
        <w:rPr>
          <w:sz w:val="21"/>
        </w:rPr>
        <w:sectPr>
          <w:type w:val="continuous"/>
          <w:pgSz w:w="11910" w:h="16840"/>
          <w:pgMar w:header="877" w:footer="0" w:top="1100" w:bottom="280" w:left="1060" w:right="980"/>
        </w:sectPr>
      </w:pPr>
    </w:p>
    <w:p>
      <w:pPr>
        <w:spacing w:line="329" w:lineRule="exact" w:before="15"/>
        <w:ind w:left="445" w:right="1536" w:firstLine="0"/>
        <w:jc w:val="center"/>
        <w:rPr>
          <w:rFonts w:ascii="微软雅黑" w:eastAsia="微软雅黑"/>
          <w:b/>
          <w:sz w:val="21"/>
        </w:rPr>
      </w:pPr>
      <w:r>
        <w:rPr>
          <w:rFonts w:ascii="微软雅黑" w:eastAsia="微软雅黑"/>
          <w:b/>
          <w:spacing w:val="-2"/>
          <w:sz w:val="21"/>
        </w:rPr>
        <w:t>种给付一次保险金。</w:t>
      </w:r>
    </w:p>
    <w:p>
      <w:pPr>
        <w:pStyle w:val="ListParagraph"/>
        <w:numPr>
          <w:ilvl w:val="1"/>
          <w:numId w:val="11"/>
        </w:numPr>
        <w:tabs>
          <w:tab w:pos="3437" w:val="left" w:leader="none"/>
        </w:tabs>
        <w:spacing w:line="168" w:lineRule="auto" w:before="26" w:after="0"/>
        <w:ind w:left="3436" w:right="327" w:hanging="632"/>
        <w:jc w:val="both"/>
        <w:rPr>
          <w:rFonts w:ascii="微软雅黑" w:eastAsia="微软雅黑"/>
          <w:b/>
          <w:sz w:val="21"/>
        </w:rPr>
      </w:pPr>
      <w:r>
        <w:rPr>
          <w:rFonts w:ascii="微软雅黑" w:eastAsia="微软雅黑"/>
          <w:b/>
          <w:spacing w:val="-2"/>
          <w:sz w:val="21"/>
        </w:rPr>
        <w:t>若被保险人因同一疾病原因、同一医疗行为或同一次意外伤害事故</w:t>
      </w:r>
      <w:r>
        <w:rPr>
          <w:rFonts w:ascii="微软雅黑" w:eastAsia="微软雅黑"/>
          <w:b/>
          <w:spacing w:val="-2"/>
          <w:sz w:val="21"/>
        </w:rPr>
        <w:t>导致其发生本合同约定的重大疾病、中症疾病或轻症疾病中任意两</w:t>
      </w:r>
      <w:r>
        <w:rPr>
          <w:rFonts w:ascii="微软雅黑" w:eastAsia="微软雅黑"/>
          <w:b/>
          <w:spacing w:val="-2"/>
          <w:sz w:val="21"/>
        </w:rPr>
        <w:t>项及以上的，我们仅给付其中金额最高的一项保险金。</w:t>
      </w:r>
    </w:p>
    <w:p>
      <w:pPr>
        <w:pStyle w:val="ListParagraph"/>
        <w:numPr>
          <w:ilvl w:val="1"/>
          <w:numId w:val="11"/>
        </w:numPr>
        <w:tabs>
          <w:tab w:pos="3437" w:val="left" w:leader="none"/>
        </w:tabs>
        <w:spacing w:line="168" w:lineRule="auto" w:before="5" w:after="0"/>
        <w:ind w:left="3436" w:right="220" w:hanging="632"/>
        <w:jc w:val="left"/>
        <w:rPr>
          <w:rFonts w:ascii="微软雅黑" w:eastAsia="微软雅黑"/>
          <w:b/>
          <w:sz w:val="21"/>
        </w:rPr>
      </w:pPr>
      <w:r>
        <w:rPr>
          <w:rFonts w:ascii="微软雅黑" w:eastAsia="微软雅黑"/>
          <w:b/>
          <w:spacing w:val="-13"/>
          <w:sz w:val="21"/>
        </w:rPr>
        <w:t>重大疾病保险金、身故或全残保险金、疾病终末期保险金不可兼得，</w:t>
      </w:r>
      <w:r>
        <w:rPr>
          <w:rFonts w:ascii="微软雅黑" w:eastAsia="微软雅黑"/>
          <w:b/>
          <w:spacing w:val="-2"/>
          <w:sz w:val="21"/>
        </w:rPr>
        <w:t>即若我们已经给付或应给付上述三项保险金中的任何一项，则其余</w:t>
      </w:r>
      <w:r>
        <w:rPr>
          <w:rFonts w:ascii="微软雅黑" w:eastAsia="微软雅黑"/>
          <w:b/>
          <w:spacing w:val="-2"/>
          <w:sz w:val="21"/>
        </w:rPr>
        <w:t>两项保险金将不再给付。</w:t>
      </w:r>
    </w:p>
    <w:p>
      <w:pPr>
        <w:pStyle w:val="BodyText"/>
        <w:spacing w:before="15"/>
        <w:rPr>
          <w:rFonts w:ascii="微软雅黑"/>
          <w:b/>
          <w:sz w:val="7"/>
        </w:rPr>
      </w:pPr>
    </w:p>
    <w:p>
      <w:pPr>
        <w:pStyle w:val="ListParagraph"/>
        <w:numPr>
          <w:ilvl w:val="1"/>
          <w:numId w:val="6"/>
        </w:numPr>
        <w:tabs>
          <w:tab w:pos="1210" w:val="left" w:leader="none"/>
          <w:tab w:pos="1211" w:val="left" w:leader="none"/>
        </w:tabs>
        <w:spacing w:line="240" w:lineRule="auto" w:before="2" w:after="0"/>
        <w:ind w:left="1210" w:right="0" w:hanging="958"/>
        <w:jc w:val="left"/>
        <w:rPr>
          <w:rFonts w:ascii="Microsoft JhengHei" w:eastAsia="Microsoft JhengHei"/>
          <w:b/>
          <w:sz w:val="21"/>
        </w:rPr>
      </w:pPr>
      <w:r>
        <w:rPr>
          <w:rFonts w:ascii="Microsoft JhengHei" w:eastAsia="Microsoft JhengHei"/>
          <w:b/>
          <w:spacing w:val="-3"/>
          <w:sz w:val="21"/>
        </w:rPr>
        <w:t>责任免除</w:t>
      </w:r>
    </w:p>
    <w:p>
      <w:pPr>
        <w:pStyle w:val="BodyText"/>
        <w:spacing w:before="6"/>
        <w:rPr>
          <w:rFonts w:ascii="Microsoft JhengHei"/>
          <w:b/>
          <w:sz w:val="11"/>
        </w:rPr>
      </w:pPr>
    </w:p>
    <w:p>
      <w:pPr>
        <w:spacing w:after="0"/>
        <w:rPr>
          <w:rFonts w:ascii="Microsoft JhengHei"/>
          <w:sz w:val="11"/>
        </w:rPr>
        <w:sectPr>
          <w:pgSz w:w="11910" w:h="16840"/>
          <w:pgMar w:header="877" w:footer="0" w:top="1100" w:bottom="280" w:left="1060" w:right="980"/>
        </w:sectPr>
      </w:pPr>
    </w:p>
    <w:p>
      <w:pPr>
        <w:spacing w:line="168" w:lineRule="auto" w:before="86"/>
        <w:ind w:left="1210" w:right="0" w:firstLine="0"/>
        <w:jc w:val="both"/>
        <w:rPr>
          <w:rFonts w:ascii="Microsoft JhengHei" w:eastAsia="Microsoft JhengHei"/>
          <w:b/>
          <w:sz w:val="21"/>
        </w:rPr>
      </w:pPr>
      <w:r>
        <w:rPr>
          <w:rFonts w:ascii="Microsoft JhengHei" w:eastAsia="Microsoft JhengHei"/>
          <w:b/>
          <w:spacing w:val="-2"/>
          <w:sz w:val="21"/>
        </w:rPr>
        <w:t>除身故或全残</w:t>
      </w:r>
      <w:r>
        <w:rPr>
          <w:rFonts w:ascii="Microsoft JhengHei" w:eastAsia="Microsoft JhengHei"/>
          <w:b/>
          <w:spacing w:val="-2"/>
          <w:sz w:val="21"/>
        </w:rPr>
        <w:t>保险金外的其</w:t>
      </w:r>
      <w:r>
        <w:rPr>
          <w:rFonts w:ascii="Microsoft JhengHei" w:eastAsia="Microsoft JhengHei"/>
          <w:b/>
          <w:spacing w:val="-2"/>
          <w:sz w:val="21"/>
        </w:rPr>
        <w:t>他保险金责任</w:t>
      </w:r>
      <w:r>
        <w:rPr>
          <w:rFonts w:ascii="Microsoft JhengHei" w:eastAsia="Microsoft JhengHei"/>
          <w:b/>
          <w:spacing w:val="-6"/>
          <w:sz w:val="21"/>
        </w:rPr>
        <w:t>免除</w:t>
      </w:r>
    </w:p>
    <w:p>
      <w:pPr>
        <w:pStyle w:val="BodyText"/>
        <w:spacing w:line="266" w:lineRule="auto" w:before="72"/>
        <w:ind w:left="286" w:right="333"/>
        <w:jc w:val="both"/>
        <w:rPr>
          <w:rFonts w:ascii="宋体" w:hAnsi="宋体" w:eastAsia="宋体"/>
        </w:rPr>
      </w:pPr>
      <w:r>
        <w:rPr/>
        <w:br w:type="column"/>
      </w:r>
      <w:r>
        <w:rPr>
          <w:rFonts w:ascii="宋体" w:hAnsi="宋体" w:eastAsia="宋体"/>
          <w:spacing w:val="-2"/>
        </w:rPr>
        <w:t>身故或全残保险金以外的其他保险金包括重大疾病保险金、中症疾病保险</w:t>
      </w:r>
      <w:r>
        <w:rPr>
          <w:rFonts w:ascii="宋体" w:hAnsi="宋体" w:eastAsia="宋体"/>
          <w:spacing w:val="-2"/>
        </w:rPr>
        <w:t>金、轻症疾病保险金、重大疾病特别关爱保险金、“恶性肿瘤——轻度”</w:t>
      </w:r>
      <w:r>
        <w:rPr>
          <w:rFonts w:ascii="宋体" w:hAnsi="宋体" w:eastAsia="宋体"/>
          <w:spacing w:val="-2"/>
        </w:rPr>
        <w:t>二次给付保险金、“恶性肿瘤——重度”二次给付保险金、严重脑中风后</w:t>
      </w:r>
      <w:r>
        <w:rPr>
          <w:rFonts w:ascii="宋体" w:hAnsi="宋体" w:eastAsia="宋体"/>
          <w:spacing w:val="-2"/>
        </w:rPr>
        <w:t>遗症二次给付保险金、较重急性心肌梗死二次给付保险金、疾病终末期保</w:t>
      </w:r>
      <w:r>
        <w:rPr>
          <w:rFonts w:ascii="宋体" w:hAnsi="宋体" w:eastAsia="宋体"/>
          <w:spacing w:val="-2"/>
        </w:rPr>
        <w:t>险金及重大疾病/中症疾病/轻症疾病豁免保险费。因下列情形之一导致被</w:t>
      </w:r>
      <w:r>
        <w:rPr>
          <w:rFonts w:ascii="宋体" w:hAnsi="宋体" w:eastAsia="宋体"/>
          <w:spacing w:val="-2"/>
        </w:rPr>
        <w:t>保险人发生本合同约定的重大疾病、中症疾病、轻症疾病或达到疾病终末</w:t>
      </w:r>
      <w:r>
        <w:rPr>
          <w:rFonts w:ascii="宋体" w:hAnsi="宋体" w:eastAsia="宋体"/>
          <w:spacing w:val="-2"/>
        </w:rPr>
        <w:t>期阶段的，我们不承担保险责任：</w:t>
      </w:r>
    </w:p>
    <w:p>
      <w:pPr>
        <w:pStyle w:val="ListParagraph"/>
        <w:numPr>
          <w:ilvl w:val="0"/>
          <w:numId w:val="12"/>
        </w:numPr>
        <w:tabs>
          <w:tab w:pos="911" w:val="left" w:leader="none"/>
        </w:tabs>
        <w:spacing w:line="240" w:lineRule="auto" w:before="5" w:after="0"/>
        <w:ind w:left="911" w:right="0" w:hanging="625"/>
        <w:jc w:val="both"/>
        <w:rPr>
          <w:rFonts w:ascii="宋体" w:eastAsia="宋体"/>
          <w:sz w:val="21"/>
        </w:rPr>
      </w:pPr>
      <w:r>
        <w:rPr>
          <w:rFonts w:ascii="宋体" w:eastAsia="宋体"/>
          <w:spacing w:val="-3"/>
          <w:sz w:val="21"/>
        </w:rPr>
        <w:t>您对被保险人的故意杀害、故意伤害；</w:t>
      </w:r>
    </w:p>
    <w:p>
      <w:pPr>
        <w:pStyle w:val="ListParagraph"/>
        <w:numPr>
          <w:ilvl w:val="0"/>
          <w:numId w:val="12"/>
        </w:numPr>
        <w:tabs>
          <w:tab w:pos="911" w:val="left" w:leader="none"/>
        </w:tabs>
        <w:spacing w:line="240" w:lineRule="auto" w:before="5" w:after="0"/>
        <w:ind w:left="911" w:right="0" w:hanging="625"/>
        <w:jc w:val="both"/>
        <w:rPr>
          <w:rFonts w:ascii="宋体" w:eastAsia="宋体"/>
          <w:sz w:val="21"/>
        </w:rPr>
      </w:pPr>
      <w:r>
        <w:rPr>
          <w:rFonts w:ascii="宋体" w:eastAsia="宋体"/>
          <w:spacing w:val="-3"/>
          <w:sz w:val="21"/>
        </w:rPr>
        <w:t>被保险人故意犯罪或者抗拒依法采取的刑事强制措施；</w:t>
      </w:r>
    </w:p>
    <w:p>
      <w:pPr>
        <w:pStyle w:val="ListParagraph"/>
        <w:numPr>
          <w:ilvl w:val="0"/>
          <w:numId w:val="12"/>
        </w:numPr>
        <w:tabs>
          <w:tab w:pos="911" w:val="left" w:leader="none"/>
        </w:tabs>
        <w:spacing w:line="244" w:lineRule="auto" w:before="2" w:after="0"/>
        <w:ind w:left="910" w:right="338" w:hanging="624"/>
        <w:jc w:val="both"/>
        <w:rPr>
          <w:rFonts w:ascii="宋体" w:eastAsia="宋体"/>
          <w:sz w:val="21"/>
        </w:rPr>
      </w:pPr>
      <w:r>
        <w:rPr>
          <w:rFonts w:ascii="宋体" w:eastAsia="宋体"/>
          <w:w w:val="95"/>
          <w:sz w:val="21"/>
        </w:rPr>
        <w:t>被</w:t>
      </w:r>
      <w:r>
        <w:rPr>
          <w:rFonts w:ascii="宋体" w:eastAsia="宋体"/>
          <w:w w:val="95"/>
          <w:sz w:val="21"/>
        </w:rPr>
        <w:t>保</w:t>
      </w:r>
      <w:r>
        <w:rPr>
          <w:rFonts w:ascii="宋体" w:eastAsia="宋体"/>
          <w:w w:val="95"/>
          <w:sz w:val="21"/>
        </w:rPr>
        <w:t>险人故意自伤、或自</w:t>
      </w:r>
      <w:r>
        <w:rPr>
          <w:rFonts w:ascii="宋体" w:eastAsia="宋体"/>
          <w:w w:val="95"/>
          <w:sz w:val="21"/>
        </w:rPr>
        <w:t>本</w:t>
      </w:r>
      <w:r>
        <w:rPr>
          <w:rFonts w:ascii="宋体" w:eastAsia="宋体"/>
          <w:w w:val="95"/>
          <w:sz w:val="21"/>
        </w:rPr>
        <w:t>合</w:t>
      </w:r>
      <w:r>
        <w:rPr>
          <w:rFonts w:ascii="宋体" w:eastAsia="宋体"/>
          <w:w w:val="95"/>
          <w:sz w:val="21"/>
        </w:rPr>
        <w:t>同成立或本合同效力</w:t>
      </w:r>
      <w:r>
        <w:rPr>
          <w:rFonts w:ascii="宋体" w:eastAsia="宋体"/>
          <w:w w:val="95"/>
          <w:sz w:val="21"/>
        </w:rPr>
        <w:t>恢</w:t>
      </w:r>
      <w:r>
        <w:rPr>
          <w:rFonts w:ascii="宋体" w:eastAsia="宋体"/>
          <w:w w:val="95"/>
          <w:sz w:val="21"/>
        </w:rPr>
        <w:t>复</w:t>
      </w:r>
      <w:r>
        <w:rPr>
          <w:rFonts w:ascii="宋体" w:eastAsia="宋体"/>
          <w:w w:val="95"/>
          <w:sz w:val="21"/>
        </w:rPr>
        <w:t>之日起</w:t>
      </w:r>
      <w:r>
        <w:rPr>
          <w:rFonts w:ascii="宋体" w:eastAsia="宋体"/>
          <w:sz w:val="21"/>
        </w:rPr>
        <w:t> </w:t>
      </w:r>
      <w:r>
        <w:rPr>
          <w:rFonts w:ascii="宋体" w:eastAsia="宋体"/>
          <w:w w:val="95"/>
          <w:sz w:val="21"/>
        </w:rPr>
        <w:t>2</w:t>
      </w:r>
      <w:r>
        <w:rPr>
          <w:rFonts w:ascii="宋体" w:eastAsia="宋体"/>
          <w:sz w:val="21"/>
        </w:rPr>
        <w:t> </w:t>
      </w:r>
      <w:r>
        <w:rPr>
          <w:rFonts w:ascii="宋体" w:eastAsia="宋体"/>
          <w:w w:val="95"/>
          <w:sz w:val="21"/>
        </w:rPr>
        <w:t>年</w:t>
      </w:r>
      <w:r>
        <w:rPr>
          <w:rFonts w:ascii="宋体" w:eastAsia="宋体"/>
          <w:spacing w:val="-2"/>
          <w:sz w:val="21"/>
        </w:rPr>
        <w:t>内自杀，但被保险人自杀时为无民事行为能力人的除外；</w:t>
      </w:r>
    </w:p>
    <w:p>
      <w:pPr>
        <w:pStyle w:val="ListParagraph"/>
        <w:numPr>
          <w:ilvl w:val="0"/>
          <w:numId w:val="12"/>
        </w:numPr>
        <w:tabs>
          <w:tab w:pos="911" w:val="left" w:leader="none"/>
        </w:tabs>
        <w:spacing w:line="256" w:lineRule="exact" w:before="0" w:after="0"/>
        <w:ind w:left="911" w:right="0" w:hanging="625"/>
        <w:jc w:val="both"/>
        <w:rPr>
          <w:rFonts w:ascii="宋体" w:eastAsia="宋体"/>
          <w:sz w:val="21"/>
        </w:rPr>
      </w:pPr>
      <w:r>
        <w:rPr>
          <w:rFonts w:ascii="宋体" w:eastAsia="宋体"/>
          <w:spacing w:val="-2"/>
          <w:sz w:val="21"/>
        </w:rPr>
        <w:t>被保险人服用、吸食或注射</w:t>
      </w:r>
      <w:r>
        <w:rPr>
          <w:rFonts w:ascii="Microsoft JhengHei" w:eastAsia="Microsoft JhengHei"/>
          <w:b/>
          <w:spacing w:val="-2"/>
          <w:sz w:val="21"/>
        </w:rPr>
        <w:t>毒品</w:t>
      </w:r>
      <w:r>
        <w:rPr>
          <w:rFonts w:ascii="宋体" w:eastAsia="宋体"/>
          <w:spacing w:val="-5"/>
          <w:position w:val="11"/>
          <w:sz w:val="11"/>
        </w:rPr>
        <w:t>19</w:t>
      </w:r>
      <w:r>
        <w:rPr>
          <w:rFonts w:ascii="宋体" w:eastAsia="宋体"/>
          <w:spacing w:val="-5"/>
          <w:sz w:val="21"/>
        </w:rPr>
        <w:t>；</w:t>
      </w:r>
    </w:p>
    <w:p>
      <w:pPr>
        <w:pStyle w:val="ListParagraph"/>
        <w:numPr>
          <w:ilvl w:val="0"/>
          <w:numId w:val="12"/>
        </w:numPr>
        <w:tabs>
          <w:tab w:pos="911" w:val="left" w:leader="none"/>
        </w:tabs>
        <w:spacing w:line="168" w:lineRule="auto" w:before="27" w:after="0"/>
        <w:ind w:left="910" w:right="326" w:hanging="624"/>
        <w:jc w:val="both"/>
        <w:rPr>
          <w:rFonts w:ascii="宋体" w:eastAsia="宋体"/>
          <w:sz w:val="21"/>
        </w:rPr>
      </w:pPr>
      <w:r>
        <w:rPr>
          <w:rFonts w:ascii="宋体" w:eastAsia="宋体"/>
          <w:spacing w:val="-2"/>
          <w:sz w:val="21"/>
        </w:rPr>
        <w:t>被保险人</w:t>
      </w:r>
      <w:r>
        <w:rPr>
          <w:rFonts w:ascii="Microsoft JhengHei" w:eastAsia="Microsoft JhengHei"/>
          <w:b/>
          <w:spacing w:val="-2"/>
          <w:sz w:val="21"/>
        </w:rPr>
        <w:t>酒后驾驶</w:t>
      </w:r>
      <w:r>
        <w:rPr>
          <w:rFonts w:ascii="宋体" w:eastAsia="宋体"/>
          <w:spacing w:val="-2"/>
          <w:position w:val="11"/>
          <w:sz w:val="11"/>
        </w:rPr>
        <w:t>20</w:t>
      </w:r>
      <w:r>
        <w:rPr>
          <w:rFonts w:ascii="宋体" w:eastAsia="宋体"/>
          <w:spacing w:val="-2"/>
          <w:sz w:val="21"/>
        </w:rPr>
        <w:t>，</w:t>
      </w:r>
      <w:r>
        <w:rPr>
          <w:rFonts w:ascii="Microsoft JhengHei" w:eastAsia="Microsoft JhengHei"/>
          <w:b/>
          <w:spacing w:val="-2"/>
          <w:sz w:val="21"/>
        </w:rPr>
        <w:t>无合法有效驾驶证驾驶</w:t>
      </w:r>
      <w:r>
        <w:rPr>
          <w:rFonts w:ascii="宋体" w:eastAsia="宋体"/>
          <w:spacing w:val="-2"/>
          <w:position w:val="11"/>
          <w:sz w:val="11"/>
        </w:rPr>
        <w:t>21</w:t>
      </w:r>
      <w:r>
        <w:rPr>
          <w:rFonts w:ascii="宋体" w:eastAsia="宋体"/>
          <w:spacing w:val="-2"/>
          <w:sz w:val="21"/>
        </w:rPr>
        <w:t>，或驾驶</w:t>
      </w:r>
      <w:r>
        <w:rPr>
          <w:rFonts w:ascii="Microsoft JhengHei" w:eastAsia="Microsoft JhengHei"/>
          <w:b/>
          <w:spacing w:val="-2"/>
          <w:sz w:val="21"/>
        </w:rPr>
        <w:t>无有效行驶</w:t>
      </w:r>
      <w:r>
        <w:rPr>
          <w:rFonts w:ascii="Microsoft JhengHei" w:eastAsia="Microsoft JhengHei"/>
          <w:b/>
          <w:spacing w:val="-2"/>
          <w:sz w:val="21"/>
        </w:rPr>
        <w:t>证</w:t>
      </w:r>
      <w:r>
        <w:rPr>
          <w:rFonts w:ascii="宋体" w:eastAsia="宋体"/>
          <w:spacing w:val="-2"/>
          <w:position w:val="11"/>
          <w:sz w:val="11"/>
        </w:rPr>
        <w:t>22</w:t>
      </w:r>
      <w:r>
        <w:rPr>
          <w:rFonts w:ascii="宋体" w:eastAsia="宋体"/>
          <w:spacing w:val="-2"/>
          <w:sz w:val="21"/>
        </w:rPr>
        <w:t>的</w:t>
      </w:r>
      <w:r>
        <w:rPr>
          <w:rFonts w:ascii="Microsoft JhengHei" w:eastAsia="Microsoft JhengHei"/>
          <w:b/>
          <w:spacing w:val="-2"/>
          <w:sz w:val="21"/>
        </w:rPr>
        <w:t>机动车</w:t>
      </w:r>
      <w:r>
        <w:rPr>
          <w:rFonts w:ascii="宋体" w:eastAsia="宋体"/>
          <w:spacing w:val="-2"/>
          <w:position w:val="11"/>
          <w:sz w:val="11"/>
        </w:rPr>
        <w:t>23</w:t>
      </w:r>
      <w:r>
        <w:rPr>
          <w:rFonts w:ascii="宋体" w:eastAsia="宋体"/>
          <w:spacing w:val="-2"/>
          <w:sz w:val="21"/>
        </w:rPr>
        <w:t>；</w:t>
      </w:r>
    </w:p>
    <w:p>
      <w:pPr>
        <w:pStyle w:val="ListParagraph"/>
        <w:numPr>
          <w:ilvl w:val="0"/>
          <w:numId w:val="12"/>
        </w:numPr>
        <w:tabs>
          <w:tab w:pos="911" w:val="left" w:leader="none"/>
        </w:tabs>
        <w:spacing w:line="307" w:lineRule="exact" w:before="0" w:after="0"/>
        <w:ind w:left="911" w:right="0" w:hanging="625"/>
        <w:jc w:val="both"/>
        <w:rPr>
          <w:rFonts w:ascii="宋体" w:eastAsia="宋体"/>
          <w:sz w:val="21"/>
        </w:rPr>
      </w:pPr>
      <w:r>
        <w:rPr>
          <w:rFonts w:ascii="宋体" w:eastAsia="宋体"/>
          <w:spacing w:val="-2"/>
          <w:sz w:val="21"/>
        </w:rPr>
        <w:t>被保险人</w:t>
      </w:r>
      <w:r>
        <w:rPr>
          <w:rFonts w:ascii="Microsoft JhengHei" w:eastAsia="Microsoft JhengHei"/>
          <w:b/>
          <w:spacing w:val="-2"/>
          <w:sz w:val="21"/>
        </w:rPr>
        <w:t>感染艾滋病病毒或患艾滋病</w:t>
      </w:r>
      <w:r>
        <w:rPr>
          <w:rFonts w:ascii="宋体" w:eastAsia="宋体"/>
          <w:spacing w:val="-5"/>
          <w:position w:val="11"/>
          <w:sz w:val="11"/>
        </w:rPr>
        <w:t>24</w:t>
      </w:r>
      <w:r>
        <w:rPr>
          <w:rFonts w:ascii="宋体" w:eastAsia="宋体"/>
          <w:spacing w:val="-5"/>
          <w:sz w:val="21"/>
        </w:rPr>
        <w:t>；</w:t>
      </w:r>
    </w:p>
    <w:p>
      <w:pPr>
        <w:spacing w:after="0" w:line="307" w:lineRule="exact"/>
        <w:jc w:val="both"/>
        <w:rPr>
          <w:rFonts w:ascii="宋体" w:eastAsia="宋体"/>
          <w:sz w:val="21"/>
        </w:rPr>
        <w:sectPr>
          <w:type w:val="continuous"/>
          <w:pgSz w:w="11910" w:h="16840"/>
          <w:pgMar w:header="877" w:footer="0" w:top="1100" w:bottom="280" w:left="1060" w:right="980"/>
          <w:cols w:num="2" w:equalWidth="0">
            <w:col w:w="2479" w:space="40"/>
            <w:col w:w="7351"/>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4" w:after="1"/>
        <w:rPr>
          <w:rFonts w:ascii="宋体"/>
          <w:sz w:val="20"/>
        </w:rPr>
      </w:pPr>
    </w:p>
    <w:p>
      <w:pPr>
        <w:pStyle w:val="BodyText"/>
        <w:spacing w:line="20" w:lineRule="exact"/>
        <w:ind w:left="140"/>
        <w:rPr>
          <w:rFonts w:ascii="宋体"/>
          <w:sz w:val="2"/>
        </w:rPr>
      </w:pPr>
      <w:r>
        <w:rPr>
          <w:rFonts w:ascii="宋体"/>
          <w:sz w:val="2"/>
        </w:rPr>
        <w:drawing>
          <wp:inline distT="0" distB="0" distL="0" distR="0">
            <wp:extent cx="1829015" cy="6096"/>
            <wp:effectExtent l="0" t="0" r="0" b="0"/>
            <wp:docPr id="17" name="image4.png"/>
            <wp:cNvGraphicFramePr>
              <a:graphicFrameLocks noChangeAspect="1"/>
            </wp:cNvGraphicFramePr>
            <a:graphic>
              <a:graphicData uri="http://schemas.openxmlformats.org/drawingml/2006/picture">
                <pic:pic>
                  <pic:nvPicPr>
                    <pic:cNvPr id="18" name="image4.png"/>
                    <pic:cNvPicPr/>
                  </pic:nvPicPr>
                  <pic:blipFill>
                    <a:blip r:embed="rId9" cstate="print"/>
                    <a:stretch>
                      <a:fillRect/>
                    </a:stretch>
                  </pic:blipFill>
                  <pic:spPr>
                    <a:xfrm>
                      <a:off x="0" y="0"/>
                      <a:ext cx="1829015" cy="6096"/>
                    </a:xfrm>
                    <a:prstGeom prst="rect">
                      <a:avLst/>
                    </a:prstGeom>
                  </pic:spPr>
                </pic:pic>
              </a:graphicData>
            </a:graphic>
          </wp:inline>
        </w:drawing>
      </w:r>
      <w:r>
        <w:rPr>
          <w:rFonts w:ascii="宋体"/>
          <w:sz w:val="2"/>
        </w:rPr>
      </w:r>
    </w:p>
    <w:p>
      <w:pPr>
        <w:pStyle w:val="BodyText"/>
        <w:spacing w:line="220" w:lineRule="auto" w:before="42"/>
        <w:ind w:left="351" w:right="259" w:hanging="212"/>
        <w:jc w:val="both"/>
      </w:pPr>
      <w:r>
        <w:rPr>
          <w:position w:val="11"/>
          <w:sz w:val="11"/>
        </w:rPr>
        <w:t>19 </w:t>
      </w:r>
      <w:r>
        <w:rPr>
          <w:rFonts w:ascii="微软雅黑" w:eastAsia="微软雅黑"/>
          <w:b/>
        </w:rPr>
        <w:t>毒品</w:t>
      </w:r>
      <w:r>
        <w:rPr/>
        <w:t>：指《中华人民共和国刑法》规定的鸦片、海洛因、甲基苯丙胺（冰毒）、吗啡、大麻、可卡因</w:t>
      </w:r>
      <w:r>
        <w:rPr>
          <w:spacing w:val="-2"/>
        </w:rPr>
        <w:t>以及国家规定管制的其他能够使人形成瘾癖的麻醉药品和精神药品，但不包括由医生开具并遵医嘱使</w:t>
      </w:r>
      <w:r>
        <w:rPr>
          <w:spacing w:val="-2"/>
        </w:rPr>
        <w:t>用的用于治疗疾病但含有毒品成分的处方药品。</w:t>
      </w:r>
    </w:p>
    <w:p>
      <w:pPr>
        <w:pStyle w:val="BodyText"/>
        <w:spacing w:line="308" w:lineRule="exact"/>
        <w:ind w:left="140"/>
        <w:jc w:val="both"/>
      </w:pPr>
      <w:r>
        <w:rPr>
          <w:spacing w:val="-2"/>
          <w:position w:val="11"/>
          <w:sz w:val="11"/>
        </w:rPr>
        <w:t>20</w:t>
      </w:r>
      <w:r>
        <w:rPr>
          <w:spacing w:val="57"/>
          <w:w w:val="150"/>
          <w:position w:val="11"/>
          <w:sz w:val="11"/>
        </w:rPr>
        <w:t> </w:t>
      </w:r>
      <w:r>
        <w:rPr>
          <w:rFonts w:ascii="微软雅黑" w:eastAsia="微软雅黑"/>
          <w:b/>
          <w:spacing w:val="-2"/>
        </w:rPr>
        <w:t>酒后驾驶</w:t>
      </w:r>
      <w:r>
        <w:rPr>
          <w:spacing w:val="-3"/>
        </w:rPr>
        <w:t>：指经检测或鉴定，发生事故时车辆驾驶人员每百毫升血液中的酒精含量达到或超过一定的</w:t>
      </w:r>
    </w:p>
    <w:p>
      <w:pPr>
        <w:pStyle w:val="BodyText"/>
        <w:spacing w:line="245" w:lineRule="exact"/>
        <w:ind w:left="351"/>
      </w:pPr>
      <w:r>
        <w:rPr>
          <w:spacing w:val="-3"/>
        </w:rPr>
        <w:t>标准，公安机关交通管理部门依据《道路交通安全法》或道路交通相关法规的规定认定为饮酒后驾驶</w:t>
      </w:r>
    </w:p>
    <w:p>
      <w:pPr>
        <w:pStyle w:val="BodyText"/>
        <w:spacing w:line="237" w:lineRule="exact" w:before="4"/>
        <w:ind w:left="351"/>
      </w:pPr>
      <w:r>
        <w:rPr>
          <w:spacing w:val="-4"/>
        </w:rPr>
        <w:t>或醉酒后驾驶。</w:t>
      </w:r>
    </w:p>
    <w:p>
      <w:pPr>
        <w:spacing w:line="332" w:lineRule="exact" w:before="0"/>
        <w:ind w:left="140" w:right="0" w:firstLine="0"/>
        <w:jc w:val="left"/>
        <w:rPr>
          <w:sz w:val="21"/>
        </w:rPr>
      </w:pPr>
      <w:r>
        <w:rPr>
          <w:position w:val="11"/>
          <w:sz w:val="11"/>
        </w:rPr>
        <w:t>21</w:t>
      </w:r>
      <w:r>
        <w:rPr>
          <w:spacing w:val="33"/>
          <w:position w:val="11"/>
          <w:sz w:val="11"/>
        </w:rPr>
        <w:t> </w:t>
      </w:r>
      <w:r>
        <w:rPr>
          <w:rFonts w:ascii="微软雅黑" w:eastAsia="微软雅黑"/>
          <w:b/>
          <w:sz w:val="21"/>
        </w:rPr>
        <w:t>无合法有效驾驶证驾驶</w:t>
      </w:r>
      <w:r>
        <w:rPr>
          <w:spacing w:val="-2"/>
          <w:sz w:val="21"/>
        </w:rPr>
        <w:t>：指下列情形之一：</w:t>
      </w:r>
    </w:p>
    <w:p>
      <w:pPr>
        <w:pStyle w:val="ListParagraph"/>
        <w:numPr>
          <w:ilvl w:val="0"/>
          <w:numId w:val="13"/>
        </w:numPr>
        <w:tabs>
          <w:tab w:pos="881" w:val="left" w:leader="none"/>
        </w:tabs>
        <w:spacing w:line="246" w:lineRule="exact" w:before="0" w:after="0"/>
        <w:ind w:left="880" w:right="0" w:hanging="530"/>
        <w:jc w:val="left"/>
        <w:rPr>
          <w:sz w:val="21"/>
        </w:rPr>
      </w:pPr>
      <w:r>
        <w:rPr>
          <w:spacing w:val="-3"/>
          <w:sz w:val="21"/>
        </w:rPr>
        <w:t>没有取得中华人民共和国有关主管部门颁发或者认可的驾驶资格证书；</w:t>
      </w:r>
    </w:p>
    <w:p>
      <w:pPr>
        <w:pStyle w:val="ListParagraph"/>
        <w:numPr>
          <w:ilvl w:val="0"/>
          <w:numId w:val="13"/>
        </w:numPr>
        <w:tabs>
          <w:tab w:pos="881" w:val="left" w:leader="none"/>
        </w:tabs>
        <w:spacing w:line="240" w:lineRule="auto" w:before="2" w:after="0"/>
        <w:ind w:left="880" w:right="0" w:hanging="530"/>
        <w:jc w:val="left"/>
        <w:rPr>
          <w:sz w:val="21"/>
        </w:rPr>
      </w:pPr>
      <w:r>
        <w:rPr>
          <w:spacing w:val="-3"/>
          <w:sz w:val="21"/>
        </w:rPr>
        <w:t>驾驶与驾驶证准驾车型不相符合的车辆；</w:t>
      </w:r>
    </w:p>
    <w:p>
      <w:pPr>
        <w:pStyle w:val="ListParagraph"/>
        <w:numPr>
          <w:ilvl w:val="0"/>
          <w:numId w:val="13"/>
        </w:numPr>
        <w:tabs>
          <w:tab w:pos="881" w:val="left" w:leader="none"/>
        </w:tabs>
        <w:spacing w:line="240" w:lineRule="auto" w:before="5" w:after="0"/>
        <w:ind w:left="880" w:right="0" w:hanging="530"/>
        <w:jc w:val="left"/>
        <w:rPr>
          <w:sz w:val="21"/>
        </w:rPr>
      </w:pPr>
      <w:r>
        <w:rPr>
          <w:spacing w:val="-3"/>
          <w:sz w:val="21"/>
        </w:rPr>
        <w:t>持审验不合格的驾驶证驾驶；</w:t>
      </w:r>
    </w:p>
    <w:p>
      <w:pPr>
        <w:pStyle w:val="ListParagraph"/>
        <w:numPr>
          <w:ilvl w:val="0"/>
          <w:numId w:val="13"/>
        </w:numPr>
        <w:tabs>
          <w:tab w:pos="881" w:val="left" w:leader="none"/>
        </w:tabs>
        <w:spacing w:line="238" w:lineRule="exact" w:before="2" w:after="0"/>
        <w:ind w:left="880" w:right="0" w:hanging="530"/>
        <w:jc w:val="left"/>
        <w:rPr>
          <w:sz w:val="21"/>
        </w:rPr>
      </w:pPr>
      <w:r>
        <w:rPr>
          <w:spacing w:val="-3"/>
          <w:sz w:val="21"/>
        </w:rPr>
        <w:t>持学习驾驶证学习驾车时，无教练员随车指导，或不按指定时间、路线学习驾车。</w:t>
      </w:r>
    </w:p>
    <w:p>
      <w:pPr>
        <w:spacing w:line="331" w:lineRule="exact" w:before="0"/>
        <w:ind w:left="140" w:right="0" w:firstLine="0"/>
        <w:jc w:val="left"/>
        <w:rPr>
          <w:sz w:val="21"/>
        </w:rPr>
      </w:pPr>
      <w:r>
        <w:rPr>
          <w:position w:val="11"/>
          <w:sz w:val="11"/>
        </w:rPr>
        <w:t>22</w:t>
      </w:r>
      <w:r>
        <w:rPr>
          <w:spacing w:val="37"/>
          <w:position w:val="11"/>
          <w:sz w:val="11"/>
        </w:rPr>
        <w:t> </w:t>
      </w:r>
      <w:r>
        <w:rPr>
          <w:rFonts w:ascii="微软雅黑" w:eastAsia="微软雅黑"/>
          <w:b/>
          <w:sz w:val="21"/>
        </w:rPr>
        <w:t>无有效行驶证</w:t>
      </w:r>
      <w:r>
        <w:rPr>
          <w:spacing w:val="-2"/>
          <w:sz w:val="21"/>
        </w:rPr>
        <w:t>：指下列情形之一：</w:t>
      </w:r>
    </w:p>
    <w:p>
      <w:pPr>
        <w:pStyle w:val="ListParagraph"/>
        <w:numPr>
          <w:ilvl w:val="0"/>
          <w:numId w:val="14"/>
        </w:numPr>
        <w:tabs>
          <w:tab w:pos="881" w:val="left" w:leader="none"/>
        </w:tabs>
        <w:spacing w:line="245" w:lineRule="exact" w:before="0" w:after="0"/>
        <w:ind w:left="880" w:right="0" w:hanging="530"/>
        <w:jc w:val="left"/>
        <w:rPr>
          <w:sz w:val="21"/>
        </w:rPr>
      </w:pPr>
      <w:r>
        <w:rPr>
          <w:spacing w:val="-4"/>
          <w:sz w:val="21"/>
        </w:rPr>
        <w:t>未取得行驶证；</w:t>
      </w:r>
    </w:p>
    <w:p>
      <w:pPr>
        <w:pStyle w:val="ListParagraph"/>
        <w:numPr>
          <w:ilvl w:val="0"/>
          <w:numId w:val="14"/>
        </w:numPr>
        <w:tabs>
          <w:tab w:pos="881" w:val="left" w:leader="none"/>
        </w:tabs>
        <w:spacing w:line="240" w:lineRule="auto" w:before="4" w:after="0"/>
        <w:ind w:left="880" w:right="0" w:hanging="530"/>
        <w:jc w:val="left"/>
        <w:rPr>
          <w:sz w:val="21"/>
        </w:rPr>
      </w:pPr>
      <w:r>
        <w:rPr>
          <w:spacing w:val="-3"/>
          <w:sz w:val="21"/>
        </w:rPr>
        <w:t>机动车被依法注销登记的；</w:t>
      </w:r>
    </w:p>
    <w:p>
      <w:pPr>
        <w:pStyle w:val="ListParagraph"/>
        <w:numPr>
          <w:ilvl w:val="0"/>
          <w:numId w:val="14"/>
        </w:numPr>
        <w:tabs>
          <w:tab w:pos="881" w:val="left" w:leader="none"/>
        </w:tabs>
        <w:spacing w:line="240" w:lineRule="auto" w:before="3" w:after="0"/>
        <w:ind w:left="880" w:right="0" w:hanging="530"/>
        <w:jc w:val="left"/>
        <w:rPr>
          <w:sz w:val="21"/>
        </w:rPr>
      </w:pPr>
      <w:r>
        <w:rPr>
          <w:spacing w:val="-3"/>
          <w:sz w:val="21"/>
        </w:rPr>
        <w:t>未依法按时进行或通过机动车安全技术检验；</w:t>
      </w:r>
    </w:p>
    <w:p>
      <w:pPr>
        <w:pStyle w:val="ListParagraph"/>
        <w:numPr>
          <w:ilvl w:val="0"/>
          <w:numId w:val="14"/>
        </w:numPr>
        <w:tabs>
          <w:tab w:pos="881" w:val="left" w:leader="none"/>
        </w:tabs>
        <w:spacing w:line="238" w:lineRule="exact" w:before="2" w:after="0"/>
        <w:ind w:left="880" w:right="0" w:hanging="530"/>
        <w:jc w:val="left"/>
        <w:rPr>
          <w:sz w:val="21"/>
        </w:rPr>
      </w:pPr>
      <w:r>
        <w:rPr>
          <w:spacing w:val="-3"/>
          <w:sz w:val="21"/>
        </w:rPr>
        <w:t>行驶证已过有效期的。</w:t>
      </w:r>
    </w:p>
    <w:p>
      <w:pPr>
        <w:pStyle w:val="BodyText"/>
        <w:spacing w:line="204" w:lineRule="auto" w:before="10"/>
        <w:ind w:left="351" w:right="257" w:hanging="212"/>
      </w:pPr>
      <w:r>
        <w:rPr>
          <w:position w:val="11"/>
          <w:sz w:val="11"/>
        </w:rPr>
        <w:t>23</w:t>
      </w:r>
      <w:r>
        <w:rPr>
          <w:spacing w:val="28"/>
          <w:position w:val="11"/>
          <w:sz w:val="11"/>
        </w:rPr>
        <w:t> </w:t>
      </w:r>
      <w:r>
        <w:rPr>
          <w:rFonts w:ascii="微软雅黑" w:eastAsia="微软雅黑"/>
          <w:b/>
        </w:rPr>
        <w:t>机动车</w:t>
      </w:r>
      <w:r>
        <w:rPr/>
        <w:t>：指以动力装置驱动或者牵引，供人员乘用或者用于运送物品以及进行工程专项作业的轮式车</w:t>
      </w:r>
      <w:r>
        <w:rPr>
          <w:spacing w:val="-2"/>
        </w:rPr>
        <w:t>辆或履带车辆。</w:t>
      </w:r>
    </w:p>
    <w:p>
      <w:pPr>
        <w:spacing w:line="308" w:lineRule="exact" w:before="0"/>
        <w:ind w:left="140" w:right="0" w:firstLine="0"/>
        <w:jc w:val="left"/>
        <w:rPr>
          <w:sz w:val="21"/>
        </w:rPr>
      </w:pPr>
      <w:r>
        <w:rPr>
          <w:spacing w:val="-2"/>
          <w:position w:val="11"/>
          <w:sz w:val="11"/>
        </w:rPr>
        <w:t>24</w:t>
      </w:r>
      <w:r>
        <w:rPr>
          <w:spacing w:val="79"/>
          <w:position w:val="11"/>
          <w:sz w:val="11"/>
        </w:rPr>
        <w:t> </w:t>
      </w:r>
      <w:r>
        <w:rPr>
          <w:rFonts w:ascii="微软雅黑" w:eastAsia="微软雅黑"/>
          <w:b/>
          <w:spacing w:val="-2"/>
          <w:sz w:val="21"/>
        </w:rPr>
        <w:t>感染艾滋病病毒或患艾滋病</w:t>
      </w:r>
      <w:r>
        <w:rPr>
          <w:spacing w:val="-4"/>
          <w:sz w:val="21"/>
        </w:rPr>
        <w:t>：艾滋病病毒指人类免疫缺陷病毒，英文缩写为 </w:t>
      </w:r>
      <w:r>
        <w:rPr>
          <w:spacing w:val="-2"/>
          <w:sz w:val="21"/>
        </w:rPr>
        <w:t>HIV</w:t>
      </w:r>
      <w:r>
        <w:rPr>
          <w:spacing w:val="-3"/>
          <w:sz w:val="21"/>
        </w:rPr>
        <w:t>。艾滋病指人类免疫</w:t>
      </w:r>
    </w:p>
    <w:p>
      <w:pPr>
        <w:pStyle w:val="BodyText"/>
        <w:spacing w:line="245" w:lineRule="exact"/>
        <w:ind w:left="351"/>
      </w:pPr>
      <w:r>
        <w:rPr>
          <w:spacing w:val="-3"/>
        </w:rPr>
        <w:t>缺陷病毒引起的获得性免疫缺陷综合征，英文缩写为 </w:t>
      </w:r>
      <w:r>
        <w:rPr>
          <w:spacing w:val="-2"/>
        </w:rPr>
        <w:t>AIDS</w:t>
      </w:r>
      <w:r>
        <w:rPr>
          <w:spacing w:val="-3"/>
        </w:rPr>
        <w:t>。在人体血液或其他样本中检测到艾滋病病</w:t>
      </w:r>
    </w:p>
    <w:p>
      <w:pPr>
        <w:pStyle w:val="BodyText"/>
        <w:spacing w:line="242" w:lineRule="auto" w:before="4"/>
        <w:ind w:left="351" w:right="264"/>
      </w:pPr>
      <w:r>
        <w:rPr>
          <w:spacing w:val="-2"/>
        </w:rPr>
        <w:t>毒或其抗体呈阳性，没有出现临床症状或体征的，为感染艾滋病病毒；如果同时出现了明显临床症状</w:t>
      </w:r>
      <w:r>
        <w:rPr>
          <w:spacing w:val="-2"/>
        </w:rPr>
        <w:t>或体征的，为患艾滋病。</w:t>
      </w:r>
    </w:p>
    <w:p>
      <w:pPr>
        <w:spacing w:after="0" w:line="242" w:lineRule="auto"/>
        <w:sectPr>
          <w:type w:val="continuous"/>
          <w:pgSz w:w="11910" w:h="16840"/>
          <w:pgMar w:header="877" w:footer="0" w:top="1100" w:bottom="280" w:left="1060" w:right="980"/>
        </w:sectPr>
      </w:pPr>
    </w:p>
    <w:p>
      <w:pPr>
        <w:pStyle w:val="ListParagraph"/>
        <w:numPr>
          <w:ilvl w:val="1"/>
          <w:numId w:val="14"/>
        </w:numPr>
        <w:tabs>
          <w:tab w:pos="3429" w:val="left" w:leader="none"/>
        </w:tabs>
        <w:spacing w:line="329" w:lineRule="exact" w:before="13" w:after="0"/>
        <w:ind w:left="3429" w:right="0" w:hanging="624"/>
        <w:jc w:val="left"/>
        <w:rPr>
          <w:rFonts w:ascii="宋体" w:eastAsia="宋体"/>
          <w:sz w:val="21"/>
        </w:rPr>
      </w:pPr>
      <w:r>
        <w:rPr>
          <w:rFonts w:ascii="宋体" w:eastAsia="宋体"/>
          <w:spacing w:val="-2"/>
          <w:sz w:val="21"/>
        </w:rPr>
        <w:t>被保险人患</w:t>
      </w:r>
      <w:r>
        <w:rPr>
          <w:rFonts w:ascii="Microsoft JhengHei" w:eastAsia="Microsoft JhengHei"/>
          <w:b/>
          <w:spacing w:val="-2"/>
          <w:sz w:val="21"/>
        </w:rPr>
        <w:t>遗传性疾病</w:t>
      </w:r>
      <w:r>
        <w:rPr>
          <w:rFonts w:ascii="宋体" w:eastAsia="宋体"/>
          <w:spacing w:val="-2"/>
          <w:position w:val="11"/>
          <w:sz w:val="11"/>
        </w:rPr>
        <w:t>25</w:t>
      </w:r>
      <w:r>
        <w:rPr>
          <w:rFonts w:ascii="宋体" w:eastAsia="宋体"/>
          <w:spacing w:val="-2"/>
          <w:sz w:val="21"/>
        </w:rPr>
        <w:t>、</w:t>
      </w:r>
      <w:r>
        <w:rPr>
          <w:rFonts w:ascii="Microsoft JhengHei" w:eastAsia="Microsoft JhengHei"/>
          <w:b/>
          <w:spacing w:val="-2"/>
          <w:sz w:val="21"/>
        </w:rPr>
        <w:t>先天性畸形、变形或染色体异常</w:t>
      </w:r>
      <w:r>
        <w:rPr>
          <w:rFonts w:ascii="宋体" w:eastAsia="宋体"/>
          <w:spacing w:val="-5"/>
          <w:position w:val="11"/>
          <w:sz w:val="11"/>
        </w:rPr>
        <w:t>26</w:t>
      </w:r>
      <w:r>
        <w:rPr>
          <w:rFonts w:ascii="宋体" w:eastAsia="宋体"/>
          <w:spacing w:val="-5"/>
          <w:sz w:val="21"/>
        </w:rPr>
        <w:t>；</w:t>
      </w:r>
    </w:p>
    <w:p>
      <w:pPr>
        <w:pStyle w:val="ListParagraph"/>
        <w:numPr>
          <w:ilvl w:val="1"/>
          <w:numId w:val="14"/>
        </w:numPr>
        <w:tabs>
          <w:tab w:pos="3429" w:val="left" w:leader="none"/>
        </w:tabs>
        <w:spacing w:line="307" w:lineRule="exact" w:before="0" w:after="0"/>
        <w:ind w:left="3429" w:right="0" w:hanging="624"/>
        <w:jc w:val="left"/>
        <w:rPr>
          <w:rFonts w:ascii="宋体" w:eastAsia="宋体"/>
          <w:sz w:val="21"/>
        </w:rPr>
      </w:pPr>
      <w:r>
        <w:rPr>
          <w:rFonts w:ascii="Microsoft JhengHei" w:eastAsia="Microsoft JhengHei"/>
          <w:b/>
          <w:spacing w:val="-2"/>
          <w:sz w:val="21"/>
        </w:rPr>
        <w:t>战争</w:t>
      </w:r>
      <w:r>
        <w:rPr>
          <w:rFonts w:ascii="宋体" w:eastAsia="宋体"/>
          <w:spacing w:val="-2"/>
          <w:position w:val="11"/>
          <w:sz w:val="11"/>
        </w:rPr>
        <w:t>27</w:t>
      </w:r>
      <w:r>
        <w:rPr>
          <w:rFonts w:ascii="宋体" w:eastAsia="宋体"/>
          <w:spacing w:val="-2"/>
          <w:sz w:val="21"/>
        </w:rPr>
        <w:t>、</w:t>
      </w:r>
      <w:r>
        <w:rPr>
          <w:rFonts w:ascii="Microsoft JhengHei" w:eastAsia="Microsoft JhengHei"/>
          <w:b/>
          <w:spacing w:val="-2"/>
          <w:sz w:val="21"/>
        </w:rPr>
        <w:t>军事冲突</w:t>
      </w:r>
      <w:r>
        <w:rPr>
          <w:rFonts w:ascii="宋体" w:eastAsia="宋体"/>
          <w:spacing w:val="-2"/>
          <w:position w:val="11"/>
          <w:sz w:val="11"/>
        </w:rPr>
        <w:t>28</w:t>
      </w:r>
      <w:r>
        <w:rPr>
          <w:rFonts w:ascii="宋体" w:eastAsia="宋体"/>
          <w:spacing w:val="-2"/>
          <w:sz w:val="21"/>
        </w:rPr>
        <w:t>、</w:t>
      </w:r>
      <w:r>
        <w:rPr>
          <w:rFonts w:ascii="Microsoft JhengHei" w:eastAsia="Microsoft JhengHei"/>
          <w:b/>
          <w:spacing w:val="-2"/>
          <w:sz w:val="21"/>
        </w:rPr>
        <w:t>暴乱</w:t>
      </w:r>
      <w:r>
        <w:rPr>
          <w:rFonts w:ascii="宋体" w:eastAsia="宋体"/>
          <w:spacing w:val="-2"/>
          <w:position w:val="11"/>
          <w:sz w:val="11"/>
        </w:rPr>
        <w:t>29</w:t>
      </w:r>
      <w:r>
        <w:rPr>
          <w:rFonts w:ascii="宋体" w:eastAsia="宋体"/>
          <w:spacing w:val="-4"/>
          <w:sz w:val="21"/>
        </w:rPr>
        <w:t>或武装叛乱；</w:t>
      </w:r>
    </w:p>
    <w:p>
      <w:pPr>
        <w:pStyle w:val="ListParagraph"/>
        <w:numPr>
          <w:ilvl w:val="1"/>
          <w:numId w:val="14"/>
        </w:numPr>
        <w:tabs>
          <w:tab w:pos="3429" w:val="left" w:leader="none"/>
        </w:tabs>
        <w:spacing w:line="247" w:lineRule="exact" w:before="0" w:after="0"/>
        <w:ind w:left="3429" w:right="0" w:hanging="624"/>
        <w:jc w:val="left"/>
        <w:rPr>
          <w:rFonts w:ascii="宋体" w:eastAsia="宋体"/>
          <w:sz w:val="21"/>
        </w:rPr>
      </w:pPr>
      <w:r>
        <w:rPr>
          <w:rFonts w:ascii="宋体" w:eastAsia="宋体"/>
          <w:spacing w:val="-3"/>
          <w:sz w:val="21"/>
        </w:rPr>
        <w:t>核爆炸、核辐射或核污染。</w:t>
      </w:r>
    </w:p>
    <w:p>
      <w:pPr>
        <w:pStyle w:val="BodyText"/>
        <w:spacing w:line="244" w:lineRule="auto" w:before="2"/>
        <w:ind w:left="2805" w:right="324"/>
        <w:rPr>
          <w:rFonts w:ascii="宋体" w:eastAsia="宋体"/>
        </w:rPr>
      </w:pPr>
      <w:r>
        <w:rPr>
          <w:rFonts w:ascii="宋体" w:eastAsia="宋体"/>
          <w:spacing w:val="-4"/>
        </w:rPr>
        <w:t>发生上述第（1）项情形导致被保险人患有本合同约定的重大疾病的，本合</w:t>
      </w:r>
      <w:r>
        <w:rPr>
          <w:rFonts w:ascii="宋体" w:eastAsia="宋体"/>
          <w:spacing w:val="-2"/>
        </w:rPr>
        <w:t>同终止，我们向被保险人退还本合同的现金价值。</w:t>
      </w:r>
    </w:p>
    <w:p>
      <w:pPr>
        <w:pStyle w:val="BodyText"/>
        <w:spacing w:line="244" w:lineRule="auto"/>
        <w:ind w:left="2805" w:right="333"/>
        <w:rPr>
          <w:rFonts w:ascii="宋体" w:eastAsia="宋体"/>
        </w:rPr>
      </w:pPr>
      <w:r>
        <w:rPr>
          <w:rFonts w:ascii="宋体" w:eastAsia="宋体"/>
          <w:spacing w:val="-2"/>
        </w:rPr>
        <w:t>发生上述其他项情形导致被保险人患有本合同约定的重大疾病的，本合同</w:t>
      </w:r>
      <w:r>
        <w:rPr>
          <w:rFonts w:ascii="宋体" w:eastAsia="宋体"/>
          <w:spacing w:val="-2"/>
        </w:rPr>
        <w:t>终止，我们向您退还本合同的现金价值。</w:t>
      </w:r>
    </w:p>
    <w:p>
      <w:pPr>
        <w:pStyle w:val="BodyText"/>
        <w:spacing w:line="244" w:lineRule="auto"/>
        <w:ind w:left="2805" w:right="333"/>
        <w:rPr>
          <w:rFonts w:ascii="宋体" w:eastAsia="宋体"/>
        </w:rPr>
      </w:pPr>
      <w:r>
        <w:rPr>
          <w:rFonts w:ascii="宋体" w:eastAsia="宋体"/>
          <w:spacing w:val="-2"/>
        </w:rPr>
        <w:t>发生上述情形导致被保险人患有本合同约定的中症疾病或轻症疾病的，我</w:t>
      </w:r>
      <w:r>
        <w:rPr>
          <w:rFonts w:ascii="宋体" w:eastAsia="宋体"/>
          <w:spacing w:val="-2"/>
        </w:rPr>
        <w:t>们不承担保险责任，本合同继续有效。</w:t>
      </w:r>
    </w:p>
    <w:p>
      <w:pPr>
        <w:pStyle w:val="BodyText"/>
        <w:spacing w:before="3"/>
        <w:rPr>
          <w:rFonts w:ascii="宋体"/>
          <w:sz w:val="11"/>
        </w:rPr>
      </w:pPr>
    </w:p>
    <w:p>
      <w:pPr>
        <w:spacing w:after="0"/>
        <w:rPr>
          <w:rFonts w:ascii="宋体"/>
          <w:sz w:val="11"/>
        </w:rPr>
        <w:sectPr>
          <w:pgSz w:w="11910" w:h="16840"/>
          <w:pgMar w:header="877" w:footer="0" w:top="1100" w:bottom="280" w:left="1060" w:right="980"/>
        </w:sectPr>
      </w:pPr>
    </w:p>
    <w:p>
      <w:pPr>
        <w:spacing w:line="168" w:lineRule="auto" w:before="87"/>
        <w:ind w:left="1210" w:right="0" w:firstLine="0"/>
        <w:jc w:val="left"/>
        <w:rPr>
          <w:rFonts w:ascii="Microsoft JhengHei" w:eastAsia="Microsoft JhengHei"/>
          <w:b/>
          <w:sz w:val="21"/>
        </w:rPr>
      </w:pPr>
      <w:r>
        <w:rPr>
          <w:rFonts w:ascii="Microsoft JhengHei" w:eastAsia="Microsoft JhengHei"/>
          <w:b/>
          <w:spacing w:val="-2"/>
          <w:sz w:val="21"/>
        </w:rPr>
        <w:t>身故或全残保</w:t>
      </w:r>
      <w:r>
        <w:rPr>
          <w:rFonts w:ascii="Microsoft JhengHei" w:eastAsia="Microsoft JhengHei"/>
          <w:b/>
          <w:spacing w:val="-2"/>
          <w:sz w:val="21"/>
        </w:rPr>
        <w:t>险金责任免除</w:t>
      </w:r>
    </w:p>
    <w:p>
      <w:pPr>
        <w:pStyle w:val="BodyText"/>
        <w:spacing w:before="72"/>
        <w:ind w:left="286"/>
        <w:rPr>
          <w:rFonts w:ascii="宋体" w:eastAsia="宋体"/>
        </w:rPr>
      </w:pPr>
      <w:r>
        <w:rPr/>
        <w:br w:type="column"/>
      </w:r>
      <w:r>
        <w:rPr>
          <w:rFonts w:ascii="宋体" w:eastAsia="宋体"/>
          <w:spacing w:val="-3"/>
        </w:rPr>
        <w:t>因下列情形之一导致被保险人发生身故或全残的，我们不承担保险责任：</w:t>
      </w:r>
    </w:p>
    <w:p>
      <w:pPr>
        <w:pStyle w:val="ListParagraph"/>
        <w:numPr>
          <w:ilvl w:val="0"/>
          <w:numId w:val="15"/>
        </w:numPr>
        <w:tabs>
          <w:tab w:pos="916" w:val="left" w:leader="none"/>
        </w:tabs>
        <w:spacing w:line="240" w:lineRule="auto" w:before="31" w:after="0"/>
        <w:ind w:left="915" w:right="0" w:hanging="630"/>
        <w:jc w:val="left"/>
        <w:rPr>
          <w:rFonts w:ascii="宋体" w:eastAsia="宋体"/>
          <w:sz w:val="21"/>
        </w:rPr>
      </w:pPr>
      <w:r>
        <w:rPr>
          <w:rFonts w:ascii="宋体" w:eastAsia="宋体"/>
          <w:spacing w:val="-3"/>
          <w:sz w:val="21"/>
        </w:rPr>
        <w:t>您对被保险人的故意杀害、故意伤害；</w:t>
      </w:r>
    </w:p>
    <w:p>
      <w:pPr>
        <w:pStyle w:val="ListParagraph"/>
        <w:numPr>
          <w:ilvl w:val="0"/>
          <w:numId w:val="15"/>
        </w:numPr>
        <w:tabs>
          <w:tab w:pos="916" w:val="left" w:leader="none"/>
        </w:tabs>
        <w:spacing w:line="240" w:lineRule="auto" w:before="2" w:after="0"/>
        <w:ind w:left="915" w:right="0" w:hanging="630"/>
        <w:jc w:val="left"/>
        <w:rPr>
          <w:rFonts w:ascii="宋体" w:eastAsia="宋体"/>
          <w:sz w:val="21"/>
        </w:rPr>
      </w:pPr>
      <w:r>
        <w:rPr>
          <w:rFonts w:ascii="宋体" w:eastAsia="宋体"/>
          <w:spacing w:val="-3"/>
          <w:sz w:val="21"/>
        </w:rPr>
        <w:t>被保险人故意犯罪或者抗拒依法采取的刑事强制措施；</w:t>
      </w:r>
    </w:p>
    <w:p>
      <w:pPr>
        <w:pStyle w:val="ListParagraph"/>
        <w:numPr>
          <w:ilvl w:val="0"/>
          <w:numId w:val="15"/>
        </w:numPr>
        <w:tabs>
          <w:tab w:pos="916" w:val="left" w:leader="none"/>
        </w:tabs>
        <w:spacing w:line="242" w:lineRule="auto" w:before="5" w:after="0"/>
        <w:ind w:left="918" w:right="333" w:hanging="632"/>
        <w:jc w:val="left"/>
        <w:rPr>
          <w:rFonts w:ascii="宋体" w:eastAsia="宋体"/>
          <w:sz w:val="21"/>
        </w:rPr>
      </w:pPr>
      <w:r>
        <w:rPr>
          <w:rFonts w:ascii="宋体" w:eastAsia="宋体"/>
          <w:spacing w:val="-2"/>
          <w:sz w:val="21"/>
        </w:rPr>
        <w:t>被保险人故意自伤、或自本合同成立或本合同效力恢复之日起 </w:t>
      </w:r>
      <w:r>
        <w:rPr>
          <w:rFonts w:ascii="宋体" w:eastAsia="宋体"/>
          <w:sz w:val="21"/>
        </w:rPr>
        <w:t>2</w:t>
      </w:r>
      <w:r>
        <w:rPr>
          <w:rFonts w:ascii="宋体" w:eastAsia="宋体"/>
          <w:spacing w:val="-27"/>
          <w:sz w:val="21"/>
        </w:rPr>
        <w:t> 年</w:t>
      </w:r>
      <w:r>
        <w:rPr>
          <w:rFonts w:ascii="宋体" w:eastAsia="宋体"/>
          <w:spacing w:val="-2"/>
          <w:sz w:val="21"/>
        </w:rPr>
        <w:t>内自杀，但被保险人自杀时为无民事行为能力人的除外；</w:t>
      </w:r>
    </w:p>
    <w:p>
      <w:pPr>
        <w:pStyle w:val="ListParagraph"/>
        <w:numPr>
          <w:ilvl w:val="0"/>
          <w:numId w:val="15"/>
        </w:numPr>
        <w:tabs>
          <w:tab w:pos="916" w:val="left" w:leader="none"/>
        </w:tabs>
        <w:spacing w:line="240" w:lineRule="auto" w:before="2" w:after="0"/>
        <w:ind w:left="915" w:right="0" w:hanging="630"/>
        <w:jc w:val="left"/>
        <w:rPr>
          <w:rFonts w:ascii="宋体" w:eastAsia="宋体"/>
          <w:sz w:val="21"/>
        </w:rPr>
      </w:pPr>
      <w:r>
        <w:rPr>
          <w:rFonts w:ascii="宋体" w:eastAsia="宋体"/>
          <w:spacing w:val="-3"/>
          <w:sz w:val="21"/>
        </w:rPr>
        <w:t>被保险人服用、吸食或注射毒品；</w:t>
      </w:r>
    </w:p>
    <w:p>
      <w:pPr>
        <w:pStyle w:val="ListParagraph"/>
        <w:numPr>
          <w:ilvl w:val="0"/>
          <w:numId w:val="15"/>
        </w:numPr>
        <w:tabs>
          <w:tab w:pos="916" w:val="left" w:leader="none"/>
        </w:tabs>
        <w:spacing w:line="244" w:lineRule="auto" w:before="2" w:after="0"/>
        <w:ind w:left="918" w:right="333" w:hanging="632"/>
        <w:jc w:val="left"/>
        <w:rPr>
          <w:rFonts w:ascii="宋体" w:eastAsia="宋体"/>
          <w:sz w:val="21"/>
        </w:rPr>
      </w:pPr>
      <w:r>
        <w:rPr>
          <w:rFonts w:ascii="宋体" w:eastAsia="宋体"/>
          <w:spacing w:val="-2"/>
          <w:sz w:val="21"/>
        </w:rPr>
        <w:t>被保险人酒后驾驶，无合法有效驾驶证驾驶，或驾驶无有效行驶证</w:t>
      </w:r>
      <w:r>
        <w:rPr>
          <w:rFonts w:ascii="宋体" w:eastAsia="宋体"/>
          <w:spacing w:val="-2"/>
          <w:sz w:val="21"/>
        </w:rPr>
        <w:t>的机动车；</w:t>
      </w:r>
    </w:p>
    <w:p>
      <w:pPr>
        <w:pStyle w:val="ListParagraph"/>
        <w:numPr>
          <w:ilvl w:val="0"/>
          <w:numId w:val="15"/>
        </w:numPr>
        <w:tabs>
          <w:tab w:pos="916" w:val="left" w:leader="none"/>
        </w:tabs>
        <w:spacing w:line="265" w:lineRule="exact" w:before="0" w:after="0"/>
        <w:ind w:left="915" w:right="0" w:hanging="630"/>
        <w:jc w:val="left"/>
        <w:rPr>
          <w:rFonts w:ascii="宋体" w:eastAsia="宋体"/>
          <w:sz w:val="21"/>
        </w:rPr>
      </w:pPr>
      <w:r>
        <w:rPr>
          <w:rFonts w:ascii="宋体" w:eastAsia="宋体"/>
          <w:spacing w:val="-3"/>
          <w:sz w:val="21"/>
        </w:rPr>
        <w:t>战争、军事冲突、暴乱或武装叛乱；</w:t>
      </w:r>
    </w:p>
    <w:p>
      <w:pPr>
        <w:pStyle w:val="ListParagraph"/>
        <w:numPr>
          <w:ilvl w:val="0"/>
          <w:numId w:val="15"/>
        </w:numPr>
        <w:tabs>
          <w:tab w:pos="916" w:val="left" w:leader="none"/>
        </w:tabs>
        <w:spacing w:line="240" w:lineRule="auto" w:before="4" w:after="0"/>
        <w:ind w:left="915" w:right="0" w:hanging="630"/>
        <w:jc w:val="left"/>
        <w:rPr>
          <w:rFonts w:ascii="宋体" w:eastAsia="宋体"/>
          <w:sz w:val="21"/>
        </w:rPr>
      </w:pPr>
      <w:r>
        <w:rPr>
          <w:rFonts w:ascii="宋体" w:eastAsia="宋体"/>
          <w:spacing w:val="-3"/>
          <w:sz w:val="21"/>
        </w:rPr>
        <w:t>核爆炸、核辐射或核污染。</w:t>
      </w:r>
    </w:p>
    <w:p>
      <w:pPr>
        <w:pStyle w:val="BodyText"/>
        <w:spacing w:line="242" w:lineRule="auto" w:before="2"/>
        <w:ind w:left="286" w:right="324"/>
        <w:rPr>
          <w:rFonts w:ascii="宋体" w:eastAsia="宋体"/>
        </w:rPr>
      </w:pPr>
      <w:r>
        <w:rPr>
          <w:rFonts w:ascii="宋体" w:eastAsia="宋体"/>
          <w:spacing w:val="-4"/>
        </w:rPr>
        <w:t>发生上述第（1）项情形导致被保险人身故或全残的，本合同终止，我们向</w:t>
      </w:r>
      <w:r>
        <w:rPr>
          <w:rFonts w:ascii="宋体" w:eastAsia="宋体"/>
          <w:spacing w:val="-2"/>
        </w:rPr>
        <w:t>被保险人的继承人（除您本人）退还本合同的现金价值。</w:t>
      </w:r>
    </w:p>
    <w:p>
      <w:pPr>
        <w:pStyle w:val="BodyText"/>
        <w:spacing w:line="242" w:lineRule="auto" w:before="2"/>
        <w:ind w:left="286" w:right="333"/>
        <w:rPr>
          <w:rFonts w:ascii="宋体" w:eastAsia="宋体"/>
        </w:rPr>
      </w:pPr>
      <w:r>
        <w:rPr>
          <w:rFonts w:ascii="宋体" w:eastAsia="宋体"/>
          <w:spacing w:val="-2"/>
        </w:rPr>
        <w:t>发生上述其他项情形导致被保险人身故或全残的，本合同终止，我们向您</w:t>
      </w:r>
      <w:r>
        <w:rPr>
          <w:rFonts w:ascii="宋体" w:eastAsia="宋体"/>
          <w:spacing w:val="-2"/>
        </w:rPr>
        <w:t>退还本合同的现金价值。</w:t>
      </w:r>
    </w:p>
    <w:p>
      <w:pPr>
        <w:spacing w:after="0" w:line="242" w:lineRule="auto"/>
        <w:rPr>
          <w:rFonts w:ascii="宋体" w:eastAsia="宋体"/>
        </w:rPr>
        <w:sectPr>
          <w:type w:val="continuous"/>
          <w:pgSz w:w="11910" w:h="16840"/>
          <w:pgMar w:header="877" w:footer="0" w:top="1100" w:bottom="280" w:left="1060" w:right="980"/>
          <w:cols w:num="2" w:equalWidth="0">
            <w:col w:w="2479" w:space="40"/>
            <w:col w:w="7351"/>
          </w:cols>
        </w:sectPr>
      </w:pPr>
    </w:p>
    <w:p>
      <w:pPr>
        <w:pStyle w:val="BodyText"/>
        <w:spacing w:before="1"/>
        <w:rPr>
          <w:rFonts w:ascii="宋体"/>
          <w:sz w:val="12"/>
        </w:rPr>
      </w:pPr>
    </w:p>
    <w:p>
      <w:pPr>
        <w:pStyle w:val="ListParagraph"/>
        <w:numPr>
          <w:ilvl w:val="1"/>
          <w:numId w:val="6"/>
        </w:numPr>
        <w:tabs>
          <w:tab w:pos="1210" w:val="left" w:leader="none"/>
          <w:tab w:pos="1211" w:val="left" w:leader="none"/>
          <w:tab w:pos="2780" w:val="left" w:leader="none"/>
        </w:tabs>
        <w:spacing w:line="206" w:lineRule="auto" w:before="41" w:after="0"/>
        <w:ind w:left="2781" w:right="326" w:hanging="2528"/>
        <w:jc w:val="left"/>
        <w:rPr>
          <w:rFonts w:ascii="宋体" w:hAnsi="宋体" w:eastAsia="宋体"/>
          <w:sz w:val="21"/>
        </w:rPr>
      </w:pPr>
      <w:r>
        <w:rPr>
          <w:rFonts w:ascii="Microsoft JhengHei" w:hAnsi="Microsoft JhengHei" w:eastAsia="Microsoft JhengHei"/>
          <w:b/>
          <w:spacing w:val="-2"/>
          <w:sz w:val="21"/>
        </w:rPr>
        <w:t>其</w:t>
      </w:r>
      <w:r>
        <w:rPr>
          <w:rFonts w:ascii="Microsoft JhengHei" w:hAnsi="Microsoft JhengHei" w:eastAsia="Microsoft JhengHei"/>
          <w:b/>
          <w:spacing w:val="-2"/>
          <w:sz w:val="21"/>
        </w:rPr>
        <w:t>他</w:t>
      </w:r>
      <w:r>
        <w:rPr>
          <w:rFonts w:ascii="Microsoft JhengHei" w:hAnsi="Microsoft JhengHei" w:eastAsia="Microsoft JhengHei"/>
          <w:b/>
          <w:spacing w:val="-2"/>
          <w:sz w:val="21"/>
        </w:rPr>
        <w:t>免</w:t>
      </w:r>
      <w:r>
        <w:rPr>
          <w:rFonts w:ascii="Microsoft JhengHei" w:hAnsi="Microsoft JhengHei" w:eastAsia="Microsoft JhengHei"/>
          <w:b/>
          <w:spacing w:val="-2"/>
          <w:sz w:val="21"/>
        </w:rPr>
        <w:t>责</w:t>
      </w:r>
      <w:r>
        <w:rPr>
          <w:rFonts w:ascii="Microsoft JhengHei" w:hAnsi="Microsoft JhengHei" w:eastAsia="Microsoft JhengHei"/>
          <w:b/>
          <w:spacing w:val="-2"/>
          <w:sz w:val="21"/>
        </w:rPr>
        <w:t>条</w:t>
      </w:r>
      <w:r>
        <w:rPr>
          <w:rFonts w:ascii="Microsoft JhengHei" w:hAnsi="Microsoft JhengHei" w:eastAsia="Microsoft JhengHei"/>
          <w:b/>
          <w:spacing w:val="-2"/>
          <w:sz w:val="21"/>
        </w:rPr>
        <w:t>款</w:t>
      </w:r>
      <w:r>
        <w:rPr>
          <w:rFonts w:ascii="Microsoft JhengHei" w:hAnsi="Microsoft JhengHei" w:eastAsia="Microsoft JhengHei"/>
          <w:b/>
          <w:sz w:val="21"/>
        </w:rPr>
        <w:tab/>
      </w:r>
      <w:r>
        <w:rPr>
          <w:rFonts w:ascii="宋体" w:hAnsi="宋体" w:eastAsia="宋体"/>
          <w:spacing w:val="-8"/>
          <w:sz w:val="21"/>
        </w:rPr>
        <w:t>除“2.5</w:t>
      </w:r>
      <w:r>
        <w:rPr>
          <w:rFonts w:ascii="宋体" w:hAnsi="宋体" w:eastAsia="宋体"/>
          <w:spacing w:val="-42"/>
          <w:sz w:val="21"/>
        </w:rPr>
        <w:t> </w:t>
      </w:r>
      <w:r>
        <w:rPr>
          <w:rFonts w:ascii="宋体" w:hAnsi="宋体" w:eastAsia="宋体"/>
          <w:spacing w:val="-8"/>
          <w:sz w:val="21"/>
        </w:rPr>
        <w:t>责任免除”外，本</w:t>
      </w:r>
      <w:r>
        <w:rPr>
          <w:rFonts w:ascii="宋体" w:hAnsi="宋体" w:eastAsia="宋体"/>
          <w:spacing w:val="-8"/>
          <w:sz w:val="21"/>
        </w:rPr>
        <w:t>合</w:t>
      </w:r>
      <w:r>
        <w:rPr>
          <w:rFonts w:ascii="宋体" w:hAnsi="宋体" w:eastAsia="宋体"/>
          <w:spacing w:val="-8"/>
          <w:sz w:val="21"/>
        </w:rPr>
        <w:t>同</w:t>
      </w:r>
      <w:r>
        <w:rPr>
          <w:rFonts w:ascii="宋体" w:hAnsi="宋体" w:eastAsia="宋体"/>
          <w:spacing w:val="-8"/>
          <w:sz w:val="21"/>
        </w:rPr>
        <w:t>中还有一些免除我们</w:t>
      </w:r>
      <w:r>
        <w:rPr>
          <w:rFonts w:ascii="宋体" w:hAnsi="宋体" w:eastAsia="宋体"/>
          <w:spacing w:val="-8"/>
          <w:sz w:val="21"/>
        </w:rPr>
        <w:t>责</w:t>
      </w:r>
      <w:r>
        <w:rPr>
          <w:rFonts w:ascii="宋体" w:hAnsi="宋体" w:eastAsia="宋体"/>
          <w:spacing w:val="-8"/>
          <w:sz w:val="21"/>
        </w:rPr>
        <w:t>任</w:t>
      </w:r>
      <w:r>
        <w:rPr>
          <w:rFonts w:ascii="宋体" w:hAnsi="宋体" w:eastAsia="宋体"/>
          <w:spacing w:val="-8"/>
          <w:sz w:val="21"/>
        </w:rPr>
        <w:t>的条款，详见“1.4</w:t>
      </w:r>
      <w:r>
        <w:rPr>
          <w:rFonts w:ascii="宋体" w:hAnsi="宋体" w:eastAsia="宋体"/>
          <w:sz w:val="21"/>
        </w:rPr>
        <w:t>犹豫期”、“2.4 保险责</w:t>
      </w:r>
      <w:r>
        <w:rPr>
          <w:rFonts w:ascii="宋体" w:hAnsi="宋体" w:eastAsia="宋体"/>
          <w:sz w:val="21"/>
        </w:rPr>
        <w:t>任”、“3.2 保险事故通</w:t>
      </w:r>
      <w:r>
        <w:rPr>
          <w:rFonts w:ascii="宋体" w:hAnsi="宋体" w:eastAsia="宋体"/>
          <w:sz w:val="21"/>
        </w:rPr>
        <w:t>知”、“5.1 合同效</w:t>
      </w:r>
      <w:r>
        <w:rPr>
          <w:rFonts w:ascii="宋体" w:hAnsi="宋体" w:eastAsia="宋体"/>
          <w:sz w:val="21"/>
        </w:rPr>
        <w:t>力</w:t>
      </w:r>
    </w:p>
    <w:p>
      <w:pPr>
        <w:pStyle w:val="BodyText"/>
        <w:spacing w:line="242" w:lineRule="auto" w:before="10"/>
        <w:ind w:left="2781" w:right="256"/>
        <w:rPr>
          <w:rFonts w:ascii="宋体" w:hAnsi="宋体" w:eastAsia="宋体"/>
        </w:rPr>
      </w:pPr>
      <w:r>
        <w:rPr>
          <w:rFonts w:ascii="宋体" w:hAnsi="宋体" w:eastAsia="宋体"/>
        </w:rPr>
        <w:t>中止”、“6.2 明确说明与如实告知”、“6.5 年龄性别错误的处理”、 </w:t>
      </w:r>
      <w:r>
        <w:rPr>
          <w:rFonts w:ascii="宋体" w:hAnsi="宋体" w:eastAsia="宋体"/>
          <w:spacing w:val="-17"/>
        </w:rPr>
        <w:t>“脚注 </w:t>
      </w:r>
      <w:r>
        <w:rPr>
          <w:rFonts w:ascii="宋体" w:hAnsi="宋体" w:eastAsia="宋体"/>
          <w:spacing w:val="-4"/>
        </w:rPr>
        <w:t>6</w:t>
      </w:r>
      <w:r>
        <w:rPr>
          <w:rFonts w:ascii="宋体" w:hAnsi="宋体" w:eastAsia="宋体"/>
          <w:spacing w:val="-18"/>
        </w:rPr>
        <w:t> 意外伤害”、“脚注 </w:t>
      </w:r>
      <w:r>
        <w:rPr>
          <w:rFonts w:ascii="宋体" w:hAnsi="宋体" w:eastAsia="宋体"/>
          <w:spacing w:val="-4"/>
        </w:rPr>
        <w:t>8</w:t>
      </w:r>
      <w:r>
        <w:rPr>
          <w:rFonts w:ascii="宋体" w:hAnsi="宋体" w:eastAsia="宋体"/>
          <w:spacing w:val="-16"/>
        </w:rPr>
        <w:t> 医院”、“附表一 重大疾病病种及分组”、</w:t>
      </w:r>
      <w:r>
        <w:rPr>
          <w:rFonts w:ascii="宋体" w:hAnsi="宋体" w:eastAsia="宋体"/>
          <w:spacing w:val="-4"/>
        </w:rPr>
        <w:t> </w:t>
      </w:r>
      <w:r>
        <w:rPr>
          <w:rFonts w:ascii="宋体" w:hAnsi="宋体" w:eastAsia="宋体"/>
        </w:rPr>
        <w:t>“附表二 中症疾病”、“附表三 轻症疾病”中突出显示的内容。</w:t>
      </w:r>
    </w:p>
    <w:p>
      <w:pPr>
        <w:pStyle w:val="BodyText"/>
        <w:spacing w:before="2"/>
        <w:rPr>
          <w:rFonts w:ascii="宋体"/>
          <w:sz w:val="17"/>
        </w:rPr>
      </w:pPr>
    </w:p>
    <w:p>
      <w:pPr>
        <w:pStyle w:val="Heading1"/>
        <w:tabs>
          <w:tab w:pos="1186" w:val="left" w:leader="none"/>
        </w:tabs>
        <w:spacing w:after="8"/>
      </w:pPr>
      <w:r>
        <w:rPr>
          <w:rFonts w:ascii="Wingdings" w:hAnsi="Wingdings" w:eastAsia="Wingdings"/>
          <w:spacing w:val="-10"/>
          <w:position w:val="-5"/>
          <w:sz w:val="44"/>
        </w:rPr>
        <w:t></w:t>
      </w:r>
      <w:r>
        <w:rPr>
          <w:rFonts w:ascii="Times New Roman" w:hAnsi="Times New Roman" w:eastAsia="Times New Roman"/>
          <w:b w:val="0"/>
          <w:position w:val="-5"/>
          <w:sz w:val="44"/>
        </w:rPr>
        <w:tab/>
      </w:r>
      <w:r>
        <w:rPr>
          <w:spacing w:val="-2"/>
        </w:rPr>
        <w:t>如何申请领取保险金</w:t>
      </w:r>
    </w:p>
    <w:p>
      <w:pPr>
        <w:pStyle w:val="BodyText"/>
        <w:spacing w:line="20" w:lineRule="exact"/>
        <w:ind w:left="145"/>
        <w:rPr>
          <w:rFonts w:ascii="微软雅黑"/>
          <w:sz w:val="2"/>
        </w:rPr>
      </w:pPr>
      <w:r>
        <w:rPr>
          <w:rFonts w:ascii="微软雅黑"/>
          <w:sz w:val="2"/>
        </w:rPr>
        <w:drawing>
          <wp:inline distT="0" distB="0" distL="0" distR="0">
            <wp:extent cx="6078617" cy="12287"/>
            <wp:effectExtent l="0" t="0" r="0" b="0"/>
            <wp:docPr id="19" name="image3.png"/>
            <wp:cNvGraphicFramePr>
              <a:graphicFrameLocks noChangeAspect="1"/>
            </wp:cNvGraphicFramePr>
            <a:graphic>
              <a:graphicData uri="http://schemas.openxmlformats.org/drawingml/2006/picture">
                <pic:pic>
                  <pic:nvPicPr>
                    <pic:cNvPr id="20" name="image3.png"/>
                    <pic:cNvPicPr/>
                  </pic:nvPicPr>
                  <pic:blipFill>
                    <a:blip r:embed="rId8" cstate="print"/>
                    <a:stretch>
                      <a:fillRect/>
                    </a:stretch>
                  </pic:blipFill>
                  <pic:spPr>
                    <a:xfrm>
                      <a:off x="0" y="0"/>
                      <a:ext cx="6078617" cy="12287"/>
                    </a:xfrm>
                    <a:prstGeom prst="rect">
                      <a:avLst/>
                    </a:prstGeom>
                  </pic:spPr>
                </pic:pic>
              </a:graphicData>
            </a:graphic>
          </wp:inline>
        </w:drawing>
      </w:r>
      <w:r>
        <w:rPr>
          <w:rFonts w:ascii="微软雅黑"/>
          <w:sz w:val="2"/>
        </w:rPr>
      </w:r>
    </w:p>
    <w:p>
      <w:pPr>
        <w:tabs>
          <w:tab w:pos="1210" w:val="left" w:leader="none"/>
          <w:tab w:pos="2804" w:val="left" w:leader="none"/>
        </w:tabs>
        <w:spacing w:line="363" w:lineRule="exact" w:before="142"/>
        <w:ind w:left="253" w:right="0" w:firstLine="0"/>
        <w:jc w:val="left"/>
        <w:rPr>
          <w:sz w:val="21"/>
        </w:rPr>
      </w:pPr>
      <w:r>
        <w:rPr>
          <w:rFonts w:ascii="微软雅黑" w:eastAsia="微软雅黑"/>
          <w:b/>
          <w:spacing w:val="-5"/>
          <w:sz w:val="21"/>
        </w:rPr>
        <w:t>3.1</w:t>
      </w:r>
      <w:r>
        <w:rPr>
          <w:rFonts w:ascii="微软雅黑" w:eastAsia="微软雅黑"/>
          <w:b/>
          <w:sz w:val="21"/>
        </w:rPr>
        <w:tab/>
        <w:t>受益</w:t>
      </w:r>
      <w:r>
        <w:rPr>
          <w:rFonts w:ascii="微软雅黑" w:eastAsia="微软雅黑"/>
          <w:b/>
          <w:spacing w:val="-10"/>
          <w:sz w:val="21"/>
        </w:rPr>
        <w:t>人</w:t>
      </w:r>
      <w:r>
        <w:rPr>
          <w:rFonts w:ascii="微软雅黑" w:eastAsia="微软雅黑"/>
          <w:b/>
          <w:sz w:val="21"/>
        </w:rPr>
        <w:tab/>
      </w:r>
      <w:r>
        <w:rPr>
          <w:spacing w:val="-2"/>
          <w:sz w:val="21"/>
        </w:rPr>
        <w:t>1</w:t>
      </w:r>
      <w:r>
        <w:rPr>
          <w:spacing w:val="-2"/>
          <w:sz w:val="21"/>
        </w:rPr>
        <w:t>、</w:t>
      </w:r>
      <w:r>
        <w:rPr>
          <w:spacing w:val="-2"/>
          <w:sz w:val="21"/>
        </w:rPr>
        <w:t>身故保险金受益</w:t>
      </w:r>
      <w:r>
        <w:rPr>
          <w:spacing w:val="-10"/>
          <w:sz w:val="21"/>
        </w:rPr>
        <w:t>人</w:t>
      </w:r>
    </w:p>
    <w:p>
      <w:pPr>
        <w:pStyle w:val="BodyText"/>
        <w:spacing w:line="245" w:lineRule="exact"/>
        <w:ind w:left="2805"/>
      </w:pPr>
      <w:r>
        <w:rPr>
          <w:spacing w:val="-3"/>
        </w:rPr>
        <w:t>您或者被保险人可以指定一人或多人为身故保险金受益人。</w:t>
      </w:r>
    </w:p>
    <w:p>
      <w:pPr>
        <w:pStyle w:val="BodyText"/>
        <w:spacing w:line="244" w:lineRule="auto" w:before="2"/>
        <w:ind w:left="2805" w:right="333"/>
      </w:pPr>
      <w:r>
        <w:rPr>
          <w:spacing w:val="-2"/>
        </w:rPr>
        <w:t>身故保险金受益人为多人时，可以确定受益顺序和受益份额；如果没有确</w:t>
      </w:r>
      <w:r>
        <w:rPr>
          <w:spacing w:val="-2"/>
        </w:rPr>
        <w:t>定份额，各受益人按照相等份额享有受益权。</w:t>
      </w:r>
    </w:p>
    <w:p>
      <w:pPr>
        <w:pStyle w:val="BodyText"/>
        <w:spacing w:line="244" w:lineRule="auto"/>
        <w:ind w:left="2805" w:right="333"/>
      </w:pPr>
      <w:r>
        <w:rPr>
          <w:spacing w:val="-2"/>
        </w:rPr>
        <w:t>被保险人为无民事行为能力人或限制民事行为能力人的，可以由其监护人</w:t>
      </w:r>
      <w:r>
        <w:rPr>
          <w:spacing w:val="-2"/>
        </w:rPr>
        <w:t>指定受益人。</w:t>
      </w:r>
    </w:p>
    <w:p>
      <w:pPr>
        <w:pStyle w:val="BodyText"/>
        <w:spacing w:line="242" w:lineRule="auto"/>
        <w:ind w:left="2805" w:right="333"/>
      </w:pPr>
      <w:r>
        <w:rPr>
          <w:spacing w:val="-2"/>
        </w:rPr>
        <w:t>您或者被保险人可以变更身故保险金受益人并书面通知我们。我们收到变</w:t>
      </w:r>
      <w:r>
        <w:rPr>
          <w:spacing w:val="-2"/>
        </w:rPr>
        <w:t>更受益人的书面通知后，在保险单或其他保险凭证上批注或附贴批单。</w:t>
      </w:r>
      <w:r>
        <w:rPr>
          <w:spacing w:val="40"/>
        </w:rPr>
        <w:t> </w:t>
      </w:r>
      <w:r>
        <w:rPr>
          <w:spacing w:val="-2"/>
        </w:rPr>
        <w:t>您在指定和变更身故保险金受益人时，必须经过被保险人同意。</w:t>
      </w:r>
    </w:p>
    <w:p>
      <w:pPr>
        <w:pStyle w:val="BodyText"/>
        <w:spacing w:before="3"/>
        <w:rPr>
          <w:sz w:val="27"/>
        </w:rPr>
      </w:pPr>
      <w:r>
        <w:rPr/>
        <w:drawing>
          <wp:anchor distT="0" distB="0" distL="0" distR="0" allowOverlap="1" layoutInCell="1" locked="0" behindDoc="0" simplePos="0" relativeHeight="6">
            <wp:simplePos x="0" y="0"/>
            <wp:positionH relativeFrom="page">
              <wp:posOffset>762304</wp:posOffset>
            </wp:positionH>
            <wp:positionV relativeFrom="paragraph">
              <wp:posOffset>237325</wp:posOffset>
            </wp:positionV>
            <wp:extent cx="1829130" cy="6095"/>
            <wp:effectExtent l="0" t="0" r="0" b="0"/>
            <wp:wrapTopAndBottom/>
            <wp:docPr id="21" name="image4.png"/>
            <wp:cNvGraphicFramePr>
              <a:graphicFrameLocks noChangeAspect="1"/>
            </wp:cNvGraphicFramePr>
            <a:graphic>
              <a:graphicData uri="http://schemas.openxmlformats.org/drawingml/2006/picture">
                <pic:pic>
                  <pic:nvPicPr>
                    <pic:cNvPr id="22" name="image4.png"/>
                    <pic:cNvPicPr/>
                  </pic:nvPicPr>
                  <pic:blipFill>
                    <a:blip r:embed="rId9" cstate="print"/>
                    <a:stretch>
                      <a:fillRect/>
                    </a:stretch>
                  </pic:blipFill>
                  <pic:spPr>
                    <a:xfrm>
                      <a:off x="0" y="0"/>
                      <a:ext cx="1829130" cy="6095"/>
                    </a:xfrm>
                    <a:prstGeom prst="rect">
                      <a:avLst/>
                    </a:prstGeom>
                  </pic:spPr>
                </pic:pic>
              </a:graphicData>
            </a:graphic>
          </wp:anchor>
        </w:drawing>
      </w:r>
    </w:p>
    <w:p>
      <w:pPr>
        <w:pStyle w:val="BodyText"/>
        <w:spacing w:line="204" w:lineRule="auto" w:before="74"/>
        <w:ind w:left="351" w:right="257" w:hanging="212"/>
      </w:pPr>
      <w:r>
        <w:rPr>
          <w:position w:val="11"/>
          <w:sz w:val="11"/>
        </w:rPr>
        <w:t>25</w:t>
      </w:r>
      <w:r>
        <w:rPr>
          <w:spacing w:val="28"/>
          <w:position w:val="11"/>
          <w:sz w:val="11"/>
        </w:rPr>
        <w:t> </w:t>
      </w:r>
      <w:r>
        <w:rPr>
          <w:rFonts w:ascii="微软雅黑" w:eastAsia="微软雅黑"/>
          <w:b/>
        </w:rPr>
        <w:t>遗传性疾病</w:t>
      </w:r>
      <w:r>
        <w:rPr/>
        <w:t>：指生殖细胞或受精卵的遗传物质（染色体和基因）发生突变或畸变所引起的疾病，通常</w:t>
      </w:r>
      <w:r>
        <w:rPr>
          <w:spacing w:val="-2"/>
        </w:rPr>
        <w:t>具有由亲代传至后代的垂直传递的特征。</w:t>
      </w:r>
    </w:p>
    <w:p>
      <w:pPr>
        <w:spacing w:line="307" w:lineRule="exact" w:before="0"/>
        <w:ind w:left="140" w:right="0" w:firstLine="0"/>
        <w:jc w:val="left"/>
        <w:rPr>
          <w:sz w:val="21"/>
        </w:rPr>
      </w:pPr>
      <w:r>
        <w:rPr>
          <w:spacing w:val="-6"/>
          <w:position w:val="11"/>
          <w:sz w:val="11"/>
        </w:rPr>
        <w:t>26</w:t>
      </w:r>
      <w:r>
        <w:rPr>
          <w:spacing w:val="74"/>
          <w:w w:val="150"/>
          <w:position w:val="11"/>
          <w:sz w:val="11"/>
        </w:rPr>
        <w:t> </w:t>
      </w:r>
      <w:r>
        <w:rPr>
          <w:rFonts w:ascii="微软雅黑" w:eastAsia="微软雅黑"/>
          <w:b/>
          <w:spacing w:val="-6"/>
          <w:sz w:val="21"/>
        </w:rPr>
        <w:t>先天性畸形、变形或染色体异常</w:t>
      </w:r>
      <w:r>
        <w:rPr>
          <w:spacing w:val="-7"/>
          <w:sz w:val="21"/>
        </w:rPr>
        <w:t>：指被保险人出生时就具有的畸形、变形或染色体异常。先天性畸形、</w:t>
      </w:r>
    </w:p>
    <w:p>
      <w:pPr>
        <w:pStyle w:val="BodyText"/>
        <w:spacing w:line="246" w:lineRule="exact"/>
        <w:ind w:left="351"/>
      </w:pPr>
      <w:r>
        <w:rPr>
          <w:spacing w:val="-10"/>
        </w:rPr>
        <w:t>变形和染色体异常依照世界卫生组织《疾病和有关健康问题的国际统计分类》第十次修订版</w:t>
      </w:r>
      <w:r>
        <w:rPr>
          <w:spacing w:val="-2"/>
        </w:rPr>
        <w:t>（ICD-</w:t>
      </w:r>
      <w:r>
        <w:rPr>
          <w:spacing w:val="-5"/>
        </w:rPr>
        <w:t>10）</w:t>
      </w:r>
    </w:p>
    <w:p>
      <w:pPr>
        <w:pStyle w:val="BodyText"/>
        <w:spacing w:line="238" w:lineRule="exact" w:before="2"/>
        <w:ind w:left="351"/>
      </w:pPr>
      <w:r>
        <w:rPr>
          <w:spacing w:val="-4"/>
        </w:rPr>
        <w:t>确定。</w:t>
      </w:r>
    </w:p>
    <w:p>
      <w:pPr>
        <w:pStyle w:val="BodyText"/>
        <w:spacing w:line="204" w:lineRule="auto" w:before="10"/>
        <w:ind w:left="351" w:right="259" w:hanging="212"/>
      </w:pPr>
      <w:r>
        <w:rPr>
          <w:position w:val="11"/>
          <w:sz w:val="11"/>
        </w:rPr>
        <w:t>27</w:t>
      </w:r>
      <w:r>
        <w:rPr>
          <w:spacing w:val="26"/>
          <w:position w:val="11"/>
          <w:sz w:val="11"/>
        </w:rPr>
        <w:t> </w:t>
      </w:r>
      <w:r>
        <w:rPr>
          <w:rFonts w:ascii="微软雅黑" w:eastAsia="微软雅黑"/>
          <w:b/>
        </w:rPr>
        <w:t>战争</w:t>
      </w:r>
      <w:r>
        <w:rPr/>
        <w:t>：指国家与国家、民族与民族、政治集团与政治集团之间为了一定的政治、经济目的而进行的武</w:t>
      </w:r>
      <w:r>
        <w:rPr>
          <w:spacing w:val="-2"/>
        </w:rPr>
        <w:t>装斗争，以政府宣布为准。</w:t>
      </w:r>
    </w:p>
    <w:p>
      <w:pPr>
        <w:pStyle w:val="BodyText"/>
        <w:spacing w:line="275" w:lineRule="exact"/>
        <w:ind w:left="140"/>
      </w:pPr>
      <w:r>
        <w:rPr>
          <w:spacing w:val="-2"/>
          <w:position w:val="11"/>
          <w:sz w:val="11"/>
        </w:rPr>
        <w:t>28</w:t>
      </w:r>
      <w:r>
        <w:rPr>
          <w:spacing w:val="78"/>
          <w:position w:val="11"/>
          <w:sz w:val="11"/>
        </w:rPr>
        <w:t> </w:t>
      </w:r>
      <w:r>
        <w:rPr>
          <w:rFonts w:ascii="微软雅黑" w:eastAsia="微软雅黑"/>
          <w:b/>
          <w:spacing w:val="-2"/>
        </w:rPr>
        <w:t>军事冲突</w:t>
      </w:r>
      <w:r>
        <w:rPr>
          <w:spacing w:val="-3"/>
        </w:rPr>
        <w:t>：指国家或民族之间在一定范围内的武装对抗，以政府宣布为准。</w:t>
      </w:r>
    </w:p>
    <w:p>
      <w:pPr>
        <w:pStyle w:val="BodyText"/>
        <w:spacing w:line="329" w:lineRule="exact"/>
        <w:ind w:left="140"/>
      </w:pPr>
      <w:r>
        <w:rPr>
          <w:position w:val="11"/>
          <w:sz w:val="11"/>
        </w:rPr>
        <w:t>29</w:t>
      </w:r>
      <w:r>
        <w:rPr>
          <w:spacing w:val="19"/>
          <w:position w:val="11"/>
          <w:sz w:val="11"/>
        </w:rPr>
        <w:t> </w:t>
      </w:r>
      <w:r>
        <w:rPr>
          <w:rFonts w:ascii="微软雅黑" w:eastAsia="微软雅黑"/>
          <w:b/>
        </w:rPr>
        <w:t>暴乱</w:t>
      </w:r>
      <w:r>
        <w:rPr>
          <w:spacing w:val="-1"/>
        </w:rPr>
        <w:t>：指破坏社会秩序的武装骚动，以政府宣布为准。</w:t>
      </w:r>
    </w:p>
    <w:p>
      <w:pPr>
        <w:spacing w:after="0" w:line="329" w:lineRule="exact"/>
        <w:sectPr>
          <w:type w:val="continuous"/>
          <w:pgSz w:w="11910" w:h="16840"/>
          <w:pgMar w:header="877" w:footer="0" w:top="1100" w:bottom="280" w:left="1060" w:right="980"/>
        </w:sectPr>
      </w:pPr>
    </w:p>
    <w:p>
      <w:pPr>
        <w:pStyle w:val="BodyText"/>
        <w:spacing w:before="8"/>
        <w:rPr>
          <w:sz w:val="8"/>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7"/>
        <w:gridCol w:w="1751"/>
        <w:gridCol w:w="6949"/>
      </w:tblGrid>
      <w:tr>
        <w:trPr>
          <w:trHeight w:val="3351" w:hRule="atLeast"/>
        </w:trPr>
        <w:tc>
          <w:tcPr>
            <w:tcW w:w="2438" w:type="dxa"/>
            <w:gridSpan w:val="2"/>
          </w:tcPr>
          <w:p>
            <w:pPr>
              <w:pStyle w:val="TableParagraph"/>
              <w:rPr>
                <w:rFonts w:ascii="Times New Roman"/>
                <w:sz w:val="20"/>
              </w:rPr>
            </w:pPr>
          </w:p>
        </w:tc>
        <w:tc>
          <w:tcPr>
            <w:tcW w:w="6949" w:type="dxa"/>
          </w:tcPr>
          <w:p>
            <w:pPr>
              <w:pStyle w:val="TableParagraph"/>
              <w:spacing w:line="241" w:lineRule="exact"/>
              <w:ind w:left="163"/>
              <w:rPr>
                <w:sz w:val="21"/>
              </w:rPr>
            </w:pPr>
            <w:r>
              <w:rPr>
                <w:spacing w:val="-3"/>
                <w:sz w:val="21"/>
              </w:rPr>
              <w:t>被保险人身故后，有下列情形之一的，保险金作为被保险人的遗产，由我</w:t>
            </w:r>
          </w:p>
          <w:p>
            <w:pPr>
              <w:pStyle w:val="TableParagraph"/>
              <w:spacing w:line="244" w:lineRule="auto" w:before="2"/>
              <w:ind w:left="163" w:right="57"/>
              <w:rPr>
                <w:sz w:val="21"/>
              </w:rPr>
            </w:pPr>
            <w:r>
              <w:rPr>
                <w:spacing w:val="-2"/>
                <w:sz w:val="21"/>
              </w:rPr>
              <w:t>们依照被保险人身故时现行有效的关于继承的法律法规履行给付保险金的</w:t>
            </w:r>
            <w:r>
              <w:rPr>
                <w:spacing w:val="-4"/>
                <w:sz w:val="21"/>
              </w:rPr>
              <w:t>义务：</w:t>
            </w:r>
          </w:p>
          <w:p>
            <w:pPr>
              <w:pStyle w:val="TableParagraph"/>
              <w:numPr>
                <w:ilvl w:val="0"/>
                <w:numId w:val="16"/>
              </w:numPr>
              <w:tabs>
                <w:tab w:pos="693" w:val="left" w:leader="none"/>
              </w:tabs>
              <w:spacing w:line="265" w:lineRule="exact" w:before="0" w:after="0"/>
              <w:ind w:left="692" w:right="0" w:hanging="530"/>
              <w:jc w:val="left"/>
              <w:rPr>
                <w:sz w:val="21"/>
              </w:rPr>
            </w:pPr>
            <w:r>
              <w:rPr>
                <w:spacing w:val="-3"/>
                <w:sz w:val="21"/>
              </w:rPr>
              <w:t>没有指定受益人，或者受益人指定不明无法确定的；</w:t>
            </w:r>
          </w:p>
          <w:p>
            <w:pPr>
              <w:pStyle w:val="TableParagraph"/>
              <w:numPr>
                <w:ilvl w:val="0"/>
                <w:numId w:val="16"/>
              </w:numPr>
              <w:tabs>
                <w:tab w:pos="693" w:val="left" w:leader="none"/>
              </w:tabs>
              <w:spacing w:line="240" w:lineRule="auto" w:before="5" w:after="0"/>
              <w:ind w:left="692" w:right="0" w:hanging="530"/>
              <w:jc w:val="left"/>
              <w:rPr>
                <w:sz w:val="21"/>
              </w:rPr>
            </w:pPr>
            <w:r>
              <w:rPr>
                <w:spacing w:val="-3"/>
                <w:sz w:val="21"/>
              </w:rPr>
              <w:t>受益人先于被保险人身故，没有其他受益人的；</w:t>
            </w:r>
          </w:p>
          <w:p>
            <w:pPr>
              <w:pStyle w:val="TableParagraph"/>
              <w:numPr>
                <w:ilvl w:val="0"/>
                <w:numId w:val="16"/>
              </w:numPr>
              <w:tabs>
                <w:tab w:pos="693" w:val="left" w:leader="none"/>
              </w:tabs>
              <w:spacing w:line="240" w:lineRule="auto" w:before="2" w:after="0"/>
              <w:ind w:left="692" w:right="0" w:hanging="530"/>
              <w:jc w:val="left"/>
              <w:rPr>
                <w:sz w:val="21"/>
              </w:rPr>
            </w:pPr>
            <w:r>
              <w:rPr>
                <w:spacing w:val="-3"/>
                <w:sz w:val="21"/>
              </w:rPr>
              <w:t>受益人依法丧失受益权或者放弃受益权，没有其他受益人的。</w:t>
            </w:r>
          </w:p>
          <w:p>
            <w:pPr>
              <w:pStyle w:val="TableParagraph"/>
              <w:spacing w:line="242" w:lineRule="auto" w:before="4"/>
              <w:ind w:left="163" w:right="57"/>
              <w:rPr>
                <w:sz w:val="21"/>
              </w:rPr>
            </w:pPr>
            <w:r>
              <w:rPr>
                <w:spacing w:val="-2"/>
                <w:sz w:val="21"/>
              </w:rPr>
              <w:t>受益人与被保险人在同一事件中身故，且不能确定身故先后顺序的，推定</w:t>
            </w:r>
            <w:r>
              <w:rPr>
                <w:spacing w:val="-2"/>
                <w:sz w:val="21"/>
              </w:rPr>
              <w:t>受益人身故在先。</w:t>
            </w:r>
          </w:p>
          <w:p>
            <w:pPr>
              <w:pStyle w:val="TableParagraph"/>
              <w:spacing w:before="2"/>
              <w:ind w:left="163"/>
              <w:rPr>
                <w:sz w:val="21"/>
              </w:rPr>
            </w:pPr>
            <w:r>
              <w:rPr>
                <w:spacing w:val="-2"/>
                <w:sz w:val="21"/>
              </w:rPr>
              <w:t>2</w:t>
            </w:r>
            <w:r>
              <w:rPr>
                <w:spacing w:val="-3"/>
                <w:sz w:val="21"/>
              </w:rPr>
              <w:t>、其他保险金受益人</w:t>
            </w:r>
          </w:p>
          <w:p>
            <w:pPr>
              <w:pStyle w:val="TableParagraph"/>
              <w:spacing w:line="238" w:lineRule="exact" w:before="2"/>
              <w:ind w:left="163"/>
              <w:rPr>
                <w:sz w:val="21"/>
              </w:rPr>
            </w:pPr>
            <w:r>
              <w:rPr>
                <w:spacing w:val="-3"/>
                <w:sz w:val="21"/>
              </w:rPr>
              <w:t>除另有指定外，本合同其他保险金的受益人为被保险人本人。</w:t>
            </w:r>
          </w:p>
          <w:p>
            <w:pPr>
              <w:pStyle w:val="TableParagraph"/>
              <w:spacing w:line="168" w:lineRule="auto" w:before="52"/>
              <w:ind w:left="163" w:right="51"/>
              <w:rPr>
                <w:rFonts w:ascii="微软雅黑" w:eastAsia="微软雅黑"/>
                <w:b/>
                <w:sz w:val="21"/>
              </w:rPr>
            </w:pPr>
            <w:r>
              <w:rPr>
                <w:rFonts w:ascii="微软雅黑" w:eastAsia="微软雅黑"/>
                <w:b/>
                <w:spacing w:val="-2"/>
                <w:sz w:val="21"/>
              </w:rPr>
              <w:t>受益人故意造成被保险人身故、伤残、疾病的，或者故意杀害被保险人未</w:t>
            </w:r>
            <w:r>
              <w:rPr>
                <w:rFonts w:ascii="微软雅黑" w:eastAsia="微软雅黑"/>
                <w:b/>
                <w:spacing w:val="-2"/>
                <w:sz w:val="21"/>
              </w:rPr>
              <w:t>遂的，该受益人丧失受益权。</w:t>
            </w:r>
          </w:p>
        </w:tc>
      </w:tr>
      <w:tr>
        <w:trPr>
          <w:trHeight w:val="1862" w:hRule="atLeast"/>
        </w:trPr>
        <w:tc>
          <w:tcPr>
            <w:tcW w:w="687" w:type="dxa"/>
          </w:tcPr>
          <w:p>
            <w:pPr>
              <w:pStyle w:val="TableParagraph"/>
              <w:spacing w:before="48"/>
              <w:ind w:left="50"/>
              <w:rPr>
                <w:rFonts w:ascii="微软雅黑"/>
                <w:b/>
                <w:sz w:val="21"/>
              </w:rPr>
            </w:pPr>
            <w:r>
              <w:rPr>
                <w:rFonts w:ascii="微软雅黑"/>
                <w:b/>
                <w:spacing w:val="-5"/>
                <w:sz w:val="21"/>
              </w:rPr>
              <w:t>3.2</w:t>
            </w:r>
          </w:p>
        </w:tc>
        <w:tc>
          <w:tcPr>
            <w:tcW w:w="1751" w:type="dxa"/>
          </w:tcPr>
          <w:p>
            <w:pPr>
              <w:pStyle w:val="TableParagraph"/>
              <w:spacing w:before="48"/>
              <w:ind w:left="320"/>
              <w:rPr>
                <w:rFonts w:ascii="微软雅黑" w:eastAsia="微软雅黑"/>
                <w:b/>
                <w:sz w:val="21"/>
              </w:rPr>
            </w:pPr>
            <w:r>
              <w:rPr>
                <w:rFonts w:ascii="微软雅黑" w:eastAsia="微软雅黑"/>
                <w:b/>
                <w:spacing w:val="-2"/>
                <w:sz w:val="21"/>
              </w:rPr>
              <w:t>保险事故通知</w:t>
            </w:r>
          </w:p>
        </w:tc>
        <w:tc>
          <w:tcPr>
            <w:tcW w:w="6949" w:type="dxa"/>
          </w:tcPr>
          <w:p>
            <w:pPr>
              <w:pStyle w:val="TableParagraph"/>
              <w:spacing w:line="168" w:lineRule="auto" w:before="131"/>
              <w:ind w:left="163" w:right="50"/>
              <w:jc w:val="both"/>
              <w:rPr>
                <w:sz w:val="21"/>
              </w:rPr>
            </w:pPr>
            <w:r>
              <w:rPr>
                <w:spacing w:val="-8"/>
                <w:w w:val="95"/>
                <w:sz w:val="21"/>
              </w:rPr>
              <w:t>您、被保险人或受益</w:t>
            </w:r>
            <w:r>
              <w:rPr>
                <w:w w:val="95"/>
                <w:sz w:val="21"/>
              </w:rPr>
              <w:t>人</w:t>
            </w:r>
            <w:r>
              <w:rPr>
                <w:w w:val="95"/>
                <w:sz w:val="21"/>
              </w:rPr>
              <w:t>知</w:t>
            </w:r>
            <w:r>
              <w:rPr>
                <w:w w:val="95"/>
                <w:sz w:val="21"/>
              </w:rPr>
              <w:t>道</w:t>
            </w:r>
            <w:r>
              <w:rPr>
                <w:w w:val="95"/>
                <w:sz w:val="21"/>
              </w:rPr>
              <w:t>保</w:t>
            </w:r>
            <w:r>
              <w:rPr>
                <w:w w:val="95"/>
                <w:sz w:val="21"/>
              </w:rPr>
              <w:t>险事故发生后</w:t>
            </w:r>
            <w:r>
              <w:rPr>
                <w:w w:val="95"/>
                <w:sz w:val="21"/>
              </w:rPr>
              <w:t>应</w:t>
            </w:r>
            <w:r>
              <w:rPr>
                <w:w w:val="95"/>
                <w:sz w:val="21"/>
              </w:rPr>
              <w:t>当</w:t>
            </w:r>
            <w:r>
              <w:rPr>
                <w:w w:val="95"/>
                <w:sz w:val="21"/>
              </w:rPr>
              <w:t>在</w:t>
            </w:r>
            <w:r>
              <w:rPr>
                <w:spacing w:val="29"/>
                <w:sz w:val="21"/>
              </w:rPr>
              <w:t> </w:t>
            </w:r>
            <w:r>
              <w:rPr>
                <w:w w:val="95"/>
                <w:sz w:val="21"/>
              </w:rPr>
              <w:t>10</w:t>
            </w:r>
            <w:r>
              <w:rPr>
                <w:spacing w:val="35"/>
                <w:sz w:val="21"/>
              </w:rPr>
              <w:t> </w:t>
            </w:r>
            <w:r>
              <w:rPr>
                <w:spacing w:val="-8"/>
                <w:w w:val="95"/>
                <w:sz w:val="21"/>
              </w:rPr>
              <w:t>日内通知我们。</w:t>
            </w:r>
            <w:r>
              <w:rPr>
                <w:rFonts w:ascii="微软雅黑" w:eastAsia="微软雅黑"/>
                <w:b/>
                <w:w w:val="95"/>
                <w:sz w:val="21"/>
              </w:rPr>
              <w:t>如</w:t>
            </w:r>
            <w:r>
              <w:rPr>
                <w:rFonts w:ascii="微软雅黑" w:eastAsia="微软雅黑"/>
                <w:b/>
                <w:w w:val="95"/>
                <w:sz w:val="21"/>
              </w:rPr>
              <w:t>果</w:t>
            </w:r>
            <w:r>
              <w:rPr>
                <w:rFonts w:ascii="微软雅黑" w:eastAsia="微软雅黑"/>
                <w:b/>
                <w:spacing w:val="-2"/>
                <w:sz w:val="21"/>
              </w:rPr>
              <w:t>您、被保险人或受益人故意或者因重大过失未及时通知，致使保险事故的</w:t>
            </w:r>
            <w:r>
              <w:rPr>
                <w:rFonts w:ascii="微软雅黑" w:eastAsia="微软雅黑"/>
                <w:b/>
                <w:spacing w:val="-2"/>
                <w:sz w:val="21"/>
              </w:rPr>
              <w:t>性质、原因、损失程度等难以确定的，我们对无法确定的部分不承担保险</w:t>
            </w:r>
            <w:r>
              <w:rPr>
                <w:rFonts w:ascii="微软雅黑" w:eastAsia="微软雅黑"/>
                <w:b/>
                <w:spacing w:val="-2"/>
                <w:sz w:val="21"/>
              </w:rPr>
              <w:t>责任，</w:t>
            </w:r>
            <w:r>
              <w:rPr>
                <w:spacing w:val="-3"/>
                <w:sz w:val="21"/>
              </w:rPr>
              <w:t>但我们通过其他途径已经及时知道或者应当及时知道保险事故发生</w:t>
            </w:r>
          </w:p>
          <w:p>
            <w:pPr>
              <w:pStyle w:val="TableParagraph"/>
              <w:spacing w:line="244" w:lineRule="auto"/>
              <w:ind w:left="163" w:right="57"/>
              <w:rPr>
                <w:sz w:val="21"/>
              </w:rPr>
            </w:pPr>
            <w:r>
              <w:rPr>
                <w:spacing w:val="-2"/>
                <w:sz w:val="21"/>
              </w:rPr>
              <w:t>或者虽未及时通知但不影响我们确定保险事故的性质、原因、损失程度的</w:t>
            </w:r>
            <w:r>
              <w:rPr>
                <w:spacing w:val="-4"/>
                <w:sz w:val="21"/>
              </w:rPr>
              <w:t>除外。</w:t>
            </w:r>
          </w:p>
        </w:tc>
      </w:tr>
      <w:tr>
        <w:trPr>
          <w:trHeight w:val="770" w:hRule="atLeast"/>
        </w:trPr>
        <w:tc>
          <w:tcPr>
            <w:tcW w:w="687" w:type="dxa"/>
          </w:tcPr>
          <w:p>
            <w:pPr>
              <w:pStyle w:val="TableParagraph"/>
              <w:spacing w:before="48"/>
              <w:ind w:left="50"/>
              <w:rPr>
                <w:rFonts w:ascii="微软雅黑"/>
                <w:b/>
                <w:sz w:val="21"/>
              </w:rPr>
            </w:pPr>
            <w:r>
              <w:rPr>
                <w:rFonts w:ascii="微软雅黑"/>
                <w:b/>
                <w:spacing w:val="-5"/>
                <w:sz w:val="21"/>
              </w:rPr>
              <w:t>3.3</w:t>
            </w:r>
          </w:p>
        </w:tc>
        <w:tc>
          <w:tcPr>
            <w:tcW w:w="1751" w:type="dxa"/>
          </w:tcPr>
          <w:p>
            <w:pPr>
              <w:pStyle w:val="TableParagraph"/>
              <w:spacing w:before="48"/>
              <w:ind w:left="320"/>
              <w:rPr>
                <w:rFonts w:ascii="微软雅黑" w:eastAsia="微软雅黑"/>
                <w:b/>
                <w:sz w:val="21"/>
              </w:rPr>
            </w:pPr>
            <w:r>
              <w:rPr>
                <w:rFonts w:ascii="微软雅黑" w:eastAsia="微软雅黑"/>
                <w:b/>
                <w:spacing w:val="-2"/>
                <w:sz w:val="21"/>
              </w:rPr>
              <w:t>保险金申请</w:t>
            </w:r>
          </w:p>
        </w:tc>
        <w:tc>
          <w:tcPr>
            <w:tcW w:w="6949" w:type="dxa"/>
          </w:tcPr>
          <w:p>
            <w:pPr>
              <w:pStyle w:val="TableParagraph"/>
              <w:spacing w:line="242" w:lineRule="auto" w:before="115"/>
              <w:ind w:left="163" w:right="57"/>
              <w:rPr>
                <w:sz w:val="21"/>
              </w:rPr>
            </w:pPr>
            <w:r>
              <w:rPr>
                <w:spacing w:val="-2"/>
                <w:sz w:val="21"/>
              </w:rPr>
              <w:t>申请保险金时，由相应保险金受益人作为申请人填写保险金给付申请书，</w:t>
            </w:r>
            <w:r>
              <w:rPr>
                <w:spacing w:val="-2"/>
                <w:sz w:val="21"/>
              </w:rPr>
              <w:t>并提供下列证明和资料：</w:t>
            </w:r>
          </w:p>
        </w:tc>
      </w:tr>
      <w:tr>
        <w:trPr>
          <w:trHeight w:val="1174" w:hRule="atLeast"/>
        </w:trPr>
        <w:tc>
          <w:tcPr>
            <w:tcW w:w="687" w:type="dxa"/>
          </w:tcPr>
          <w:p>
            <w:pPr>
              <w:pStyle w:val="TableParagraph"/>
              <w:rPr>
                <w:rFonts w:ascii="Times New Roman"/>
                <w:sz w:val="20"/>
              </w:rPr>
            </w:pPr>
          </w:p>
        </w:tc>
        <w:tc>
          <w:tcPr>
            <w:tcW w:w="1751" w:type="dxa"/>
          </w:tcPr>
          <w:p>
            <w:pPr>
              <w:pStyle w:val="TableParagraph"/>
              <w:spacing w:line="168" w:lineRule="auto" w:before="131"/>
              <w:ind w:left="320" w:right="161"/>
              <w:jc w:val="both"/>
              <w:rPr>
                <w:rFonts w:ascii="微软雅黑" w:eastAsia="微软雅黑"/>
                <w:b/>
                <w:sz w:val="21"/>
              </w:rPr>
            </w:pPr>
            <w:r>
              <w:rPr>
                <w:rFonts w:ascii="微软雅黑" w:eastAsia="微软雅黑"/>
                <w:b/>
                <w:spacing w:val="-2"/>
                <w:sz w:val="21"/>
              </w:rPr>
              <w:t>身故或全残保</w:t>
            </w:r>
            <w:r>
              <w:rPr>
                <w:rFonts w:ascii="微软雅黑" w:eastAsia="微软雅黑"/>
                <w:b/>
                <w:spacing w:val="-2"/>
                <w:sz w:val="21"/>
              </w:rPr>
              <w:t>险金以外的其</w:t>
            </w:r>
            <w:r>
              <w:rPr>
                <w:rFonts w:ascii="微软雅黑" w:eastAsia="微软雅黑"/>
                <w:b/>
                <w:spacing w:val="-2"/>
                <w:sz w:val="21"/>
              </w:rPr>
              <w:t>他保险金申请</w:t>
            </w:r>
          </w:p>
        </w:tc>
        <w:tc>
          <w:tcPr>
            <w:tcW w:w="6949" w:type="dxa"/>
          </w:tcPr>
          <w:p>
            <w:pPr>
              <w:pStyle w:val="TableParagraph"/>
              <w:spacing w:before="115"/>
              <w:ind w:left="163"/>
              <w:rPr>
                <w:sz w:val="21"/>
              </w:rPr>
            </w:pPr>
            <w:r>
              <w:rPr>
                <w:spacing w:val="-3"/>
                <w:sz w:val="21"/>
              </w:rPr>
              <w:t>所需的证明和资料：</w:t>
            </w:r>
          </w:p>
          <w:p>
            <w:pPr>
              <w:pStyle w:val="TableParagraph"/>
              <w:numPr>
                <w:ilvl w:val="0"/>
                <w:numId w:val="17"/>
              </w:numPr>
              <w:tabs>
                <w:tab w:pos="693" w:val="left" w:leader="none"/>
              </w:tabs>
              <w:spacing w:line="240" w:lineRule="auto" w:before="5" w:after="0"/>
              <w:ind w:left="692" w:right="0" w:hanging="530"/>
              <w:jc w:val="left"/>
              <w:rPr>
                <w:sz w:val="21"/>
              </w:rPr>
            </w:pPr>
            <w:r>
              <w:rPr>
                <w:spacing w:val="-4"/>
                <w:sz w:val="21"/>
              </w:rPr>
              <w:t>保险合同；</w:t>
            </w:r>
          </w:p>
          <w:p>
            <w:pPr>
              <w:pStyle w:val="TableParagraph"/>
              <w:numPr>
                <w:ilvl w:val="0"/>
                <w:numId w:val="17"/>
              </w:numPr>
              <w:tabs>
                <w:tab w:pos="693" w:val="left" w:leader="none"/>
              </w:tabs>
              <w:spacing w:line="240" w:lineRule="auto" w:before="2" w:after="0"/>
              <w:ind w:left="692" w:right="0" w:hanging="530"/>
              <w:jc w:val="left"/>
              <w:rPr>
                <w:sz w:val="21"/>
              </w:rPr>
            </w:pPr>
            <w:r>
              <w:rPr>
                <w:spacing w:val="-3"/>
                <w:sz w:val="21"/>
              </w:rPr>
              <w:t>申请人及被保险人的有效身份证件；</w:t>
            </w:r>
          </w:p>
          <w:p>
            <w:pPr>
              <w:pStyle w:val="TableParagraph"/>
              <w:numPr>
                <w:ilvl w:val="0"/>
                <w:numId w:val="17"/>
              </w:numPr>
              <w:tabs>
                <w:tab w:pos="693" w:val="left" w:leader="none"/>
              </w:tabs>
              <w:spacing w:line="220" w:lineRule="exact" w:before="5" w:after="0"/>
              <w:ind w:left="692" w:right="0" w:hanging="530"/>
              <w:jc w:val="left"/>
              <w:rPr>
                <w:sz w:val="21"/>
              </w:rPr>
            </w:pPr>
            <w:r>
              <w:rPr>
                <w:spacing w:val="-8"/>
                <w:sz w:val="21"/>
              </w:rPr>
              <w:t>由我们认可医院的专科医生出具的疾病诊断证明，以及出具的与该疾</w:t>
            </w:r>
          </w:p>
        </w:tc>
      </w:tr>
    </w:tbl>
    <w:p>
      <w:pPr>
        <w:pStyle w:val="BodyText"/>
        <w:spacing w:line="244" w:lineRule="auto" w:before="32"/>
        <w:ind w:left="3330" w:right="324"/>
      </w:pPr>
      <w:r>
        <w:rPr>
          <w:spacing w:val="-9"/>
        </w:rPr>
        <w:t>病诊断证明相关的病理显微镜检查、血液检查及其他科学方法检验报</w:t>
      </w:r>
      <w:r>
        <w:rPr>
          <w:spacing w:val="-6"/>
        </w:rPr>
        <w:t>告；</w:t>
      </w:r>
    </w:p>
    <w:p>
      <w:pPr>
        <w:pStyle w:val="BodyText"/>
        <w:spacing w:line="265" w:lineRule="exact"/>
        <w:ind w:left="2805"/>
      </w:pPr>
      <w:r>
        <w:rPr>
          <w:spacing w:val="-2"/>
        </w:rPr>
        <w:t>（4）</w:t>
      </w:r>
      <w:r>
        <w:rPr>
          <w:spacing w:val="-3"/>
        </w:rPr>
        <w:t>所能提供的与确认保险事故的性质、原因等有关的其他证明和资料。</w:t>
      </w:r>
    </w:p>
    <w:p>
      <w:pPr>
        <w:pStyle w:val="BodyText"/>
        <w:spacing w:before="5"/>
        <w:rPr>
          <w:sz w:val="12"/>
        </w:rPr>
      </w:pPr>
    </w:p>
    <w:p>
      <w:pPr>
        <w:spacing w:after="0"/>
        <w:rPr>
          <w:sz w:val="12"/>
        </w:rPr>
        <w:sectPr>
          <w:pgSz w:w="11910" w:h="16840"/>
          <w:pgMar w:header="877" w:footer="0" w:top="1100" w:bottom="280" w:left="1060" w:right="980"/>
        </w:sectPr>
      </w:pPr>
    </w:p>
    <w:p>
      <w:pPr>
        <w:spacing w:line="170" w:lineRule="auto" w:before="85"/>
        <w:ind w:left="1210" w:right="0" w:firstLine="0"/>
        <w:jc w:val="left"/>
        <w:rPr>
          <w:rFonts w:ascii="微软雅黑" w:eastAsia="微软雅黑"/>
          <w:b/>
          <w:sz w:val="21"/>
        </w:rPr>
      </w:pPr>
      <w:r>
        <w:rPr>
          <w:rFonts w:ascii="微软雅黑" w:eastAsia="微软雅黑"/>
          <w:b/>
          <w:spacing w:val="-2"/>
          <w:sz w:val="21"/>
        </w:rPr>
        <w:t>身故或全残保</w:t>
      </w:r>
      <w:r>
        <w:rPr>
          <w:rFonts w:ascii="微软雅黑" w:eastAsia="微软雅黑"/>
          <w:b/>
          <w:spacing w:val="-4"/>
          <w:sz w:val="21"/>
        </w:rPr>
        <w:t>险金申请</w:t>
      </w:r>
    </w:p>
    <w:p>
      <w:pPr>
        <w:pStyle w:val="BodyText"/>
        <w:spacing w:before="72"/>
        <w:ind w:left="286"/>
      </w:pPr>
      <w:r>
        <w:rPr/>
        <w:br w:type="column"/>
      </w:r>
      <w:r>
        <w:rPr>
          <w:spacing w:val="-3"/>
        </w:rPr>
        <w:t>所需的证明和资料：</w:t>
      </w:r>
    </w:p>
    <w:p>
      <w:pPr>
        <w:pStyle w:val="ListParagraph"/>
        <w:numPr>
          <w:ilvl w:val="0"/>
          <w:numId w:val="18"/>
        </w:numPr>
        <w:tabs>
          <w:tab w:pos="816" w:val="left" w:leader="none"/>
        </w:tabs>
        <w:spacing w:line="240" w:lineRule="auto" w:before="4" w:after="0"/>
        <w:ind w:left="816" w:right="0" w:hanging="530"/>
        <w:jc w:val="left"/>
        <w:rPr>
          <w:sz w:val="21"/>
        </w:rPr>
      </w:pPr>
      <w:r>
        <w:rPr>
          <w:spacing w:val="-4"/>
          <w:sz w:val="21"/>
        </w:rPr>
        <w:t>保险合同；</w:t>
      </w:r>
    </w:p>
    <w:p>
      <w:pPr>
        <w:pStyle w:val="ListParagraph"/>
        <w:numPr>
          <w:ilvl w:val="0"/>
          <w:numId w:val="18"/>
        </w:numPr>
        <w:tabs>
          <w:tab w:pos="816" w:val="left" w:leader="none"/>
        </w:tabs>
        <w:spacing w:line="240" w:lineRule="auto" w:before="2" w:after="0"/>
        <w:ind w:left="816" w:right="0" w:hanging="530"/>
        <w:jc w:val="left"/>
        <w:rPr>
          <w:sz w:val="21"/>
        </w:rPr>
      </w:pPr>
      <w:r>
        <w:rPr>
          <w:spacing w:val="-3"/>
          <w:sz w:val="21"/>
        </w:rPr>
        <w:t>申请人的有效身份证件；</w:t>
      </w:r>
    </w:p>
    <w:p>
      <w:pPr>
        <w:pStyle w:val="ListParagraph"/>
        <w:numPr>
          <w:ilvl w:val="0"/>
          <w:numId w:val="18"/>
        </w:numPr>
        <w:tabs>
          <w:tab w:pos="816" w:val="left" w:leader="none"/>
        </w:tabs>
        <w:spacing w:line="242" w:lineRule="auto" w:before="5" w:after="0"/>
        <w:ind w:left="812" w:right="324" w:hanging="526"/>
        <w:jc w:val="left"/>
        <w:rPr>
          <w:sz w:val="21"/>
        </w:rPr>
      </w:pPr>
      <w:r>
        <w:rPr>
          <w:spacing w:val="-9"/>
          <w:sz w:val="21"/>
        </w:rPr>
        <w:t>国家卫生行政部门认定的医疗机构、公安部门或其他相关机构出具的</w:t>
      </w:r>
      <w:r>
        <w:rPr>
          <w:spacing w:val="-2"/>
          <w:sz w:val="21"/>
        </w:rPr>
        <w:t>被保险人的死亡证明或由司法鉴定机构或其他有资质的医疗鉴定机</w:t>
      </w:r>
      <w:r>
        <w:rPr>
          <w:spacing w:val="-2"/>
          <w:sz w:val="21"/>
        </w:rPr>
        <w:t>构出具的被保险人全残证明；</w:t>
      </w:r>
    </w:p>
    <w:p>
      <w:pPr>
        <w:pStyle w:val="ListParagraph"/>
        <w:numPr>
          <w:ilvl w:val="0"/>
          <w:numId w:val="18"/>
        </w:numPr>
        <w:tabs>
          <w:tab w:pos="816" w:val="left" w:leader="none"/>
        </w:tabs>
        <w:spacing w:line="240" w:lineRule="auto" w:before="1" w:after="0"/>
        <w:ind w:left="816" w:right="0" w:hanging="530"/>
        <w:jc w:val="left"/>
        <w:rPr>
          <w:sz w:val="21"/>
        </w:rPr>
      </w:pPr>
      <w:r>
        <w:rPr>
          <w:spacing w:val="-3"/>
          <w:sz w:val="21"/>
        </w:rPr>
        <w:t>所能提供的与确认保险事故的性质、原因等有关的其他证明和资料。</w:t>
      </w:r>
    </w:p>
    <w:p>
      <w:pPr>
        <w:pStyle w:val="BodyText"/>
        <w:rPr>
          <w:sz w:val="18"/>
        </w:rPr>
      </w:pPr>
    </w:p>
    <w:p>
      <w:pPr>
        <w:pStyle w:val="BodyText"/>
        <w:spacing w:line="244" w:lineRule="auto"/>
        <w:ind w:left="286" w:right="333"/>
      </w:pPr>
      <w:r>
        <w:rPr>
          <w:spacing w:val="-2"/>
        </w:rPr>
        <w:t>保险金作为被保险人遗产时，继承人还须提供可证明其合法继承权的相关</w:t>
      </w:r>
      <w:r>
        <w:rPr>
          <w:spacing w:val="-2"/>
        </w:rPr>
        <w:t>权利文件。</w:t>
      </w:r>
    </w:p>
    <w:p>
      <w:pPr>
        <w:pStyle w:val="BodyText"/>
        <w:spacing w:line="244" w:lineRule="auto"/>
        <w:ind w:left="286" w:right="333"/>
      </w:pPr>
      <w:r>
        <w:rPr>
          <w:spacing w:val="-2"/>
        </w:rPr>
        <w:t>如果委托他人代为申请，除上述证明和资料外，还须提供相关保险金受益</w:t>
      </w:r>
      <w:r>
        <w:rPr>
          <w:spacing w:val="-2"/>
        </w:rPr>
        <w:t>人的授权委托书、受托人的有效身份证件等相关证明文件。</w:t>
      </w:r>
    </w:p>
    <w:p>
      <w:pPr>
        <w:pStyle w:val="BodyText"/>
        <w:spacing w:line="242" w:lineRule="auto"/>
        <w:ind w:left="286" w:right="333"/>
        <w:jc w:val="both"/>
      </w:pPr>
      <w:r>
        <w:rPr>
          <w:spacing w:val="-2"/>
        </w:rPr>
        <w:t>受益人或继承人为未成年人或无民事行为能力人时，由其监护人代其申请</w:t>
      </w:r>
      <w:r>
        <w:rPr>
          <w:spacing w:val="-2"/>
        </w:rPr>
        <w:t>领取保险金，其监护人还必须提供受益人或继承人为未成年人或无民事行</w:t>
      </w:r>
      <w:r>
        <w:rPr>
          <w:spacing w:val="-2"/>
        </w:rPr>
        <w:t>为能力人的证明和监护人具有合法监护权的证明。</w:t>
      </w:r>
    </w:p>
    <w:p>
      <w:pPr>
        <w:pStyle w:val="BodyText"/>
        <w:spacing w:before="10"/>
        <w:rPr>
          <w:sz w:val="20"/>
        </w:rPr>
      </w:pPr>
    </w:p>
    <w:p>
      <w:pPr>
        <w:pStyle w:val="BodyText"/>
        <w:ind w:left="286"/>
      </w:pPr>
      <w:r>
        <w:rPr>
          <w:spacing w:val="-3"/>
        </w:rPr>
        <w:t>以上证明和资料不完整的，我们将及时一次性通知申请人补充提供。</w:t>
      </w:r>
    </w:p>
    <w:p>
      <w:pPr>
        <w:spacing w:after="0"/>
        <w:sectPr>
          <w:type w:val="continuous"/>
          <w:pgSz w:w="11910" w:h="16840"/>
          <w:pgMar w:header="877" w:footer="0" w:top="1100" w:bottom="280" w:left="1060" w:right="980"/>
          <w:cols w:num="2" w:equalWidth="0">
            <w:col w:w="2479" w:space="40"/>
            <w:col w:w="7351"/>
          </w:cols>
        </w:sectPr>
      </w:pPr>
    </w:p>
    <w:p>
      <w:pPr>
        <w:pStyle w:val="BodyText"/>
        <w:spacing w:before="4"/>
        <w:rPr>
          <w:sz w:val="12"/>
        </w:rPr>
      </w:pPr>
    </w:p>
    <w:p>
      <w:pPr>
        <w:pStyle w:val="ListParagraph"/>
        <w:numPr>
          <w:ilvl w:val="1"/>
          <w:numId w:val="19"/>
        </w:numPr>
        <w:tabs>
          <w:tab w:pos="1211" w:val="left" w:leader="none"/>
        </w:tabs>
        <w:spacing w:line="204" w:lineRule="auto" w:before="47" w:after="0"/>
        <w:ind w:left="2805" w:right="323" w:hanging="2552"/>
        <w:jc w:val="both"/>
        <w:rPr>
          <w:sz w:val="21"/>
        </w:rPr>
      </w:pPr>
      <w:r>
        <w:rPr>
          <w:rFonts w:ascii="微软雅黑" w:eastAsia="微软雅黑"/>
          <w:b/>
          <w:spacing w:val="68"/>
          <w:sz w:val="21"/>
        </w:rPr>
        <w:t>保险金给付 </w:t>
      </w:r>
      <w:r>
        <w:rPr>
          <w:spacing w:val="-1"/>
          <w:sz w:val="21"/>
        </w:rPr>
        <w:t>我们在收到保险金给付申请书及保险金申请所需证明和资料后，将在 </w:t>
      </w:r>
      <w:r>
        <w:rPr>
          <w:sz w:val="21"/>
        </w:rPr>
        <w:t>5</w:t>
      </w:r>
      <w:r>
        <w:rPr>
          <w:spacing w:val="-13"/>
          <w:sz w:val="21"/>
        </w:rPr>
        <w:t> 日</w:t>
      </w:r>
      <w:r>
        <w:rPr>
          <w:spacing w:val="-8"/>
          <w:sz w:val="21"/>
        </w:rPr>
        <w:t>内作出核定；情形复杂的，在 </w:t>
      </w:r>
      <w:r>
        <w:rPr>
          <w:spacing w:val="-4"/>
          <w:sz w:val="21"/>
        </w:rPr>
        <w:t>30</w:t>
      </w:r>
      <w:r>
        <w:rPr>
          <w:spacing w:val="-11"/>
          <w:sz w:val="21"/>
        </w:rPr>
        <w:t> 日内作出核定。若我们要求您、被保险人</w:t>
      </w:r>
    </w:p>
    <w:p>
      <w:pPr>
        <w:pStyle w:val="BodyText"/>
        <w:spacing w:line="242" w:lineRule="auto" w:before="13"/>
        <w:ind w:left="2805" w:right="323"/>
        <w:jc w:val="both"/>
      </w:pPr>
      <w:r>
        <w:rPr>
          <w:spacing w:val="-9"/>
        </w:rPr>
        <w:t>或者受益人补充提供有关证明和资料的，则上述的 </w:t>
      </w:r>
      <w:r>
        <w:rPr>
          <w:spacing w:val="-2"/>
        </w:rPr>
        <w:t>30</w:t>
      </w:r>
      <w:r>
        <w:rPr>
          <w:spacing w:val="-7"/>
        </w:rPr>
        <w:t> 日不包括补充提供有</w:t>
      </w:r>
      <w:r>
        <w:rPr>
          <w:spacing w:val="-2"/>
        </w:rPr>
        <w:t>关证明和资料的期间。对属于保险责任的，我们在与受益人达成有关给付</w:t>
      </w:r>
      <w:r>
        <w:rPr>
          <w:spacing w:val="-3"/>
        </w:rPr>
        <w:t>保险金数额的协议后 </w:t>
      </w:r>
      <w:r>
        <w:rPr/>
        <w:t>10</w:t>
      </w:r>
      <w:r>
        <w:rPr>
          <w:spacing w:val="-5"/>
        </w:rPr>
        <w:t> 日内，履行给付保险金义务。</w:t>
      </w:r>
    </w:p>
    <w:p>
      <w:pPr>
        <w:spacing w:after="0" w:line="242" w:lineRule="auto"/>
        <w:jc w:val="both"/>
        <w:sectPr>
          <w:type w:val="continuous"/>
          <w:pgSz w:w="11910" w:h="16840"/>
          <w:pgMar w:header="877" w:footer="0" w:top="1100" w:bottom="280" w:left="1060" w:right="980"/>
        </w:sectPr>
      </w:pPr>
    </w:p>
    <w:p>
      <w:pPr>
        <w:pStyle w:val="BodyText"/>
        <w:spacing w:line="242" w:lineRule="auto" w:before="83"/>
        <w:ind w:left="2805" w:right="323"/>
        <w:jc w:val="both"/>
      </w:pPr>
      <w:r>
        <w:rPr>
          <w:spacing w:val="-12"/>
        </w:rPr>
        <w:t>我们未及时履行前款规定义务的，将赔偿受益人因此受到的损失。前述“损</w:t>
      </w:r>
      <w:r>
        <w:rPr>
          <w:spacing w:val="-2"/>
        </w:rPr>
        <w:t>失”指根据中国人民银行公布的同期人民币活期存款基准利率计算的利息</w:t>
      </w:r>
      <w:r>
        <w:rPr>
          <w:spacing w:val="-4"/>
        </w:rPr>
        <w:t>损失。</w:t>
      </w:r>
    </w:p>
    <w:p>
      <w:pPr>
        <w:pStyle w:val="BodyText"/>
        <w:spacing w:line="244" w:lineRule="auto" w:before="1"/>
        <w:ind w:left="2805" w:right="333"/>
        <w:jc w:val="both"/>
      </w:pPr>
      <w:r>
        <w:rPr>
          <w:spacing w:val="-4"/>
        </w:rPr>
        <w:t>对不属于保险责任的，我们自作出核定之日起 </w:t>
      </w:r>
      <w:r>
        <w:rPr>
          <w:spacing w:val="-2"/>
        </w:rPr>
        <w:t>3</w:t>
      </w:r>
      <w:r>
        <w:rPr>
          <w:spacing w:val="-7"/>
        </w:rPr>
        <w:t> 日内向受益人发出拒绝给</w:t>
      </w:r>
      <w:r>
        <w:rPr>
          <w:spacing w:val="-2"/>
        </w:rPr>
        <w:t>付保险金通知书，并说明理由。</w:t>
      </w:r>
    </w:p>
    <w:p>
      <w:pPr>
        <w:pStyle w:val="BodyText"/>
        <w:spacing w:line="242" w:lineRule="auto"/>
        <w:ind w:left="2805" w:right="323"/>
        <w:jc w:val="both"/>
      </w:pPr>
      <w:r>
        <w:rPr>
          <w:spacing w:val="-3"/>
        </w:rPr>
        <w:t>我们在收到保险金给付申请书及有关证明和资料之日起 </w:t>
      </w:r>
      <w:r>
        <w:rPr>
          <w:spacing w:val="-2"/>
        </w:rPr>
        <w:t>60</w:t>
      </w:r>
      <w:r>
        <w:rPr>
          <w:spacing w:val="-18"/>
        </w:rPr>
        <w:t> 日内，对给付保</w:t>
      </w:r>
      <w:r>
        <w:rPr>
          <w:spacing w:val="-2"/>
        </w:rPr>
        <w:t>险金的数额不能确定的，根据已有证明和资料可以确定的数额先予支付；</w:t>
      </w:r>
      <w:r>
        <w:rPr>
          <w:spacing w:val="-2"/>
        </w:rPr>
        <w:t>我们最终确定给付保险金的数额后，将支付相应的差额。</w:t>
      </w:r>
    </w:p>
    <w:p>
      <w:pPr>
        <w:pStyle w:val="ListParagraph"/>
        <w:numPr>
          <w:ilvl w:val="1"/>
          <w:numId w:val="19"/>
        </w:numPr>
        <w:tabs>
          <w:tab w:pos="1210" w:val="left" w:leader="none"/>
          <w:tab w:pos="1211" w:val="left" w:leader="none"/>
          <w:tab w:pos="2804" w:val="left" w:leader="none"/>
        </w:tabs>
        <w:spacing w:line="220" w:lineRule="auto" w:before="179" w:after="0"/>
        <w:ind w:left="2805" w:right="333" w:hanging="2552"/>
        <w:jc w:val="left"/>
        <w:rPr>
          <w:sz w:val="21"/>
        </w:rPr>
      </w:pPr>
      <w:r>
        <w:rPr>
          <w:rFonts w:ascii="微软雅黑" w:eastAsia="微软雅黑"/>
          <w:b/>
          <w:spacing w:val="-4"/>
          <w:sz w:val="21"/>
        </w:rPr>
        <w:t>诉</w:t>
      </w:r>
      <w:r>
        <w:rPr>
          <w:rFonts w:ascii="微软雅黑" w:eastAsia="微软雅黑"/>
          <w:b/>
          <w:spacing w:val="-4"/>
          <w:sz w:val="21"/>
        </w:rPr>
        <w:t>讼</w:t>
      </w:r>
      <w:r>
        <w:rPr>
          <w:rFonts w:ascii="微软雅黑" w:eastAsia="微软雅黑"/>
          <w:b/>
          <w:spacing w:val="-4"/>
          <w:sz w:val="21"/>
        </w:rPr>
        <w:t>时</w:t>
      </w:r>
      <w:r>
        <w:rPr>
          <w:rFonts w:ascii="微软雅黑" w:eastAsia="微软雅黑"/>
          <w:b/>
          <w:spacing w:val="-4"/>
          <w:sz w:val="21"/>
        </w:rPr>
        <w:t>效</w:t>
      </w:r>
      <w:r>
        <w:rPr>
          <w:rFonts w:ascii="微软雅黑" w:eastAsia="微软雅黑"/>
          <w:b/>
          <w:sz w:val="21"/>
        </w:rPr>
        <w:tab/>
      </w:r>
      <w:r>
        <w:rPr>
          <w:sz w:val="21"/>
        </w:rPr>
        <w:t>本合同身故保险金的受益</w:t>
      </w:r>
      <w:r>
        <w:rPr>
          <w:sz w:val="21"/>
        </w:rPr>
        <w:t>人向我们请求给付保险金</w:t>
      </w:r>
      <w:r>
        <w:rPr>
          <w:sz w:val="21"/>
        </w:rPr>
        <w:t>的诉讼时效期间为</w:t>
      </w:r>
      <w:r>
        <w:rPr>
          <w:spacing w:val="-42"/>
          <w:sz w:val="21"/>
        </w:rPr>
        <w:t> </w:t>
      </w:r>
      <w:r>
        <w:rPr>
          <w:sz w:val="21"/>
        </w:rPr>
        <w:t>5</w:t>
      </w:r>
      <w:r>
        <w:rPr>
          <w:sz w:val="21"/>
        </w:rPr>
        <w:t> </w:t>
      </w:r>
      <w:r>
        <w:rPr>
          <w:spacing w:val="-2"/>
          <w:sz w:val="21"/>
        </w:rPr>
        <w:t>年</w:t>
      </w:r>
      <w:r>
        <w:rPr>
          <w:spacing w:val="-2"/>
          <w:sz w:val="21"/>
        </w:rPr>
        <w:t>，自其知道或者应当知</w:t>
      </w:r>
      <w:r>
        <w:rPr>
          <w:spacing w:val="-2"/>
          <w:sz w:val="21"/>
        </w:rPr>
        <w:t>道</w:t>
      </w:r>
      <w:r>
        <w:rPr>
          <w:spacing w:val="-2"/>
          <w:sz w:val="21"/>
        </w:rPr>
        <w:t>保</w:t>
      </w:r>
      <w:r>
        <w:rPr>
          <w:spacing w:val="-2"/>
          <w:sz w:val="21"/>
        </w:rPr>
        <w:t>险事故发生之日起计</w:t>
      </w:r>
      <w:r>
        <w:rPr>
          <w:spacing w:val="-2"/>
          <w:sz w:val="21"/>
        </w:rPr>
        <w:t>算</w:t>
      </w:r>
      <w:r>
        <w:rPr>
          <w:spacing w:val="-2"/>
          <w:sz w:val="21"/>
        </w:rPr>
        <w:t>。</w:t>
      </w:r>
      <w:r>
        <w:rPr>
          <w:spacing w:val="-2"/>
          <w:sz w:val="21"/>
        </w:rPr>
        <w:t>除身故保险金外其</w:t>
      </w:r>
      <w:r>
        <w:rPr>
          <w:sz w:val="21"/>
        </w:rPr>
        <w:t>他保险金的受益人向我们</w:t>
      </w:r>
      <w:r>
        <w:rPr>
          <w:sz w:val="21"/>
        </w:rPr>
        <w:t>请求给付保险金的诉讼时</w:t>
      </w:r>
      <w:r>
        <w:rPr>
          <w:sz w:val="21"/>
        </w:rPr>
        <w:t>效期间为</w:t>
      </w:r>
      <w:r>
        <w:rPr>
          <w:spacing w:val="-53"/>
          <w:sz w:val="21"/>
        </w:rPr>
        <w:t> </w:t>
      </w:r>
      <w:r>
        <w:rPr>
          <w:sz w:val="21"/>
        </w:rPr>
        <w:t>2</w:t>
      </w:r>
      <w:r>
        <w:rPr>
          <w:spacing w:val="-55"/>
          <w:sz w:val="21"/>
        </w:rPr>
        <w:t> </w:t>
      </w:r>
      <w:r>
        <w:rPr>
          <w:sz w:val="21"/>
        </w:rPr>
        <w:t>年，自其知</w:t>
      </w:r>
    </w:p>
    <w:p>
      <w:pPr>
        <w:pStyle w:val="BodyText"/>
        <w:spacing w:before="13"/>
        <w:ind w:left="2805"/>
      </w:pPr>
      <w:r>
        <w:rPr>
          <w:spacing w:val="-3"/>
        </w:rPr>
        <w:t>道或者应当知道保险事故发生之日起计算。</w:t>
      </w:r>
    </w:p>
    <w:p>
      <w:pPr>
        <w:pStyle w:val="BodyText"/>
        <w:spacing w:before="6"/>
        <w:rPr>
          <w:sz w:val="14"/>
        </w:rPr>
      </w:pPr>
    </w:p>
    <w:p>
      <w:pPr>
        <w:pStyle w:val="ListParagraph"/>
        <w:numPr>
          <w:ilvl w:val="1"/>
          <w:numId w:val="19"/>
        </w:numPr>
        <w:tabs>
          <w:tab w:pos="1211" w:val="left" w:leader="none"/>
        </w:tabs>
        <w:spacing w:line="220" w:lineRule="auto" w:before="0" w:after="0"/>
        <w:ind w:left="2805" w:right="333" w:hanging="2552"/>
        <w:jc w:val="both"/>
        <w:rPr>
          <w:sz w:val="21"/>
        </w:rPr>
      </w:pPr>
      <w:r>
        <w:rPr>
          <w:rFonts w:ascii="微软雅黑" w:eastAsia="微软雅黑"/>
          <w:b/>
          <w:spacing w:val="34"/>
          <w:sz w:val="21"/>
        </w:rPr>
        <w:t>宣告死亡处理 </w:t>
      </w:r>
      <w:r>
        <w:rPr>
          <w:sz w:val="21"/>
        </w:rPr>
        <w:t>在本合同保险期间内，被保险人下落不明且经人民法院宣告被保险人死亡</w:t>
      </w:r>
      <w:r>
        <w:rPr>
          <w:spacing w:val="-2"/>
          <w:sz w:val="21"/>
        </w:rPr>
        <w:t>后，我们根据法院宣告死亡判决依法确定被保险人死亡日期，并按本条款</w:t>
      </w:r>
      <w:r>
        <w:rPr>
          <w:spacing w:val="-2"/>
          <w:sz w:val="21"/>
        </w:rPr>
        <w:t>与身故有关的约定处理。若被保险人在宣告死亡后重新出现，身故保险金</w:t>
      </w:r>
    </w:p>
    <w:p>
      <w:pPr>
        <w:pStyle w:val="BodyText"/>
        <w:spacing w:line="244" w:lineRule="auto" w:before="10"/>
        <w:ind w:left="2805" w:right="439"/>
        <w:jc w:val="both"/>
      </w:pPr>
      <w:r>
        <w:rPr>
          <w:w w:val="95"/>
        </w:rPr>
        <w:t>受</w:t>
      </w:r>
      <w:r>
        <w:rPr>
          <w:w w:val="95"/>
        </w:rPr>
        <w:t>益</w:t>
      </w:r>
      <w:r>
        <w:rPr>
          <w:w w:val="95"/>
        </w:rPr>
        <w:t>人或继承人应于知道</w:t>
      </w:r>
      <w:r>
        <w:rPr>
          <w:w w:val="95"/>
        </w:rPr>
        <w:t>或</w:t>
      </w:r>
      <w:r>
        <w:rPr>
          <w:w w:val="95"/>
        </w:rPr>
        <w:t>应</w:t>
      </w:r>
      <w:r>
        <w:rPr>
          <w:w w:val="95"/>
        </w:rPr>
        <w:t>该知道被保险人重新出现后</w:t>
      </w:r>
      <w:r>
        <w:rPr>
          <w:spacing w:val="35"/>
        </w:rPr>
        <w:t> </w:t>
      </w:r>
      <w:r>
        <w:rPr>
          <w:w w:val="95"/>
        </w:rPr>
        <w:t>30</w:t>
      </w:r>
      <w:r>
        <w:rPr>
          <w:spacing w:val="29"/>
        </w:rPr>
        <w:t> </w:t>
      </w:r>
      <w:r>
        <w:rPr>
          <w:w w:val="95"/>
        </w:rPr>
        <w:t>日内将领</w:t>
      </w:r>
      <w:r>
        <w:rPr>
          <w:w w:val="95"/>
        </w:rPr>
        <w:t>取</w:t>
      </w:r>
      <w:r>
        <w:rPr>
          <w:spacing w:val="-2"/>
        </w:rPr>
        <w:t>的身故保险金退还给我们。</w:t>
      </w:r>
    </w:p>
    <w:p>
      <w:pPr>
        <w:pStyle w:val="BodyText"/>
        <w:spacing w:before="10"/>
        <w:rPr>
          <w:sz w:val="16"/>
        </w:rPr>
      </w:pPr>
    </w:p>
    <w:p>
      <w:pPr>
        <w:pStyle w:val="Heading1"/>
        <w:tabs>
          <w:tab w:pos="1193" w:val="left" w:leader="none"/>
        </w:tabs>
      </w:pPr>
      <w:r>
        <w:rPr>
          <w:rFonts w:ascii="Wingdings" w:hAnsi="Wingdings" w:eastAsia="Wingdings"/>
          <w:spacing w:val="-10"/>
          <w:position w:val="-5"/>
          <w:sz w:val="44"/>
        </w:rPr>
        <w:t></w:t>
      </w:r>
      <w:r>
        <w:rPr>
          <w:rFonts w:ascii="Times New Roman" w:hAnsi="Times New Roman" w:eastAsia="Times New Roman"/>
          <w:b w:val="0"/>
          <w:position w:val="-5"/>
          <w:sz w:val="44"/>
        </w:rPr>
        <w:tab/>
      </w:r>
      <w:r>
        <w:rPr>
          <w:spacing w:val="-1"/>
        </w:rPr>
        <w:t>保险费的交纳与现金价值权益</w:t>
      </w:r>
    </w:p>
    <w:p>
      <w:pPr>
        <w:pStyle w:val="BodyText"/>
        <w:spacing w:line="20" w:lineRule="exact"/>
        <w:ind w:left="145"/>
        <w:rPr>
          <w:rFonts w:ascii="微软雅黑"/>
          <w:sz w:val="2"/>
        </w:rPr>
      </w:pPr>
      <w:r>
        <w:rPr>
          <w:rFonts w:ascii="微软雅黑"/>
          <w:sz w:val="2"/>
        </w:rPr>
        <w:drawing>
          <wp:inline distT="0" distB="0" distL="0" distR="0">
            <wp:extent cx="6078617" cy="12287"/>
            <wp:effectExtent l="0" t="0" r="0" b="0"/>
            <wp:docPr id="23" name="image3.png"/>
            <wp:cNvGraphicFramePr>
              <a:graphicFrameLocks noChangeAspect="1"/>
            </wp:cNvGraphicFramePr>
            <a:graphic>
              <a:graphicData uri="http://schemas.openxmlformats.org/drawingml/2006/picture">
                <pic:pic>
                  <pic:nvPicPr>
                    <pic:cNvPr id="24" name="image3.png"/>
                    <pic:cNvPicPr/>
                  </pic:nvPicPr>
                  <pic:blipFill>
                    <a:blip r:embed="rId8" cstate="print"/>
                    <a:stretch>
                      <a:fillRect/>
                    </a:stretch>
                  </pic:blipFill>
                  <pic:spPr>
                    <a:xfrm>
                      <a:off x="0" y="0"/>
                      <a:ext cx="6078617" cy="12287"/>
                    </a:xfrm>
                    <a:prstGeom prst="rect">
                      <a:avLst/>
                    </a:prstGeom>
                  </pic:spPr>
                </pic:pic>
              </a:graphicData>
            </a:graphic>
          </wp:inline>
        </w:drawing>
      </w:r>
      <w:r>
        <w:rPr>
          <w:rFonts w:ascii="微软雅黑"/>
          <w:sz w:val="2"/>
        </w:rPr>
      </w:r>
    </w:p>
    <w:p>
      <w:pPr>
        <w:pStyle w:val="ListParagraph"/>
        <w:numPr>
          <w:ilvl w:val="1"/>
          <w:numId w:val="20"/>
        </w:numPr>
        <w:tabs>
          <w:tab w:pos="1211" w:val="left" w:leader="none"/>
        </w:tabs>
        <w:spacing w:line="220" w:lineRule="auto" w:before="164" w:after="0"/>
        <w:ind w:left="2805" w:right="333" w:hanging="2552"/>
        <w:jc w:val="both"/>
        <w:rPr>
          <w:sz w:val="21"/>
        </w:rPr>
      </w:pPr>
      <w:r>
        <w:rPr>
          <w:rFonts w:ascii="微软雅黑" w:eastAsia="微软雅黑"/>
          <w:b/>
          <w:spacing w:val="34"/>
          <w:sz w:val="21"/>
        </w:rPr>
        <w:t>保险费的支付 </w:t>
      </w:r>
      <w:r>
        <w:rPr>
          <w:sz w:val="21"/>
        </w:rPr>
        <w:t>本合同保险费的交费方式和交费期间由您在投保时与我们约定并在保险单</w:t>
      </w:r>
      <w:r>
        <w:rPr>
          <w:spacing w:val="-2"/>
          <w:sz w:val="21"/>
        </w:rPr>
        <w:t>上载明。分期支付保险费的，在支付首期保险费后，您应当在保险费约定</w:t>
      </w:r>
      <w:r>
        <w:rPr>
          <w:spacing w:val="-2"/>
          <w:sz w:val="21"/>
        </w:rPr>
        <w:t>支付日支付其余各期的保险费。</w:t>
      </w:r>
    </w:p>
    <w:p>
      <w:pPr>
        <w:pStyle w:val="BodyText"/>
        <w:spacing w:before="10"/>
        <w:rPr>
          <w:sz w:val="19"/>
        </w:rPr>
      </w:pPr>
    </w:p>
    <w:p>
      <w:pPr>
        <w:pStyle w:val="ListParagraph"/>
        <w:numPr>
          <w:ilvl w:val="1"/>
          <w:numId w:val="20"/>
        </w:numPr>
        <w:tabs>
          <w:tab w:pos="1210" w:val="left" w:leader="none"/>
          <w:tab w:pos="1211" w:val="left" w:leader="none"/>
          <w:tab w:pos="2804" w:val="left" w:leader="none"/>
        </w:tabs>
        <w:spacing w:line="168" w:lineRule="auto" w:before="1" w:after="0"/>
        <w:ind w:left="2805" w:right="219" w:hanging="2552"/>
        <w:jc w:val="left"/>
        <w:rPr>
          <w:rFonts w:ascii="微软雅黑" w:eastAsia="微软雅黑"/>
          <w:b/>
          <w:sz w:val="21"/>
        </w:rPr>
      </w:pPr>
      <w:r>
        <w:rPr>
          <w:rFonts w:ascii="微软雅黑" w:eastAsia="微软雅黑"/>
          <w:b/>
          <w:spacing w:val="-4"/>
          <w:sz w:val="21"/>
        </w:rPr>
        <w:t>宽</w:t>
      </w:r>
      <w:r>
        <w:rPr>
          <w:rFonts w:ascii="微软雅黑" w:eastAsia="微软雅黑"/>
          <w:b/>
          <w:spacing w:val="-4"/>
          <w:sz w:val="21"/>
        </w:rPr>
        <w:t>限</w:t>
      </w:r>
      <w:r>
        <w:rPr>
          <w:rFonts w:ascii="微软雅黑" w:eastAsia="微软雅黑"/>
          <w:b/>
          <w:spacing w:val="-4"/>
          <w:sz w:val="21"/>
        </w:rPr>
        <w:t>期</w:t>
      </w:r>
      <w:r>
        <w:rPr>
          <w:rFonts w:ascii="微软雅黑" w:eastAsia="微软雅黑"/>
          <w:b/>
          <w:sz w:val="21"/>
        </w:rPr>
        <w:tab/>
      </w:r>
      <w:r>
        <w:rPr>
          <w:spacing w:val="-2"/>
          <w:sz w:val="21"/>
        </w:rPr>
        <w:t>分</w:t>
      </w:r>
      <w:r>
        <w:rPr>
          <w:spacing w:val="-2"/>
          <w:sz w:val="21"/>
        </w:rPr>
        <w:t>期</w:t>
      </w:r>
      <w:r>
        <w:rPr>
          <w:spacing w:val="-2"/>
          <w:sz w:val="21"/>
        </w:rPr>
        <w:t>支付保险费的，您支</w:t>
      </w:r>
      <w:r>
        <w:rPr>
          <w:spacing w:val="-2"/>
          <w:sz w:val="21"/>
        </w:rPr>
        <w:t>付</w:t>
      </w:r>
      <w:r>
        <w:rPr>
          <w:spacing w:val="-2"/>
          <w:sz w:val="21"/>
        </w:rPr>
        <w:t>首</w:t>
      </w:r>
      <w:r>
        <w:rPr>
          <w:spacing w:val="-2"/>
          <w:sz w:val="21"/>
        </w:rPr>
        <w:t>期保险费后，如果您</w:t>
      </w:r>
      <w:r>
        <w:rPr>
          <w:spacing w:val="-2"/>
          <w:sz w:val="21"/>
        </w:rPr>
        <w:t>到</w:t>
      </w:r>
      <w:r>
        <w:rPr>
          <w:spacing w:val="-2"/>
          <w:sz w:val="21"/>
        </w:rPr>
        <w:t>期</w:t>
      </w:r>
      <w:r>
        <w:rPr>
          <w:spacing w:val="-2"/>
          <w:sz w:val="21"/>
        </w:rPr>
        <w:t>未支付保险费，自</w:t>
      </w:r>
      <w:r>
        <w:rPr>
          <w:sz w:val="21"/>
        </w:rPr>
        <w:t>保险费约定支付日次日零</w:t>
      </w:r>
      <w:r>
        <w:rPr>
          <w:sz w:val="21"/>
        </w:rPr>
        <w:t>时起</w:t>
      </w:r>
      <w:r>
        <w:rPr>
          <w:spacing w:val="-53"/>
          <w:sz w:val="21"/>
        </w:rPr>
        <w:t> </w:t>
      </w:r>
      <w:r>
        <w:rPr>
          <w:sz w:val="21"/>
        </w:rPr>
        <w:t>60</w:t>
      </w:r>
      <w:r>
        <w:rPr>
          <w:spacing w:val="-53"/>
          <w:sz w:val="21"/>
        </w:rPr>
        <w:t> </w:t>
      </w:r>
      <w:r>
        <w:rPr>
          <w:sz w:val="21"/>
        </w:rPr>
        <w:t>日为宽限期。</w:t>
      </w:r>
      <w:r>
        <w:rPr>
          <w:rFonts w:ascii="微软雅黑" w:eastAsia="微软雅黑"/>
          <w:b/>
          <w:sz w:val="21"/>
        </w:rPr>
        <w:t>宽限期内发生的保险事故，</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仍</w:t>
      </w:r>
      <w:r>
        <w:rPr>
          <w:rFonts w:ascii="微软雅黑" w:eastAsia="微软雅黑"/>
          <w:b/>
          <w:spacing w:val="-2"/>
          <w:sz w:val="21"/>
        </w:rPr>
        <w:t>会</w:t>
      </w:r>
      <w:r>
        <w:rPr>
          <w:rFonts w:ascii="微软雅黑" w:eastAsia="微软雅黑"/>
          <w:b/>
          <w:spacing w:val="-2"/>
          <w:sz w:val="21"/>
        </w:rPr>
        <w:t>承</w:t>
      </w:r>
      <w:r>
        <w:rPr>
          <w:rFonts w:ascii="微软雅黑" w:eastAsia="微软雅黑"/>
          <w:b/>
          <w:spacing w:val="-2"/>
          <w:sz w:val="21"/>
        </w:rPr>
        <w:t>担</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责任，</w:t>
      </w:r>
      <w:r>
        <w:rPr>
          <w:rFonts w:ascii="微软雅黑" w:eastAsia="微软雅黑"/>
          <w:b/>
          <w:spacing w:val="-2"/>
          <w:sz w:val="21"/>
        </w:rPr>
        <w:t>但</w:t>
      </w:r>
      <w:r>
        <w:rPr>
          <w:rFonts w:ascii="微软雅黑" w:eastAsia="微软雅黑"/>
          <w:b/>
          <w:spacing w:val="-2"/>
          <w:sz w:val="21"/>
        </w:rPr>
        <w:t>在</w:t>
      </w:r>
      <w:r>
        <w:rPr>
          <w:rFonts w:ascii="微软雅黑" w:eastAsia="微软雅黑"/>
          <w:b/>
          <w:spacing w:val="-2"/>
          <w:sz w:val="21"/>
        </w:rPr>
        <w:t>给</w:t>
      </w:r>
      <w:r>
        <w:rPr>
          <w:rFonts w:ascii="微软雅黑" w:eastAsia="微软雅黑"/>
          <w:b/>
          <w:spacing w:val="-2"/>
          <w:sz w:val="21"/>
        </w:rPr>
        <w:t>付</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时</w:t>
      </w:r>
      <w:r>
        <w:rPr>
          <w:rFonts w:ascii="微软雅黑" w:eastAsia="微软雅黑"/>
          <w:b/>
          <w:spacing w:val="-2"/>
          <w:sz w:val="21"/>
        </w:rPr>
        <w:t>会扣减</w:t>
      </w:r>
      <w:r>
        <w:rPr>
          <w:rFonts w:ascii="微软雅黑" w:eastAsia="微软雅黑"/>
          <w:b/>
          <w:spacing w:val="-2"/>
          <w:sz w:val="21"/>
        </w:rPr>
        <w:t>您</w:t>
      </w:r>
      <w:r>
        <w:rPr>
          <w:rFonts w:ascii="微软雅黑" w:eastAsia="微软雅黑"/>
          <w:b/>
          <w:spacing w:val="-2"/>
          <w:sz w:val="21"/>
        </w:rPr>
        <w:t>欠</w:t>
      </w:r>
      <w:r>
        <w:rPr>
          <w:rFonts w:ascii="微软雅黑" w:eastAsia="微软雅黑"/>
          <w:b/>
          <w:spacing w:val="-2"/>
          <w:sz w:val="21"/>
        </w:rPr>
        <w:t>交</w:t>
      </w:r>
      <w:r>
        <w:rPr>
          <w:rFonts w:ascii="微软雅黑" w:eastAsia="微软雅黑"/>
          <w:b/>
          <w:spacing w:val="-2"/>
          <w:sz w:val="21"/>
        </w:rPr>
        <w:t>的</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w:t>
      </w:r>
    </w:p>
    <w:p>
      <w:pPr>
        <w:spacing w:line="170" w:lineRule="auto" w:before="0"/>
        <w:ind w:left="2805" w:right="326" w:firstLine="0"/>
        <w:jc w:val="left"/>
        <w:rPr>
          <w:rFonts w:ascii="微软雅黑" w:eastAsia="微软雅黑"/>
          <w:b/>
          <w:sz w:val="21"/>
        </w:rPr>
      </w:pPr>
      <w:r>
        <w:rPr>
          <w:rFonts w:ascii="微软雅黑" w:eastAsia="微软雅黑"/>
          <w:b/>
          <w:spacing w:val="-2"/>
          <w:sz w:val="21"/>
        </w:rPr>
        <w:t>除另有约定外，如果您宽限期结束之时仍未支付保险费，则本合同自宽限</w:t>
      </w:r>
      <w:r>
        <w:rPr>
          <w:rFonts w:ascii="微软雅黑" w:eastAsia="微软雅黑"/>
          <w:b/>
          <w:spacing w:val="-2"/>
          <w:sz w:val="21"/>
        </w:rPr>
        <w:t>期满的次日零时起效力中止。</w:t>
      </w:r>
    </w:p>
    <w:p>
      <w:pPr>
        <w:pStyle w:val="ListParagraph"/>
        <w:numPr>
          <w:ilvl w:val="1"/>
          <w:numId w:val="20"/>
        </w:numPr>
        <w:tabs>
          <w:tab w:pos="1210" w:val="left" w:leader="none"/>
          <w:tab w:pos="1211" w:val="left" w:leader="none"/>
          <w:tab w:pos="2804" w:val="left" w:leader="none"/>
        </w:tabs>
        <w:spacing w:line="220" w:lineRule="auto" w:before="165" w:after="0"/>
        <w:ind w:left="2805" w:right="218" w:hanging="2552"/>
        <w:jc w:val="left"/>
        <w:rPr>
          <w:sz w:val="21"/>
        </w:rPr>
      </w:pPr>
      <w:r>
        <w:rPr>
          <w:rFonts w:ascii="微软雅黑" w:eastAsia="微软雅黑"/>
          <w:b/>
          <w:spacing w:val="-4"/>
          <w:sz w:val="21"/>
        </w:rPr>
        <w:t>现</w:t>
      </w:r>
      <w:r>
        <w:rPr>
          <w:rFonts w:ascii="微软雅黑" w:eastAsia="微软雅黑"/>
          <w:b/>
          <w:spacing w:val="-4"/>
          <w:sz w:val="21"/>
        </w:rPr>
        <w:t>金</w:t>
      </w:r>
      <w:r>
        <w:rPr>
          <w:rFonts w:ascii="微软雅黑" w:eastAsia="微软雅黑"/>
          <w:b/>
          <w:spacing w:val="-4"/>
          <w:sz w:val="21"/>
        </w:rPr>
        <w:t>价</w:t>
      </w:r>
      <w:r>
        <w:rPr>
          <w:rFonts w:ascii="微软雅黑" w:eastAsia="微软雅黑"/>
          <w:b/>
          <w:spacing w:val="-4"/>
          <w:sz w:val="21"/>
        </w:rPr>
        <w:t>值</w:t>
      </w:r>
      <w:r>
        <w:rPr>
          <w:rFonts w:ascii="微软雅黑" w:eastAsia="微软雅黑"/>
          <w:b/>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由</w:t>
      </w:r>
      <w:r>
        <w:rPr>
          <w:spacing w:val="-2"/>
          <w:sz w:val="21"/>
        </w:rPr>
        <w:t>我</w:t>
      </w:r>
      <w:r>
        <w:rPr>
          <w:spacing w:val="-2"/>
          <w:sz w:val="21"/>
        </w:rPr>
        <w:t>们退还的那部分金额。保单年度末的现金价</w:t>
      </w:r>
      <w:r>
        <w:rPr>
          <w:spacing w:val="-2"/>
          <w:sz w:val="21"/>
        </w:rPr>
        <w:t>值</w:t>
      </w:r>
      <w:r>
        <w:rPr>
          <w:spacing w:val="-2"/>
          <w:sz w:val="21"/>
        </w:rPr>
        <w:t>会</w:t>
      </w:r>
      <w:r>
        <w:rPr>
          <w:spacing w:val="-2"/>
          <w:sz w:val="21"/>
        </w:rPr>
        <w:t>在保险合同上载明</w:t>
      </w:r>
      <w:r>
        <w:rPr>
          <w:spacing w:val="-51"/>
          <w:sz w:val="21"/>
        </w:rPr>
        <w:t>，</w:t>
      </w:r>
      <w:r>
        <w:rPr>
          <w:spacing w:val="-2"/>
          <w:sz w:val="21"/>
        </w:rPr>
        <w:t>保</w:t>
      </w:r>
      <w:r>
        <w:rPr>
          <w:spacing w:val="-2"/>
          <w:sz w:val="21"/>
        </w:rPr>
        <w:t>单</w:t>
      </w:r>
      <w:r>
        <w:rPr>
          <w:spacing w:val="-2"/>
          <w:sz w:val="21"/>
        </w:rPr>
        <w:t>年度内的现金价</w:t>
      </w:r>
      <w:r>
        <w:rPr>
          <w:spacing w:val="-2"/>
          <w:sz w:val="21"/>
        </w:rPr>
        <w:t>值</w:t>
      </w:r>
      <w:r>
        <w:rPr>
          <w:spacing w:val="-2"/>
          <w:sz w:val="21"/>
        </w:rPr>
        <w:t>，</w:t>
      </w:r>
      <w:r>
        <w:rPr>
          <w:spacing w:val="-2"/>
          <w:sz w:val="21"/>
        </w:rPr>
        <w:t>您</w:t>
      </w:r>
      <w:r>
        <w:rPr>
          <w:spacing w:val="-2"/>
          <w:sz w:val="21"/>
        </w:rPr>
        <w:t>可</w:t>
      </w:r>
      <w:r>
        <w:rPr>
          <w:spacing w:val="-2"/>
          <w:sz w:val="21"/>
        </w:rPr>
        <w:t>以向我们咨</w:t>
      </w:r>
      <w:r>
        <w:rPr>
          <w:spacing w:val="-2"/>
          <w:sz w:val="21"/>
        </w:rPr>
        <w:t>询</w:t>
      </w:r>
      <w:r>
        <w:rPr>
          <w:spacing w:val="-2"/>
          <w:sz w:val="21"/>
        </w:rPr>
        <w:t>。</w:t>
      </w:r>
    </w:p>
    <w:p>
      <w:pPr>
        <w:pStyle w:val="ListParagraph"/>
        <w:numPr>
          <w:ilvl w:val="1"/>
          <w:numId w:val="20"/>
        </w:numPr>
        <w:tabs>
          <w:tab w:pos="1210" w:val="left" w:leader="none"/>
          <w:tab w:pos="1211" w:val="left" w:leader="none"/>
          <w:tab w:pos="2804" w:val="left" w:leader="none"/>
        </w:tabs>
        <w:spacing w:line="363" w:lineRule="exact" w:before="171" w:after="0"/>
        <w:ind w:left="1210" w:right="0" w:hanging="958"/>
        <w:jc w:val="left"/>
        <w:rPr>
          <w:sz w:val="21"/>
        </w:rPr>
      </w:pPr>
      <w:r>
        <w:rPr>
          <w:rFonts w:ascii="微软雅黑" w:eastAsia="微软雅黑"/>
          <w:b/>
          <w:sz w:val="21"/>
        </w:rPr>
        <w:t>保单质押贷</w:t>
      </w:r>
      <w:r>
        <w:rPr>
          <w:rFonts w:ascii="微软雅黑" w:eastAsia="微软雅黑"/>
          <w:b/>
          <w:spacing w:val="-10"/>
          <w:sz w:val="21"/>
        </w:rPr>
        <w:t>款</w:t>
      </w:r>
      <w:r>
        <w:rPr>
          <w:rFonts w:ascii="微软雅黑" w:eastAsia="微软雅黑"/>
          <w:b/>
          <w:sz w:val="21"/>
        </w:rPr>
        <w:tab/>
      </w:r>
      <w:r>
        <w:rPr>
          <w:spacing w:val="-2"/>
          <w:sz w:val="21"/>
        </w:rPr>
        <w:t>经</w:t>
      </w:r>
      <w:r>
        <w:rPr>
          <w:spacing w:val="-2"/>
          <w:sz w:val="21"/>
        </w:rPr>
        <w:t>被</w:t>
      </w:r>
      <w:r>
        <w:rPr>
          <w:spacing w:val="-2"/>
          <w:sz w:val="21"/>
        </w:rPr>
        <w:t>保险人书面同意，您</w:t>
      </w:r>
      <w:r>
        <w:rPr>
          <w:spacing w:val="-2"/>
          <w:sz w:val="21"/>
        </w:rPr>
        <w:t>可</w:t>
      </w:r>
      <w:r>
        <w:rPr>
          <w:spacing w:val="-2"/>
          <w:sz w:val="21"/>
        </w:rPr>
        <w:t>申</w:t>
      </w:r>
      <w:r>
        <w:rPr>
          <w:spacing w:val="-2"/>
          <w:sz w:val="21"/>
        </w:rPr>
        <w:t>请使用保单质押贷款</w:t>
      </w:r>
      <w:r>
        <w:rPr>
          <w:spacing w:val="-2"/>
          <w:sz w:val="21"/>
        </w:rPr>
        <w:t>功</w:t>
      </w:r>
      <w:r>
        <w:rPr>
          <w:spacing w:val="-2"/>
          <w:sz w:val="21"/>
        </w:rPr>
        <w:t>能</w:t>
      </w:r>
      <w:r>
        <w:rPr>
          <w:spacing w:val="-10"/>
          <w:sz w:val="21"/>
        </w:rPr>
        <w:t>。</w:t>
      </w:r>
    </w:p>
    <w:p>
      <w:pPr>
        <w:pStyle w:val="BodyText"/>
        <w:spacing w:line="245" w:lineRule="exact"/>
        <w:ind w:left="2805"/>
      </w:pPr>
      <w:r>
        <w:rPr>
          <w:spacing w:val="-3"/>
        </w:rPr>
        <w:t>在本合同保险期间内，经我们审核同意后您可在犹豫期后办理保单质押贷</w:t>
      </w:r>
    </w:p>
    <w:p>
      <w:pPr>
        <w:pStyle w:val="BodyText"/>
        <w:spacing w:line="242" w:lineRule="auto" w:before="5"/>
        <w:ind w:left="2805" w:right="218"/>
      </w:pPr>
      <w:r>
        <w:rPr>
          <w:spacing w:val="-2"/>
        </w:rPr>
        <w:t>款。贷款金额不得超过申请贷款时本合同现金价值的 </w:t>
      </w:r>
      <w:r>
        <w:rPr/>
        <w:t>80%扣除各项欠款后</w:t>
      </w:r>
      <w:r>
        <w:rPr>
          <w:spacing w:val="-2"/>
        </w:rPr>
        <w:t>的余额，每次贷款期限最长不超过 </w:t>
      </w:r>
      <w:r>
        <w:rPr/>
        <w:t>6</w:t>
      </w:r>
      <w:r>
        <w:rPr>
          <w:spacing w:val="-5"/>
        </w:rPr>
        <w:t> 个月，贷款利率按您与我们签订的贷</w:t>
      </w:r>
      <w:r>
        <w:rPr>
          <w:spacing w:val="-4"/>
        </w:rPr>
        <w:t>款协议中约定的利率执行。我们会参考贷款市场利率水平、公司资金成本、</w:t>
      </w:r>
      <w:r>
        <w:rPr>
          <w:spacing w:val="-2"/>
        </w:rPr>
        <w:t>保险资金运用水平、公司流动性状况等因素并根据不同产品类型、产品定</w:t>
      </w:r>
      <w:r>
        <w:rPr>
          <w:spacing w:val="-2"/>
        </w:rPr>
        <w:t>价利率等综合确定保单质押贷款利率。</w:t>
      </w:r>
    </w:p>
    <w:p>
      <w:pPr>
        <w:pStyle w:val="BodyText"/>
        <w:spacing w:line="242" w:lineRule="auto" w:before="2"/>
        <w:ind w:left="2805" w:right="333"/>
        <w:jc w:val="both"/>
      </w:pPr>
      <w:r>
        <w:rPr>
          <w:spacing w:val="-2"/>
        </w:rPr>
        <w:t>我们会在保单质押贷款到期前向您发送还款通知，您应在贷款到期时一并</w:t>
      </w:r>
      <w:r>
        <w:rPr>
          <w:spacing w:val="-2"/>
        </w:rPr>
        <w:t>归还贷款本息。若您到期未能足额偿还贷款本息，则您所欠的贷款本金及</w:t>
      </w:r>
      <w:r>
        <w:rPr>
          <w:spacing w:val="-2"/>
        </w:rPr>
        <w:t>利息将作为新的贷款本金计息。</w:t>
      </w:r>
    </w:p>
    <w:p>
      <w:pPr>
        <w:spacing w:line="168" w:lineRule="auto" w:before="19"/>
        <w:ind w:left="2805" w:right="328" w:firstLine="0"/>
        <w:jc w:val="left"/>
        <w:rPr>
          <w:rFonts w:ascii="微软雅黑" w:eastAsia="微软雅黑"/>
          <w:b/>
          <w:sz w:val="21"/>
        </w:rPr>
      </w:pPr>
      <w:r>
        <w:rPr>
          <w:spacing w:val="-2"/>
          <w:sz w:val="21"/>
        </w:rPr>
        <w:t>若在保单质押贷款期间发生保险事故，我们会承担保险责任，</w:t>
      </w:r>
      <w:r>
        <w:rPr>
          <w:rFonts w:ascii="微软雅黑" w:eastAsia="微软雅黑"/>
          <w:b/>
          <w:spacing w:val="-2"/>
          <w:sz w:val="21"/>
        </w:rPr>
        <w:t>但在给付保</w:t>
      </w:r>
      <w:r>
        <w:rPr>
          <w:rFonts w:ascii="微软雅黑" w:eastAsia="微软雅黑"/>
          <w:b/>
          <w:spacing w:val="-2"/>
          <w:sz w:val="21"/>
        </w:rPr>
        <w:t>险金时会扣减您未还贷款的本金及利息。</w:t>
      </w:r>
    </w:p>
    <w:p>
      <w:pPr>
        <w:spacing w:line="168" w:lineRule="auto" w:before="3"/>
        <w:ind w:left="2805" w:right="310" w:firstLine="0"/>
        <w:jc w:val="left"/>
        <w:rPr>
          <w:rFonts w:ascii="微软雅黑" w:eastAsia="微软雅黑"/>
          <w:b/>
          <w:sz w:val="21"/>
        </w:rPr>
      </w:pPr>
      <w:r>
        <w:rPr>
          <w:rFonts w:ascii="微软雅黑" w:eastAsia="微软雅黑"/>
          <w:b/>
          <w:spacing w:val="-2"/>
          <w:sz w:val="21"/>
        </w:rPr>
        <w:t>当未偿还贷款本金及利息之和加上其他未还款项达到本合同现金价值时，</w:t>
      </w:r>
      <w:r>
        <w:rPr>
          <w:rFonts w:ascii="微软雅黑" w:eastAsia="微软雅黑"/>
          <w:b/>
          <w:spacing w:val="-2"/>
          <w:sz w:val="21"/>
        </w:rPr>
        <w:t>本合同的效力中止。</w:t>
      </w:r>
    </w:p>
    <w:p>
      <w:pPr>
        <w:pStyle w:val="BodyText"/>
        <w:spacing w:before="17"/>
        <w:rPr>
          <w:rFonts w:ascii="微软雅黑"/>
          <w:b/>
          <w:sz w:val="10"/>
        </w:rPr>
      </w:pPr>
    </w:p>
    <w:p>
      <w:pPr>
        <w:pStyle w:val="Heading1"/>
        <w:tabs>
          <w:tab w:pos="1186" w:val="left" w:leader="none"/>
        </w:tabs>
        <w:spacing w:after="2"/>
      </w:pPr>
      <w:r>
        <w:rPr>
          <w:rFonts w:ascii="Wingdings" w:hAnsi="Wingdings" w:eastAsia="Wingdings"/>
          <w:spacing w:val="-10"/>
          <w:position w:val="-4"/>
          <w:sz w:val="40"/>
        </w:rPr>
        <w:t></w:t>
      </w:r>
      <w:r>
        <w:rPr>
          <w:rFonts w:ascii="Times New Roman" w:hAnsi="Times New Roman" w:eastAsia="Times New Roman"/>
          <w:b w:val="0"/>
          <w:position w:val="-4"/>
          <w:sz w:val="40"/>
        </w:rPr>
        <w:tab/>
      </w:r>
      <w:r>
        <w:rPr>
          <w:spacing w:val="-1"/>
        </w:rPr>
        <w:t>合同效力的中止与恢复</w:t>
      </w:r>
    </w:p>
    <w:p>
      <w:pPr>
        <w:pStyle w:val="BodyText"/>
        <w:spacing w:line="20" w:lineRule="exact"/>
        <w:ind w:left="145"/>
        <w:rPr>
          <w:rFonts w:ascii="微软雅黑"/>
          <w:sz w:val="2"/>
        </w:rPr>
      </w:pPr>
      <w:r>
        <w:rPr>
          <w:rFonts w:ascii="微软雅黑"/>
          <w:sz w:val="2"/>
        </w:rPr>
        <w:drawing>
          <wp:inline distT="0" distB="0" distL="0" distR="0">
            <wp:extent cx="6031307" cy="12191"/>
            <wp:effectExtent l="0" t="0" r="0" b="0"/>
            <wp:docPr id="25" name="image2.png"/>
            <wp:cNvGraphicFramePr>
              <a:graphicFrameLocks noChangeAspect="1"/>
            </wp:cNvGraphicFramePr>
            <a:graphic>
              <a:graphicData uri="http://schemas.openxmlformats.org/drawingml/2006/picture">
                <pic:pic>
                  <pic:nvPicPr>
                    <pic:cNvPr id="26" name="image2.png"/>
                    <pic:cNvPicPr/>
                  </pic:nvPicPr>
                  <pic:blipFill>
                    <a:blip r:embed="rId7" cstate="print"/>
                    <a:stretch>
                      <a:fillRect/>
                    </a:stretch>
                  </pic:blipFill>
                  <pic:spPr>
                    <a:xfrm>
                      <a:off x="0" y="0"/>
                      <a:ext cx="6031307" cy="12191"/>
                    </a:xfrm>
                    <a:prstGeom prst="rect">
                      <a:avLst/>
                    </a:prstGeom>
                  </pic:spPr>
                </pic:pic>
              </a:graphicData>
            </a:graphic>
          </wp:inline>
        </w:drawing>
      </w:r>
      <w:r>
        <w:rPr>
          <w:rFonts w:ascii="微软雅黑"/>
          <w:sz w:val="2"/>
        </w:rPr>
      </w:r>
    </w:p>
    <w:p>
      <w:pPr>
        <w:spacing w:after="0" w:line="20" w:lineRule="exact"/>
        <w:rPr>
          <w:rFonts w:ascii="微软雅黑"/>
          <w:sz w:val="2"/>
        </w:rPr>
        <w:sectPr>
          <w:pgSz w:w="11910" w:h="16840"/>
          <w:pgMar w:header="877" w:footer="0" w:top="1100" w:bottom="280" w:left="1060" w:right="980"/>
        </w:sectPr>
      </w:pPr>
    </w:p>
    <w:p>
      <w:pPr>
        <w:pStyle w:val="ListParagraph"/>
        <w:numPr>
          <w:ilvl w:val="1"/>
          <w:numId w:val="21"/>
        </w:numPr>
        <w:tabs>
          <w:tab w:pos="1210" w:val="left" w:leader="none"/>
          <w:tab w:pos="1211" w:val="left" w:leader="none"/>
          <w:tab w:pos="2804" w:val="left" w:leader="none"/>
        </w:tabs>
        <w:spacing w:line="240" w:lineRule="auto" w:before="15" w:after="0"/>
        <w:ind w:left="1210" w:right="0" w:hanging="958"/>
        <w:jc w:val="left"/>
        <w:rPr>
          <w:rFonts w:ascii="微软雅黑" w:eastAsia="微软雅黑"/>
          <w:b/>
          <w:sz w:val="21"/>
        </w:rPr>
      </w:pPr>
      <w:r>
        <w:rPr>
          <w:rFonts w:ascii="微软雅黑" w:eastAsia="微软雅黑"/>
          <w:b/>
          <w:sz w:val="21"/>
        </w:rPr>
        <w:t>合同效力中</w:t>
      </w:r>
      <w:r>
        <w:rPr>
          <w:rFonts w:ascii="微软雅黑" w:eastAsia="微软雅黑"/>
          <w:b/>
          <w:spacing w:val="-10"/>
          <w:sz w:val="21"/>
        </w:rPr>
        <w:t>止</w:t>
      </w:r>
      <w:r>
        <w:rPr>
          <w:rFonts w:ascii="微软雅黑" w:eastAsia="微软雅黑"/>
          <w:b/>
          <w:sz w:val="21"/>
        </w:rPr>
        <w:tab/>
      </w:r>
      <w:r>
        <w:rPr>
          <w:rFonts w:ascii="微软雅黑" w:eastAsia="微软雅黑"/>
          <w:b/>
          <w:spacing w:val="-2"/>
          <w:sz w:val="21"/>
        </w:rPr>
        <w:t>在</w:t>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效</w:t>
      </w:r>
      <w:r>
        <w:rPr>
          <w:rFonts w:ascii="微软雅黑" w:eastAsia="微软雅黑"/>
          <w:b/>
          <w:spacing w:val="-2"/>
          <w:sz w:val="21"/>
        </w:rPr>
        <w:t>力</w:t>
      </w:r>
      <w:r>
        <w:rPr>
          <w:rFonts w:ascii="微软雅黑" w:eastAsia="微软雅黑"/>
          <w:b/>
          <w:spacing w:val="-2"/>
          <w:sz w:val="21"/>
        </w:rPr>
        <w:t>中</w:t>
      </w:r>
      <w:r>
        <w:rPr>
          <w:rFonts w:ascii="微软雅黑" w:eastAsia="微软雅黑"/>
          <w:b/>
          <w:spacing w:val="-2"/>
          <w:sz w:val="21"/>
        </w:rPr>
        <w:t>止</w:t>
      </w:r>
      <w:r>
        <w:rPr>
          <w:rFonts w:ascii="微软雅黑" w:eastAsia="微软雅黑"/>
          <w:b/>
          <w:spacing w:val="-2"/>
          <w:sz w:val="21"/>
        </w:rPr>
        <w:t>期间，</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不</w:t>
      </w:r>
      <w:r>
        <w:rPr>
          <w:rFonts w:ascii="微软雅黑" w:eastAsia="微软雅黑"/>
          <w:b/>
          <w:spacing w:val="-2"/>
          <w:sz w:val="21"/>
        </w:rPr>
        <w:t>承</w:t>
      </w:r>
      <w:r>
        <w:rPr>
          <w:rFonts w:ascii="微软雅黑" w:eastAsia="微软雅黑"/>
          <w:b/>
          <w:spacing w:val="-2"/>
          <w:sz w:val="21"/>
        </w:rPr>
        <w:t>担</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责</w:t>
      </w:r>
      <w:r>
        <w:rPr>
          <w:rFonts w:ascii="微软雅黑" w:eastAsia="微软雅黑"/>
          <w:b/>
          <w:spacing w:val="-2"/>
          <w:sz w:val="21"/>
        </w:rPr>
        <w:t>任</w:t>
      </w:r>
      <w:r>
        <w:rPr>
          <w:rFonts w:ascii="微软雅黑" w:eastAsia="微软雅黑"/>
          <w:b/>
          <w:spacing w:val="-10"/>
          <w:sz w:val="21"/>
        </w:rPr>
        <w:t>。</w:t>
      </w:r>
    </w:p>
    <w:p>
      <w:pPr>
        <w:pStyle w:val="ListParagraph"/>
        <w:numPr>
          <w:ilvl w:val="1"/>
          <w:numId w:val="21"/>
        </w:numPr>
        <w:tabs>
          <w:tab w:pos="1210" w:val="left" w:leader="none"/>
          <w:tab w:pos="1211" w:val="left" w:leader="none"/>
          <w:tab w:pos="2804" w:val="left" w:leader="none"/>
        </w:tabs>
        <w:spacing w:line="364" w:lineRule="exact" w:before="113" w:after="0"/>
        <w:ind w:left="1210" w:right="0" w:hanging="958"/>
        <w:jc w:val="left"/>
        <w:rPr>
          <w:sz w:val="21"/>
        </w:rPr>
      </w:pPr>
      <w:r>
        <w:rPr>
          <w:rFonts w:ascii="微软雅黑" w:eastAsia="微软雅黑"/>
          <w:b/>
          <w:sz w:val="21"/>
        </w:rPr>
        <w:t>合同效力恢</w:t>
      </w:r>
      <w:r>
        <w:rPr>
          <w:rFonts w:ascii="微软雅黑" w:eastAsia="微软雅黑"/>
          <w:b/>
          <w:spacing w:val="-10"/>
          <w:sz w:val="21"/>
        </w:rPr>
        <w:t>复</w:t>
      </w:r>
      <w:r>
        <w:rPr>
          <w:rFonts w:ascii="微软雅黑" w:eastAsia="微软雅黑"/>
          <w:b/>
          <w:sz w:val="21"/>
        </w:rPr>
        <w:tab/>
      </w:r>
      <w:r>
        <w:rPr>
          <w:spacing w:val="-2"/>
          <w:sz w:val="21"/>
        </w:rPr>
        <w:t>自</w:t>
      </w:r>
      <w:r>
        <w:rPr>
          <w:spacing w:val="-2"/>
          <w:sz w:val="21"/>
        </w:rPr>
        <w:t>本</w:t>
      </w:r>
      <w:r>
        <w:rPr>
          <w:spacing w:val="-2"/>
          <w:sz w:val="21"/>
        </w:rPr>
        <w:t>合同效力中止之日起</w:t>
      </w:r>
      <w:r>
        <w:rPr>
          <w:spacing w:val="-46"/>
          <w:sz w:val="21"/>
        </w:rPr>
        <w:t> </w:t>
      </w:r>
      <w:r>
        <w:rPr>
          <w:spacing w:val="-2"/>
          <w:sz w:val="21"/>
        </w:rPr>
        <w:t>2</w:t>
      </w:r>
      <w:r>
        <w:rPr>
          <w:spacing w:val="-43"/>
          <w:sz w:val="21"/>
        </w:rPr>
        <w:t> </w:t>
      </w:r>
      <w:r>
        <w:rPr>
          <w:spacing w:val="-2"/>
          <w:sz w:val="21"/>
        </w:rPr>
        <w:t>年内，您可以申请恢复</w:t>
      </w:r>
      <w:r>
        <w:rPr>
          <w:spacing w:val="-2"/>
          <w:sz w:val="21"/>
        </w:rPr>
        <w:t>合</w:t>
      </w:r>
      <w:r>
        <w:rPr>
          <w:spacing w:val="-2"/>
          <w:sz w:val="21"/>
        </w:rPr>
        <w:t>同</w:t>
      </w:r>
      <w:r>
        <w:rPr>
          <w:spacing w:val="-2"/>
          <w:sz w:val="21"/>
        </w:rPr>
        <w:t>效</w:t>
      </w:r>
      <w:r>
        <w:rPr>
          <w:spacing w:val="-2"/>
          <w:sz w:val="21"/>
        </w:rPr>
        <w:t>力</w:t>
      </w:r>
      <w:r>
        <w:rPr>
          <w:spacing w:val="-10"/>
          <w:sz w:val="21"/>
        </w:rPr>
        <w:t>。</w:t>
      </w:r>
    </w:p>
    <w:p>
      <w:pPr>
        <w:pStyle w:val="BodyText"/>
        <w:spacing w:line="246" w:lineRule="exact"/>
        <w:ind w:left="2805"/>
      </w:pPr>
      <w:r>
        <w:rPr>
          <w:spacing w:val="-3"/>
        </w:rPr>
        <w:t>经您与我们协商并达成协议，自您补交保险费、利息及其他未还款项之日</w:t>
      </w:r>
    </w:p>
    <w:p>
      <w:pPr>
        <w:pStyle w:val="BodyText"/>
        <w:spacing w:line="237" w:lineRule="exact" w:before="2"/>
        <w:ind w:left="2805"/>
      </w:pPr>
      <w:r>
        <w:rPr>
          <w:spacing w:val="-3"/>
        </w:rPr>
        <w:t>起，合同效力恢复。</w:t>
      </w:r>
    </w:p>
    <w:p>
      <w:pPr>
        <w:spacing w:line="170" w:lineRule="auto" w:before="48"/>
        <w:ind w:left="2805" w:right="324" w:firstLine="0"/>
        <w:jc w:val="left"/>
        <w:rPr>
          <w:rFonts w:ascii="微软雅黑" w:eastAsia="微软雅黑"/>
          <w:b/>
          <w:sz w:val="21"/>
        </w:rPr>
      </w:pPr>
      <w:r>
        <w:rPr>
          <w:rFonts w:ascii="微软雅黑" w:eastAsia="微软雅黑"/>
          <w:b/>
          <w:spacing w:val="-2"/>
          <w:sz w:val="21"/>
        </w:rPr>
        <w:t>自本合同效力中止之日起满 2 年您与我们未达成协议的，我们有权解除合</w:t>
      </w:r>
      <w:r>
        <w:rPr>
          <w:rFonts w:ascii="微软雅黑" w:eastAsia="微软雅黑"/>
          <w:b/>
          <w:spacing w:val="-2"/>
          <w:sz w:val="21"/>
        </w:rPr>
        <w:t>同。我们解除本合同的，向您退还合同效力中止时本合同的现金价值。</w:t>
      </w:r>
    </w:p>
    <w:p>
      <w:pPr>
        <w:pStyle w:val="BodyText"/>
        <w:spacing w:before="3"/>
        <w:rPr>
          <w:rFonts w:ascii="微软雅黑"/>
          <w:b/>
          <w:sz w:val="10"/>
        </w:rPr>
      </w:pPr>
    </w:p>
    <w:p>
      <w:pPr>
        <w:pStyle w:val="Heading1"/>
        <w:tabs>
          <w:tab w:pos="1186" w:val="left" w:leader="none"/>
        </w:tabs>
        <w:spacing w:before="0" w:after="0"/>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其他需要关注的事项</w:t>
      </w:r>
    </w:p>
    <w:p>
      <w:pPr>
        <w:pStyle w:val="BodyText"/>
        <w:spacing w:line="20" w:lineRule="exact"/>
        <w:ind w:left="145"/>
        <w:rPr>
          <w:rFonts w:ascii="微软雅黑"/>
          <w:sz w:val="2"/>
        </w:rPr>
      </w:pPr>
      <w:r>
        <w:rPr>
          <w:rFonts w:ascii="微软雅黑"/>
          <w:sz w:val="2"/>
        </w:rPr>
        <w:drawing>
          <wp:inline distT="0" distB="0" distL="0" distR="0">
            <wp:extent cx="6031496" cy="12192"/>
            <wp:effectExtent l="0" t="0" r="0" b="0"/>
            <wp:docPr id="27" name="image2.png"/>
            <wp:cNvGraphicFramePr>
              <a:graphicFrameLocks noChangeAspect="1"/>
            </wp:cNvGraphicFramePr>
            <a:graphic>
              <a:graphicData uri="http://schemas.openxmlformats.org/drawingml/2006/picture">
                <pic:pic>
                  <pic:nvPicPr>
                    <pic:cNvPr id="28" name="image2.png"/>
                    <pic:cNvPicPr/>
                  </pic:nvPicPr>
                  <pic:blipFill>
                    <a:blip r:embed="rId7" cstate="print"/>
                    <a:stretch>
                      <a:fillRect/>
                    </a:stretch>
                  </pic:blipFill>
                  <pic:spPr>
                    <a:xfrm>
                      <a:off x="0" y="0"/>
                      <a:ext cx="6031496" cy="12192"/>
                    </a:xfrm>
                    <a:prstGeom prst="rect">
                      <a:avLst/>
                    </a:prstGeom>
                  </pic:spPr>
                </pic:pic>
              </a:graphicData>
            </a:graphic>
          </wp:inline>
        </w:drawing>
      </w:r>
      <w:r>
        <w:rPr>
          <w:rFonts w:ascii="微软雅黑"/>
          <w:sz w:val="2"/>
        </w:rPr>
      </w:r>
    </w:p>
    <w:p>
      <w:pPr>
        <w:pStyle w:val="ListParagraph"/>
        <w:numPr>
          <w:ilvl w:val="1"/>
          <w:numId w:val="22"/>
        </w:numPr>
        <w:tabs>
          <w:tab w:pos="1210" w:val="left" w:leader="none"/>
          <w:tab w:pos="1211" w:val="left" w:leader="none"/>
          <w:tab w:pos="2804" w:val="left" w:leader="none"/>
        </w:tabs>
        <w:spacing w:line="364" w:lineRule="exact" w:before="139" w:after="0"/>
        <w:ind w:left="1210" w:right="0" w:hanging="958"/>
        <w:jc w:val="left"/>
        <w:rPr>
          <w:sz w:val="21"/>
        </w:rPr>
      </w:pPr>
      <w:r>
        <w:rPr>
          <w:rFonts w:ascii="微软雅黑" w:eastAsia="微软雅黑"/>
          <w:b/>
          <w:sz w:val="21"/>
        </w:rPr>
        <w:t>合同终</w:t>
      </w:r>
      <w:r>
        <w:rPr>
          <w:rFonts w:ascii="微软雅黑" w:eastAsia="微软雅黑"/>
          <w:b/>
          <w:spacing w:val="-10"/>
          <w:sz w:val="21"/>
        </w:rPr>
        <w:t>止</w:t>
      </w:r>
      <w:r>
        <w:rPr>
          <w:rFonts w:ascii="微软雅黑" w:eastAsia="微软雅黑"/>
          <w:b/>
          <w:sz w:val="21"/>
        </w:rPr>
        <w:tab/>
      </w:r>
      <w:r>
        <w:rPr>
          <w:spacing w:val="-2"/>
          <w:sz w:val="21"/>
        </w:rPr>
        <w:t>当</w:t>
      </w:r>
      <w:r>
        <w:rPr>
          <w:spacing w:val="-2"/>
          <w:sz w:val="21"/>
        </w:rPr>
        <w:t>发</w:t>
      </w:r>
      <w:r>
        <w:rPr>
          <w:spacing w:val="-2"/>
          <w:sz w:val="21"/>
        </w:rPr>
        <w:t>生下列情形之一时，</w:t>
      </w:r>
      <w:r>
        <w:rPr>
          <w:spacing w:val="-2"/>
          <w:sz w:val="21"/>
        </w:rPr>
        <w:t>本</w:t>
      </w:r>
      <w:r>
        <w:rPr>
          <w:spacing w:val="-2"/>
          <w:sz w:val="21"/>
        </w:rPr>
        <w:t>合</w:t>
      </w:r>
      <w:r>
        <w:rPr>
          <w:spacing w:val="-2"/>
          <w:sz w:val="21"/>
        </w:rPr>
        <w:t>同终止</w:t>
      </w:r>
      <w:r>
        <w:rPr>
          <w:spacing w:val="-10"/>
          <w:sz w:val="21"/>
        </w:rPr>
        <w:t>：</w:t>
      </w:r>
    </w:p>
    <w:p>
      <w:pPr>
        <w:pStyle w:val="ListParagraph"/>
        <w:numPr>
          <w:ilvl w:val="2"/>
          <w:numId w:val="22"/>
        </w:numPr>
        <w:tabs>
          <w:tab w:pos="3334" w:val="left" w:leader="none"/>
        </w:tabs>
        <w:spacing w:line="246" w:lineRule="exact" w:before="0" w:after="0"/>
        <w:ind w:left="3334" w:right="0" w:hanging="529"/>
        <w:jc w:val="left"/>
        <w:rPr>
          <w:sz w:val="21"/>
        </w:rPr>
      </w:pPr>
      <w:r>
        <w:rPr>
          <w:spacing w:val="-3"/>
          <w:sz w:val="21"/>
        </w:rPr>
        <w:t>您申请解除本合同的；</w:t>
      </w:r>
    </w:p>
    <w:p>
      <w:pPr>
        <w:pStyle w:val="ListParagraph"/>
        <w:numPr>
          <w:ilvl w:val="2"/>
          <w:numId w:val="22"/>
        </w:numPr>
        <w:tabs>
          <w:tab w:pos="3334" w:val="left" w:leader="none"/>
        </w:tabs>
        <w:spacing w:line="240" w:lineRule="auto" w:before="2" w:after="0"/>
        <w:ind w:left="3334" w:right="0" w:hanging="529"/>
        <w:jc w:val="left"/>
        <w:rPr>
          <w:sz w:val="21"/>
        </w:rPr>
      </w:pPr>
      <w:r>
        <w:rPr>
          <w:spacing w:val="-3"/>
          <w:sz w:val="21"/>
        </w:rPr>
        <w:t>我们已经履行完毕保险责任的；</w:t>
      </w:r>
    </w:p>
    <w:p>
      <w:pPr>
        <w:pStyle w:val="ListParagraph"/>
        <w:numPr>
          <w:ilvl w:val="2"/>
          <w:numId w:val="22"/>
        </w:numPr>
        <w:tabs>
          <w:tab w:pos="3334" w:val="left" w:leader="none"/>
        </w:tabs>
        <w:spacing w:line="240" w:lineRule="auto" w:before="6" w:after="0"/>
        <w:ind w:left="3334" w:right="0" w:hanging="529"/>
        <w:jc w:val="left"/>
        <w:rPr>
          <w:sz w:val="21"/>
        </w:rPr>
      </w:pPr>
      <w:r>
        <w:rPr>
          <w:spacing w:val="-4"/>
          <w:sz w:val="21"/>
        </w:rPr>
        <w:t>被保险人身故的；</w:t>
      </w:r>
    </w:p>
    <w:p>
      <w:pPr>
        <w:pStyle w:val="ListParagraph"/>
        <w:numPr>
          <w:ilvl w:val="2"/>
          <w:numId w:val="22"/>
        </w:numPr>
        <w:tabs>
          <w:tab w:pos="3334" w:val="left" w:leader="none"/>
        </w:tabs>
        <w:spacing w:line="240" w:lineRule="auto" w:before="2" w:after="0"/>
        <w:ind w:left="3334" w:right="0" w:hanging="529"/>
        <w:jc w:val="left"/>
        <w:rPr>
          <w:sz w:val="21"/>
        </w:rPr>
      </w:pPr>
      <w:r>
        <w:rPr>
          <w:spacing w:val="-3"/>
          <w:sz w:val="21"/>
        </w:rPr>
        <w:t>本合同因条款所列其他情况而终止的。</w:t>
      </w:r>
    </w:p>
    <w:p>
      <w:pPr>
        <w:pStyle w:val="BodyText"/>
        <w:spacing w:before="4"/>
        <w:rPr>
          <w:sz w:val="12"/>
        </w:rPr>
      </w:pPr>
    </w:p>
    <w:p>
      <w:pPr>
        <w:spacing w:after="0"/>
        <w:rPr>
          <w:sz w:val="12"/>
        </w:rPr>
        <w:sectPr>
          <w:pgSz w:w="11910" w:h="16840"/>
          <w:pgMar w:header="877" w:footer="0" w:top="1100" w:bottom="280" w:left="1060" w:right="980"/>
        </w:sectPr>
      </w:pPr>
    </w:p>
    <w:p>
      <w:pPr>
        <w:pStyle w:val="ListParagraph"/>
        <w:numPr>
          <w:ilvl w:val="1"/>
          <w:numId w:val="22"/>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2"/>
          <w:sz w:val="21"/>
        </w:rPr>
        <w:t>明确说明与如</w:t>
      </w:r>
      <w:r>
        <w:rPr>
          <w:rFonts w:ascii="微软雅黑" w:eastAsia="微软雅黑"/>
          <w:b/>
          <w:spacing w:val="-4"/>
          <w:sz w:val="21"/>
        </w:rPr>
        <w:t>实告知</w:t>
      </w:r>
    </w:p>
    <w:p>
      <w:pPr>
        <w:pStyle w:val="BodyText"/>
        <w:spacing w:line="242" w:lineRule="auto" w:before="72"/>
        <w:ind w:left="253" w:right="333"/>
        <w:jc w:val="both"/>
      </w:pPr>
      <w:r>
        <w:rPr/>
        <w:br w:type="column"/>
      </w:r>
      <w:r>
        <w:rPr>
          <w:spacing w:val="-2"/>
        </w:rPr>
        <w:t>订立本合同时，我们应当向您说明本合同的内容。对保险条款中免除我们</w:t>
      </w:r>
      <w:r>
        <w:rPr>
          <w:spacing w:val="-2"/>
        </w:rPr>
        <w:t>责任的条款，我们在订立合同时应当在投保单、保险单或者其他保险凭证</w:t>
      </w:r>
      <w:r>
        <w:rPr>
          <w:spacing w:val="-2"/>
        </w:rPr>
        <w:t>上作出足以引起您注意的提示，并对该条款的内容以书面或者口头形式向</w:t>
      </w:r>
      <w:r>
        <w:rPr>
          <w:spacing w:val="-2"/>
        </w:rPr>
        <w:t>您作出明确说明，未作提示或者明确说明的，该条款不产生效力。</w:t>
      </w:r>
    </w:p>
    <w:p>
      <w:pPr>
        <w:pStyle w:val="BodyText"/>
        <w:spacing w:line="244" w:lineRule="auto" w:before="3"/>
        <w:ind w:left="253" w:right="333"/>
      </w:pPr>
      <w:r>
        <w:rPr>
          <w:spacing w:val="-2"/>
        </w:rPr>
        <w:t>订立本合同时，我们就您和被保险人的有关情况提出询问，您应当如实告</w:t>
      </w:r>
      <w:r>
        <w:rPr>
          <w:spacing w:val="-6"/>
        </w:rPr>
        <w:t>知。</w:t>
      </w:r>
    </w:p>
    <w:p>
      <w:pPr>
        <w:spacing w:line="170" w:lineRule="auto" w:before="9"/>
        <w:ind w:left="253" w:right="327" w:firstLine="0"/>
        <w:jc w:val="left"/>
        <w:rPr>
          <w:rFonts w:ascii="微软雅黑" w:eastAsia="微软雅黑"/>
          <w:b/>
          <w:sz w:val="21"/>
        </w:rPr>
      </w:pPr>
      <w:r>
        <w:rPr>
          <w:rFonts w:ascii="微软雅黑" w:eastAsia="微软雅黑"/>
          <w:b/>
          <w:spacing w:val="-2"/>
          <w:sz w:val="21"/>
        </w:rPr>
        <w:t>如果您故意或者因重大过失未履行前款规定的如实告知义务，足以影响我</w:t>
      </w:r>
      <w:r>
        <w:rPr>
          <w:rFonts w:ascii="微软雅黑" w:eastAsia="微软雅黑"/>
          <w:b/>
          <w:spacing w:val="-2"/>
          <w:sz w:val="21"/>
        </w:rPr>
        <w:t>们决定是否同意承保或者提高保险费率的，我们有权解除本合同。</w:t>
      </w:r>
    </w:p>
    <w:p>
      <w:pPr>
        <w:spacing w:line="170" w:lineRule="auto" w:before="0"/>
        <w:ind w:left="253" w:right="326" w:firstLine="0"/>
        <w:jc w:val="left"/>
        <w:rPr>
          <w:rFonts w:ascii="微软雅黑" w:eastAsia="微软雅黑"/>
          <w:b/>
          <w:sz w:val="21"/>
        </w:rPr>
      </w:pPr>
      <w:r>
        <w:rPr>
          <w:rFonts w:ascii="微软雅黑" w:eastAsia="微软雅黑"/>
          <w:b/>
          <w:spacing w:val="-2"/>
          <w:sz w:val="21"/>
        </w:rPr>
        <w:t>如果您故意不履行如实告知义务，对于本合同解除前发生的保险事故，我</w:t>
      </w:r>
      <w:r>
        <w:rPr>
          <w:rFonts w:ascii="微软雅黑" w:eastAsia="微软雅黑"/>
          <w:b/>
          <w:spacing w:val="-2"/>
          <w:sz w:val="21"/>
        </w:rPr>
        <w:t>们不承担保险责任，并不退还保险费。</w:t>
      </w:r>
    </w:p>
    <w:p>
      <w:pPr>
        <w:spacing w:line="168" w:lineRule="auto" w:before="0"/>
        <w:ind w:left="253" w:right="327" w:firstLine="0"/>
        <w:jc w:val="left"/>
        <w:rPr>
          <w:rFonts w:ascii="微软雅黑" w:eastAsia="微软雅黑"/>
          <w:b/>
          <w:sz w:val="21"/>
        </w:rPr>
      </w:pPr>
      <w:r>
        <w:rPr>
          <w:rFonts w:ascii="微软雅黑" w:eastAsia="微软雅黑"/>
          <w:b/>
          <w:spacing w:val="-3"/>
          <w:w w:val="100"/>
          <w:sz w:val="21"/>
        </w:rPr>
        <w:t>如果您因重大过失未履行如实告知义务，对保险事故的发生有严重影响</w:t>
      </w:r>
      <w:r>
        <w:rPr>
          <w:rFonts w:ascii="微软雅黑" w:eastAsia="微软雅黑"/>
          <w:b/>
          <w:spacing w:val="-6"/>
          <w:w w:val="100"/>
          <w:sz w:val="21"/>
        </w:rPr>
        <w:t>的，对于本合同解除前发生的保险事故，我们不承担保险责任，但会向您</w:t>
      </w:r>
      <w:r>
        <w:rPr>
          <w:rFonts w:ascii="微软雅黑" w:eastAsia="微软雅黑"/>
          <w:b/>
          <w:w w:val="100"/>
          <w:sz w:val="21"/>
        </w:rPr>
        <w:t>退还保险费。</w:t>
      </w:r>
    </w:p>
    <w:p>
      <w:pPr>
        <w:pStyle w:val="BodyText"/>
        <w:spacing w:line="244" w:lineRule="auto"/>
        <w:ind w:left="253" w:right="333"/>
      </w:pPr>
      <w:r>
        <w:rPr>
          <w:spacing w:val="-2"/>
        </w:rPr>
        <w:t>我们在合同订立时已经知道您未如实告知的情况的，我们不得解除合同；</w:t>
      </w:r>
      <w:r>
        <w:rPr>
          <w:spacing w:val="-2"/>
        </w:rPr>
        <w:t>发生保险事故的，我们应当承担保险责任。</w:t>
      </w:r>
    </w:p>
    <w:p>
      <w:pPr>
        <w:spacing w:after="0" w:line="244" w:lineRule="auto"/>
        <w:sectPr>
          <w:type w:val="continuous"/>
          <w:pgSz w:w="11910" w:h="16840"/>
          <w:pgMar w:header="877" w:footer="0" w:top="1100" w:bottom="280" w:left="1060" w:right="980"/>
          <w:cols w:num="2" w:equalWidth="0">
            <w:col w:w="2479" w:space="73"/>
            <w:col w:w="7318"/>
          </w:cols>
        </w:sectPr>
      </w:pPr>
    </w:p>
    <w:p>
      <w:pPr>
        <w:pStyle w:val="BodyText"/>
        <w:spacing w:before="5"/>
        <w:rPr>
          <w:sz w:val="10"/>
        </w:rPr>
      </w:pPr>
    </w:p>
    <w:p>
      <w:pPr>
        <w:pStyle w:val="ListParagraph"/>
        <w:numPr>
          <w:ilvl w:val="1"/>
          <w:numId w:val="22"/>
        </w:numPr>
        <w:tabs>
          <w:tab w:pos="1210" w:val="left" w:leader="none"/>
          <w:tab w:pos="1211" w:val="left" w:leader="none"/>
          <w:tab w:pos="2804" w:val="left" w:leader="none"/>
        </w:tabs>
        <w:spacing w:line="220" w:lineRule="auto" w:before="26" w:after="0"/>
        <w:ind w:left="2805" w:right="218" w:hanging="2552"/>
        <w:jc w:val="left"/>
        <w:rPr>
          <w:sz w:val="21"/>
        </w:rPr>
      </w:pP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内</w:t>
      </w:r>
      <w:r>
        <w:rPr>
          <w:rFonts w:ascii="微软雅黑" w:eastAsia="微软雅黑"/>
          <w:b/>
          <w:spacing w:val="-2"/>
          <w:sz w:val="21"/>
        </w:rPr>
        <w:t>容</w:t>
      </w:r>
      <w:r>
        <w:rPr>
          <w:rFonts w:ascii="微软雅黑" w:eastAsia="微软雅黑"/>
          <w:b/>
          <w:spacing w:val="-2"/>
          <w:sz w:val="21"/>
        </w:rPr>
        <w:t>变</w:t>
      </w:r>
      <w:r>
        <w:rPr>
          <w:rFonts w:ascii="微软雅黑" w:eastAsia="微软雅黑"/>
          <w:b/>
          <w:spacing w:val="-2"/>
          <w:sz w:val="21"/>
        </w:rPr>
        <w:t>更</w:t>
      </w:r>
      <w:r>
        <w:rPr>
          <w:rFonts w:ascii="微软雅黑" w:eastAsia="微软雅黑"/>
          <w:b/>
          <w:sz w:val="21"/>
        </w:rPr>
        <w:tab/>
      </w:r>
      <w:r>
        <w:rPr>
          <w:spacing w:val="-2"/>
          <w:sz w:val="21"/>
        </w:rPr>
        <w:t>在</w:t>
      </w:r>
      <w:r>
        <w:rPr>
          <w:spacing w:val="-2"/>
          <w:sz w:val="21"/>
        </w:rPr>
        <w:t>本</w:t>
      </w:r>
      <w:r>
        <w:rPr>
          <w:spacing w:val="-2"/>
          <w:sz w:val="21"/>
        </w:rPr>
        <w:t>合同保险期间内，经</w:t>
      </w:r>
      <w:r>
        <w:rPr>
          <w:spacing w:val="-2"/>
          <w:sz w:val="21"/>
        </w:rPr>
        <w:t>您</w:t>
      </w:r>
      <w:r>
        <w:rPr>
          <w:spacing w:val="-2"/>
          <w:sz w:val="21"/>
        </w:rPr>
        <w:t>与</w:t>
      </w:r>
      <w:r>
        <w:rPr>
          <w:spacing w:val="-2"/>
          <w:sz w:val="21"/>
        </w:rPr>
        <w:t>我们协商一致</w:t>
      </w:r>
      <w:r>
        <w:rPr>
          <w:spacing w:val="-51"/>
          <w:sz w:val="21"/>
        </w:rPr>
        <w:t>，</w:t>
      </w:r>
      <w:r>
        <w:rPr>
          <w:spacing w:val="-2"/>
          <w:sz w:val="21"/>
        </w:rPr>
        <w:t>可以</w:t>
      </w:r>
      <w:r>
        <w:rPr>
          <w:spacing w:val="-2"/>
          <w:sz w:val="21"/>
        </w:rPr>
        <w:t>变</w:t>
      </w:r>
      <w:r>
        <w:rPr>
          <w:spacing w:val="-2"/>
          <w:sz w:val="21"/>
        </w:rPr>
        <w:t>更</w:t>
      </w:r>
      <w:r>
        <w:rPr>
          <w:spacing w:val="-2"/>
          <w:sz w:val="21"/>
        </w:rPr>
        <w:t>本合同的有关内</w:t>
      </w:r>
      <w:r>
        <w:rPr>
          <w:spacing w:val="-2"/>
          <w:sz w:val="21"/>
        </w:rPr>
        <w:t>容</w:t>
      </w:r>
      <w:r>
        <w:rPr>
          <w:spacing w:val="-2"/>
          <w:sz w:val="21"/>
        </w:rPr>
        <w:t>。</w:t>
      </w:r>
      <w:r>
        <w:rPr>
          <w:spacing w:val="-2"/>
          <w:sz w:val="21"/>
        </w:rPr>
        <w:t>变</w:t>
      </w:r>
      <w:r>
        <w:rPr>
          <w:spacing w:val="-2"/>
          <w:sz w:val="21"/>
        </w:rPr>
        <w:t>更</w:t>
      </w:r>
      <w:r>
        <w:rPr>
          <w:spacing w:val="-2"/>
          <w:sz w:val="21"/>
        </w:rPr>
        <w:t>本合同的，应当由我</w:t>
      </w:r>
      <w:r>
        <w:rPr>
          <w:spacing w:val="-2"/>
          <w:sz w:val="21"/>
        </w:rPr>
        <w:t>们</w:t>
      </w:r>
      <w:r>
        <w:rPr>
          <w:spacing w:val="-2"/>
          <w:sz w:val="21"/>
        </w:rPr>
        <w:t>在</w:t>
      </w:r>
      <w:r>
        <w:rPr>
          <w:spacing w:val="-2"/>
          <w:sz w:val="21"/>
        </w:rPr>
        <w:t>保险合同上批注或者</w:t>
      </w:r>
      <w:r>
        <w:rPr>
          <w:spacing w:val="-2"/>
          <w:sz w:val="21"/>
        </w:rPr>
        <w:t>附</w:t>
      </w:r>
      <w:r>
        <w:rPr>
          <w:spacing w:val="-2"/>
          <w:sz w:val="21"/>
        </w:rPr>
        <w:t>贴</w:t>
      </w:r>
      <w:r>
        <w:rPr>
          <w:spacing w:val="-2"/>
          <w:sz w:val="21"/>
        </w:rPr>
        <w:t>批单，或者由您与</w:t>
      </w:r>
      <w:r>
        <w:rPr>
          <w:spacing w:val="-2"/>
          <w:sz w:val="21"/>
        </w:rPr>
        <w:t>我</w:t>
      </w:r>
      <w:r>
        <w:rPr>
          <w:spacing w:val="-2"/>
          <w:sz w:val="21"/>
        </w:rPr>
        <w:t>们</w:t>
      </w:r>
      <w:r>
        <w:rPr>
          <w:spacing w:val="-2"/>
          <w:sz w:val="21"/>
        </w:rPr>
        <w:t>订立书面的变更协议。</w:t>
      </w:r>
    </w:p>
    <w:p>
      <w:pPr>
        <w:pStyle w:val="BodyText"/>
        <w:spacing w:before="10"/>
        <w:rPr>
          <w:sz w:val="19"/>
        </w:rPr>
      </w:pPr>
    </w:p>
    <w:p>
      <w:pPr>
        <w:pStyle w:val="ListParagraph"/>
        <w:numPr>
          <w:ilvl w:val="1"/>
          <w:numId w:val="22"/>
        </w:numPr>
        <w:tabs>
          <w:tab w:pos="1211" w:val="left" w:leader="none"/>
        </w:tabs>
        <w:spacing w:line="168" w:lineRule="auto" w:before="1" w:after="0"/>
        <w:ind w:left="2805" w:right="327" w:hanging="2552"/>
        <w:jc w:val="both"/>
        <w:rPr>
          <w:rFonts w:ascii="微软雅黑" w:eastAsia="微软雅黑"/>
          <w:b/>
          <w:sz w:val="21"/>
        </w:rPr>
      </w:pPr>
      <w:r>
        <w:rPr>
          <w:rFonts w:ascii="微软雅黑" w:eastAsia="微软雅黑"/>
          <w:b/>
          <w:spacing w:val="35"/>
          <w:sz w:val="21"/>
        </w:rPr>
        <w:t>联系方式变更 </w:t>
      </w:r>
      <w:r>
        <w:rPr>
          <w:sz w:val="21"/>
        </w:rPr>
        <w:t>为了保障您的合法权益，您的住所、通讯地址、电话或电子邮件等联系方</w:t>
      </w:r>
      <w:r>
        <w:rPr>
          <w:spacing w:val="-2"/>
          <w:sz w:val="21"/>
        </w:rPr>
        <w:t>式变更时，请及时以书面形式或双方认可的其他形式通知我们。</w:t>
      </w:r>
      <w:r>
        <w:rPr>
          <w:rFonts w:ascii="微软雅黑" w:eastAsia="微软雅黑"/>
          <w:b/>
          <w:spacing w:val="-2"/>
          <w:sz w:val="21"/>
        </w:rPr>
        <w:t>若您未以</w:t>
      </w:r>
      <w:r>
        <w:rPr>
          <w:rFonts w:ascii="微软雅黑" w:eastAsia="微软雅黑"/>
          <w:b/>
          <w:spacing w:val="-2"/>
          <w:sz w:val="21"/>
        </w:rPr>
        <w:t>书面形式或双方认可的其他形式通知我们，我们按本合同载明的最后联系</w:t>
      </w:r>
      <w:r>
        <w:rPr>
          <w:rFonts w:ascii="微软雅黑" w:eastAsia="微软雅黑"/>
          <w:b/>
          <w:spacing w:val="-2"/>
          <w:sz w:val="21"/>
        </w:rPr>
        <w:t>方式所发送的有关通知，均视为已送达给您。</w:t>
      </w:r>
    </w:p>
    <w:p>
      <w:pPr>
        <w:pStyle w:val="BodyText"/>
        <w:spacing w:before="17"/>
        <w:rPr>
          <w:rFonts w:ascii="微软雅黑"/>
          <w:b/>
          <w:sz w:val="7"/>
        </w:rPr>
      </w:pPr>
    </w:p>
    <w:p>
      <w:pPr>
        <w:spacing w:after="0"/>
        <w:rPr>
          <w:rFonts w:ascii="微软雅黑"/>
          <w:sz w:val="7"/>
        </w:rPr>
        <w:sectPr>
          <w:type w:val="continuous"/>
          <w:pgSz w:w="11910" w:h="16840"/>
          <w:pgMar w:header="877" w:footer="0" w:top="1100" w:bottom="280" w:left="1060" w:right="980"/>
        </w:sectPr>
      </w:pPr>
    </w:p>
    <w:p>
      <w:pPr>
        <w:pStyle w:val="ListParagraph"/>
        <w:numPr>
          <w:ilvl w:val="1"/>
          <w:numId w:val="22"/>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2"/>
          <w:sz w:val="21"/>
        </w:rPr>
        <w:t>年龄性别错误</w:t>
      </w:r>
      <w:r>
        <w:rPr>
          <w:rFonts w:ascii="微软雅黑" w:eastAsia="微软雅黑"/>
          <w:b/>
          <w:spacing w:val="-4"/>
          <w:sz w:val="21"/>
        </w:rPr>
        <w:t>的处理</w:t>
      </w:r>
    </w:p>
    <w:p>
      <w:pPr>
        <w:pStyle w:val="BodyText"/>
        <w:spacing w:line="242" w:lineRule="auto" w:before="72"/>
        <w:ind w:left="253" w:right="333"/>
        <w:jc w:val="both"/>
      </w:pPr>
      <w:r>
        <w:rPr/>
        <w:br w:type="column"/>
      </w:r>
      <w:r>
        <w:rPr>
          <w:spacing w:val="-2"/>
        </w:rPr>
        <w:t>您在申请投保时，应将与有效身份证件相符的被保险人的出生日期、按周</w:t>
      </w:r>
      <w:r>
        <w:rPr>
          <w:spacing w:val="-2"/>
        </w:rPr>
        <w:t>岁计算的真实年龄和性别在投保单上填明，如果发生错误按照下列方式办</w:t>
      </w:r>
      <w:r>
        <w:rPr>
          <w:spacing w:val="-6"/>
        </w:rPr>
        <w:t>理：</w:t>
      </w:r>
    </w:p>
    <w:p>
      <w:pPr>
        <w:pStyle w:val="ListParagraph"/>
        <w:numPr>
          <w:ilvl w:val="0"/>
          <w:numId w:val="23"/>
        </w:numPr>
        <w:tabs>
          <w:tab w:pos="783" w:val="left" w:leader="none"/>
        </w:tabs>
        <w:spacing w:line="168" w:lineRule="auto" w:before="17" w:after="0"/>
        <w:ind w:left="253" w:right="326" w:firstLine="0"/>
        <w:jc w:val="both"/>
        <w:rPr>
          <w:rFonts w:ascii="微软雅黑" w:eastAsia="微软雅黑"/>
          <w:b/>
          <w:sz w:val="19"/>
        </w:rPr>
      </w:pPr>
      <w:r>
        <w:rPr>
          <w:rFonts w:ascii="微软雅黑" w:eastAsia="微软雅黑"/>
          <w:b/>
          <w:spacing w:val="-2"/>
          <w:sz w:val="21"/>
        </w:rPr>
        <w:t>您申报的被保险人年龄不真实，并且其真实年龄不符合本合同约定</w:t>
      </w:r>
      <w:r>
        <w:rPr>
          <w:rFonts w:ascii="微软雅黑" w:eastAsia="微软雅黑"/>
          <w:b/>
          <w:spacing w:val="-2"/>
          <w:sz w:val="21"/>
        </w:rPr>
        <w:t>投保年龄限制的，我们有权解除本合同。对于解除本合同的，本合同自解</w:t>
      </w:r>
      <w:r>
        <w:rPr>
          <w:rFonts w:ascii="微软雅黑" w:eastAsia="微软雅黑"/>
          <w:b/>
          <w:spacing w:val="-2"/>
          <w:sz w:val="21"/>
        </w:rPr>
        <w:t>除之日起终止，我们向您退还本合同终止时的现金价值。对于本合同解除</w:t>
      </w:r>
      <w:r>
        <w:rPr>
          <w:rFonts w:ascii="微软雅黑" w:eastAsia="微软雅黑"/>
          <w:b/>
          <w:spacing w:val="-2"/>
          <w:sz w:val="21"/>
        </w:rPr>
        <w:t>前发生的保险事故，我们不承担保险责任。</w:t>
      </w:r>
    </w:p>
    <w:p>
      <w:pPr>
        <w:pStyle w:val="ListParagraph"/>
        <w:numPr>
          <w:ilvl w:val="0"/>
          <w:numId w:val="23"/>
        </w:numPr>
        <w:tabs>
          <w:tab w:pos="783" w:val="left" w:leader="none"/>
        </w:tabs>
        <w:spacing w:line="168" w:lineRule="auto" w:before="5" w:after="0"/>
        <w:ind w:left="253" w:right="310" w:firstLine="0"/>
        <w:jc w:val="left"/>
        <w:rPr>
          <w:rFonts w:ascii="微软雅黑" w:eastAsia="微软雅黑"/>
          <w:b/>
          <w:sz w:val="19"/>
        </w:rPr>
      </w:pPr>
      <w:r>
        <w:rPr>
          <w:rFonts w:ascii="微软雅黑" w:eastAsia="微软雅黑"/>
          <w:b/>
          <w:spacing w:val="-2"/>
          <w:sz w:val="21"/>
        </w:rPr>
        <w:t>您申报的被保险人年龄或性别不真实，致使您实付保险费少于应付</w:t>
      </w:r>
      <w:r>
        <w:rPr>
          <w:rFonts w:ascii="微软雅黑" w:eastAsia="微软雅黑"/>
          <w:b/>
          <w:spacing w:val="-2"/>
          <w:sz w:val="21"/>
        </w:rPr>
        <w:t>保险费的，我们有权更正并要求您补交保险费。如果已经发生保险事故，</w:t>
      </w:r>
      <w:r>
        <w:rPr>
          <w:rFonts w:ascii="微软雅黑" w:eastAsia="微软雅黑"/>
          <w:b/>
          <w:spacing w:val="-2"/>
          <w:sz w:val="21"/>
        </w:rPr>
        <w:t>在给付保险金时按实付保险费和应付保险费的比例给付。</w:t>
      </w:r>
    </w:p>
    <w:p>
      <w:pPr>
        <w:pStyle w:val="ListParagraph"/>
        <w:numPr>
          <w:ilvl w:val="0"/>
          <w:numId w:val="23"/>
        </w:numPr>
        <w:tabs>
          <w:tab w:pos="783" w:val="left" w:leader="none"/>
        </w:tabs>
        <w:spacing w:line="244" w:lineRule="auto" w:before="0" w:after="0"/>
        <w:ind w:left="253" w:right="324" w:firstLine="0"/>
        <w:jc w:val="left"/>
        <w:rPr>
          <w:sz w:val="19"/>
        </w:rPr>
      </w:pPr>
      <w:r>
        <w:rPr>
          <w:spacing w:val="-8"/>
          <w:sz w:val="21"/>
        </w:rPr>
        <w:t>您申报的被保险人年龄或性别不真实，致使您实付保险费多于应付保</w:t>
      </w:r>
      <w:r>
        <w:rPr>
          <w:spacing w:val="-2"/>
          <w:sz w:val="21"/>
        </w:rPr>
        <w:t>险费的，我们向您退还多收的保险费。</w:t>
      </w:r>
    </w:p>
    <w:p>
      <w:pPr>
        <w:spacing w:after="0" w:line="244" w:lineRule="auto"/>
        <w:jc w:val="left"/>
        <w:rPr>
          <w:sz w:val="19"/>
        </w:rPr>
        <w:sectPr>
          <w:type w:val="continuous"/>
          <w:pgSz w:w="11910" w:h="16840"/>
          <w:pgMar w:header="877" w:footer="0" w:top="1100" w:bottom="280" w:left="1060" w:right="980"/>
          <w:cols w:num="2" w:equalWidth="0">
            <w:col w:w="2479" w:space="73"/>
            <w:col w:w="7318"/>
          </w:cols>
        </w:sectPr>
      </w:pPr>
    </w:p>
    <w:p>
      <w:pPr>
        <w:pStyle w:val="BodyText"/>
        <w:spacing w:before="9"/>
        <w:rPr>
          <w:sz w:val="18"/>
        </w:rPr>
      </w:pPr>
    </w:p>
    <w:p>
      <w:pPr>
        <w:spacing w:after="0"/>
        <w:rPr>
          <w:sz w:val="18"/>
        </w:rPr>
        <w:sectPr>
          <w:pgSz w:w="11910" w:h="16840"/>
          <w:pgMar w:header="877" w:footer="0" w:top="1100" w:bottom="280" w:left="1060" w:right="980"/>
        </w:sectPr>
      </w:pPr>
    </w:p>
    <w:p>
      <w:pPr>
        <w:pStyle w:val="ListParagraph"/>
        <w:numPr>
          <w:ilvl w:val="1"/>
          <w:numId w:val="22"/>
        </w:numPr>
        <w:tabs>
          <w:tab w:pos="1210" w:val="left" w:leader="none"/>
          <w:tab w:pos="1211" w:val="left" w:leader="none"/>
        </w:tabs>
        <w:spacing w:line="168" w:lineRule="auto" w:before="87" w:after="0"/>
        <w:ind w:left="1210" w:right="0" w:hanging="958"/>
        <w:jc w:val="left"/>
        <w:rPr>
          <w:rFonts w:ascii="微软雅黑" w:eastAsia="微软雅黑"/>
          <w:b/>
          <w:sz w:val="21"/>
        </w:rPr>
      </w:pPr>
      <w:r>
        <w:rPr>
          <w:rFonts w:ascii="微软雅黑" w:eastAsia="微软雅黑"/>
          <w:b/>
          <w:spacing w:val="-2"/>
          <w:sz w:val="21"/>
        </w:rPr>
        <w:t>我们合同解除</w:t>
      </w:r>
      <w:r>
        <w:rPr>
          <w:rFonts w:ascii="微软雅黑" w:eastAsia="微软雅黑"/>
          <w:b/>
          <w:spacing w:val="-4"/>
          <w:sz w:val="21"/>
        </w:rPr>
        <w:t>权的限制</w:t>
      </w:r>
    </w:p>
    <w:p>
      <w:pPr>
        <w:pStyle w:val="BodyText"/>
        <w:spacing w:before="71"/>
        <w:ind w:left="253"/>
      </w:pPr>
      <w:r>
        <w:rPr/>
        <w:br w:type="column"/>
      </w:r>
      <w:r>
        <w:rPr>
          <w:spacing w:val="-17"/>
        </w:rPr>
        <w:t>条款 </w:t>
      </w:r>
      <w:r>
        <w:rPr>
          <w:spacing w:val="-2"/>
        </w:rPr>
        <w:t>6.2</w:t>
      </w:r>
      <w:r>
        <w:rPr>
          <w:spacing w:val="-32"/>
        </w:rPr>
        <w:t> 及 </w:t>
      </w:r>
      <w:r>
        <w:rPr>
          <w:spacing w:val="-2"/>
        </w:rPr>
        <w:t>6.5</w:t>
      </w:r>
      <w:r>
        <w:rPr>
          <w:spacing w:val="-10"/>
        </w:rPr>
        <w:t> 中规定的合同解除权，自我们知道有解除事由之日起，超</w:t>
      </w:r>
    </w:p>
    <w:p>
      <w:pPr>
        <w:pStyle w:val="BodyText"/>
        <w:spacing w:line="244" w:lineRule="auto" w:before="2"/>
        <w:ind w:left="253" w:right="323"/>
      </w:pPr>
      <w:r>
        <w:rPr>
          <w:spacing w:val="-28"/>
        </w:rPr>
        <w:t>过 </w:t>
      </w:r>
      <w:r>
        <w:rPr>
          <w:spacing w:val="-2"/>
        </w:rPr>
        <w:t>30</w:t>
      </w:r>
      <w:r>
        <w:rPr>
          <w:spacing w:val="-12"/>
        </w:rPr>
        <w:t> 日不行使而消灭。自本合同成立之日起超过 </w:t>
      </w:r>
      <w:r>
        <w:rPr>
          <w:spacing w:val="-2"/>
        </w:rPr>
        <w:t>2</w:t>
      </w:r>
      <w:r>
        <w:rPr>
          <w:spacing w:val="-13"/>
        </w:rPr>
        <w:t> 年的，我们不得解除合</w:t>
      </w:r>
      <w:r>
        <w:rPr>
          <w:spacing w:val="-2"/>
        </w:rPr>
        <w:t>同；发生保险事故的，我们承担保险责任。</w:t>
      </w:r>
    </w:p>
    <w:p>
      <w:pPr>
        <w:spacing w:after="0" w:line="244" w:lineRule="auto"/>
        <w:sectPr>
          <w:type w:val="continuous"/>
          <w:pgSz w:w="11910" w:h="16840"/>
          <w:pgMar w:header="877" w:footer="0" w:top="1100" w:bottom="280" w:left="1060" w:right="980"/>
          <w:cols w:num="2" w:equalWidth="0">
            <w:col w:w="2479" w:space="73"/>
            <w:col w:w="7318"/>
          </w:cols>
        </w:sectPr>
      </w:pPr>
    </w:p>
    <w:p>
      <w:pPr>
        <w:pStyle w:val="BodyText"/>
        <w:spacing w:before="12"/>
        <w:rPr>
          <w:sz w:val="11"/>
        </w:rPr>
      </w:pPr>
    </w:p>
    <w:p>
      <w:pPr>
        <w:pStyle w:val="ListParagraph"/>
        <w:numPr>
          <w:ilvl w:val="1"/>
          <w:numId w:val="22"/>
        </w:numPr>
        <w:tabs>
          <w:tab w:pos="1211" w:val="left" w:leader="none"/>
          <w:tab w:pos="2804" w:val="left" w:leader="none"/>
        </w:tabs>
        <w:spacing w:line="168" w:lineRule="auto" w:before="87" w:after="0"/>
        <w:ind w:left="2805" w:right="326" w:hanging="2552"/>
        <w:jc w:val="both"/>
        <w:rPr>
          <w:rFonts w:ascii="微软雅黑" w:eastAsia="微软雅黑"/>
          <w:b/>
          <w:sz w:val="21"/>
        </w:rPr>
      </w:pPr>
      <w:r>
        <w:rPr>
          <w:rFonts w:ascii="微软雅黑" w:eastAsia="微软雅黑"/>
          <w:b/>
          <w:spacing w:val="-4"/>
          <w:sz w:val="21"/>
        </w:rPr>
        <w:t>未</w:t>
      </w:r>
      <w:r>
        <w:rPr>
          <w:rFonts w:ascii="微软雅黑" w:eastAsia="微软雅黑"/>
          <w:b/>
          <w:spacing w:val="-4"/>
          <w:sz w:val="21"/>
        </w:rPr>
        <w:t>还</w:t>
      </w:r>
      <w:r>
        <w:rPr>
          <w:rFonts w:ascii="微软雅黑" w:eastAsia="微软雅黑"/>
          <w:b/>
          <w:spacing w:val="-4"/>
          <w:sz w:val="21"/>
        </w:rPr>
        <w:t>款</w:t>
      </w:r>
      <w:r>
        <w:rPr>
          <w:rFonts w:ascii="微软雅黑" w:eastAsia="微软雅黑"/>
          <w:b/>
          <w:spacing w:val="-4"/>
          <w:sz w:val="21"/>
        </w:rPr>
        <w:t>项</w:t>
      </w:r>
      <w:r>
        <w:rPr>
          <w:rFonts w:ascii="微软雅黑" w:eastAsia="微软雅黑"/>
          <w:b/>
          <w:sz w:val="21"/>
        </w:rPr>
        <w:tab/>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在</w:t>
      </w:r>
      <w:r>
        <w:rPr>
          <w:rFonts w:ascii="微软雅黑" w:eastAsia="微软雅黑"/>
          <w:b/>
          <w:spacing w:val="-2"/>
          <w:sz w:val="21"/>
        </w:rPr>
        <w:t>给</w:t>
      </w:r>
      <w:r>
        <w:rPr>
          <w:rFonts w:ascii="微软雅黑" w:eastAsia="微软雅黑"/>
          <w:b/>
          <w:spacing w:val="-2"/>
          <w:sz w:val="21"/>
        </w:rPr>
        <w:t>付</w:t>
      </w:r>
      <w:r>
        <w:rPr>
          <w:rFonts w:ascii="微软雅黑" w:eastAsia="微软雅黑"/>
          <w:b/>
          <w:spacing w:val="-2"/>
          <w:sz w:val="21"/>
        </w:rPr>
        <w:t>各</w:t>
      </w:r>
      <w:r>
        <w:rPr>
          <w:rFonts w:ascii="微软雅黑" w:eastAsia="微软雅黑"/>
          <w:b/>
          <w:spacing w:val="-2"/>
          <w:sz w:val="21"/>
        </w:rPr>
        <w:t>项</w:t>
      </w:r>
      <w:r>
        <w:rPr>
          <w:rFonts w:ascii="微软雅黑" w:eastAsia="微软雅黑"/>
          <w:b/>
          <w:spacing w:val="-2"/>
          <w:sz w:val="21"/>
        </w:rPr>
        <w:t>保</w:t>
      </w:r>
      <w:r>
        <w:rPr>
          <w:rFonts w:ascii="微软雅黑" w:eastAsia="微软雅黑"/>
          <w:b/>
          <w:spacing w:val="-2"/>
          <w:sz w:val="21"/>
        </w:rPr>
        <w:t>险金、</w:t>
      </w:r>
      <w:r>
        <w:rPr>
          <w:rFonts w:ascii="微软雅黑" w:eastAsia="微软雅黑"/>
          <w:b/>
          <w:spacing w:val="-2"/>
          <w:sz w:val="21"/>
        </w:rPr>
        <w:t>退</w:t>
      </w:r>
      <w:r>
        <w:rPr>
          <w:rFonts w:ascii="微软雅黑" w:eastAsia="微软雅黑"/>
          <w:b/>
          <w:spacing w:val="-2"/>
          <w:sz w:val="21"/>
        </w:rPr>
        <w:t>还</w:t>
      </w:r>
      <w:r>
        <w:rPr>
          <w:rFonts w:ascii="微软雅黑" w:eastAsia="微软雅黑"/>
          <w:b/>
          <w:spacing w:val="-2"/>
          <w:sz w:val="21"/>
        </w:rPr>
        <w:t>现</w:t>
      </w:r>
      <w:r>
        <w:rPr>
          <w:rFonts w:ascii="微软雅黑" w:eastAsia="微软雅黑"/>
          <w:b/>
          <w:spacing w:val="-2"/>
          <w:sz w:val="21"/>
        </w:rPr>
        <w:t>金</w:t>
      </w:r>
      <w:r>
        <w:rPr>
          <w:rFonts w:ascii="微软雅黑" w:eastAsia="微软雅黑"/>
          <w:b/>
          <w:spacing w:val="-2"/>
          <w:sz w:val="21"/>
        </w:rPr>
        <w:t>价</w:t>
      </w:r>
      <w:r>
        <w:rPr>
          <w:rFonts w:ascii="微软雅黑" w:eastAsia="微软雅黑"/>
          <w:b/>
          <w:spacing w:val="-2"/>
          <w:sz w:val="21"/>
        </w:rPr>
        <w:t>值</w:t>
      </w:r>
      <w:r>
        <w:rPr>
          <w:rFonts w:ascii="微软雅黑" w:eastAsia="微软雅黑"/>
          <w:b/>
          <w:spacing w:val="-2"/>
          <w:sz w:val="21"/>
        </w:rPr>
        <w:t>或</w:t>
      </w:r>
      <w:r>
        <w:rPr>
          <w:rFonts w:ascii="微软雅黑" w:eastAsia="微软雅黑"/>
          <w:b/>
          <w:spacing w:val="-2"/>
          <w:sz w:val="21"/>
        </w:rPr>
        <w:t>者</w:t>
      </w:r>
      <w:r>
        <w:rPr>
          <w:rFonts w:ascii="微软雅黑" w:eastAsia="微软雅黑"/>
          <w:b/>
          <w:spacing w:val="-2"/>
          <w:sz w:val="21"/>
        </w:rPr>
        <w:t>退还保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时</w:t>
      </w:r>
      <w:r>
        <w:rPr>
          <w:rFonts w:ascii="微软雅黑" w:eastAsia="微软雅黑"/>
          <w:b/>
          <w:spacing w:val="-2"/>
          <w:sz w:val="21"/>
        </w:rPr>
        <w:t>，</w:t>
      </w:r>
      <w:r>
        <w:rPr>
          <w:rFonts w:ascii="微软雅黑" w:eastAsia="微软雅黑"/>
          <w:b/>
          <w:spacing w:val="-2"/>
          <w:sz w:val="21"/>
        </w:rPr>
        <w:t>如</w:t>
      </w:r>
      <w:r>
        <w:rPr>
          <w:rFonts w:ascii="微软雅黑" w:eastAsia="微软雅黑"/>
          <w:b/>
          <w:spacing w:val="-2"/>
          <w:sz w:val="21"/>
        </w:rPr>
        <w:t>果</w:t>
      </w:r>
      <w:r>
        <w:rPr>
          <w:rFonts w:ascii="微软雅黑" w:eastAsia="微软雅黑"/>
          <w:b/>
          <w:spacing w:val="-2"/>
          <w:sz w:val="21"/>
        </w:rPr>
        <w:t>您</w:t>
      </w:r>
      <w:r>
        <w:rPr>
          <w:rFonts w:ascii="微软雅黑" w:eastAsia="微软雅黑"/>
          <w:b/>
          <w:spacing w:val="-2"/>
          <w:sz w:val="21"/>
        </w:rPr>
        <w:t>有</w:t>
      </w:r>
      <w:r>
        <w:rPr>
          <w:rFonts w:ascii="微软雅黑" w:eastAsia="微软雅黑"/>
          <w:b/>
          <w:spacing w:val="-2"/>
          <w:sz w:val="21"/>
        </w:rPr>
        <w:t>欠</w:t>
      </w:r>
      <w:r>
        <w:rPr>
          <w:rFonts w:ascii="微软雅黑" w:eastAsia="微软雅黑"/>
          <w:b/>
          <w:spacing w:val="-2"/>
          <w:sz w:val="21"/>
        </w:rPr>
        <w:t>交</w:t>
      </w:r>
      <w:r>
        <w:rPr>
          <w:rFonts w:ascii="微软雅黑" w:eastAsia="微软雅黑"/>
          <w:b/>
          <w:spacing w:val="-2"/>
          <w:sz w:val="21"/>
        </w:rPr>
        <w:t>的</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、保单</w:t>
      </w:r>
      <w:r>
        <w:rPr>
          <w:rFonts w:ascii="微软雅黑" w:eastAsia="微软雅黑"/>
          <w:b/>
          <w:spacing w:val="-2"/>
          <w:sz w:val="21"/>
        </w:rPr>
        <w:t>质</w:t>
      </w:r>
      <w:r>
        <w:rPr>
          <w:rFonts w:ascii="微软雅黑" w:eastAsia="微软雅黑"/>
          <w:b/>
          <w:spacing w:val="-2"/>
          <w:sz w:val="21"/>
        </w:rPr>
        <w:t>押</w:t>
      </w:r>
      <w:r>
        <w:rPr>
          <w:rFonts w:ascii="微软雅黑" w:eastAsia="微软雅黑"/>
          <w:b/>
          <w:spacing w:val="-2"/>
          <w:sz w:val="21"/>
        </w:rPr>
        <w:t>贷</w:t>
      </w:r>
      <w:r>
        <w:rPr>
          <w:rFonts w:ascii="微软雅黑" w:eastAsia="微软雅黑"/>
          <w:b/>
          <w:spacing w:val="-2"/>
          <w:sz w:val="21"/>
        </w:rPr>
        <w:t>款</w:t>
      </w:r>
      <w:r>
        <w:rPr>
          <w:rFonts w:ascii="微软雅黑" w:eastAsia="微软雅黑"/>
          <w:b/>
          <w:spacing w:val="-2"/>
          <w:sz w:val="21"/>
        </w:rPr>
        <w:t>或</w:t>
      </w:r>
      <w:r>
        <w:rPr>
          <w:rFonts w:ascii="微软雅黑" w:eastAsia="微软雅黑"/>
          <w:b/>
          <w:spacing w:val="-2"/>
          <w:sz w:val="21"/>
        </w:rPr>
        <w:t>者</w:t>
      </w:r>
      <w:r>
        <w:rPr>
          <w:rFonts w:ascii="微软雅黑" w:eastAsia="微软雅黑"/>
          <w:b/>
          <w:spacing w:val="-2"/>
          <w:sz w:val="21"/>
        </w:rPr>
        <w:t>其</w:t>
      </w:r>
      <w:r>
        <w:rPr>
          <w:rFonts w:ascii="微软雅黑" w:eastAsia="微软雅黑"/>
          <w:b/>
          <w:spacing w:val="-2"/>
          <w:sz w:val="21"/>
        </w:rPr>
        <w:t>他</w:t>
      </w:r>
      <w:r>
        <w:rPr>
          <w:rFonts w:ascii="微软雅黑" w:eastAsia="微软雅黑"/>
          <w:b/>
          <w:spacing w:val="-2"/>
          <w:sz w:val="21"/>
        </w:rPr>
        <w:t>欠</w:t>
      </w:r>
      <w:r>
        <w:rPr>
          <w:rFonts w:ascii="微软雅黑" w:eastAsia="微软雅黑"/>
          <w:b/>
          <w:spacing w:val="-2"/>
          <w:sz w:val="21"/>
        </w:rPr>
        <w:t>款</w:t>
      </w:r>
      <w:r>
        <w:rPr>
          <w:rFonts w:ascii="微软雅黑" w:eastAsia="微软雅黑"/>
          <w:b/>
          <w:spacing w:val="-2"/>
          <w:sz w:val="21"/>
        </w:rPr>
        <w:t>，</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先</w:t>
      </w:r>
      <w:r>
        <w:rPr>
          <w:rFonts w:ascii="微软雅黑" w:eastAsia="微软雅黑"/>
          <w:b/>
          <w:spacing w:val="-2"/>
          <w:sz w:val="21"/>
        </w:rPr>
        <w:t>扣</w:t>
      </w:r>
      <w:r>
        <w:rPr>
          <w:rFonts w:ascii="微软雅黑" w:eastAsia="微软雅黑"/>
          <w:b/>
          <w:spacing w:val="-2"/>
          <w:sz w:val="21"/>
        </w:rPr>
        <w:t>除</w:t>
      </w:r>
      <w:r>
        <w:rPr>
          <w:rFonts w:ascii="微软雅黑" w:eastAsia="微软雅黑"/>
          <w:b/>
          <w:spacing w:val="-2"/>
          <w:sz w:val="21"/>
        </w:rPr>
        <w:t>上</w:t>
      </w:r>
      <w:r>
        <w:rPr>
          <w:rFonts w:ascii="微软雅黑" w:eastAsia="微软雅黑"/>
          <w:b/>
          <w:spacing w:val="-2"/>
          <w:sz w:val="21"/>
        </w:rPr>
        <w:t>述</w:t>
      </w:r>
      <w:r>
        <w:rPr>
          <w:rFonts w:ascii="微软雅黑" w:eastAsia="微软雅黑"/>
          <w:b/>
          <w:spacing w:val="-2"/>
          <w:sz w:val="21"/>
        </w:rPr>
        <w:t>各</w:t>
      </w:r>
      <w:r>
        <w:rPr>
          <w:rFonts w:ascii="微软雅黑" w:eastAsia="微软雅黑"/>
          <w:b/>
          <w:spacing w:val="-2"/>
          <w:sz w:val="21"/>
        </w:rPr>
        <w:t>项</w:t>
      </w:r>
      <w:r>
        <w:rPr>
          <w:rFonts w:ascii="微软雅黑" w:eastAsia="微软雅黑"/>
          <w:b/>
          <w:spacing w:val="-2"/>
          <w:sz w:val="21"/>
        </w:rPr>
        <w:t>欠</w:t>
      </w:r>
      <w:r>
        <w:rPr>
          <w:rFonts w:ascii="微软雅黑" w:eastAsia="微软雅黑"/>
          <w:b/>
          <w:spacing w:val="-2"/>
          <w:sz w:val="21"/>
        </w:rPr>
        <w:t>款</w:t>
      </w:r>
      <w:r>
        <w:rPr>
          <w:rFonts w:ascii="微软雅黑" w:eastAsia="微软雅黑"/>
          <w:b/>
          <w:spacing w:val="-2"/>
          <w:sz w:val="21"/>
        </w:rPr>
        <w:t>及</w:t>
      </w:r>
      <w:r>
        <w:rPr>
          <w:rFonts w:ascii="微软雅黑" w:eastAsia="微软雅黑"/>
          <w:b/>
          <w:spacing w:val="-2"/>
          <w:sz w:val="21"/>
        </w:rPr>
        <w:t>应</w:t>
      </w:r>
      <w:r>
        <w:rPr>
          <w:rFonts w:ascii="微软雅黑" w:eastAsia="微软雅黑"/>
          <w:b/>
          <w:spacing w:val="-2"/>
          <w:sz w:val="21"/>
        </w:rPr>
        <w:t>付</w:t>
      </w:r>
      <w:r>
        <w:rPr>
          <w:rFonts w:ascii="微软雅黑" w:eastAsia="微软雅黑"/>
          <w:b/>
          <w:spacing w:val="-4"/>
          <w:sz w:val="21"/>
        </w:rPr>
        <w:t>利</w:t>
      </w:r>
      <w:r>
        <w:rPr>
          <w:rFonts w:ascii="微软雅黑" w:eastAsia="微软雅黑"/>
          <w:b/>
          <w:spacing w:val="-4"/>
          <w:sz w:val="21"/>
        </w:rPr>
        <w:t>息</w:t>
      </w:r>
      <w:r>
        <w:rPr>
          <w:rFonts w:ascii="微软雅黑" w:eastAsia="微软雅黑"/>
          <w:b/>
          <w:spacing w:val="-4"/>
          <w:sz w:val="21"/>
        </w:rPr>
        <w:t>。</w:t>
      </w:r>
    </w:p>
    <w:p>
      <w:pPr>
        <w:pStyle w:val="BodyText"/>
        <w:spacing w:before="5"/>
        <w:rPr>
          <w:rFonts w:ascii="微软雅黑"/>
          <w:b/>
          <w:sz w:val="10"/>
        </w:rPr>
      </w:pPr>
    </w:p>
    <w:p>
      <w:pPr>
        <w:pStyle w:val="ListParagraph"/>
        <w:numPr>
          <w:ilvl w:val="1"/>
          <w:numId w:val="22"/>
        </w:numPr>
        <w:tabs>
          <w:tab w:pos="1210" w:val="left" w:leader="none"/>
          <w:tab w:pos="1211" w:val="left" w:leader="none"/>
          <w:tab w:pos="2804" w:val="left" w:leader="none"/>
        </w:tabs>
        <w:spacing w:line="204" w:lineRule="auto" w:before="1" w:after="0"/>
        <w:ind w:left="2805" w:right="333" w:hanging="2552"/>
        <w:jc w:val="left"/>
        <w:rPr>
          <w:sz w:val="21"/>
        </w:rPr>
      </w:pPr>
      <w:r>
        <w:rPr>
          <w:rFonts w:ascii="微软雅黑" w:eastAsia="微软雅黑"/>
          <w:b/>
          <w:spacing w:val="-4"/>
          <w:sz w:val="21"/>
        </w:rPr>
        <w:t>争</w:t>
      </w:r>
      <w:r>
        <w:rPr>
          <w:rFonts w:ascii="微软雅黑" w:eastAsia="微软雅黑"/>
          <w:b/>
          <w:spacing w:val="-4"/>
          <w:sz w:val="21"/>
        </w:rPr>
        <w:t>议</w:t>
      </w:r>
      <w:r>
        <w:rPr>
          <w:rFonts w:ascii="微软雅黑" w:eastAsia="微软雅黑"/>
          <w:b/>
          <w:spacing w:val="-4"/>
          <w:sz w:val="21"/>
        </w:rPr>
        <w:t>处</w:t>
      </w:r>
      <w:r>
        <w:rPr>
          <w:rFonts w:ascii="微软雅黑" w:eastAsia="微软雅黑"/>
          <w:b/>
          <w:spacing w:val="-4"/>
          <w:sz w:val="21"/>
        </w:rPr>
        <w:t>理</w:t>
      </w:r>
      <w:r>
        <w:rPr>
          <w:rFonts w:ascii="微软雅黑" w:eastAsia="微软雅黑"/>
          <w:b/>
          <w:sz w:val="21"/>
        </w:rPr>
        <w:tab/>
      </w:r>
      <w:r>
        <w:rPr>
          <w:spacing w:val="-2"/>
          <w:sz w:val="21"/>
        </w:rPr>
        <w:t>本</w:t>
      </w:r>
      <w:r>
        <w:rPr>
          <w:spacing w:val="-2"/>
          <w:sz w:val="21"/>
        </w:rPr>
        <w:t>合</w:t>
      </w:r>
      <w:r>
        <w:rPr>
          <w:spacing w:val="-2"/>
          <w:sz w:val="21"/>
        </w:rPr>
        <w:t>同履行过程中，双方</w:t>
      </w:r>
      <w:r>
        <w:rPr>
          <w:spacing w:val="-2"/>
          <w:sz w:val="21"/>
        </w:rPr>
        <w:t>发</w:t>
      </w:r>
      <w:r>
        <w:rPr>
          <w:spacing w:val="-2"/>
          <w:sz w:val="21"/>
        </w:rPr>
        <w:t>生</w:t>
      </w:r>
      <w:r>
        <w:rPr>
          <w:spacing w:val="-2"/>
          <w:sz w:val="21"/>
        </w:rPr>
        <w:t>争议不能协商解决的，</w:t>
      </w:r>
      <w:r>
        <w:rPr>
          <w:spacing w:val="-2"/>
          <w:sz w:val="21"/>
        </w:rPr>
        <w:t>可</w:t>
      </w:r>
      <w:r>
        <w:rPr>
          <w:spacing w:val="-2"/>
          <w:sz w:val="21"/>
        </w:rPr>
        <w:t>依法向法院提起诉</w:t>
      </w:r>
      <w:r>
        <w:rPr>
          <w:spacing w:val="-6"/>
          <w:sz w:val="21"/>
        </w:rPr>
        <w:t>讼</w:t>
      </w:r>
      <w:r>
        <w:rPr>
          <w:spacing w:val="-6"/>
          <w:sz w:val="21"/>
        </w:rPr>
        <w:t>。</w:t>
      </w:r>
    </w:p>
    <w:p>
      <w:pPr>
        <w:spacing w:line="194" w:lineRule="auto" w:before="52"/>
        <w:ind w:left="2805" w:right="333" w:firstLine="0"/>
        <w:jc w:val="left"/>
        <w:rPr>
          <w:sz w:val="21"/>
        </w:rPr>
      </w:pPr>
      <w:r>
        <w:rPr>
          <w:spacing w:val="-2"/>
          <w:sz w:val="21"/>
        </w:rPr>
        <w:t>与本合同有关的以及履行本合同产生的一切争议处理适用中华人民共和国</w:t>
      </w:r>
      <w:r>
        <w:rPr>
          <w:spacing w:val="-2"/>
          <w:sz w:val="21"/>
        </w:rPr>
        <w:t>法律</w:t>
      </w:r>
      <w:r>
        <w:rPr>
          <w:rFonts w:ascii="微软雅黑" w:eastAsia="微软雅黑"/>
          <w:b/>
          <w:spacing w:val="-2"/>
          <w:sz w:val="21"/>
        </w:rPr>
        <w:t>（不包括港、澳、台地区法律）</w:t>
      </w:r>
      <w:r>
        <w:rPr>
          <w:spacing w:val="-2"/>
          <w:sz w:val="21"/>
        </w:rPr>
        <w:t>。</w:t>
      </w:r>
    </w:p>
    <w:p>
      <w:pPr>
        <w:pStyle w:val="BodyText"/>
        <w:spacing w:before="9"/>
        <w:rPr>
          <w:sz w:val="23"/>
        </w:rPr>
      </w:pPr>
    </w:p>
    <w:p>
      <w:pPr>
        <w:pStyle w:val="BodyText"/>
        <w:tabs>
          <w:tab w:pos="2804" w:val="left" w:leader="none"/>
        </w:tabs>
        <w:spacing w:line="220" w:lineRule="auto"/>
        <w:ind w:left="2805" w:right="324" w:hanging="2552"/>
        <w:jc w:val="both"/>
      </w:pPr>
      <w:r>
        <w:rPr>
          <w:rFonts w:ascii="微软雅黑" w:hAnsi="微软雅黑" w:eastAsia="微软雅黑"/>
          <w:b/>
        </w:rPr>
        <w:t>附表一 </w:t>
      </w:r>
      <w:r>
        <w:rPr>
          <w:rFonts w:ascii="微软雅黑" w:hAnsi="微软雅黑" w:eastAsia="微软雅黑"/>
          <w:b/>
        </w:rPr>
        <w:t>重大疾病</w:t>
        <w:tab/>
      </w:r>
      <w:r>
        <w:rPr>
          <w:spacing w:val="-2"/>
        </w:rPr>
        <w:t>本</w:t>
      </w:r>
      <w:r>
        <w:rPr>
          <w:spacing w:val="-2"/>
        </w:rPr>
        <w:t>合</w:t>
      </w:r>
      <w:r>
        <w:rPr>
          <w:spacing w:val="-2"/>
        </w:rPr>
        <w:t>同约定的重大疾病</w:t>
      </w:r>
      <w:r>
        <w:rPr>
          <w:spacing w:val="-2"/>
        </w:rPr>
        <w:t>共</w:t>
      </w:r>
      <w:r>
        <w:rPr>
          <w:spacing w:val="-2"/>
        </w:rPr>
        <w:t>120种，其中第1</w:t>
      </w:r>
      <w:r>
        <w:rPr>
          <w:spacing w:val="-2"/>
        </w:rPr>
        <w:t>至</w:t>
      </w:r>
      <w:r>
        <w:rPr>
          <w:spacing w:val="-2"/>
        </w:rPr>
        <w:t>28种</w:t>
      </w:r>
      <w:r>
        <w:rPr>
          <w:spacing w:val="-2"/>
        </w:rPr>
        <w:t>重</w:t>
      </w:r>
      <w:r>
        <w:rPr>
          <w:spacing w:val="-2"/>
        </w:rPr>
        <w:t>大</w:t>
      </w:r>
      <w:r>
        <w:rPr>
          <w:spacing w:val="-2"/>
        </w:rPr>
        <w:t>疾</w:t>
      </w:r>
      <w:r>
        <w:rPr>
          <w:spacing w:val="-2"/>
        </w:rPr>
        <w:t>病</w:t>
      </w:r>
      <w:r>
        <w:rPr>
          <w:spacing w:val="-2"/>
        </w:rPr>
        <w:t>为中国保险</w:t>
      </w:r>
      <w:r>
        <w:rPr>
          <w:spacing w:val="-2"/>
        </w:rPr>
        <w:t>行</w:t>
      </w:r>
      <w:r>
        <w:rPr>
          <w:spacing w:val="-2"/>
        </w:rPr>
        <w:t>业</w:t>
      </w:r>
      <w:r>
        <w:rPr>
          <w:spacing w:val="-2"/>
        </w:rPr>
        <w:t>协</w:t>
      </w:r>
      <w:r>
        <w:rPr>
          <w:spacing w:val="-2"/>
        </w:rPr>
        <w:t>会</w:t>
      </w:r>
      <w:r>
        <w:rPr>
          <w:spacing w:val="-2"/>
        </w:rPr>
        <w:t>制定的《重大疾病保</w:t>
      </w:r>
      <w:r>
        <w:rPr>
          <w:spacing w:val="-2"/>
        </w:rPr>
        <w:t>险</w:t>
      </w:r>
      <w:r>
        <w:rPr>
          <w:spacing w:val="-2"/>
        </w:rPr>
        <w:t>的</w:t>
      </w:r>
      <w:r>
        <w:rPr>
          <w:spacing w:val="-2"/>
        </w:rPr>
        <w:t>疾病定义使用规范（2020年修订版）》（</w:t>
      </w:r>
      <w:r>
        <w:rPr>
          <w:spacing w:val="-2"/>
        </w:rPr>
        <w:t>以</w:t>
      </w:r>
      <w:r>
        <w:rPr>
          <w:spacing w:val="-6"/>
        </w:rPr>
        <w:t>下</w:t>
      </w:r>
      <w:r>
        <w:rPr>
          <w:spacing w:val="-6"/>
        </w:rPr>
        <w:t>简</w:t>
      </w:r>
      <w:r>
        <w:rPr>
          <w:spacing w:val="-6"/>
        </w:rPr>
        <w:t>称“规范”）规定的</w:t>
      </w:r>
      <w:r>
        <w:rPr>
          <w:spacing w:val="-6"/>
        </w:rPr>
        <w:t>重</w:t>
      </w:r>
      <w:r>
        <w:rPr>
          <w:spacing w:val="-6"/>
        </w:rPr>
        <w:t>大</w:t>
      </w:r>
      <w:r>
        <w:rPr>
          <w:spacing w:val="-6"/>
        </w:rPr>
        <w:t>疾病，</w:t>
      </w:r>
      <w:r>
        <w:rPr>
          <w:spacing w:val="-6"/>
        </w:rPr>
        <w:t>第</w:t>
      </w:r>
      <w:r>
        <w:rPr>
          <w:spacing w:val="-6"/>
        </w:rPr>
        <w:t>29</w:t>
      </w:r>
      <w:r>
        <w:rPr>
          <w:spacing w:val="-6"/>
        </w:rPr>
        <w:t>至</w:t>
      </w:r>
      <w:r>
        <w:rPr>
          <w:spacing w:val="-6"/>
        </w:rPr>
        <w:t>120种重</w:t>
      </w:r>
      <w:r>
        <w:rPr>
          <w:spacing w:val="-6"/>
        </w:rPr>
        <w:t>大</w:t>
      </w:r>
      <w:r>
        <w:rPr>
          <w:spacing w:val="-6"/>
        </w:rPr>
        <w:t>疾</w:t>
      </w:r>
      <w:r>
        <w:rPr>
          <w:spacing w:val="-6"/>
        </w:rPr>
        <w:t>病为“</w:t>
      </w:r>
      <w:r>
        <w:rPr>
          <w:spacing w:val="-6"/>
        </w:rPr>
        <w:t>规</w:t>
      </w:r>
      <w:r>
        <w:rPr>
          <w:spacing w:val="-6"/>
        </w:rPr>
        <w:t>范</w:t>
      </w:r>
      <w:r>
        <w:rPr>
          <w:spacing w:val="-6"/>
        </w:rPr>
        <w:t>”</w:t>
      </w:r>
      <w:r>
        <w:rPr>
          <w:spacing w:val="-6"/>
        </w:rPr>
        <w:t>规</w:t>
      </w:r>
      <w:r>
        <w:rPr>
          <w:spacing w:val="-10"/>
        </w:rPr>
        <w:t>定</w:t>
      </w:r>
    </w:p>
    <w:p>
      <w:pPr>
        <w:pStyle w:val="BodyText"/>
        <w:spacing w:line="242" w:lineRule="auto" w:before="12"/>
        <w:ind w:left="2805" w:right="333"/>
        <w:jc w:val="both"/>
      </w:pPr>
      <w:r>
        <w:rPr>
          <w:spacing w:val="-2"/>
        </w:rPr>
        <w:t>范围之外的重大疾病。被保险人发生符合以下重大疾病定义所述条件的疾</w:t>
      </w:r>
      <w:r>
        <w:rPr>
          <w:spacing w:val="-2"/>
        </w:rPr>
        <w:t>病，应当由专科医生明确诊断。重大疾病的疾病种类和疾病定义具体如下</w:t>
      </w:r>
      <w:r>
        <w:rPr>
          <w:spacing w:val="-4"/>
        </w:rPr>
        <w:t>所示：</w:t>
      </w:r>
    </w:p>
    <w:p>
      <w:pPr>
        <w:pStyle w:val="BodyText"/>
        <w:spacing w:before="5"/>
      </w:pPr>
    </w:p>
    <w:p>
      <w:pPr>
        <w:pStyle w:val="BodyText"/>
        <w:ind w:left="2805"/>
      </w:pPr>
      <w:r>
        <w:rPr/>
        <w:t>A</w:t>
      </w:r>
      <w:r>
        <w:rPr>
          <w:spacing w:val="-10"/>
        </w:rPr>
        <w:t>组</w:t>
      </w:r>
    </w:p>
    <w:p>
      <w:pPr>
        <w:pStyle w:val="BodyText"/>
        <w:spacing w:before="4"/>
      </w:pPr>
    </w:p>
    <w:p>
      <w:pPr>
        <w:pStyle w:val="BodyText"/>
        <w:tabs>
          <w:tab w:pos="6350" w:val="left" w:leader="none"/>
        </w:tabs>
        <w:spacing w:line="244" w:lineRule="auto" w:before="1"/>
        <w:ind w:left="6770" w:right="360" w:hanging="3966"/>
      </w:pPr>
      <w:r>
        <w:rPr/>
        <w:t>1 恶性肿瘤--重度</w:t>
        <w:tab/>
        <w:t>108</w:t>
      </w:r>
      <w:r>
        <w:rPr>
          <w:spacing w:val="-27"/>
        </w:rPr>
        <w:t> </w:t>
      </w:r>
      <w:r>
        <w:rPr/>
        <w:t>侵蚀性葡萄胎（或称</w:t>
      </w:r>
      <w:r>
        <w:rPr/>
        <w:t>恶性葡</w:t>
      </w:r>
      <w:r>
        <w:rPr/>
        <w:t>萄</w:t>
      </w:r>
      <w:r>
        <w:rPr>
          <w:spacing w:val="-6"/>
        </w:rPr>
        <w:t>胎</w:t>
      </w:r>
      <w:r>
        <w:rPr>
          <w:spacing w:val="-6"/>
        </w:rPr>
        <w:t>）</w:t>
      </w:r>
    </w:p>
    <w:p>
      <w:pPr>
        <w:pStyle w:val="BodyText"/>
      </w:pPr>
    </w:p>
    <w:p>
      <w:pPr>
        <w:pStyle w:val="BodyText"/>
        <w:spacing w:before="1"/>
        <w:ind w:left="2805"/>
      </w:pPr>
      <w:r>
        <w:rPr/>
        <w:t>B</w:t>
      </w:r>
      <w:r>
        <w:rPr>
          <w:spacing w:val="-10"/>
        </w:rPr>
        <w:t>组</w:t>
      </w:r>
    </w:p>
    <w:p>
      <w:pPr>
        <w:pStyle w:val="BodyText"/>
        <w:spacing w:before="11"/>
        <w:rPr>
          <w:sz w:val="15"/>
        </w:rPr>
      </w:pPr>
    </w:p>
    <w:p>
      <w:pPr>
        <w:spacing w:after="0"/>
        <w:rPr>
          <w:sz w:val="15"/>
        </w:rPr>
        <w:sectPr>
          <w:type w:val="continuous"/>
          <w:pgSz w:w="11910" w:h="16840"/>
          <w:pgMar w:header="877" w:footer="0" w:top="1100" w:bottom="280" w:left="1060" w:right="980"/>
        </w:sectPr>
      </w:pPr>
    </w:p>
    <w:p>
      <w:pPr>
        <w:pStyle w:val="BodyText"/>
        <w:spacing w:line="242" w:lineRule="auto" w:before="72"/>
        <w:ind w:left="3016" w:hanging="212"/>
      </w:pPr>
      <w:r>
        <w:rPr/>
        <w:t>4</w:t>
      </w:r>
      <w:r>
        <w:rPr>
          <w:spacing w:val="-6"/>
        </w:rPr>
        <w:t> 重大器官移植术或造血干细胞移</w:t>
      </w:r>
      <w:r>
        <w:rPr>
          <w:spacing w:val="-6"/>
        </w:rPr>
        <w:t>植术</w:t>
      </w:r>
    </w:p>
    <w:p>
      <w:pPr>
        <w:pStyle w:val="BodyText"/>
        <w:spacing w:before="72"/>
        <w:ind w:left="351"/>
      </w:pPr>
      <w:r>
        <w:rPr/>
        <w:br w:type="column"/>
      </w:r>
      <w:r>
        <w:rPr/>
        <w:t>6</w:t>
      </w:r>
      <w:r>
        <w:rPr>
          <w:spacing w:val="-4"/>
        </w:rPr>
        <w:t> 严重慢性肾衰竭</w:t>
      </w:r>
    </w:p>
    <w:p>
      <w:pPr>
        <w:spacing w:after="0"/>
        <w:sectPr>
          <w:type w:val="continuous"/>
          <w:pgSz w:w="11910" w:h="16840"/>
          <w:pgMar w:header="877" w:footer="0" w:top="1100" w:bottom="280" w:left="1060" w:right="980"/>
          <w:cols w:num="2" w:equalWidth="0">
            <w:col w:w="5960" w:space="40"/>
            <w:col w:w="3870"/>
          </w:cols>
        </w:sectPr>
      </w:pPr>
    </w:p>
    <w:p>
      <w:pPr>
        <w:pStyle w:val="BodyText"/>
        <w:tabs>
          <w:tab w:pos="6350" w:val="left" w:leader="none"/>
        </w:tabs>
        <w:spacing w:before="1" w:after="31"/>
        <w:ind w:left="2805"/>
      </w:pPr>
      <w:r>
        <w:rPr/>
        <w:t>8</w:t>
      </w:r>
      <w:r>
        <w:rPr>
          <w:spacing w:val="-18"/>
        </w:rPr>
        <w:t> </w:t>
      </w:r>
      <w:r>
        <w:rPr/>
        <w:t>急性重症肝炎或亚急性</w:t>
      </w:r>
      <w:r>
        <w:rPr/>
        <w:t>重症肝</w:t>
      </w:r>
      <w:r>
        <w:rPr>
          <w:spacing w:val="-10"/>
        </w:rPr>
        <w:t>炎</w:t>
      </w:r>
      <w:r>
        <w:rPr/>
        <w:tab/>
        <w:t>10</w:t>
      </w:r>
      <w:r>
        <w:rPr>
          <w:spacing w:val="-11"/>
        </w:rPr>
        <w:t> </w:t>
      </w:r>
      <w:r>
        <w:rPr/>
        <w:t>严重慢性肝</w:t>
      </w:r>
      <w:r>
        <w:rPr/>
        <w:t>衰</w:t>
      </w:r>
      <w:r>
        <w:rPr>
          <w:spacing w:val="-10"/>
        </w:rPr>
        <w:t>竭</w:t>
      </w:r>
    </w:p>
    <w:tbl>
      <w:tblPr>
        <w:tblW w:w="0" w:type="auto"/>
        <w:jc w:val="left"/>
        <w:tblInd w:w="27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3"/>
        <w:gridCol w:w="3139"/>
        <w:gridCol w:w="408"/>
        <w:gridCol w:w="2623"/>
      </w:tblGrid>
      <w:tr>
        <w:trPr>
          <w:trHeight w:val="242" w:hRule="atLeast"/>
        </w:trPr>
        <w:tc>
          <w:tcPr>
            <w:tcW w:w="313" w:type="dxa"/>
          </w:tcPr>
          <w:p>
            <w:pPr>
              <w:pStyle w:val="TableParagraph"/>
              <w:spacing w:line="222" w:lineRule="exact"/>
              <w:ind w:left="50"/>
              <w:rPr>
                <w:sz w:val="21"/>
              </w:rPr>
            </w:pPr>
            <w:r>
              <w:rPr>
                <w:spacing w:val="-5"/>
                <w:sz w:val="21"/>
              </w:rPr>
              <w:t>13</w:t>
            </w:r>
          </w:p>
        </w:tc>
        <w:tc>
          <w:tcPr>
            <w:tcW w:w="3139" w:type="dxa"/>
          </w:tcPr>
          <w:p>
            <w:pPr>
              <w:pStyle w:val="TableParagraph"/>
              <w:spacing w:line="222" w:lineRule="exact"/>
              <w:ind w:left="53"/>
              <w:rPr>
                <w:sz w:val="21"/>
              </w:rPr>
            </w:pPr>
            <w:r>
              <w:rPr>
                <w:spacing w:val="-4"/>
                <w:sz w:val="21"/>
              </w:rPr>
              <w:t>双耳失聪</w:t>
            </w:r>
          </w:p>
        </w:tc>
        <w:tc>
          <w:tcPr>
            <w:tcW w:w="408" w:type="dxa"/>
          </w:tcPr>
          <w:p>
            <w:pPr>
              <w:pStyle w:val="TableParagraph"/>
              <w:spacing w:line="222" w:lineRule="exact"/>
              <w:ind w:right="51"/>
              <w:jc w:val="right"/>
              <w:rPr>
                <w:sz w:val="21"/>
              </w:rPr>
            </w:pPr>
            <w:r>
              <w:rPr>
                <w:spacing w:val="-5"/>
                <w:sz w:val="21"/>
              </w:rPr>
              <w:t>14</w:t>
            </w:r>
          </w:p>
        </w:tc>
        <w:tc>
          <w:tcPr>
            <w:tcW w:w="2623" w:type="dxa"/>
          </w:tcPr>
          <w:p>
            <w:pPr>
              <w:pStyle w:val="TableParagraph"/>
              <w:spacing w:line="222" w:lineRule="exact"/>
              <w:ind w:left="52"/>
              <w:rPr>
                <w:sz w:val="21"/>
              </w:rPr>
            </w:pPr>
            <w:r>
              <w:rPr>
                <w:spacing w:val="-4"/>
                <w:sz w:val="21"/>
              </w:rPr>
              <w:t>双目失明</w:t>
            </w:r>
          </w:p>
        </w:tc>
      </w:tr>
      <w:tr>
        <w:trPr>
          <w:trHeight w:val="272" w:hRule="atLeast"/>
        </w:trPr>
        <w:tc>
          <w:tcPr>
            <w:tcW w:w="313" w:type="dxa"/>
          </w:tcPr>
          <w:p>
            <w:pPr>
              <w:pStyle w:val="TableParagraph"/>
              <w:spacing w:line="250" w:lineRule="exact" w:before="2"/>
              <w:ind w:left="50"/>
              <w:rPr>
                <w:sz w:val="21"/>
              </w:rPr>
            </w:pPr>
            <w:r>
              <w:rPr>
                <w:spacing w:val="-5"/>
                <w:sz w:val="21"/>
              </w:rPr>
              <w:t>23</w:t>
            </w:r>
          </w:p>
        </w:tc>
        <w:tc>
          <w:tcPr>
            <w:tcW w:w="3139" w:type="dxa"/>
          </w:tcPr>
          <w:p>
            <w:pPr>
              <w:pStyle w:val="TableParagraph"/>
              <w:spacing w:line="250" w:lineRule="exact" w:before="2"/>
              <w:ind w:left="53"/>
              <w:rPr>
                <w:sz w:val="21"/>
              </w:rPr>
            </w:pPr>
            <w:r>
              <w:rPr>
                <w:spacing w:val="-4"/>
                <w:sz w:val="21"/>
              </w:rPr>
              <w:t>语言能力丧失</w:t>
            </w:r>
          </w:p>
        </w:tc>
        <w:tc>
          <w:tcPr>
            <w:tcW w:w="408" w:type="dxa"/>
          </w:tcPr>
          <w:p>
            <w:pPr>
              <w:pStyle w:val="TableParagraph"/>
              <w:spacing w:line="250" w:lineRule="exact" w:before="2"/>
              <w:ind w:right="51"/>
              <w:jc w:val="right"/>
              <w:rPr>
                <w:sz w:val="21"/>
              </w:rPr>
            </w:pPr>
            <w:r>
              <w:rPr>
                <w:spacing w:val="-5"/>
                <w:sz w:val="21"/>
              </w:rPr>
              <w:t>24</w:t>
            </w:r>
          </w:p>
        </w:tc>
        <w:tc>
          <w:tcPr>
            <w:tcW w:w="2623" w:type="dxa"/>
          </w:tcPr>
          <w:p>
            <w:pPr>
              <w:pStyle w:val="TableParagraph"/>
              <w:spacing w:line="250" w:lineRule="exact" w:before="2"/>
              <w:ind w:left="52"/>
              <w:rPr>
                <w:sz w:val="21"/>
              </w:rPr>
            </w:pPr>
            <w:r>
              <w:rPr>
                <w:spacing w:val="-3"/>
                <w:sz w:val="21"/>
              </w:rPr>
              <w:t>重型再生障碍性贫血</w:t>
            </w:r>
          </w:p>
        </w:tc>
      </w:tr>
      <w:tr>
        <w:trPr>
          <w:trHeight w:val="272" w:hRule="atLeast"/>
        </w:trPr>
        <w:tc>
          <w:tcPr>
            <w:tcW w:w="313" w:type="dxa"/>
          </w:tcPr>
          <w:p>
            <w:pPr>
              <w:pStyle w:val="TableParagraph"/>
              <w:spacing w:line="251" w:lineRule="exact" w:before="1"/>
              <w:ind w:left="50"/>
              <w:rPr>
                <w:sz w:val="21"/>
              </w:rPr>
            </w:pPr>
            <w:r>
              <w:rPr>
                <w:spacing w:val="-5"/>
                <w:sz w:val="21"/>
              </w:rPr>
              <w:t>27</w:t>
            </w:r>
          </w:p>
        </w:tc>
        <w:tc>
          <w:tcPr>
            <w:tcW w:w="3139" w:type="dxa"/>
          </w:tcPr>
          <w:p>
            <w:pPr>
              <w:pStyle w:val="TableParagraph"/>
              <w:spacing w:line="251" w:lineRule="exact" w:before="1"/>
              <w:ind w:left="53"/>
              <w:rPr>
                <w:sz w:val="21"/>
              </w:rPr>
            </w:pPr>
            <w:r>
              <w:rPr>
                <w:spacing w:val="-4"/>
                <w:sz w:val="21"/>
              </w:rPr>
              <w:t>严重克罗恩病</w:t>
            </w:r>
          </w:p>
        </w:tc>
        <w:tc>
          <w:tcPr>
            <w:tcW w:w="408" w:type="dxa"/>
          </w:tcPr>
          <w:p>
            <w:pPr>
              <w:pStyle w:val="TableParagraph"/>
              <w:spacing w:line="251" w:lineRule="exact" w:before="1"/>
              <w:ind w:right="51"/>
              <w:jc w:val="right"/>
              <w:rPr>
                <w:sz w:val="21"/>
              </w:rPr>
            </w:pPr>
            <w:r>
              <w:rPr>
                <w:spacing w:val="-5"/>
                <w:sz w:val="21"/>
              </w:rPr>
              <w:t>28</w:t>
            </w:r>
          </w:p>
        </w:tc>
        <w:tc>
          <w:tcPr>
            <w:tcW w:w="2623" w:type="dxa"/>
          </w:tcPr>
          <w:p>
            <w:pPr>
              <w:pStyle w:val="TableParagraph"/>
              <w:spacing w:line="251" w:lineRule="exact" w:before="1"/>
              <w:ind w:left="52"/>
              <w:rPr>
                <w:sz w:val="21"/>
              </w:rPr>
            </w:pPr>
            <w:r>
              <w:rPr>
                <w:spacing w:val="-4"/>
                <w:sz w:val="21"/>
              </w:rPr>
              <w:t>严重溃疡性结肠炎</w:t>
            </w:r>
          </w:p>
        </w:tc>
      </w:tr>
      <w:tr>
        <w:trPr>
          <w:trHeight w:val="272" w:hRule="atLeast"/>
        </w:trPr>
        <w:tc>
          <w:tcPr>
            <w:tcW w:w="313" w:type="dxa"/>
          </w:tcPr>
          <w:p>
            <w:pPr>
              <w:pStyle w:val="TableParagraph"/>
              <w:spacing w:line="250" w:lineRule="exact" w:before="2"/>
              <w:ind w:left="50"/>
              <w:rPr>
                <w:sz w:val="21"/>
              </w:rPr>
            </w:pPr>
            <w:r>
              <w:rPr>
                <w:spacing w:val="-5"/>
                <w:sz w:val="21"/>
              </w:rPr>
              <w:t>35</w:t>
            </w:r>
          </w:p>
        </w:tc>
        <w:tc>
          <w:tcPr>
            <w:tcW w:w="3139" w:type="dxa"/>
          </w:tcPr>
          <w:p>
            <w:pPr>
              <w:pStyle w:val="TableParagraph"/>
              <w:spacing w:line="250" w:lineRule="exact" w:before="2"/>
              <w:ind w:left="53"/>
              <w:rPr>
                <w:sz w:val="21"/>
              </w:rPr>
            </w:pPr>
            <w:r>
              <w:rPr>
                <w:spacing w:val="-4"/>
                <w:sz w:val="21"/>
              </w:rPr>
              <w:t>系统性硬皮病</w:t>
            </w:r>
          </w:p>
        </w:tc>
        <w:tc>
          <w:tcPr>
            <w:tcW w:w="408" w:type="dxa"/>
          </w:tcPr>
          <w:p>
            <w:pPr>
              <w:pStyle w:val="TableParagraph"/>
              <w:spacing w:line="250" w:lineRule="exact" w:before="2"/>
              <w:ind w:right="51"/>
              <w:jc w:val="right"/>
              <w:rPr>
                <w:sz w:val="21"/>
              </w:rPr>
            </w:pPr>
            <w:r>
              <w:rPr>
                <w:spacing w:val="-5"/>
                <w:sz w:val="21"/>
              </w:rPr>
              <w:t>36</w:t>
            </w:r>
          </w:p>
        </w:tc>
        <w:tc>
          <w:tcPr>
            <w:tcW w:w="2623" w:type="dxa"/>
          </w:tcPr>
          <w:p>
            <w:pPr>
              <w:pStyle w:val="TableParagraph"/>
              <w:spacing w:line="250" w:lineRule="exact" w:before="2"/>
              <w:ind w:left="52"/>
              <w:rPr>
                <w:sz w:val="21"/>
              </w:rPr>
            </w:pPr>
            <w:r>
              <w:rPr>
                <w:spacing w:val="-3"/>
                <w:sz w:val="21"/>
              </w:rPr>
              <w:t>急性坏死性胰腺炎开腹手术</w:t>
            </w:r>
          </w:p>
        </w:tc>
      </w:tr>
      <w:tr>
        <w:trPr>
          <w:trHeight w:val="272" w:hRule="atLeast"/>
        </w:trPr>
        <w:tc>
          <w:tcPr>
            <w:tcW w:w="313" w:type="dxa"/>
          </w:tcPr>
          <w:p>
            <w:pPr>
              <w:pStyle w:val="TableParagraph"/>
              <w:spacing w:line="251" w:lineRule="exact" w:before="1"/>
              <w:ind w:left="50"/>
              <w:rPr>
                <w:sz w:val="21"/>
              </w:rPr>
            </w:pPr>
            <w:r>
              <w:rPr>
                <w:spacing w:val="-5"/>
                <w:sz w:val="21"/>
              </w:rPr>
              <w:t>41</w:t>
            </w:r>
          </w:p>
        </w:tc>
        <w:tc>
          <w:tcPr>
            <w:tcW w:w="3139" w:type="dxa"/>
          </w:tcPr>
          <w:p>
            <w:pPr>
              <w:pStyle w:val="TableParagraph"/>
              <w:spacing w:line="251" w:lineRule="exact" w:before="1"/>
              <w:ind w:left="53"/>
              <w:rPr>
                <w:sz w:val="21"/>
              </w:rPr>
            </w:pPr>
            <w:r>
              <w:rPr>
                <w:spacing w:val="-2"/>
                <w:sz w:val="21"/>
              </w:rPr>
              <w:t>系统性红斑狼疮－（并发）</w:t>
            </w:r>
            <w:r>
              <w:rPr>
                <w:spacing w:val="-6"/>
                <w:sz w:val="21"/>
              </w:rPr>
              <w:t>Ⅲ型</w:t>
            </w:r>
          </w:p>
        </w:tc>
        <w:tc>
          <w:tcPr>
            <w:tcW w:w="408" w:type="dxa"/>
          </w:tcPr>
          <w:p>
            <w:pPr>
              <w:pStyle w:val="TableParagraph"/>
              <w:spacing w:line="251" w:lineRule="exact" w:before="1"/>
              <w:ind w:right="51"/>
              <w:jc w:val="right"/>
              <w:rPr>
                <w:sz w:val="21"/>
              </w:rPr>
            </w:pPr>
            <w:r>
              <w:rPr>
                <w:spacing w:val="-5"/>
                <w:sz w:val="21"/>
              </w:rPr>
              <w:t>44</w:t>
            </w:r>
          </w:p>
        </w:tc>
        <w:tc>
          <w:tcPr>
            <w:tcW w:w="2623" w:type="dxa"/>
          </w:tcPr>
          <w:p>
            <w:pPr>
              <w:pStyle w:val="TableParagraph"/>
              <w:spacing w:line="251" w:lineRule="exact" w:before="1"/>
              <w:ind w:left="52"/>
              <w:rPr>
                <w:sz w:val="21"/>
              </w:rPr>
            </w:pPr>
            <w:r>
              <w:rPr>
                <w:spacing w:val="-4"/>
                <w:sz w:val="21"/>
              </w:rPr>
              <w:t>胰腺移植</w:t>
            </w:r>
          </w:p>
        </w:tc>
      </w:tr>
      <w:tr>
        <w:trPr>
          <w:trHeight w:val="272" w:hRule="atLeast"/>
        </w:trPr>
        <w:tc>
          <w:tcPr>
            <w:tcW w:w="313" w:type="dxa"/>
          </w:tcPr>
          <w:p>
            <w:pPr>
              <w:pStyle w:val="TableParagraph"/>
              <w:rPr>
                <w:rFonts w:ascii="Times New Roman"/>
                <w:sz w:val="20"/>
              </w:rPr>
            </w:pPr>
          </w:p>
        </w:tc>
        <w:tc>
          <w:tcPr>
            <w:tcW w:w="3139" w:type="dxa"/>
          </w:tcPr>
          <w:p>
            <w:pPr>
              <w:pStyle w:val="TableParagraph"/>
              <w:spacing w:line="250" w:lineRule="exact" w:before="2"/>
              <w:ind w:left="51"/>
              <w:rPr>
                <w:sz w:val="21"/>
              </w:rPr>
            </w:pPr>
            <w:r>
              <w:rPr>
                <w:spacing w:val="-4"/>
                <w:sz w:val="21"/>
              </w:rPr>
              <w:t>或以上狼疮性肾炎</w:t>
            </w:r>
          </w:p>
        </w:tc>
        <w:tc>
          <w:tcPr>
            <w:tcW w:w="408" w:type="dxa"/>
          </w:tcPr>
          <w:p>
            <w:pPr>
              <w:pStyle w:val="TableParagraph"/>
              <w:rPr>
                <w:rFonts w:ascii="Times New Roman"/>
                <w:sz w:val="20"/>
              </w:rPr>
            </w:pPr>
          </w:p>
        </w:tc>
        <w:tc>
          <w:tcPr>
            <w:tcW w:w="2623" w:type="dxa"/>
          </w:tcPr>
          <w:p>
            <w:pPr>
              <w:pStyle w:val="TableParagraph"/>
              <w:rPr>
                <w:rFonts w:ascii="Times New Roman"/>
                <w:sz w:val="20"/>
              </w:rPr>
            </w:pPr>
          </w:p>
        </w:tc>
      </w:tr>
      <w:tr>
        <w:trPr>
          <w:trHeight w:val="272" w:hRule="atLeast"/>
        </w:trPr>
        <w:tc>
          <w:tcPr>
            <w:tcW w:w="313" w:type="dxa"/>
          </w:tcPr>
          <w:p>
            <w:pPr>
              <w:pStyle w:val="TableParagraph"/>
              <w:spacing w:line="251" w:lineRule="exact" w:before="1"/>
              <w:ind w:left="50"/>
              <w:rPr>
                <w:sz w:val="21"/>
              </w:rPr>
            </w:pPr>
            <w:r>
              <w:rPr>
                <w:spacing w:val="-5"/>
                <w:sz w:val="21"/>
              </w:rPr>
              <w:t>45</w:t>
            </w:r>
          </w:p>
        </w:tc>
        <w:tc>
          <w:tcPr>
            <w:tcW w:w="3139" w:type="dxa"/>
          </w:tcPr>
          <w:p>
            <w:pPr>
              <w:pStyle w:val="TableParagraph"/>
              <w:spacing w:line="251" w:lineRule="exact" w:before="1"/>
              <w:ind w:left="53"/>
              <w:rPr>
                <w:sz w:val="21"/>
              </w:rPr>
            </w:pPr>
            <w:r>
              <w:rPr>
                <w:spacing w:val="-4"/>
                <w:sz w:val="21"/>
              </w:rPr>
              <w:t>慢性复发性胰腺炎</w:t>
            </w:r>
          </w:p>
        </w:tc>
        <w:tc>
          <w:tcPr>
            <w:tcW w:w="408" w:type="dxa"/>
          </w:tcPr>
          <w:p>
            <w:pPr>
              <w:pStyle w:val="TableParagraph"/>
              <w:spacing w:line="251" w:lineRule="exact" w:before="1"/>
              <w:ind w:right="51"/>
              <w:jc w:val="right"/>
              <w:rPr>
                <w:sz w:val="21"/>
              </w:rPr>
            </w:pPr>
            <w:r>
              <w:rPr>
                <w:spacing w:val="-5"/>
                <w:sz w:val="21"/>
              </w:rPr>
              <w:t>46</w:t>
            </w:r>
          </w:p>
        </w:tc>
        <w:tc>
          <w:tcPr>
            <w:tcW w:w="2623" w:type="dxa"/>
          </w:tcPr>
          <w:p>
            <w:pPr>
              <w:pStyle w:val="TableParagraph"/>
              <w:spacing w:line="251" w:lineRule="exact" w:before="1"/>
              <w:ind w:left="52"/>
              <w:rPr>
                <w:sz w:val="21"/>
              </w:rPr>
            </w:pPr>
            <w:r>
              <w:rPr>
                <w:spacing w:val="-4"/>
                <w:sz w:val="21"/>
              </w:rPr>
              <w:t>严重肾髓质囊性病</w:t>
            </w:r>
          </w:p>
        </w:tc>
      </w:tr>
      <w:tr>
        <w:trPr>
          <w:trHeight w:val="272" w:hRule="atLeast"/>
        </w:trPr>
        <w:tc>
          <w:tcPr>
            <w:tcW w:w="313" w:type="dxa"/>
          </w:tcPr>
          <w:p>
            <w:pPr>
              <w:pStyle w:val="TableParagraph"/>
              <w:spacing w:line="250" w:lineRule="exact" w:before="3"/>
              <w:ind w:left="50"/>
              <w:rPr>
                <w:sz w:val="21"/>
              </w:rPr>
            </w:pPr>
            <w:r>
              <w:rPr>
                <w:spacing w:val="-5"/>
                <w:sz w:val="21"/>
              </w:rPr>
              <w:t>48</w:t>
            </w:r>
          </w:p>
        </w:tc>
        <w:tc>
          <w:tcPr>
            <w:tcW w:w="3139" w:type="dxa"/>
          </w:tcPr>
          <w:p>
            <w:pPr>
              <w:pStyle w:val="TableParagraph"/>
              <w:spacing w:line="250" w:lineRule="exact" w:before="3"/>
              <w:ind w:left="53"/>
              <w:rPr>
                <w:sz w:val="21"/>
              </w:rPr>
            </w:pPr>
            <w:r>
              <w:rPr>
                <w:spacing w:val="-3"/>
                <w:sz w:val="21"/>
              </w:rPr>
              <w:t>特发性慢性肾上腺皮质功能减退</w:t>
            </w:r>
          </w:p>
        </w:tc>
        <w:tc>
          <w:tcPr>
            <w:tcW w:w="408" w:type="dxa"/>
          </w:tcPr>
          <w:p>
            <w:pPr>
              <w:pStyle w:val="TableParagraph"/>
              <w:spacing w:line="250" w:lineRule="exact" w:before="3"/>
              <w:ind w:right="51"/>
              <w:jc w:val="right"/>
              <w:rPr>
                <w:sz w:val="21"/>
              </w:rPr>
            </w:pPr>
            <w:r>
              <w:rPr>
                <w:spacing w:val="-5"/>
                <w:sz w:val="21"/>
              </w:rPr>
              <w:t>50</w:t>
            </w:r>
          </w:p>
        </w:tc>
        <w:tc>
          <w:tcPr>
            <w:tcW w:w="2623" w:type="dxa"/>
          </w:tcPr>
          <w:p>
            <w:pPr>
              <w:pStyle w:val="TableParagraph"/>
              <w:spacing w:line="250" w:lineRule="exact" w:before="3"/>
              <w:ind w:left="52"/>
              <w:rPr>
                <w:sz w:val="21"/>
              </w:rPr>
            </w:pPr>
            <w:r>
              <w:rPr>
                <w:spacing w:val="-4"/>
                <w:sz w:val="21"/>
              </w:rPr>
              <w:t>严重肝豆状核变性</w:t>
            </w:r>
          </w:p>
        </w:tc>
      </w:tr>
      <w:tr>
        <w:trPr>
          <w:trHeight w:val="272" w:hRule="atLeast"/>
        </w:trPr>
        <w:tc>
          <w:tcPr>
            <w:tcW w:w="313" w:type="dxa"/>
          </w:tcPr>
          <w:p>
            <w:pPr>
              <w:pStyle w:val="TableParagraph"/>
              <w:spacing w:line="251" w:lineRule="exact" w:before="1"/>
              <w:ind w:left="50"/>
              <w:rPr>
                <w:sz w:val="21"/>
              </w:rPr>
            </w:pPr>
            <w:r>
              <w:rPr>
                <w:spacing w:val="-5"/>
                <w:sz w:val="21"/>
              </w:rPr>
              <w:t>55</w:t>
            </w:r>
          </w:p>
        </w:tc>
        <w:tc>
          <w:tcPr>
            <w:tcW w:w="3139" w:type="dxa"/>
          </w:tcPr>
          <w:p>
            <w:pPr>
              <w:pStyle w:val="TableParagraph"/>
              <w:spacing w:line="251" w:lineRule="exact" w:before="1"/>
              <w:ind w:left="53"/>
              <w:rPr>
                <w:sz w:val="21"/>
              </w:rPr>
            </w:pPr>
            <w:r>
              <w:rPr>
                <w:spacing w:val="-3"/>
                <w:sz w:val="21"/>
              </w:rPr>
              <w:t>严重自身免疫性肝炎</w:t>
            </w:r>
          </w:p>
        </w:tc>
        <w:tc>
          <w:tcPr>
            <w:tcW w:w="408" w:type="dxa"/>
          </w:tcPr>
          <w:p>
            <w:pPr>
              <w:pStyle w:val="TableParagraph"/>
              <w:spacing w:line="251" w:lineRule="exact" w:before="1"/>
              <w:ind w:right="51"/>
              <w:jc w:val="right"/>
              <w:rPr>
                <w:sz w:val="21"/>
              </w:rPr>
            </w:pPr>
            <w:r>
              <w:rPr>
                <w:spacing w:val="-5"/>
                <w:sz w:val="21"/>
              </w:rPr>
              <w:t>63</w:t>
            </w:r>
          </w:p>
        </w:tc>
        <w:tc>
          <w:tcPr>
            <w:tcW w:w="2623" w:type="dxa"/>
          </w:tcPr>
          <w:p>
            <w:pPr>
              <w:pStyle w:val="TableParagraph"/>
              <w:spacing w:line="251" w:lineRule="exact" w:before="1"/>
              <w:ind w:left="52"/>
              <w:rPr>
                <w:sz w:val="21"/>
              </w:rPr>
            </w:pPr>
            <w:r>
              <w:rPr>
                <w:spacing w:val="-4"/>
                <w:sz w:val="21"/>
              </w:rPr>
              <w:t>嗜铬细胞瘤</w:t>
            </w:r>
          </w:p>
        </w:tc>
      </w:tr>
      <w:tr>
        <w:trPr>
          <w:trHeight w:val="272" w:hRule="atLeast"/>
        </w:trPr>
        <w:tc>
          <w:tcPr>
            <w:tcW w:w="313" w:type="dxa"/>
          </w:tcPr>
          <w:p>
            <w:pPr>
              <w:pStyle w:val="TableParagraph"/>
              <w:spacing w:line="250" w:lineRule="exact" w:before="2"/>
              <w:ind w:left="50"/>
              <w:rPr>
                <w:sz w:val="21"/>
              </w:rPr>
            </w:pPr>
            <w:r>
              <w:rPr>
                <w:spacing w:val="-5"/>
                <w:sz w:val="21"/>
              </w:rPr>
              <w:t>65</w:t>
            </w:r>
          </w:p>
        </w:tc>
        <w:tc>
          <w:tcPr>
            <w:tcW w:w="3139" w:type="dxa"/>
          </w:tcPr>
          <w:p>
            <w:pPr>
              <w:pStyle w:val="TableParagraph"/>
              <w:spacing w:line="250" w:lineRule="exact" w:before="2"/>
              <w:ind w:left="53"/>
              <w:rPr>
                <w:sz w:val="21"/>
              </w:rPr>
            </w:pPr>
            <w:r>
              <w:rPr>
                <w:spacing w:val="-3"/>
                <w:sz w:val="21"/>
              </w:rPr>
              <w:t>严重肠道疾病并发症</w:t>
            </w:r>
          </w:p>
        </w:tc>
        <w:tc>
          <w:tcPr>
            <w:tcW w:w="408" w:type="dxa"/>
          </w:tcPr>
          <w:p>
            <w:pPr>
              <w:pStyle w:val="TableParagraph"/>
              <w:spacing w:line="250" w:lineRule="exact" w:before="2"/>
              <w:ind w:right="51"/>
              <w:jc w:val="right"/>
              <w:rPr>
                <w:sz w:val="21"/>
              </w:rPr>
            </w:pPr>
            <w:r>
              <w:rPr>
                <w:spacing w:val="-5"/>
                <w:sz w:val="21"/>
              </w:rPr>
              <w:t>76</w:t>
            </w:r>
          </w:p>
        </w:tc>
        <w:tc>
          <w:tcPr>
            <w:tcW w:w="2623" w:type="dxa"/>
          </w:tcPr>
          <w:p>
            <w:pPr>
              <w:pStyle w:val="TableParagraph"/>
              <w:spacing w:line="250" w:lineRule="exact" w:before="2"/>
              <w:ind w:left="52"/>
              <w:rPr>
                <w:sz w:val="21"/>
              </w:rPr>
            </w:pPr>
            <w:r>
              <w:rPr>
                <w:spacing w:val="-4"/>
                <w:sz w:val="21"/>
              </w:rPr>
              <w:t>席汉氏综合征</w:t>
            </w:r>
          </w:p>
        </w:tc>
      </w:tr>
      <w:tr>
        <w:trPr>
          <w:trHeight w:val="272" w:hRule="atLeast"/>
        </w:trPr>
        <w:tc>
          <w:tcPr>
            <w:tcW w:w="313" w:type="dxa"/>
          </w:tcPr>
          <w:p>
            <w:pPr>
              <w:pStyle w:val="TableParagraph"/>
              <w:spacing w:line="251" w:lineRule="exact" w:before="1"/>
              <w:ind w:left="50"/>
              <w:rPr>
                <w:sz w:val="21"/>
              </w:rPr>
            </w:pPr>
            <w:r>
              <w:rPr>
                <w:spacing w:val="-5"/>
                <w:sz w:val="21"/>
              </w:rPr>
              <w:t>80</w:t>
            </w:r>
          </w:p>
        </w:tc>
        <w:tc>
          <w:tcPr>
            <w:tcW w:w="3139" w:type="dxa"/>
          </w:tcPr>
          <w:p>
            <w:pPr>
              <w:pStyle w:val="TableParagraph"/>
              <w:spacing w:line="251" w:lineRule="exact" w:before="1"/>
              <w:ind w:left="53"/>
              <w:rPr>
                <w:sz w:val="21"/>
              </w:rPr>
            </w:pPr>
            <w:r>
              <w:rPr>
                <w:spacing w:val="-3"/>
                <w:sz w:val="21"/>
              </w:rPr>
              <w:t>败血症导致的多器官功能障碍综</w:t>
            </w:r>
          </w:p>
        </w:tc>
        <w:tc>
          <w:tcPr>
            <w:tcW w:w="408" w:type="dxa"/>
          </w:tcPr>
          <w:p>
            <w:pPr>
              <w:pStyle w:val="TableParagraph"/>
              <w:spacing w:line="251" w:lineRule="exact" w:before="1"/>
              <w:ind w:right="51"/>
              <w:jc w:val="right"/>
              <w:rPr>
                <w:sz w:val="21"/>
              </w:rPr>
            </w:pPr>
            <w:r>
              <w:rPr>
                <w:spacing w:val="-5"/>
                <w:sz w:val="21"/>
              </w:rPr>
              <w:t>95</w:t>
            </w:r>
          </w:p>
        </w:tc>
        <w:tc>
          <w:tcPr>
            <w:tcW w:w="2623" w:type="dxa"/>
          </w:tcPr>
          <w:p>
            <w:pPr>
              <w:pStyle w:val="TableParagraph"/>
              <w:spacing w:line="251" w:lineRule="exact" w:before="1"/>
              <w:ind w:left="52"/>
              <w:rPr>
                <w:sz w:val="21"/>
              </w:rPr>
            </w:pPr>
            <w:r>
              <w:rPr>
                <w:spacing w:val="-4"/>
                <w:sz w:val="21"/>
              </w:rPr>
              <w:t>范可尼综合征</w:t>
            </w:r>
          </w:p>
        </w:tc>
      </w:tr>
      <w:tr>
        <w:trPr>
          <w:trHeight w:val="242" w:hRule="atLeast"/>
        </w:trPr>
        <w:tc>
          <w:tcPr>
            <w:tcW w:w="313" w:type="dxa"/>
          </w:tcPr>
          <w:p>
            <w:pPr>
              <w:pStyle w:val="TableParagraph"/>
              <w:rPr>
                <w:rFonts w:ascii="Times New Roman"/>
                <w:sz w:val="16"/>
              </w:rPr>
            </w:pPr>
          </w:p>
        </w:tc>
        <w:tc>
          <w:tcPr>
            <w:tcW w:w="3139" w:type="dxa"/>
          </w:tcPr>
          <w:p>
            <w:pPr>
              <w:pStyle w:val="TableParagraph"/>
              <w:spacing w:line="220" w:lineRule="exact" w:before="2"/>
              <w:ind w:left="51"/>
              <w:rPr>
                <w:sz w:val="21"/>
              </w:rPr>
            </w:pPr>
            <w:r>
              <w:rPr>
                <w:spacing w:val="-5"/>
                <w:sz w:val="21"/>
              </w:rPr>
              <w:t>合症</w:t>
            </w:r>
          </w:p>
        </w:tc>
        <w:tc>
          <w:tcPr>
            <w:tcW w:w="408" w:type="dxa"/>
          </w:tcPr>
          <w:p>
            <w:pPr>
              <w:pStyle w:val="TableParagraph"/>
              <w:rPr>
                <w:rFonts w:ascii="Times New Roman"/>
                <w:sz w:val="16"/>
              </w:rPr>
            </w:pPr>
          </w:p>
        </w:tc>
        <w:tc>
          <w:tcPr>
            <w:tcW w:w="2623" w:type="dxa"/>
          </w:tcPr>
          <w:p>
            <w:pPr>
              <w:pStyle w:val="TableParagraph"/>
              <w:rPr>
                <w:rFonts w:ascii="Times New Roman"/>
                <w:sz w:val="16"/>
              </w:rPr>
            </w:pPr>
          </w:p>
        </w:tc>
      </w:tr>
    </w:tbl>
    <w:p>
      <w:pPr>
        <w:pStyle w:val="BodyText"/>
        <w:tabs>
          <w:tab w:pos="6350" w:val="left" w:leader="none"/>
        </w:tabs>
        <w:spacing w:line="484" w:lineRule="auto" w:before="37" w:after="31"/>
        <w:ind w:left="2805" w:right="1411"/>
      </w:pPr>
      <w:r>
        <w:rPr/>
        <w:t>99 胆道重建手术</w:t>
        <w:tab/>
        <w:t>116</w:t>
      </w:r>
      <w:r>
        <w:rPr>
          <w:spacing w:val="-27"/>
        </w:rPr>
        <w:t> </w:t>
      </w:r>
      <w:r>
        <w:rPr/>
        <w:t>细菌性脑脊髓膜</w:t>
      </w:r>
      <w:r>
        <w:rPr/>
        <w:t>炎 </w:t>
      </w:r>
      <w:r>
        <w:rPr>
          <w:spacing w:val="-6"/>
        </w:rPr>
        <w:t>C</w:t>
      </w:r>
      <w:r>
        <w:rPr>
          <w:spacing w:val="-6"/>
        </w:rPr>
        <w:t>组</w:t>
      </w:r>
    </w:p>
    <w:tbl>
      <w:tblPr>
        <w:tblW w:w="0" w:type="auto"/>
        <w:jc w:val="left"/>
        <w:tblInd w:w="27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3"/>
        <w:gridCol w:w="3139"/>
        <w:gridCol w:w="408"/>
        <w:gridCol w:w="1574"/>
      </w:tblGrid>
      <w:tr>
        <w:trPr>
          <w:trHeight w:val="241" w:hRule="atLeast"/>
        </w:trPr>
        <w:tc>
          <w:tcPr>
            <w:tcW w:w="313" w:type="dxa"/>
          </w:tcPr>
          <w:p>
            <w:pPr>
              <w:pStyle w:val="TableParagraph"/>
              <w:spacing w:line="221" w:lineRule="exact"/>
              <w:ind w:left="50"/>
              <w:rPr>
                <w:sz w:val="21"/>
              </w:rPr>
            </w:pPr>
            <w:r>
              <w:rPr>
                <w:spacing w:val="-5"/>
                <w:sz w:val="21"/>
              </w:rPr>
              <w:t>26</w:t>
            </w:r>
          </w:p>
        </w:tc>
        <w:tc>
          <w:tcPr>
            <w:tcW w:w="3139" w:type="dxa"/>
          </w:tcPr>
          <w:p>
            <w:pPr>
              <w:pStyle w:val="TableParagraph"/>
              <w:spacing w:line="221" w:lineRule="exact"/>
              <w:ind w:left="53"/>
              <w:rPr>
                <w:sz w:val="21"/>
              </w:rPr>
            </w:pPr>
            <w:r>
              <w:rPr>
                <w:spacing w:val="-4"/>
                <w:sz w:val="21"/>
              </w:rPr>
              <w:t>严重慢性呼吸衰竭</w:t>
            </w:r>
          </w:p>
        </w:tc>
        <w:tc>
          <w:tcPr>
            <w:tcW w:w="408" w:type="dxa"/>
          </w:tcPr>
          <w:p>
            <w:pPr>
              <w:pStyle w:val="TableParagraph"/>
              <w:spacing w:line="221" w:lineRule="exact"/>
              <w:ind w:right="51"/>
              <w:jc w:val="right"/>
              <w:rPr>
                <w:sz w:val="21"/>
              </w:rPr>
            </w:pPr>
            <w:r>
              <w:rPr>
                <w:spacing w:val="-5"/>
                <w:sz w:val="21"/>
              </w:rPr>
              <w:t>51</w:t>
            </w:r>
          </w:p>
        </w:tc>
        <w:tc>
          <w:tcPr>
            <w:tcW w:w="1574" w:type="dxa"/>
          </w:tcPr>
          <w:p>
            <w:pPr>
              <w:pStyle w:val="TableParagraph"/>
              <w:spacing w:line="221" w:lineRule="exact"/>
              <w:ind w:left="52"/>
              <w:rPr>
                <w:sz w:val="21"/>
              </w:rPr>
            </w:pPr>
            <w:r>
              <w:rPr>
                <w:spacing w:val="-4"/>
                <w:sz w:val="21"/>
              </w:rPr>
              <w:t>严重哮喘</w:t>
            </w:r>
          </w:p>
        </w:tc>
      </w:tr>
      <w:tr>
        <w:trPr>
          <w:trHeight w:val="272" w:hRule="atLeast"/>
        </w:trPr>
        <w:tc>
          <w:tcPr>
            <w:tcW w:w="313" w:type="dxa"/>
          </w:tcPr>
          <w:p>
            <w:pPr>
              <w:pStyle w:val="TableParagraph"/>
              <w:spacing w:line="251" w:lineRule="exact" w:before="1"/>
              <w:ind w:left="50"/>
              <w:rPr>
                <w:sz w:val="21"/>
              </w:rPr>
            </w:pPr>
            <w:r>
              <w:rPr>
                <w:spacing w:val="-5"/>
                <w:sz w:val="21"/>
              </w:rPr>
              <w:t>66</w:t>
            </w:r>
          </w:p>
        </w:tc>
        <w:tc>
          <w:tcPr>
            <w:tcW w:w="3139" w:type="dxa"/>
          </w:tcPr>
          <w:p>
            <w:pPr>
              <w:pStyle w:val="TableParagraph"/>
              <w:spacing w:line="251" w:lineRule="exact" w:before="1"/>
              <w:ind w:left="53"/>
              <w:rPr>
                <w:sz w:val="21"/>
              </w:rPr>
            </w:pPr>
            <w:r>
              <w:rPr>
                <w:spacing w:val="-4"/>
                <w:sz w:val="21"/>
              </w:rPr>
              <w:t>严重肺结节病</w:t>
            </w:r>
          </w:p>
        </w:tc>
        <w:tc>
          <w:tcPr>
            <w:tcW w:w="408" w:type="dxa"/>
          </w:tcPr>
          <w:p>
            <w:pPr>
              <w:pStyle w:val="TableParagraph"/>
              <w:spacing w:line="251" w:lineRule="exact" w:before="1"/>
              <w:ind w:right="51"/>
              <w:jc w:val="right"/>
              <w:rPr>
                <w:sz w:val="21"/>
              </w:rPr>
            </w:pPr>
            <w:r>
              <w:rPr>
                <w:spacing w:val="-5"/>
                <w:sz w:val="21"/>
              </w:rPr>
              <w:t>72</w:t>
            </w:r>
          </w:p>
        </w:tc>
        <w:tc>
          <w:tcPr>
            <w:tcW w:w="1574" w:type="dxa"/>
          </w:tcPr>
          <w:p>
            <w:pPr>
              <w:pStyle w:val="TableParagraph"/>
              <w:spacing w:line="251" w:lineRule="exact" w:before="1"/>
              <w:ind w:left="52"/>
              <w:rPr>
                <w:sz w:val="21"/>
              </w:rPr>
            </w:pPr>
            <w:r>
              <w:rPr>
                <w:spacing w:val="-4"/>
                <w:sz w:val="21"/>
              </w:rPr>
              <w:t>肺淋巴管肌瘤病</w:t>
            </w:r>
          </w:p>
        </w:tc>
      </w:tr>
      <w:tr>
        <w:trPr>
          <w:trHeight w:val="272" w:hRule="atLeast"/>
        </w:trPr>
        <w:tc>
          <w:tcPr>
            <w:tcW w:w="313" w:type="dxa"/>
          </w:tcPr>
          <w:p>
            <w:pPr>
              <w:pStyle w:val="TableParagraph"/>
              <w:spacing w:line="250" w:lineRule="exact" w:before="2"/>
              <w:ind w:left="50"/>
              <w:rPr>
                <w:sz w:val="21"/>
              </w:rPr>
            </w:pPr>
            <w:r>
              <w:rPr>
                <w:spacing w:val="-5"/>
                <w:sz w:val="21"/>
              </w:rPr>
              <w:t>86</w:t>
            </w:r>
          </w:p>
        </w:tc>
        <w:tc>
          <w:tcPr>
            <w:tcW w:w="3139" w:type="dxa"/>
          </w:tcPr>
          <w:p>
            <w:pPr>
              <w:pStyle w:val="TableParagraph"/>
              <w:spacing w:line="250" w:lineRule="exact" w:before="2"/>
              <w:ind w:left="53"/>
              <w:rPr>
                <w:sz w:val="21"/>
              </w:rPr>
            </w:pPr>
            <w:r>
              <w:rPr>
                <w:spacing w:val="-3"/>
                <w:sz w:val="21"/>
              </w:rPr>
              <w:t>严重获得性或继发性肺泡蛋白质</w:t>
            </w:r>
          </w:p>
        </w:tc>
        <w:tc>
          <w:tcPr>
            <w:tcW w:w="408" w:type="dxa"/>
          </w:tcPr>
          <w:p>
            <w:pPr>
              <w:pStyle w:val="TableParagraph"/>
              <w:rPr>
                <w:rFonts w:ascii="Times New Roman"/>
                <w:sz w:val="20"/>
              </w:rPr>
            </w:pPr>
          </w:p>
        </w:tc>
        <w:tc>
          <w:tcPr>
            <w:tcW w:w="1574" w:type="dxa"/>
          </w:tcPr>
          <w:p>
            <w:pPr>
              <w:pStyle w:val="TableParagraph"/>
              <w:rPr>
                <w:rFonts w:ascii="Times New Roman"/>
                <w:sz w:val="20"/>
              </w:rPr>
            </w:pPr>
          </w:p>
        </w:tc>
      </w:tr>
      <w:tr>
        <w:trPr>
          <w:trHeight w:val="241" w:hRule="atLeast"/>
        </w:trPr>
        <w:tc>
          <w:tcPr>
            <w:tcW w:w="313" w:type="dxa"/>
          </w:tcPr>
          <w:p>
            <w:pPr>
              <w:pStyle w:val="TableParagraph"/>
              <w:rPr>
                <w:rFonts w:ascii="Times New Roman"/>
                <w:sz w:val="16"/>
              </w:rPr>
            </w:pPr>
          </w:p>
        </w:tc>
        <w:tc>
          <w:tcPr>
            <w:tcW w:w="3139" w:type="dxa"/>
          </w:tcPr>
          <w:p>
            <w:pPr>
              <w:pStyle w:val="TableParagraph"/>
              <w:spacing w:line="220" w:lineRule="exact" w:before="1"/>
              <w:ind w:left="51"/>
              <w:rPr>
                <w:sz w:val="21"/>
              </w:rPr>
            </w:pPr>
            <w:r>
              <w:rPr>
                <w:spacing w:val="-4"/>
                <w:sz w:val="21"/>
              </w:rPr>
              <w:t>沉积症</w:t>
            </w:r>
          </w:p>
        </w:tc>
        <w:tc>
          <w:tcPr>
            <w:tcW w:w="408" w:type="dxa"/>
          </w:tcPr>
          <w:p>
            <w:pPr>
              <w:pStyle w:val="TableParagraph"/>
              <w:rPr>
                <w:rFonts w:ascii="Times New Roman"/>
                <w:sz w:val="16"/>
              </w:rPr>
            </w:pPr>
          </w:p>
        </w:tc>
        <w:tc>
          <w:tcPr>
            <w:tcW w:w="1574" w:type="dxa"/>
          </w:tcPr>
          <w:p>
            <w:pPr>
              <w:pStyle w:val="TableParagraph"/>
              <w:rPr>
                <w:rFonts w:ascii="Times New Roman"/>
                <w:sz w:val="16"/>
              </w:rPr>
            </w:pPr>
          </w:p>
        </w:tc>
      </w:tr>
    </w:tbl>
    <w:p>
      <w:pPr>
        <w:pStyle w:val="BodyText"/>
        <w:spacing w:before="12"/>
        <w:rPr>
          <w:sz w:val="23"/>
        </w:rPr>
      </w:pPr>
    </w:p>
    <w:p>
      <w:pPr>
        <w:pStyle w:val="BodyText"/>
        <w:ind w:left="2805"/>
      </w:pPr>
      <w:r>
        <w:rPr/>
        <w:t>D</w:t>
      </w:r>
      <w:r>
        <w:rPr>
          <w:spacing w:val="-10"/>
        </w:rPr>
        <w:t>组</w:t>
      </w:r>
    </w:p>
    <w:p>
      <w:pPr>
        <w:spacing w:after="0"/>
        <w:sectPr>
          <w:type w:val="continuous"/>
          <w:pgSz w:w="11910" w:h="16840"/>
          <w:pgMar w:header="877" w:footer="0" w:top="1100" w:bottom="280" w:left="1060" w:right="980"/>
        </w:sectPr>
      </w:pPr>
    </w:p>
    <w:p>
      <w:pPr>
        <w:pStyle w:val="BodyText"/>
        <w:spacing w:before="1"/>
        <w:rPr>
          <w:sz w:val="22"/>
        </w:rPr>
      </w:pPr>
    </w:p>
    <w:p>
      <w:pPr>
        <w:pStyle w:val="BodyText"/>
        <w:tabs>
          <w:tab w:pos="6350" w:val="left" w:leader="none"/>
        </w:tabs>
        <w:spacing w:before="71" w:after="34"/>
        <w:ind w:left="2805"/>
      </w:pPr>
      <w:r>
        <w:rPr/>
        <w:t>2</w:t>
      </w:r>
      <w:r>
        <w:rPr>
          <w:spacing w:val="-9"/>
        </w:rPr>
        <w:t> </w:t>
      </w:r>
      <w:r>
        <w:rPr/>
        <w:t>较重急性心肌</w:t>
      </w:r>
      <w:r>
        <w:rPr/>
        <w:t>梗</w:t>
      </w:r>
      <w:r>
        <w:rPr>
          <w:spacing w:val="-10"/>
        </w:rPr>
        <w:t>死</w:t>
      </w:r>
      <w:r>
        <w:rPr/>
        <w:tab/>
        <w:t>5</w:t>
      </w:r>
      <w:r>
        <w:rPr>
          <w:spacing w:val="-18"/>
        </w:rPr>
        <w:t> </w:t>
      </w:r>
      <w:r>
        <w:rPr/>
        <w:t>冠状动脉搭桥术（或称</w:t>
      </w:r>
      <w:r>
        <w:rPr/>
        <w:t>冠状动</w:t>
      </w:r>
      <w:r>
        <w:rPr>
          <w:spacing w:val="-10"/>
        </w:rPr>
        <w:t>脉</w:t>
      </w:r>
    </w:p>
    <w:tbl>
      <w:tblPr>
        <w:tblW w:w="0" w:type="auto"/>
        <w:jc w:val="left"/>
        <w:tblInd w:w="27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4"/>
        <w:gridCol w:w="3086"/>
        <w:gridCol w:w="457"/>
        <w:gridCol w:w="2994"/>
      </w:tblGrid>
      <w:tr>
        <w:trPr>
          <w:trHeight w:val="271" w:hRule="atLeast"/>
        </w:trPr>
        <w:tc>
          <w:tcPr>
            <w:tcW w:w="6901" w:type="dxa"/>
            <w:gridSpan w:val="4"/>
          </w:tcPr>
          <w:p>
            <w:pPr>
              <w:pStyle w:val="TableParagraph"/>
              <w:spacing w:line="241" w:lineRule="exact"/>
              <w:ind w:left="3806"/>
              <w:rPr>
                <w:sz w:val="21"/>
              </w:rPr>
            </w:pPr>
            <w:r>
              <w:rPr>
                <w:spacing w:val="-2"/>
                <w:sz w:val="21"/>
              </w:rPr>
              <w:t>旁路移植术</w:t>
            </w:r>
            <w:r>
              <w:rPr>
                <w:spacing w:val="-10"/>
                <w:sz w:val="21"/>
              </w:rPr>
              <w:t>）</w:t>
            </w:r>
          </w:p>
        </w:tc>
      </w:tr>
      <w:tr>
        <w:trPr>
          <w:trHeight w:val="242" w:hRule="atLeast"/>
        </w:trPr>
        <w:tc>
          <w:tcPr>
            <w:tcW w:w="364" w:type="dxa"/>
          </w:tcPr>
          <w:p>
            <w:pPr>
              <w:pStyle w:val="TableParagraph"/>
              <w:spacing w:line="222" w:lineRule="exact"/>
              <w:ind w:left="37" w:right="87"/>
              <w:jc w:val="center"/>
              <w:rPr>
                <w:sz w:val="21"/>
              </w:rPr>
            </w:pPr>
            <w:r>
              <w:rPr>
                <w:spacing w:val="-5"/>
                <w:sz w:val="21"/>
              </w:rPr>
              <w:t>16</w:t>
            </w:r>
          </w:p>
        </w:tc>
        <w:tc>
          <w:tcPr>
            <w:tcW w:w="3086" w:type="dxa"/>
          </w:tcPr>
          <w:p>
            <w:pPr>
              <w:pStyle w:val="TableParagraph"/>
              <w:spacing w:line="222" w:lineRule="exact"/>
              <w:ind w:left="2"/>
              <w:rPr>
                <w:sz w:val="21"/>
              </w:rPr>
            </w:pPr>
            <w:r>
              <w:rPr>
                <w:spacing w:val="-4"/>
                <w:sz w:val="21"/>
              </w:rPr>
              <w:t>心脏瓣膜手术</w:t>
            </w:r>
          </w:p>
        </w:tc>
        <w:tc>
          <w:tcPr>
            <w:tcW w:w="457" w:type="dxa"/>
          </w:tcPr>
          <w:p>
            <w:pPr>
              <w:pStyle w:val="TableParagraph"/>
              <w:spacing w:line="222" w:lineRule="exact"/>
              <w:ind w:left="145"/>
              <w:rPr>
                <w:sz w:val="21"/>
              </w:rPr>
            </w:pPr>
            <w:r>
              <w:rPr>
                <w:spacing w:val="-5"/>
                <w:sz w:val="21"/>
              </w:rPr>
              <w:t>21</w:t>
            </w:r>
          </w:p>
        </w:tc>
        <w:tc>
          <w:tcPr>
            <w:tcW w:w="2994" w:type="dxa"/>
          </w:tcPr>
          <w:p>
            <w:pPr>
              <w:pStyle w:val="TableParagraph"/>
              <w:spacing w:line="222" w:lineRule="exact"/>
              <w:ind w:left="5"/>
              <w:rPr>
                <w:sz w:val="21"/>
              </w:rPr>
            </w:pPr>
            <w:r>
              <w:rPr>
                <w:spacing w:val="-3"/>
                <w:sz w:val="21"/>
              </w:rPr>
              <w:t>严重特发性肺动脉高压</w:t>
            </w:r>
          </w:p>
        </w:tc>
      </w:tr>
      <w:tr>
        <w:trPr>
          <w:trHeight w:val="272" w:hRule="atLeast"/>
        </w:trPr>
        <w:tc>
          <w:tcPr>
            <w:tcW w:w="364" w:type="dxa"/>
          </w:tcPr>
          <w:p>
            <w:pPr>
              <w:pStyle w:val="TableParagraph"/>
              <w:spacing w:line="250" w:lineRule="exact" w:before="2"/>
              <w:ind w:left="37" w:right="87"/>
              <w:jc w:val="center"/>
              <w:rPr>
                <w:sz w:val="21"/>
              </w:rPr>
            </w:pPr>
            <w:r>
              <w:rPr>
                <w:spacing w:val="-5"/>
                <w:sz w:val="21"/>
              </w:rPr>
              <w:t>25</w:t>
            </w:r>
          </w:p>
        </w:tc>
        <w:tc>
          <w:tcPr>
            <w:tcW w:w="3086" w:type="dxa"/>
          </w:tcPr>
          <w:p>
            <w:pPr>
              <w:pStyle w:val="TableParagraph"/>
              <w:spacing w:line="250" w:lineRule="exact" w:before="2"/>
              <w:ind w:left="2"/>
              <w:rPr>
                <w:sz w:val="21"/>
              </w:rPr>
            </w:pPr>
            <w:r>
              <w:rPr>
                <w:spacing w:val="-4"/>
                <w:sz w:val="21"/>
              </w:rPr>
              <w:t>主动脉手术</w:t>
            </w:r>
          </w:p>
        </w:tc>
        <w:tc>
          <w:tcPr>
            <w:tcW w:w="457" w:type="dxa"/>
          </w:tcPr>
          <w:p>
            <w:pPr>
              <w:pStyle w:val="TableParagraph"/>
              <w:spacing w:line="250" w:lineRule="exact" w:before="2"/>
              <w:ind w:left="145"/>
              <w:rPr>
                <w:sz w:val="21"/>
              </w:rPr>
            </w:pPr>
            <w:r>
              <w:rPr>
                <w:spacing w:val="-5"/>
                <w:sz w:val="21"/>
              </w:rPr>
              <w:t>38</w:t>
            </w:r>
          </w:p>
        </w:tc>
        <w:tc>
          <w:tcPr>
            <w:tcW w:w="2994" w:type="dxa"/>
          </w:tcPr>
          <w:p>
            <w:pPr>
              <w:pStyle w:val="TableParagraph"/>
              <w:spacing w:line="250" w:lineRule="exact" w:before="2"/>
              <w:ind w:left="5"/>
              <w:rPr>
                <w:sz w:val="21"/>
              </w:rPr>
            </w:pPr>
            <w:r>
              <w:rPr>
                <w:spacing w:val="-4"/>
                <w:sz w:val="21"/>
              </w:rPr>
              <w:t>严重心肌炎</w:t>
            </w:r>
          </w:p>
        </w:tc>
      </w:tr>
      <w:tr>
        <w:trPr>
          <w:trHeight w:val="272" w:hRule="atLeast"/>
        </w:trPr>
        <w:tc>
          <w:tcPr>
            <w:tcW w:w="364" w:type="dxa"/>
          </w:tcPr>
          <w:p>
            <w:pPr>
              <w:pStyle w:val="TableParagraph"/>
              <w:spacing w:line="251" w:lineRule="exact" w:before="1"/>
              <w:ind w:left="37" w:right="87"/>
              <w:jc w:val="center"/>
              <w:rPr>
                <w:sz w:val="21"/>
              </w:rPr>
            </w:pPr>
            <w:r>
              <w:rPr>
                <w:spacing w:val="-5"/>
                <w:sz w:val="21"/>
              </w:rPr>
              <w:t>47</w:t>
            </w:r>
          </w:p>
        </w:tc>
        <w:tc>
          <w:tcPr>
            <w:tcW w:w="3086" w:type="dxa"/>
          </w:tcPr>
          <w:p>
            <w:pPr>
              <w:pStyle w:val="TableParagraph"/>
              <w:spacing w:line="251" w:lineRule="exact" w:before="1"/>
              <w:ind w:left="2"/>
              <w:rPr>
                <w:sz w:val="21"/>
              </w:rPr>
            </w:pPr>
            <w:r>
              <w:rPr>
                <w:spacing w:val="-4"/>
                <w:sz w:val="21"/>
              </w:rPr>
              <w:t>严重肺源性心脏病</w:t>
            </w:r>
          </w:p>
        </w:tc>
        <w:tc>
          <w:tcPr>
            <w:tcW w:w="457" w:type="dxa"/>
          </w:tcPr>
          <w:p>
            <w:pPr>
              <w:pStyle w:val="TableParagraph"/>
              <w:spacing w:line="251" w:lineRule="exact" w:before="1"/>
              <w:ind w:left="145"/>
              <w:rPr>
                <w:sz w:val="21"/>
              </w:rPr>
            </w:pPr>
            <w:r>
              <w:rPr>
                <w:spacing w:val="-5"/>
                <w:sz w:val="21"/>
              </w:rPr>
              <w:t>52</w:t>
            </w:r>
          </w:p>
        </w:tc>
        <w:tc>
          <w:tcPr>
            <w:tcW w:w="2994" w:type="dxa"/>
          </w:tcPr>
          <w:p>
            <w:pPr>
              <w:pStyle w:val="TableParagraph"/>
              <w:spacing w:line="251" w:lineRule="exact" w:before="1"/>
              <w:ind w:left="5"/>
              <w:rPr>
                <w:sz w:val="21"/>
              </w:rPr>
            </w:pPr>
            <w:r>
              <w:rPr>
                <w:spacing w:val="-4"/>
                <w:sz w:val="21"/>
              </w:rPr>
              <w:t>严重冠心病</w:t>
            </w:r>
          </w:p>
        </w:tc>
      </w:tr>
      <w:tr>
        <w:trPr>
          <w:trHeight w:val="272" w:hRule="atLeast"/>
        </w:trPr>
        <w:tc>
          <w:tcPr>
            <w:tcW w:w="364" w:type="dxa"/>
          </w:tcPr>
          <w:p>
            <w:pPr>
              <w:pStyle w:val="TableParagraph"/>
              <w:spacing w:line="250" w:lineRule="exact" w:before="2"/>
              <w:ind w:left="37" w:right="87"/>
              <w:jc w:val="center"/>
              <w:rPr>
                <w:sz w:val="21"/>
              </w:rPr>
            </w:pPr>
            <w:r>
              <w:rPr>
                <w:spacing w:val="-5"/>
                <w:sz w:val="21"/>
              </w:rPr>
              <w:t>59</w:t>
            </w:r>
          </w:p>
        </w:tc>
        <w:tc>
          <w:tcPr>
            <w:tcW w:w="3086" w:type="dxa"/>
          </w:tcPr>
          <w:p>
            <w:pPr>
              <w:pStyle w:val="TableParagraph"/>
              <w:spacing w:line="250" w:lineRule="exact" w:before="2"/>
              <w:ind w:left="2"/>
              <w:rPr>
                <w:sz w:val="21"/>
              </w:rPr>
            </w:pPr>
            <w:r>
              <w:rPr>
                <w:spacing w:val="-4"/>
                <w:sz w:val="21"/>
              </w:rPr>
              <w:t>严重川崎病</w:t>
            </w:r>
          </w:p>
        </w:tc>
        <w:tc>
          <w:tcPr>
            <w:tcW w:w="457" w:type="dxa"/>
          </w:tcPr>
          <w:p>
            <w:pPr>
              <w:pStyle w:val="TableParagraph"/>
              <w:spacing w:line="250" w:lineRule="exact" w:before="2"/>
              <w:ind w:left="145"/>
              <w:rPr>
                <w:sz w:val="21"/>
              </w:rPr>
            </w:pPr>
            <w:r>
              <w:rPr>
                <w:spacing w:val="-5"/>
                <w:sz w:val="21"/>
              </w:rPr>
              <w:t>60</w:t>
            </w:r>
          </w:p>
        </w:tc>
        <w:tc>
          <w:tcPr>
            <w:tcW w:w="2994" w:type="dxa"/>
          </w:tcPr>
          <w:p>
            <w:pPr>
              <w:pStyle w:val="TableParagraph"/>
              <w:spacing w:line="250" w:lineRule="exact" w:before="2"/>
              <w:ind w:left="5"/>
              <w:rPr>
                <w:sz w:val="21"/>
              </w:rPr>
            </w:pPr>
            <w:r>
              <w:rPr>
                <w:spacing w:val="-4"/>
                <w:sz w:val="21"/>
              </w:rPr>
              <w:t>严重原发性心肌病</w:t>
            </w:r>
          </w:p>
        </w:tc>
      </w:tr>
      <w:tr>
        <w:trPr>
          <w:trHeight w:val="272" w:hRule="atLeast"/>
        </w:trPr>
        <w:tc>
          <w:tcPr>
            <w:tcW w:w="364" w:type="dxa"/>
          </w:tcPr>
          <w:p>
            <w:pPr>
              <w:pStyle w:val="TableParagraph"/>
              <w:spacing w:line="251" w:lineRule="exact" w:before="1"/>
              <w:ind w:left="37" w:right="87"/>
              <w:jc w:val="center"/>
              <w:rPr>
                <w:sz w:val="21"/>
              </w:rPr>
            </w:pPr>
            <w:r>
              <w:rPr>
                <w:spacing w:val="-5"/>
                <w:sz w:val="21"/>
              </w:rPr>
              <w:t>62</w:t>
            </w:r>
          </w:p>
        </w:tc>
        <w:tc>
          <w:tcPr>
            <w:tcW w:w="3086" w:type="dxa"/>
          </w:tcPr>
          <w:p>
            <w:pPr>
              <w:pStyle w:val="TableParagraph"/>
              <w:spacing w:line="251" w:lineRule="exact" w:before="1"/>
              <w:ind w:left="2"/>
              <w:rPr>
                <w:sz w:val="21"/>
              </w:rPr>
            </w:pPr>
            <w:r>
              <w:rPr>
                <w:spacing w:val="-4"/>
                <w:sz w:val="21"/>
              </w:rPr>
              <w:t>室壁瘤切除术</w:t>
            </w:r>
          </w:p>
        </w:tc>
        <w:tc>
          <w:tcPr>
            <w:tcW w:w="457" w:type="dxa"/>
          </w:tcPr>
          <w:p>
            <w:pPr>
              <w:pStyle w:val="TableParagraph"/>
              <w:spacing w:line="251" w:lineRule="exact" w:before="1"/>
              <w:ind w:left="145"/>
              <w:rPr>
                <w:sz w:val="21"/>
              </w:rPr>
            </w:pPr>
            <w:r>
              <w:rPr>
                <w:spacing w:val="-5"/>
                <w:sz w:val="21"/>
              </w:rPr>
              <w:t>69</w:t>
            </w:r>
          </w:p>
        </w:tc>
        <w:tc>
          <w:tcPr>
            <w:tcW w:w="2994" w:type="dxa"/>
          </w:tcPr>
          <w:p>
            <w:pPr>
              <w:pStyle w:val="TableParagraph"/>
              <w:spacing w:line="251" w:lineRule="exact" w:before="1"/>
              <w:ind w:left="5"/>
              <w:rPr>
                <w:sz w:val="21"/>
              </w:rPr>
            </w:pPr>
            <w:r>
              <w:rPr>
                <w:spacing w:val="-3"/>
                <w:sz w:val="21"/>
              </w:rPr>
              <w:t>严重感染性心内膜炎</w:t>
            </w:r>
          </w:p>
        </w:tc>
      </w:tr>
      <w:tr>
        <w:trPr>
          <w:trHeight w:val="272" w:hRule="atLeast"/>
        </w:trPr>
        <w:tc>
          <w:tcPr>
            <w:tcW w:w="364" w:type="dxa"/>
          </w:tcPr>
          <w:p>
            <w:pPr>
              <w:pStyle w:val="TableParagraph"/>
              <w:spacing w:line="250" w:lineRule="exact" w:before="2"/>
              <w:ind w:left="37" w:right="87"/>
              <w:jc w:val="center"/>
              <w:rPr>
                <w:sz w:val="21"/>
              </w:rPr>
            </w:pPr>
            <w:r>
              <w:rPr>
                <w:spacing w:val="-5"/>
                <w:sz w:val="21"/>
              </w:rPr>
              <w:t>73</w:t>
            </w:r>
          </w:p>
        </w:tc>
        <w:tc>
          <w:tcPr>
            <w:tcW w:w="3086" w:type="dxa"/>
          </w:tcPr>
          <w:p>
            <w:pPr>
              <w:pStyle w:val="TableParagraph"/>
              <w:spacing w:line="250" w:lineRule="exact" w:before="2"/>
              <w:ind w:left="2"/>
              <w:rPr>
                <w:sz w:val="21"/>
              </w:rPr>
            </w:pPr>
            <w:r>
              <w:rPr>
                <w:spacing w:val="-4"/>
                <w:sz w:val="21"/>
              </w:rPr>
              <w:t>原发性骨髓纤维化</w:t>
            </w:r>
          </w:p>
        </w:tc>
        <w:tc>
          <w:tcPr>
            <w:tcW w:w="457" w:type="dxa"/>
          </w:tcPr>
          <w:p>
            <w:pPr>
              <w:pStyle w:val="TableParagraph"/>
              <w:spacing w:line="250" w:lineRule="exact" w:before="2"/>
              <w:ind w:left="145"/>
              <w:rPr>
                <w:sz w:val="21"/>
              </w:rPr>
            </w:pPr>
            <w:r>
              <w:rPr>
                <w:spacing w:val="-5"/>
                <w:sz w:val="21"/>
              </w:rPr>
              <w:t>78</w:t>
            </w:r>
          </w:p>
        </w:tc>
        <w:tc>
          <w:tcPr>
            <w:tcW w:w="2994" w:type="dxa"/>
          </w:tcPr>
          <w:p>
            <w:pPr>
              <w:pStyle w:val="TableParagraph"/>
              <w:spacing w:line="250" w:lineRule="exact" w:before="2"/>
              <w:ind w:left="5"/>
              <w:rPr>
                <w:sz w:val="21"/>
              </w:rPr>
            </w:pPr>
            <w:r>
              <w:rPr>
                <w:spacing w:val="-3"/>
                <w:sz w:val="21"/>
              </w:rPr>
              <w:t>严重慢性缩窄型心包炎</w:t>
            </w:r>
          </w:p>
        </w:tc>
      </w:tr>
      <w:tr>
        <w:trPr>
          <w:trHeight w:val="272" w:hRule="atLeast"/>
        </w:trPr>
        <w:tc>
          <w:tcPr>
            <w:tcW w:w="364" w:type="dxa"/>
          </w:tcPr>
          <w:p>
            <w:pPr>
              <w:pStyle w:val="TableParagraph"/>
              <w:spacing w:line="251" w:lineRule="exact" w:before="1"/>
              <w:ind w:left="37" w:right="87"/>
              <w:jc w:val="center"/>
              <w:rPr>
                <w:sz w:val="21"/>
              </w:rPr>
            </w:pPr>
            <w:r>
              <w:rPr>
                <w:spacing w:val="-5"/>
                <w:sz w:val="21"/>
              </w:rPr>
              <w:t>79</w:t>
            </w:r>
          </w:p>
        </w:tc>
        <w:tc>
          <w:tcPr>
            <w:tcW w:w="3086" w:type="dxa"/>
          </w:tcPr>
          <w:p>
            <w:pPr>
              <w:pStyle w:val="TableParagraph"/>
              <w:spacing w:line="251" w:lineRule="exact" w:before="1"/>
              <w:ind w:left="2"/>
              <w:rPr>
                <w:sz w:val="21"/>
              </w:rPr>
            </w:pPr>
            <w:r>
              <w:rPr>
                <w:spacing w:val="-4"/>
                <w:sz w:val="21"/>
              </w:rPr>
              <w:t>艾森门格综合征</w:t>
            </w:r>
          </w:p>
        </w:tc>
        <w:tc>
          <w:tcPr>
            <w:tcW w:w="457" w:type="dxa"/>
          </w:tcPr>
          <w:p>
            <w:pPr>
              <w:pStyle w:val="TableParagraph"/>
              <w:spacing w:line="251" w:lineRule="exact" w:before="1"/>
              <w:ind w:left="145"/>
              <w:rPr>
                <w:sz w:val="21"/>
              </w:rPr>
            </w:pPr>
            <w:r>
              <w:rPr>
                <w:spacing w:val="-5"/>
                <w:sz w:val="21"/>
              </w:rPr>
              <w:t>88</w:t>
            </w:r>
          </w:p>
        </w:tc>
        <w:tc>
          <w:tcPr>
            <w:tcW w:w="2994" w:type="dxa"/>
          </w:tcPr>
          <w:p>
            <w:pPr>
              <w:pStyle w:val="TableParagraph"/>
              <w:spacing w:line="251" w:lineRule="exact" w:before="1"/>
              <w:ind w:left="5"/>
              <w:rPr>
                <w:sz w:val="21"/>
              </w:rPr>
            </w:pPr>
            <w:r>
              <w:rPr>
                <w:spacing w:val="-4"/>
                <w:sz w:val="21"/>
              </w:rPr>
              <w:t>严重大动脉炎</w:t>
            </w:r>
          </w:p>
        </w:tc>
      </w:tr>
      <w:tr>
        <w:trPr>
          <w:trHeight w:val="272" w:hRule="atLeast"/>
        </w:trPr>
        <w:tc>
          <w:tcPr>
            <w:tcW w:w="364" w:type="dxa"/>
          </w:tcPr>
          <w:p>
            <w:pPr>
              <w:pStyle w:val="TableParagraph"/>
              <w:spacing w:line="250" w:lineRule="exact" w:before="2"/>
              <w:ind w:left="37" w:right="87"/>
              <w:jc w:val="center"/>
              <w:rPr>
                <w:sz w:val="21"/>
              </w:rPr>
            </w:pPr>
            <w:r>
              <w:rPr>
                <w:spacing w:val="-5"/>
                <w:sz w:val="21"/>
              </w:rPr>
              <w:t>93</w:t>
            </w:r>
          </w:p>
        </w:tc>
        <w:tc>
          <w:tcPr>
            <w:tcW w:w="3086" w:type="dxa"/>
          </w:tcPr>
          <w:p>
            <w:pPr>
              <w:pStyle w:val="TableParagraph"/>
              <w:spacing w:line="250" w:lineRule="exact" w:before="2"/>
              <w:ind w:left="2"/>
              <w:rPr>
                <w:sz w:val="21"/>
              </w:rPr>
            </w:pPr>
            <w:r>
              <w:rPr>
                <w:spacing w:val="-4"/>
                <w:sz w:val="21"/>
              </w:rPr>
              <w:t>弥漫性血管内凝血</w:t>
            </w:r>
          </w:p>
        </w:tc>
        <w:tc>
          <w:tcPr>
            <w:tcW w:w="457" w:type="dxa"/>
          </w:tcPr>
          <w:p>
            <w:pPr>
              <w:pStyle w:val="TableParagraph"/>
              <w:spacing w:line="250" w:lineRule="exact" w:before="2"/>
              <w:ind w:left="145"/>
              <w:rPr>
                <w:sz w:val="21"/>
              </w:rPr>
            </w:pPr>
            <w:r>
              <w:rPr>
                <w:spacing w:val="-5"/>
                <w:sz w:val="21"/>
              </w:rPr>
              <w:t>94</w:t>
            </w:r>
          </w:p>
        </w:tc>
        <w:tc>
          <w:tcPr>
            <w:tcW w:w="2994" w:type="dxa"/>
          </w:tcPr>
          <w:p>
            <w:pPr>
              <w:pStyle w:val="TableParagraph"/>
              <w:spacing w:line="250" w:lineRule="exact" w:before="2"/>
              <w:ind w:left="5"/>
              <w:rPr>
                <w:sz w:val="21"/>
              </w:rPr>
            </w:pPr>
            <w:r>
              <w:rPr>
                <w:spacing w:val="-2"/>
                <w:sz w:val="21"/>
              </w:rPr>
              <w:t>Brugada</w:t>
            </w:r>
            <w:r>
              <w:rPr>
                <w:spacing w:val="-5"/>
                <w:sz w:val="21"/>
              </w:rPr>
              <w:t>综合征</w:t>
            </w:r>
          </w:p>
        </w:tc>
      </w:tr>
      <w:tr>
        <w:trPr>
          <w:trHeight w:val="272" w:hRule="atLeast"/>
        </w:trPr>
        <w:tc>
          <w:tcPr>
            <w:tcW w:w="364" w:type="dxa"/>
          </w:tcPr>
          <w:p>
            <w:pPr>
              <w:pStyle w:val="TableParagraph"/>
              <w:spacing w:line="251" w:lineRule="exact" w:before="1"/>
              <w:ind w:left="50" w:right="-15"/>
              <w:jc w:val="center"/>
              <w:rPr>
                <w:sz w:val="21"/>
              </w:rPr>
            </w:pPr>
            <w:r>
              <w:rPr>
                <w:spacing w:val="-5"/>
                <w:sz w:val="21"/>
              </w:rPr>
              <w:t>100</w:t>
            </w:r>
          </w:p>
        </w:tc>
        <w:tc>
          <w:tcPr>
            <w:tcW w:w="3086" w:type="dxa"/>
          </w:tcPr>
          <w:p>
            <w:pPr>
              <w:pStyle w:val="TableParagraph"/>
              <w:spacing w:line="251" w:lineRule="exact" w:before="1"/>
              <w:ind w:left="108"/>
              <w:rPr>
                <w:sz w:val="21"/>
              </w:rPr>
            </w:pPr>
            <w:r>
              <w:rPr>
                <w:spacing w:val="-3"/>
                <w:sz w:val="21"/>
              </w:rPr>
              <w:t>严重骨髓增生异常综合征</w:t>
            </w:r>
          </w:p>
        </w:tc>
        <w:tc>
          <w:tcPr>
            <w:tcW w:w="457" w:type="dxa"/>
          </w:tcPr>
          <w:p>
            <w:pPr>
              <w:pStyle w:val="TableParagraph"/>
              <w:spacing w:line="251" w:lineRule="exact" w:before="1"/>
              <w:ind w:left="145" w:right="-15"/>
              <w:rPr>
                <w:sz w:val="21"/>
              </w:rPr>
            </w:pPr>
            <w:r>
              <w:rPr>
                <w:spacing w:val="-5"/>
                <w:sz w:val="21"/>
              </w:rPr>
              <w:t>101</w:t>
            </w:r>
          </w:p>
        </w:tc>
        <w:tc>
          <w:tcPr>
            <w:tcW w:w="2994" w:type="dxa"/>
          </w:tcPr>
          <w:p>
            <w:pPr>
              <w:pStyle w:val="TableParagraph"/>
              <w:spacing w:line="251" w:lineRule="exact" w:before="1"/>
              <w:ind w:left="110"/>
              <w:rPr>
                <w:sz w:val="21"/>
              </w:rPr>
            </w:pPr>
            <w:r>
              <w:rPr>
                <w:spacing w:val="-4"/>
                <w:sz w:val="21"/>
              </w:rPr>
              <w:t>严重巨细胞动脉炎</w:t>
            </w:r>
          </w:p>
        </w:tc>
      </w:tr>
      <w:tr>
        <w:trPr>
          <w:trHeight w:val="272" w:hRule="atLeast"/>
        </w:trPr>
        <w:tc>
          <w:tcPr>
            <w:tcW w:w="364" w:type="dxa"/>
          </w:tcPr>
          <w:p>
            <w:pPr>
              <w:pStyle w:val="TableParagraph"/>
              <w:spacing w:line="250" w:lineRule="exact" w:before="2"/>
              <w:ind w:left="50" w:right="-15"/>
              <w:jc w:val="center"/>
              <w:rPr>
                <w:sz w:val="21"/>
              </w:rPr>
            </w:pPr>
            <w:r>
              <w:rPr>
                <w:spacing w:val="-5"/>
                <w:sz w:val="21"/>
              </w:rPr>
              <w:t>105</w:t>
            </w:r>
          </w:p>
        </w:tc>
        <w:tc>
          <w:tcPr>
            <w:tcW w:w="3086" w:type="dxa"/>
          </w:tcPr>
          <w:p>
            <w:pPr>
              <w:pStyle w:val="TableParagraph"/>
              <w:spacing w:line="250" w:lineRule="exact" w:before="2"/>
              <w:ind w:left="108"/>
              <w:rPr>
                <w:sz w:val="21"/>
              </w:rPr>
            </w:pPr>
            <w:r>
              <w:rPr>
                <w:spacing w:val="-4"/>
                <w:sz w:val="21"/>
              </w:rPr>
              <w:t>主动脉夹层血肿</w:t>
            </w:r>
          </w:p>
        </w:tc>
        <w:tc>
          <w:tcPr>
            <w:tcW w:w="457" w:type="dxa"/>
          </w:tcPr>
          <w:p>
            <w:pPr>
              <w:pStyle w:val="TableParagraph"/>
              <w:spacing w:line="250" w:lineRule="exact" w:before="2"/>
              <w:ind w:left="145" w:right="-15"/>
              <w:rPr>
                <w:sz w:val="21"/>
              </w:rPr>
            </w:pPr>
            <w:r>
              <w:rPr>
                <w:spacing w:val="-5"/>
                <w:sz w:val="21"/>
              </w:rPr>
              <w:t>107</w:t>
            </w:r>
          </w:p>
        </w:tc>
        <w:tc>
          <w:tcPr>
            <w:tcW w:w="2994" w:type="dxa"/>
          </w:tcPr>
          <w:p>
            <w:pPr>
              <w:pStyle w:val="TableParagraph"/>
              <w:spacing w:line="250" w:lineRule="exact" w:before="2"/>
              <w:ind w:left="110"/>
              <w:rPr>
                <w:sz w:val="21"/>
              </w:rPr>
            </w:pPr>
            <w:r>
              <w:rPr>
                <w:spacing w:val="-3"/>
                <w:sz w:val="21"/>
              </w:rPr>
              <w:t>严重冠状动脉粥样硬化性心脏</w:t>
            </w:r>
          </w:p>
        </w:tc>
      </w:tr>
      <w:tr>
        <w:trPr>
          <w:trHeight w:val="545" w:hRule="atLeast"/>
        </w:trPr>
        <w:tc>
          <w:tcPr>
            <w:tcW w:w="364" w:type="dxa"/>
          </w:tcPr>
          <w:p>
            <w:pPr>
              <w:pStyle w:val="TableParagraph"/>
              <w:spacing w:before="6"/>
              <w:rPr>
                <w:sz w:val="21"/>
              </w:rPr>
            </w:pPr>
          </w:p>
          <w:p>
            <w:pPr>
              <w:pStyle w:val="TableParagraph"/>
              <w:spacing w:line="250" w:lineRule="exact"/>
              <w:ind w:left="50" w:right="-15"/>
              <w:jc w:val="center"/>
              <w:rPr>
                <w:sz w:val="21"/>
              </w:rPr>
            </w:pPr>
            <w:r>
              <w:rPr>
                <w:spacing w:val="-5"/>
                <w:sz w:val="21"/>
              </w:rPr>
              <w:t>109</w:t>
            </w:r>
          </w:p>
        </w:tc>
        <w:tc>
          <w:tcPr>
            <w:tcW w:w="3086" w:type="dxa"/>
          </w:tcPr>
          <w:p>
            <w:pPr>
              <w:pStyle w:val="TableParagraph"/>
              <w:spacing w:before="6"/>
              <w:rPr>
                <w:sz w:val="21"/>
              </w:rPr>
            </w:pPr>
          </w:p>
          <w:p>
            <w:pPr>
              <w:pStyle w:val="TableParagraph"/>
              <w:spacing w:line="250" w:lineRule="exact"/>
              <w:ind w:left="108"/>
              <w:rPr>
                <w:sz w:val="21"/>
              </w:rPr>
            </w:pPr>
            <w:r>
              <w:rPr>
                <w:spacing w:val="-4"/>
                <w:sz w:val="21"/>
              </w:rPr>
              <w:t>心脏粘液瘤</w:t>
            </w:r>
          </w:p>
        </w:tc>
        <w:tc>
          <w:tcPr>
            <w:tcW w:w="457" w:type="dxa"/>
          </w:tcPr>
          <w:p>
            <w:pPr>
              <w:pStyle w:val="TableParagraph"/>
              <w:spacing w:before="6"/>
              <w:rPr>
                <w:sz w:val="21"/>
              </w:rPr>
            </w:pPr>
          </w:p>
          <w:p>
            <w:pPr>
              <w:pStyle w:val="TableParagraph"/>
              <w:spacing w:line="250" w:lineRule="exact"/>
              <w:ind w:left="145" w:right="-15"/>
              <w:rPr>
                <w:sz w:val="21"/>
              </w:rPr>
            </w:pPr>
            <w:r>
              <w:rPr>
                <w:spacing w:val="-5"/>
                <w:sz w:val="21"/>
              </w:rPr>
              <w:t>110</w:t>
            </w:r>
          </w:p>
        </w:tc>
        <w:tc>
          <w:tcPr>
            <w:tcW w:w="2994" w:type="dxa"/>
          </w:tcPr>
          <w:p>
            <w:pPr>
              <w:pStyle w:val="TableParagraph"/>
              <w:spacing w:before="2"/>
              <w:ind w:left="108"/>
              <w:rPr>
                <w:sz w:val="21"/>
              </w:rPr>
            </w:pPr>
            <w:r>
              <w:rPr>
                <w:w w:val="100"/>
                <w:sz w:val="21"/>
              </w:rPr>
              <w:t>病</w:t>
            </w:r>
          </w:p>
          <w:p>
            <w:pPr>
              <w:pStyle w:val="TableParagraph"/>
              <w:spacing w:line="250" w:lineRule="exact" w:before="4"/>
              <w:ind w:left="110"/>
              <w:rPr>
                <w:sz w:val="21"/>
              </w:rPr>
            </w:pPr>
            <w:r>
              <w:rPr>
                <w:spacing w:val="-3"/>
                <w:sz w:val="21"/>
              </w:rPr>
              <w:t>严重继发性肺动脉高压</w:t>
            </w:r>
          </w:p>
        </w:tc>
      </w:tr>
      <w:tr>
        <w:trPr>
          <w:trHeight w:val="407" w:hRule="atLeast"/>
        </w:trPr>
        <w:tc>
          <w:tcPr>
            <w:tcW w:w="364" w:type="dxa"/>
          </w:tcPr>
          <w:p>
            <w:pPr>
              <w:pStyle w:val="TableParagraph"/>
              <w:spacing w:before="1"/>
              <w:ind w:left="50" w:right="-15"/>
              <w:jc w:val="center"/>
              <w:rPr>
                <w:sz w:val="21"/>
              </w:rPr>
            </w:pPr>
            <w:r>
              <w:rPr>
                <w:spacing w:val="-5"/>
                <w:sz w:val="21"/>
              </w:rPr>
              <w:t>111</w:t>
            </w:r>
          </w:p>
        </w:tc>
        <w:tc>
          <w:tcPr>
            <w:tcW w:w="3086" w:type="dxa"/>
          </w:tcPr>
          <w:p>
            <w:pPr>
              <w:pStyle w:val="TableParagraph"/>
              <w:spacing w:before="1"/>
              <w:ind w:left="108"/>
              <w:rPr>
                <w:sz w:val="21"/>
              </w:rPr>
            </w:pPr>
            <w:r>
              <w:rPr>
                <w:spacing w:val="-4"/>
                <w:sz w:val="21"/>
              </w:rPr>
              <w:t>主动脉夹层瘤</w:t>
            </w:r>
          </w:p>
        </w:tc>
        <w:tc>
          <w:tcPr>
            <w:tcW w:w="457" w:type="dxa"/>
          </w:tcPr>
          <w:p>
            <w:pPr>
              <w:pStyle w:val="TableParagraph"/>
              <w:rPr>
                <w:rFonts w:ascii="Times New Roman"/>
                <w:sz w:val="20"/>
              </w:rPr>
            </w:pPr>
          </w:p>
        </w:tc>
        <w:tc>
          <w:tcPr>
            <w:tcW w:w="2994" w:type="dxa"/>
          </w:tcPr>
          <w:p>
            <w:pPr>
              <w:pStyle w:val="TableParagraph"/>
              <w:rPr>
                <w:rFonts w:ascii="Times New Roman"/>
                <w:sz w:val="20"/>
              </w:rPr>
            </w:pPr>
          </w:p>
        </w:tc>
      </w:tr>
      <w:tr>
        <w:trPr>
          <w:trHeight w:val="378" w:hRule="atLeast"/>
        </w:trPr>
        <w:tc>
          <w:tcPr>
            <w:tcW w:w="364" w:type="dxa"/>
          </w:tcPr>
          <w:p>
            <w:pPr>
              <w:pStyle w:val="TableParagraph"/>
              <w:spacing w:line="220" w:lineRule="exact" w:before="138"/>
              <w:ind w:left="49" w:right="-15"/>
              <w:jc w:val="center"/>
              <w:rPr>
                <w:sz w:val="21"/>
              </w:rPr>
            </w:pPr>
            <w:r>
              <w:rPr>
                <w:sz w:val="21"/>
              </w:rPr>
              <w:t>E</w:t>
            </w:r>
            <w:r>
              <w:rPr>
                <w:spacing w:val="-10"/>
                <w:sz w:val="21"/>
              </w:rPr>
              <w:t>组</w:t>
            </w:r>
          </w:p>
        </w:tc>
        <w:tc>
          <w:tcPr>
            <w:tcW w:w="3086" w:type="dxa"/>
          </w:tcPr>
          <w:p>
            <w:pPr>
              <w:pStyle w:val="TableParagraph"/>
              <w:rPr>
                <w:rFonts w:ascii="Times New Roman"/>
                <w:sz w:val="20"/>
              </w:rPr>
            </w:pPr>
          </w:p>
        </w:tc>
        <w:tc>
          <w:tcPr>
            <w:tcW w:w="457" w:type="dxa"/>
          </w:tcPr>
          <w:p>
            <w:pPr>
              <w:pStyle w:val="TableParagraph"/>
              <w:rPr>
                <w:rFonts w:ascii="Times New Roman"/>
                <w:sz w:val="20"/>
              </w:rPr>
            </w:pPr>
          </w:p>
        </w:tc>
        <w:tc>
          <w:tcPr>
            <w:tcW w:w="2994" w:type="dxa"/>
          </w:tcPr>
          <w:p>
            <w:pPr>
              <w:pStyle w:val="TableParagraph"/>
              <w:rPr>
                <w:rFonts w:ascii="Times New Roman"/>
                <w:sz w:val="20"/>
              </w:rPr>
            </w:pPr>
          </w:p>
        </w:tc>
      </w:tr>
      <w:tr>
        <w:trPr>
          <w:trHeight w:val="544" w:hRule="atLeast"/>
        </w:trPr>
        <w:tc>
          <w:tcPr>
            <w:tcW w:w="6901" w:type="dxa"/>
            <w:gridSpan w:val="4"/>
          </w:tcPr>
          <w:p>
            <w:pPr>
              <w:pStyle w:val="TableParagraph"/>
              <w:spacing w:before="10"/>
              <w:rPr>
                <w:sz w:val="23"/>
              </w:rPr>
            </w:pPr>
          </w:p>
          <w:p>
            <w:pPr>
              <w:pStyle w:val="TableParagraph"/>
              <w:tabs>
                <w:tab w:pos="3595" w:val="left" w:leader="none"/>
              </w:tabs>
              <w:spacing w:line="220" w:lineRule="exact"/>
              <w:ind w:left="50"/>
              <w:rPr>
                <w:sz w:val="21"/>
              </w:rPr>
            </w:pPr>
            <w:r>
              <w:rPr>
                <w:sz w:val="21"/>
              </w:rPr>
              <w:t>3</w:t>
            </w:r>
            <w:r>
              <w:rPr>
                <w:spacing w:val="-9"/>
                <w:sz w:val="21"/>
              </w:rPr>
              <w:t> </w:t>
            </w:r>
            <w:r>
              <w:rPr>
                <w:sz w:val="21"/>
              </w:rPr>
              <w:t>严重脑中风后</w:t>
            </w:r>
            <w:r>
              <w:rPr>
                <w:sz w:val="21"/>
              </w:rPr>
              <w:t>遗</w:t>
            </w:r>
            <w:r>
              <w:rPr>
                <w:spacing w:val="-10"/>
                <w:sz w:val="21"/>
              </w:rPr>
              <w:t>症</w:t>
            </w:r>
            <w:r>
              <w:rPr>
                <w:sz w:val="21"/>
              </w:rPr>
              <w:tab/>
              <w:t>9</w:t>
            </w:r>
            <w:r>
              <w:rPr>
                <w:spacing w:val="-14"/>
                <w:sz w:val="21"/>
              </w:rPr>
              <w:t> </w:t>
            </w:r>
            <w:r>
              <w:rPr>
                <w:sz w:val="21"/>
              </w:rPr>
              <w:t>严重非恶性颅内肿</w:t>
            </w:r>
            <w:r>
              <w:rPr>
                <w:spacing w:val="-10"/>
                <w:sz w:val="21"/>
              </w:rPr>
              <w:t>瘤</w:t>
            </w:r>
          </w:p>
        </w:tc>
      </w:tr>
      <w:tr>
        <w:trPr>
          <w:trHeight w:val="303" w:hRule="atLeast"/>
        </w:trPr>
        <w:tc>
          <w:tcPr>
            <w:tcW w:w="364" w:type="dxa"/>
          </w:tcPr>
          <w:p>
            <w:pPr>
              <w:pStyle w:val="TableParagraph"/>
              <w:spacing w:line="250" w:lineRule="exact" w:before="34"/>
              <w:ind w:left="37" w:right="87"/>
              <w:jc w:val="center"/>
              <w:rPr>
                <w:sz w:val="21"/>
              </w:rPr>
            </w:pPr>
            <w:r>
              <w:rPr>
                <w:spacing w:val="-5"/>
                <w:sz w:val="21"/>
              </w:rPr>
              <w:t>11</w:t>
            </w:r>
          </w:p>
        </w:tc>
        <w:tc>
          <w:tcPr>
            <w:tcW w:w="3086" w:type="dxa"/>
          </w:tcPr>
          <w:p>
            <w:pPr>
              <w:pStyle w:val="TableParagraph"/>
              <w:spacing w:line="250" w:lineRule="exact" w:before="34"/>
              <w:ind w:left="2"/>
              <w:rPr>
                <w:sz w:val="21"/>
              </w:rPr>
            </w:pPr>
            <w:r>
              <w:rPr>
                <w:spacing w:val="-3"/>
                <w:sz w:val="21"/>
              </w:rPr>
              <w:t>严重脑炎后遗症或严重脑膜炎后</w:t>
            </w:r>
          </w:p>
        </w:tc>
        <w:tc>
          <w:tcPr>
            <w:tcW w:w="457" w:type="dxa"/>
          </w:tcPr>
          <w:p>
            <w:pPr>
              <w:pStyle w:val="TableParagraph"/>
              <w:spacing w:line="250" w:lineRule="exact" w:before="34"/>
              <w:ind w:left="145"/>
              <w:rPr>
                <w:sz w:val="21"/>
              </w:rPr>
            </w:pPr>
            <w:r>
              <w:rPr>
                <w:spacing w:val="-5"/>
                <w:sz w:val="21"/>
              </w:rPr>
              <w:t>12</w:t>
            </w:r>
          </w:p>
        </w:tc>
        <w:tc>
          <w:tcPr>
            <w:tcW w:w="2994" w:type="dxa"/>
          </w:tcPr>
          <w:p>
            <w:pPr>
              <w:pStyle w:val="TableParagraph"/>
              <w:spacing w:line="250" w:lineRule="exact" w:before="34"/>
              <w:ind w:left="5"/>
              <w:rPr>
                <w:sz w:val="21"/>
              </w:rPr>
            </w:pPr>
            <w:r>
              <w:rPr>
                <w:spacing w:val="-4"/>
                <w:sz w:val="21"/>
              </w:rPr>
              <w:t>深度昏迷</w:t>
            </w:r>
          </w:p>
        </w:tc>
      </w:tr>
      <w:tr>
        <w:trPr>
          <w:trHeight w:val="543" w:hRule="atLeast"/>
        </w:trPr>
        <w:tc>
          <w:tcPr>
            <w:tcW w:w="364" w:type="dxa"/>
          </w:tcPr>
          <w:p>
            <w:pPr>
              <w:pStyle w:val="TableParagraph"/>
              <w:spacing w:before="3"/>
              <w:rPr>
                <w:sz w:val="21"/>
              </w:rPr>
            </w:pPr>
          </w:p>
          <w:p>
            <w:pPr>
              <w:pStyle w:val="TableParagraph"/>
              <w:spacing w:line="251" w:lineRule="exact"/>
              <w:ind w:left="37" w:right="87"/>
              <w:jc w:val="center"/>
              <w:rPr>
                <w:sz w:val="21"/>
              </w:rPr>
            </w:pPr>
            <w:r>
              <w:rPr>
                <w:spacing w:val="-5"/>
                <w:sz w:val="21"/>
              </w:rPr>
              <w:t>15</w:t>
            </w:r>
          </w:p>
        </w:tc>
        <w:tc>
          <w:tcPr>
            <w:tcW w:w="3086" w:type="dxa"/>
          </w:tcPr>
          <w:p>
            <w:pPr>
              <w:pStyle w:val="TableParagraph"/>
              <w:spacing w:before="1"/>
              <w:rPr>
                <w:sz w:val="21"/>
              </w:rPr>
            </w:pPr>
            <w:r>
              <w:rPr>
                <w:spacing w:val="-5"/>
                <w:sz w:val="21"/>
              </w:rPr>
              <w:t>遗症</w:t>
            </w:r>
          </w:p>
          <w:p>
            <w:pPr>
              <w:pStyle w:val="TableParagraph"/>
              <w:spacing w:line="251" w:lineRule="exact" w:before="2"/>
              <w:ind w:left="2"/>
              <w:rPr>
                <w:sz w:val="21"/>
              </w:rPr>
            </w:pPr>
            <w:r>
              <w:rPr>
                <w:spacing w:val="-7"/>
                <w:sz w:val="21"/>
              </w:rPr>
              <w:t>瘫痪</w:t>
            </w:r>
          </w:p>
        </w:tc>
        <w:tc>
          <w:tcPr>
            <w:tcW w:w="457" w:type="dxa"/>
          </w:tcPr>
          <w:p>
            <w:pPr>
              <w:pStyle w:val="TableParagraph"/>
              <w:spacing w:before="3"/>
              <w:rPr>
                <w:sz w:val="21"/>
              </w:rPr>
            </w:pPr>
          </w:p>
          <w:p>
            <w:pPr>
              <w:pStyle w:val="TableParagraph"/>
              <w:spacing w:line="251" w:lineRule="exact"/>
              <w:ind w:left="145"/>
              <w:rPr>
                <w:sz w:val="21"/>
              </w:rPr>
            </w:pPr>
            <w:r>
              <w:rPr>
                <w:spacing w:val="-5"/>
                <w:sz w:val="21"/>
              </w:rPr>
              <w:t>17</w:t>
            </w:r>
          </w:p>
        </w:tc>
        <w:tc>
          <w:tcPr>
            <w:tcW w:w="2994" w:type="dxa"/>
          </w:tcPr>
          <w:p>
            <w:pPr>
              <w:pStyle w:val="TableParagraph"/>
              <w:spacing w:before="3"/>
              <w:rPr>
                <w:sz w:val="21"/>
              </w:rPr>
            </w:pPr>
          </w:p>
          <w:p>
            <w:pPr>
              <w:pStyle w:val="TableParagraph"/>
              <w:spacing w:line="251" w:lineRule="exact"/>
              <w:ind w:left="5"/>
              <w:rPr>
                <w:sz w:val="21"/>
              </w:rPr>
            </w:pPr>
            <w:r>
              <w:rPr>
                <w:spacing w:val="-4"/>
                <w:sz w:val="21"/>
              </w:rPr>
              <w:t>严重阿尔茨海默病</w:t>
            </w:r>
          </w:p>
        </w:tc>
      </w:tr>
      <w:tr>
        <w:trPr>
          <w:trHeight w:val="272" w:hRule="atLeast"/>
        </w:trPr>
        <w:tc>
          <w:tcPr>
            <w:tcW w:w="364" w:type="dxa"/>
          </w:tcPr>
          <w:p>
            <w:pPr>
              <w:pStyle w:val="TableParagraph"/>
              <w:spacing w:line="250" w:lineRule="exact" w:before="2"/>
              <w:ind w:left="37" w:right="87"/>
              <w:jc w:val="center"/>
              <w:rPr>
                <w:sz w:val="21"/>
              </w:rPr>
            </w:pPr>
            <w:r>
              <w:rPr>
                <w:spacing w:val="-5"/>
                <w:sz w:val="21"/>
              </w:rPr>
              <w:t>18</w:t>
            </w:r>
          </w:p>
        </w:tc>
        <w:tc>
          <w:tcPr>
            <w:tcW w:w="3086" w:type="dxa"/>
          </w:tcPr>
          <w:p>
            <w:pPr>
              <w:pStyle w:val="TableParagraph"/>
              <w:spacing w:line="250" w:lineRule="exact" w:before="2"/>
              <w:ind w:left="2"/>
              <w:rPr>
                <w:sz w:val="21"/>
              </w:rPr>
            </w:pPr>
            <w:r>
              <w:rPr>
                <w:spacing w:val="-4"/>
                <w:sz w:val="21"/>
              </w:rPr>
              <w:t>严重脑损伤</w:t>
            </w:r>
          </w:p>
        </w:tc>
        <w:tc>
          <w:tcPr>
            <w:tcW w:w="457" w:type="dxa"/>
          </w:tcPr>
          <w:p>
            <w:pPr>
              <w:pStyle w:val="TableParagraph"/>
              <w:spacing w:line="250" w:lineRule="exact" w:before="2"/>
              <w:ind w:left="145"/>
              <w:rPr>
                <w:sz w:val="21"/>
              </w:rPr>
            </w:pPr>
            <w:r>
              <w:rPr>
                <w:spacing w:val="-5"/>
                <w:sz w:val="21"/>
              </w:rPr>
              <w:t>19</w:t>
            </w:r>
          </w:p>
        </w:tc>
        <w:tc>
          <w:tcPr>
            <w:tcW w:w="2994" w:type="dxa"/>
          </w:tcPr>
          <w:p>
            <w:pPr>
              <w:pStyle w:val="TableParagraph"/>
              <w:spacing w:line="250" w:lineRule="exact" w:before="2"/>
              <w:ind w:left="5"/>
              <w:rPr>
                <w:sz w:val="21"/>
              </w:rPr>
            </w:pPr>
            <w:r>
              <w:rPr>
                <w:spacing w:val="-3"/>
                <w:sz w:val="21"/>
              </w:rPr>
              <w:t>严重原发性帕金森病</w:t>
            </w:r>
          </w:p>
        </w:tc>
      </w:tr>
      <w:tr>
        <w:trPr>
          <w:trHeight w:val="272" w:hRule="atLeast"/>
        </w:trPr>
        <w:tc>
          <w:tcPr>
            <w:tcW w:w="364" w:type="dxa"/>
          </w:tcPr>
          <w:p>
            <w:pPr>
              <w:pStyle w:val="TableParagraph"/>
              <w:spacing w:line="251" w:lineRule="exact" w:before="1"/>
              <w:ind w:left="37" w:right="87"/>
              <w:jc w:val="center"/>
              <w:rPr>
                <w:sz w:val="21"/>
              </w:rPr>
            </w:pPr>
            <w:r>
              <w:rPr>
                <w:spacing w:val="-5"/>
                <w:sz w:val="21"/>
              </w:rPr>
              <w:t>22</w:t>
            </w:r>
          </w:p>
        </w:tc>
        <w:tc>
          <w:tcPr>
            <w:tcW w:w="3086" w:type="dxa"/>
          </w:tcPr>
          <w:p>
            <w:pPr>
              <w:pStyle w:val="TableParagraph"/>
              <w:spacing w:line="251" w:lineRule="exact" w:before="1"/>
              <w:ind w:left="2"/>
              <w:rPr>
                <w:sz w:val="21"/>
              </w:rPr>
            </w:pPr>
            <w:r>
              <w:rPr>
                <w:spacing w:val="-4"/>
                <w:sz w:val="21"/>
              </w:rPr>
              <w:t>严重运动神经元病</w:t>
            </w:r>
          </w:p>
        </w:tc>
        <w:tc>
          <w:tcPr>
            <w:tcW w:w="457" w:type="dxa"/>
          </w:tcPr>
          <w:p>
            <w:pPr>
              <w:pStyle w:val="TableParagraph"/>
              <w:spacing w:line="251" w:lineRule="exact" w:before="1"/>
              <w:ind w:left="145"/>
              <w:rPr>
                <w:sz w:val="21"/>
              </w:rPr>
            </w:pPr>
            <w:r>
              <w:rPr>
                <w:spacing w:val="-5"/>
                <w:sz w:val="21"/>
              </w:rPr>
              <w:t>29</w:t>
            </w:r>
          </w:p>
        </w:tc>
        <w:tc>
          <w:tcPr>
            <w:tcW w:w="2994" w:type="dxa"/>
          </w:tcPr>
          <w:p>
            <w:pPr>
              <w:pStyle w:val="TableParagraph"/>
              <w:spacing w:line="251" w:lineRule="exact" w:before="1"/>
              <w:ind w:left="5"/>
              <w:rPr>
                <w:sz w:val="21"/>
              </w:rPr>
            </w:pPr>
            <w:r>
              <w:rPr>
                <w:spacing w:val="-4"/>
                <w:sz w:val="21"/>
              </w:rPr>
              <w:t>严重多发性硬化</w:t>
            </w:r>
          </w:p>
        </w:tc>
      </w:tr>
      <w:tr>
        <w:trPr>
          <w:trHeight w:val="272" w:hRule="atLeast"/>
        </w:trPr>
        <w:tc>
          <w:tcPr>
            <w:tcW w:w="364" w:type="dxa"/>
          </w:tcPr>
          <w:p>
            <w:pPr>
              <w:pStyle w:val="TableParagraph"/>
              <w:spacing w:line="250" w:lineRule="exact" w:before="3"/>
              <w:ind w:left="37" w:right="87"/>
              <w:jc w:val="center"/>
              <w:rPr>
                <w:sz w:val="21"/>
              </w:rPr>
            </w:pPr>
            <w:r>
              <w:rPr>
                <w:spacing w:val="-5"/>
                <w:sz w:val="21"/>
              </w:rPr>
              <w:t>31</w:t>
            </w:r>
          </w:p>
        </w:tc>
        <w:tc>
          <w:tcPr>
            <w:tcW w:w="3086" w:type="dxa"/>
          </w:tcPr>
          <w:p>
            <w:pPr>
              <w:pStyle w:val="TableParagraph"/>
              <w:spacing w:line="250" w:lineRule="exact" w:before="3"/>
              <w:ind w:left="2"/>
              <w:rPr>
                <w:sz w:val="21"/>
              </w:rPr>
            </w:pPr>
            <w:r>
              <w:rPr>
                <w:spacing w:val="-2"/>
                <w:sz w:val="21"/>
              </w:rPr>
              <w:t>全身性（型）</w:t>
            </w:r>
            <w:r>
              <w:rPr>
                <w:spacing w:val="-4"/>
                <w:sz w:val="21"/>
              </w:rPr>
              <w:t>重症肌无力</w:t>
            </w:r>
          </w:p>
        </w:tc>
        <w:tc>
          <w:tcPr>
            <w:tcW w:w="457" w:type="dxa"/>
          </w:tcPr>
          <w:p>
            <w:pPr>
              <w:pStyle w:val="TableParagraph"/>
              <w:spacing w:line="250" w:lineRule="exact" w:before="3"/>
              <w:ind w:left="145"/>
              <w:rPr>
                <w:sz w:val="21"/>
              </w:rPr>
            </w:pPr>
            <w:r>
              <w:rPr>
                <w:spacing w:val="-5"/>
                <w:sz w:val="21"/>
              </w:rPr>
              <w:t>33</w:t>
            </w:r>
          </w:p>
        </w:tc>
        <w:tc>
          <w:tcPr>
            <w:tcW w:w="2994" w:type="dxa"/>
          </w:tcPr>
          <w:p>
            <w:pPr>
              <w:pStyle w:val="TableParagraph"/>
              <w:spacing w:line="250" w:lineRule="exact" w:before="3"/>
              <w:ind w:left="5"/>
              <w:rPr>
                <w:sz w:val="21"/>
              </w:rPr>
            </w:pPr>
            <w:r>
              <w:rPr>
                <w:spacing w:val="-4"/>
                <w:sz w:val="21"/>
              </w:rPr>
              <w:t>严重脊髓灰质炎</w:t>
            </w:r>
          </w:p>
        </w:tc>
      </w:tr>
      <w:tr>
        <w:trPr>
          <w:trHeight w:val="272" w:hRule="atLeast"/>
        </w:trPr>
        <w:tc>
          <w:tcPr>
            <w:tcW w:w="364" w:type="dxa"/>
          </w:tcPr>
          <w:p>
            <w:pPr>
              <w:pStyle w:val="TableParagraph"/>
              <w:spacing w:line="251" w:lineRule="exact" w:before="1"/>
              <w:ind w:left="37" w:right="87"/>
              <w:jc w:val="center"/>
              <w:rPr>
                <w:sz w:val="21"/>
              </w:rPr>
            </w:pPr>
            <w:r>
              <w:rPr>
                <w:spacing w:val="-5"/>
                <w:sz w:val="21"/>
              </w:rPr>
              <w:t>40</w:t>
            </w:r>
          </w:p>
        </w:tc>
        <w:tc>
          <w:tcPr>
            <w:tcW w:w="3086" w:type="dxa"/>
          </w:tcPr>
          <w:p>
            <w:pPr>
              <w:pStyle w:val="TableParagraph"/>
              <w:spacing w:line="251" w:lineRule="exact" w:before="1"/>
              <w:ind w:left="2"/>
              <w:rPr>
                <w:sz w:val="21"/>
              </w:rPr>
            </w:pPr>
            <w:r>
              <w:rPr>
                <w:spacing w:val="-4"/>
                <w:sz w:val="21"/>
              </w:rPr>
              <w:t>颅脑手术</w:t>
            </w:r>
          </w:p>
        </w:tc>
        <w:tc>
          <w:tcPr>
            <w:tcW w:w="457" w:type="dxa"/>
          </w:tcPr>
          <w:p>
            <w:pPr>
              <w:pStyle w:val="TableParagraph"/>
              <w:spacing w:line="251" w:lineRule="exact" w:before="1"/>
              <w:ind w:left="145"/>
              <w:rPr>
                <w:sz w:val="21"/>
              </w:rPr>
            </w:pPr>
            <w:r>
              <w:rPr>
                <w:spacing w:val="-5"/>
                <w:sz w:val="21"/>
              </w:rPr>
              <w:t>42</w:t>
            </w:r>
          </w:p>
        </w:tc>
        <w:tc>
          <w:tcPr>
            <w:tcW w:w="2994" w:type="dxa"/>
          </w:tcPr>
          <w:p>
            <w:pPr>
              <w:pStyle w:val="TableParagraph"/>
              <w:spacing w:line="251" w:lineRule="exact" w:before="1"/>
              <w:ind w:left="5"/>
              <w:rPr>
                <w:sz w:val="21"/>
              </w:rPr>
            </w:pPr>
            <w:r>
              <w:rPr>
                <w:spacing w:val="-3"/>
                <w:sz w:val="21"/>
              </w:rPr>
              <w:t>非阿尔茨海默病所致严重痴呆</w:t>
            </w:r>
          </w:p>
        </w:tc>
      </w:tr>
      <w:tr>
        <w:trPr>
          <w:trHeight w:val="272" w:hRule="atLeast"/>
        </w:trPr>
        <w:tc>
          <w:tcPr>
            <w:tcW w:w="364" w:type="dxa"/>
          </w:tcPr>
          <w:p>
            <w:pPr>
              <w:pStyle w:val="TableParagraph"/>
              <w:spacing w:line="250" w:lineRule="exact" w:before="2"/>
              <w:ind w:left="37" w:right="87"/>
              <w:jc w:val="center"/>
              <w:rPr>
                <w:sz w:val="21"/>
              </w:rPr>
            </w:pPr>
            <w:r>
              <w:rPr>
                <w:spacing w:val="-5"/>
                <w:sz w:val="21"/>
              </w:rPr>
              <w:t>49</w:t>
            </w:r>
          </w:p>
        </w:tc>
        <w:tc>
          <w:tcPr>
            <w:tcW w:w="3086" w:type="dxa"/>
          </w:tcPr>
          <w:p>
            <w:pPr>
              <w:pStyle w:val="TableParagraph"/>
              <w:spacing w:line="250" w:lineRule="exact" w:before="2"/>
              <w:ind w:left="2"/>
              <w:rPr>
                <w:sz w:val="21"/>
              </w:rPr>
            </w:pPr>
            <w:r>
              <w:rPr>
                <w:spacing w:val="-4"/>
                <w:sz w:val="21"/>
              </w:rPr>
              <w:t>进行性核上性麻痹</w:t>
            </w:r>
          </w:p>
        </w:tc>
        <w:tc>
          <w:tcPr>
            <w:tcW w:w="457" w:type="dxa"/>
          </w:tcPr>
          <w:p>
            <w:pPr>
              <w:pStyle w:val="TableParagraph"/>
              <w:spacing w:line="250" w:lineRule="exact" w:before="2"/>
              <w:ind w:left="145"/>
              <w:rPr>
                <w:sz w:val="21"/>
              </w:rPr>
            </w:pPr>
            <w:r>
              <w:rPr>
                <w:spacing w:val="-5"/>
                <w:sz w:val="21"/>
              </w:rPr>
              <w:t>53</w:t>
            </w:r>
          </w:p>
        </w:tc>
        <w:tc>
          <w:tcPr>
            <w:tcW w:w="2994" w:type="dxa"/>
          </w:tcPr>
          <w:p>
            <w:pPr>
              <w:pStyle w:val="TableParagraph"/>
              <w:spacing w:line="250" w:lineRule="exact" w:before="2"/>
              <w:ind w:left="5"/>
              <w:rPr>
                <w:sz w:val="21"/>
              </w:rPr>
            </w:pPr>
            <w:r>
              <w:rPr>
                <w:spacing w:val="-4"/>
                <w:sz w:val="21"/>
              </w:rPr>
              <w:t>植物人状态</w:t>
            </w:r>
          </w:p>
        </w:tc>
      </w:tr>
      <w:tr>
        <w:trPr>
          <w:trHeight w:val="272" w:hRule="atLeast"/>
        </w:trPr>
        <w:tc>
          <w:tcPr>
            <w:tcW w:w="364" w:type="dxa"/>
          </w:tcPr>
          <w:p>
            <w:pPr>
              <w:pStyle w:val="TableParagraph"/>
              <w:spacing w:line="251" w:lineRule="exact" w:before="1"/>
              <w:ind w:left="37" w:right="87"/>
              <w:jc w:val="center"/>
              <w:rPr>
                <w:sz w:val="21"/>
              </w:rPr>
            </w:pPr>
            <w:r>
              <w:rPr>
                <w:spacing w:val="-5"/>
                <w:sz w:val="21"/>
              </w:rPr>
              <w:t>54</w:t>
            </w:r>
          </w:p>
        </w:tc>
        <w:tc>
          <w:tcPr>
            <w:tcW w:w="3086" w:type="dxa"/>
          </w:tcPr>
          <w:p>
            <w:pPr>
              <w:pStyle w:val="TableParagraph"/>
              <w:spacing w:line="251" w:lineRule="exact" w:before="1"/>
              <w:ind w:left="2"/>
              <w:rPr>
                <w:sz w:val="21"/>
              </w:rPr>
            </w:pPr>
            <w:r>
              <w:rPr>
                <w:spacing w:val="-4"/>
                <w:sz w:val="21"/>
              </w:rPr>
              <w:t>严重克雅氏病</w:t>
            </w:r>
          </w:p>
        </w:tc>
        <w:tc>
          <w:tcPr>
            <w:tcW w:w="457" w:type="dxa"/>
          </w:tcPr>
          <w:p>
            <w:pPr>
              <w:pStyle w:val="TableParagraph"/>
              <w:spacing w:line="251" w:lineRule="exact" w:before="1"/>
              <w:ind w:left="145"/>
              <w:rPr>
                <w:sz w:val="21"/>
              </w:rPr>
            </w:pPr>
            <w:r>
              <w:rPr>
                <w:spacing w:val="-5"/>
                <w:sz w:val="21"/>
              </w:rPr>
              <w:t>58</w:t>
            </w:r>
          </w:p>
        </w:tc>
        <w:tc>
          <w:tcPr>
            <w:tcW w:w="2994" w:type="dxa"/>
          </w:tcPr>
          <w:p>
            <w:pPr>
              <w:pStyle w:val="TableParagraph"/>
              <w:spacing w:line="251" w:lineRule="exact" w:before="1"/>
              <w:ind w:left="5"/>
              <w:rPr>
                <w:sz w:val="21"/>
              </w:rPr>
            </w:pPr>
            <w:r>
              <w:rPr>
                <w:spacing w:val="-2"/>
                <w:sz w:val="21"/>
              </w:rPr>
              <w:t>严重瑞氏综合征（Reye</w:t>
            </w:r>
            <w:r>
              <w:rPr>
                <w:spacing w:val="-4"/>
                <w:sz w:val="21"/>
              </w:rPr>
              <w:t>综合征，</w:t>
            </w:r>
          </w:p>
        </w:tc>
      </w:tr>
      <w:tr>
        <w:trPr>
          <w:trHeight w:val="544" w:hRule="atLeast"/>
        </w:trPr>
        <w:tc>
          <w:tcPr>
            <w:tcW w:w="364" w:type="dxa"/>
          </w:tcPr>
          <w:p>
            <w:pPr>
              <w:pStyle w:val="TableParagraph"/>
              <w:spacing w:before="4"/>
              <w:rPr>
                <w:sz w:val="21"/>
              </w:rPr>
            </w:pPr>
          </w:p>
          <w:p>
            <w:pPr>
              <w:pStyle w:val="TableParagraph"/>
              <w:spacing w:line="251" w:lineRule="exact" w:before="1"/>
              <w:ind w:left="37" w:right="87"/>
              <w:jc w:val="center"/>
              <w:rPr>
                <w:sz w:val="21"/>
              </w:rPr>
            </w:pPr>
            <w:r>
              <w:rPr>
                <w:spacing w:val="-5"/>
                <w:sz w:val="21"/>
              </w:rPr>
              <w:t>61</w:t>
            </w:r>
          </w:p>
        </w:tc>
        <w:tc>
          <w:tcPr>
            <w:tcW w:w="3086" w:type="dxa"/>
          </w:tcPr>
          <w:p>
            <w:pPr>
              <w:pStyle w:val="TableParagraph"/>
              <w:spacing w:before="4"/>
              <w:rPr>
                <w:sz w:val="21"/>
              </w:rPr>
            </w:pPr>
          </w:p>
          <w:p>
            <w:pPr>
              <w:pStyle w:val="TableParagraph"/>
              <w:spacing w:line="251" w:lineRule="exact" w:before="1"/>
              <w:ind w:left="2"/>
              <w:rPr>
                <w:sz w:val="21"/>
              </w:rPr>
            </w:pPr>
            <w:r>
              <w:rPr>
                <w:spacing w:val="-4"/>
                <w:sz w:val="21"/>
              </w:rPr>
              <w:t>脊髓血管病后遗症</w:t>
            </w:r>
          </w:p>
        </w:tc>
        <w:tc>
          <w:tcPr>
            <w:tcW w:w="457" w:type="dxa"/>
          </w:tcPr>
          <w:p>
            <w:pPr>
              <w:pStyle w:val="TableParagraph"/>
              <w:spacing w:before="4"/>
              <w:rPr>
                <w:sz w:val="21"/>
              </w:rPr>
            </w:pPr>
          </w:p>
          <w:p>
            <w:pPr>
              <w:pStyle w:val="TableParagraph"/>
              <w:spacing w:line="251" w:lineRule="exact" w:before="1"/>
              <w:ind w:left="145"/>
              <w:rPr>
                <w:sz w:val="21"/>
              </w:rPr>
            </w:pPr>
            <w:r>
              <w:rPr>
                <w:spacing w:val="-5"/>
                <w:sz w:val="21"/>
              </w:rPr>
              <w:t>74</w:t>
            </w:r>
          </w:p>
        </w:tc>
        <w:tc>
          <w:tcPr>
            <w:tcW w:w="2994" w:type="dxa"/>
          </w:tcPr>
          <w:p>
            <w:pPr>
              <w:pStyle w:val="TableParagraph"/>
              <w:spacing w:line="270" w:lineRule="atLeast"/>
              <w:ind w:left="5" w:right="44" w:hanging="3"/>
              <w:rPr>
                <w:sz w:val="21"/>
              </w:rPr>
            </w:pPr>
            <w:r>
              <w:rPr>
                <w:spacing w:val="-2"/>
                <w:sz w:val="21"/>
              </w:rPr>
              <w:t>也称赖氏综合征、雷氏综合征</w:t>
            </w:r>
            <w:r>
              <w:rPr>
                <w:spacing w:val="-2"/>
                <w:sz w:val="21"/>
              </w:rPr>
              <w:t>）神经白塞病</w:t>
            </w:r>
          </w:p>
        </w:tc>
      </w:tr>
      <w:tr>
        <w:trPr>
          <w:trHeight w:val="272" w:hRule="atLeast"/>
        </w:trPr>
        <w:tc>
          <w:tcPr>
            <w:tcW w:w="364" w:type="dxa"/>
          </w:tcPr>
          <w:p>
            <w:pPr>
              <w:pStyle w:val="TableParagraph"/>
              <w:spacing w:line="250" w:lineRule="exact" w:before="2"/>
              <w:ind w:left="37" w:right="87"/>
              <w:jc w:val="center"/>
              <w:rPr>
                <w:sz w:val="21"/>
              </w:rPr>
            </w:pPr>
            <w:r>
              <w:rPr>
                <w:spacing w:val="-5"/>
                <w:sz w:val="21"/>
              </w:rPr>
              <w:t>77</w:t>
            </w:r>
          </w:p>
        </w:tc>
        <w:tc>
          <w:tcPr>
            <w:tcW w:w="3086" w:type="dxa"/>
          </w:tcPr>
          <w:p>
            <w:pPr>
              <w:pStyle w:val="TableParagraph"/>
              <w:spacing w:line="250" w:lineRule="exact" w:before="2"/>
              <w:ind w:left="2"/>
              <w:rPr>
                <w:sz w:val="21"/>
              </w:rPr>
            </w:pPr>
            <w:r>
              <w:rPr>
                <w:spacing w:val="-4"/>
                <w:sz w:val="21"/>
              </w:rPr>
              <w:t>严重结核性脊髓炎</w:t>
            </w:r>
          </w:p>
        </w:tc>
        <w:tc>
          <w:tcPr>
            <w:tcW w:w="457" w:type="dxa"/>
          </w:tcPr>
          <w:p>
            <w:pPr>
              <w:pStyle w:val="TableParagraph"/>
              <w:spacing w:line="250" w:lineRule="exact" w:before="2"/>
              <w:ind w:left="145"/>
              <w:rPr>
                <w:sz w:val="21"/>
              </w:rPr>
            </w:pPr>
            <w:r>
              <w:rPr>
                <w:spacing w:val="-5"/>
                <w:sz w:val="21"/>
              </w:rPr>
              <w:t>82</w:t>
            </w:r>
          </w:p>
        </w:tc>
        <w:tc>
          <w:tcPr>
            <w:tcW w:w="2994" w:type="dxa"/>
          </w:tcPr>
          <w:p>
            <w:pPr>
              <w:pStyle w:val="TableParagraph"/>
              <w:spacing w:line="250" w:lineRule="exact" w:before="2"/>
              <w:ind w:left="5"/>
              <w:rPr>
                <w:sz w:val="21"/>
              </w:rPr>
            </w:pPr>
            <w:r>
              <w:rPr>
                <w:spacing w:val="-4"/>
                <w:sz w:val="21"/>
              </w:rPr>
              <w:t>脊髓小脑变性症</w:t>
            </w:r>
          </w:p>
        </w:tc>
      </w:tr>
      <w:tr>
        <w:trPr>
          <w:trHeight w:val="272" w:hRule="atLeast"/>
        </w:trPr>
        <w:tc>
          <w:tcPr>
            <w:tcW w:w="364" w:type="dxa"/>
          </w:tcPr>
          <w:p>
            <w:pPr>
              <w:pStyle w:val="TableParagraph"/>
              <w:spacing w:line="251" w:lineRule="exact" w:before="1"/>
              <w:ind w:left="37" w:right="87"/>
              <w:jc w:val="center"/>
              <w:rPr>
                <w:sz w:val="21"/>
              </w:rPr>
            </w:pPr>
            <w:r>
              <w:rPr>
                <w:spacing w:val="-5"/>
                <w:sz w:val="21"/>
              </w:rPr>
              <w:t>83</w:t>
            </w:r>
          </w:p>
        </w:tc>
        <w:tc>
          <w:tcPr>
            <w:tcW w:w="3086" w:type="dxa"/>
          </w:tcPr>
          <w:p>
            <w:pPr>
              <w:pStyle w:val="TableParagraph"/>
              <w:spacing w:line="251" w:lineRule="exact" w:before="1"/>
              <w:ind w:left="2"/>
              <w:rPr>
                <w:sz w:val="21"/>
              </w:rPr>
            </w:pPr>
            <w:r>
              <w:rPr>
                <w:spacing w:val="-3"/>
                <w:sz w:val="21"/>
              </w:rPr>
              <w:t>进行性多灶性白质脑病</w:t>
            </w:r>
          </w:p>
        </w:tc>
        <w:tc>
          <w:tcPr>
            <w:tcW w:w="457" w:type="dxa"/>
          </w:tcPr>
          <w:p>
            <w:pPr>
              <w:pStyle w:val="TableParagraph"/>
              <w:spacing w:line="251" w:lineRule="exact" w:before="1"/>
              <w:ind w:left="145"/>
              <w:rPr>
                <w:sz w:val="21"/>
              </w:rPr>
            </w:pPr>
            <w:r>
              <w:rPr>
                <w:spacing w:val="-5"/>
                <w:sz w:val="21"/>
              </w:rPr>
              <w:t>84</w:t>
            </w:r>
          </w:p>
        </w:tc>
        <w:tc>
          <w:tcPr>
            <w:tcW w:w="2994" w:type="dxa"/>
          </w:tcPr>
          <w:p>
            <w:pPr>
              <w:pStyle w:val="TableParagraph"/>
              <w:spacing w:line="251" w:lineRule="exact" w:before="1"/>
              <w:ind w:left="5"/>
              <w:rPr>
                <w:sz w:val="21"/>
              </w:rPr>
            </w:pPr>
            <w:r>
              <w:rPr>
                <w:spacing w:val="-4"/>
                <w:sz w:val="21"/>
              </w:rPr>
              <w:t>脑型疟疾</w:t>
            </w:r>
          </w:p>
        </w:tc>
      </w:tr>
      <w:tr>
        <w:trPr>
          <w:trHeight w:val="272" w:hRule="atLeast"/>
        </w:trPr>
        <w:tc>
          <w:tcPr>
            <w:tcW w:w="364" w:type="dxa"/>
          </w:tcPr>
          <w:p>
            <w:pPr>
              <w:pStyle w:val="TableParagraph"/>
              <w:spacing w:line="250" w:lineRule="exact" w:before="2"/>
              <w:ind w:left="37" w:right="87"/>
              <w:jc w:val="center"/>
              <w:rPr>
                <w:sz w:val="21"/>
              </w:rPr>
            </w:pPr>
            <w:r>
              <w:rPr>
                <w:spacing w:val="-5"/>
                <w:sz w:val="21"/>
              </w:rPr>
              <w:t>89</w:t>
            </w:r>
          </w:p>
        </w:tc>
        <w:tc>
          <w:tcPr>
            <w:tcW w:w="3086" w:type="dxa"/>
          </w:tcPr>
          <w:p>
            <w:pPr>
              <w:pStyle w:val="TableParagraph"/>
              <w:spacing w:line="250" w:lineRule="exact" w:before="2"/>
              <w:ind w:left="2"/>
              <w:rPr>
                <w:sz w:val="21"/>
              </w:rPr>
            </w:pPr>
            <w:r>
              <w:rPr>
                <w:spacing w:val="-5"/>
                <w:sz w:val="21"/>
              </w:rPr>
              <w:t>库鲁病</w:t>
            </w:r>
          </w:p>
        </w:tc>
        <w:tc>
          <w:tcPr>
            <w:tcW w:w="457" w:type="dxa"/>
          </w:tcPr>
          <w:p>
            <w:pPr>
              <w:pStyle w:val="TableParagraph"/>
              <w:spacing w:line="250" w:lineRule="exact" w:before="2"/>
              <w:ind w:left="145"/>
              <w:rPr>
                <w:sz w:val="21"/>
              </w:rPr>
            </w:pPr>
            <w:r>
              <w:rPr>
                <w:spacing w:val="-5"/>
                <w:sz w:val="21"/>
              </w:rPr>
              <w:t>90</w:t>
            </w:r>
          </w:p>
        </w:tc>
        <w:tc>
          <w:tcPr>
            <w:tcW w:w="2994" w:type="dxa"/>
          </w:tcPr>
          <w:p>
            <w:pPr>
              <w:pStyle w:val="TableParagraph"/>
              <w:spacing w:line="250" w:lineRule="exact" w:before="2"/>
              <w:ind w:left="5"/>
              <w:rPr>
                <w:sz w:val="21"/>
              </w:rPr>
            </w:pPr>
            <w:r>
              <w:rPr>
                <w:spacing w:val="-4"/>
                <w:sz w:val="21"/>
              </w:rPr>
              <w:t>皮质基底节变性</w:t>
            </w:r>
          </w:p>
        </w:tc>
      </w:tr>
      <w:tr>
        <w:trPr>
          <w:trHeight w:val="272" w:hRule="atLeast"/>
        </w:trPr>
        <w:tc>
          <w:tcPr>
            <w:tcW w:w="364" w:type="dxa"/>
          </w:tcPr>
          <w:p>
            <w:pPr>
              <w:pStyle w:val="TableParagraph"/>
              <w:spacing w:line="251" w:lineRule="exact" w:before="1"/>
              <w:ind w:left="37" w:right="87"/>
              <w:jc w:val="center"/>
              <w:rPr>
                <w:sz w:val="21"/>
              </w:rPr>
            </w:pPr>
            <w:r>
              <w:rPr>
                <w:spacing w:val="-5"/>
                <w:sz w:val="21"/>
              </w:rPr>
              <w:t>91</w:t>
            </w:r>
          </w:p>
        </w:tc>
        <w:tc>
          <w:tcPr>
            <w:tcW w:w="3086" w:type="dxa"/>
          </w:tcPr>
          <w:p>
            <w:pPr>
              <w:pStyle w:val="TableParagraph"/>
              <w:spacing w:line="251" w:lineRule="exact" w:before="1"/>
              <w:ind w:left="2"/>
              <w:rPr>
                <w:sz w:val="21"/>
              </w:rPr>
            </w:pPr>
            <w:r>
              <w:rPr>
                <w:spacing w:val="-4"/>
                <w:sz w:val="21"/>
              </w:rPr>
              <w:t>严重癫痫</w:t>
            </w:r>
          </w:p>
        </w:tc>
        <w:tc>
          <w:tcPr>
            <w:tcW w:w="457" w:type="dxa"/>
          </w:tcPr>
          <w:p>
            <w:pPr>
              <w:pStyle w:val="TableParagraph"/>
              <w:spacing w:line="251" w:lineRule="exact" w:before="1"/>
              <w:ind w:left="145"/>
              <w:rPr>
                <w:sz w:val="21"/>
              </w:rPr>
            </w:pPr>
            <w:r>
              <w:rPr>
                <w:spacing w:val="-5"/>
                <w:sz w:val="21"/>
              </w:rPr>
              <w:t>92</w:t>
            </w:r>
          </w:p>
        </w:tc>
        <w:tc>
          <w:tcPr>
            <w:tcW w:w="2994" w:type="dxa"/>
          </w:tcPr>
          <w:p>
            <w:pPr>
              <w:pStyle w:val="TableParagraph"/>
              <w:spacing w:line="251" w:lineRule="exact" w:before="1"/>
              <w:ind w:left="5"/>
              <w:rPr>
                <w:sz w:val="21"/>
              </w:rPr>
            </w:pPr>
            <w:r>
              <w:rPr>
                <w:spacing w:val="-3"/>
                <w:sz w:val="21"/>
              </w:rPr>
              <w:t>肾上腺脑白质营养不良</w:t>
            </w:r>
          </w:p>
        </w:tc>
      </w:tr>
      <w:tr>
        <w:trPr>
          <w:trHeight w:val="272" w:hRule="atLeast"/>
        </w:trPr>
        <w:tc>
          <w:tcPr>
            <w:tcW w:w="364" w:type="dxa"/>
          </w:tcPr>
          <w:p>
            <w:pPr>
              <w:pStyle w:val="TableParagraph"/>
              <w:spacing w:line="250" w:lineRule="exact" w:before="2"/>
              <w:ind w:left="50" w:right="-15"/>
              <w:jc w:val="center"/>
              <w:rPr>
                <w:sz w:val="21"/>
              </w:rPr>
            </w:pPr>
            <w:r>
              <w:rPr>
                <w:spacing w:val="-5"/>
                <w:sz w:val="21"/>
              </w:rPr>
              <w:t>104</w:t>
            </w:r>
          </w:p>
        </w:tc>
        <w:tc>
          <w:tcPr>
            <w:tcW w:w="3086" w:type="dxa"/>
          </w:tcPr>
          <w:p>
            <w:pPr>
              <w:pStyle w:val="TableParagraph"/>
              <w:spacing w:line="250" w:lineRule="exact" w:before="2"/>
              <w:ind w:left="108"/>
              <w:rPr>
                <w:sz w:val="21"/>
              </w:rPr>
            </w:pPr>
            <w:r>
              <w:rPr>
                <w:spacing w:val="-3"/>
                <w:sz w:val="21"/>
              </w:rPr>
              <w:t>疾病或外伤所致智力障碍</w:t>
            </w:r>
          </w:p>
        </w:tc>
        <w:tc>
          <w:tcPr>
            <w:tcW w:w="457" w:type="dxa"/>
          </w:tcPr>
          <w:p>
            <w:pPr>
              <w:pStyle w:val="TableParagraph"/>
              <w:spacing w:line="250" w:lineRule="exact" w:before="2"/>
              <w:ind w:left="145" w:right="-15"/>
              <w:rPr>
                <w:sz w:val="21"/>
              </w:rPr>
            </w:pPr>
            <w:r>
              <w:rPr>
                <w:spacing w:val="-5"/>
                <w:sz w:val="21"/>
              </w:rPr>
              <w:t>106</w:t>
            </w:r>
          </w:p>
        </w:tc>
        <w:tc>
          <w:tcPr>
            <w:tcW w:w="2994" w:type="dxa"/>
          </w:tcPr>
          <w:p>
            <w:pPr>
              <w:pStyle w:val="TableParagraph"/>
              <w:spacing w:line="250" w:lineRule="exact" w:before="2"/>
              <w:ind w:left="110"/>
              <w:rPr>
                <w:sz w:val="21"/>
              </w:rPr>
            </w:pPr>
            <w:r>
              <w:rPr>
                <w:spacing w:val="-3"/>
                <w:sz w:val="21"/>
              </w:rPr>
              <w:t>破裂脑动脉瘤夹闭手术</w:t>
            </w:r>
          </w:p>
        </w:tc>
      </w:tr>
      <w:tr>
        <w:trPr>
          <w:trHeight w:val="272" w:hRule="atLeast"/>
        </w:trPr>
        <w:tc>
          <w:tcPr>
            <w:tcW w:w="364" w:type="dxa"/>
          </w:tcPr>
          <w:p>
            <w:pPr>
              <w:pStyle w:val="TableParagraph"/>
              <w:spacing w:line="251" w:lineRule="exact" w:before="1"/>
              <w:ind w:left="50" w:right="-15"/>
              <w:jc w:val="center"/>
              <w:rPr>
                <w:sz w:val="21"/>
              </w:rPr>
            </w:pPr>
            <w:r>
              <w:rPr>
                <w:spacing w:val="-5"/>
                <w:sz w:val="21"/>
              </w:rPr>
              <w:t>112</w:t>
            </w:r>
          </w:p>
        </w:tc>
        <w:tc>
          <w:tcPr>
            <w:tcW w:w="3086" w:type="dxa"/>
          </w:tcPr>
          <w:p>
            <w:pPr>
              <w:pStyle w:val="TableParagraph"/>
              <w:spacing w:line="251" w:lineRule="exact" w:before="1"/>
              <w:ind w:left="108"/>
              <w:rPr>
                <w:sz w:val="21"/>
              </w:rPr>
            </w:pPr>
            <w:r>
              <w:rPr>
                <w:spacing w:val="-3"/>
                <w:sz w:val="21"/>
              </w:rPr>
              <w:t>肌萎缩脊髓侧索硬化后遗症</w:t>
            </w:r>
          </w:p>
        </w:tc>
        <w:tc>
          <w:tcPr>
            <w:tcW w:w="457" w:type="dxa"/>
          </w:tcPr>
          <w:p>
            <w:pPr>
              <w:pStyle w:val="TableParagraph"/>
              <w:spacing w:line="251" w:lineRule="exact" w:before="1"/>
              <w:ind w:left="145" w:right="-15"/>
              <w:rPr>
                <w:sz w:val="21"/>
              </w:rPr>
            </w:pPr>
            <w:r>
              <w:rPr>
                <w:spacing w:val="-5"/>
                <w:sz w:val="21"/>
              </w:rPr>
              <w:t>113</w:t>
            </w:r>
          </w:p>
        </w:tc>
        <w:tc>
          <w:tcPr>
            <w:tcW w:w="2994" w:type="dxa"/>
          </w:tcPr>
          <w:p>
            <w:pPr>
              <w:pStyle w:val="TableParagraph"/>
              <w:spacing w:line="251" w:lineRule="exact" w:before="1"/>
              <w:ind w:left="110"/>
              <w:rPr>
                <w:sz w:val="21"/>
              </w:rPr>
            </w:pPr>
            <w:r>
              <w:rPr>
                <w:spacing w:val="-4"/>
                <w:sz w:val="21"/>
              </w:rPr>
              <w:t>严重结核性脑膜炎</w:t>
            </w:r>
          </w:p>
        </w:tc>
      </w:tr>
      <w:tr>
        <w:trPr>
          <w:trHeight w:val="272" w:hRule="atLeast"/>
        </w:trPr>
        <w:tc>
          <w:tcPr>
            <w:tcW w:w="364" w:type="dxa"/>
          </w:tcPr>
          <w:p>
            <w:pPr>
              <w:pStyle w:val="TableParagraph"/>
              <w:spacing w:line="250" w:lineRule="exact" w:before="2"/>
              <w:ind w:left="50" w:right="-15"/>
              <w:jc w:val="center"/>
              <w:rPr>
                <w:sz w:val="21"/>
              </w:rPr>
            </w:pPr>
            <w:r>
              <w:rPr>
                <w:spacing w:val="-5"/>
                <w:sz w:val="21"/>
              </w:rPr>
              <w:t>115</w:t>
            </w:r>
          </w:p>
        </w:tc>
        <w:tc>
          <w:tcPr>
            <w:tcW w:w="3086" w:type="dxa"/>
          </w:tcPr>
          <w:p>
            <w:pPr>
              <w:pStyle w:val="TableParagraph"/>
              <w:spacing w:line="250" w:lineRule="exact" w:before="2"/>
              <w:ind w:left="108"/>
              <w:rPr>
                <w:sz w:val="21"/>
              </w:rPr>
            </w:pPr>
            <w:r>
              <w:rPr>
                <w:spacing w:val="-3"/>
                <w:sz w:val="21"/>
              </w:rPr>
              <w:t>婴儿进行性脊肌萎缩症</w:t>
            </w:r>
          </w:p>
        </w:tc>
        <w:tc>
          <w:tcPr>
            <w:tcW w:w="457" w:type="dxa"/>
          </w:tcPr>
          <w:p>
            <w:pPr>
              <w:pStyle w:val="TableParagraph"/>
              <w:spacing w:line="250" w:lineRule="exact" w:before="2"/>
              <w:ind w:left="145" w:right="-15"/>
              <w:rPr>
                <w:sz w:val="21"/>
              </w:rPr>
            </w:pPr>
            <w:r>
              <w:rPr>
                <w:spacing w:val="-5"/>
                <w:sz w:val="21"/>
              </w:rPr>
              <w:t>118</w:t>
            </w:r>
          </w:p>
        </w:tc>
        <w:tc>
          <w:tcPr>
            <w:tcW w:w="2994" w:type="dxa"/>
          </w:tcPr>
          <w:p>
            <w:pPr>
              <w:pStyle w:val="TableParagraph"/>
              <w:spacing w:line="250" w:lineRule="exact" w:before="2"/>
              <w:ind w:left="110"/>
              <w:rPr>
                <w:sz w:val="21"/>
              </w:rPr>
            </w:pPr>
            <w:r>
              <w:rPr>
                <w:spacing w:val="-4"/>
                <w:sz w:val="21"/>
              </w:rPr>
              <w:t>血管性痴呆</w:t>
            </w:r>
          </w:p>
        </w:tc>
      </w:tr>
      <w:tr>
        <w:trPr>
          <w:trHeight w:val="408" w:hRule="atLeast"/>
        </w:trPr>
        <w:tc>
          <w:tcPr>
            <w:tcW w:w="364" w:type="dxa"/>
          </w:tcPr>
          <w:p>
            <w:pPr>
              <w:pStyle w:val="TableParagraph"/>
              <w:spacing w:before="1"/>
              <w:ind w:left="50" w:right="-15"/>
              <w:jc w:val="center"/>
              <w:rPr>
                <w:sz w:val="21"/>
              </w:rPr>
            </w:pPr>
            <w:r>
              <w:rPr>
                <w:spacing w:val="-5"/>
                <w:sz w:val="21"/>
              </w:rPr>
              <w:t>119</w:t>
            </w:r>
          </w:p>
        </w:tc>
        <w:tc>
          <w:tcPr>
            <w:tcW w:w="3086" w:type="dxa"/>
          </w:tcPr>
          <w:p>
            <w:pPr>
              <w:pStyle w:val="TableParagraph"/>
              <w:spacing w:before="1"/>
              <w:ind w:left="108"/>
              <w:rPr>
                <w:sz w:val="21"/>
              </w:rPr>
            </w:pPr>
            <w:r>
              <w:rPr>
                <w:spacing w:val="-4"/>
                <w:sz w:val="21"/>
              </w:rPr>
              <w:t>额颞叶痴呆</w:t>
            </w:r>
          </w:p>
        </w:tc>
        <w:tc>
          <w:tcPr>
            <w:tcW w:w="457" w:type="dxa"/>
          </w:tcPr>
          <w:p>
            <w:pPr>
              <w:pStyle w:val="TableParagraph"/>
              <w:spacing w:before="1"/>
              <w:ind w:left="145" w:right="-15"/>
              <w:rPr>
                <w:sz w:val="21"/>
              </w:rPr>
            </w:pPr>
            <w:r>
              <w:rPr>
                <w:spacing w:val="-5"/>
                <w:sz w:val="21"/>
              </w:rPr>
              <w:t>120</w:t>
            </w:r>
          </w:p>
        </w:tc>
        <w:tc>
          <w:tcPr>
            <w:tcW w:w="2994" w:type="dxa"/>
          </w:tcPr>
          <w:p>
            <w:pPr>
              <w:pStyle w:val="TableParagraph"/>
              <w:spacing w:before="1"/>
              <w:ind w:left="110"/>
              <w:rPr>
                <w:sz w:val="21"/>
              </w:rPr>
            </w:pPr>
            <w:r>
              <w:rPr>
                <w:spacing w:val="-4"/>
                <w:sz w:val="21"/>
              </w:rPr>
              <w:t>路易体痴呆</w:t>
            </w:r>
          </w:p>
        </w:tc>
      </w:tr>
      <w:tr>
        <w:trPr>
          <w:trHeight w:val="378" w:hRule="atLeast"/>
        </w:trPr>
        <w:tc>
          <w:tcPr>
            <w:tcW w:w="364" w:type="dxa"/>
          </w:tcPr>
          <w:p>
            <w:pPr>
              <w:pStyle w:val="TableParagraph"/>
              <w:spacing w:line="220" w:lineRule="exact" w:before="138"/>
              <w:ind w:left="49" w:right="-15"/>
              <w:jc w:val="center"/>
              <w:rPr>
                <w:sz w:val="21"/>
              </w:rPr>
            </w:pPr>
            <w:r>
              <w:rPr>
                <w:sz w:val="21"/>
              </w:rPr>
              <w:t>F</w:t>
            </w:r>
            <w:r>
              <w:rPr>
                <w:spacing w:val="-10"/>
                <w:sz w:val="21"/>
              </w:rPr>
              <w:t>组</w:t>
            </w:r>
          </w:p>
        </w:tc>
        <w:tc>
          <w:tcPr>
            <w:tcW w:w="3086" w:type="dxa"/>
          </w:tcPr>
          <w:p>
            <w:pPr>
              <w:pStyle w:val="TableParagraph"/>
              <w:rPr>
                <w:rFonts w:ascii="Times New Roman"/>
                <w:sz w:val="20"/>
              </w:rPr>
            </w:pPr>
          </w:p>
        </w:tc>
        <w:tc>
          <w:tcPr>
            <w:tcW w:w="457" w:type="dxa"/>
          </w:tcPr>
          <w:p>
            <w:pPr>
              <w:pStyle w:val="TableParagraph"/>
              <w:rPr>
                <w:rFonts w:ascii="Times New Roman"/>
                <w:sz w:val="20"/>
              </w:rPr>
            </w:pPr>
          </w:p>
        </w:tc>
        <w:tc>
          <w:tcPr>
            <w:tcW w:w="2994" w:type="dxa"/>
          </w:tcPr>
          <w:p>
            <w:pPr>
              <w:pStyle w:val="TableParagraph"/>
              <w:rPr>
                <w:rFonts w:ascii="Times New Roman"/>
                <w:sz w:val="20"/>
              </w:rPr>
            </w:pPr>
          </w:p>
        </w:tc>
      </w:tr>
      <w:tr>
        <w:trPr>
          <w:trHeight w:val="544" w:hRule="atLeast"/>
        </w:trPr>
        <w:tc>
          <w:tcPr>
            <w:tcW w:w="3450" w:type="dxa"/>
            <w:gridSpan w:val="2"/>
          </w:tcPr>
          <w:p>
            <w:pPr>
              <w:pStyle w:val="TableParagraph"/>
              <w:spacing w:before="10"/>
              <w:rPr>
                <w:sz w:val="23"/>
              </w:rPr>
            </w:pPr>
          </w:p>
          <w:p>
            <w:pPr>
              <w:pStyle w:val="TableParagraph"/>
              <w:spacing w:line="220" w:lineRule="exact"/>
              <w:ind w:left="50"/>
              <w:rPr>
                <w:sz w:val="21"/>
              </w:rPr>
            </w:pPr>
            <w:r>
              <w:rPr>
                <w:sz w:val="21"/>
              </w:rPr>
              <w:t>7</w:t>
            </w:r>
            <w:r>
              <w:rPr>
                <w:spacing w:val="-4"/>
                <w:sz w:val="21"/>
              </w:rPr>
              <w:t> 多个肢体缺失</w:t>
            </w:r>
          </w:p>
        </w:tc>
        <w:tc>
          <w:tcPr>
            <w:tcW w:w="457" w:type="dxa"/>
          </w:tcPr>
          <w:p>
            <w:pPr>
              <w:pStyle w:val="TableParagraph"/>
              <w:spacing w:before="10"/>
              <w:rPr>
                <w:sz w:val="23"/>
              </w:rPr>
            </w:pPr>
          </w:p>
          <w:p>
            <w:pPr>
              <w:pStyle w:val="TableParagraph"/>
              <w:spacing w:line="220" w:lineRule="exact"/>
              <w:ind w:left="145"/>
              <w:rPr>
                <w:sz w:val="21"/>
              </w:rPr>
            </w:pPr>
            <w:r>
              <w:rPr>
                <w:spacing w:val="-5"/>
                <w:sz w:val="21"/>
              </w:rPr>
              <w:t>20</w:t>
            </w:r>
          </w:p>
        </w:tc>
        <w:tc>
          <w:tcPr>
            <w:tcW w:w="2994" w:type="dxa"/>
          </w:tcPr>
          <w:p>
            <w:pPr>
              <w:pStyle w:val="TableParagraph"/>
              <w:spacing w:before="10"/>
              <w:rPr>
                <w:sz w:val="23"/>
              </w:rPr>
            </w:pPr>
          </w:p>
          <w:p>
            <w:pPr>
              <w:pStyle w:val="TableParagraph"/>
              <w:spacing w:line="220" w:lineRule="exact"/>
              <w:ind w:left="5"/>
              <w:rPr>
                <w:sz w:val="21"/>
              </w:rPr>
            </w:pPr>
            <w:r>
              <w:rPr>
                <w:spacing w:val="-4"/>
                <w:sz w:val="21"/>
              </w:rPr>
              <w:t>严重Ⅲ度烧伤</w:t>
            </w:r>
          </w:p>
        </w:tc>
      </w:tr>
      <w:tr>
        <w:trPr>
          <w:trHeight w:val="302" w:hRule="atLeast"/>
        </w:trPr>
        <w:tc>
          <w:tcPr>
            <w:tcW w:w="364" w:type="dxa"/>
          </w:tcPr>
          <w:p>
            <w:pPr>
              <w:pStyle w:val="TableParagraph"/>
              <w:spacing w:line="251" w:lineRule="exact" w:before="31"/>
              <w:ind w:left="37" w:right="87"/>
              <w:jc w:val="center"/>
              <w:rPr>
                <w:sz w:val="21"/>
              </w:rPr>
            </w:pPr>
            <w:r>
              <w:rPr>
                <w:spacing w:val="-5"/>
                <w:sz w:val="21"/>
              </w:rPr>
              <w:t>30</w:t>
            </w:r>
          </w:p>
        </w:tc>
        <w:tc>
          <w:tcPr>
            <w:tcW w:w="3086" w:type="dxa"/>
          </w:tcPr>
          <w:p>
            <w:pPr>
              <w:pStyle w:val="TableParagraph"/>
              <w:spacing w:line="251" w:lineRule="exact" w:before="31"/>
              <w:ind w:left="2"/>
              <w:rPr>
                <w:sz w:val="21"/>
              </w:rPr>
            </w:pPr>
            <w:r>
              <w:rPr>
                <w:spacing w:val="-2"/>
                <w:sz w:val="21"/>
              </w:rPr>
              <w:t>严重1</w:t>
            </w:r>
            <w:r>
              <w:rPr>
                <w:spacing w:val="-4"/>
                <w:sz w:val="21"/>
              </w:rPr>
              <w:t>型糖尿病</w:t>
            </w:r>
          </w:p>
        </w:tc>
        <w:tc>
          <w:tcPr>
            <w:tcW w:w="457" w:type="dxa"/>
          </w:tcPr>
          <w:p>
            <w:pPr>
              <w:pStyle w:val="TableParagraph"/>
              <w:spacing w:line="251" w:lineRule="exact" w:before="31"/>
              <w:ind w:left="145"/>
              <w:rPr>
                <w:sz w:val="21"/>
              </w:rPr>
            </w:pPr>
            <w:r>
              <w:rPr>
                <w:spacing w:val="-5"/>
                <w:sz w:val="21"/>
              </w:rPr>
              <w:t>32</w:t>
            </w:r>
          </w:p>
        </w:tc>
        <w:tc>
          <w:tcPr>
            <w:tcW w:w="2994" w:type="dxa"/>
          </w:tcPr>
          <w:p>
            <w:pPr>
              <w:pStyle w:val="TableParagraph"/>
              <w:spacing w:line="251" w:lineRule="exact" w:before="31"/>
              <w:ind w:left="5"/>
              <w:rPr>
                <w:sz w:val="21"/>
              </w:rPr>
            </w:pPr>
            <w:r>
              <w:rPr>
                <w:spacing w:val="-3"/>
                <w:sz w:val="21"/>
              </w:rPr>
              <w:t>严重类风湿性关节炎</w:t>
            </w:r>
          </w:p>
        </w:tc>
      </w:tr>
      <w:tr>
        <w:trPr>
          <w:trHeight w:val="272" w:hRule="atLeast"/>
        </w:trPr>
        <w:tc>
          <w:tcPr>
            <w:tcW w:w="364" w:type="dxa"/>
          </w:tcPr>
          <w:p>
            <w:pPr>
              <w:pStyle w:val="TableParagraph"/>
              <w:spacing w:line="250" w:lineRule="exact" w:before="2"/>
              <w:ind w:left="37" w:right="87"/>
              <w:jc w:val="center"/>
              <w:rPr>
                <w:sz w:val="21"/>
              </w:rPr>
            </w:pPr>
            <w:r>
              <w:rPr>
                <w:spacing w:val="-5"/>
                <w:sz w:val="21"/>
              </w:rPr>
              <w:t>34</w:t>
            </w:r>
          </w:p>
        </w:tc>
        <w:tc>
          <w:tcPr>
            <w:tcW w:w="3086" w:type="dxa"/>
          </w:tcPr>
          <w:p>
            <w:pPr>
              <w:pStyle w:val="TableParagraph"/>
              <w:spacing w:line="250" w:lineRule="exact" w:before="2"/>
              <w:ind w:left="2"/>
              <w:rPr>
                <w:sz w:val="21"/>
              </w:rPr>
            </w:pPr>
            <w:r>
              <w:rPr>
                <w:spacing w:val="-3"/>
                <w:sz w:val="21"/>
              </w:rPr>
              <w:t>重症急性坏死性筋膜炎</w:t>
            </w:r>
          </w:p>
        </w:tc>
        <w:tc>
          <w:tcPr>
            <w:tcW w:w="457" w:type="dxa"/>
          </w:tcPr>
          <w:p>
            <w:pPr>
              <w:pStyle w:val="TableParagraph"/>
              <w:spacing w:line="250" w:lineRule="exact" w:before="2"/>
              <w:ind w:left="145"/>
              <w:rPr>
                <w:sz w:val="21"/>
              </w:rPr>
            </w:pPr>
            <w:r>
              <w:rPr>
                <w:spacing w:val="-5"/>
                <w:sz w:val="21"/>
              </w:rPr>
              <w:t>37</w:t>
            </w:r>
          </w:p>
        </w:tc>
        <w:tc>
          <w:tcPr>
            <w:tcW w:w="2994" w:type="dxa"/>
          </w:tcPr>
          <w:p>
            <w:pPr>
              <w:pStyle w:val="TableParagraph"/>
              <w:spacing w:line="250" w:lineRule="exact" w:before="2"/>
              <w:ind w:left="5"/>
              <w:rPr>
                <w:sz w:val="21"/>
              </w:rPr>
            </w:pPr>
            <w:r>
              <w:rPr>
                <w:spacing w:val="-3"/>
                <w:sz w:val="21"/>
              </w:rPr>
              <w:t>严重原发性硬化性胆管炎</w:t>
            </w:r>
          </w:p>
        </w:tc>
      </w:tr>
      <w:tr>
        <w:trPr>
          <w:trHeight w:val="272" w:hRule="atLeast"/>
        </w:trPr>
        <w:tc>
          <w:tcPr>
            <w:tcW w:w="364" w:type="dxa"/>
          </w:tcPr>
          <w:p>
            <w:pPr>
              <w:pStyle w:val="TableParagraph"/>
              <w:spacing w:line="251" w:lineRule="exact" w:before="1"/>
              <w:ind w:left="37" w:right="87"/>
              <w:jc w:val="center"/>
              <w:rPr>
                <w:sz w:val="21"/>
              </w:rPr>
            </w:pPr>
            <w:r>
              <w:rPr>
                <w:spacing w:val="-5"/>
                <w:sz w:val="21"/>
              </w:rPr>
              <w:t>39</w:t>
            </w:r>
          </w:p>
        </w:tc>
        <w:tc>
          <w:tcPr>
            <w:tcW w:w="3086" w:type="dxa"/>
          </w:tcPr>
          <w:p>
            <w:pPr>
              <w:pStyle w:val="TableParagraph"/>
              <w:spacing w:line="251" w:lineRule="exact" w:before="1"/>
              <w:ind w:left="2"/>
              <w:rPr>
                <w:sz w:val="21"/>
              </w:rPr>
            </w:pPr>
            <w:r>
              <w:rPr>
                <w:spacing w:val="-4"/>
                <w:sz w:val="21"/>
              </w:rPr>
              <w:t>严重肌营养不良症</w:t>
            </w:r>
          </w:p>
        </w:tc>
        <w:tc>
          <w:tcPr>
            <w:tcW w:w="457" w:type="dxa"/>
          </w:tcPr>
          <w:p>
            <w:pPr>
              <w:pStyle w:val="TableParagraph"/>
              <w:spacing w:line="251" w:lineRule="exact" w:before="1"/>
              <w:ind w:left="145"/>
              <w:rPr>
                <w:sz w:val="21"/>
              </w:rPr>
            </w:pPr>
            <w:r>
              <w:rPr>
                <w:spacing w:val="-5"/>
                <w:sz w:val="21"/>
              </w:rPr>
              <w:t>43</w:t>
            </w:r>
          </w:p>
        </w:tc>
        <w:tc>
          <w:tcPr>
            <w:tcW w:w="2994" w:type="dxa"/>
          </w:tcPr>
          <w:p>
            <w:pPr>
              <w:pStyle w:val="TableParagraph"/>
              <w:spacing w:line="251" w:lineRule="exact" w:before="1"/>
              <w:ind w:left="5"/>
              <w:rPr>
                <w:sz w:val="21"/>
              </w:rPr>
            </w:pPr>
            <w:r>
              <w:rPr>
                <w:spacing w:val="-4"/>
                <w:sz w:val="21"/>
              </w:rPr>
              <w:t>丝虫病所致象皮肿</w:t>
            </w:r>
          </w:p>
        </w:tc>
      </w:tr>
      <w:tr>
        <w:trPr>
          <w:trHeight w:val="272" w:hRule="atLeast"/>
        </w:trPr>
        <w:tc>
          <w:tcPr>
            <w:tcW w:w="364" w:type="dxa"/>
          </w:tcPr>
          <w:p>
            <w:pPr>
              <w:pStyle w:val="TableParagraph"/>
              <w:spacing w:line="250" w:lineRule="exact" w:before="2"/>
              <w:ind w:left="37" w:right="87"/>
              <w:jc w:val="center"/>
              <w:rPr>
                <w:sz w:val="21"/>
              </w:rPr>
            </w:pPr>
            <w:r>
              <w:rPr>
                <w:spacing w:val="-5"/>
                <w:sz w:val="21"/>
              </w:rPr>
              <w:t>56</w:t>
            </w:r>
          </w:p>
        </w:tc>
        <w:tc>
          <w:tcPr>
            <w:tcW w:w="3086" w:type="dxa"/>
          </w:tcPr>
          <w:p>
            <w:pPr>
              <w:pStyle w:val="TableParagraph"/>
              <w:spacing w:line="250" w:lineRule="exact" w:before="2"/>
              <w:ind w:left="2"/>
              <w:rPr>
                <w:sz w:val="21"/>
              </w:rPr>
            </w:pPr>
            <w:r>
              <w:rPr>
                <w:spacing w:val="-4"/>
                <w:sz w:val="21"/>
              </w:rPr>
              <w:t>失去一眼及一肢</w:t>
            </w:r>
          </w:p>
        </w:tc>
        <w:tc>
          <w:tcPr>
            <w:tcW w:w="457" w:type="dxa"/>
          </w:tcPr>
          <w:p>
            <w:pPr>
              <w:pStyle w:val="TableParagraph"/>
              <w:spacing w:line="250" w:lineRule="exact" w:before="2"/>
              <w:ind w:left="145"/>
              <w:rPr>
                <w:sz w:val="21"/>
              </w:rPr>
            </w:pPr>
            <w:r>
              <w:rPr>
                <w:spacing w:val="-5"/>
                <w:sz w:val="21"/>
              </w:rPr>
              <w:t>57</w:t>
            </w:r>
          </w:p>
        </w:tc>
        <w:tc>
          <w:tcPr>
            <w:tcW w:w="2994" w:type="dxa"/>
          </w:tcPr>
          <w:p>
            <w:pPr>
              <w:pStyle w:val="TableParagraph"/>
              <w:spacing w:line="250" w:lineRule="exact" w:before="2"/>
              <w:ind w:left="5"/>
              <w:rPr>
                <w:sz w:val="21"/>
              </w:rPr>
            </w:pPr>
            <w:r>
              <w:rPr>
                <w:spacing w:val="-3"/>
                <w:sz w:val="21"/>
              </w:rPr>
              <w:t>因职业关系导致的艾滋病病毒</w:t>
            </w:r>
          </w:p>
        </w:tc>
      </w:tr>
      <w:tr>
        <w:trPr>
          <w:trHeight w:val="544" w:hRule="atLeast"/>
        </w:trPr>
        <w:tc>
          <w:tcPr>
            <w:tcW w:w="364" w:type="dxa"/>
          </w:tcPr>
          <w:p>
            <w:pPr>
              <w:pStyle w:val="TableParagraph"/>
              <w:spacing w:before="6"/>
              <w:rPr>
                <w:sz w:val="21"/>
              </w:rPr>
            </w:pPr>
          </w:p>
          <w:p>
            <w:pPr>
              <w:pStyle w:val="TableParagraph"/>
              <w:spacing w:line="250" w:lineRule="exact"/>
              <w:ind w:left="37" w:right="87"/>
              <w:jc w:val="center"/>
              <w:rPr>
                <w:sz w:val="21"/>
              </w:rPr>
            </w:pPr>
            <w:r>
              <w:rPr>
                <w:spacing w:val="-5"/>
                <w:sz w:val="21"/>
              </w:rPr>
              <w:t>64</w:t>
            </w:r>
          </w:p>
        </w:tc>
        <w:tc>
          <w:tcPr>
            <w:tcW w:w="3086" w:type="dxa"/>
          </w:tcPr>
          <w:p>
            <w:pPr>
              <w:pStyle w:val="TableParagraph"/>
              <w:spacing w:before="6"/>
              <w:rPr>
                <w:sz w:val="21"/>
              </w:rPr>
            </w:pPr>
          </w:p>
          <w:p>
            <w:pPr>
              <w:pStyle w:val="TableParagraph"/>
              <w:spacing w:line="250" w:lineRule="exact"/>
              <w:ind w:left="2"/>
              <w:rPr>
                <w:sz w:val="21"/>
              </w:rPr>
            </w:pPr>
            <w:r>
              <w:rPr>
                <w:spacing w:val="-4"/>
                <w:sz w:val="21"/>
              </w:rPr>
              <w:t>亚历山大病</w:t>
            </w:r>
          </w:p>
        </w:tc>
        <w:tc>
          <w:tcPr>
            <w:tcW w:w="457" w:type="dxa"/>
          </w:tcPr>
          <w:p>
            <w:pPr>
              <w:pStyle w:val="TableParagraph"/>
              <w:spacing w:before="6"/>
              <w:rPr>
                <w:sz w:val="21"/>
              </w:rPr>
            </w:pPr>
          </w:p>
          <w:p>
            <w:pPr>
              <w:pStyle w:val="TableParagraph"/>
              <w:spacing w:line="250" w:lineRule="exact"/>
              <w:ind w:left="145"/>
              <w:rPr>
                <w:sz w:val="21"/>
              </w:rPr>
            </w:pPr>
            <w:r>
              <w:rPr>
                <w:spacing w:val="-5"/>
                <w:sz w:val="21"/>
              </w:rPr>
              <w:t>67</w:t>
            </w:r>
          </w:p>
        </w:tc>
        <w:tc>
          <w:tcPr>
            <w:tcW w:w="2994" w:type="dxa"/>
          </w:tcPr>
          <w:p>
            <w:pPr>
              <w:pStyle w:val="TableParagraph"/>
              <w:spacing w:before="1"/>
              <w:ind w:left="2"/>
              <w:rPr>
                <w:sz w:val="21"/>
              </w:rPr>
            </w:pPr>
            <w:r>
              <w:rPr>
                <w:spacing w:val="-4"/>
                <w:sz w:val="21"/>
              </w:rPr>
              <w:t>感染或患艾滋病</w:t>
            </w:r>
          </w:p>
          <w:p>
            <w:pPr>
              <w:pStyle w:val="TableParagraph"/>
              <w:spacing w:line="250" w:lineRule="exact" w:before="5"/>
              <w:ind w:left="5"/>
              <w:rPr>
                <w:sz w:val="21"/>
              </w:rPr>
            </w:pPr>
            <w:r>
              <w:rPr>
                <w:spacing w:val="-4"/>
                <w:sz w:val="21"/>
              </w:rPr>
              <w:t>重症手足口病</w:t>
            </w:r>
          </w:p>
        </w:tc>
      </w:tr>
      <w:tr>
        <w:trPr>
          <w:trHeight w:val="272" w:hRule="atLeast"/>
        </w:trPr>
        <w:tc>
          <w:tcPr>
            <w:tcW w:w="364" w:type="dxa"/>
          </w:tcPr>
          <w:p>
            <w:pPr>
              <w:pStyle w:val="TableParagraph"/>
              <w:spacing w:line="251" w:lineRule="exact" w:before="1"/>
              <w:ind w:left="37" w:right="87"/>
              <w:jc w:val="center"/>
              <w:rPr>
                <w:sz w:val="21"/>
              </w:rPr>
            </w:pPr>
            <w:r>
              <w:rPr>
                <w:spacing w:val="-5"/>
                <w:sz w:val="21"/>
              </w:rPr>
              <w:t>68</w:t>
            </w:r>
          </w:p>
        </w:tc>
        <w:tc>
          <w:tcPr>
            <w:tcW w:w="3086" w:type="dxa"/>
          </w:tcPr>
          <w:p>
            <w:pPr>
              <w:pStyle w:val="TableParagraph"/>
              <w:spacing w:line="251" w:lineRule="exact" w:before="1"/>
              <w:ind w:left="2"/>
              <w:rPr>
                <w:sz w:val="21"/>
              </w:rPr>
            </w:pPr>
            <w:r>
              <w:rPr>
                <w:spacing w:val="-4"/>
                <w:sz w:val="21"/>
              </w:rPr>
              <w:t>骨生长不全症</w:t>
            </w:r>
          </w:p>
        </w:tc>
        <w:tc>
          <w:tcPr>
            <w:tcW w:w="457" w:type="dxa"/>
          </w:tcPr>
          <w:p>
            <w:pPr>
              <w:pStyle w:val="TableParagraph"/>
              <w:spacing w:line="251" w:lineRule="exact" w:before="1"/>
              <w:ind w:left="145"/>
              <w:rPr>
                <w:sz w:val="21"/>
              </w:rPr>
            </w:pPr>
            <w:r>
              <w:rPr>
                <w:spacing w:val="-5"/>
                <w:sz w:val="21"/>
              </w:rPr>
              <w:t>70</w:t>
            </w:r>
          </w:p>
        </w:tc>
        <w:tc>
          <w:tcPr>
            <w:tcW w:w="2994" w:type="dxa"/>
          </w:tcPr>
          <w:p>
            <w:pPr>
              <w:pStyle w:val="TableParagraph"/>
              <w:spacing w:line="251" w:lineRule="exact" w:before="1"/>
              <w:ind w:left="5"/>
              <w:rPr>
                <w:sz w:val="21"/>
              </w:rPr>
            </w:pPr>
            <w:r>
              <w:rPr>
                <w:spacing w:val="-3"/>
                <w:sz w:val="21"/>
              </w:rPr>
              <w:t>严重Ⅲ度冻伤导致截肢</w:t>
            </w:r>
          </w:p>
        </w:tc>
      </w:tr>
      <w:tr>
        <w:trPr>
          <w:trHeight w:val="272" w:hRule="atLeast"/>
        </w:trPr>
        <w:tc>
          <w:tcPr>
            <w:tcW w:w="364" w:type="dxa"/>
          </w:tcPr>
          <w:p>
            <w:pPr>
              <w:pStyle w:val="TableParagraph"/>
              <w:spacing w:line="250" w:lineRule="exact" w:before="3"/>
              <w:ind w:left="37" w:right="87"/>
              <w:jc w:val="center"/>
              <w:rPr>
                <w:sz w:val="21"/>
              </w:rPr>
            </w:pPr>
            <w:r>
              <w:rPr>
                <w:spacing w:val="-5"/>
                <w:sz w:val="21"/>
              </w:rPr>
              <w:t>71</w:t>
            </w:r>
          </w:p>
        </w:tc>
        <w:tc>
          <w:tcPr>
            <w:tcW w:w="3086" w:type="dxa"/>
          </w:tcPr>
          <w:p>
            <w:pPr>
              <w:pStyle w:val="TableParagraph"/>
              <w:spacing w:line="250" w:lineRule="exact" w:before="3"/>
              <w:ind w:left="2"/>
              <w:rPr>
                <w:sz w:val="21"/>
              </w:rPr>
            </w:pPr>
            <w:r>
              <w:rPr>
                <w:spacing w:val="-3"/>
                <w:sz w:val="21"/>
              </w:rPr>
              <w:t>因器官移植导致的艾滋病病毒感</w:t>
            </w:r>
          </w:p>
        </w:tc>
        <w:tc>
          <w:tcPr>
            <w:tcW w:w="457" w:type="dxa"/>
          </w:tcPr>
          <w:p>
            <w:pPr>
              <w:pStyle w:val="TableParagraph"/>
              <w:spacing w:line="250" w:lineRule="exact" w:before="3"/>
              <w:ind w:left="145"/>
              <w:rPr>
                <w:sz w:val="21"/>
              </w:rPr>
            </w:pPr>
            <w:r>
              <w:rPr>
                <w:spacing w:val="-5"/>
                <w:sz w:val="21"/>
              </w:rPr>
              <w:t>75</w:t>
            </w:r>
          </w:p>
        </w:tc>
        <w:tc>
          <w:tcPr>
            <w:tcW w:w="2994" w:type="dxa"/>
          </w:tcPr>
          <w:p>
            <w:pPr>
              <w:pStyle w:val="TableParagraph"/>
              <w:spacing w:line="250" w:lineRule="exact" w:before="3"/>
              <w:ind w:left="5"/>
              <w:rPr>
                <w:sz w:val="21"/>
              </w:rPr>
            </w:pPr>
            <w:r>
              <w:rPr>
                <w:spacing w:val="-4"/>
                <w:sz w:val="21"/>
              </w:rPr>
              <w:t>埃博拉病毒感染</w:t>
            </w:r>
          </w:p>
        </w:tc>
      </w:tr>
      <w:tr>
        <w:trPr>
          <w:trHeight w:val="514" w:hRule="atLeast"/>
        </w:trPr>
        <w:tc>
          <w:tcPr>
            <w:tcW w:w="364" w:type="dxa"/>
          </w:tcPr>
          <w:p>
            <w:pPr>
              <w:pStyle w:val="TableParagraph"/>
              <w:spacing w:before="6"/>
              <w:rPr>
                <w:sz w:val="21"/>
              </w:rPr>
            </w:pPr>
          </w:p>
          <w:p>
            <w:pPr>
              <w:pStyle w:val="TableParagraph"/>
              <w:spacing w:line="220" w:lineRule="exact"/>
              <w:ind w:left="37" w:right="87"/>
              <w:jc w:val="center"/>
              <w:rPr>
                <w:sz w:val="21"/>
              </w:rPr>
            </w:pPr>
            <w:r>
              <w:rPr>
                <w:spacing w:val="-5"/>
                <w:sz w:val="21"/>
              </w:rPr>
              <w:t>81</w:t>
            </w:r>
          </w:p>
        </w:tc>
        <w:tc>
          <w:tcPr>
            <w:tcW w:w="3086" w:type="dxa"/>
          </w:tcPr>
          <w:p>
            <w:pPr>
              <w:pStyle w:val="TableParagraph"/>
              <w:spacing w:before="1"/>
              <w:rPr>
                <w:sz w:val="21"/>
              </w:rPr>
            </w:pPr>
            <w:r>
              <w:rPr>
                <w:spacing w:val="-4"/>
                <w:sz w:val="21"/>
              </w:rPr>
              <w:t>染或患艾滋病</w:t>
            </w:r>
          </w:p>
          <w:p>
            <w:pPr>
              <w:pStyle w:val="TableParagraph"/>
              <w:spacing w:line="220" w:lineRule="exact" w:before="5"/>
              <w:ind w:left="2"/>
              <w:rPr>
                <w:sz w:val="21"/>
              </w:rPr>
            </w:pPr>
            <w:r>
              <w:rPr>
                <w:spacing w:val="-4"/>
                <w:sz w:val="21"/>
              </w:rPr>
              <w:t>严重气性坏疽</w:t>
            </w:r>
          </w:p>
        </w:tc>
        <w:tc>
          <w:tcPr>
            <w:tcW w:w="457" w:type="dxa"/>
          </w:tcPr>
          <w:p>
            <w:pPr>
              <w:pStyle w:val="TableParagraph"/>
              <w:spacing w:before="6"/>
              <w:rPr>
                <w:sz w:val="21"/>
              </w:rPr>
            </w:pPr>
          </w:p>
          <w:p>
            <w:pPr>
              <w:pStyle w:val="TableParagraph"/>
              <w:spacing w:line="220" w:lineRule="exact"/>
              <w:ind w:left="145"/>
              <w:rPr>
                <w:sz w:val="21"/>
              </w:rPr>
            </w:pPr>
            <w:r>
              <w:rPr>
                <w:spacing w:val="-5"/>
                <w:sz w:val="21"/>
              </w:rPr>
              <w:t>85</w:t>
            </w:r>
          </w:p>
        </w:tc>
        <w:tc>
          <w:tcPr>
            <w:tcW w:w="2994" w:type="dxa"/>
          </w:tcPr>
          <w:p>
            <w:pPr>
              <w:pStyle w:val="TableParagraph"/>
              <w:spacing w:before="6"/>
              <w:rPr>
                <w:sz w:val="21"/>
              </w:rPr>
            </w:pPr>
          </w:p>
          <w:p>
            <w:pPr>
              <w:pStyle w:val="TableParagraph"/>
              <w:spacing w:line="220" w:lineRule="exact"/>
              <w:ind w:left="5"/>
              <w:rPr>
                <w:sz w:val="21"/>
              </w:rPr>
            </w:pPr>
            <w:r>
              <w:rPr>
                <w:spacing w:val="-3"/>
                <w:sz w:val="21"/>
              </w:rPr>
              <w:t>多处臂丛神经根性撕脱</w:t>
            </w:r>
          </w:p>
        </w:tc>
      </w:tr>
    </w:tbl>
    <w:p>
      <w:pPr>
        <w:spacing w:after="0" w:line="220" w:lineRule="exact"/>
        <w:rPr>
          <w:sz w:val="21"/>
        </w:rPr>
        <w:sectPr>
          <w:pgSz w:w="11910" w:h="16840"/>
          <w:pgMar w:header="877" w:footer="0" w:top="1100" w:bottom="280" w:left="1060" w:right="980"/>
        </w:sectPr>
      </w:pPr>
    </w:p>
    <w:p>
      <w:pPr>
        <w:pStyle w:val="BodyText"/>
        <w:tabs>
          <w:tab w:pos="6350" w:val="left" w:leader="none"/>
        </w:tabs>
        <w:spacing w:before="83"/>
        <w:ind w:left="2805"/>
      </w:pPr>
      <w:r>
        <w:rPr/>
        <w:t>87</w:t>
      </w:r>
      <w:r>
        <w:rPr>
          <w:spacing w:val="-14"/>
        </w:rPr>
        <w:t> </w:t>
      </w:r>
      <w:r>
        <w:rPr/>
        <w:t>溶血性尿毒综合</w:t>
      </w:r>
      <w:r>
        <w:rPr>
          <w:spacing w:val="-10"/>
        </w:rPr>
        <w:t>征</w:t>
      </w:r>
      <w:r>
        <w:rPr/>
        <w:tab/>
        <w:t>96</w:t>
      </w:r>
      <w:r>
        <w:rPr>
          <w:spacing w:val="-14"/>
        </w:rPr>
        <w:t> </w:t>
      </w:r>
      <w:r>
        <w:rPr/>
        <w:t>严重出血性登革</w:t>
      </w:r>
      <w:r>
        <w:rPr>
          <w:spacing w:val="-10"/>
        </w:rPr>
        <w:t>热</w:t>
      </w:r>
    </w:p>
    <w:p>
      <w:pPr>
        <w:spacing w:after="0"/>
        <w:sectPr>
          <w:pgSz w:w="11910" w:h="16840"/>
          <w:pgMar w:header="877" w:footer="0" w:top="1100" w:bottom="280" w:left="1060" w:right="980"/>
        </w:sectPr>
      </w:pPr>
    </w:p>
    <w:p>
      <w:pPr>
        <w:pStyle w:val="BodyText"/>
        <w:spacing w:line="244" w:lineRule="auto" w:before="2"/>
        <w:ind w:left="3119" w:hanging="315"/>
      </w:pPr>
      <w:r>
        <w:rPr/>
        <w:t>97</w:t>
      </w:r>
      <w:r>
        <w:rPr>
          <w:spacing w:val="-6"/>
        </w:rPr>
        <w:t> 经输血导致的艾滋病病毒感染或</w:t>
      </w:r>
      <w:r>
        <w:rPr>
          <w:spacing w:val="-4"/>
        </w:rPr>
        <w:t>患艾滋病</w:t>
      </w:r>
    </w:p>
    <w:p>
      <w:pPr>
        <w:pStyle w:val="BodyText"/>
        <w:spacing w:before="2"/>
        <w:ind w:left="247"/>
      </w:pPr>
      <w:r>
        <w:rPr/>
        <w:br w:type="column"/>
      </w:r>
      <w:r>
        <w:rPr/>
        <w:t>98</w:t>
      </w:r>
      <w:r>
        <w:rPr>
          <w:spacing w:val="-6"/>
        </w:rPr>
        <w:t> 溶血性链球菌引起的坏疽</w:t>
      </w:r>
    </w:p>
    <w:p>
      <w:pPr>
        <w:spacing w:after="0"/>
        <w:sectPr>
          <w:type w:val="continuous"/>
          <w:pgSz w:w="11910" w:h="16840"/>
          <w:pgMar w:header="877" w:footer="0" w:top="1100" w:bottom="280" w:left="1060" w:right="980"/>
          <w:cols w:num="2" w:equalWidth="0">
            <w:col w:w="6063" w:space="40"/>
            <w:col w:w="3767"/>
          </w:cols>
        </w:sectPr>
      </w:pPr>
    </w:p>
    <w:p>
      <w:pPr>
        <w:pStyle w:val="BodyText"/>
        <w:tabs>
          <w:tab w:pos="6350" w:val="left" w:leader="none"/>
        </w:tabs>
        <w:spacing w:line="265" w:lineRule="exact"/>
        <w:ind w:left="2805"/>
      </w:pPr>
      <w:r>
        <w:rPr/>
        <w:t>102</w:t>
      </w:r>
      <w:r>
        <w:rPr>
          <w:spacing w:val="-3"/>
        </w:rPr>
        <w:t> </w:t>
      </w:r>
      <w:r>
        <w:rPr/>
        <w:t>脊</w:t>
      </w:r>
      <w:r>
        <w:rPr/>
        <w:t>柱</w:t>
      </w:r>
      <w:r>
        <w:rPr>
          <w:spacing w:val="-10"/>
        </w:rPr>
        <w:t>裂</w:t>
      </w:r>
      <w:r>
        <w:rPr/>
        <w:tab/>
        <w:t>103</w:t>
      </w:r>
      <w:r>
        <w:rPr>
          <w:spacing w:val="-15"/>
        </w:rPr>
        <w:t> </w:t>
      </w:r>
      <w:r>
        <w:rPr/>
        <w:t>原发性脊柱侧弯的矫</w:t>
      </w:r>
      <w:r>
        <w:rPr/>
        <w:t>正手</w:t>
      </w:r>
      <w:r>
        <w:rPr>
          <w:spacing w:val="-10"/>
        </w:rPr>
        <w:t>术</w:t>
      </w:r>
    </w:p>
    <w:p>
      <w:pPr>
        <w:pStyle w:val="BodyText"/>
        <w:tabs>
          <w:tab w:pos="6350" w:val="left" w:leader="none"/>
        </w:tabs>
        <w:spacing w:before="4"/>
        <w:ind w:left="2805"/>
      </w:pPr>
      <w:r>
        <w:rPr/>
        <w:t>114</w:t>
      </w:r>
      <w:r>
        <w:rPr>
          <w:spacing w:val="-9"/>
        </w:rPr>
        <w:t> </w:t>
      </w:r>
      <w:r>
        <w:rPr/>
        <w:t>严重面部烧</w:t>
      </w:r>
      <w:r>
        <w:rPr>
          <w:spacing w:val="-10"/>
        </w:rPr>
        <w:t>伤</w:t>
      </w:r>
      <w:r>
        <w:rPr/>
        <w:tab/>
        <w:t>117</w:t>
      </w:r>
      <w:r>
        <w:rPr>
          <w:spacing w:val="-15"/>
        </w:rPr>
        <w:t> </w:t>
      </w:r>
      <w:r>
        <w:rPr/>
        <w:t>严重幼年型类风湿性</w:t>
      </w:r>
      <w:r>
        <w:rPr/>
        <w:t>关节</w:t>
      </w:r>
      <w:r>
        <w:rPr>
          <w:spacing w:val="-10"/>
        </w:rPr>
        <w:t>炎</w:t>
      </w:r>
    </w:p>
    <w:p>
      <w:pPr>
        <w:pStyle w:val="BodyText"/>
        <w:spacing w:before="12"/>
        <w:rPr>
          <w:sz w:val="15"/>
        </w:rPr>
      </w:pPr>
    </w:p>
    <w:p>
      <w:pPr>
        <w:spacing w:after="0"/>
        <w:rPr>
          <w:sz w:val="15"/>
        </w:rPr>
        <w:sectPr>
          <w:type w:val="continuous"/>
          <w:pgSz w:w="11910" w:h="16840"/>
          <w:pgMar w:header="877" w:footer="0" w:top="1100" w:bottom="280" w:left="1060" w:right="980"/>
        </w:sectPr>
      </w:pPr>
    </w:p>
    <w:p>
      <w:pPr>
        <w:pStyle w:val="ListParagraph"/>
        <w:numPr>
          <w:ilvl w:val="0"/>
          <w:numId w:val="24"/>
        </w:numPr>
        <w:tabs>
          <w:tab w:pos="1210" w:val="left" w:leader="none"/>
          <w:tab w:pos="1211" w:val="left" w:leader="none"/>
        </w:tabs>
        <w:spacing w:line="168" w:lineRule="auto" w:before="88" w:after="0"/>
        <w:ind w:left="1210" w:right="0" w:hanging="958"/>
        <w:jc w:val="left"/>
        <w:rPr>
          <w:rFonts w:ascii="微软雅黑" w:hAnsi="微软雅黑" w:eastAsia="微软雅黑"/>
          <w:b/>
          <w:sz w:val="21"/>
        </w:rPr>
      </w:pPr>
      <w:r>
        <w:rPr>
          <w:rFonts w:ascii="微软雅黑" w:hAnsi="微软雅黑" w:eastAsia="微软雅黑"/>
          <w:b/>
          <w:spacing w:val="20"/>
          <w:sz w:val="21"/>
        </w:rPr>
        <w:t>恶性肿瘤</w:t>
      </w:r>
      <w:r>
        <w:rPr>
          <w:spacing w:val="10"/>
          <w:sz w:val="21"/>
        </w:rPr>
        <w:t>——</w:t>
      </w:r>
      <w:r>
        <w:rPr>
          <w:sz w:val="21"/>
        </w:rPr>
        <w:t> </w:t>
      </w:r>
      <w:r>
        <w:rPr>
          <w:rFonts w:ascii="微软雅黑" w:hAnsi="微软雅黑" w:eastAsia="微软雅黑"/>
          <w:b/>
          <w:spacing w:val="-6"/>
          <w:sz w:val="21"/>
        </w:rPr>
        <w:t>重度</w:t>
      </w:r>
    </w:p>
    <w:p>
      <w:pPr>
        <w:pStyle w:val="BodyText"/>
        <w:spacing w:line="180" w:lineRule="auto" w:before="124"/>
        <w:ind w:left="152" w:right="328"/>
        <w:jc w:val="both"/>
      </w:pPr>
      <w:r>
        <w:rPr/>
        <w:br w:type="column"/>
      </w:r>
      <w:r>
        <w:rPr>
          <w:spacing w:val="-2"/>
        </w:rPr>
        <w:t>指恶性细胞不受控制的进行性增长和扩散，浸润和破坏周围正常组织，可</w:t>
      </w:r>
      <w:r>
        <w:rPr>
          <w:spacing w:val="-2"/>
        </w:rPr>
        <w:t>以经血管、淋巴管和体腔扩散转移到身体其他部位，病灶经</w:t>
      </w:r>
      <w:r>
        <w:rPr>
          <w:rFonts w:ascii="微软雅黑" w:eastAsia="微软雅黑"/>
          <w:b/>
          <w:spacing w:val="-2"/>
        </w:rPr>
        <w:t>组织病理学检</w:t>
      </w:r>
      <w:r>
        <w:rPr>
          <w:rFonts w:ascii="微软雅黑" w:eastAsia="微软雅黑"/>
          <w:b/>
          <w:spacing w:val="-2"/>
        </w:rPr>
        <w:t>查</w:t>
      </w:r>
      <w:r>
        <w:rPr>
          <w:rFonts w:ascii="微软雅黑" w:eastAsia="微软雅黑"/>
          <w:b/>
          <w:spacing w:val="-2"/>
          <w:position w:val="11"/>
          <w:sz w:val="11"/>
        </w:rPr>
        <w:t>30</w:t>
      </w:r>
      <w:r>
        <w:rPr>
          <w:spacing w:val="-2"/>
        </w:rPr>
        <w:t>（涵盖骨髓病理学检查）结果明确诊断，临床诊断属于世界卫生组织</w:t>
      </w:r>
    </w:p>
    <w:p>
      <w:pPr>
        <w:spacing w:line="177" w:lineRule="auto" w:before="36"/>
        <w:ind w:left="152" w:right="218" w:firstLine="0"/>
        <w:jc w:val="left"/>
        <w:rPr>
          <w:rFonts w:ascii="微软雅黑" w:hAnsi="微软雅黑" w:eastAsia="微软雅黑"/>
          <w:b/>
          <w:sz w:val="21"/>
        </w:rPr>
      </w:pPr>
      <w:r>
        <w:rPr>
          <w:sz w:val="21"/>
        </w:rPr>
        <w:t>（WHO，World Health Organization）《疾病和有关健康问题的国际统计</w:t>
      </w:r>
      <w:r>
        <w:rPr>
          <w:spacing w:val="-2"/>
          <w:sz w:val="21"/>
        </w:rPr>
        <w:t>分类》第十次修订版（</w:t>
      </w:r>
      <w:r>
        <w:rPr>
          <w:rFonts w:ascii="微软雅黑" w:hAnsi="微软雅黑" w:eastAsia="微软雅黑"/>
          <w:b/>
          <w:spacing w:val="-2"/>
          <w:sz w:val="21"/>
        </w:rPr>
        <w:t>ICD-10</w:t>
      </w:r>
      <w:r>
        <w:rPr>
          <w:rFonts w:ascii="微软雅黑" w:hAnsi="微软雅黑" w:eastAsia="微软雅黑"/>
          <w:b/>
          <w:spacing w:val="-2"/>
          <w:position w:val="11"/>
          <w:sz w:val="11"/>
        </w:rPr>
        <w:t>31</w:t>
      </w:r>
      <w:r>
        <w:rPr>
          <w:spacing w:val="-2"/>
          <w:sz w:val="21"/>
        </w:rPr>
        <w:t>）的恶性肿瘤类别及《国际疾病分类肿瘤</w:t>
      </w:r>
      <w:r>
        <w:rPr>
          <w:spacing w:val="-2"/>
          <w:sz w:val="21"/>
        </w:rPr>
        <w:t> </w:t>
      </w:r>
      <w:r>
        <w:rPr>
          <w:w w:val="95"/>
          <w:sz w:val="21"/>
        </w:rPr>
        <w:t>学</w:t>
      </w:r>
      <w:r>
        <w:rPr>
          <w:w w:val="95"/>
          <w:sz w:val="21"/>
        </w:rPr>
        <w:t>专</w:t>
      </w:r>
      <w:r>
        <w:rPr>
          <w:w w:val="95"/>
          <w:sz w:val="21"/>
        </w:rPr>
        <w:t>辑》第三版（</w:t>
      </w:r>
      <w:r>
        <w:rPr>
          <w:rFonts w:ascii="微软雅黑" w:hAnsi="微软雅黑" w:eastAsia="微软雅黑"/>
          <w:b/>
          <w:w w:val="95"/>
          <w:sz w:val="21"/>
        </w:rPr>
        <w:t>ICD-O-3</w:t>
      </w:r>
      <w:r>
        <w:rPr>
          <w:rFonts w:ascii="微软雅黑" w:hAnsi="微软雅黑" w:eastAsia="微软雅黑"/>
          <w:b/>
          <w:w w:val="95"/>
          <w:position w:val="11"/>
          <w:sz w:val="11"/>
        </w:rPr>
        <w:t>32</w:t>
      </w:r>
      <w:r>
        <w:rPr>
          <w:w w:val="95"/>
          <w:sz w:val="21"/>
        </w:rPr>
        <w:t>）的肿瘤形态学编码</w:t>
      </w:r>
      <w:r>
        <w:rPr>
          <w:w w:val="95"/>
          <w:sz w:val="21"/>
        </w:rPr>
        <w:t>属</w:t>
      </w:r>
      <w:r>
        <w:rPr>
          <w:w w:val="95"/>
          <w:sz w:val="21"/>
        </w:rPr>
        <w:t>于</w:t>
      </w:r>
      <w:r>
        <w:rPr>
          <w:spacing w:val="-40"/>
          <w:w w:val="95"/>
          <w:sz w:val="21"/>
        </w:rPr>
        <w:t> </w:t>
      </w:r>
      <w:r>
        <w:rPr>
          <w:w w:val="95"/>
          <w:sz w:val="21"/>
        </w:rPr>
        <w:t>3、6</w:t>
      </w:r>
      <w:r>
        <w:rPr>
          <w:w w:val="95"/>
          <w:sz w:val="21"/>
        </w:rPr>
        <w:t>、</w:t>
      </w:r>
      <w:r>
        <w:rPr>
          <w:w w:val="95"/>
          <w:sz w:val="21"/>
        </w:rPr>
        <w:t>9（恶</w:t>
      </w:r>
      <w:r>
        <w:rPr>
          <w:w w:val="95"/>
          <w:sz w:val="21"/>
        </w:rPr>
        <w:t>性</w:t>
      </w:r>
      <w:r>
        <w:rPr>
          <w:w w:val="95"/>
          <w:sz w:val="21"/>
        </w:rPr>
        <w:t>肿</w:t>
      </w:r>
      <w:r>
        <w:rPr>
          <w:w w:val="95"/>
          <w:sz w:val="21"/>
        </w:rPr>
        <w:t>瘤</w:t>
      </w:r>
      <w:r>
        <w:rPr>
          <w:w w:val="95"/>
          <w:sz w:val="21"/>
        </w:rPr>
        <w:t>）</w:t>
      </w:r>
      <w:r>
        <w:rPr>
          <w:sz w:val="21"/>
        </w:rPr>
        <w:t>范畴的疾病。 </w:t>
      </w:r>
      <w:r>
        <w:rPr>
          <w:rFonts w:ascii="微软雅黑" w:hAnsi="微软雅黑" w:eastAsia="微软雅黑"/>
          <w:b/>
          <w:sz w:val="21"/>
        </w:rPr>
        <w:t>下列疾病不属于“恶性肿瘤—重度”，不在保障范围内：</w:t>
      </w:r>
    </w:p>
    <w:p>
      <w:pPr>
        <w:pStyle w:val="ListParagraph"/>
        <w:numPr>
          <w:ilvl w:val="0"/>
          <w:numId w:val="25"/>
        </w:numPr>
        <w:tabs>
          <w:tab w:pos="682" w:val="left" w:leader="none"/>
        </w:tabs>
        <w:spacing w:line="170" w:lineRule="auto" w:before="0" w:after="0"/>
        <w:ind w:left="680" w:right="218" w:hanging="528"/>
        <w:jc w:val="left"/>
        <w:rPr>
          <w:rFonts w:ascii="微软雅黑" w:eastAsia="微软雅黑"/>
          <w:b/>
          <w:sz w:val="21"/>
        </w:rPr>
      </w:pPr>
      <w:r>
        <w:rPr>
          <w:rFonts w:ascii="微软雅黑" w:eastAsia="微软雅黑"/>
          <w:b/>
          <w:spacing w:val="-6"/>
          <w:sz w:val="21"/>
        </w:rPr>
        <w:t>ICD-O-3</w:t>
      </w:r>
      <w:r>
        <w:rPr>
          <w:rFonts w:ascii="微软雅黑" w:eastAsia="微软雅黑"/>
          <w:b/>
          <w:spacing w:val="-8"/>
          <w:sz w:val="21"/>
        </w:rPr>
        <w:t> 肿瘤形态学编码属于 </w:t>
      </w:r>
      <w:r>
        <w:rPr>
          <w:rFonts w:ascii="微软雅黑" w:eastAsia="微软雅黑"/>
          <w:b/>
          <w:spacing w:val="-6"/>
          <w:sz w:val="21"/>
        </w:rPr>
        <w:t>0（良性肿瘤）、1（动态未定性肿瘤）</w:t>
      </w:r>
      <w:r>
        <w:rPr>
          <w:rFonts w:ascii="微软雅黑" w:eastAsia="微软雅黑"/>
          <w:b/>
          <w:sz w:val="21"/>
        </w:rPr>
        <w:t>、 2（原位癌和非侵袭性癌）范畴的疾病，如：</w:t>
      </w:r>
    </w:p>
    <w:p>
      <w:pPr>
        <w:pStyle w:val="ListParagraph"/>
        <w:numPr>
          <w:ilvl w:val="1"/>
          <w:numId w:val="25"/>
        </w:numPr>
        <w:tabs>
          <w:tab w:pos="995" w:val="left" w:leader="none"/>
        </w:tabs>
        <w:spacing w:line="170" w:lineRule="auto" w:before="0" w:after="0"/>
        <w:ind w:left="678" w:right="327" w:firstLine="0"/>
        <w:jc w:val="left"/>
        <w:rPr>
          <w:rFonts w:ascii="微软雅黑" w:eastAsia="微软雅黑"/>
          <w:b/>
          <w:sz w:val="21"/>
        </w:rPr>
      </w:pPr>
      <w:r>
        <w:rPr>
          <w:rFonts w:ascii="微软雅黑" w:eastAsia="微软雅黑"/>
          <w:b/>
          <w:spacing w:val="-2"/>
          <w:sz w:val="21"/>
        </w:rPr>
        <w:t>原位癌，癌前病变，非浸润性癌，非侵袭性癌，肿瘤细胞未侵犯</w:t>
      </w:r>
      <w:r>
        <w:rPr>
          <w:rFonts w:ascii="微软雅黑" w:eastAsia="微软雅黑"/>
          <w:b/>
          <w:spacing w:val="-2"/>
          <w:sz w:val="21"/>
        </w:rPr>
        <w:t>基底层，上皮内瘤变，细胞不典型性增生等；</w:t>
      </w:r>
    </w:p>
    <w:p>
      <w:pPr>
        <w:pStyle w:val="ListParagraph"/>
        <w:numPr>
          <w:ilvl w:val="1"/>
          <w:numId w:val="25"/>
        </w:numPr>
        <w:tabs>
          <w:tab w:pos="995" w:val="left" w:leader="none"/>
        </w:tabs>
        <w:spacing w:line="170" w:lineRule="auto" w:before="0" w:after="0"/>
        <w:ind w:left="678" w:right="324" w:firstLine="0"/>
        <w:jc w:val="left"/>
        <w:rPr>
          <w:rFonts w:ascii="微软雅黑" w:eastAsia="微软雅黑"/>
          <w:b/>
          <w:sz w:val="21"/>
        </w:rPr>
      </w:pPr>
      <w:r>
        <w:rPr>
          <w:rFonts w:ascii="微软雅黑" w:eastAsia="微软雅黑"/>
          <w:b/>
          <w:spacing w:val="-2"/>
          <w:sz w:val="21"/>
        </w:rPr>
        <w:t>交界性肿瘤，交界恶性肿瘤，肿瘤低度恶性潜能，潜在低度恶性</w:t>
      </w:r>
      <w:r>
        <w:rPr>
          <w:rFonts w:ascii="微软雅黑" w:eastAsia="微软雅黑"/>
          <w:b/>
          <w:spacing w:val="-4"/>
          <w:sz w:val="21"/>
        </w:rPr>
        <w:t>肿瘤等；</w:t>
      </w:r>
    </w:p>
    <w:p>
      <w:pPr>
        <w:pStyle w:val="ListParagraph"/>
        <w:numPr>
          <w:ilvl w:val="0"/>
          <w:numId w:val="25"/>
        </w:numPr>
        <w:tabs>
          <w:tab w:pos="682" w:val="left" w:leader="none"/>
        </w:tabs>
        <w:spacing w:line="245" w:lineRule="exact" w:before="0" w:after="0"/>
        <w:ind w:left="681" w:right="0" w:hanging="530"/>
        <w:jc w:val="left"/>
        <w:rPr>
          <w:rFonts w:ascii="微软雅黑" w:hAnsi="微软雅黑" w:eastAsia="微软雅黑"/>
          <w:b/>
          <w:sz w:val="21"/>
        </w:rPr>
      </w:pPr>
      <w:r>
        <w:rPr>
          <w:rFonts w:ascii="微软雅黑" w:hAnsi="微软雅黑" w:eastAsia="微软雅黑"/>
          <w:b/>
          <w:w w:val="90"/>
          <w:sz w:val="21"/>
        </w:rPr>
        <w:t>TNM</w:t>
      </w:r>
      <w:r>
        <w:rPr>
          <w:rFonts w:ascii="微软雅黑" w:hAnsi="微软雅黑" w:eastAsia="微软雅黑"/>
          <w:b/>
          <w:spacing w:val="36"/>
          <w:sz w:val="21"/>
        </w:rPr>
        <w:t>  </w:t>
      </w:r>
      <w:r>
        <w:rPr>
          <w:rFonts w:ascii="微软雅黑" w:hAnsi="微软雅黑" w:eastAsia="微软雅黑"/>
          <w:b/>
          <w:w w:val="90"/>
          <w:sz w:val="21"/>
        </w:rPr>
        <w:t>分</w:t>
      </w:r>
      <w:r>
        <w:rPr>
          <w:rFonts w:ascii="微软雅黑" w:hAnsi="微软雅黑" w:eastAsia="微软雅黑"/>
          <w:b/>
          <w:w w:val="90"/>
          <w:sz w:val="21"/>
        </w:rPr>
        <w:t>期</w:t>
      </w:r>
      <w:r>
        <w:rPr>
          <w:rFonts w:ascii="微软雅黑" w:hAnsi="微软雅黑" w:eastAsia="微软雅黑"/>
          <w:b/>
          <w:w w:val="90"/>
          <w:position w:val="11"/>
          <w:sz w:val="11"/>
        </w:rPr>
        <w:t>33</w:t>
      </w:r>
      <w:r>
        <w:rPr>
          <w:rFonts w:ascii="微软雅黑" w:hAnsi="微软雅黑" w:eastAsia="微软雅黑"/>
          <w:b/>
          <w:w w:val="90"/>
          <w:sz w:val="21"/>
        </w:rPr>
        <w:t>为</w:t>
      </w:r>
      <w:r>
        <w:rPr>
          <w:rFonts w:ascii="微软雅黑" w:hAnsi="微软雅黑" w:eastAsia="微软雅黑"/>
          <w:b/>
          <w:w w:val="90"/>
          <w:sz w:val="21"/>
        </w:rPr>
        <w:t>Ⅰ</w:t>
      </w:r>
      <w:r>
        <w:rPr>
          <w:rFonts w:ascii="微软雅黑" w:hAnsi="微软雅黑" w:eastAsia="微软雅黑"/>
          <w:b/>
          <w:w w:val="90"/>
          <w:sz w:val="21"/>
        </w:rPr>
        <w:t>期</w:t>
      </w:r>
      <w:r>
        <w:rPr>
          <w:rFonts w:ascii="微软雅黑" w:hAnsi="微软雅黑" w:eastAsia="微软雅黑"/>
          <w:b/>
          <w:w w:val="90"/>
          <w:sz w:val="21"/>
        </w:rPr>
        <w:t>或</w:t>
      </w:r>
      <w:r>
        <w:rPr>
          <w:rFonts w:ascii="微软雅黑" w:hAnsi="微软雅黑" w:eastAsia="微软雅黑"/>
          <w:b/>
          <w:w w:val="90"/>
          <w:sz w:val="21"/>
        </w:rPr>
        <w:t>更</w:t>
      </w:r>
      <w:r>
        <w:rPr>
          <w:rFonts w:ascii="微软雅黑" w:hAnsi="微软雅黑" w:eastAsia="微软雅黑"/>
          <w:b/>
          <w:w w:val="90"/>
          <w:sz w:val="21"/>
        </w:rPr>
        <w:t>轻</w:t>
      </w:r>
      <w:r>
        <w:rPr>
          <w:rFonts w:ascii="微软雅黑" w:hAnsi="微软雅黑" w:eastAsia="微软雅黑"/>
          <w:b/>
          <w:w w:val="90"/>
          <w:sz w:val="21"/>
        </w:rPr>
        <w:t>分</w:t>
      </w:r>
      <w:r>
        <w:rPr>
          <w:rFonts w:ascii="微软雅黑" w:hAnsi="微软雅黑" w:eastAsia="微软雅黑"/>
          <w:b/>
          <w:w w:val="90"/>
          <w:sz w:val="21"/>
        </w:rPr>
        <w:t>期</w:t>
      </w:r>
      <w:r>
        <w:rPr>
          <w:rFonts w:ascii="微软雅黑" w:hAnsi="微软雅黑" w:eastAsia="微软雅黑"/>
          <w:b/>
          <w:w w:val="90"/>
          <w:sz w:val="21"/>
        </w:rPr>
        <w:t>的</w:t>
      </w:r>
      <w:r>
        <w:rPr>
          <w:rFonts w:ascii="微软雅黑" w:hAnsi="微软雅黑" w:eastAsia="微软雅黑"/>
          <w:b/>
          <w:w w:val="90"/>
          <w:sz w:val="21"/>
        </w:rPr>
        <w:t>甲</w:t>
      </w:r>
      <w:r>
        <w:rPr>
          <w:rFonts w:ascii="微软雅黑" w:hAnsi="微软雅黑" w:eastAsia="微软雅黑"/>
          <w:b/>
          <w:w w:val="90"/>
          <w:sz w:val="21"/>
        </w:rPr>
        <w:t>状</w:t>
      </w:r>
      <w:r>
        <w:rPr>
          <w:rFonts w:ascii="微软雅黑" w:hAnsi="微软雅黑" w:eastAsia="微软雅黑"/>
          <w:b/>
          <w:w w:val="90"/>
          <w:sz w:val="21"/>
        </w:rPr>
        <w:t>腺</w:t>
      </w:r>
      <w:r>
        <w:rPr>
          <w:rFonts w:ascii="微软雅黑" w:hAnsi="微软雅黑" w:eastAsia="微软雅黑"/>
          <w:b/>
          <w:w w:val="90"/>
          <w:sz w:val="21"/>
        </w:rPr>
        <w:t>癌</w:t>
      </w:r>
      <w:r>
        <w:rPr>
          <w:rFonts w:ascii="微软雅黑" w:hAnsi="微软雅黑" w:eastAsia="微软雅黑"/>
          <w:b/>
          <w:spacing w:val="-10"/>
          <w:w w:val="90"/>
          <w:sz w:val="21"/>
        </w:rPr>
        <w:t>；</w:t>
      </w:r>
    </w:p>
    <w:p>
      <w:pPr>
        <w:pStyle w:val="ListParagraph"/>
        <w:numPr>
          <w:ilvl w:val="0"/>
          <w:numId w:val="25"/>
        </w:numPr>
        <w:tabs>
          <w:tab w:pos="682" w:val="left" w:leader="none"/>
        </w:tabs>
        <w:spacing w:line="272" w:lineRule="exact" w:before="0" w:after="0"/>
        <w:ind w:left="681" w:right="0" w:hanging="530"/>
        <w:jc w:val="left"/>
        <w:rPr>
          <w:rFonts w:ascii="微软雅黑" w:eastAsia="微软雅黑"/>
          <w:b/>
          <w:sz w:val="21"/>
        </w:rPr>
      </w:pPr>
      <w:r>
        <w:rPr>
          <w:rFonts w:ascii="微软雅黑" w:eastAsia="微软雅黑"/>
          <w:b/>
          <w:w w:val="85"/>
          <w:position w:val="1"/>
          <w:sz w:val="21"/>
        </w:rPr>
        <w:t>TNM</w:t>
      </w:r>
      <w:r>
        <w:rPr>
          <w:rFonts w:ascii="微软雅黑" w:eastAsia="微软雅黑"/>
          <w:b/>
          <w:spacing w:val="53"/>
          <w:position w:val="1"/>
          <w:sz w:val="21"/>
        </w:rPr>
        <w:t> </w:t>
      </w:r>
      <w:r>
        <w:rPr>
          <w:rFonts w:ascii="微软雅黑" w:eastAsia="微软雅黑"/>
          <w:b/>
          <w:w w:val="85"/>
          <w:position w:val="1"/>
          <w:sz w:val="21"/>
        </w:rPr>
        <w:t>分</w:t>
      </w:r>
      <w:r>
        <w:rPr>
          <w:rFonts w:ascii="微软雅黑" w:eastAsia="微软雅黑"/>
          <w:b/>
          <w:w w:val="85"/>
          <w:position w:val="1"/>
          <w:sz w:val="21"/>
        </w:rPr>
        <w:t>期</w:t>
      </w:r>
      <w:r>
        <w:rPr>
          <w:rFonts w:ascii="微软雅黑" w:eastAsia="微软雅黑"/>
          <w:b/>
          <w:w w:val="85"/>
          <w:position w:val="1"/>
          <w:sz w:val="21"/>
        </w:rPr>
        <w:t>为</w:t>
      </w:r>
      <w:r>
        <w:rPr>
          <w:rFonts w:ascii="微软雅黑" w:eastAsia="微软雅黑"/>
          <w:b/>
          <w:spacing w:val="54"/>
          <w:position w:val="1"/>
          <w:sz w:val="21"/>
        </w:rPr>
        <w:t> </w:t>
      </w:r>
      <w:r>
        <w:rPr>
          <w:rFonts w:ascii="微软雅黑" w:eastAsia="微软雅黑"/>
          <w:b/>
          <w:w w:val="85"/>
          <w:position w:val="1"/>
          <w:sz w:val="21"/>
        </w:rPr>
        <w:t>T</w:t>
      </w:r>
      <w:r>
        <w:rPr>
          <w:rFonts w:ascii="微软雅黑" w:eastAsia="微软雅黑"/>
          <w:b/>
          <w:w w:val="85"/>
          <w:sz w:val="11"/>
        </w:rPr>
        <w:t>1</w:t>
      </w:r>
      <w:r>
        <w:rPr>
          <w:rFonts w:ascii="微软雅黑" w:eastAsia="微软雅黑"/>
          <w:b/>
          <w:w w:val="85"/>
          <w:position w:val="1"/>
          <w:sz w:val="21"/>
        </w:rPr>
        <w:t>N</w:t>
      </w:r>
      <w:r>
        <w:rPr>
          <w:rFonts w:ascii="微软雅黑" w:eastAsia="微软雅黑"/>
          <w:b/>
          <w:w w:val="85"/>
          <w:sz w:val="11"/>
        </w:rPr>
        <w:t>0</w:t>
      </w:r>
      <w:r>
        <w:rPr>
          <w:rFonts w:ascii="微软雅黑" w:eastAsia="微软雅黑"/>
          <w:b/>
          <w:w w:val="85"/>
          <w:position w:val="1"/>
          <w:sz w:val="21"/>
        </w:rPr>
        <w:t>M</w:t>
      </w:r>
      <w:r>
        <w:rPr>
          <w:rFonts w:ascii="微软雅黑" w:eastAsia="微软雅黑"/>
          <w:b/>
          <w:w w:val="85"/>
          <w:sz w:val="11"/>
        </w:rPr>
        <w:t>0</w:t>
      </w:r>
      <w:r>
        <w:rPr>
          <w:rFonts w:ascii="微软雅黑" w:eastAsia="微软雅黑"/>
          <w:b/>
          <w:spacing w:val="31"/>
          <w:sz w:val="11"/>
        </w:rPr>
        <w:t> </w:t>
      </w:r>
      <w:r>
        <w:rPr>
          <w:rFonts w:ascii="微软雅黑" w:eastAsia="微软雅黑"/>
          <w:b/>
          <w:w w:val="85"/>
          <w:position w:val="1"/>
          <w:sz w:val="21"/>
        </w:rPr>
        <w:t>期</w:t>
      </w:r>
      <w:r>
        <w:rPr>
          <w:rFonts w:ascii="微软雅黑" w:eastAsia="微软雅黑"/>
          <w:b/>
          <w:w w:val="85"/>
          <w:position w:val="1"/>
          <w:sz w:val="21"/>
        </w:rPr>
        <w:t>或</w:t>
      </w:r>
      <w:r>
        <w:rPr>
          <w:rFonts w:ascii="微软雅黑" w:eastAsia="微软雅黑"/>
          <w:b/>
          <w:w w:val="85"/>
          <w:position w:val="1"/>
          <w:sz w:val="21"/>
        </w:rPr>
        <w:t>更</w:t>
      </w:r>
      <w:r>
        <w:rPr>
          <w:rFonts w:ascii="微软雅黑" w:eastAsia="微软雅黑"/>
          <w:b/>
          <w:w w:val="85"/>
          <w:position w:val="1"/>
          <w:sz w:val="21"/>
        </w:rPr>
        <w:t>轻</w:t>
      </w:r>
      <w:r>
        <w:rPr>
          <w:rFonts w:ascii="微软雅黑" w:eastAsia="微软雅黑"/>
          <w:b/>
          <w:w w:val="85"/>
          <w:position w:val="1"/>
          <w:sz w:val="21"/>
        </w:rPr>
        <w:t>分</w:t>
      </w:r>
      <w:r>
        <w:rPr>
          <w:rFonts w:ascii="微软雅黑" w:eastAsia="微软雅黑"/>
          <w:b/>
          <w:w w:val="85"/>
          <w:position w:val="1"/>
          <w:sz w:val="21"/>
        </w:rPr>
        <w:t>期</w:t>
      </w:r>
      <w:r>
        <w:rPr>
          <w:rFonts w:ascii="微软雅黑" w:eastAsia="微软雅黑"/>
          <w:b/>
          <w:w w:val="85"/>
          <w:position w:val="1"/>
          <w:sz w:val="21"/>
        </w:rPr>
        <w:t>的</w:t>
      </w:r>
      <w:r>
        <w:rPr>
          <w:rFonts w:ascii="微软雅黑" w:eastAsia="微软雅黑"/>
          <w:b/>
          <w:w w:val="85"/>
          <w:position w:val="1"/>
          <w:sz w:val="21"/>
        </w:rPr>
        <w:t>前</w:t>
      </w:r>
      <w:r>
        <w:rPr>
          <w:rFonts w:ascii="微软雅黑" w:eastAsia="微软雅黑"/>
          <w:b/>
          <w:w w:val="85"/>
          <w:position w:val="1"/>
          <w:sz w:val="21"/>
        </w:rPr>
        <w:t>列</w:t>
      </w:r>
      <w:r>
        <w:rPr>
          <w:rFonts w:ascii="微软雅黑" w:eastAsia="微软雅黑"/>
          <w:b/>
          <w:w w:val="85"/>
          <w:position w:val="1"/>
          <w:sz w:val="21"/>
        </w:rPr>
        <w:t>腺</w:t>
      </w:r>
      <w:r>
        <w:rPr>
          <w:rFonts w:ascii="微软雅黑" w:eastAsia="微软雅黑"/>
          <w:b/>
          <w:w w:val="85"/>
          <w:position w:val="1"/>
          <w:sz w:val="21"/>
        </w:rPr>
        <w:t>癌</w:t>
      </w:r>
      <w:r>
        <w:rPr>
          <w:rFonts w:ascii="微软雅黑" w:eastAsia="微软雅黑"/>
          <w:b/>
          <w:spacing w:val="-10"/>
          <w:w w:val="85"/>
          <w:position w:val="1"/>
          <w:sz w:val="21"/>
        </w:rPr>
        <w:t>；</w:t>
      </w:r>
    </w:p>
    <w:p>
      <w:pPr>
        <w:pStyle w:val="ListParagraph"/>
        <w:numPr>
          <w:ilvl w:val="0"/>
          <w:numId w:val="25"/>
        </w:numPr>
        <w:tabs>
          <w:tab w:pos="682" w:val="left" w:leader="none"/>
        </w:tabs>
        <w:spacing w:line="271" w:lineRule="exact" w:before="0" w:after="0"/>
        <w:ind w:left="681" w:right="0" w:hanging="530"/>
        <w:jc w:val="left"/>
        <w:rPr>
          <w:rFonts w:ascii="微软雅黑" w:eastAsia="微软雅黑"/>
          <w:b/>
          <w:sz w:val="21"/>
        </w:rPr>
      </w:pPr>
      <w:r>
        <w:rPr>
          <w:rFonts w:ascii="微软雅黑" w:eastAsia="微软雅黑"/>
          <w:b/>
          <w:spacing w:val="-3"/>
          <w:sz w:val="21"/>
        </w:rPr>
        <w:t>黑色素瘤以外的未发生淋巴结和远处转移的皮肤恶性肿瘤；</w:t>
      </w:r>
    </w:p>
    <w:p>
      <w:pPr>
        <w:pStyle w:val="ListParagraph"/>
        <w:numPr>
          <w:ilvl w:val="0"/>
          <w:numId w:val="25"/>
        </w:numPr>
        <w:tabs>
          <w:tab w:pos="682" w:val="left" w:leader="none"/>
        </w:tabs>
        <w:spacing w:line="272" w:lineRule="exact" w:before="0" w:after="0"/>
        <w:ind w:left="681" w:right="0" w:hanging="530"/>
        <w:jc w:val="left"/>
        <w:rPr>
          <w:rFonts w:ascii="微软雅黑" w:eastAsia="微软雅黑"/>
          <w:b/>
          <w:sz w:val="21"/>
        </w:rPr>
      </w:pPr>
      <w:r>
        <w:rPr>
          <w:rFonts w:ascii="微软雅黑" w:eastAsia="微软雅黑"/>
          <w:b/>
          <w:w w:val="95"/>
          <w:sz w:val="21"/>
        </w:rPr>
        <w:t>相</w:t>
      </w:r>
      <w:r>
        <w:rPr>
          <w:rFonts w:ascii="微软雅黑" w:eastAsia="微软雅黑"/>
          <w:b/>
          <w:w w:val="95"/>
          <w:sz w:val="21"/>
        </w:rPr>
        <w:t>当</w:t>
      </w:r>
      <w:r>
        <w:rPr>
          <w:rFonts w:ascii="微软雅黑" w:eastAsia="微软雅黑"/>
          <w:b/>
          <w:w w:val="95"/>
          <w:sz w:val="21"/>
        </w:rPr>
        <w:t>于</w:t>
      </w:r>
      <w:r>
        <w:rPr>
          <w:rFonts w:ascii="微软雅黑" w:eastAsia="微软雅黑"/>
          <w:b/>
          <w:spacing w:val="29"/>
          <w:sz w:val="21"/>
        </w:rPr>
        <w:t> </w:t>
      </w:r>
      <w:r>
        <w:rPr>
          <w:rFonts w:ascii="微软雅黑" w:eastAsia="微软雅黑"/>
          <w:b/>
          <w:w w:val="95"/>
          <w:sz w:val="21"/>
        </w:rPr>
        <w:t>Binet</w:t>
      </w:r>
      <w:r>
        <w:rPr>
          <w:rFonts w:ascii="微软雅黑" w:eastAsia="微软雅黑"/>
          <w:b/>
          <w:spacing w:val="30"/>
          <w:sz w:val="21"/>
        </w:rPr>
        <w:t> </w:t>
      </w:r>
      <w:r>
        <w:rPr>
          <w:rFonts w:ascii="微软雅黑" w:eastAsia="微软雅黑"/>
          <w:b/>
          <w:w w:val="95"/>
          <w:sz w:val="21"/>
        </w:rPr>
        <w:t>分</w:t>
      </w:r>
      <w:r>
        <w:rPr>
          <w:rFonts w:ascii="微软雅黑" w:eastAsia="微软雅黑"/>
          <w:b/>
          <w:w w:val="95"/>
          <w:sz w:val="21"/>
        </w:rPr>
        <w:t>期</w:t>
      </w:r>
      <w:r>
        <w:rPr>
          <w:rFonts w:ascii="微软雅黑" w:eastAsia="微软雅黑"/>
          <w:b/>
          <w:w w:val="95"/>
          <w:sz w:val="21"/>
        </w:rPr>
        <w:t>方案</w:t>
      </w:r>
      <w:r>
        <w:rPr>
          <w:rFonts w:ascii="微软雅黑" w:eastAsia="微软雅黑"/>
          <w:b/>
          <w:spacing w:val="29"/>
          <w:sz w:val="21"/>
        </w:rPr>
        <w:t> </w:t>
      </w:r>
      <w:r>
        <w:rPr>
          <w:rFonts w:ascii="微软雅黑" w:eastAsia="微软雅黑"/>
          <w:b/>
          <w:w w:val="95"/>
          <w:sz w:val="21"/>
        </w:rPr>
        <w:t>A</w:t>
      </w:r>
      <w:r>
        <w:rPr>
          <w:rFonts w:ascii="微软雅黑" w:eastAsia="微软雅黑"/>
          <w:b/>
          <w:spacing w:val="30"/>
          <w:sz w:val="21"/>
        </w:rPr>
        <w:t> </w:t>
      </w:r>
      <w:r>
        <w:rPr>
          <w:rFonts w:ascii="微软雅黑" w:eastAsia="微软雅黑"/>
          <w:b/>
          <w:w w:val="95"/>
          <w:sz w:val="21"/>
        </w:rPr>
        <w:t>期</w:t>
      </w:r>
      <w:r>
        <w:rPr>
          <w:rFonts w:ascii="微软雅黑" w:eastAsia="微软雅黑"/>
          <w:b/>
          <w:w w:val="95"/>
          <w:sz w:val="21"/>
        </w:rPr>
        <w:t>程</w:t>
      </w:r>
      <w:r>
        <w:rPr>
          <w:rFonts w:ascii="微软雅黑" w:eastAsia="微软雅黑"/>
          <w:b/>
          <w:w w:val="95"/>
          <w:sz w:val="21"/>
        </w:rPr>
        <w:t>度</w:t>
      </w:r>
      <w:r>
        <w:rPr>
          <w:rFonts w:ascii="微软雅黑" w:eastAsia="微软雅黑"/>
          <w:b/>
          <w:w w:val="95"/>
          <w:sz w:val="21"/>
        </w:rPr>
        <w:t>的</w:t>
      </w:r>
      <w:r>
        <w:rPr>
          <w:rFonts w:ascii="微软雅黑" w:eastAsia="微软雅黑"/>
          <w:b/>
          <w:w w:val="95"/>
          <w:sz w:val="21"/>
        </w:rPr>
        <w:t>慢</w:t>
      </w:r>
      <w:r>
        <w:rPr>
          <w:rFonts w:ascii="微软雅黑" w:eastAsia="微软雅黑"/>
          <w:b/>
          <w:w w:val="95"/>
          <w:sz w:val="21"/>
        </w:rPr>
        <w:t>性</w:t>
      </w:r>
      <w:r>
        <w:rPr>
          <w:rFonts w:ascii="微软雅黑" w:eastAsia="微软雅黑"/>
          <w:b/>
          <w:w w:val="95"/>
          <w:sz w:val="21"/>
        </w:rPr>
        <w:t>淋</w:t>
      </w:r>
      <w:r>
        <w:rPr>
          <w:rFonts w:ascii="微软雅黑" w:eastAsia="微软雅黑"/>
          <w:b/>
          <w:w w:val="95"/>
          <w:sz w:val="21"/>
        </w:rPr>
        <w:t>巴</w:t>
      </w:r>
      <w:r>
        <w:rPr>
          <w:rFonts w:ascii="微软雅黑" w:eastAsia="微软雅黑"/>
          <w:b/>
          <w:w w:val="95"/>
          <w:sz w:val="21"/>
        </w:rPr>
        <w:t>细</w:t>
      </w:r>
      <w:r>
        <w:rPr>
          <w:rFonts w:ascii="微软雅黑" w:eastAsia="微软雅黑"/>
          <w:b/>
          <w:w w:val="95"/>
          <w:sz w:val="21"/>
        </w:rPr>
        <w:t>胞</w:t>
      </w:r>
      <w:r>
        <w:rPr>
          <w:rFonts w:ascii="微软雅黑" w:eastAsia="微软雅黑"/>
          <w:b/>
          <w:w w:val="95"/>
          <w:sz w:val="21"/>
        </w:rPr>
        <w:t>白</w:t>
      </w:r>
      <w:r>
        <w:rPr>
          <w:rFonts w:ascii="微软雅黑" w:eastAsia="微软雅黑"/>
          <w:b/>
          <w:w w:val="95"/>
          <w:sz w:val="21"/>
        </w:rPr>
        <w:t>血</w:t>
      </w:r>
      <w:r>
        <w:rPr>
          <w:rFonts w:ascii="微软雅黑" w:eastAsia="微软雅黑"/>
          <w:b/>
          <w:w w:val="95"/>
          <w:sz w:val="21"/>
        </w:rPr>
        <w:t>病</w:t>
      </w:r>
      <w:r>
        <w:rPr>
          <w:rFonts w:ascii="微软雅黑" w:eastAsia="微软雅黑"/>
          <w:b/>
          <w:spacing w:val="-10"/>
          <w:w w:val="95"/>
          <w:sz w:val="21"/>
        </w:rPr>
        <w:t>；</w:t>
      </w:r>
    </w:p>
    <w:p>
      <w:pPr>
        <w:pStyle w:val="ListParagraph"/>
        <w:numPr>
          <w:ilvl w:val="0"/>
          <w:numId w:val="25"/>
        </w:numPr>
        <w:tabs>
          <w:tab w:pos="682" w:val="left" w:leader="none"/>
        </w:tabs>
        <w:spacing w:line="272" w:lineRule="exact" w:before="0" w:after="0"/>
        <w:ind w:left="681" w:right="0" w:hanging="530"/>
        <w:jc w:val="left"/>
        <w:rPr>
          <w:rFonts w:ascii="微软雅黑" w:hAnsi="微软雅黑" w:eastAsia="微软雅黑"/>
          <w:b/>
          <w:sz w:val="21"/>
        </w:rPr>
      </w:pPr>
      <w:r>
        <w:rPr>
          <w:rFonts w:ascii="微软雅黑" w:hAnsi="微软雅黑" w:eastAsia="微软雅黑"/>
          <w:b/>
          <w:w w:val="95"/>
          <w:sz w:val="21"/>
        </w:rPr>
        <w:t>相</w:t>
      </w:r>
      <w:r>
        <w:rPr>
          <w:rFonts w:ascii="微软雅黑" w:hAnsi="微软雅黑" w:eastAsia="微软雅黑"/>
          <w:b/>
          <w:w w:val="95"/>
          <w:sz w:val="21"/>
        </w:rPr>
        <w:t>当</w:t>
      </w:r>
      <w:r>
        <w:rPr>
          <w:rFonts w:ascii="微软雅黑" w:hAnsi="微软雅黑" w:eastAsia="微软雅黑"/>
          <w:b/>
          <w:w w:val="95"/>
          <w:sz w:val="21"/>
        </w:rPr>
        <w:t>于</w:t>
      </w:r>
      <w:r>
        <w:rPr>
          <w:rFonts w:ascii="微软雅黑" w:hAnsi="微软雅黑" w:eastAsia="微软雅黑"/>
          <w:b/>
          <w:spacing w:val="-2"/>
          <w:w w:val="95"/>
          <w:sz w:val="21"/>
        </w:rPr>
        <w:t> </w:t>
      </w:r>
      <w:r>
        <w:rPr>
          <w:rFonts w:ascii="微软雅黑" w:hAnsi="微软雅黑" w:eastAsia="微软雅黑"/>
          <w:b/>
          <w:w w:val="95"/>
          <w:sz w:val="21"/>
        </w:rPr>
        <w:t>Ann</w:t>
      </w:r>
      <w:r>
        <w:rPr>
          <w:rFonts w:ascii="微软雅黑" w:hAnsi="微软雅黑" w:eastAsia="微软雅黑"/>
          <w:b/>
          <w:spacing w:val="54"/>
          <w:sz w:val="21"/>
        </w:rPr>
        <w:t> </w:t>
      </w:r>
      <w:r>
        <w:rPr>
          <w:rFonts w:ascii="微软雅黑" w:hAnsi="微软雅黑" w:eastAsia="微软雅黑"/>
          <w:b/>
          <w:w w:val="95"/>
          <w:sz w:val="21"/>
        </w:rPr>
        <w:t>Arbor</w:t>
      </w:r>
      <w:r>
        <w:rPr>
          <w:rFonts w:ascii="微软雅黑" w:hAnsi="微软雅黑" w:eastAsia="微软雅黑"/>
          <w:b/>
          <w:spacing w:val="-2"/>
          <w:w w:val="95"/>
          <w:sz w:val="21"/>
        </w:rPr>
        <w:t> </w:t>
      </w:r>
      <w:r>
        <w:rPr>
          <w:rFonts w:ascii="微软雅黑" w:hAnsi="微软雅黑" w:eastAsia="微软雅黑"/>
          <w:b/>
          <w:w w:val="95"/>
          <w:sz w:val="21"/>
        </w:rPr>
        <w:t>分</w:t>
      </w:r>
      <w:r>
        <w:rPr>
          <w:rFonts w:ascii="微软雅黑" w:hAnsi="微软雅黑" w:eastAsia="微软雅黑"/>
          <w:b/>
          <w:w w:val="95"/>
          <w:sz w:val="21"/>
        </w:rPr>
        <w:t>期</w:t>
      </w:r>
      <w:r>
        <w:rPr>
          <w:rFonts w:ascii="微软雅黑" w:hAnsi="微软雅黑" w:eastAsia="微软雅黑"/>
          <w:b/>
          <w:w w:val="95"/>
          <w:sz w:val="21"/>
        </w:rPr>
        <w:t>方</w:t>
      </w:r>
      <w:r>
        <w:rPr>
          <w:rFonts w:ascii="微软雅黑" w:hAnsi="微软雅黑" w:eastAsia="微软雅黑"/>
          <w:b/>
          <w:w w:val="95"/>
          <w:sz w:val="21"/>
        </w:rPr>
        <w:t>案</w:t>
      </w:r>
      <w:r>
        <w:rPr>
          <w:rFonts w:ascii="微软雅黑" w:hAnsi="微软雅黑" w:eastAsia="微软雅黑"/>
          <w:b/>
          <w:w w:val="95"/>
          <w:sz w:val="21"/>
        </w:rPr>
        <w:t>Ⅰ</w:t>
      </w:r>
      <w:r>
        <w:rPr>
          <w:rFonts w:ascii="微软雅黑" w:hAnsi="微软雅黑" w:eastAsia="微软雅黑"/>
          <w:b/>
          <w:w w:val="95"/>
          <w:sz w:val="21"/>
        </w:rPr>
        <w:t>期</w:t>
      </w:r>
      <w:r>
        <w:rPr>
          <w:rFonts w:ascii="微软雅黑" w:hAnsi="微软雅黑" w:eastAsia="微软雅黑"/>
          <w:b/>
          <w:w w:val="95"/>
          <w:sz w:val="21"/>
        </w:rPr>
        <w:t>程</w:t>
      </w:r>
      <w:r>
        <w:rPr>
          <w:rFonts w:ascii="微软雅黑" w:hAnsi="微软雅黑" w:eastAsia="微软雅黑"/>
          <w:b/>
          <w:w w:val="95"/>
          <w:sz w:val="21"/>
        </w:rPr>
        <w:t>度</w:t>
      </w:r>
      <w:r>
        <w:rPr>
          <w:rFonts w:ascii="微软雅黑" w:hAnsi="微软雅黑" w:eastAsia="微软雅黑"/>
          <w:b/>
          <w:w w:val="95"/>
          <w:sz w:val="21"/>
        </w:rPr>
        <w:t>的</w:t>
      </w:r>
      <w:r>
        <w:rPr>
          <w:rFonts w:ascii="微软雅黑" w:hAnsi="微软雅黑" w:eastAsia="微软雅黑"/>
          <w:b/>
          <w:w w:val="95"/>
          <w:sz w:val="21"/>
        </w:rPr>
        <w:t>何杰金</w:t>
      </w:r>
      <w:r>
        <w:rPr>
          <w:rFonts w:ascii="微软雅黑" w:hAnsi="微软雅黑" w:eastAsia="微软雅黑"/>
          <w:b/>
          <w:w w:val="95"/>
          <w:sz w:val="21"/>
        </w:rPr>
        <w:t>氏</w:t>
      </w:r>
      <w:r>
        <w:rPr>
          <w:rFonts w:ascii="微软雅黑" w:hAnsi="微软雅黑" w:eastAsia="微软雅黑"/>
          <w:b/>
          <w:w w:val="95"/>
          <w:sz w:val="21"/>
        </w:rPr>
        <w:t>病</w:t>
      </w:r>
      <w:r>
        <w:rPr>
          <w:rFonts w:ascii="微软雅黑" w:hAnsi="微软雅黑" w:eastAsia="微软雅黑"/>
          <w:b/>
          <w:spacing w:val="-10"/>
          <w:w w:val="95"/>
          <w:sz w:val="21"/>
        </w:rPr>
        <w:t>；</w:t>
      </w:r>
    </w:p>
    <w:p>
      <w:pPr>
        <w:pStyle w:val="ListParagraph"/>
        <w:numPr>
          <w:ilvl w:val="0"/>
          <w:numId w:val="25"/>
        </w:numPr>
        <w:tabs>
          <w:tab w:pos="682" w:val="left" w:leader="none"/>
        </w:tabs>
        <w:spacing w:line="170" w:lineRule="auto" w:before="3" w:after="0"/>
        <w:ind w:left="680" w:right="328" w:hanging="528"/>
        <w:jc w:val="left"/>
        <w:rPr>
          <w:rFonts w:ascii="微软雅黑" w:hAnsi="微软雅黑" w:eastAsia="微软雅黑"/>
          <w:b/>
          <w:sz w:val="21"/>
        </w:rPr>
      </w:pPr>
      <w:r>
        <w:rPr>
          <w:rFonts w:ascii="微软雅黑" w:hAnsi="微软雅黑" w:eastAsia="微软雅黑"/>
          <w:b/>
          <w:w w:val="95"/>
          <w:sz w:val="21"/>
        </w:rPr>
        <w:t>未</w:t>
      </w:r>
      <w:r>
        <w:rPr>
          <w:rFonts w:ascii="微软雅黑" w:hAnsi="微软雅黑" w:eastAsia="微软雅黑"/>
          <w:b/>
          <w:w w:val="95"/>
          <w:sz w:val="21"/>
        </w:rPr>
        <w:t>发</w:t>
      </w:r>
      <w:r>
        <w:rPr>
          <w:rFonts w:ascii="微软雅黑" w:hAnsi="微软雅黑" w:eastAsia="微软雅黑"/>
          <w:b/>
          <w:w w:val="95"/>
          <w:sz w:val="21"/>
        </w:rPr>
        <w:t>生</w:t>
      </w:r>
      <w:r>
        <w:rPr>
          <w:rFonts w:ascii="微软雅黑" w:hAnsi="微软雅黑" w:eastAsia="微软雅黑"/>
          <w:b/>
          <w:w w:val="95"/>
          <w:sz w:val="21"/>
        </w:rPr>
        <w:t>淋</w:t>
      </w:r>
      <w:r>
        <w:rPr>
          <w:rFonts w:ascii="微软雅黑" w:hAnsi="微软雅黑" w:eastAsia="微软雅黑"/>
          <w:b/>
          <w:w w:val="95"/>
          <w:sz w:val="21"/>
        </w:rPr>
        <w:t>巴</w:t>
      </w:r>
      <w:r>
        <w:rPr>
          <w:rFonts w:ascii="微软雅黑" w:hAnsi="微软雅黑" w:eastAsia="微软雅黑"/>
          <w:b/>
          <w:w w:val="95"/>
          <w:sz w:val="21"/>
        </w:rPr>
        <w:t>结</w:t>
      </w:r>
      <w:r>
        <w:rPr>
          <w:rFonts w:ascii="微软雅黑" w:hAnsi="微软雅黑" w:eastAsia="微软雅黑"/>
          <w:b/>
          <w:w w:val="95"/>
          <w:sz w:val="21"/>
        </w:rPr>
        <w:t>和</w:t>
      </w:r>
      <w:r>
        <w:rPr>
          <w:rFonts w:ascii="微软雅黑" w:hAnsi="微软雅黑" w:eastAsia="微软雅黑"/>
          <w:b/>
          <w:w w:val="95"/>
          <w:sz w:val="21"/>
        </w:rPr>
        <w:t>远</w:t>
      </w:r>
      <w:r>
        <w:rPr>
          <w:rFonts w:ascii="微软雅黑" w:hAnsi="微软雅黑" w:eastAsia="微软雅黑"/>
          <w:b/>
          <w:w w:val="95"/>
          <w:sz w:val="21"/>
        </w:rPr>
        <w:t>处</w:t>
      </w:r>
      <w:r>
        <w:rPr>
          <w:rFonts w:ascii="微软雅黑" w:hAnsi="微软雅黑" w:eastAsia="微软雅黑"/>
          <w:b/>
          <w:w w:val="95"/>
          <w:sz w:val="21"/>
        </w:rPr>
        <w:t>转</w:t>
      </w:r>
      <w:r>
        <w:rPr>
          <w:rFonts w:ascii="微软雅黑" w:hAnsi="微软雅黑" w:eastAsia="微软雅黑"/>
          <w:b/>
          <w:w w:val="95"/>
          <w:sz w:val="21"/>
        </w:rPr>
        <w:t>移</w:t>
      </w:r>
      <w:r>
        <w:rPr>
          <w:rFonts w:ascii="微软雅黑" w:hAnsi="微软雅黑" w:eastAsia="微软雅黑"/>
          <w:b/>
          <w:w w:val="95"/>
          <w:sz w:val="21"/>
        </w:rPr>
        <w:t>且</w:t>
      </w:r>
      <w:r>
        <w:rPr>
          <w:rFonts w:ascii="微软雅黑" w:hAnsi="微软雅黑" w:eastAsia="微软雅黑"/>
          <w:b/>
          <w:w w:val="95"/>
          <w:sz w:val="21"/>
        </w:rPr>
        <w:t> </w:t>
      </w:r>
      <w:r>
        <w:rPr>
          <w:rFonts w:ascii="微软雅黑" w:hAnsi="微软雅黑" w:eastAsia="微软雅黑"/>
          <w:b/>
          <w:w w:val="85"/>
          <w:sz w:val="21"/>
        </w:rPr>
        <w:t>WHO </w:t>
      </w:r>
      <w:r>
        <w:rPr>
          <w:rFonts w:ascii="微软雅黑" w:hAnsi="微软雅黑" w:eastAsia="微软雅黑"/>
          <w:b/>
          <w:w w:val="95"/>
          <w:sz w:val="21"/>
        </w:rPr>
        <w:t>分</w:t>
      </w:r>
      <w:r>
        <w:rPr>
          <w:rFonts w:ascii="微软雅黑" w:hAnsi="微软雅黑" w:eastAsia="微软雅黑"/>
          <w:b/>
          <w:w w:val="95"/>
          <w:sz w:val="21"/>
        </w:rPr>
        <w:t>级</w:t>
      </w:r>
      <w:r>
        <w:rPr>
          <w:rFonts w:ascii="微软雅黑" w:hAnsi="微软雅黑" w:eastAsia="微软雅黑"/>
          <w:b/>
          <w:w w:val="95"/>
          <w:sz w:val="21"/>
        </w:rPr>
        <w:t>为</w:t>
      </w:r>
      <w:r>
        <w:rPr>
          <w:rFonts w:ascii="微软雅黑" w:hAnsi="微软雅黑" w:eastAsia="微软雅黑"/>
          <w:b/>
          <w:w w:val="95"/>
          <w:sz w:val="21"/>
        </w:rPr>
        <w:t> G1</w:t>
      </w:r>
      <w:r>
        <w:rPr>
          <w:rFonts w:ascii="微软雅黑" w:hAnsi="微软雅黑" w:eastAsia="微软雅黑"/>
          <w:b/>
          <w:spacing w:val="-32"/>
          <w:w w:val="95"/>
          <w:sz w:val="21"/>
        </w:rPr>
        <w:t> 级别</w:t>
      </w:r>
      <w:r>
        <w:rPr>
          <w:rFonts w:ascii="微软雅黑" w:hAnsi="微软雅黑" w:eastAsia="微软雅黑"/>
          <w:b/>
          <w:w w:val="95"/>
          <w:sz w:val="21"/>
        </w:rPr>
        <w:t>（</w:t>
      </w:r>
      <w:r>
        <w:rPr>
          <w:rFonts w:ascii="微软雅黑" w:hAnsi="微软雅黑" w:eastAsia="微软雅黑"/>
          <w:b/>
          <w:w w:val="95"/>
          <w:sz w:val="21"/>
        </w:rPr>
        <w:t>核</w:t>
      </w:r>
      <w:r>
        <w:rPr>
          <w:rFonts w:ascii="微软雅黑" w:hAnsi="微软雅黑" w:eastAsia="微软雅黑"/>
          <w:b/>
          <w:w w:val="95"/>
          <w:sz w:val="21"/>
        </w:rPr>
        <w:t>分</w:t>
      </w:r>
      <w:r>
        <w:rPr>
          <w:rFonts w:ascii="微软雅黑" w:hAnsi="微软雅黑" w:eastAsia="微软雅黑"/>
          <w:b/>
          <w:w w:val="95"/>
          <w:sz w:val="21"/>
        </w:rPr>
        <w:t>裂</w:t>
      </w:r>
      <w:r>
        <w:rPr>
          <w:rFonts w:ascii="微软雅黑" w:hAnsi="微软雅黑" w:eastAsia="微软雅黑"/>
          <w:b/>
          <w:w w:val="95"/>
          <w:sz w:val="21"/>
        </w:rPr>
        <w:t>像</w:t>
      </w:r>
      <w:r>
        <w:rPr>
          <w:rFonts w:ascii="微软雅黑" w:hAnsi="微软雅黑" w:eastAsia="微软雅黑"/>
          <w:b/>
          <w:w w:val="95"/>
          <w:sz w:val="21"/>
        </w:rPr>
        <w:t>&lt;10/50 </w:t>
      </w:r>
      <w:r>
        <w:rPr>
          <w:rFonts w:ascii="微软雅黑" w:hAnsi="微软雅黑" w:eastAsia="微软雅黑"/>
          <w:b/>
          <w:sz w:val="21"/>
        </w:rPr>
        <w:t>HPF</w:t>
      </w:r>
      <w:r>
        <w:rPr>
          <w:rFonts w:ascii="微软雅黑" w:hAnsi="微软雅黑" w:eastAsia="微软雅黑"/>
          <w:b/>
          <w:spacing w:val="-8"/>
          <w:sz w:val="21"/>
        </w:rPr>
        <w:t>和 </w:t>
      </w:r>
      <w:r>
        <w:rPr>
          <w:rFonts w:ascii="微软雅黑" w:hAnsi="微软雅黑" w:eastAsia="微软雅黑"/>
          <w:b/>
          <w:sz w:val="21"/>
        </w:rPr>
        <w:t>ki-</w:t>
      </w:r>
      <w:r>
        <w:rPr>
          <w:rFonts w:ascii="微软雅黑" w:hAnsi="微软雅黑" w:eastAsia="微软雅黑"/>
          <w:b/>
          <w:w w:val="94"/>
          <w:sz w:val="21"/>
        </w:rPr>
        <w:t>67</w:t>
      </w:r>
      <w:r>
        <w:rPr>
          <w:rFonts w:ascii="微软雅黑" w:hAnsi="微软雅黑" w:eastAsia="微软雅黑"/>
          <w:b/>
          <w:w w:val="144"/>
          <w:sz w:val="21"/>
        </w:rPr>
        <w:t>≤</w:t>
      </w:r>
      <w:r>
        <w:rPr>
          <w:rFonts w:ascii="微软雅黑" w:hAnsi="微软雅黑" w:eastAsia="微软雅黑"/>
          <w:b/>
          <w:w w:val="77"/>
          <w:sz w:val="21"/>
        </w:rPr>
        <w:t>2%</w:t>
      </w:r>
      <w:r>
        <w:rPr>
          <w:rFonts w:ascii="微软雅黑" w:hAnsi="微软雅黑" w:eastAsia="微软雅黑"/>
          <w:b/>
          <w:w w:val="113"/>
          <w:sz w:val="21"/>
        </w:rPr>
        <w:t>）</w:t>
      </w:r>
      <w:r>
        <w:rPr>
          <w:rFonts w:ascii="微软雅黑" w:hAnsi="微软雅黑" w:eastAsia="微软雅黑"/>
          <w:b/>
          <w:sz w:val="21"/>
        </w:rPr>
        <w:t>或更轻分级的神经内分泌肿瘤。</w:t>
      </w:r>
    </w:p>
    <w:p>
      <w:pPr>
        <w:spacing w:after="0" w:line="170" w:lineRule="auto"/>
        <w:jc w:val="left"/>
        <w:rPr>
          <w:rFonts w:ascii="微软雅黑" w:hAnsi="微软雅黑" w:eastAsia="微软雅黑"/>
          <w:sz w:val="21"/>
        </w:rPr>
        <w:sectPr>
          <w:type w:val="continuous"/>
          <w:pgSz w:w="11910" w:h="16840"/>
          <w:pgMar w:header="877" w:footer="0" w:top="1100" w:bottom="280" w:left="1060" w:right="980"/>
          <w:cols w:num="2" w:equalWidth="0">
            <w:col w:w="2613" w:space="40"/>
            <w:col w:w="7217"/>
          </w:cols>
        </w:sectPr>
      </w:pPr>
    </w:p>
    <w:p>
      <w:pPr>
        <w:pStyle w:val="BodyText"/>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24"/>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5"/>
          <w:sz w:val="21"/>
        </w:rPr>
        <w:t>较重急性心肌</w:t>
      </w:r>
      <w:r>
        <w:rPr>
          <w:rFonts w:ascii="微软雅黑" w:eastAsia="微软雅黑"/>
          <w:b/>
          <w:spacing w:val="-6"/>
          <w:sz w:val="21"/>
        </w:rPr>
        <w:t>梗死</w:t>
      </w:r>
    </w:p>
    <w:p>
      <w:pPr>
        <w:pStyle w:val="BodyText"/>
        <w:spacing w:line="242" w:lineRule="auto" w:before="72"/>
        <w:ind w:left="177" w:right="324"/>
        <w:jc w:val="both"/>
      </w:pPr>
      <w:r>
        <w:rPr/>
        <w:br w:type="column"/>
      </w:r>
      <w:r>
        <w:rPr>
          <w:spacing w:val="-2"/>
        </w:rPr>
        <w:t>急性心肌梗死指由于冠状动脉闭塞或梗阻引起部分心肌严重的持久性缺血</w:t>
      </w:r>
      <w:r>
        <w:rPr>
          <w:spacing w:val="-2"/>
        </w:rPr>
        <w:t>造成急性心肌坏死。急性心肌梗死的诊断必须依据国际国内诊断标准，符</w:t>
      </w:r>
      <w:r>
        <w:rPr>
          <w:spacing w:val="-2"/>
        </w:rPr>
        <w:t>合（1）检测到肌酸激酶同工酶（CK-MB）或肌钙蛋白（cTn）升高和/或降</w:t>
      </w:r>
      <w:r>
        <w:rPr>
          <w:spacing w:val="-4"/>
        </w:rPr>
        <w:t>低的动态变化，至少一次达到或超过心肌梗死的临床诊断标准；（2）同时</w:t>
      </w:r>
      <w:r>
        <w:rPr>
          <w:spacing w:val="-2"/>
        </w:rPr>
        <w:t>存在下列之一的证据，包括：缺血性胸痛症状、新发生的缺血性心电图改</w:t>
      </w:r>
      <w:r>
        <w:rPr>
          <w:spacing w:val="4"/>
        </w:rPr>
        <w:t>变、新生成的病理性</w:t>
      </w:r>
      <w:r>
        <w:rPr/>
        <w:t>Q</w:t>
      </w:r>
      <w:r>
        <w:rPr>
          <w:spacing w:val="-6"/>
        </w:rPr>
        <w:t> 波、影像学证据显示有新出现的心肌活性丧失或新</w:t>
      </w:r>
      <w:r>
        <w:rPr>
          <w:spacing w:val="-2"/>
        </w:rPr>
        <w:t>出现局部室壁运动异常、冠脉造影证实存在冠状动脉血栓。</w:t>
      </w:r>
    </w:p>
    <w:p>
      <w:pPr>
        <w:pStyle w:val="BodyText"/>
        <w:spacing w:line="244" w:lineRule="auto" w:before="3"/>
        <w:ind w:left="177" w:right="333"/>
      </w:pPr>
      <w:r>
        <w:rPr>
          <w:spacing w:val="-2"/>
        </w:rPr>
        <w:t>较重急性心肌梗死指依照上述标准被明确诊断为急性心肌梗死，并且必须</w:t>
      </w:r>
      <w:r>
        <w:rPr>
          <w:spacing w:val="-2"/>
        </w:rPr>
        <w:t>同时满足下列至少一项条件：</w:t>
      </w:r>
    </w:p>
    <w:p>
      <w:pPr>
        <w:pStyle w:val="ListParagraph"/>
        <w:numPr>
          <w:ilvl w:val="0"/>
          <w:numId w:val="26"/>
        </w:numPr>
        <w:tabs>
          <w:tab w:pos="707" w:val="left" w:leader="none"/>
        </w:tabs>
        <w:spacing w:line="265" w:lineRule="exact" w:before="0" w:after="0"/>
        <w:ind w:left="706" w:right="0" w:hanging="530"/>
        <w:jc w:val="left"/>
        <w:rPr>
          <w:sz w:val="21"/>
        </w:rPr>
      </w:pPr>
      <w:r>
        <w:rPr>
          <w:spacing w:val="-2"/>
          <w:sz w:val="21"/>
        </w:rPr>
        <w:t>心肌损伤标志物肌钙蛋白（cTn）</w:t>
      </w:r>
      <w:r>
        <w:rPr>
          <w:spacing w:val="-3"/>
          <w:sz w:val="21"/>
        </w:rPr>
        <w:t>升高，至少一次检测结果达到该检</w:t>
      </w:r>
    </w:p>
    <w:p>
      <w:pPr>
        <w:spacing w:after="0" w:line="265" w:lineRule="exact"/>
        <w:jc w:val="left"/>
        <w:rPr>
          <w:sz w:val="21"/>
        </w:rPr>
        <w:sectPr>
          <w:type w:val="continuous"/>
          <w:pgSz w:w="11910" w:h="16840"/>
          <w:pgMar w:header="877" w:footer="0" w:top="1100" w:bottom="280" w:left="1060" w:right="980"/>
          <w:cols w:num="2" w:equalWidth="0">
            <w:col w:w="2588" w:space="40"/>
            <w:col w:w="7242"/>
          </w:cols>
        </w:sectPr>
      </w:pPr>
    </w:p>
    <w:p>
      <w:pPr>
        <w:pStyle w:val="BodyText"/>
        <w:spacing w:before="5"/>
        <w:rPr>
          <w:sz w:val="13"/>
        </w:rPr>
      </w:pPr>
    </w:p>
    <w:p>
      <w:pPr>
        <w:pStyle w:val="BodyText"/>
        <w:spacing w:line="20" w:lineRule="exact"/>
        <w:ind w:left="140"/>
        <w:rPr>
          <w:sz w:val="2"/>
        </w:rPr>
      </w:pPr>
      <w:r>
        <w:rPr>
          <w:sz w:val="2"/>
        </w:rPr>
        <w:drawing>
          <wp:inline distT="0" distB="0" distL="0" distR="0">
            <wp:extent cx="1828901" cy="6096"/>
            <wp:effectExtent l="0" t="0" r="0" b="0"/>
            <wp:docPr id="29" name="image4.png"/>
            <wp:cNvGraphicFramePr>
              <a:graphicFrameLocks noChangeAspect="1"/>
            </wp:cNvGraphicFramePr>
            <a:graphic>
              <a:graphicData uri="http://schemas.openxmlformats.org/drawingml/2006/picture">
                <pic:pic>
                  <pic:nvPicPr>
                    <pic:cNvPr id="30" name="image4.png"/>
                    <pic:cNvPicPr/>
                  </pic:nvPicPr>
                  <pic:blipFill>
                    <a:blip r:embed="rId9" cstate="print"/>
                    <a:stretch>
                      <a:fillRect/>
                    </a:stretch>
                  </pic:blipFill>
                  <pic:spPr>
                    <a:xfrm>
                      <a:off x="0" y="0"/>
                      <a:ext cx="1828901" cy="6096"/>
                    </a:xfrm>
                    <a:prstGeom prst="rect">
                      <a:avLst/>
                    </a:prstGeom>
                  </pic:spPr>
                </pic:pic>
              </a:graphicData>
            </a:graphic>
          </wp:inline>
        </w:drawing>
      </w:r>
      <w:r>
        <w:rPr>
          <w:sz w:val="2"/>
        </w:rPr>
      </w:r>
    </w:p>
    <w:p>
      <w:pPr>
        <w:spacing w:line="168" w:lineRule="auto" w:before="105"/>
        <w:ind w:left="351" w:right="214" w:hanging="212"/>
        <w:jc w:val="both"/>
        <w:rPr>
          <w:rFonts w:ascii="微软雅黑" w:eastAsia="微软雅黑"/>
          <w:b/>
          <w:sz w:val="21"/>
        </w:rPr>
      </w:pPr>
      <w:r>
        <w:rPr>
          <w:position w:val="11"/>
          <w:sz w:val="11"/>
        </w:rPr>
        <w:t>30 </w:t>
      </w:r>
      <w:r>
        <w:rPr>
          <w:rFonts w:ascii="微软雅黑" w:eastAsia="微软雅黑"/>
          <w:b/>
          <w:sz w:val="21"/>
        </w:rPr>
        <w:t>组织病理学检查</w:t>
      </w:r>
      <w:r>
        <w:rPr>
          <w:sz w:val="21"/>
        </w:rPr>
        <w:t>：组织病理学检查是通过局部切除、钳取、穿刺等手术方法，从患者机体采取病变组</w:t>
      </w:r>
      <w:r>
        <w:rPr>
          <w:spacing w:val="-2"/>
          <w:sz w:val="21"/>
        </w:rPr>
        <w:t>织块，经过包埋、切片后，进行病理检查的方法。</w:t>
      </w:r>
      <w:r>
        <w:rPr>
          <w:rFonts w:ascii="微软雅黑" w:eastAsia="微软雅黑"/>
          <w:b/>
          <w:spacing w:val="-2"/>
          <w:sz w:val="21"/>
        </w:rPr>
        <w:t>通过采集病变部位脱落细胞、细针吸取病变部位细</w:t>
      </w:r>
      <w:r>
        <w:rPr>
          <w:rFonts w:ascii="微软雅黑" w:eastAsia="微软雅黑"/>
          <w:b/>
          <w:spacing w:val="-2"/>
          <w:sz w:val="21"/>
        </w:rPr>
        <w:t>胞、体腔积液分离病变细胞等方式获取病变细胞，制成涂片，进行病理检查的方法，属于细胞病理学</w:t>
      </w:r>
      <w:r>
        <w:rPr>
          <w:rFonts w:ascii="微软雅黑" w:eastAsia="微软雅黑"/>
          <w:b/>
          <w:spacing w:val="-2"/>
          <w:sz w:val="21"/>
        </w:rPr>
        <w:t>检查，不属于组织病理学检查。</w:t>
      </w:r>
    </w:p>
    <w:p>
      <w:pPr>
        <w:spacing w:line="168" w:lineRule="auto" w:before="6"/>
        <w:ind w:left="351" w:right="108" w:hanging="212"/>
        <w:jc w:val="both"/>
        <w:rPr>
          <w:rFonts w:ascii="微软雅黑" w:eastAsia="微软雅黑"/>
          <w:b/>
          <w:sz w:val="21"/>
        </w:rPr>
      </w:pPr>
      <w:r>
        <w:rPr>
          <w:position w:val="11"/>
          <w:sz w:val="11"/>
        </w:rPr>
        <w:t>31</w:t>
      </w:r>
      <w:r>
        <w:rPr>
          <w:spacing w:val="-14"/>
          <w:position w:val="11"/>
          <w:sz w:val="11"/>
        </w:rPr>
        <w:t> </w:t>
      </w:r>
      <w:r>
        <w:rPr>
          <w:rFonts w:ascii="微软雅黑" w:eastAsia="微软雅黑"/>
          <w:b/>
          <w:sz w:val="21"/>
        </w:rPr>
        <w:t>ICD-10</w:t>
      </w:r>
      <w:r>
        <w:rPr>
          <w:sz w:val="21"/>
        </w:rPr>
        <w:t>：《疾病和有关健康问题的国际统计分类》第十次修订版（ICD-10），是世界卫生组织</w:t>
      </w:r>
      <w:r>
        <w:rPr>
          <w:sz w:val="21"/>
        </w:rPr>
        <w:t>（WHO）</w:t>
      </w:r>
      <w:r>
        <w:rPr>
          <w:w w:val="95"/>
          <w:sz w:val="21"/>
        </w:rPr>
        <w:t>发</w:t>
      </w:r>
      <w:r>
        <w:rPr>
          <w:w w:val="95"/>
          <w:sz w:val="21"/>
        </w:rPr>
        <w:t>布</w:t>
      </w:r>
      <w:r>
        <w:rPr>
          <w:w w:val="95"/>
          <w:sz w:val="21"/>
        </w:rPr>
        <w:t>的国际通用的疾病分</w:t>
      </w:r>
      <w:r>
        <w:rPr>
          <w:w w:val="95"/>
          <w:sz w:val="21"/>
        </w:rPr>
        <w:t>类</w:t>
      </w:r>
      <w:r>
        <w:rPr>
          <w:w w:val="95"/>
          <w:sz w:val="21"/>
        </w:rPr>
        <w:t>方</w:t>
      </w:r>
      <w:r>
        <w:rPr>
          <w:w w:val="95"/>
          <w:sz w:val="21"/>
        </w:rPr>
        <w:t>法</w:t>
      </w:r>
      <w:r>
        <w:rPr>
          <w:w w:val="95"/>
          <w:sz w:val="21"/>
        </w:rPr>
        <w:t>。</w:t>
      </w:r>
      <w:r>
        <w:rPr>
          <w:rFonts w:ascii="微软雅黑" w:eastAsia="微软雅黑"/>
          <w:b/>
          <w:w w:val="95"/>
          <w:sz w:val="21"/>
        </w:rPr>
        <w:t>如</w:t>
      </w:r>
      <w:r>
        <w:rPr>
          <w:rFonts w:ascii="微软雅黑" w:eastAsia="微软雅黑"/>
          <w:b/>
          <w:w w:val="95"/>
          <w:sz w:val="21"/>
        </w:rPr>
        <w:t>果</w:t>
      </w:r>
      <w:r>
        <w:rPr>
          <w:rFonts w:ascii="微软雅黑" w:eastAsia="微软雅黑"/>
          <w:b/>
          <w:w w:val="95"/>
          <w:sz w:val="21"/>
        </w:rPr>
        <w:t>出</w:t>
      </w:r>
      <w:r>
        <w:rPr>
          <w:rFonts w:ascii="微软雅黑" w:eastAsia="微软雅黑"/>
          <w:b/>
          <w:w w:val="95"/>
          <w:sz w:val="21"/>
        </w:rPr>
        <w:t>现</w:t>
      </w:r>
      <w:r>
        <w:rPr>
          <w:rFonts w:ascii="微软雅黑" w:eastAsia="微软雅黑"/>
          <w:b/>
          <w:w w:val="95"/>
          <w:sz w:val="21"/>
        </w:rPr>
        <w:t> ICD-10 与 ICD-O-3 </w:t>
      </w:r>
      <w:r>
        <w:rPr>
          <w:rFonts w:ascii="微软雅黑" w:eastAsia="微软雅黑"/>
          <w:b/>
          <w:w w:val="95"/>
          <w:sz w:val="21"/>
        </w:rPr>
        <w:t>不</w:t>
      </w:r>
      <w:r>
        <w:rPr>
          <w:rFonts w:ascii="微软雅黑" w:eastAsia="微软雅黑"/>
          <w:b/>
          <w:w w:val="95"/>
          <w:sz w:val="21"/>
        </w:rPr>
        <w:t>一</w:t>
      </w:r>
      <w:r>
        <w:rPr>
          <w:rFonts w:ascii="微软雅黑" w:eastAsia="微软雅黑"/>
          <w:b/>
          <w:w w:val="95"/>
          <w:sz w:val="21"/>
        </w:rPr>
        <w:t>致</w:t>
      </w:r>
      <w:r>
        <w:rPr>
          <w:rFonts w:ascii="微软雅黑" w:eastAsia="微软雅黑"/>
          <w:b/>
          <w:w w:val="95"/>
          <w:sz w:val="21"/>
        </w:rPr>
        <w:t>的</w:t>
      </w:r>
      <w:r>
        <w:rPr>
          <w:rFonts w:ascii="微软雅黑" w:eastAsia="微软雅黑"/>
          <w:b/>
          <w:w w:val="95"/>
          <w:sz w:val="21"/>
        </w:rPr>
        <w:t>情</w:t>
      </w:r>
      <w:r>
        <w:rPr>
          <w:rFonts w:ascii="微软雅黑" w:eastAsia="微软雅黑"/>
          <w:b/>
          <w:w w:val="95"/>
          <w:sz w:val="21"/>
        </w:rPr>
        <w:t>况</w:t>
      </w:r>
      <w:r>
        <w:rPr>
          <w:rFonts w:ascii="微软雅黑" w:eastAsia="微软雅黑"/>
          <w:b/>
          <w:w w:val="95"/>
          <w:sz w:val="21"/>
        </w:rPr>
        <w:t>，</w:t>
      </w:r>
      <w:r>
        <w:rPr>
          <w:rFonts w:ascii="微软雅黑" w:eastAsia="微软雅黑"/>
          <w:b/>
          <w:w w:val="95"/>
          <w:sz w:val="21"/>
        </w:rPr>
        <w:t>以</w:t>
      </w:r>
      <w:r>
        <w:rPr>
          <w:rFonts w:ascii="微软雅黑" w:eastAsia="微软雅黑"/>
          <w:b/>
          <w:w w:val="95"/>
          <w:sz w:val="21"/>
        </w:rPr>
        <w:t> ICD-O-3 </w:t>
      </w:r>
      <w:r>
        <w:rPr>
          <w:rFonts w:ascii="微软雅黑" w:eastAsia="微软雅黑"/>
          <w:b/>
          <w:w w:val="95"/>
          <w:sz w:val="21"/>
        </w:rPr>
        <w:t>为</w:t>
      </w:r>
      <w:r>
        <w:rPr>
          <w:rFonts w:ascii="微软雅黑" w:eastAsia="微软雅黑"/>
          <w:b/>
          <w:w w:val="95"/>
          <w:sz w:val="21"/>
        </w:rPr>
        <w:t>准</w:t>
      </w:r>
      <w:r>
        <w:rPr>
          <w:rFonts w:ascii="微软雅黑" w:eastAsia="微软雅黑"/>
          <w:b/>
          <w:w w:val="95"/>
          <w:sz w:val="21"/>
        </w:rPr>
        <w:t>。</w:t>
      </w:r>
    </w:p>
    <w:p>
      <w:pPr>
        <w:pStyle w:val="BodyText"/>
        <w:spacing w:line="282" w:lineRule="exact"/>
        <w:ind w:left="140"/>
        <w:jc w:val="both"/>
      </w:pPr>
      <w:r>
        <w:rPr>
          <w:w w:val="95"/>
          <w:position w:val="11"/>
          <w:sz w:val="11"/>
        </w:rPr>
        <w:t>32</w:t>
      </w:r>
      <w:r>
        <w:rPr>
          <w:spacing w:val="37"/>
          <w:position w:val="11"/>
          <w:sz w:val="11"/>
        </w:rPr>
        <w:t>  </w:t>
      </w:r>
      <w:r>
        <w:rPr>
          <w:rFonts w:ascii="微软雅黑" w:eastAsia="微软雅黑"/>
          <w:b/>
          <w:w w:val="95"/>
        </w:rPr>
        <w:t>ICD-O-3</w:t>
      </w:r>
      <w:r>
        <w:rPr>
          <w:w w:val="95"/>
        </w:rPr>
        <w:t>：《国际疾</w:t>
      </w:r>
      <w:r>
        <w:rPr>
          <w:w w:val="95"/>
        </w:rPr>
        <w:t>病</w:t>
      </w:r>
      <w:r>
        <w:rPr>
          <w:w w:val="95"/>
        </w:rPr>
        <w:t>分</w:t>
      </w:r>
      <w:r>
        <w:rPr>
          <w:w w:val="95"/>
        </w:rPr>
        <w:t>类</w:t>
      </w:r>
      <w:r>
        <w:rPr>
          <w:w w:val="95"/>
        </w:rPr>
        <w:t>肿</w:t>
      </w:r>
      <w:r>
        <w:rPr>
          <w:w w:val="95"/>
        </w:rPr>
        <w:t>瘤学专辑》第三版（ICD-O-3），是</w:t>
      </w:r>
      <w:r>
        <w:rPr>
          <w:spacing w:val="4"/>
        </w:rPr>
        <w:t> </w:t>
      </w:r>
      <w:r>
        <w:rPr>
          <w:w w:val="95"/>
        </w:rPr>
        <w:t>WHO</w:t>
      </w:r>
      <w:r>
        <w:rPr>
          <w:spacing w:val="7"/>
        </w:rPr>
        <w:t> </w:t>
      </w:r>
      <w:r>
        <w:rPr>
          <w:w w:val="95"/>
        </w:rPr>
        <w:t>发布的</w:t>
      </w:r>
      <w:r>
        <w:rPr>
          <w:w w:val="95"/>
        </w:rPr>
        <w:t>针</w:t>
      </w:r>
      <w:r>
        <w:rPr>
          <w:w w:val="95"/>
        </w:rPr>
        <w:t>对</w:t>
      </w:r>
      <w:r>
        <w:rPr>
          <w:spacing w:val="4"/>
        </w:rPr>
        <w:t> </w:t>
      </w:r>
      <w:r>
        <w:rPr>
          <w:w w:val="95"/>
        </w:rPr>
        <w:t>ICD</w:t>
      </w:r>
      <w:r>
        <w:rPr>
          <w:spacing w:val="7"/>
        </w:rPr>
        <w:t> </w:t>
      </w:r>
      <w:r>
        <w:rPr>
          <w:w w:val="95"/>
        </w:rPr>
        <w:t>中肿瘤形态</w:t>
      </w:r>
      <w:r>
        <w:rPr>
          <w:w w:val="95"/>
        </w:rPr>
        <w:t>学</w:t>
      </w:r>
      <w:r>
        <w:rPr>
          <w:spacing w:val="-10"/>
          <w:w w:val="95"/>
        </w:rPr>
        <w:t>组</w:t>
      </w:r>
    </w:p>
    <w:p>
      <w:pPr>
        <w:pStyle w:val="BodyText"/>
        <w:spacing w:line="245" w:lineRule="exact"/>
        <w:ind w:left="351"/>
        <w:jc w:val="both"/>
      </w:pPr>
      <w:r>
        <w:rPr>
          <w:spacing w:val="-4"/>
        </w:rPr>
        <w:t>织学细胞类型、动态、分化程度的补充编码。其中形态学编码：0</w:t>
      </w:r>
      <w:r>
        <w:rPr>
          <w:spacing w:val="-9"/>
        </w:rPr>
        <w:t> 代表良性肿瘤；</w:t>
      </w:r>
      <w:r>
        <w:rPr>
          <w:spacing w:val="-4"/>
        </w:rPr>
        <w:t>1</w:t>
      </w:r>
      <w:r>
        <w:rPr>
          <w:spacing w:val="-9"/>
        </w:rPr>
        <w:t> 代表动态未定性肿</w:t>
      </w:r>
    </w:p>
    <w:p>
      <w:pPr>
        <w:spacing w:line="194" w:lineRule="auto" w:before="42"/>
        <w:ind w:left="351" w:right="216" w:firstLine="0"/>
        <w:jc w:val="both"/>
        <w:rPr>
          <w:rFonts w:ascii="微软雅黑" w:eastAsia="微软雅黑"/>
          <w:b/>
          <w:sz w:val="21"/>
        </w:rPr>
      </w:pPr>
      <w:r>
        <w:rPr>
          <w:spacing w:val="-2"/>
          <w:sz w:val="21"/>
        </w:rPr>
        <w:t>瘤；2</w:t>
      </w:r>
      <w:r>
        <w:rPr>
          <w:spacing w:val="-7"/>
          <w:sz w:val="21"/>
        </w:rPr>
        <w:t> 代表原位癌和非侵袭性癌；</w:t>
      </w:r>
      <w:r>
        <w:rPr>
          <w:spacing w:val="-2"/>
          <w:sz w:val="21"/>
        </w:rPr>
        <w:t>3</w:t>
      </w:r>
      <w:r>
        <w:rPr>
          <w:spacing w:val="-7"/>
          <w:sz w:val="21"/>
        </w:rPr>
        <w:t> 代表恶性肿瘤</w:t>
      </w:r>
      <w:r>
        <w:rPr>
          <w:spacing w:val="-2"/>
          <w:sz w:val="21"/>
        </w:rPr>
        <w:t>（原发性）；6</w:t>
      </w:r>
      <w:r>
        <w:rPr>
          <w:spacing w:val="-7"/>
          <w:sz w:val="21"/>
        </w:rPr>
        <w:t> 代表恶性肿瘤</w:t>
      </w:r>
      <w:r>
        <w:rPr>
          <w:spacing w:val="-2"/>
          <w:sz w:val="21"/>
        </w:rPr>
        <w:t>（转移性）；9</w:t>
      </w:r>
      <w:r>
        <w:rPr>
          <w:spacing w:val="-8"/>
          <w:sz w:val="21"/>
        </w:rPr>
        <w:t> 代表恶</w:t>
      </w:r>
      <w:r>
        <w:rPr>
          <w:w w:val="95"/>
          <w:sz w:val="21"/>
        </w:rPr>
        <w:t>性</w:t>
      </w:r>
      <w:r>
        <w:rPr>
          <w:w w:val="95"/>
          <w:sz w:val="21"/>
        </w:rPr>
        <w:t>肿</w:t>
      </w:r>
      <w:r>
        <w:rPr>
          <w:w w:val="95"/>
          <w:sz w:val="21"/>
        </w:rPr>
        <w:t>瘤（原发性或转移性</w:t>
      </w:r>
      <w:r>
        <w:rPr>
          <w:w w:val="95"/>
          <w:sz w:val="21"/>
        </w:rPr>
        <w:t>未</w:t>
      </w:r>
      <w:r>
        <w:rPr>
          <w:w w:val="95"/>
          <w:sz w:val="21"/>
        </w:rPr>
        <w:t>肯</w:t>
      </w:r>
      <w:r>
        <w:rPr>
          <w:w w:val="95"/>
          <w:sz w:val="21"/>
        </w:rPr>
        <w:t>定）。</w:t>
      </w:r>
      <w:r>
        <w:rPr>
          <w:rFonts w:ascii="微软雅黑" w:eastAsia="微软雅黑"/>
          <w:b/>
          <w:w w:val="95"/>
          <w:sz w:val="21"/>
        </w:rPr>
        <w:t>如</w:t>
      </w:r>
      <w:r>
        <w:rPr>
          <w:rFonts w:ascii="微软雅黑" w:eastAsia="微软雅黑"/>
          <w:b/>
          <w:w w:val="95"/>
          <w:sz w:val="21"/>
        </w:rPr>
        <w:t>果</w:t>
      </w:r>
      <w:r>
        <w:rPr>
          <w:rFonts w:ascii="微软雅黑" w:eastAsia="微软雅黑"/>
          <w:b/>
          <w:w w:val="95"/>
          <w:sz w:val="21"/>
        </w:rPr>
        <w:t>出</w:t>
      </w:r>
      <w:r>
        <w:rPr>
          <w:rFonts w:ascii="微软雅黑" w:eastAsia="微软雅黑"/>
          <w:b/>
          <w:w w:val="95"/>
          <w:sz w:val="21"/>
        </w:rPr>
        <w:t>现</w:t>
      </w:r>
      <w:r>
        <w:rPr>
          <w:rFonts w:ascii="微软雅黑" w:eastAsia="微软雅黑"/>
          <w:b/>
          <w:w w:val="95"/>
          <w:sz w:val="21"/>
        </w:rPr>
        <w:t> ICD-10 与 ICD-O-3 </w:t>
      </w:r>
      <w:r>
        <w:rPr>
          <w:rFonts w:ascii="微软雅黑" w:eastAsia="微软雅黑"/>
          <w:b/>
          <w:w w:val="95"/>
          <w:sz w:val="21"/>
        </w:rPr>
        <w:t>不</w:t>
      </w:r>
      <w:r>
        <w:rPr>
          <w:rFonts w:ascii="微软雅黑" w:eastAsia="微软雅黑"/>
          <w:b/>
          <w:w w:val="95"/>
          <w:sz w:val="21"/>
        </w:rPr>
        <w:t>一</w:t>
      </w:r>
      <w:r>
        <w:rPr>
          <w:rFonts w:ascii="微软雅黑" w:eastAsia="微软雅黑"/>
          <w:b/>
          <w:w w:val="95"/>
          <w:sz w:val="21"/>
        </w:rPr>
        <w:t>致</w:t>
      </w:r>
      <w:r>
        <w:rPr>
          <w:rFonts w:ascii="微软雅黑" w:eastAsia="微软雅黑"/>
          <w:b/>
          <w:w w:val="95"/>
          <w:sz w:val="21"/>
        </w:rPr>
        <w:t>的</w:t>
      </w:r>
      <w:r>
        <w:rPr>
          <w:rFonts w:ascii="微软雅黑" w:eastAsia="微软雅黑"/>
          <w:b/>
          <w:w w:val="95"/>
          <w:sz w:val="21"/>
        </w:rPr>
        <w:t>情</w:t>
      </w:r>
      <w:r>
        <w:rPr>
          <w:rFonts w:ascii="微软雅黑" w:eastAsia="微软雅黑"/>
          <w:b/>
          <w:w w:val="95"/>
          <w:sz w:val="21"/>
        </w:rPr>
        <w:t>况</w:t>
      </w:r>
      <w:r>
        <w:rPr>
          <w:rFonts w:ascii="微软雅黑" w:eastAsia="微软雅黑"/>
          <w:b/>
          <w:w w:val="95"/>
          <w:sz w:val="21"/>
        </w:rPr>
        <w:t>，</w:t>
      </w:r>
      <w:r>
        <w:rPr>
          <w:rFonts w:ascii="微软雅黑" w:eastAsia="微软雅黑"/>
          <w:b/>
          <w:w w:val="95"/>
          <w:sz w:val="21"/>
        </w:rPr>
        <w:t>以</w:t>
      </w:r>
      <w:r>
        <w:rPr>
          <w:rFonts w:ascii="微软雅黑" w:eastAsia="微软雅黑"/>
          <w:b/>
          <w:w w:val="95"/>
          <w:sz w:val="21"/>
        </w:rPr>
        <w:t> ICD-O-3 </w:t>
      </w:r>
      <w:r>
        <w:rPr>
          <w:rFonts w:ascii="微软雅黑" w:eastAsia="微软雅黑"/>
          <w:b/>
          <w:w w:val="95"/>
          <w:sz w:val="21"/>
        </w:rPr>
        <w:t>为</w:t>
      </w:r>
      <w:r>
        <w:rPr>
          <w:rFonts w:ascii="微软雅黑" w:eastAsia="微软雅黑"/>
          <w:b/>
          <w:w w:val="95"/>
          <w:sz w:val="21"/>
        </w:rPr>
        <w:t>准</w:t>
      </w:r>
      <w:r>
        <w:rPr>
          <w:rFonts w:ascii="微软雅黑" w:eastAsia="微软雅黑"/>
          <w:b/>
          <w:w w:val="95"/>
          <w:sz w:val="21"/>
        </w:rPr>
        <w:t>。</w:t>
      </w:r>
    </w:p>
    <w:p>
      <w:pPr>
        <w:pStyle w:val="BodyText"/>
        <w:spacing w:line="270" w:lineRule="exact"/>
        <w:ind w:left="140"/>
        <w:jc w:val="both"/>
      </w:pPr>
      <w:r>
        <w:rPr>
          <w:w w:val="95"/>
          <w:position w:val="11"/>
          <w:sz w:val="11"/>
        </w:rPr>
        <w:t>33</w:t>
      </w:r>
      <w:r>
        <w:rPr>
          <w:spacing w:val="57"/>
          <w:w w:val="150"/>
          <w:position w:val="11"/>
          <w:sz w:val="11"/>
        </w:rPr>
        <w:t> </w:t>
      </w:r>
      <w:r>
        <w:rPr>
          <w:rFonts w:ascii="微软雅黑" w:eastAsia="微软雅黑"/>
          <w:b/>
          <w:w w:val="90"/>
        </w:rPr>
        <w:t>TNM</w:t>
      </w:r>
      <w:r>
        <w:rPr>
          <w:rFonts w:ascii="微软雅黑" w:eastAsia="微软雅黑"/>
          <w:b/>
          <w:spacing w:val="8"/>
        </w:rPr>
        <w:t> </w:t>
      </w:r>
      <w:r>
        <w:rPr>
          <w:rFonts w:ascii="微软雅黑" w:eastAsia="微软雅黑"/>
          <w:b/>
          <w:w w:val="95"/>
        </w:rPr>
        <w:t>分期</w:t>
      </w:r>
      <w:r>
        <w:rPr>
          <w:w w:val="95"/>
        </w:rPr>
        <w:t>：TNM</w:t>
      </w:r>
      <w:r>
        <w:rPr>
          <w:spacing w:val="-12"/>
          <w:w w:val="95"/>
        </w:rPr>
        <w:t> 分期采用 </w:t>
      </w:r>
      <w:r>
        <w:rPr>
          <w:w w:val="95"/>
        </w:rPr>
        <w:t>AJCC</w:t>
      </w:r>
      <w:r>
        <w:rPr>
          <w:spacing w:val="-13"/>
          <w:w w:val="95"/>
        </w:rPr>
        <w:t> 癌症分期手册标准。该</w:t>
      </w:r>
      <w:r>
        <w:rPr>
          <w:w w:val="95"/>
        </w:rPr>
        <w:t>标</w:t>
      </w:r>
      <w:r>
        <w:rPr>
          <w:w w:val="95"/>
        </w:rPr>
        <w:t>准</w:t>
      </w:r>
      <w:r>
        <w:rPr>
          <w:w w:val="95"/>
        </w:rPr>
        <w:t>由美国癌症联合委员</w:t>
      </w:r>
      <w:r>
        <w:rPr>
          <w:w w:val="95"/>
        </w:rPr>
        <w:t>会</w:t>
      </w:r>
      <w:r>
        <w:rPr>
          <w:w w:val="95"/>
        </w:rPr>
        <w:t>与</w:t>
      </w:r>
      <w:r>
        <w:rPr>
          <w:w w:val="95"/>
        </w:rPr>
        <w:t>国际抗癌联</w:t>
      </w:r>
      <w:r>
        <w:rPr>
          <w:w w:val="95"/>
        </w:rPr>
        <w:t>合</w:t>
      </w:r>
      <w:r>
        <w:rPr>
          <w:w w:val="95"/>
        </w:rPr>
        <w:t>会</w:t>
      </w:r>
      <w:r>
        <w:rPr>
          <w:spacing w:val="32"/>
        </w:rPr>
        <w:t> </w:t>
      </w:r>
      <w:r>
        <w:rPr>
          <w:spacing w:val="-5"/>
          <w:w w:val="95"/>
        </w:rPr>
        <w:t>TNM</w:t>
      </w:r>
    </w:p>
    <w:p>
      <w:pPr>
        <w:pStyle w:val="BodyText"/>
        <w:spacing w:line="246" w:lineRule="exact"/>
        <w:ind w:left="351"/>
        <w:jc w:val="both"/>
      </w:pPr>
      <w:r>
        <w:rPr>
          <w:spacing w:val="-4"/>
        </w:rPr>
        <w:t>委员会联合制定，是目前肿瘤医学分期的国际通用标准。T</w:t>
      </w:r>
      <w:r>
        <w:rPr>
          <w:spacing w:val="-9"/>
        </w:rPr>
        <w:t> 指原发肿瘤的大小、形态等；</w:t>
      </w:r>
      <w:r>
        <w:rPr>
          <w:spacing w:val="-4"/>
        </w:rPr>
        <w:t>N</w:t>
      </w:r>
      <w:r>
        <w:rPr>
          <w:spacing w:val="-10"/>
        </w:rPr>
        <w:t> 指淋巴结的</w:t>
      </w:r>
    </w:p>
    <w:p>
      <w:pPr>
        <w:pStyle w:val="BodyText"/>
        <w:spacing w:line="242" w:lineRule="auto" w:before="3"/>
        <w:ind w:left="351" w:right="210"/>
        <w:jc w:val="both"/>
      </w:pPr>
      <w:r>
        <w:rPr>
          <w:w w:val="95"/>
        </w:rPr>
        <w:t>转</w:t>
      </w:r>
      <w:r>
        <w:rPr>
          <w:w w:val="95"/>
        </w:rPr>
        <w:t>移</w:t>
      </w:r>
      <w:r>
        <w:rPr>
          <w:spacing w:val="-36"/>
          <w:w w:val="95"/>
        </w:rPr>
        <w:t>情况；</w:t>
      </w:r>
      <w:r>
        <w:rPr>
          <w:w w:val="95"/>
        </w:rPr>
        <w:t>M</w:t>
      </w:r>
      <w:r>
        <w:rPr>
          <w:spacing w:val="35"/>
        </w:rPr>
        <w:t> </w:t>
      </w:r>
      <w:r>
        <w:rPr>
          <w:w w:val="95"/>
        </w:rPr>
        <w:t>指有无其</w:t>
      </w:r>
      <w:r>
        <w:rPr>
          <w:w w:val="95"/>
        </w:rPr>
        <w:t>他</w:t>
      </w:r>
      <w:r>
        <w:rPr>
          <w:w w:val="95"/>
        </w:rPr>
        <w:t>脏</w:t>
      </w:r>
      <w:r>
        <w:rPr>
          <w:w w:val="95"/>
        </w:rPr>
        <w:t>器</w:t>
      </w:r>
      <w:r>
        <w:rPr>
          <w:w w:val="95"/>
        </w:rPr>
        <w:t>的</w:t>
      </w:r>
      <w:r>
        <w:rPr>
          <w:spacing w:val="-13"/>
          <w:w w:val="95"/>
        </w:rPr>
        <w:t>转移情况。甲状腺癌的</w:t>
      </w:r>
      <w:r>
        <w:rPr>
          <w:spacing w:val="38"/>
        </w:rPr>
        <w:t> </w:t>
      </w:r>
      <w:r>
        <w:rPr>
          <w:w w:val="95"/>
        </w:rPr>
        <w:t>TNM</w:t>
      </w:r>
      <w:r>
        <w:rPr/>
        <w:t> </w:t>
      </w:r>
      <w:r>
        <w:rPr>
          <w:w w:val="95"/>
        </w:rPr>
        <w:t>分期采用目前现行的</w:t>
      </w:r>
      <w:r>
        <w:rPr>
          <w:spacing w:val="38"/>
        </w:rPr>
        <w:t> </w:t>
      </w:r>
      <w:r>
        <w:rPr>
          <w:w w:val="95"/>
        </w:rPr>
        <w:t>AJCC</w:t>
      </w:r>
      <w:r>
        <w:rPr>
          <w:spacing w:val="35"/>
        </w:rPr>
        <w:t> </w:t>
      </w:r>
      <w:r>
        <w:rPr>
          <w:w w:val="95"/>
        </w:rPr>
        <w:t>第八版定义标准，</w:t>
      </w:r>
      <w:r>
        <w:rPr>
          <w:w w:val="95"/>
        </w:rPr>
        <w:t>我</w:t>
      </w:r>
      <w:r>
        <w:rPr>
          <w:w w:val="95"/>
        </w:rPr>
        <w:t>国</w:t>
      </w:r>
      <w:r>
        <w:rPr>
          <w:w w:val="95"/>
        </w:rPr>
        <w:t>国家卫生健康</w:t>
      </w:r>
      <w:r>
        <w:rPr>
          <w:w w:val="95"/>
        </w:rPr>
        <w:t>委</w:t>
      </w:r>
      <w:r>
        <w:rPr>
          <w:w w:val="95"/>
        </w:rPr>
        <w:t>员</w:t>
      </w:r>
      <w:r>
        <w:rPr>
          <w:w w:val="95"/>
        </w:rPr>
        <w:t>会</w:t>
      </w:r>
      <w:r>
        <w:rPr>
          <w:spacing w:val="39"/>
        </w:rPr>
        <w:t> </w:t>
      </w:r>
      <w:r>
        <w:rPr>
          <w:w w:val="95"/>
        </w:rPr>
        <w:t>2018</w:t>
      </w:r>
      <w:r>
        <w:rPr>
          <w:spacing w:val="39"/>
        </w:rPr>
        <w:t> </w:t>
      </w:r>
      <w:r>
        <w:rPr>
          <w:w w:val="95"/>
        </w:rPr>
        <w:t>年发布的《甲状腺癌</w:t>
      </w:r>
      <w:r>
        <w:rPr>
          <w:w w:val="95"/>
        </w:rPr>
        <w:t>诊</w:t>
      </w:r>
      <w:r>
        <w:rPr>
          <w:w w:val="95"/>
        </w:rPr>
        <w:t>疗</w:t>
      </w:r>
      <w:r>
        <w:rPr>
          <w:w w:val="95"/>
        </w:rPr>
        <w:t>规范（2018</w:t>
      </w:r>
      <w:r>
        <w:rPr>
          <w:spacing w:val="39"/>
        </w:rPr>
        <w:t> </w:t>
      </w:r>
      <w:r>
        <w:rPr>
          <w:w w:val="95"/>
        </w:rPr>
        <w:t>年版）</w:t>
      </w:r>
      <w:r>
        <w:rPr>
          <w:w w:val="95"/>
        </w:rPr>
        <w:t>》</w:t>
      </w:r>
      <w:r>
        <w:rPr>
          <w:w w:val="95"/>
        </w:rPr>
        <w:t>也</w:t>
      </w:r>
      <w:r>
        <w:rPr>
          <w:w w:val="95"/>
        </w:rPr>
        <w:t>采</w:t>
      </w:r>
      <w:r>
        <w:rPr>
          <w:w w:val="95"/>
        </w:rPr>
        <w:t>用此定义</w:t>
      </w:r>
      <w:r>
        <w:rPr>
          <w:w w:val="95"/>
        </w:rPr>
        <w:t>标</w:t>
      </w:r>
      <w:r>
        <w:rPr>
          <w:w w:val="95"/>
        </w:rPr>
        <w:t>准</w:t>
      </w:r>
      <w:r>
        <w:rPr>
          <w:w w:val="95"/>
        </w:rPr>
        <w:t>，甲</w:t>
      </w:r>
      <w:r>
        <w:rPr>
          <w:w w:val="95"/>
        </w:rPr>
        <w:t>状</w:t>
      </w:r>
      <w:r>
        <w:rPr>
          <w:spacing w:val="-6"/>
        </w:rPr>
        <w:t>腺癌的 </w:t>
      </w:r>
      <w:r>
        <w:rPr/>
        <w:t>TNM</w:t>
      </w:r>
      <w:r>
        <w:rPr>
          <w:spacing w:val="-5"/>
        </w:rPr>
        <w:t> 分期标准具体见附表四。</w:t>
      </w:r>
    </w:p>
    <w:p>
      <w:pPr>
        <w:spacing w:after="0" w:line="242" w:lineRule="auto"/>
        <w:jc w:val="both"/>
        <w:sectPr>
          <w:type w:val="continuous"/>
          <w:pgSz w:w="11910" w:h="16840"/>
          <w:pgMar w:header="877" w:footer="0" w:top="1100" w:bottom="280" w:left="1060" w:right="980"/>
        </w:sectPr>
      </w:pPr>
    </w:p>
    <w:p>
      <w:pPr>
        <w:pStyle w:val="BodyText"/>
        <w:spacing w:before="83"/>
        <w:ind w:left="3330"/>
      </w:pPr>
      <w:r>
        <w:rPr>
          <w:spacing w:val="-7"/>
        </w:rPr>
        <w:t>验正常参考值上限的 </w:t>
      </w:r>
      <w:r>
        <w:rPr>
          <w:spacing w:val="-2"/>
        </w:rPr>
        <w:t>15</w:t>
      </w:r>
      <w:r>
        <w:rPr>
          <w:spacing w:val="-25"/>
        </w:rPr>
        <w:t> 倍</w:t>
      </w:r>
      <w:r>
        <w:rPr>
          <w:spacing w:val="-2"/>
        </w:rPr>
        <w:t>（含）</w:t>
      </w:r>
      <w:r>
        <w:rPr>
          <w:spacing w:val="-5"/>
        </w:rPr>
        <w:t>以上；</w:t>
      </w:r>
    </w:p>
    <w:p>
      <w:pPr>
        <w:pStyle w:val="ListParagraph"/>
        <w:numPr>
          <w:ilvl w:val="1"/>
          <w:numId w:val="26"/>
        </w:numPr>
        <w:tabs>
          <w:tab w:pos="3334" w:val="left" w:leader="none"/>
        </w:tabs>
        <w:spacing w:line="244" w:lineRule="auto" w:before="2" w:after="0"/>
        <w:ind w:left="3330" w:right="335" w:hanging="526"/>
        <w:jc w:val="left"/>
        <w:rPr>
          <w:sz w:val="21"/>
        </w:rPr>
      </w:pPr>
      <w:r>
        <w:rPr>
          <w:spacing w:val="-2"/>
          <w:sz w:val="21"/>
        </w:rPr>
        <w:t>肌酸激酶同工酶（CK-MB）升高，至少一次检测结果达到该检验正常</w:t>
      </w:r>
      <w:r>
        <w:rPr>
          <w:spacing w:val="-4"/>
          <w:sz w:val="21"/>
        </w:rPr>
        <w:t>参考值上限的 </w:t>
      </w:r>
      <w:r>
        <w:rPr>
          <w:sz w:val="21"/>
        </w:rPr>
        <w:t>2</w:t>
      </w:r>
      <w:r>
        <w:rPr>
          <w:spacing w:val="-13"/>
          <w:sz w:val="21"/>
        </w:rPr>
        <w:t> 倍</w:t>
      </w:r>
      <w:r>
        <w:rPr>
          <w:sz w:val="21"/>
        </w:rPr>
        <w:t>（含）以上；</w:t>
      </w:r>
    </w:p>
    <w:p>
      <w:pPr>
        <w:pStyle w:val="ListParagraph"/>
        <w:numPr>
          <w:ilvl w:val="1"/>
          <w:numId w:val="26"/>
        </w:numPr>
        <w:tabs>
          <w:tab w:pos="3334" w:val="left" w:leader="none"/>
        </w:tabs>
        <w:spacing w:line="244" w:lineRule="auto" w:before="0" w:after="0"/>
        <w:ind w:left="3330" w:right="218" w:hanging="526"/>
        <w:jc w:val="left"/>
        <w:rPr>
          <w:sz w:val="21"/>
        </w:rPr>
      </w:pPr>
      <w:r>
        <w:rPr>
          <w:spacing w:val="-10"/>
          <w:sz w:val="21"/>
        </w:rPr>
        <w:t>出现左心室收缩功能下降，在确诊 </w:t>
      </w:r>
      <w:r>
        <w:rPr>
          <w:sz w:val="21"/>
        </w:rPr>
        <w:t>6</w:t>
      </w:r>
      <w:r>
        <w:rPr>
          <w:spacing w:val="-21"/>
          <w:sz w:val="21"/>
        </w:rPr>
        <w:t> 周以后，检测左室射血分数</w:t>
      </w:r>
      <w:r>
        <w:rPr>
          <w:sz w:val="21"/>
        </w:rPr>
        <w:t>（LVEF）</w:t>
      </w:r>
      <w:r>
        <w:rPr>
          <w:spacing w:val="-15"/>
          <w:sz w:val="21"/>
        </w:rPr>
        <w:t>低于 </w:t>
      </w:r>
      <w:r>
        <w:rPr>
          <w:sz w:val="21"/>
        </w:rPr>
        <w:t>50%（不含）；</w:t>
      </w:r>
    </w:p>
    <w:p>
      <w:pPr>
        <w:pStyle w:val="ListParagraph"/>
        <w:numPr>
          <w:ilvl w:val="1"/>
          <w:numId w:val="26"/>
        </w:numPr>
        <w:tabs>
          <w:tab w:pos="3334" w:val="left" w:leader="none"/>
        </w:tabs>
        <w:spacing w:line="244" w:lineRule="auto" w:before="0" w:after="0"/>
        <w:ind w:left="3330" w:right="230" w:hanging="526"/>
        <w:jc w:val="left"/>
        <w:rPr>
          <w:sz w:val="21"/>
        </w:rPr>
      </w:pPr>
      <w:r>
        <w:rPr>
          <w:spacing w:val="-2"/>
          <w:sz w:val="21"/>
        </w:rPr>
        <w:t>影像学检查证实存在新发的乳头肌功能失调或断裂引起的中度（含）</w:t>
      </w:r>
      <w:r>
        <w:rPr>
          <w:spacing w:val="-2"/>
          <w:sz w:val="21"/>
        </w:rPr>
        <w:t>以上的二尖瓣反流；</w:t>
      </w:r>
    </w:p>
    <w:p>
      <w:pPr>
        <w:pStyle w:val="ListParagraph"/>
        <w:numPr>
          <w:ilvl w:val="1"/>
          <w:numId w:val="26"/>
        </w:numPr>
        <w:tabs>
          <w:tab w:pos="3334" w:val="left" w:leader="none"/>
        </w:tabs>
        <w:spacing w:line="265" w:lineRule="exact" w:before="0" w:after="0"/>
        <w:ind w:left="3334" w:right="0" w:hanging="529"/>
        <w:jc w:val="left"/>
        <w:rPr>
          <w:sz w:val="21"/>
        </w:rPr>
      </w:pPr>
      <w:r>
        <w:rPr>
          <w:spacing w:val="-3"/>
          <w:sz w:val="21"/>
        </w:rPr>
        <w:t>影像学检查证实存在新出现的室壁瘤；</w:t>
      </w:r>
    </w:p>
    <w:p>
      <w:pPr>
        <w:pStyle w:val="ListParagraph"/>
        <w:numPr>
          <w:ilvl w:val="1"/>
          <w:numId w:val="26"/>
        </w:numPr>
        <w:tabs>
          <w:tab w:pos="3334" w:val="left" w:leader="none"/>
        </w:tabs>
        <w:spacing w:line="237" w:lineRule="exact" w:before="0" w:after="0"/>
        <w:ind w:left="3334" w:right="0" w:hanging="529"/>
        <w:jc w:val="left"/>
        <w:rPr>
          <w:sz w:val="21"/>
        </w:rPr>
      </w:pPr>
      <w:r>
        <w:rPr>
          <w:spacing w:val="-3"/>
          <w:sz w:val="21"/>
        </w:rPr>
        <w:t>出现室性心动过速、心室颤动或心源性休克。</w:t>
      </w:r>
    </w:p>
    <w:p>
      <w:pPr>
        <w:spacing w:line="170" w:lineRule="auto" w:before="44"/>
        <w:ind w:left="2805" w:right="328" w:firstLine="0"/>
        <w:jc w:val="left"/>
        <w:rPr>
          <w:rFonts w:ascii="微软雅黑" w:eastAsia="微软雅黑"/>
          <w:b/>
          <w:sz w:val="21"/>
        </w:rPr>
      </w:pPr>
      <w:r>
        <w:rPr>
          <w:rFonts w:ascii="微软雅黑" w:eastAsia="微软雅黑"/>
          <w:b/>
          <w:spacing w:val="-2"/>
          <w:sz w:val="21"/>
        </w:rPr>
        <w:t>其他非冠状动脉阻塞性疾病所引起的肌钙蛋白（cTn）升高不在保障范围</w:t>
      </w:r>
      <w:r>
        <w:rPr>
          <w:rFonts w:ascii="微软雅黑" w:eastAsia="微软雅黑"/>
          <w:b/>
          <w:spacing w:val="-6"/>
          <w:sz w:val="21"/>
        </w:rPr>
        <w:t>内。</w:t>
      </w:r>
    </w:p>
    <w:p>
      <w:pPr>
        <w:pStyle w:val="BodyText"/>
        <w:rPr>
          <w:rFonts w:ascii="微软雅黑"/>
          <w:b/>
          <w:sz w:val="10"/>
        </w:rPr>
      </w:pPr>
    </w:p>
    <w:p>
      <w:pPr>
        <w:spacing w:after="0"/>
        <w:rPr>
          <w:rFonts w:ascii="微软雅黑"/>
          <w:sz w:val="10"/>
        </w:rPr>
        <w:sectPr>
          <w:pgSz w:w="11910" w:h="16840"/>
          <w:pgMar w:header="877" w:footer="0" w:top="1100" w:bottom="280" w:left="1060" w:right="980"/>
        </w:sectPr>
      </w:pPr>
    </w:p>
    <w:p>
      <w:pPr>
        <w:pStyle w:val="ListParagraph"/>
        <w:numPr>
          <w:ilvl w:val="0"/>
          <w:numId w:val="24"/>
        </w:numPr>
        <w:tabs>
          <w:tab w:pos="1210" w:val="left" w:leader="none"/>
          <w:tab w:pos="1211" w:val="left" w:leader="none"/>
        </w:tabs>
        <w:spacing w:line="168" w:lineRule="auto" w:before="87" w:after="0"/>
        <w:ind w:left="1210" w:right="0" w:hanging="958"/>
        <w:jc w:val="left"/>
        <w:rPr>
          <w:rFonts w:ascii="微软雅黑" w:eastAsia="微软雅黑"/>
          <w:b/>
          <w:sz w:val="21"/>
        </w:rPr>
      </w:pPr>
      <w:r>
        <w:rPr>
          <w:rFonts w:ascii="微软雅黑" w:eastAsia="微软雅黑"/>
          <w:b/>
          <w:spacing w:val="15"/>
          <w:sz w:val="21"/>
        </w:rPr>
        <w:t>严重脑中风后</w:t>
      </w:r>
      <w:r>
        <w:rPr>
          <w:rFonts w:ascii="微软雅黑" w:eastAsia="微软雅黑"/>
          <w:b/>
          <w:spacing w:val="-6"/>
          <w:sz w:val="21"/>
        </w:rPr>
        <w:t>遗症</w:t>
      </w:r>
    </w:p>
    <w:p>
      <w:pPr>
        <w:pStyle w:val="BodyText"/>
        <w:spacing w:before="71"/>
        <w:ind w:left="177"/>
      </w:pPr>
      <w:r>
        <w:rPr/>
        <w:br w:type="column"/>
      </w:r>
      <w:r>
        <w:rPr>
          <w:spacing w:val="-3"/>
        </w:rPr>
        <w:t>指因脑血管的突发病变引起脑血管出血、栓塞或梗塞，须由头颅断层扫描</w:t>
      </w:r>
    </w:p>
    <w:p>
      <w:pPr>
        <w:pStyle w:val="BodyText"/>
        <w:spacing w:line="242" w:lineRule="auto" w:before="3"/>
        <w:ind w:left="177" w:right="323"/>
        <w:jc w:val="both"/>
      </w:pPr>
      <w:r>
        <w:rPr>
          <w:spacing w:val="-4"/>
        </w:rPr>
        <w:t>（CT）、核磁共振检查（MRI）等影像学检查证实，并导致神经系统永久性</w:t>
      </w:r>
      <w:r>
        <w:rPr>
          <w:spacing w:val="-3"/>
        </w:rPr>
        <w:t>的功能障碍。神经系统永久性的功能障碍，指疾病确诊 </w:t>
      </w:r>
      <w:r>
        <w:rPr>
          <w:spacing w:val="-2"/>
        </w:rPr>
        <w:t>180</w:t>
      </w:r>
      <w:r>
        <w:rPr>
          <w:spacing w:val="-7"/>
        </w:rPr>
        <w:t> 天后，仍遗留</w:t>
      </w:r>
      <w:r>
        <w:rPr>
          <w:spacing w:val="-2"/>
        </w:rPr>
        <w:t>下列至少一种障碍：</w:t>
      </w:r>
    </w:p>
    <w:p>
      <w:pPr>
        <w:pStyle w:val="ListParagraph"/>
        <w:numPr>
          <w:ilvl w:val="0"/>
          <w:numId w:val="27"/>
        </w:numPr>
        <w:tabs>
          <w:tab w:pos="707" w:val="left" w:leader="none"/>
        </w:tabs>
        <w:spacing w:line="265" w:lineRule="exact" w:before="0" w:after="0"/>
        <w:ind w:left="706" w:right="0" w:hanging="530"/>
        <w:jc w:val="both"/>
        <w:rPr>
          <w:sz w:val="21"/>
        </w:rPr>
      </w:pPr>
      <w:r>
        <w:rPr>
          <w:w w:val="95"/>
          <w:sz w:val="21"/>
        </w:rPr>
        <w:t>一肢（含）以上</w:t>
      </w:r>
      <w:r>
        <w:rPr>
          <w:rFonts w:ascii="微软雅黑" w:eastAsia="微软雅黑"/>
          <w:b/>
          <w:w w:val="95"/>
          <w:sz w:val="21"/>
        </w:rPr>
        <w:t>肢</w:t>
      </w:r>
      <w:r>
        <w:rPr>
          <w:rFonts w:ascii="微软雅黑" w:eastAsia="微软雅黑"/>
          <w:b/>
          <w:w w:val="95"/>
          <w:sz w:val="21"/>
        </w:rPr>
        <w:t>体</w:t>
      </w:r>
      <w:r>
        <w:rPr>
          <w:rFonts w:ascii="微软雅黑" w:eastAsia="微软雅黑"/>
          <w:b/>
          <w:w w:val="95"/>
          <w:position w:val="11"/>
          <w:sz w:val="11"/>
        </w:rPr>
        <w:t>34</w:t>
      </w:r>
      <w:r>
        <w:rPr>
          <w:rFonts w:ascii="微软雅黑" w:eastAsia="微软雅黑"/>
          <w:b/>
          <w:w w:val="95"/>
          <w:sz w:val="21"/>
        </w:rPr>
        <w:t>肌</w:t>
      </w:r>
      <w:r>
        <w:rPr>
          <w:rFonts w:ascii="微软雅黑" w:eastAsia="微软雅黑"/>
          <w:b/>
          <w:w w:val="95"/>
          <w:sz w:val="21"/>
        </w:rPr>
        <w:t>力</w:t>
      </w:r>
      <w:r>
        <w:rPr>
          <w:rFonts w:ascii="微软雅黑" w:eastAsia="微软雅黑"/>
          <w:b/>
          <w:w w:val="95"/>
          <w:position w:val="11"/>
          <w:sz w:val="11"/>
        </w:rPr>
        <w:t>35</w:t>
      </w:r>
      <w:r>
        <w:rPr>
          <w:w w:val="95"/>
          <w:sz w:val="21"/>
        </w:rPr>
        <w:t>2</w:t>
      </w:r>
      <w:r>
        <w:rPr>
          <w:spacing w:val="79"/>
          <w:sz w:val="21"/>
        </w:rPr>
        <w:t> </w:t>
      </w:r>
      <w:r>
        <w:rPr>
          <w:w w:val="95"/>
          <w:sz w:val="21"/>
        </w:rPr>
        <w:t>级（含）以</w:t>
      </w:r>
      <w:r>
        <w:rPr>
          <w:w w:val="95"/>
          <w:sz w:val="21"/>
        </w:rPr>
        <w:t>下</w:t>
      </w:r>
      <w:r>
        <w:rPr>
          <w:spacing w:val="-10"/>
          <w:w w:val="95"/>
          <w:sz w:val="21"/>
        </w:rPr>
        <w:t>；</w:t>
      </w:r>
    </w:p>
    <w:p>
      <w:pPr>
        <w:pStyle w:val="ListParagraph"/>
        <w:numPr>
          <w:ilvl w:val="0"/>
          <w:numId w:val="27"/>
        </w:numPr>
        <w:tabs>
          <w:tab w:pos="707" w:val="left" w:leader="none"/>
        </w:tabs>
        <w:spacing w:line="272" w:lineRule="exact" w:before="0" w:after="0"/>
        <w:ind w:left="706" w:right="0" w:hanging="530"/>
        <w:jc w:val="left"/>
        <w:rPr>
          <w:sz w:val="21"/>
        </w:rPr>
      </w:pPr>
      <w:r>
        <w:rPr>
          <w:rFonts w:ascii="微软雅黑" w:eastAsia="微软雅黑"/>
          <w:b/>
          <w:spacing w:val="-2"/>
          <w:sz w:val="21"/>
        </w:rPr>
        <w:t>语言能力完全丧失，或严重咀嚼吞咽功能障碍</w:t>
      </w:r>
      <w:r>
        <w:rPr>
          <w:rFonts w:ascii="微软雅黑" w:eastAsia="微软雅黑"/>
          <w:b/>
          <w:spacing w:val="-5"/>
          <w:position w:val="11"/>
          <w:sz w:val="11"/>
        </w:rPr>
        <w:t>36</w:t>
      </w:r>
      <w:r>
        <w:rPr>
          <w:spacing w:val="-5"/>
          <w:sz w:val="21"/>
        </w:rPr>
        <w:t>；</w:t>
      </w:r>
    </w:p>
    <w:p>
      <w:pPr>
        <w:pStyle w:val="ListParagraph"/>
        <w:numPr>
          <w:ilvl w:val="0"/>
          <w:numId w:val="27"/>
        </w:numPr>
        <w:tabs>
          <w:tab w:pos="707" w:val="left" w:leader="none"/>
        </w:tabs>
        <w:spacing w:line="306" w:lineRule="exact" w:before="0" w:after="0"/>
        <w:ind w:left="706" w:right="0" w:hanging="530"/>
        <w:jc w:val="left"/>
        <w:rPr>
          <w:sz w:val="21"/>
        </w:rPr>
      </w:pPr>
      <w:r>
        <w:rPr>
          <w:w w:val="95"/>
          <w:sz w:val="21"/>
        </w:rPr>
        <w:t>自主生活能力完全丧失，无法独立完成</w:t>
      </w:r>
      <w:r>
        <w:rPr>
          <w:rFonts w:ascii="微软雅黑" w:eastAsia="微软雅黑"/>
          <w:b/>
          <w:w w:val="95"/>
          <w:sz w:val="21"/>
        </w:rPr>
        <w:t>六</w:t>
      </w:r>
      <w:r>
        <w:rPr>
          <w:rFonts w:ascii="微软雅黑" w:eastAsia="微软雅黑"/>
          <w:b/>
          <w:w w:val="95"/>
          <w:sz w:val="21"/>
        </w:rPr>
        <w:t>项</w:t>
      </w:r>
      <w:r>
        <w:rPr>
          <w:rFonts w:ascii="微软雅黑" w:eastAsia="微软雅黑"/>
          <w:b/>
          <w:w w:val="95"/>
          <w:sz w:val="21"/>
        </w:rPr>
        <w:t>基</w:t>
      </w:r>
      <w:r>
        <w:rPr>
          <w:rFonts w:ascii="微软雅黑" w:eastAsia="微软雅黑"/>
          <w:b/>
          <w:w w:val="95"/>
          <w:sz w:val="21"/>
        </w:rPr>
        <w:t>本</w:t>
      </w:r>
      <w:r>
        <w:rPr>
          <w:rFonts w:ascii="微软雅黑" w:eastAsia="微软雅黑"/>
          <w:b/>
          <w:w w:val="95"/>
          <w:sz w:val="21"/>
        </w:rPr>
        <w:t>日</w:t>
      </w:r>
      <w:r>
        <w:rPr>
          <w:rFonts w:ascii="微软雅黑" w:eastAsia="微软雅黑"/>
          <w:b/>
          <w:w w:val="95"/>
          <w:sz w:val="21"/>
        </w:rPr>
        <w:t>常</w:t>
      </w:r>
      <w:r>
        <w:rPr>
          <w:rFonts w:ascii="微软雅黑" w:eastAsia="微软雅黑"/>
          <w:b/>
          <w:w w:val="95"/>
          <w:sz w:val="21"/>
        </w:rPr>
        <w:t>生</w:t>
      </w:r>
      <w:r>
        <w:rPr>
          <w:rFonts w:ascii="微软雅黑" w:eastAsia="微软雅黑"/>
          <w:b/>
          <w:w w:val="95"/>
          <w:sz w:val="21"/>
        </w:rPr>
        <w:t>活</w:t>
      </w:r>
      <w:r>
        <w:rPr>
          <w:rFonts w:ascii="微软雅黑" w:eastAsia="微软雅黑"/>
          <w:b/>
          <w:w w:val="95"/>
          <w:sz w:val="21"/>
        </w:rPr>
        <w:t>活</w:t>
      </w:r>
      <w:r>
        <w:rPr>
          <w:rFonts w:ascii="微软雅黑" w:eastAsia="微软雅黑"/>
          <w:b/>
          <w:w w:val="95"/>
          <w:sz w:val="21"/>
        </w:rPr>
        <w:t>动</w:t>
      </w:r>
      <w:r>
        <w:rPr>
          <w:rFonts w:ascii="微软雅黑" w:eastAsia="微软雅黑"/>
          <w:b/>
          <w:w w:val="95"/>
          <w:position w:val="11"/>
          <w:sz w:val="11"/>
        </w:rPr>
        <w:t>37</w:t>
      </w:r>
      <w:r>
        <w:rPr>
          <w:w w:val="95"/>
          <w:sz w:val="21"/>
        </w:rPr>
        <w:t>中</w:t>
      </w:r>
      <w:r>
        <w:rPr>
          <w:spacing w:val="-10"/>
          <w:w w:val="95"/>
          <w:sz w:val="21"/>
        </w:rPr>
        <w:t>的</w:t>
      </w:r>
    </w:p>
    <w:p>
      <w:pPr>
        <w:pStyle w:val="BodyText"/>
        <w:spacing w:line="245" w:lineRule="exact"/>
        <w:ind w:left="703"/>
      </w:pPr>
      <w:r>
        <w:rPr>
          <w:spacing w:val="-4"/>
        </w:rPr>
        <w:t>三项或三项以上。</w:t>
      </w:r>
    </w:p>
    <w:p>
      <w:pPr>
        <w:spacing w:after="0" w:line="245" w:lineRule="exact"/>
        <w:sectPr>
          <w:type w:val="continuous"/>
          <w:pgSz w:w="11910" w:h="16840"/>
          <w:pgMar w:header="877" w:footer="0" w:top="1100" w:bottom="280" w:left="1060" w:right="980"/>
          <w:cols w:num="2" w:equalWidth="0">
            <w:col w:w="2588" w:space="40"/>
            <w:col w:w="7242"/>
          </w:cols>
        </w:sectPr>
      </w:pPr>
    </w:p>
    <w:p>
      <w:pPr>
        <w:pStyle w:val="BodyText"/>
        <w:spacing w:before="12"/>
        <w:rPr>
          <w:sz w:val="15"/>
        </w:rPr>
      </w:pPr>
    </w:p>
    <w:p>
      <w:pPr>
        <w:spacing w:after="0"/>
        <w:rPr>
          <w:sz w:val="15"/>
        </w:rPr>
        <w:sectPr>
          <w:type w:val="continuous"/>
          <w:pgSz w:w="11910" w:h="16840"/>
          <w:pgMar w:header="877" w:footer="0" w:top="1100" w:bottom="280" w:left="1060" w:right="980"/>
        </w:sectPr>
      </w:pPr>
    </w:p>
    <w:p>
      <w:pPr>
        <w:pStyle w:val="ListParagraph"/>
        <w:numPr>
          <w:ilvl w:val="0"/>
          <w:numId w:val="24"/>
        </w:numPr>
        <w:tabs>
          <w:tab w:pos="1210" w:val="left" w:leader="none"/>
          <w:tab w:pos="1211" w:val="left" w:leader="none"/>
        </w:tabs>
        <w:spacing w:line="168" w:lineRule="auto" w:before="88" w:after="0"/>
        <w:ind w:left="1210" w:right="0" w:hanging="958"/>
        <w:jc w:val="both"/>
        <w:rPr>
          <w:rFonts w:ascii="微软雅黑" w:eastAsia="微软雅黑"/>
          <w:b/>
          <w:sz w:val="21"/>
        </w:rPr>
      </w:pPr>
      <w:r>
        <w:rPr>
          <w:rFonts w:ascii="微软雅黑" w:eastAsia="微软雅黑"/>
          <w:b/>
          <w:spacing w:val="15"/>
          <w:sz w:val="21"/>
        </w:rPr>
        <w:t>重大器官移植</w:t>
      </w:r>
      <w:r>
        <w:rPr>
          <w:rFonts w:ascii="微软雅黑" w:eastAsia="微软雅黑"/>
          <w:b/>
          <w:spacing w:val="15"/>
          <w:sz w:val="21"/>
        </w:rPr>
        <w:t>术或造血干细</w:t>
      </w:r>
      <w:r>
        <w:rPr>
          <w:rFonts w:ascii="微软雅黑" w:eastAsia="微软雅黑"/>
          <w:b/>
          <w:spacing w:val="-4"/>
          <w:sz w:val="21"/>
        </w:rPr>
        <w:t>胞移植术</w:t>
      </w:r>
    </w:p>
    <w:p>
      <w:pPr>
        <w:pStyle w:val="BodyText"/>
        <w:spacing w:line="242" w:lineRule="auto" w:before="72"/>
        <w:ind w:left="177" w:right="218"/>
      </w:pPr>
      <w:r>
        <w:rPr/>
        <w:br w:type="column"/>
      </w:r>
      <w:r>
        <w:rPr>
          <w:spacing w:val="-4"/>
        </w:rPr>
        <w:t>重大器官移植术，指因相应器官功能衰竭，已经实施了肾脏、肝脏、心脏、</w:t>
      </w:r>
      <w:r>
        <w:rPr>
          <w:spacing w:val="-2"/>
        </w:rPr>
        <w:t>肺脏或小肠的异体移植手术。</w:t>
      </w:r>
    </w:p>
    <w:p>
      <w:pPr>
        <w:pStyle w:val="BodyText"/>
        <w:spacing w:line="242" w:lineRule="auto" w:before="1"/>
        <w:ind w:left="177" w:right="218"/>
      </w:pPr>
      <w:r>
        <w:rPr>
          <w:spacing w:val="-2"/>
        </w:rPr>
        <w:t>造血干细胞移植术，指因造血功能损害或造血系统恶性肿瘤，已经实施了</w:t>
      </w:r>
      <w:r>
        <w:rPr>
          <w:spacing w:val="-12"/>
        </w:rPr>
        <w:t>造血干细胞</w:t>
      </w:r>
      <w:r>
        <w:rPr>
          <w:spacing w:val="-2"/>
        </w:rPr>
        <w:t>（</w:t>
      </w:r>
      <w:r>
        <w:rPr>
          <w:spacing w:val="-7"/>
        </w:rPr>
        <w:t>包括骨髓造血干细胞、外周血造血干细胞和脐血造血干细胞</w:t>
      </w:r>
      <w:r>
        <w:rPr>
          <w:spacing w:val="-2"/>
        </w:rPr>
        <w:t>）</w:t>
      </w:r>
      <w:r>
        <w:rPr>
          <w:spacing w:val="-2"/>
        </w:rPr>
        <w:t>的移植手术。</w:t>
      </w:r>
    </w:p>
    <w:p>
      <w:pPr>
        <w:spacing w:after="0" w:line="242" w:lineRule="auto"/>
        <w:sectPr>
          <w:type w:val="continuous"/>
          <w:pgSz w:w="11910" w:h="16840"/>
          <w:pgMar w:header="877" w:footer="0" w:top="1100" w:bottom="280" w:left="1060" w:right="980"/>
          <w:cols w:num="2" w:equalWidth="0">
            <w:col w:w="2588" w:space="40"/>
            <w:col w:w="7242"/>
          </w:cols>
        </w:sectPr>
      </w:pPr>
    </w:p>
    <w:p>
      <w:pPr>
        <w:pStyle w:val="BodyText"/>
        <w:spacing w:before="11"/>
        <w:rPr>
          <w:sz w:val="15"/>
        </w:rPr>
      </w:pPr>
    </w:p>
    <w:p>
      <w:pPr>
        <w:spacing w:after="0"/>
        <w:rPr>
          <w:sz w:val="15"/>
        </w:rPr>
        <w:sectPr>
          <w:type w:val="continuous"/>
          <w:pgSz w:w="11910" w:h="16840"/>
          <w:pgMar w:header="877" w:footer="0" w:top="1100" w:bottom="280" w:left="1060" w:right="980"/>
        </w:sectPr>
      </w:pPr>
    </w:p>
    <w:p>
      <w:pPr>
        <w:pStyle w:val="ListParagraph"/>
        <w:numPr>
          <w:ilvl w:val="0"/>
          <w:numId w:val="24"/>
        </w:numPr>
        <w:tabs>
          <w:tab w:pos="1210" w:val="left" w:leader="none"/>
          <w:tab w:pos="1211" w:val="left" w:leader="none"/>
        </w:tabs>
        <w:spacing w:line="168" w:lineRule="auto" w:before="88" w:after="0"/>
        <w:ind w:left="1210" w:right="0" w:hanging="958"/>
        <w:jc w:val="both"/>
        <w:rPr>
          <w:rFonts w:ascii="微软雅黑" w:eastAsia="微软雅黑"/>
          <w:b/>
          <w:sz w:val="21"/>
        </w:rPr>
      </w:pPr>
      <w:r>
        <w:rPr>
          <w:rFonts w:ascii="微软雅黑" w:eastAsia="微软雅黑"/>
          <w:b/>
          <w:spacing w:val="15"/>
          <w:sz w:val="21"/>
        </w:rPr>
        <w:t>冠状动脉搭桥</w:t>
      </w:r>
      <w:r>
        <w:rPr>
          <w:rFonts w:ascii="微软雅黑" w:eastAsia="微软雅黑"/>
          <w:b/>
          <w:sz w:val="21"/>
        </w:rPr>
        <w:t> </w:t>
      </w:r>
      <w:r>
        <w:rPr>
          <w:rFonts w:ascii="微软雅黑" w:eastAsia="微软雅黑"/>
          <w:b/>
          <w:spacing w:val="-99"/>
          <w:sz w:val="21"/>
        </w:rPr>
        <w:t>术</w:t>
      </w:r>
      <w:r>
        <w:rPr>
          <w:rFonts w:ascii="微软雅黑" w:eastAsia="微软雅黑"/>
          <w:b/>
          <w:spacing w:val="-2"/>
          <w:sz w:val="21"/>
        </w:rPr>
        <w:t>（或称冠状动</w:t>
      </w:r>
      <w:r>
        <w:rPr>
          <w:rFonts w:ascii="微软雅黑" w:eastAsia="微软雅黑"/>
          <w:b/>
          <w:spacing w:val="-2"/>
          <w:sz w:val="21"/>
        </w:rPr>
        <w:t>脉旁路移植术）</w:t>
      </w:r>
    </w:p>
    <w:p>
      <w:pPr>
        <w:pStyle w:val="BodyText"/>
        <w:spacing w:line="242" w:lineRule="auto" w:before="72"/>
        <w:ind w:left="75" w:right="333"/>
      </w:pPr>
      <w:r>
        <w:rPr/>
        <w:br w:type="column"/>
      </w:r>
      <w:r>
        <w:rPr>
          <w:spacing w:val="-2"/>
        </w:rPr>
        <w:t>指为治疗严重的冠心病，已经实施了切开心包进行的冠状动脉血管旁路移</w:t>
      </w:r>
      <w:r>
        <w:rPr>
          <w:spacing w:val="-2"/>
        </w:rPr>
        <w:t>植的手术。</w:t>
      </w:r>
    </w:p>
    <w:p>
      <w:pPr>
        <w:spacing w:line="321" w:lineRule="exact" w:before="0"/>
        <w:ind w:left="75" w:right="0" w:firstLine="0"/>
        <w:jc w:val="left"/>
        <w:rPr>
          <w:rFonts w:ascii="微软雅黑" w:eastAsia="微软雅黑"/>
          <w:b/>
          <w:sz w:val="21"/>
        </w:rPr>
      </w:pPr>
      <w:r>
        <w:rPr>
          <w:rFonts w:ascii="微软雅黑" w:eastAsia="微软雅黑"/>
          <w:b/>
          <w:spacing w:val="-3"/>
          <w:sz w:val="21"/>
        </w:rPr>
        <w:t>所有未切开心包的冠状动脉介入治疗不在保障范围内。</w:t>
      </w:r>
    </w:p>
    <w:p>
      <w:pPr>
        <w:spacing w:after="0" w:line="321" w:lineRule="exact"/>
        <w:jc w:val="left"/>
        <w:rPr>
          <w:rFonts w:ascii="微软雅黑" w:eastAsia="微软雅黑"/>
          <w:sz w:val="21"/>
        </w:rPr>
        <w:sectPr>
          <w:type w:val="continuous"/>
          <w:pgSz w:w="11910" w:h="16840"/>
          <w:pgMar w:header="877" w:footer="0" w:top="1100" w:bottom="280" w:left="1060" w:right="980"/>
          <w:cols w:num="2" w:equalWidth="0">
            <w:col w:w="2690" w:space="40"/>
            <w:col w:w="7140"/>
          </w:cols>
        </w:sectPr>
      </w:pPr>
    </w:p>
    <w:p>
      <w:pPr>
        <w:pStyle w:val="BodyText"/>
        <w:spacing w:before="5"/>
        <w:rPr>
          <w:rFonts w:ascii="微软雅黑"/>
          <w:b/>
          <w:sz w:val="8"/>
        </w:rPr>
      </w:pPr>
    </w:p>
    <w:p>
      <w:pPr>
        <w:spacing w:after="0"/>
        <w:rPr>
          <w:rFonts w:ascii="微软雅黑"/>
          <w:sz w:val="8"/>
        </w:rPr>
        <w:sectPr>
          <w:type w:val="continuous"/>
          <w:pgSz w:w="11910" w:h="16840"/>
          <w:pgMar w:header="877" w:footer="0" w:top="1100" w:bottom="280" w:left="1060" w:right="980"/>
        </w:sectPr>
      </w:pPr>
    </w:p>
    <w:p>
      <w:pPr>
        <w:pStyle w:val="ListParagraph"/>
        <w:numPr>
          <w:ilvl w:val="0"/>
          <w:numId w:val="24"/>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5"/>
          <w:sz w:val="21"/>
        </w:rPr>
        <w:t>严重慢性肾衰</w:t>
      </w:r>
      <w:r>
        <w:rPr>
          <w:rFonts w:ascii="微软雅黑" w:eastAsia="微软雅黑"/>
          <w:b/>
          <w:spacing w:val="-10"/>
          <w:sz w:val="21"/>
        </w:rPr>
        <w:t>竭</w:t>
      </w:r>
    </w:p>
    <w:p>
      <w:pPr>
        <w:pStyle w:val="BodyText"/>
        <w:spacing w:line="242" w:lineRule="auto" w:before="72"/>
        <w:ind w:left="177" w:right="323"/>
        <w:jc w:val="both"/>
      </w:pPr>
      <w:r>
        <w:rPr/>
        <w:br w:type="column"/>
      </w:r>
      <w:r>
        <w:rPr>
          <w:spacing w:val="-2"/>
        </w:rPr>
        <w:t>指双肾功能慢性不可逆性衰竭，依据肾脏病预后质量倡议（K/DOQI）制定</w:t>
      </w:r>
      <w:r>
        <w:rPr>
          <w:w w:val="95"/>
        </w:rPr>
        <w:t>的</w:t>
      </w:r>
      <w:r>
        <w:rPr>
          <w:w w:val="95"/>
        </w:rPr>
        <w:t>指</w:t>
      </w:r>
      <w:r>
        <w:rPr>
          <w:w w:val="95"/>
        </w:rPr>
        <w:t>南，分期达到慢性肾</w:t>
      </w:r>
      <w:r>
        <w:rPr>
          <w:w w:val="95"/>
        </w:rPr>
        <w:t>脏</w:t>
      </w:r>
      <w:r>
        <w:rPr>
          <w:w w:val="95"/>
        </w:rPr>
        <w:t>病</w:t>
      </w:r>
      <w:r>
        <w:rPr>
          <w:w w:val="95"/>
        </w:rPr>
        <w:t> 5</w:t>
      </w:r>
      <w:r>
        <w:rPr>
          <w:spacing w:val="-8"/>
          <w:w w:val="95"/>
        </w:rPr>
        <w:t> 期，且经诊断后已</w:t>
      </w:r>
      <w:r>
        <w:rPr>
          <w:w w:val="95"/>
        </w:rPr>
        <w:t>经</w:t>
      </w:r>
      <w:r>
        <w:rPr>
          <w:w w:val="95"/>
        </w:rPr>
        <w:t>进</w:t>
      </w:r>
      <w:r>
        <w:rPr>
          <w:w w:val="95"/>
        </w:rPr>
        <w:t>行了至少 90 天</w:t>
      </w:r>
      <w:r>
        <w:rPr>
          <w:w w:val="95"/>
        </w:rPr>
        <w:t>的</w:t>
      </w:r>
      <w:r>
        <w:rPr>
          <w:w w:val="95"/>
        </w:rPr>
        <w:t>规</w:t>
      </w:r>
      <w:r>
        <w:rPr>
          <w:spacing w:val="-3"/>
        </w:rPr>
        <w:t>律性透析治疗。规律性透析是指每周进行血液透析或每天进行腹膜透析。</w:t>
      </w:r>
    </w:p>
    <w:p>
      <w:pPr>
        <w:spacing w:after="0" w:line="242" w:lineRule="auto"/>
        <w:jc w:val="both"/>
        <w:sectPr>
          <w:type w:val="continuous"/>
          <w:pgSz w:w="11910" w:h="16840"/>
          <w:pgMar w:header="877" w:footer="0" w:top="1100" w:bottom="280" w:left="1060" w:right="980"/>
          <w:cols w:num="2" w:equalWidth="0">
            <w:col w:w="2588" w:space="40"/>
            <w:col w:w="7242"/>
          </w:cols>
        </w:sectPr>
      </w:pPr>
    </w:p>
    <w:p>
      <w:pPr>
        <w:pStyle w:val="BodyText"/>
        <w:spacing w:before="10"/>
        <w:rPr>
          <w:sz w:val="15"/>
        </w:rPr>
      </w:pPr>
    </w:p>
    <w:p>
      <w:pPr>
        <w:pStyle w:val="ListParagraph"/>
        <w:numPr>
          <w:ilvl w:val="0"/>
          <w:numId w:val="24"/>
        </w:numPr>
        <w:tabs>
          <w:tab w:pos="1210" w:val="left" w:leader="none"/>
          <w:tab w:pos="1211" w:val="left" w:leader="none"/>
          <w:tab w:pos="2804" w:val="left" w:leader="none"/>
        </w:tabs>
        <w:spacing w:line="240" w:lineRule="auto" w:before="5" w:after="0"/>
        <w:ind w:left="1210" w:right="0" w:hanging="958"/>
        <w:jc w:val="left"/>
        <w:rPr>
          <w:sz w:val="21"/>
        </w:rPr>
      </w:pPr>
      <w:r>
        <w:rPr>
          <w:rFonts w:ascii="微软雅黑" w:eastAsia="微软雅黑"/>
          <w:b/>
          <w:sz w:val="21"/>
        </w:rPr>
        <w:t>多个肢体缺</w:t>
      </w:r>
      <w:r>
        <w:rPr>
          <w:rFonts w:ascii="微软雅黑" w:eastAsia="微软雅黑"/>
          <w:b/>
          <w:spacing w:val="-10"/>
          <w:sz w:val="21"/>
        </w:rPr>
        <w:t>失</w:t>
      </w:r>
      <w:r>
        <w:rPr>
          <w:rFonts w:ascii="微软雅黑" w:eastAsia="微软雅黑"/>
          <w:b/>
          <w:sz w:val="21"/>
        </w:rPr>
        <w:tab/>
      </w:r>
      <w:r>
        <w:rPr>
          <w:spacing w:val="-2"/>
          <w:sz w:val="21"/>
        </w:rPr>
        <w:t>指</w:t>
      </w:r>
      <w:r>
        <w:rPr>
          <w:spacing w:val="-2"/>
          <w:sz w:val="21"/>
        </w:rPr>
        <w:t>因</w:t>
      </w:r>
      <w:r>
        <w:rPr>
          <w:spacing w:val="-2"/>
          <w:sz w:val="21"/>
        </w:rPr>
        <w:t>疾</w:t>
      </w:r>
      <w:r>
        <w:rPr>
          <w:spacing w:val="-2"/>
          <w:sz w:val="21"/>
        </w:rPr>
        <w:t>病或意</w:t>
      </w:r>
      <w:r>
        <w:rPr>
          <w:spacing w:val="-2"/>
          <w:sz w:val="21"/>
        </w:rPr>
        <w:t>外</w:t>
      </w:r>
      <w:r>
        <w:rPr>
          <w:spacing w:val="-2"/>
          <w:sz w:val="21"/>
        </w:rPr>
        <w:t>伤</w:t>
      </w:r>
      <w:r>
        <w:rPr>
          <w:spacing w:val="-2"/>
          <w:sz w:val="21"/>
        </w:rPr>
        <w:t>害导致</w:t>
      </w:r>
      <w:r>
        <w:rPr>
          <w:spacing w:val="-2"/>
          <w:sz w:val="21"/>
        </w:rPr>
        <w:t>两</w:t>
      </w:r>
      <w:r>
        <w:rPr>
          <w:spacing w:val="-2"/>
          <w:sz w:val="21"/>
        </w:rPr>
        <w:t>个</w:t>
      </w:r>
      <w:r>
        <w:rPr>
          <w:spacing w:val="-2"/>
          <w:sz w:val="21"/>
        </w:rPr>
        <w:t>或</w:t>
      </w:r>
      <w:r>
        <w:rPr>
          <w:spacing w:val="-2"/>
          <w:sz w:val="21"/>
        </w:rPr>
        <w:t>两个以</w:t>
      </w:r>
      <w:r>
        <w:rPr>
          <w:spacing w:val="-2"/>
          <w:sz w:val="21"/>
        </w:rPr>
        <w:t>上</w:t>
      </w:r>
      <w:r>
        <w:rPr>
          <w:spacing w:val="-2"/>
          <w:sz w:val="21"/>
        </w:rPr>
        <w:t>肢</w:t>
      </w:r>
      <w:r>
        <w:rPr>
          <w:spacing w:val="-2"/>
          <w:sz w:val="21"/>
        </w:rPr>
        <w:t>体自腕</w:t>
      </w:r>
      <w:r>
        <w:rPr>
          <w:spacing w:val="-2"/>
          <w:sz w:val="21"/>
        </w:rPr>
        <w:t>关</w:t>
      </w:r>
      <w:r>
        <w:rPr>
          <w:spacing w:val="-2"/>
          <w:sz w:val="21"/>
        </w:rPr>
        <w:t>节</w:t>
      </w:r>
      <w:r>
        <w:rPr>
          <w:spacing w:val="-2"/>
          <w:sz w:val="21"/>
        </w:rPr>
        <w:t>或</w:t>
      </w:r>
      <w:r>
        <w:rPr>
          <w:spacing w:val="-2"/>
          <w:sz w:val="21"/>
        </w:rPr>
        <w:t>踝关节</w:t>
      </w:r>
      <w:r>
        <w:rPr>
          <w:spacing w:val="-2"/>
          <w:sz w:val="21"/>
        </w:rPr>
        <w:t>近</w:t>
      </w:r>
      <w:r>
        <w:rPr>
          <w:spacing w:val="-2"/>
          <w:sz w:val="21"/>
        </w:rPr>
        <w:t>端</w:t>
      </w:r>
      <w:r>
        <w:rPr>
          <w:spacing w:val="-2"/>
          <w:sz w:val="21"/>
        </w:rPr>
        <w:t>（</w:t>
      </w:r>
      <w:r>
        <w:rPr>
          <w:spacing w:val="-10"/>
          <w:sz w:val="21"/>
        </w:rPr>
        <w:t>靠</w:t>
      </w:r>
    </w:p>
    <w:p>
      <w:pPr>
        <w:pStyle w:val="BodyText"/>
        <w:spacing w:before="7"/>
        <w:rPr>
          <w:sz w:val="7"/>
        </w:rPr>
      </w:pPr>
      <w:r>
        <w:rPr/>
        <w:drawing>
          <wp:anchor distT="0" distB="0" distL="0" distR="0" allowOverlap="1" layoutInCell="1" locked="0" behindDoc="0" simplePos="0" relativeHeight="7">
            <wp:simplePos x="0" y="0"/>
            <wp:positionH relativeFrom="page">
              <wp:posOffset>762304</wp:posOffset>
            </wp:positionH>
            <wp:positionV relativeFrom="paragraph">
              <wp:posOffset>76697</wp:posOffset>
            </wp:positionV>
            <wp:extent cx="1828901" cy="6096"/>
            <wp:effectExtent l="0" t="0" r="0" b="0"/>
            <wp:wrapTopAndBottom/>
            <wp:docPr id="31" name="image4.png"/>
            <wp:cNvGraphicFramePr>
              <a:graphicFrameLocks noChangeAspect="1"/>
            </wp:cNvGraphicFramePr>
            <a:graphic>
              <a:graphicData uri="http://schemas.openxmlformats.org/drawingml/2006/picture">
                <pic:pic>
                  <pic:nvPicPr>
                    <pic:cNvPr id="32" name="image4.png"/>
                    <pic:cNvPicPr/>
                  </pic:nvPicPr>
                  <pic:blipFill>
                    <a:blip r:embed="rId9" cstate="print"/>
                    <a:stretch>
                      <a:fillRect/>
                    </a:stretch>
                  </pic:blipFill>
                  <pic:spPr>
                    <a:xfrm>
                      <a:off x="0" y="0"/>
                      <a:ext cx="1828901" cy="6096"/>
                    </a:xfrm>
                    <a:prstGeom prst="rect">
                      <a:avLst/>
                    </a:prstGeom>
                  </pic:spPr>
                </pic:pic>
              </a:graphicData>
            </a:graphic>
          </wp:anchor>
        </w:drawing>
      </w:r>
    </w:p>
    <w:p>
      <w:pPr>
        <w:pStyle w:val="BodyText"/>
        <w:spacing w:line="331" w:lineRule="exact" w:before="30"/>
        <w:ind w:left="140"/>
      </w:pPr>
      <w:r>
        <w:rPr>
          <w:spacing w:val="-2"/>
          <w:position w:val="11"/>
          <w:sz w:val="11"/>
        </w:rPr>
        <w:t>34</w:t>
      </w:r>
      <w:r>
        <w:rPr>
          <w:spacing w:val="73"/>
          <w:position w:val="11"/>
          <w:sz w:val="11"/>
        </w:rPr>
        <w:t> </w:t>
      </w:r>
      <w:r>
        <w:rPr>
          <w:rFonts w:ascii="微软雅黑" w:eastAsia="微软雅黑"/>
          <w:b/>
          <w:spacing w:val="-2"/>
        </w:rPr>
        <w:t>肢体</w:t>
      </w:r>
      <w:r>
        <w:rPr>
          <w:spacing w:val="-3"/>
        </w:rPr>
        <w:t>：肢体是指包括肩关节的整个上肢或包括髋关节的整个下肢。</w:t>
      </w:r>
    </w:p>
    <w:p>
      <w:pPr>
        <w:pStyle w:val="BodyText"/>
        <w:spacing w:line="306" w:lineRule="exact"/>
        <w:ind w:left="140"/>
      </w:pPr>
      <w:r>
        <w:rPr>
          <w:position w:val="11"/>
          <w:sz w:val="11"/>
        </w:rPr>
        <w:t>35</w:t>
      </w:r>
      <w:r>
        <w:rPr>
          <w:spacing w:val="19"/>
          <w:position w:val="11"/>
          <w:sz w:val="11"/>
        </w:rPr>
        <w:t> </w:t>
      </w:r>
      <w:r>
        <w:rPr>
          <w:rFonts w:ascii="微软雅黑" w:eastAsia="微软雅黑"/>
          <w:b/>
        </w:rPr>
        <w:t>肌力</w:t>
      </w:r>
      <w:r>
        <w:rPr>
          <w:spacing w:val="-4"/>
        </w:rPr>
        <w:t>：指肌肉收缩时的力量。肌力划分为 </w:t>
      </w:r>
      <w:r>
        <w:rPr/>
        <w:t>0-5</w:t>
      </w:r>
      <w:r>
        <w:rPr>
          <w:spacing w:val="-10"/>
        </w:rPr>
        <w:t> 级，具体为：</w:t>
      </w:r>
    </w:p>
    <w:p>
      <w:pPr>
        <w:pStyle w:val="ListParagraph"/>
        <w:numPr>
          <w:ilvl w:val="1"/>
          <w:numId w:val="24"/>
        </w:numPr>
        <w:tabs>
          <w:tab w:pos="511" w:val="left" w:leader="none"/>
        </w:tabs>
        <w:spacing w:line="245" w:lineRule="exact" w:before="0" w:after="0"/>
        <w:ind w:left="510" w:right="0" w:hanging="160"/>
        <w:jc w:val="left"/>
        <w:rPr>
          <w:sz w:val="21"/>
        </w:rPr>
      </w:pPr>
      <w:r>
        <w:rPr>
          <w:spacing w:val="-3"/>
          <w:sz w:val="21"/>
        </w:rPr>
        <w:t>级：肌肉完全瘫痪，毫无收缩。</w:t>
      </w:r>
    </w:p>
    <w:p>
      <w:pPr>
        <w:pStyle w:val="ListParagraph"/>
        <w:numPr>
          <w:ilvl w:val="1"/>
          <w:numId w:val="24"/>
        </w:numPr>
        <w:tabs>
          <w:tab w:pos="511" w:val="left" w:leader="none"/>
        </w:tabs>
        <w:spacing w:line="240" w:lineRule="auto" w:before="4" w:after="0"/>
        <w:ind w:left="510" w:right="0" w:hanging="160"/>
        <w:jc w:val="left"/>
        <w:rPr>
          <w:sz w:val="21"/>
        </w:rPr>
      </w:pPr>
      <w:r>
        <w:rPr>
          <w:spacing w:val="-3"/>
          <w:sz w:val="21"/>
        </w:rPr>
        <w:t>级：可看到或者触及肌肉轻微收缩，但不能产生动作。</w:t>
      </w:r>
    </w:p>
    <w:p>
      <w:pPr>
        <w:pStyle w:val="ListParagraph"/>
        <w:numPr>
          <w:ilvl w:val="1"/>
          <w:numId w:val="24"/>
        </w:numPr>
        <w:tabs>
          <w:tab w:pos="511" w:val="left" w:leader="none"/>
        </w:tabs>
        <w:spacing w:line="240" w:lineRule="auto" w:before="2" w:after="0"/>
        <w:ind w:left="510" w:right="0" w:hanging="160"/>
        <w:jc w:val="left"/>
        <w:rPr>
          <w:sz w:val="21"/>
        </w:rPr>
      </w:pPr>
      <w:r>
        <w:rPr>
          <w:spacing w:val="-3"/>
          <w:sz w:val="21"/>
        </w:rPr>
        <w:t>级：肌肉在不受重力影响下，可进行运动，即肢体能在床面上移动，但不能抬高。</w:t>
      </w:r>
    </w:p>
    <w:p>
      <w:pPr>
        <w:pStyle w:val="ListParagraph"/>
        <w:numPr>
          <w:ilvl w:val="1"/>
          <w:numId w:val="24"/>
        </w:numPr>
        <w:tabs>
          <w:tab w:pos="511" w:val="left" w:leader="none"/>
        </w:tabs>
        <w:spacing w:line="240" w:lineRule="auto" w:before="5" w:after="0"/>
        <w:ind w:left="510" w:right="0" w:hanging="160"/>
        <w:jc w:val="left"/>
        <w:rPr>
          <w:sz w:val="21"/>
        </w:rPr>
      </w:pPr>
      <w:r>
        <w:rPr>
          <w:spacing w:val="-3"/>
          <w:sz w:val="21"/>
        </w:rPr>
        <w:t>级：在和地心引力相反的方向中尚能完成其动作，但不能对抗外加阻力。</w:t>
      </w:r>
    </w:p>
    <w:p>
      <w:pPr>
        <w:pStyle w:val="ListParagraph"/>
        <w:numPr>
          <w:ilvl w:val="1"/>
          <w:numId w:val="24"/>
        </w:numPr>
        <w:tabs>
          <w:tab w:pos="511" w:val="left" w:leader="none"/>
        </w:tabs>
        <w:spacing w:line="240" w:lineRule="auto" w:before="2" w:after="0"/>
        <w:ind w:left="510" w:right="0" w:hanging="160"/>
        <w:jc w:val="left"/>
        <w:rPr>
          <w:sz w:val="21"/>
        </w:rPr>
      </w:pPr>
      <w:r>
        <w:rPr>
          <w:spacing w:val="-3"/>
          <w:sz w:val="21"/>
        </w:rPr>
        <w:t>级：能对抗一定的阻力，但较正常人为低。</w:t>
      </w:r>
    </w:p>
    <w:p>
      <w:pPr>
        <w:pStyle w:val="ListParagraph"/>
        <w:numPr>
          <w:ilvl w:val="1"/>
          <w:numId w:val="24"/>
        </w:numPr>
        <w:tabs>
          <w:tab w:pos="511" w:val="left" w:leader="none"/>
        </w:tabs>
        <w:spacing w:line="237" w:lineRule="exact" w:before="5" w:after="0"/>
        <w:ind w:left="510" w:right="0" w:hanging="160"/>
        <w:jc w:val="left"/>
        <w:rPr>
          <w:sz w:val="21"/>
        </w:rPr>
      </w:pPr>
      <w:r>
        <w:rPr>
          <w:spacing w:val="-4"/>
          <w:sz w:val="21"/>
        </w:rPr>
        <w:t>级：正常肌力。</w:t>
      </w:r>
    </w:p>
    <w:p>
      <w:pPr>
        <w:spacing w:line="204" w:lineRule="auto" w:before="9"/>
        <w:ind w:left="351" w:right="245" w:hanging="212"/>
        <w:jc w:val="left"/>
        <w:rPr>
          <w:sz w:val="21"/>
        </w:rPr>
      </w:pPr>
      <w:r>
        <w:rPr>
          <w:position w:val="11"/>
          <w:sz w:val="11"/>
        </w:rPr>
        <w:t>36</w:t>
      </w:r>
      <w:r>
        <w:rPr>
          <w:spacing w:val="40"/>
          <w:position w:val="11"/>
          <w:sz w:val="11"/>
        </w:rPr>
        <w:t> </w:t>
      </w:r>
      <w:r>
        <w:rPr>
          <w:rFonts w:ascii="微软雅黑" w:eastAsia="微软雅黑"/>
          <w:b/>
          <w:sz w:val="21"/>
        </w:rPr>
        <w:t>语言能力完全丧失，或严重咀嚼吞咽功能障碍</w:t>
      </w:r>
      <w:r>
        <w:rPr>
          <w:sz w:val="21"/>
        </w:rPr>
        <w:t>：语言能力完全丧失，指无法发出四种语音（包括口唇</w:t>
      </w:r>
      <w:r>
        <w:rPr>
          <w:spacing w:val="-2"/>
          <w:sz w:val="21"/>
        </w:rPr>
        <w:t>音、齿舌音、口盖音和喉头音）</w:t>
      </w:r>
      <w:r>
        <w:rPr>
          <w:spacing w:val="-3"/>
          <w:sz w:val="21"/>
        </w:rPr>
        <w:t>中的任何三种、或声带全部切除，或因大脑语言中枢受伤害而患失语</w:t>
      </w:r>
    </w:p>
    <w:p>
      <w:pPr>
        <w:pStyle w:val="BodyText"/>
        <w:spacing w:line="242" w:lineRule="auto" w:before="12"/>
        <w:ind w:left="351" w:right="264"/>
      </w:pPr>
      <w:r>
        <w:rPr>
          <w:spacing w:val="-2"/>
        </w:rPr>
        <w:t>症。严重咀嚼吞咽功能障碍，指因牙齿以外的原因导致器质障碍或机能障碍，以致不能作咀嚼吞咽运</w:t>
      </w:r>
      <w:r>
        <w:rPr>
          <w:spacing w:val="-2"/>
        </w:rPr>
        <w:t>动，除流质食物外不能摄取或吞咽的状态。</w:t>
      </w:r>
    </w:p>
    <w:p>
      <w:pPr>
        <w:spacing w:line="297" w:lineRule="exact" w:before="0"/>
        <w:ind w:left="140" w:right="0" w:firstLine="0"/>
        <w:jc w:val="left"/>
        <w:rPr>
          <w:sz w:val="21"/>
        </w:rPr>
      </w:pPr>
      <w:r>
        <w:rPr>
          <w:position w:val="11"/>
          <w:sz w:val="11"/>
        </w:rPr>
        <w:t>37</w:t>
      </w:r>
      <w:r>
        <w:rPr>
          <w:spacing w:val="50"/>
          <w:position w:val="11"/>
          <w:sz w:val="11"/>
        </w:rPr>
        <w:t> </w:t>
      </w:r>
      <w:r>
        <w:rPr>
          <w:rFonts w:ascii="微软雅黑" w:eastAsia="微软雅黑"/>
          <w:b/>
          <w:sz w:val="21"/>
        </w:rPr>
        <w:t>六项基本日常生活活动</w:t>
      </w:r>
      <w:r>
        <w:rPr>
          <w:sz w:val="21"/>
        </w:rPr>
        <w:t>：（1）穿衣：自己能够穿衣及脱衣；（2）</w:t>
      </w:r>
      <w:r>
        <w:rPr>
          <w:spacing w:val="-1"/>
          <w:sz w:val="21"/>
        </w:rPr>
        <w:t>移动：自己从一个房间到另一个房</w:t>
      </w:r>
    </w:p>
    <w:p>
      <w:pPr>
        <w:spacing w:line="180" w:lineRule="auto" w:before="29"/>
        <w:ind w:left="351" w:right="211" w:firstLine="0"/>
        <w:jc w:val="both"/>
        <w:rPr>
          <w:rFonts w:ascii="微软雅黑" w:eastAsia="微软雅黑"/>
          <w:b/>
          <w:sz w:val="21"/>
        </w:rPr>
      </w:pPr>
      <w:r>
        <w:rPr>
          <w:spacing w:val="-2"/>
          <w:sz w:val="21"/>
        </w:rPr>
        <w:t>间；（3）行动：自己上下床或上下轮椅；（4）如厕：自己控制进行大小便；（5）进食：自己从已准</w:t>
      </w:r>
      <w:r>
        <w:rPr>
          <w:spacing w:val="-2"/>
          <w:sz w:val="21"/>
        </w:rPr>
        <w:t>备好的碗或碟中取食物放入口中；（6）洗澡：自己进行淋浴或盆浴。</w:t>
      </w:r>
      <w:r>
        <w:rPr>
          <w:rFonts w:ascii="微软雅黑" w:eastAsia="微软雅黑"/>
          <w:b/>
          <w:spacing w:val="-2"/>
          <w:sz w:val="21"/>
        </w:rPr>
        <w:t>六项基本日常生活活动能力的鉴</w:t>
      </w:r>
      <w:r>
        <w:rPr>
          <w:rFonts w:ascii="微软雅黑" w:eastAsia="微软雅黑"/>
          <w:b/>
          <w:sz w:val="21"/>
        </w:rPr>
        <w:t>定不适用于 0-3 周岁幼儿。</w:t>
      </w:r>
    </w:p>
    <w:p>
      <w:pPr>
        <w:spacing w:after="0" w:line="180" w:lineRule="auto"/>
        <w:jc w:val="both"/>
        <w:rPr>
          <w:rFonts w:ascii="微软雅黑" w:eastAsia="微软雅黑"/>
          <w:sz w:val="21"/>
        </w:rPr>
        <w:sectPr>
          <w:type w:val="continuous"/>
          <w:pgSz w:w="11910" w:h="16840"/>
          <w:pgMar w:header="877" w:footer="0" w:top="1100" w:bottom="280" w:left="1060" w:right="980"/>
        </w:sectPr>
      </w:pPr>
    </w:p>
    <w:p>
      <w:pPr>
        <w:pStyle w:val="BodyText"/>
        <w:rPr>
          <w:rFonts w:ascii="微软雅黑"/>
          <w:b/>
          <w:sz w:val="6"/>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6997"/>
      </w:tblGrid>
      <w:tr>
        <w:trPr>
          <w:trHeight w:val="378" w:hRule="atLeast"/>
        </w:trPr>
        <w:tc>
          <w:tcPr>
            <w:tcW w:w="2492" w:type="dxa"/>
            <w:gridSpan w:val="2"/>
          </w:tcPr>
          <w:p>
            <w:pPr>
              <w:pStyle w:val="TableParagraph"/>
              <w:rPr>
                <w:rFonts w:ascii="Times New Roman"/>
                <w:sz w:val="20"/>
              </w:rPr>
            </w:pPr>
          </w:p>
        </w:tc>
        <w:tc>
          <w:tcPr>
            <w:tcW w:w="6997" w:type="dxa"/>
          </w:tcPr>
          <w:p>
            <w:pPr>
              <w:pStyle w:val="TableParagraph"/>
              <w:spacing w:line="241" w:lineRule="exact"/>
              <w:ind w:left="109"/>
              <w:rPr>
                <w:sz w:val="21"/>
              </w:rPr>
            </w:pPr>
            <w:r>
              <w:rPr>
                <w:spacing w:val="-2"/>
                <w:sz w:val="21"/>
              </w:rPr>
              <w:t>近躯干端）</w:t>
            </w:r>
            <w:r>
              <w:rPr>
                <w:spacing w:val="-4"/>
                <w:sz w:val="21"/>
              </w:rPr>
              <w:t>以上完全性断离。</w:t>
            </w:r>
          </w:p>
        </w:tc>
      </w:tr>
      <w:tr>
        <w:trPr>
          <w:trHeight w:val="1905" w:hRule="atLeast"/>
        </w:trPr>
        <w:tc>
          <w:tcPr>
            <w:tcW w:w="634" w:type="dxa"/>
          </w:tcPr>
          <w:p>
            <w:pPr>
              <w:pStyle w:val="TableParagraph"/>
              <w:spacing w:before="71"/>
              <w:ind w:left="50"/>
              <w:rPr>
                <w:rFonts w:ascii="微软雅黑"/>
                <w:b/>
                <w:sz w:val="21"/>
              </w:rPr>
            </w:pPr>
            <w:r>
              <w:rPr>
                <w:rFonts w:ascii="微软雅黑"/>
                <w:b/>
                <w:w w:val="81"/>
                <w:sz w:val="21"/>
              </w:rPr>
              <w:t>8</w:t>
            </w:r>
          </w:p>
        </w:tc>
        <w:tc>
          <w:tcPr>
            <w:tcW w:w="1858" w:type="dxa"/>
          </w:tcPr>
          <w:p>
            <w:pPr>
              <w:pStyle w:val="TableParagraph"/>
              <w:spacing w:line="168" w:lineRule="auto" w:before="154"/>
              <w:ind w:left="373" w:right="106"/>
              <w:jc w:val="both"/>
              <w:rPr>
                <w:rFonts w:ascii="微软雅黑" w:eastAsia="微软雅黑"/>
                <w:b/>
                <w:sz w:val="21"/>
              </w:rPr>
            </w:pPr>
            <w:r>
              <w:rPr>
                <w:rFonts w:ascii="微软雅黑" w:eastAsia="微软雅黑"/>
                <w:b/>
                <w:spacing w:val="15"/>
                <w:sz w:val="21"/>
              </w:rPr>
              <w:t>急性重症肝炎</w:t>
            </w:r>
            <w:r>
              <w:rPr>
                <w:rFonts w:ascii="微软雅黑" w:eastAsia="微软雅黑"/>
                <w:b/>
                <w:spacing w:val="15"/>
                <w:sz w:val="21"/>
              </w:rPr>
              <w:t>或亚急性重症</w:t>
            </w:r>
            <w:r>
              <w:rPr>
                <w:rFonts w:ascii="微软雅黑" w:eastAsia="微软雅黑"/>
                <w:b/>
                <w:spacing w:val="-6"/>
                <w:sz w:val="21"/>
              </w:rPr>
              <w:t>肝炎</w:t>
            </w:r>
          </w:p>
        </w:tc>
        <w:tc>
          <w:tcPr>
            <w:tcW w:w="6997" w:type="dxa"/>
          </w:tcPr>
          <w:p>
            <w:pPr>
              <w:pStyle w:val="TableParagraph"/>
              <w:spacing w:line="242" w:lineRule="auto" w:before="138"/>
              <w:ind w:left="109" w:right="159"/>
              <w:rPr>
                <w:sz w:val="21"/>
              </w:rPr>
            </w:pPr>
            <w:r>
              <w:rPr>
                <w:spacing w:val="-2"/>
                <w:sz w:val="21"/>
              </w:rPr>
              <w:t>指因肝炎病毒感染引起肝脏组织弥漫性坏死，导致急性肝功能衰竭，且经</w:t>
            </w:r>
            <w:r>
              <w:rPr>
                <w:spacing w:val="-2"/>
                <w:sz w:val="21"/>
              </w:rPr>
              <w:t>血清学或病毒学检查证实，并须满足下列全部条件：</w:t>
            </w:r>
          </w:p>
          <w:p>
            <w:pPr>
              <w:pStyle w:val="TableParagraph"/>
              <w:numPr>
                <w:ilvl w:val="0"/>
                <w:numId w:val="28"/>
              </w:numPr>
              <w:tabs>
                <w:tab w:pos="639" w:val="left" w:leader="none"/>
              </w:tabs>
              <w:spacing w:line="240" w:lineRule="auto" w:before="1" w:after="0"/>
              <w:ind w:left="638" w:right="0" w:hanging="530"/>
              <w:jc w:val="left"/>
              <w:rPr>
                <w:sz w:val="21"/>
              </w:rPr>
            </w:pPr>
            <w:r>
              <w:rPr>
                <w:spacing w:val="-3"/>
                <w:sz w:val="21"/>
              </w:rPr>
              <w:t>重度黄疸或黄疸迅速加重；</w:t>
            </w:r>
          </w:p>
          <w:p>
            <w:pPr>
              <w:pStyle w:val="TableParagraph"/>
              <w:numPr>
                <w:ilvl w:val="0"/>
                <w:numId w:val="28"/>
              </w:numPr>
              <w:tabs>
                <w:tab w:pos="639" w:val="left" w:leader="none"/>
              </w:tabs>
              <w:spacing w:line="240" w:lineRule="auto" w:before="3" w:after="0"/>
              <w:ind w:left="638" w:right="0" w:hanging="530"/>
              <w:jc w:val="left"/>
              <w:rPr>
                <w:sz w:val="21"/>
              </w:rPr>
            </w:pPr>
            <w:r>
              <w:rPr>
                <w:spacing w:val="-4"/>
                <w:sz w:val="21"/>
              </w:rPr>
              <w:t>肝性脑病；</w:t>
            </w:r>
          </w:p>
          <w:p>
            <w:pPr>
              <w:pStyle w:val="TableParagraph"/>
              <w:spacing w:before="4"/>
              <w:ind w:left="109"/>
              <w:rPr>
                <w:sz w:val="21"/>
              </w:rPr>
            </w:pPr>
            <w:r>
              <w:rPr>
                <w:spacing w:val="-2"/>
                <w:sz w:val="21"/>
              </w:rPr>
              <w:t>（3）B</w:t>
            </w:r>
            <w:r>
              <w:rPr>
                <w:spacing w:val="-10"/>
                <w:sz w:val="21"/>
              </w:rPr>
              <w:t> 超或其他影像学检查显示肝脏体积急速萎缩；</w:t>
            </w:r>
          </w:p>
          <w:p>
            <w:pPr>
              <w:pStyle w:val="TableParagraph"/>
              <w:spacing w:before="2"/>
              <w:ind w:left="109"/>
              <w:rPr>
                <w:sz w:val="21"/>
              </w:rPr>
            </w:pPr>
            <w:r>
              <w:rPr>
                <w:spacing w:val="-2"/>
                <w:sz w:val="21"/>
              </w:rPr>
              <w:t>（4）</w:t>
            </w:r>
            <w:r>
              <w:rPr>
                <w:spacing w:val="-3"/>
                <w:sz w:val="21"/>
              </w:rPr>
              <w:t>肝功能指标进行性恶化。</w:t>
            </w:r>
          </w:p>
        </w:tc>
      </w:tr>
      <w:tr>
        <w:trPr>
          <w:trHeight w:val="3376" w:hRule="atLeast"/>
        </w:trPr>
        <w:tc>
          <w:tcPr>
            <w:tcW w:w="634" w:type="dxa"/>
          </w:tcPr>
          <w:p>
            <w:pPr>
              <w:pStyle w:val="TableParagraph"/>
              <w:spacing w:before="71"/>
              <w:ind w:left="50"/>
              <w:rPr>
                <w:rFonts w:ascii="微软雅黑"/>
                <w:b/>
                <w:sz w:val="21"/>
              </w:rPr>
            </w:pPr>
            <w:r>
              <w:rPr>
                <w:rFonts w:ascii="微软雅黑"/>
                <w:b/>
                <w:w w:val="81"/>
                <w:sz w:val="21"/>
              </w:rPr>
              <w:t>9</w:t>
            </w:r>
          </w:p>
        </w:tc>
        <w:tc>
          <w:tcPr>
            <w:tcW w:w="1858" w:type="dxa"/>
          </w:tcPr>
          <w:p>
            <w:pPr>
              <w:pStyle w:val="TableParagraph"/>
              <w:spacing w:line="170" w:lineRule="auto" w:before="151"/>
              <w:ind w:left="373" w:right="106"/>
              <w:rPr>
                <w:rFonts w:ascii="微软雅黑" w:eastAsia="微软雅黑"/>
                <w:b/>
                <w:sz w:val="21"/>
              </w:rPr>
            </w:pPr>
            <w:r>
              <w:rPr>
                <w:rFonts w:ascii="微软雅黑" w:eastAsia="微软雅黑"/>
                <w:b/>
                <w:spacing w:val="15"/>
                <w:sz w:val="21"/>
              </w:rPr>
              <w:t>严重非恶性颅</w:t>
            </w:r>
            <w:r>
              <w:rPr>
                <w:rFonts w:ascii="微软雅黑" w:eastAsia="微软雅黑"/>
                <w:b/>
                <w:spacing w:val="-4"/>
                <w:sz w:val="21"/>
              </w:rPr>
              <w:t>内肿瘤</w:t>
            </w:r>
          </w:p>
        </w:tc>
        <w:tc>
          <w:tcPr>
            <w:tcW w:w="6997" w:type="dxa"/>
          </w:tcPr>
          <w:p>
            <w:pPr>
              <w:pStyle w:val="TableParagraph"/>
              <w:spacing w:line="242" w:lineRule="auto" w:before="138"/>
              <w:ind w:left="109" w:right="149"/>
              <w:jc w:val="both"/>
              <w:rPr>
                <w:sz w:val="21"/>
              </w:rPr>
            </w:pPr>
            <w:r>
              <w:rPr>
                <w:sz w:val="21"/>
              </w:rPr>
              <w:t>指起源于脑、脑神经、脑被膜的非恶性肿瘤，ICD-O-3</w:t>
            </w:r>
            <w:r>
              <w:rPr>
                <w:spacing w:val="-5"/>
                <w:sz w:val="21"/>
              </w:rPr>
              <w:t> 肿瘤形态学编码属</w:t>
            </w:r>
            <w:r>
              <w:rPr>
                <w:spacing w:val="-4"/>
                <w:sz w:val="21"/>
              </w:rPr>
              <w:t>于 0（良性肿瘤）、1（动态未定性肿瘤）范畴，并已经引起颅内压升高或</w:t>
            </w:r>
            <w:r>
              <w:rPr>
                <w:spacing w:val="-2"/>
                <w:sz w:val="21"/>
              </w:rPr>
              <w:t>神经系统功能损害，出现视乳头水肿或视觉受损、听觉受损、面部或肢体</w:t>
            </w:r>
            <w:r>
              <w:rPr>
                <w:spacing w:val="-4"/>
                <w:sz w:val="21"/>
              </w:rPr>
              <w:t>瘫痪、癫痫等，须由头颅断层扫描（CT）、核磁共振检查（MRI）或正电子</w:t>
            </w:r>
            <w:r>
              <w:rPr>
                <w:spacing w:val="-2"/>
                <w:sz w:val="21"/>
              </w:rPr>
              <w:t>发射断层扫描（PET）等影像学检查证实，且须满足下列至少一项条件：</w:t>
            </w:r>
          </w:p>
          <w:p>
            <w:pPr>
              <w:pStyle w:val="TableParagraph"/>
              <w:numPr>
                <w:ilvl w:val="0"/>
                <w:numId w:val="29"/>
              </w:numPr>
              <w:tabs>
                <w:tab w:pos="639" w:val="left" w:leader="none"/>
              </w:tabs>
              <w:spacing w:line="240" w:lineRule="auto" w:before="5" w:after="0"/>
              <w:ind w:left="638" w:right="0" w:hanging="530"/>
              <w:jc w:val="left"/>
              <w:rPr>
                <w:sz w:val="21"/>
              </w:rPr>
            </w:pPr>
            <w:r>
              <w:rPr>
                <w:spacing w:val="-3"/>
                <w:sz w:val="21"/>
              </w:rPr>
              <w:t>已经实施了开颅进行的颅内肿瘤完全或部分切除手术；</w:t>
            </w:r>
          </w:p>
          <w:p>
            <w:pPr>
              <w:pStyle w:val="TableParagraph"/>
              <w:numPr>
                <w:ilvl w:val="0"/>
                <w:numId w:val="29"/>
              </w:numPr>
              <w:tabs>
                <w:tab w:pos="639" w:val="left" w:leader="none"/>
              </w:tabs>
              <w:spacing w:line="194" w:lineRule="auto" w:before="42" w:after="0"/>
              <w:ind w:left="109" w:right="46" w:firstLine="0"/>
              <w:jc w:val="left"/>
              <w:rPr>
                <w:rFonts w:ascii="微软雅黑" w:hAnsi="微软雅黑" w:eastAsia="微软雅黑"/>
                <w:b/>
                <w:sz w:val="21"/>
              </w:rPr>
            </w:pPr>
            <w:r>
              <w:rPr>
                <w:spacing w:val="-2"/>
                <w:sz w:val="21"/>
              </w:rPr>
              <w:t>已经实施了针对颅内肿瘤的放射治疗，如 </w:t>
            </w:r>
            <w:r>
              <w:rPr>
                <w:sz w:val="21"/>
              </w:rPr>
              <w:t>γ</w:t>
            </w:r>
            <w:r>
              <w:rPr>
                <w:spacing w:val="-5"/>
                <w:sz w:val="21"/>
              </w:rPr>
              <w:t> 刀、质子重离子治疗等</w:t>
            </w:r>
            <w:r>
              <w:rPr>
                <w:spacing w:val="-2"/>
                <w:sz w:val="21"/>
              </w:rPr>
              <w:t>。</w:t>
            </w:r>
            <w:r>
              <w:rPr>
                <w:rFonts w:ascii="微软雅黑" w:hAnsi="微软雅黑" w:eastAsia="微软雅黑"/>
                <w:b/>
                <w:spacing w:val="-2"/>
                <w:sz w:val="21"/>
              </w:rPr>
              <w:t>下列疾病不在保障范围内：</w:t>
            </w:r>
          </w:p>
          <w:p>
            <w:pPr>
              <w:pStyle w:val="TableParagraph"/>
              <w:numPr>
                <w:ilvl w:val="0"/>
                <w:numId w:val="30"/>
              </w:numPr>
              <w:tabs>
                <w:tab w:pos="639" w:val="left" w:leader="none"/>
              </w:tabs>
              <w:spacing w:line="237" w:lineRule="exact" w:before="0" w:after="0"/>
              <w:ind w:left="638" w:right="0" w:hanging="530"/>
              <w:jc w:val="left"/>
              <w:rPr>
                <w:rFonts w:ascii="微软雅黑" w:eastAsia="微软雅黑"/>
                <w:b/>
                <w:sz w:val="21"/>
              </w:rPr>
            </w:pPr>
            <w:r>
              <w:rPr>
                <w:rFonts w:ascii="微软雅黑" w:eastAsia="微软雅黑"/>
                <w:b/>
                <w:spacing w:val="-2"/>
                <w:sz w:val="21"/>
              </w:rPr>
              <w:t>脑垂体瘤；</w:t>
            </w:r>
          </w:p>
          <w:p>
            <w:pPr>
              <w:pStyle w:val="TableParagraph"/>
              <w:numPr>
                <w:ilvl w:val="0"/>
                <w:numId w:val="30"/>
              </w:numPr>
              <w:tabs>
                <w:tab w:pos="639" w:val="left" w:leader="none"/>
              </w:tabs>
              <w:spacing w:line="272" w:lineRule="exact" w:before="0" w:after="0"/>
              <w:ind w:left="638" w:right="0" w:hanging="530"/>
              <w:jc w:val="left"/>
              <w:rPr>
                <w:rFonts w:ascii="微软雅黑" w:eastAsia="微软雅黑"/>
                <w:b/>
                <w:sz w:val="21"/>
              </w:rPr>
            </w:pPr>
            <w:r>
              <w:rPr>
                <w:rFonts w:ascii="微软雅黑" w:eastAsia="微软雅黑"/>
                <w:b/>
                <w:spacing w:val="-3"/>
                <w:sz w:val="21"/>
              </w:rPr>
              <w:t>脑囊肿；</w:t>
            </w:r>
          </w:p>
          <w:p>
            <w:pPr>
              <w:pStyle w:val="TableParagraph"/>
              <w:numPr>
                <w:ilvl w:val="0"/>
                <w:numId w:val="30"/>
              </w:numPr>
              <w:tabs>
                <w:tab w:pos="677" w:val="left" w:leader="none"/>
              </w:tabs>
              <w:spacing w:line="272" w:lineRule="exact" w:before="0" w:after="0"/>
              <w:ind w:left="676" w:right="0" w:hanging="568"/>
              <w:jc w:val="left"/>
              <w:rPr>
                <w:rFonts w:ascii="微软雅黑" w:eastAsia="微软雅黑"/>
                <w:b/>
                <w:sz w:val="21"/>
              </w:rPr>
            </w:pPr>
            <w:r>
              <w:rPr>
                <w:rFonts w:ascii="微软雅黑" w:eastAsia="微软雅黑"/>
                <w:b/>
                <w:sz w:val="21"/>
              </w:rPr>
              <w:t>颅内血管性疾病（</w:t>
            </w:r>
            <w:r>
              <w:rPr>
                <w:rFonts w:ascii="微软雅黑" w:eastAsia="微软雅黑"/>
                <w:b/>
                <w:spacing w:val="-1"/>
                <w:sz w:val="21"/>
              </w:rPr>
              <w:t>如脑动脉瘤、脑动静脉畸形、海绵状血管瘤、毛</w:t>
            </w:r>
          </w:p>
          <w:p>
            <w:pPr>
              <w:pStyle w:val="TableParagraph"/>
              <w:spacing w:line="230" w:lineRule="exact"/>
              <w:ind w:left="676"/>
              <w:rPr>
                <w:rFonts w:ascii="微软雅黑" w:eastAsia="微软雅黑"/>
                <w:b/>
                <w:sz w:val="21"/>
              </w:rPr>
            </w:pPr>
            <w:r>
              <w:rPr>
                <w:rFonts w:ascii="微软雅黑" w:eastAsia="微软雅黑"/>
                <w:b/>
                <w:sz w:val="21"/>
              </w:rPr>
              <w:t>细血管扩张症等）</w:t>
            </w:r>
            <w:r>
              <w:rPr>
                <w:rFonts w:ascii="微软雅黑" w:eastAsia="微软雅黑"/>
                <w:b/>
                <w:spacing w:val="-10"/>
                <w:sz w:val="21"/>
              </w:rPr>
              <w:t>。</w:t>
            </w:r>
          </w:p>
        </w:tc>
      </w:tr>
      <w:tr>
        <w:trPr>
          <w:trHeight w:val="2072" w:hRule="atLeast"/>
        </w:trPr>
        <w:tc>
          <w:tcPr>
            <w:tcW w:w="634" w:type="dxa"/>
          </w:tcPr>
          <w:p>
            <w:pPr>
              <w:pStyle w:val="TableParagraph"/>
              <w:spacing w:before="14"/>
              <w:rPr>
                <w:rFonts w:ascii="微软雅黑"/>
                <w:b/>
                <w:sz w:val="12"/>
              </w:rPr>
            </w:pPr>
          </w:p>
          <w:p>
            <w:pPr>
              <w:pStyle w:val="TableParagraph"/>
              <w:ind w:left="50"/>
              <w:rPr>
                <w:rFonts w:ascii="微软雅黑"/>
                <w:b/>
                <w:sz w:val="21"/>
              </w:rPr>
            </w:pPr>
            <w:r>
              <w:rPr>
                <w:rFonts w:ascii="微软雅黑"/>
                <w:b/>
                <w:spacing w:val="-5"/>
                <w:w w:val="90"/>
                <w:sz w:val="21"/>
              </w:rPr>
              <w:t>10</w:t>
            </w:r>
          </w:p>
        </w:tc>
        <w:tc>
          <w:tcPr>
            <w:tcW w:w="1858" w:type="dxa"/>
          </w:tcPr>
          <w:p>
            <w:pPr>
              <w:pStyle w:val="TableParagraph"/>
              <w:spacing w:before="2"/>
              <w:rPr>
                <w:rFonts w:ascii="微软雅黑"/>
                <w:b/>
                <w:sz w:val="17"/>
              </w:rPr>
            </w:pPr>
          </w:p>
          <w:p>
            <w:pPr>
              <w:pStyle w:val="TableParagraph"/>
              <w:spacing w:line="170" w:lineRule="auto"/>
              <w:ind w:left="373" w:right="106"/>
              <w:rPr>
                <w:rFonts w:ascii="微软雅黑" w:eastAsia="微软雅黑"/>
                <w:b/>
                <w:sz w:val="21"/>
              </w:rPr>
            </w:pPr>
            <w:r>
              <w:rPr>
                <w:rFonts w:ascii="微软雅黑" w:eastAsia="微软雅黑"/>
                <w:b/>
                <w:spacing w:val="15"/>
                <w:sz w:val="21"/>
              </w:rPr>
              <w:t>严重慢性肝衰</w:t>
            </w:r>
            <w:r>
              <w:rPr>
                <w:rFonts w:ascii="微软雅黑" w:eastAsia="微软雅黑"/>
                <w:b/>
                <w:spacing w:val="-10"/>
                <w:sz w:val="21"/>
              </w:rPr>
              <w:t>竭</w:t>
            </w:r>
          </w:p>
        </w:tc>
        <w:tc>
          <w:tcPr>
            <w:tcW w:w="6997" w:type="dxa"/>
          </w:tcPr>
          <w:p>
            <w:pPr>
              <w:pStyle w:val="TableParagraph"/>
              <w:spacing w:before="7"/>
              <w:rPr>
                <w:rFonts w:ascii="微软雅黑"/>
                <w:b/>
                <w:sz w:val="16"/>
              </w:rPr>
            </w:pPr>
          </w:p>
          <w:p>
            <w:pPr>
              <w:pStyle w:val="TableParagraph"/>
              <w:ind w:left="109"/>
              <w:rPr>
                <w:sz w:val="21"/>
              </w:rPr>
            </w:pPr>
            <w:r>
              <w:rPr>
                <w:spacing w:val="-3"/>
                <w:sz w:val="21"/>
              </w:rPr>
              <w:t>指因慢性肝脏疾病导致的肝衰竭，且须满足下列全部条件：</w:t>
            </w:r>
          </w:p>
          <w:p>
            <w:pPr>
              <w:pStyle w:val="TableParagraph"/>
              <w:spacing w:before="5"/>
              <w:ind w:left="109"/>
              <w:rPr>
                <w:sz w:val="21"/>
              </w:rPr>
            </w:pPr>
            <w:r>
              <w:rPr>
                <w:spacing w:val="-2"/>
                <w:sz w:val="21"/>
              </w:rPr>
              <w:t>（1）</w:t>
            </w:r>
            <w:r>
              <w:rPr>
                <w:spacing w:val="-4"/>
                <w:sz w:val="21"/>
              </w:rPr>
              <w:t>持续性黄疸；</w:t>
            </w:r>
          </w:p>
          <w:p>
            <w:pPr>
              <w:pStyle w:val="TableParagraph"/>
              <w:spacing w:before="2"/>
              <w:ind w:left="109"/>
              <w:rPr>
                <w:sz w:val="21"/>
              </w:rPr>
            </w:pPr>
            <w:r>
              <w:rPr>
                <w:spacing w:val="-2"/>
                <w:sz w:val="21"/>
              </w:rPr>
              <w:t>（2）</w:t>
            </w:r>
            <w:r>
              <w:rPr>
                <w:spacing w:val="-5"/>
                <w:sz w:val="21"/>
              </w:rPr>
              <w:t>腹水；</w:t>
            </w:r>
          </w:p>
          <w:p>
            <w:pPr>
              <w:pStyle w:val="TableParagraph"/>
              <w:numPr>
                <w:ilvl w:val="0"/>
                <w:numId w:val="31"/>
              </w:numPr>
              <w:tabs>
                <w:tab w:pos="639" w:val="left" w:leader="none"/>
              </w:tabs>
              <w:spacing w:line="240" w:lineRule="auto" w:before="5" w:after="0"/>
              <w:ind w:left="638" w:right="0" w:hanging="530"/>
              <w:jc w:val="left"/>
              <w:rPr>
                <w:sz w:val="21"/>
              </w:rPr>
            </w:pPr>
            <w:r>
              <w:rPr>
                <w:spacing w:val="-4"/>
                <w:sz w:val="21"/>
              </w:rPr>
              <w:t>肝性脑病；</w:t>
            </w:r>
          </w:p>
          <w:p>
            <w:pPr>
              <w:pStyle w:val="TableParagraph"/>
              <w:numPr>
                <w:ilvl w:val="0"/>
                <w:numId w:val="31"/>
              </w:numPr>
              <w:tabs>
                <w:tab w:pos="639" w:val="left" w:leader="none"/>
              </w:tabs>
              <w:spacing w:line="194" w:lineRule="auto" w:before="42" w:after="0"/>
              <w:ind w:left="109" w:right="1736" w:firstLine="0"/>
              <w:jc w:val="left"/>
              <w:rPr>
                <w:rFonts w:ascii="微软雅黑" w:eastAsia="微软雅黑"/>
                <w:b/>
                <w:sz w:val="21"/>
              </w:rPr>
            </w:pPr>
            <w:r>
              <w:rPr>
                <w:spacing w:val="-2"/>
                <w:sz w:val="21"/>
              </w:rPr>
              <w:t>充血性脾肿大伴脾功能亢进或食管胃底静脉曲张。</w:t>
            </w:r>
            <w:r>
              <w:rPr>
                <w:rFonts w:ascii="微软雅黑" w:eastAsia="微软雅黑"/>
                <w:b/>
                <w:spacing w:val="-2"/>
                <w:sz w:val="21"/>
              </w:rPr>
              <w:t>因酗酒或药物滥用导致的肝衰竭不在保障范围内。</w:t>
            </w:r>
          </w:p>
        </w:tc>
      </w:tr>
      <w:tr>
        <w:trPr>
          <w:trHeight w:val="1738" w:hRule="atLeast"/>
        </w:trPr>
        <w:tc>
          <w:tcPr>
            <w:tcW w:w="634" w:type="dxa"/>
          </w:tcPr>
          <w:p>
            <w:pPr>
              <w:pStyle w:val="TableParagraph"/>
              <w:spacing w:before="71"/>
              <w:ind w:left="50"/>
              <w:rPr>
                <w:rFonts w:ascii="微软雅黑"/>
                <w:b/>
                <w:sz w:val="21"/>
              </w:rPr>
            </w:pPr>
            <w:r>
              <w:rPr>
                <w:rFonts w:ascii="微软雅黑"/>
                <w:b/>
                <w:spacing w:val="-5"/>
                <w:w w:val="90"/>
                <w:sz w:val="21"/>
              </w:rPr>
              <w:t>11</w:t>
            </w:r>
          </w:p>
        </w:tc>
        <w:tc>
          <w:tcPr>
            <w:tcW w:w="1858" w:type="dxa"/>
          </w:tcPr>
          <w:p>
            <w:pPr>
              <w:pStyle w:val="TableParagraph"/>
              <w:spacing w:line="168" w:lineRule="auto" w:before="154"/>
              <w:ind w:left="373" w:right="106"/>
              <w:jc w:val="both"/>
              <w:rPr>
                <w:rFonts w:ascii="微软雅黑" w:eastAsia="微软雅黑"/>
                <w:b/>
                <w:sz w:val="21"/>
              </w:rPr>
            </w:pPr>
            <w:r>
              <w:rPr>
                <w:rFonts w:ascii="微软雅黑" w:eastAsia="微软雅黑"/>
                <w:b/>
                <w:spacing w:val="15"/>
                <w:sz w:val="21"/>
              </w:rPr>
              <w:t>严重脑炎后遗</w:t>
            </w:r>
            <w:r>
              <w:rPr>
                <w:rFonts w:ascii="微软雅黑" w:eastAsia="微软雅黑"/>
                <w:b/>
                <w:spacing w:val="15"/>
                <w:sz w:val="21"/>
              </w:rPr>
              <w:t>症或严重脑膜</w:t>
            </w:r>
            <w:r>
              <w:rPr>
                <w:rFonts w:ascii="微软雅黑" w:eastAsia="微软雅黑"/>
                <w:b/>
                <w:spacing w:val="-4"/>
                <w:sz w:val="21"/>
              </w:rPr>
              <w:t>炎后遗症</w:t>
            </w:r>
          </w:p>
        </w:tc>
        <w:tc>
          <w:tcPr>
            <w:tcW w:w="6997" w:type="dxa"/>
          </w:tcPr>
          <w:p>
            <w:pPr>
              <w:pStyle w:val="TableParagraph"/>
              <w:spacing w:line="242" w:lineRule="auto" w:before="138"/>
              <w:ind w:left="109" w:right="149"/>
              <w:jc w:val="both"/>
              <w:rPr>
                <w:sz w:val="21"/>
              </w:rPr>
            </w:pPr>
            <w:r>
              <w:rPr>
                <w:spacing w:val="-2"/>
                <w:sz w:val="21"/>
              </w:rPr>
              <w:t>指因患脑炎或脑膜炎导致的神经系统永久性的功能障碍。神经系统永久性</w:t>
            </w:r>
            <w:r>
              <w:rPr>
                <w:spacing w:val="-3"/>
                <w:sz w:val="21"/>
              </w:rPr>
              <w:t>的功能障碍，指经我们认可医院的相关专科医生确诊疾病 </w:t>
            </w:r>
            <w:r>
              <w:rPr>
                <w:spacing w:val="-2"/>
                <w:sz w:val="21"/>
              </w:rPr>
              <w:t>180</w:t>
            </w:r>
            <w:r>
              <w:rPr>
                <w:spacing w:val="-7"/>
                <w:sz w:val="21"/>
              </w:rPr>
              <w:t> 天后，仍遗</w:t>
            </w:r>
            <w:r>
              <w:rPr>
                <w:spacing w:val="-2"/>
                <w:sz w:val="21"/>
              </w:rPr>
              <w:t>留下列至少一种障碍：</w:t>
            </w:r>
          </w:p>
          <w:p>
            <w:pPr>
              <w:pStyle w:val="TableParagraph"/>
              <w:numPr>
                <w:ilvl w:val="0"/>
                <w:numId w:val="32"/>
              </w:numPr>
              <w:tabs>
                <w:tab w:pos="639" w:val="left" w:leader="none"/>
              </w:tabs>
              <w:spacing w:line="240" w:lineRule="auto" w:before="1" w:after="0"/>
              <w:ind w:left="638" w:right="0" w:hanging="530"/>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TableParagraph"/>
              <w:numPr>
                <w:ilvl w:val="0"/>
                <w:numId w:val="32"/>
              </w:numPr>
              <w:tabs>
                <w:tab w:pos="639" w:val="left" w:leader="none"/>
              </w:tabs>
              <w:spacing w:line="240" w:lineRule="auto" w:before="4" w:after="0"/>
              <w:ind w:left="638" w:right="0" w:hanging="530"/>
              <w:jc w:val="left"/>
              <w:rPr>
                <w:sz w:val="21"/>
              </w:rPr>
            </w:pPr>
            <w:r>
              <w:rPr>
                <w:spacing w:val="-3"/>
                <w:sz w:val="21"/>
              </w:rPr>
              <w:t>语言能力完全丧失，或严重咀嚼吞咽功能障碍；</w:t>
            </w:r>
          </w:p>
          <w:p>
            <w:pPr>
              <w:pStyle w:val="TableParagraph"/>
              <w:numPr>
                <w:ilvl w:val="0"/>
                <w:numId w:val="32"/>
              </w:numPr>
              <w:tabs>
                <w:tab w:pos="639" w:val="left" w:leader="none"/>
              </w:tabs>
              <w:spacing w:line="220" w:lineRule="exact" w:before="2" w:after="0"/>
              <w:ind w:left="638" w:right="0" w:hanging="530"/>
              <w:jc w:val="left"/>
              <w:rPr>
                <w:sz w:val="21"/>
              </w:rPr>
            </w:pPr>
            <w:r>
              <w:rPr>
                <w:spacing w:val="-2"/>
                <w:sz w:val="21"/>
              </w:rPr>
              <w:t>由具有评估资格的专科医生根据临床痴呆评定量表（CDR，Clinical</w:t>
            </w:r>
          </w:p>
        </w:tc>
      </w:tr>
    </w:tbl>
    <w:p>
      <w:pPr>
        <w:pStyle w:val="BodyText"/>
        <w:spacing w:before="36"/>
        <w:ind w:left="3330"/>
      </w:pPr>
      <w:r>
        <w:rPr/>
        <w:t>Dementia</w:t>
      </w:r>
      <w:r>
        <w:rPr>
          <w:spacing w:val="-20"/>
        </w:rPr>
        <w:t> </w:t>
      </w:r>
      <w:r>
        <w:rPr/>
        <w:t>Rating）</w:t>
      </w:r>
      <w:r>
        <w:rPr>
          <w:spacing w:val="-9"/>
        </w:rPr>
        <w:t>评估结果为 </w:t>
      </w:r>
      <w:r>
        <w:rPr/>
        <w:t>3</w:t>
      </w:r>
      <w:r>
        <w:rPr>
          <w:spacing w:val="-22"/>
        </w:rPr>
        <w:t> 分；</w:t>
      </w:r>
    </w:p>
    <w:p>
      <w:pPr>
        <w:pStyle w:val="ListParagraph"/>
        <w:numPr>
          <w:ilvl w:val="0"/>
          <w:numId w:val="27"/>
        </w:numPr>
        <w:tabs>
          <w:tab w:pos="3334" w:val="left" w:leader="none"/>
        </w:tabs>
        <w:spacing w:line="244" w:lineRule="auto" w:before="3" w:after="0"/>
        <w:ind w:left="3330" w:right="324" w:hanging="526"/>
        <w:jc w:val="left"/>
        <w:rPr>
          <w:sz w:val="21"/>
        </w:rPr>
      </w:pPr>
      <w:r>
        <w:rPr>
          <w:spacing w:val="-2"/>
          <w:sz w:val="21"/>
        </w:rPr>
        <w:t>自主生活能力完全丧失，无法独立完成六项基本日常生活活动中的三项或三项以上。</w:t>
      </w:r>
    </w:p>
    <w:p>
      <w:pPr>
        <w:pStyle w:val="BodyText"/>
        <w:spacing w:before="3"/>
        <w:rPr>
          <w:sz w:val="23"/>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592"/>
        <w:gridCol w:w="7159"/>
      </w:tblGrid>
      <w:tr>
        <w:trPr>
          <w:trHeight w:val="1182" w:hRule="atLeast"/>
        </w:trPr>
        <w:tc>
          <w:tcPr>
            <w:tcW w:w="634" w:type="dxa"/>
          </w:tcPr>
          <w:p>
            <w:pPr>
              <w:pStyle w:val="TableParagraph"/>
              <w:spacing w:line="291" w:lineRule="exact"/>
              <w:ind w:left="50"/>
              <w:rPr>
                <w:rFonts w:ascii="微软雅黑"/>
                <w:b/>
                <w:sz w:val="21"/>
              </w:rPr>
            </w:pPr>
            <w:r>
              <w:rPr>
                <w:rFonts w:ascii="微软雅黑"/>
                <w:b/>
                <w:spacing w:val="-5"/>
                <w:w w:val="90"/>
                <w:sz w:val="21"/>
              </w:rPr>
              <w:t>12</w:t>
            </w:r>
          </w:p>
        </w:tc>
        <w:tc>
          <w:tcPr>
            <w:tcW w:w="1592" w:type="dxa"/>
          </w:tcPr>
          <w:p>
            <w:pPr>
              <w:pStyle w:val="TableParagraph"/>
              <w:spacing w:line="291" w:lineRule="exact"/>
              <w:ind w:left="373"/>
              <w:rPr>
                <w:rFonts w:ascii="微软雅黑" w:eastAsia="微软雅黑"/>
                <w:b/>
                <w:sz w:val="21"/>
              </w:rPr>
            </w:pPr>
            <w:r>
              <w:rPr>
                <w:rFonts w:ascii="微软雅黑" w:eastAsia="微软雅黑"/>
                <w:b/>
                <w:spacing w:val="-3"/>
                <w:sz w:val="21"/>
              </w:rPr>
              <w:t>深度昏迷</w:t>
            </w:r>
          </w:p>
        </w:tc>
        <w:tc>
          <w:tcPr>
            <w:tcW w:w="7159" w:type="dxa"/>
          </w:tcPr>
          <w:p>
            <w:pPr>
              <w:pStyle w:val="TableParagraph"/>
              <w:spacing w:line="241" w:lineRule="exact"/>
              <w:ind w:left="375"/>
              <w:rPr>
                <w:sz w:val="21"/>
              </w:rPr>
            </w:pPr>
            <w:r>
              <w:rPr>
                <w:spacing w:val="-3"/>
                <w:sz w:val="21"/>
              </w:rPr>
              <w:t>指因疾病或意外伤害导致意识丧失，对外界刺激和体内需求均无反应，昏</w:t>
            </w:r>
          </w:p>
          <w:p>
            <w:pPr>
              <w:pStyle w:val="TableParagraph"/>
              <w:spacing w:before="2"/>
              <w:ind w:left="375"/>
              <w:rPr>
                <w:sz w:val="21"/>
              </w:rPr>
            </w:pPr>
            <w:r>
              <w:rPr>
                <w:spacing w:val="-8"/>
                <w:sz w:val="21"/>
              </w:rPr>
              <w:t>迷程度按照格拉斯哥昏迷分级</w:t>
            </w:r>
            <w:r>
              <w:rPr>
                <w:spacing w:val="-4"/>
                <w:sz w:val="21"/>
              </w:rPr>
              <w:t>（GCS，Glasgow</w:t>
            </w:r>
            <w:r>
              <w:rPr>
                <w:spacing w:val="-51"/>
                <w:sz w:val="21"/>
              </w:rPr>
              <w:t> </w:t>
            </w:r>
            <w:r>
              <w:rPr>
                <w:spacing w:val="-4"/>
                <w:sz w:val="21"/>
              </w:rPr>
              <w:t>ComaScale）</w:t>
            </w:r>
            <w:r>
              <w:rPr>
                <w:spacing w:val="-16"/>
                <w:sz w:val="21"/>
              </w:rPr>
              <w:t>结果为 </w:t>
            </w:r>
            <w:r>
              <w:rPr>
                <w:spacing w:val="-4"/>
                <w:sz w:val="21"/>
              </w:rPr>
              <w:t>5</w:t>
            </w:r>
            <w:r>
              <w:rPr>
                <w:spacing w:val="-12"/>
                <w:sz w:val="21"/>
              </w:rPr>
              <w:t> 分或 </w:t>
            </w:r>
            <w:r>
              <w:rPr>
                <w:spacing w:val="-10"/>
                <w:sz w:val="21"/>
              </w:rPr>
              <w:t>5</w:t>
            </w:r>
          </w:p>
          <w:p>
            <w:pPr>
              <w:pStyle w:val="TableParagraph"/>
              <w:spacing w:line="194" w:lineRule="auto" w:before="44"/>
              <w:ind w:left="375" w:right="580"/>
              <w:rPr>
                <w:rFonts w:ascii="微软雅黑" w:eastAsia="微软雅黑"/>
                <w:b/>
                <w:sz w:val="21"/>
              </w:rPr>
            </w:pPr>
            <w:r>
              <w:rPr>
                <w:spacing w:val="-3"/>
                <w:sz w:val="21"/>
              </w:rPr>
              <w:t>分以下，且已经持续使用呼吸机及其他生命维持系统 </w:t>
            </w:r>
            <w:r>
              <w:rPr>
                <w:sz w:val="21"/>
              </w:rPr>
              <w:t>96</w:t>
            </w:r>
            <w:r>
              <w:rPr>
                <w:spacing w:val="-10"/>
                <w:sz w:val="21"/>
              </w:rPr>
              <w:t> 小时以上。</w:t>
            </w:r>
            <w:r>
              <w:rPr>
                <w:rFonts w:ascii="微软雅黑" w:eastAsia="微软雅黑"/>
                <w:b/>
                <w:spacing w:val="-2"/>
                <w:sz w:val="21"/>
              </w:rPr>
              <w:t>因酗酒或药物滥用导致的深度昏迷不在保障范围内。</w:t>
            </w:r>
          </w:p>
        </w:tc>
      </w:tr>
      <w:tr>
        <w:trPr>
          <w:trHeight w:val="1750" w:hRule="atLeast"/>
        </w:trPr>
        <w:tc>
          <w:tcPr>
            <w:tcW w:w="634" w:type="dxa"/>
          </w:tcPr>
          <w:p>
            <w:pPr>
              <w:pStyle w:val="TableParagraph"/>
              <w:spacing w:before="83"/>
              <w:ind w:left="50"/>
              <w:rPr>
                <w:rFonts w:ascii="微软雅黑"/>
                <w:b/>
                <w:sz w:val="21"/>
              </w:rPr>
            </w:pPr>
            <w:r>
              <w:rPr>
                <w:rFonts w:ascii="微软雅黑"/>
                <w:b/>
                <w:spacing w:val="-5"/>
                <w:w w:val="90"/>
                <w:sz w:val="21"/>
              </w:rPr>
              <w:t>13</w:t>
            </w:r>
          </w:p>
        </w:tc>
        <w:tc>
          <w:tcPr>
            <w:tcW w:w="1592" w:type="dxa"/>
          </w:tcPr>
          <w:p>
            <w:pPr>
              <w:pStyle w:val="TableParagraph"/>
              <w:spacing w:before="83"/>
              <w:ind w:left="373"/>
              <w:rPr>
                <w:rFonts w:ascii="微软雅黑" w:eastAsia="微软雅黑"/>
                <w:b/>
                <w:sz w:val="21"/>
              </w:rPr>
            </w:pPr>
            <w:r>
              <w:rPr>
                <w:rFonts w:ascii="微软雅黑" w:eastAsia="微软雅黑"/>
                <w:b/>
                <w:spacing w:val="-3"/>
                <w:sz w:val="21"/>
              </w:rPr>
              <w:t>双耳失聪</w:t>
            </w:r>
          </w:p>
        </w:tc>
        <w:tc>
          <w:tcPr>
            <w:tcW w:w="7159" w:type="dxa"/>
          </w:tcPr>
          <w:p>
            <w:pPr>
              <w:pStyle w:val="TableParagraph"/>
              <w:spacing w:line="363" w:lineRule="exact" w:before="83"/>
              <w:ind w:left="375"/>
              <w:rPr>
                <w:sz w:val="21"/>
              </w:rPr>
            </w:pPr>
            <w:r>
              <w:rPr>
                <w:w w:val="95"/>
                <w:sz w:val="21"/>
              </w:rPr>
              <w:t>指</w:t>
            </w:r>
            <w:r>
              <w:rPr>
                <w:w w:val="95"/>
                <w:sz w:val="21"/>
              </w:rPr>
              <w:t>因</w:t>
            </w:r>
            <w:r>
              <w:rPr>
                <w:w w:val="95"/>
                <w:sz w:val="21"/>
              </w:rPr>
              <w:t>疾病或意外伤害导致</w:t>
            </w:r>
            <w:r>
              <w:rPr>
                <w:w w:val="95"/>
                <w:sz w:val="21"/>
              </w:rPr>
              <w:t>双</w:t>
            </w:r>
            <w:r>
              <w:rPr>
                <w:w w:val="95"/>
                <w:sz w:val="21"/>
              </w:rPr>
              <w:t>耳</w:t>
            </w:r>
            <w:r>
              <w:rPr>
                <w:w w:val="95"/>
                <w:sz w:val="21"/>
              </w:rPr>
              <w:t>听</w:t>
            </w:r>
            <w:r>
              <w:rPr>
                <w:w w:val="95"/>
                <w:sz w:val="21"/>
              </w:rPr>
              <w:t>力</w:t>
            </w:r>
            <w:r>
              <w:rPr>
                <w:rFonts w:ascii="微软雅黑" w:eastAsia="微软雅黑"/>
                <w:b/>
                <w:w w:val="95"/>
                <w:sz w:val="21"/>
              </w:rPr>
              <w:t>永</w:t>
            </w:r>
            <w:r>
              <w:rPr>
                <w:rFonts w:ascii="微软雅黑" w:eastAsia="微软雅黑"/>
                <w:b/>
                <w:w w:val="95"/>
                <w:sz w:val="21"/>
              </w:rPr>
              <w:t>久</w:t>
            </w:r>
            <w:r>
              <w:rPr>
                <w:rFonts w:ascii="微软雅黑" w:eastAsia="微软雅黑"/>
                <w:b/>
                <w:w w:val="95"/>
                <w:sz w:val="21"/>
              </w:rPr>
              <w:t>不</w:t>
            </w:r>
            <w:r>
              <w:rPr>
                <w:rFonts w:ascii="微软雅黑" w:eastAsia="微软雅黑"/>
                <w:b/>
                <w:w w:val="95"/>
                <w:sz w:val="21"/>
              </w:rPr>
              <w:t>可</w:t>
            </w:r>
            <w:r>
              <w:rPr>
                <w:rFonts w:ascii="微软雅黑" w:eastAsia="微软雅黑"/>
                <w:b/>
                <w:w w:val="95"/>
                <w:sz w:val="21"/>
              </w:rPr>
              <w:t>逆</w:t>
            </w:r>
            <w:r>
              <w:rPr>
                <w:rFonts w:ascii="微软雅黑" w:eastAsia="微软雅黑"/>
                <w:b/>
                <w:w w:val="95"/>
                <w:position w:val="11"/>
                <w:sz w:val="11"/>
              </w:rPr>
              <w:t>38</w:t>
            </w:r>
            <w:r>
              <w:rPr>
                <w:spacing w:val="-12"/>
                <w:w w:val="95"/>
                <w:sz w:val="21"/>
              </w:rPr>
              <w:t>性丧失，在</w:t>
            </w:r>
            <w:r>
              <w:rPr>
                <w:spacing w:val="77"/>
                <w:sz w:val="21"/>
              </w:rPr>
              <w:t> </w:t>
            </w:r>
            <w:r>
              <w:rPr>
                <w:w w:val="95"/>
                <w:sz w:val="21"/>
              </w:rPr>
              <w:t>500</w:t>
            </w:r>
            <w:r>
              <w:rPr>
                <w:spacing w:val="77"/>
                <w:sz w:val="21"/>
              </w:rPr>
              <w:t> </w:t>
            </w:r>
            <w:r>
              <w:rPr>
                <w:spacing w:val="-18"/>
                <w:w w:val="95"/>
                <w:sz w:val="21"/>
              </w:rPr>
              <w:t>赫兹、</w:t>
            </w:r>
            <w:r>
              <w:rPr>
                <w:spacing w:val="-4"/>
                <w:w w:val="95"/>
                <w:sz w:val="21"/>
              </w:rPr>
              <w:t>1000</w:t>
            </w:r>
          </w:p>
          <w:p>
            <w:pPr>
              <w:pStyle w:val="TableParagraph"/>
              <w:spacing w:line="245" w:lineRule="exact"/>
              <w:ind w:left="375"/>
              <w:rPr>
                <w:sz w:val="21"/>
              </w:rPr>
            </w:pPr>
            <w:r>
              <w:rPr>
                <w:spacing w:val="-13"/>
                <w:sz w:val="21"/>
              </w:rPr>
              <w:t>赫兹和 </w:t>
            </w:r>
            <w:r>
              <w:rPr>
                <w:spacing w:val="-2"/>
                <w:sz w:val="21"/>
              </w:rPr>
              <w:t>2000</w:t>
            </w:r>
            <w:r>
              <w:rPr>
                <w:spacing w:val="-11"/>
                <w:sz w:val="21"/>
              </w:rPr>
              <w:t> 赫兹语音频率下，平均听阈大于等于 </w:t>
            </w:r>
            <w:r>
              <w:rPr>
                <w:spacing w:val="-2"/>
                <w:sz w:val="21"/>
              </w:rPr>
              <w:t>91</w:t>
            </w:r>
            <w:r>
              <w:rPr>
                <w:spacing w:val="-10"/>
                <w:sz w:val="21"/>
              </w:rPr>
              <w:t> 分贝，且经纯音听力</w:t>
            </w:r>
          </w:p>
          <w:p>
            <w:pPr>
              <w:pStyle w:val="TableParagraph"/>
              <w:spacing w:line="237" w:lineRule="exact" w:before="4"/>
              <w:ind w:left="375"/>
              <w:rPr>
                <w:sz w:val="21"/>
              </w:rPr>
            </w:pPr>
            <w:r>
              <w:rPr>
                <w:spacing w:val="-3"/>
                <w:sz w:val="21"/>
              </w:rPr>
              <w:t>测试、声导抗检测或听觉诱发电位检测等证实。</w:t>
            </w:r>
          </w:p>
          <w:p>
            <w:pPr>
              <w:pStyle w:val="TableParagraph"/>
              <w:spacing w:line="298" w:lineRule="exact"/>
              <w:ind w:left="375"/>
              <w:rPr>
                <w:rFonts w:ascii="微软雅黑" w:eastAsia="微软雅黑"/>
                <w:b/>
                <w:sz w:val="21"/>
              </w:rPr>
            </w:pPr>
            <w:r>
              <w:rPr>
                <w:rFonts w:ascii="微软雅黑" w:eastAsia="微软雅黑"/>
                <w:b/>
                <w:w w:val="95"/>
                <w:sz w:val="21"/>
              </w:rPr>
              <w:t>先</w:t>
            </w:r>
            <w:r>
              <w:rPr>
                <w:rFonts w:ascii="微软雅黑" w:eastAsia="微软雅黑"/>
                <w:b/>
                <w:w w:val="95"/>
                <w:sz w:val="21"/>
              </w:rPr>
              <w:t>天</w:t>
            </w:r>
            <w:r>
              <w:rPr>
                <w:rFonts w:ascii="微软雅黑" w:eastAsia="微软雅黑"/>
                <w:b/>
                <w:w w:val="95"/>
                <w:sz w:val="21"/>
              </w:rPr>
              <w:t>性</w:t>
            </w:r>
            <w:r>
              <w:rPr>
                <w:rFonts w:ascii="微软雅黑" w:eastAsia="微软雅黑"/>
                <w:b/>
                <w:w w:val="95"/>
                <w:sz w:val="21"/>
              </w:rPr>
              <w:t>疾</w:t>
            </w:r>
            <w:r>
              <w:rPr>
                <w:rFonts w:ascii="微软雅黑" w:eastAsia="微软雅黑"/>
                <w:b/>
                <w:w w:val="95"/>
                <w:sz w:val="21"/>
              </w:rPr>
              <w:t>病</w:t>
            </w:r>
            <w:r>
              <w:rPr>
                <w:rFonts w:ascii="微软雅黑" w:eastAsia="微软雅黑"/>
                <w:b/>
                <w:w w:val="95"/>
                <w:sz w:val="21"/>
              </w:rPr>
              <w:t>所</w:t>
            </w:r>
            <w:r>
              <w:rPr>
                <w:rFonts w:ascii="微软雅黑" w:eastAsia="微软雅黑"/>
                <w:b/>
                <w:w w:val="95"/>
                <w:sz w:val="21"/>
              </w:rPr>
              <w:t>致</w:t>
            </w:r>
            <w:r>
              <w:rPr>
                <w:rFonts w:ascii="微软雅黑" w:eastAsia="微软雅黑"/>
                <w:b/>
                <w:w w:val="95"/>
                <w:sz w:val="21"/>
              </w:rPr>
              <w:t>的</w:t>
            </w:r>
            <w:r>
              <w:rPr>
                <w:rFonts w:ascii="微软雅黑" w:eastAsia="微软雅黑"/>
                <w:b/>
                <w:w w:val="95"/>
                <w:sz w:val="21"/>
              </w:rPr>
              <w:t>双耳失</w:t>
            </w:r>
            <w:r>
              <w:rPr>
                <w:rFonts w:ascii="微软雅黑" w:eastAsia="微软雅黑"/>
                <w:b/>
                <w:w w:val="95"/>
                <w:sz w:val="21"/>
              </w:rPr>
              <w:t>聪</w:t>
            </w:r>
            <w:r>
              <w:rPr>
                <w:rFonts w:ascii="微软雅黑" w:eastAsia="微软雅黑"/>
                <w:b/>
                <w:w w:val="95"/>
                <w:sz w:val="21"/>
              </w:rPr>
              <w:t>及</w:t>
            </w:r>
            <w:r>
              <w:rPr>
                <w:rFonts w:ascii="微软雅黑" w:eastAsia="微软雅黑"/>
                <w:b/>
                <w:w w:val="95"/>
                <w:sz w:val="21"/>
              </w:rPr>
              <w:t>被</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人</w:t>
            </w:r>
            <w:r>
              <w:rPr>
                <w:rFonts w:ascii="微软雅黑" w:eastAsia="微软雅黑"/>
                <w:b/>
                <w:w w:val="95"/>
                <w:sz w:val="21"/>
              </w:rPr>
              <w:t>在</w:t>
            </w:r>
            <w:r>
              <w:rPr>
                <w:rFonts w:ascii="微软雅黑" w:eastAsia="微软雅黑"/>
                <w:b/>
                <w:spacing w:val="49"/>
                <w:sz w:val="21"/>
              </w:rPr>
              <w:t> </w:t>
            </w:r>
            <w:r>
              <w:rPr>
                <w:rFonts w:ascii="微软雅黑" w:eastAsia="微软雅黑"/>
                <w:b/>
                <w:w w:val="95"/>
                <w:sz w:val="21"/>
              </w:rPr>
              <w:t>0</w:t>
            </w:r>
            <w:r>
              <w:rPr>
                <w:rFonts w:ascii="微软雅黑" w:eastAsia="微软雅黑"/>
                <w:b/>
                <w:spacing w:val="50"/>
                <w:sz w:val="21"/>
              </w:rPr>
              <w:t> </w:t>
            </w:r>
            <w:r>
              <w:rPr>
                <w:rFonts w:ascii="微软雅黑" w:eastAsia="微软雅黑"/>
                <w:b/>
                <w:w w:val="95"/>
                <w:sz w:val="21"/>
              </w:rPr>
              <w:t>至</w:t>
            </w:r>
            <w:r>
              <w:rPr>
                <w:rFonts w:ascii="微软雅黑" w:eastAsia="微软雅黑"/>
                <w:b/>
                <w:spacing w:val="50"/>
                <w:sz w:val="21"/>
              </w:rPr>
              <w:t> </w:t>
            </w:r>
            <w:r>
              <w:rPr>
                <w:rFonts w:ascii="微软雅黑" w:eastAsia="微软雅黑"/>
                <w:b/>
                <w:w w:val="95"/>
                <w:sz w:val="21"/>
              </w:rPr>
              <w:t>3</w:t>
            </w:r>
            <w:r>
              <w:rPr>
                <w:rFonts w:ascii="微软雅黑" w:eastAsia="微软雅黑"/>
                <w:b/>
                <w:spacing w:val="50"/>
                <w:sz w:val="21"/>
              </w:rPr>
              <w:t> </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期</w:t>
            </w:r>
            <w:r>
              <w:rPr>
                <w:rFonts w:ascii="微软雅黑" w:eastAsia="微软雅黑"/>
                <w:b/>
                <w:w w:val="95"/>
                <w:sz w:val="21"/>
              </w:rPr>
              <w:t>间</w:t>
            </w:r>
            <w:r>
              <w:rPr>
                <w:rFonts w:ascii="微软雅黑" w:eastAsia="微软雅黑"/>
                <w:b/>
                <w:w w:val="95"/>
                <w:sz w:val="21"/>
              </w:rPr>
              <w:t>因</w:t>
            </w:r>
            <w:r>
              <w:rPr>
                <w:rFonts w:ascii="微软雅黑" w:eastAsia="微软雅黑"/>
                <w:b/>
                <w:w w:val="95"/>
                <w:sz w:val="21"/>
              </w:rPr>
              <w:t>疾</w:t>
            </w:r>
            <w:r>
              <w:rPr>
                <w:rFonts w:ascii="微软雅黑" w:eastAsia="微软雅黑"/>
                <w:b/>
                <w:w w:val="95"/>
                <w:sz w:val="21"/>
              </w:rPr>
              <w:t>病</w:t>
            </w:r>
            <w:r>
              <w:rPr>
                <w:rFonts w:ascii="微软雅黑" w:eastAsia="微软雅黑"/>
                <w:b/>
                <w:w w:val="95"/>
                <w:sz w:val="21"/>
              </w:rPr>
              <w:t>所</w:t>
            </w:r>
            <w:r>
              <w:rPr>
                <w:rFonts w:ascii="微软雅黑" w:eastAsia="微软雅黑"/>
                <w:b/>
                <w:w w:val="95"/>
                <w:sz w:val="21"/>
              </w:rPr>
              <w:t>致</w:t>
            </w:r>
            <w:r>
              <w:rPr>
                <w:rFonts w:ascii="微软雅黑" w:eastAsia="微软雅黑"/>
                <w:b/>
                <w:spacing w:val="-5"/>
                <w:w w:val="95"/>
                <w:sz w:val="21"/>
              </w:rPr>
              <w:t>的双</w:t>
            </w:r>
          </w:p>
          <w:p>
            <w:pPr>
              <w:pStyle w:val="TableParagraph"/>
              <w:spacing w:line="272" w:lineRule="exact"/>
              <w:ind w:left="375"/>
              <w:rPr>
                <w:rFonts w:ascii="微软雅黑" w:eastAsia="微软雅黑"/>
                <w:b/>
                <w:sz w:val="21"/>
              </w:rPr>
            </w:pPr>
            <w:r>
              <w:rPr>
                <w:rFonts w:ascii="微软雅黑" w:eastAsia="微软雅黑"/>
                <w:b/>
                <w:w w:val="95"/>
                <w:sz w:val="21"/>
              </w:rPr>
              <w:t>耳</w:t>
            </w:r>
            <w:r>
              <w:rPr>
                <w:rFonts w:ascii="微软雅黑" w:eastAsia="微软雅黑"/>
                <w:b/>
                <w:w w:val="95"/>
                <w:sz w:val="21"/>
              </w:rPr>
              <w:t>失</w:t>
            </w:r>
            <w:r>
              <w:rPr>
                <w:rFonts w:ascii="微软雅黑" w:eastAsia="微软雅黑"/>
                <w:b/>
                <w:w w:val="95"/>
                <w:sz w:val="21"/>
              </w:rPr>
              <w:t>聪</w:t>
            </w:r>
            <w:r>
              <w:rPr>
                <w:rFonts w:ascii="微软雅黑" w:eastAsia="微软雅黑"/>
                <w:b/>
                <w:w w:val="95"/>
                <w:sz w:val="21"/>
              </w:rPr>
              <w:t>不</w:t>
            </w:r>
            <w:r>
              <w:rPr>
                <w:rFonts w:ascii="微软雅黑" w:eastAsia="微软雅黑"/>
                <w:b/>
                <w:w w:val="95"/>
                <w:sz w:val="21"/>
              </w:rPr>
              <w:t>在</w:t>
            </w:r>
            <w:r>
              <w:rPr>
                <w:rFonts w:ascii="微软雅黑" w:eastAsia="微软雅黑"/>
                <w:b/>
                <w:w w:val="95"/>
                <w:sz w:val="21"/>
              </w:rPr>
              <w:t>保</w:t>
            </w:r>
            <w:r>
              <w:rPr>
                <w:rFonts w:ascii="微软雅黑" w:eastAsia="微软雅黑"/>
                <w:b/>
                <w:w w:val="95"/>
                <w:sz w:val="21"/>
              </w:rPr>
              <w:t>障</w:t>
            </w:r>
            <w:r>
              <w:rPr>
                <w:rFonts w:ascii="微软雅黑" w:eastAsia="微软雅黑"/>
                <w:b/>
                <w:w w:val="95"/>
                <w:sz w:val="21"/>
              </w:rPr>
              <w:t>范</w:t>
            </w:r>
            <w:r>
              <w:rPr>
                <w:rFonts w:ascii="微软雅黑" w:eastAsia="微软雅黑"/>
                <w:b/>
                <w:w w:val="95"/>
                <w:sz w:val="21"/>
              </w:rPr>
              <w:t>围内，</w:t>
            </w:r>
            <w:r>
              <w:rPr>
                <w:rFonts w:ascii="微软雅黑" w:eastAsia="微软雅黑"/>
                <w:b/>
                <w:w w:val="95"/>
                <w:sz w:val="21"/>
              </w:rPr>
              <w:t>且</w:t>
            </w:r>
            <w:r>
              <w:rPr>
                <w:rFonts w:ascii="微软雅黑" w:eastAsia="微软雅黑"/>
                <w:b/>
                <w:w w:val="95"/>
                <w:sz w:val="21"/>
              </w:rPr>
              <w:t>申</w:t>
            </w:r>
            <w:r>
              <w:rPr>
                <w:rFonts w:ascii="微软雅黑" w:eastAsia="微软雅黑"/>
                <w:b/>
                <w:w w:val="95"/>
                <w:sz w:val="21"/>
              </w:rPr>
              <w:t>请</w:t>
            </w:r>
            <w:r>
              <w:rPr>
                <w:rFonts w:ascii="微软雅黑" w:eastAsia="微软雅黑"/>
                <w:b/>
                <w:w w:val="95"/>
                <w:sz w:val="21"/>
              </w:rPr>
              <w:t>理</w:t>
            </w:r>
            <w:r>
              <w:rPr>
                <w:rFonts w:ascii="微软雅黑" w:eastAsia="微软雅黑"/>
                <w:b/>
                <w:w w:val="95"/>
                <w:sz w:val="21"/>
              </w:rPr>
              <w:t>赔</w:t>
            </w:r>
            <w:r>
              <w:rPr>
                <w:rFonts w:ascii="微软雅黑" w:eastAsia="微软雅黑"/>
                <w:b/>
                <w:w w:val="95"/>
                <w:sz w:val="21"/>
              </w:rPr>
              <w:t>时</w:t>
            </w:r>
            <w:r>
              <w:rPr>
                <w:rFonts w:ascii="微软雅黑" w:eastAsia="微软雅黑"/>
                <w:b/>
                <w:w w:val="95"/>
                <w:sz w:val="21"/>
              </w:rPr>
              <w:t>需</w:t>
            </w:r>
            <w:r>
              <w:rPr>
                <w:rFonts w:ascii="微软雅黑" w:eastAsia="微软雅黑"/>
                <w:b/>
                <w:w w:val="95"/>
                <w:sz w:val="21"/>
              </w:rPr>
              <w:t>提</w:t>
            </w:r>
            <w:r>
              <w:rPr>
                <w:rFonts w:ascii="微软雅黑" w:eastAsia="微软雅黑"/>
                <w:b/>
                <w:w w:val="95"/>
                <w:sz w:val="21"/>
              </w:rPr>
              <w:t>供</w:t>
            </w:r>
            <w:r>
              <w:rPr>
                <w:rFonts w:ascii="微软雅黑" w:eastAsia="微软雅黑"/>
                <w:b/>
                <w:spacing w:val="30"/>
                <w:sz w:val="21"/>
              </w:rPr>
              <w:t>  </w:t>
            </w:r>
            <w:r>
              <w:rPr>
                <w:rFonts w:ascii="微软雅黑" w:eastAsia="微软雅黑"/>
                <w:b/>
                <w:w w:val="95"/>
                <w:sz w:val="21"/>
              </w:rPr>
              <w:t>3</w:t>
            </w:r>
            <w:r>
              <w:rPr>
                <w:rFonts w:ascii="微软雅黑" w:eastAsia="微软雅黑"/>
                <w:b/>
                <w:spacing w:val="31"/>
                <w:sz w:val="21"/>
              </w:rPr>
              <w:t>  </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以</w:t>
            </w:r>
            <w:r>
              <w:rPr>
                <w:rFonts w:ascii="微软雅黑" w:eastAsia="微软雅黑"/>
                <w:b/>
                <w:w w:val="95"/>
                <w:sz w:val="21"/>
              </w:rPr>
              <w:t>后</w:t>
            </w:r>
            <w:r>
              <w:rPr>
                <w:rFonts w:ascii="微软雅黑" w:eastAsia="微软雅黑"/>
                <w:b/>
                <w:w w:val="95"/>
                <w:sz w:val="21"/>
              </w:rPr>
              <w:t>的</w:t>
            </w:r>
            <w:r>
              <w:rPr>
                <w:rFonts w:ascii="微软雅黑" w:eastAsia="微软雅黑"/>
                <w:b/>
                <w:w w:val="95"/>
                <w:sz w:val="21"/>
              </w:rPr>
              <w:t>听</w:t>
            </w:r>
            <w:r>
              <w:rPr>
                <w:rFonts w:ascii="微软雅黑" w:eastAsia="微软雅黑"/>
                <w:b/>
                <w:w w:val="95"/>
                <w:sz w:val="21"/>
              </w:rPr>
              <w:t>力</w:t>
            </w:r>
            <w:r>
              <w:rPr>
                <w:rFonts w:ascii="微软雅黑" w:eastAsia="微软雅黑"/>
                <w:b/>
                <w:w w:val="95"/>
                <w:sz w:val="21"/>
              </w:rPr>
              <w:t>丧</w:t>
            </w:r>
            <w:r>
              <w:rPr>
                <w:rFonts w:ascii="微软雅黑" w:eastAsia="微软雅黑"/>
                <w:b/>
                <w:w w:val="95"/>
                <w:sz w:val="21"/>
              </w:rPr>
              <w:t>失</w:t>
            </w:r>
            <w:r>
              <w:rPr>
                <w:rFonts w:ascii="微软雅黑" w:eastAsia="微软雅黑"/>
                <w:b/>
                <w:spacing w:val="-5"/>
                <w:w w:val="95"/>
                <w:sz w:val="21"/>
              </w:rPr>
              <w:t>诊断</w:t>
            </w:r>
          </w:p>
          <w:p>
            <w:pPr>
              <w:pStyle w:val="TableParagraph"/>
              <w:spacing w:line="229" w:lineRule="exact"/>
              <w:ind w:left="375"/>
              <w:rPr>
                <w:rFonts w:ascii="微软雅黑" w:eastAsia="微软雅黑"/>
                <w:b/>
                <w:sz w:val="21"/>
              </w:rPr>
            </w:pPr>
            <w:r>
              <w:rPr>
                <w:rFonts w:ascii="微软雅黑" w:eastAsia="微软雅黑"/>
                <w:b/>
                <w:spacing w:val="-2"/>
                <w:sz w:val="21"/>
              </w:rPr>
              <w:t>及检查证明。</w:t>
            </w:r>
          </w:p>
        </w:tc>
      </w:tr>
    </w:tbl>
    <w:p>
      <w:pPr>
        <w:pStyle w:val="BodyText"/>
        <w:spacing w:before="11"/>
        <w:rPr>
          <w:sz w:val="13"/>
        </w:rPr>
      </w:pPr>
      <w:r>
        <w:rPr/>
        <w:drawing>
          <wp:anchor distT="0" distB="0" distL="0" distR="0" allowOverlap="1" layoutInCell="1" locked="0" behindDoc="0" simplePos="0" relativeHeight="8">
            <wp:simplePos x="0" y="0"/>
            <wp:positionH relativeFrom="page">
              <wp:posOffset>762304</wp:posOffset>
            </wp:positionH>
            <wp:positionV relativeFrom="paragraph">
              <wp:posOffset>128206</wp:posOffset>
            </wp:positionV>
            <wp:extent cx="1829130" cy="6096"/>
            <wp:effectExtent l="0" t="0" r="0" b="0"/>
            <wp:wrapTopAndBottom/>
            <wp:docPr id="33" name="image5.png"/>
            <wp:cNvGraphicFramePr>
              <a:graphicFrameLocks noChangeAspect="1"/>
            </wp:cNvGraphicFramePr>
            <a:graphic>
              <a:graphicData uri="http://schemas.openxmlformats.org/drawingml/2006/picture">
                <pic:pic>
                  <pic:nvPicPr>
                    <pic:cNvPr id="34" name="image5.png"/>
                    <pic:cNvPicPr/>
                  </pic:nvPicPr>
                  <pic:blipFill>
                    <a:blip r:embed="rId10" cstate="print"/>
                    <a:stretch>
                      <a:fillRect/>
                    </a:stretch>
                  </pic:blipFill>
                  <pic:spPr>
                    <a:xfrm>
                      <a:off x="0" y="0"/>
                      <a:ext cx="1829130" cy="6096"/>
                    </a:xfrm>
                    <a:prstGeom prst="rect">
                      <a:avLst/>
                    </a:prstGeom>
                  </pic:spPr>
                </pic:pic>
              </a:graphicData>
            </a:graphic>
          </wp:anchor>
        </w:drawing>
      </w:r>
    </w:p>
    <w:p>
      <w:pPr>
        <w:pStyle w:val="BodyText"/>
        <w:spacing w:line="204" w:lineRule="auto" w:before="74"/>
        <w:ind w:left="351" w:right="257" w:hanging="212"/>
      </w:pPr>
      <w:r>
        <w:rPr>
          <w:position w:val="11"/>
          <w:sz w:val="11"/>
        </w:rPr>
        <w:t>38</w:t>
      </w:r>
      <w:r>
        <w:rPr>
          <w:spacing w:val="31"/>
          <w:position w:val="11"/>
          <w:sz w:val="11"/>
        </w:rPr>
        <w:t> </w:t>
      </w:r>
      <w:r>
        <w:rPr>
          <w:rFonts w:ascii="微软雅黑" w:eastAsia="微软雅黑"/>
          <w:b/>
        </w:rPr>
        <w:t>永久不可逆</w:t>
      </w:r>
      <w:r>
        <w:rPr>
          <w:spacing w:val="-3"/>
        </w:rPr>
        <w:t>：指自疾病确诊或意外伤害发生之日起，经过积极治疗 </w:t>
      </w:r>
      <w:r>
        <w:rPr/>
        <w:t>180</w:t>
      </w:r>
      <w:r>
        <w:rPr>
          <w:spacing w:val="-8"/>
        </w:rPr>
        <w:t> 天后，仍无法通过现有医疗手</w:t>
      </w:r>
      <w:r>
        <w:rPr>
          <w:spacing w:val="-4"/>
        </w:rPr>
        <w:t>段恢复。</w:t>
      </w:r>
    </w:p>
    <w:p>
      <w:pPr>
        <w:spacing w:after="0" w:line="204" w:lineRule="auto"/>
        <w:sectPr>
          <w:pgSz w:w="11910" w:h="16840"/>
          <w:pgMar w:header="877" w:footer="0" w:top="1100" w:bottom="280" w:left="1060" w:right="980"/>
        </w:sectPr>
      </w:pPr>
    </w:p>
    <w:p>
      <w:pPr>
        <w:pStyle w:val="BodyText"/>
        <w:spacing w:before="1"/>
        <w:rPr>
          <w:sz w:val="22"/>
        </w:rPr>
      </w:pPr>
    </w:p>
    <w:p>
      <w:pPr>
        <w:pStyle w:val="ListParagraph"/>
        <w:numPr>
          <w:ilvl w:val="0"/>
          <w:numId w:val="33"/>
        </w:numPr>
        <w:tabs>
          <w:tab w:pos="1210" w:val="left" w:leader="none"/>
          <w:tab w:pos="1211" w:val="left" w:leader="none"/>
          <w:tab w:pos="2804" w:val="left" w:leader="none"/>
        </w:tabs>
        <w:spacing w:line="206" w:lineRule="auto" w:before="43" w:after="0"/>
        <w:ind w:left="2805" w:right="326" w:hanging="2552"/>
        <w:jc w:val="left"/>
        <w:rPr>
          <w:sz w:val="21"/>
        </w:rPr>
      </w:pPr>
      <w:r>
        <w:rPr>
          <w:rFonts w:ascii="微软雅黑" w:eastAsia="微软雅黑"/>
          <w:b/>
          <w:spacing w:val="-4"/>
          <w:sz w:val="21"/>
        </w:rPr>
        <w:t>双</w:t>
      </w:r>
      <w:r>
        <w:rPr>
          <w:rFonts w:ascii="微软雅黑" w:eastAsia="微软雅黑"/>
          <w:b/>
          <w:spacing w:val="-4"/>
          <w:sz w:val="21"/>
        </w:rPr>
        <w:t>目</w:t>
      </w:r>
      <w:r>
        <w:rPr>
          <w:rFonts w:ascii="微软雅黑" w:eastAsia="微软雅黑"/>
          <w:b/>
          <w:spacing w:val="-4"/>
          <w:sz w:val="21"/>
        </w:rPr>
        <w:t>失</w:t>
      </w:r>
      <w:r>
        <w:rPr>
          <w:rFonts w:ascii="微软雅黑" w:eastAsia="微软雅黑"/>
          <w:b/>
          <w:spacing w:val="-4"/>
          <w:sz w:val="21"/>
        </w:rPr>
        <w:t>明</w:t>
      </w:r>
      <w:r>
        <w:rPr>
          <w:rFonts w:ascii="微软雅黑" w:eastAsia="微软雅黑"/>
          <w:b/>
          <w:sz w:val="21"/>
        </w:rPr>
        <w:tab/>
      </w:r>
      <w:r>
        <w:rPr>
          <w:spacing w:val="-2"/>
          <w:sz w:val="21"/>
        </w:rPr>
        <w:t>指</w:t>
      </w:r>
      <w:r>
        <w:rPr>
          <w:spacing w:val="-2"/>
          <w:sz w:val="21"/>
        </w:rPr>
        <w:t>因</w:t>
      </w:r>
      <w:r>
        <w:rPr>
          <w:spacing w:val="-2"/>
          <w:sz w:val="21"/>
        </w:rPr>
        <w:t>疾</w:t>
      </w:r>
      <w:r>
        <w:rPr>
          <w:spacing w:val="-2"/>
          <w:sz w:val="21"/>
        </w:rPr>
        <w:t>病或意</w:t>
      </w:r>
      <w:r>
        <w:rPr>
          <w:spacing w:val="-2"/>
          <w:sz w:val="21"/>
        </w:rPr>
        <w:t>外</w:t>
      </w:r>
      <w:r>
        <w:rPr>
          <w:spacing w:val="-2"/>
          <w:sz w:val="21"/>
        </w:rPr>
        <w:t>伤</w:t>
      </w:r>
      <w:r>
        <w:rPr>
          <w:spacing w:val="-2"/>
          <w:sz w:val="21"/>
        </w:rPr>
        <w:t>害导致</w:t>
      </w:r>
      <w:r>
        <w:rPr>
          <w:spacing w:val="-2"/>
          <w:sz w:val="21"/>
        </w:rPr>
        <w:t>双</w:t>
      </w:r>
      <w:r>
        <w:rPr>
          <w:spacing w:val="-2"/>
          <w:sz w:val="21"/>
        </w:rPr>
        <w:t>眼</w:t>
      </w:r>
      <w:r>
        <w:rPr>
          <w:spacing w:val="-2"/>
          <w:sz w:val="21"/>
        </w:rPr>
        <w:t>视</w:t>
      </w:r>
      <w:r>
        <w:rPr>
          <w:spacing w:val="-2"/>
          <w:sz w:val="21"/>
        </w:rPr>
        <w:t>力永久</w:t>
      </w:r>
      <w:r>
        <w:rPr>
          <w:spacing w:val="-2"/>
          <w:sz w:val="21"/>
        </w:rPr>
        <w:t>不</w:t>
      </w:r>
      <w:r>
        <w:rPr>
          <w:spacing w:val="-2"/>
          <w:sz w:val="21"/>
        </w:rPr>
        <w:t>可</w:t>
      </w:r>
      <w:r>
        <w:rPr>
          <w:spacing w:val="-2"/>
          <w:sz w:val="21"/>
        </w:rPr>
        <w:t>逆性丧</w:t>
      </w:r>
      <w:r>
        <w:rPr>
          <w:spacing w:val="-2"/>
          <w:sz w:val="21"/>
        </w:rPr>
        <w:t>失</w:t>
      </w:r>
      <w:r>
        <w:rPr>
          <w:spacing w:val="-2"/>
          <w:sz w:val="21"/>
        </w:rPr>
        <w:t>，</w:t>
      </w:r>
      <w:r>
        <w:rPr>
          <w:spacing w:val="-2"/>
          <w:sz w:val="21"/>
        </w:rPr>
        <w:t>双</w:t>
      </w:r>
      <w:r>
        <w:rPr>
          <w:spacing w:val="-2"/>
          <w:sz w:val="21"/>
        </w:rPr>
        <w:t>眼中较</w:t>
      </w:r>
      <w:r>
        <w:rPr>
          <w:spacing w:val="-2"/>
          <w:sz w:val="21"/>
        </w:rPr>
        <w:t>好</w:t>
      </w:r>
      <w:r>
        <w:rPr>
          <w:spacing w:val="-2"/>
          <w:sz w:val="21"/>
        </w:rPr>
        <w:t>眼</w:t>
      </w:r>
      <w:r>
        <w:rPr>
          <w:spacing w:val="-2"/>
          <w:sz w:val="21"/>
        </w:rPr>
        <w:t>须满</w:t>
      </w:r>
      <w:r>
        <w:rPr>
          <w:spacing w:val="-2"/>
          <w:sz w:val="21"/>
        </w:rPr>
        <w:t>足</w:t>
      </w:r>
      <w:r>
        <w:rPr>
          <w:spacing w:val="-2"/>
          <w:sz w:val="21"/>
        </w:rPr>
        <w:t>下</w:t>
      </w:r>
      <w:r>
        <w:rPr>
          <w:spacing w:val="-2"/>
          <w:sz w:val="21"/>
        </w:rPr>
        <w:t>列至少一项条件：</w:t>
      </w:r>
    </w:p>
    <w:p>
      <w:pPr>
        <w:pStyle w:val="ListParagraph"/>
        <w:numPr>
          <w:ilvl w:val="1"/>
          <w:numId w:val="33"/>
        </w:numPr>
        <w:tabs>
          <w:tab w:pos="3334" w:val="left" w:leader="none"/>
        </w:tabs>
        <w:spacing w:line="240" w:lineRule="auto" w:before="9" w:after="0"/>
        <w:ind w:left="3334" w:right="0" w:hanging="529"/>
        <w:jc w:val="left"/>
        <w:rPr>
          <w:sz w:val="21"/>
        </w:rPr>
      </w:pPr>
      <w:r>
        <w:rPr>
          <w:spacing w:val="-4"/>
          <w:sz w:val="21"/>
        </w:rPr>
        <w:t>眼球缺失或摘除；</w:t>
      </w:r>
    </w:p>
    <w:p>
      <w:pPr>
        <w:pStyle w:val="ListParagraph"/>
        <w:numPr>
          <w:ilvl w:val="1"/>
          <w:numId w:val="33"/>
        </w:numPr>
        <w:tabs>
          <w:tab w:pos="3334" w:val="left" w:leader="none"/>
        </w:tabs>
        <w:spacing w:line="242" w:lineRule="auto" w:before="4" w:after="0"/>
        <w:ind w:left="3330" w:right="326" w:hanging="526"/>
        <w:jc w:val="left"/>
        <w:rPr>
          <w:sz w:val="21"/>
        </w:rPr>
      </w:pPr>
      <w:r>
        <w:rPr>
          <w:spacing w:val="-4"/>
          <w:sz w:val="21"/>
        </w:rPr>
        <w:t>矫正视力低于 </w:t>
      </w:r>
      <w:r>
        <w:rPr>
          <w:sz w:val="21"/>
        </w:rPr>
        <w:t>0.02（采用国际标准视力表，如果使用其他视力表应</w:t>
      </w:r>
      <w:r>
        <w:rPr>
          <w:spacing w:val="-2"/>
          <w:sz w:val="21"/>
        </w:rPr>
        <w:t>进行换算）；</w:t>
      </w:r>
    </w:p>
    <w:p>
      <w:pPr>
        <w:pStyle w:val="ListParagraph"/>
        <w:numPr>
          <w:ilvl w:val="1"/>
          <w:numId w:val="33"/>
        </w:numPr>
        <w:tabs>
          <w:tab w:pos="3334" w:val="left" w:leader="none"/>
        </w:tabs>
        <w:spacing w:line="237" w:lineRule="exact" w:before="2" w:after="0"/>
        <w:ind w:left="3334" w:right="0" w:hanging="529"/>
        <w:jc w:val="left"/>
        <w:rPr>
          <w:sz w:val="21"/>
        </w:rPr>
      </w:pPr>
      <w:r>
        <w:rPr>
          <w:spacing w:val="-10"/>
          <w:sz w:val="21"/>
        </w:rPr>
        <w:t>视野半径小于 </w:t>
      </w:r>
      <w:r>
        <w:rPr>
          <w:spacing w:val="-2"/>
          <w:sz w:val="21"/>
        </w:rPr>
        <w:t>5</w:t>
      </w:r>
      <w:r>
        <w:rPr>
          <w:spacing w:val="-21"/>
          <w:sz w:val="21"/>
        </w:rPr>
        <w:t> 度。</w:t>
      </w:r>
    </w:p>
    <w:p>
      <w:pPr>
        <w:spacing w:line="298" w:lineRule="exact" w:before="0"/>
        <w:ind w:left="2805" w:right="0" w:firstLine="0"/>
        <w:jc w:val="left"/>
        <w:rPr>
          <w:rFonts w:ascii="微软雅黑" w:eastAsia="微软雅黑"/>
          <w:b/>
          <w:sz w:val="21"/>
        </w:rPr>
      </w:pPr>
      <w:r>
        <w:rPr>
          <w:rFonts w:ascii="微软雅黑" w:eastAsia="微软雅黑"/>
          <w:b/>
          <w:w w:val="95"/>
          <w:sz w:val="21"/>
        </w:rPr>
        <w:t>先</w:t>
      </w:r>
      <w:r>
        <w:rPr>
          <w:rFonts w:ascii="微软雅黑" w:eastAsia="微软雅黑"/>
          <w:b/>
          <w:w w:val="95"/>
          <w:sz w:val="21"/>
        </w:rPr>
        <w:t>天</w:t>
      </w:r>
      <w:r>
        <w:rPr>
          <w:rFonts w:ascii="微软雅黑" w:eastAsia="微软雅黑"/>
          <w:b/>
          <w:w w:val="95"/>
          <w:sz w:val="21"/>
        </w:rPr>
        <w:t>性</w:t>
      </w:r>
      <w:r>
        <w:rPr>
          <w:rFonts w:ascii="微软雅黑" w:eastAsia="微软雅黑"/>
          <w:b/>
          <w:w w:val="95"/>
          <w:sz w:val="21"/>
        </w:rPr>
        <w:t>疾</w:t>
      </w:r>
      <w:r>
        <w:rPr>
          <w:rFonts w:ascii="微软雅黑" w:eastAsia="微软雅黑"/>
          <w:b/>
          <w:w w:val="95"/>
          <w:sz w:val="21"/>
        </w:rPr>
        <w:t>病</w:t>
      </w:r>
      <w:r>
        <w:rPr>
          <w:rFonts w:ascii="微软雅黑" w:eastAsia="微软雅黑"/>
          <w:b/>
          <w:w w:val="95"/>
          <w:sz w:val="21"/>
        </w:rPr>
        <w:t>所</w:t>
      </w:r>
      <w:r>
        <w:rPr>
          <w:rFonts w:ascii="微软雅黑" w:eastAsia="微软雅黑"/>
          <w:b/>
          <w:w w:val="95"/>
          <w:sz w:val="21"/>
        </w:rPr>
        <w:t>致</w:t>
      </w:r>
      <w:r>
        <w:rPr>
          <w:rFonts w:ascii="微软雅黑" w:eastAsia="微软雅黑"/>
          <w:b/>
          <w:w w:val="95"/>
          <w:sz w:val="21"/>
        </w:rPr>
        <w:t>的</w:t>
      </w:r>
      <w:r>
        <w:rPr>
          <w:rFonts w:ascii="微软雅黑" w:eastAsia="微软雅黑"/>
          <w:b/>
          <w:w w:val="95"/>
          <w:sz w:val="21"/>
        </w:rPr>
        <w:t>双目失</w:t>
      </w:r>
      <w:r>
        <w:rPr>
          <w:rFonts w:ascii="微软雅黑" w:eastAsia="微软雅黑"/>
          <w:b/>
          <w:w w:val="95"/>
          <w:sz w:val="21"/>
        </w:rPr>
        <w:t>明</w:t>
      </w:r>
      <w:r>
        <w:rPr>
          <w:rFonts w:ascii="微软雅黑" w:eastAsia="微软雅黑"/>
          <w:b/>
          <w:w w:val="95"/>
          <w:sz w:val="21"/>
        </w:rPr>
        <w:t>及</w:t>
      </w:r>
      <w:r>
        <w:rPr>
          <w:rFonts w:ascii="微软雅黑" w:eastAsia="微软雅黑"/>
          <w:b/>
          <w:w w:val="95"/>
          <w:sz w:val="21"/>
        </w:rPr>
        <w:t>被</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人</w:t>
      </w:r>
      <w:r>
        <w:rPr>
          <w:rFonts w:ascii="微软雅黑" w:eastAsia="微软雅黑"/>
          <w:b/>
          <w:w w:val="95"/>
          <w:sz w:val="21"/>
        </w:rPr>
        <w:t>在</w:t>
      </w:r>
      <w:r>
        <w:rPr>
          <w:rFonts w:ascii="微软雅黑" w:eastAsia="微软雅黑"/>
          <w:b/>
          <w:spacing w:val="49"/>
          <w:sz w:val="21"/>
        </w:rPr>
        <w:t> </w:t>
      </w:r>
      <w:r>
        <w:rPr>
          <w:rFonts w:ascii="微软雅黑" w:eastAsia="微软雅黑"/>
          <w:b/>
          <w:w w:val="95"/>
          <w:sz w:val="21"/>
        </w:rPr>
        <w:t>0</w:t>
      </w:r>
      <w:r>
        <w:rPr>
          <w:rFonts w:ascii="微软雅黑" w:eastAsia="微软雅黑"/>
          <w:b/>
          <w:spacing w:val="50"/>
          <w:sz w:val="21"/>
        </w:rPr>
        <w:t> </w:t>
      </w:r>
      <w:r>
        <w:rPr>
          <w:rFonts w:ascii="微软雅黑" w:eastAsia="微软雅黑"/>
          <w:b/>
          <w:w w:val="95"/>
          <w:sz w:val="21"/>
        </w:rPr>
        <w:t>至</w:t>
      </w:r>
      <w:r>
        <w:rPr>
          <w:rFonts w:ascii="微软雅黑" w:eastAsia="微软雅黑"/>
          <w:b/>
          <w:spacing w:val="50"/>
          <w:sz w:val="21"/>
        </w:rPr>
        <w:t> </w:t>
      </w:r>
      <w:r>
        <w:rPr>
          <w:rFonts w:ascii="微软雅黑" w:eastAsia="微软雅黑"/>
          <w:b/>
          <w:w w:val="95"/>
          <w:sz w:val="21"/>
        </w:rPr>
        <w:t>3</w:t>
      </w:r>
      <w:r>
        <w:rPr>
          <w:rFonts w:ascii="微软雅黑" w:eastAsia="微软雅黑"/>
          <w:b/>
          <w:spacing w:val="50"/>
          <w:sz w:val="21"/>
        </w:rPr>
        <w:t> </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期</w:t>
      </w:r>
      <w:r>
        <w:rPr>
          <w:rFonts w:ascii="微软雅黑" w:eastAsia="微软雅黑"/>
          <w:b/>
          <w:w w:val="95"/>
          <w:sz w:val="21"/>
        </w:rPr>
        <w:t>间</w:t>
      </w:r>
      <w:r>
        <w:rPr>
          <w:rFonts w:ascii="微软雅黑" w:eastAsia="微软雅黑"/>
          <w:b/>
          <w:w w:val="95"/>
          <w:sz w:val="21"/>
        </w:rPr>
        <w:t>因</w:t>
      </w:r>
      <w:r>
        <w:rPr>
          <w:rFonts w:ascii="微软雅黑" w:eastAsia="微软雅黑"/>
          <w:b/>
          <w:w w:val="95"/>
          <w:sz w:val="21"/>
        </w:rPr>
        <w:t>疾</w:t>
      </w:r>
      <w:r>
        <w:rPr>
          <w:rFonts w:ascii="微软雅黑" w:eastAsia="微软雅黑"/>
          <w:b/>
          <w:w w:val="95"/>
          <w:sz w:val="21"/>
        </w:rPr>
        <w:t>病</w:t>
      </w:r>
      <w:r>
        <w:rPr>
          <w:rFonts w:ascii="微软雅黑" w:eastAsia="微软雅黑"/>
          <w:b/>
          <w:w w:val="95"/>
          <w:sz w:val="21"/>
        </w:rPr>
        <w:t>所</w:t>
      </w:r>
      <w:r>
        <w:rPr>
          <w:rFonts w:ascii="微软雅黑" w:eastAsia="微软雅黑"/>
          <w:b/>
          <w:w w:val="95"/>
          <w:sz w:val="21"/>
        </w:rPr>
        <w:t>致</w:t>
      </w:r>
      <w:r>
        <w:rPr>
          <w:rFonts w:ascii="微软雅黑" w:eastAsia="微软雅黑"/>
          <w:b/>
          <w:spacing w:val="-5"/>
          <w:w w:val="95"/>
          <w:sz w:val="21"/>
        </w:rPr>
        <w:t>的双</w:t>
      </w:r>
    </w:p>
    <w:p>
      <w:pPr>
        <w:spacing w:line="168" w:lineRule="auto" w:before="26"/>
        <w:ind w:left="2805" w:right="326" w:firstLine="0"/>
        <w:jc w:val="left"/>
        <w:rPr>
          <w:rFonts w:ascii="微软雅黑" w:eastAsia="微软雅黑"/>
          <w:b/>
          <w:sz w:val="21"/>
        </w:rPr>
      </w:pPr>
      <w:r>
        <w:rPr>
          <w:rFonts w:ascii="微软雅黑" w:eastAsia="微软雅黑"/>
          <w:b/>
          <w:spacing w:val="-2"/>
          <w:sz w:val="21"/>
        </w:rPr>
        <w:t>目失明不在保障范围内，且申请理赔时需提供 3 周岁以后的视力丧失诊断</w:t>
      </w:r>
      <w:r>
        <w:rPr>
          <w:rFonts w:ascii="微软雅黑" w:eastAsia="微软雅黑"/>
          <w:b/>
          <w:spacing w:val="-2"/>
          <w:sz w:val="21"/>
        </w:rPr>
        <w:t>及检查证明。</w:t>
      </w:r>
    </w:p>
    <w:p>
      <w:pPr>
        <w:pStyle w:val="BodyText"/>
        <w:spacing w:before="7"/>
        <w:rPr>
          <w:rFonts w:ascii="微软雅黑"/>
          <w:b/>
          <w:sz w:val="11"/>
        </w:rPr>
      </w:pPr>
    </w:p>
    <w:p>
      <w:pPr>
        <w:pStyle w:val="ListParagraph"/>
        <w:numPr>
          <w:ilvl w:val="0"/>
          <w:numId w:val="33"/>
        </w:numPr>
        <w:tabs>
          <w:tab w:pos="1210" w:val="left" w:leader="none"/>
          <w:tab w:pos="1211" w:val="left" w:leader="none"/>
          <w:tab w:pos="2804" w:val="left" w:leader="none"/>
        </w:tabs>
        <w:spacing w:line="223" w:lineRule="auto" w:before="1" w:after="0"/>
        <w:ind w:left="2805" w:right="323" w:hanging="2552"/>
        <w:jc w:val="both"/>
        <w:rPr>
          <w:sz w:val="21"/>
        </w:rPr>
      </w:pPr>
      <w:r>
        <w:rPr>
          <w:rFonts w:ascii="微软雅黑" w:eastAsia="微软雅黑"/>
          <w:b/>
          <w:w w:val="100"/>
          <w:sz w:val="21"/>
        </w:rPr>
        <w:t>瘫痪</w:t>
      </w:r>
      <w:r>
        <w:rPr>
          <w:rFonts w:ascii="微软雅黑" w:eastAsia="微软雅黑"/>
          <w:b/>
          <w:sz w:val="21"/>
        </w:rPr>
        <w:tab/>
      </w:r>
      <w:r>
        <w:rPr>
          <w:spacing w:val="6"/>
          <w:w w:val="100"/>
          <w:sz w:val="21"/>
        </w:rPr>
        <w:t>指因</w:t>
      </w:r>
      <w:r>
        <w:rPr>
          <w:spacing w:val="4"/>
          <w:w w:val="100"/>
          <w:sz w:val="21"/>
        </w:rPr>
        <w:t>疾</w:t>
      </w:r>
      <w:r>
        <w:rPr>
          <w:spacing w:val="6"/>
          <w:w w:val="100"/>
          <w:sz w:val="21"/>
        </w:rPr>
        <w:t>病</w:t>
      </w:r>
      <w:r>
        <w:rPr>
          <w:spacing w:val="4"/>
          <w:w w:val="100"/>
          <w:sz w:val="21"/>
        </w:rPr>
        <w:t>或</w:t>
      </w:r>
      <w:r>
        <w:rPr>
          <w:spacing w:val="6"/>
          <w:w w:val="100"/>
          <w:sz w:val="21"/>
        </w:rPr>
        <w:t>意外</w:t>
      </w:r>
      <w:r>
        <w:rPr>
          <w:spacing w:val="4"/>
          <w:w w:val="100"/>
          <w:sz w:val="21"/>
        </w:rPr>
        <w:t>伤</w:t>
      </w:r>
      <w:r>
        <w:rPr>
          <w:spacing w:val="6"/>
          <w:w w:val="100"/>
          <w:sz w:val="21"/>
        </w:rPr>
        <w:t>害</w:t>
      </w:r>
      <w:r>
        <w:rPr>
          <w:spacing w:val="4"/>
          <w:w w:val="100"/>
          <w:sz w:val="21"/>
        </w:rPr>
        <w:t>导致</w:t>
      </w:r>
      <w:r>
        <w:rPr>
          <w:spacing w:val="6"/>
          <w:w w:val="100"/>
          <w:sz w:val="21"/>
        </w:rPr>
        <w:t>两肢</w:t>
      </w:r>
      <w:r>
        <w:rPr>
          <w:spacing w:val="4"/>
          <w:w w:val="100"/>
          <w:sz w:val="21"/>
        </w:rPr>
        <w:t>或</w:t>
      </w:r>
      <w:r>
        <w:rPr>
          <w:spacing w:val="6"/>
          <w:w w:val="100"/>
          <w:sz w:val="21"/>
        </w:rPr>
        <w:t>两</w:t>
      </w:r>
      <w:r>
        <w:rPr>
          <w:spacing w:val="4"/>
          <w:w w:val="100"/>
          <w:sz w:val="21"/>
        </w:rPr>
        <w:t>肢</w:t>
      </w:r>
      <w:r>
        <w:rPr>
          <w:spacing w:val="6"/>
          <w:w w:val="100"/>
          <w:sz w:val="21"/>
        </w:rPr>
        <w:t>以上</w:t>
      </w:r>
      <w:r>
        <w:rPr>
          <w:spacing w:val="4"/>
          <w:w w:val="100"/>
          <w:sz w:val="21"/>
        </w:rPr>
        <w:t>肢</w:t>
      </w:r>
      <w:r>
        <w:rPr>
          <w:spacing w:val="6"/>
          <w:w w:val="100"/>
          <w:sz w:val="21"/>
        </w:rPr>
        <w:t>体</w:t>
      </w:r>
      <w:r>
        <w:rPr>
          <w:spacing w:val="4"/>
          <w:w w:val="100"/>
          <w:sz w:val="21"/>
        </w:rPr>
        <w:t>随意</w:t>
      </w:r>
      <w:r>
        <w:rPr>
          <w:spacing w:val="6"/>
          <w:w w:val="100"/>
          <w:sz w:val="21"/>
        </w:rPr>
        <w:t>运动</w:t>
      </w:r>
      <w:r>
        <w:rPr>
          <w:spacing w:val="4"/>
          <w:w w:val="100"/>
          <w:sz w:val="21"/>
        </w:rPr>
        <w:t>功</w:t>
      </w:r>
      <w:r>
        <w:rPr>
          <w:spacing w:val="6"/>
          <w:w w:val="100"/>
          <w:sz w:val="21"/>
        </w:rPr>
        <w:t>能</w:t>
      </w:r>
      <w:r>
        <w:rPr>
          <w:spacing w:val="4"/>
          <w:w w:val="100"/>
          <w:sz w:val="21"/>
        </w:rPr>
        <w:t>永</w:t>
      </w:r>
      <w:r>
        <w:rPr>
          <w:spacing w:val="6"/>
          <w:w w:val="100"/>
          <w:sz w:val="21"/>
        </w:rPr>
        <w:t>久</w:t>
      </w:r>
      <w:r>
        <w:rPr>
          <w:spacing w:val="4"/>
          <w:w w:val="100"/>
          <w:sz w:val="21"/>
        </w:rPr>
        <w:t>完</w:t>
      </w:r>
      <w:r>
        <w:rPr>
          <w:spacing w:val="6"/>
          <w:w w:val="100"/>
          <w:sz w:val="21"/>
        </w:rPr>
        <w:t>全</w:t>
      </w:r>
      <w:r>
        <w:rPr>
          <w:w w:val="100"/>
          <w:sz w:val="21"/>
        </w:rPr>
        <w:t>丧失。</w:t>
      </w:r>
      <w:r>
        <w:rPr>
          <w:spacing w:val="-3"/>
          <w:w w:val="100"/>
          <w:sz w:val="21"/>
        </w:rPr>
        <w:t>肢</w:t>
      </w:r>
      <w:r>
        <w:rPr>
          <w:w w:val="100"/>
          <w:sz w:val="21"/>
        </w:rPr>
        <w:t>体</w:t>
      </w:r>
      <w:r>
        <w:rPr>
          <w:spacing w:val="-3"/>
          <w:w w:val="100"/>
          <w:sz w:val="21"/>
        </w:rPr>
        <w:t>随</w:t>
      </w:r>
      <w:r>
        <w:rPr>
          <w:w w:val="100"/>
          <w:sz w:val="21"/>
        </w:rPr>
        <w:t>意</w:t>
      </w:r>
      <w:r>
        <w:rPr>
          <w:spacing w:val="-3"/>
          <w:w w:val="100"/>
          <w:sz w:val="21"/>
        </w:rPr>
        <w:t>运</w:t>
      </w:r>
      <w:r>
        <w:rPr>
          <w:w w:val="100"/>
          <w:sz w:val="21"/>
        </w:rPr>
        <w:t>动</w:t>
      </w:r>
      <w:r>
        <w:rPr>
          <w:spacing w:val="-3"/>
          <w:w w:val="100"/>
          <w:sz w:val="21"/>
        </w:rPr>
        <w:t>功</w:t>
      </w:r>
      <w:r>
        <w:rPr>
          <w:w w:val="100"/>
          <w:sz w:val="21"/>
        </w:rPr>
        <w:t>能</w:t>
      </w:r>
      <w:r>
        <w:rPr>
          <w:spacing w:val="-3"/>
          <w:w w:val="100"/>
          <w:sz w:val="21"/>
        </w:rPr>
        <w:t>永</w:t>
      </w:r>
      <w:r>
        <w:rPr>
          <w:w w:val="100"/>
          <w:sz w:val="21"/>
        </w:rPr>
        <w:t>久完</w:t>
      </w:r>
      <w:r>
        <w:rPr>
          <w:spacing w:val="-3"/>
          <w:w w:val="100"/>
          <w:sz w:val="21"/>
        </w:rPr>
        <w:t>全</w:t>
      </w:r>
      <w:r>
        <w:rPr>
          <w:w w:val="100"/>
          <w:sz w:val="21"/>
        </w:rPr>
        <w:t>丧</w:t>
      </w:r>
      <w:r>
        <w:rPr>
          <w:spacing w:val="-3"/>
          <w:w w:val="100"/>
          <w:sz w:val="21"/>
        </w:rPr>
        <w:t>失</w:t>
      </w:r>
      <w:r>
        <w:rPr>
          <w:w w:val="100"/>
          <w:sz w:val="21"/>
        </w:rPr>
        <w:t>，</w:t>
      </w:r>
      <w:r>
        <w:rPr>
          <w:spacing w:val="-3"/>
          <w:w w:val="100"/>
          <w:sz w:val="21"/>
        </w:rPr>
        <w:t>指</w:t>
      </w:r>
      <w:r>
        <w:rPr>
          <w:w w:val="100"/>
          <w:sz w:val="21"/>
        </w:rPr>
        <w:t>疾</w:t>
      </w:r>
      <w:r>
        <w:rPr>
          <w:spacing w:val="-3"/>
          <w:w w:val="100"/>
          <w:sz w:val="21"/>
        </w:rPr>
        <w:t>病</w:t>
      </w:r>
      <w:r>
        <w:rPr>
          <w:w w:val="100"/>
          <w:sz w:val="21"/>
        </w:rPr>
        <w:t>确诊</w:t>
      </w:r>
      <w:r>
        <w:rPr>
          <w:spacing w:val="-50"/>
          <w:sz w:val="21"/>
        </w:rPr>
        <w:t> </w:t>
      </w:r>
      <w:r>
        <w:rPr>
          <w:w w:val="100"/>
          <w:sz w:val="21"/>
        </w:rPr>
        <w:t>180</w:t>
      </w:r>
      <w:r>
        <w:rPr>
          <w:spacing w:val="-48"/>
          <w:sz w:val="21"/>
        </w:rPr>
        <w:t> </w:t>
      </w:r>
      <w:r>
        <w:rPr>
          <w:spacing w:val="-3"/>
          <w:w w:val="100"/>
          <w:sz w:val="21"/>
        </w:rPr>
        <w:t>天</w:t>
      </w:r>
      <w:r>
        <w:rPr>
          <w:w w:val="100"/>
          <w:sz w:val="21"/>
        </w:rPr>
        <w:t>后</w:t>
      </w:r>
      <w:r>
        <w:rPr>
          <w:spacing w:val="-3"/>
          <w:w w:val="100"/>
          <w:sz w:val="21"/>
        </w:rPr>
        <w:t>或</w:t>
      </w:r>
      <w:r>
        <w:rPr>
          <w:w w:val="100"/>
          <w:sz w:val="21"/>
        </w:rPr>
        <w:t>意</w:t>
      </w:r>
      <w:r>
        <w:rPr>
          <w:spacing w:val="-3"/>
          <w:w w:val="100"/>
          <w:sz w:val="21"/>
        </w:rPr>
        <w:t>外</w:t>
      </w:r>
      <w:r>
        <w:rPr>
          <w:w w:val="100"/>
          <w:sz w:val="21"/>
        </w:rPr>
        <w:t>伤</w:t>
      </w:r>
      <w:r>
        <w:rPr>
          <w:spacing w:val="-3"/>
          <w:w w:val="100"/>
          <w:sz w:val="21"/>
        </w:rPr>
        <w:t>害</w:t>
      </w:r>
      <w:r>
        <w:rPr>
          <w:w w:val="100"/>
          <w:sz w:val="21"/>
        </w:rPr>
        <w:t>发生</w:t>
      </w:r>
      <w:r>
        <w:rPr>
          <w:spacing w:val="-31"/>
          <w:sz w:val="21"/>
        </w:rPr>
        <w:t> </w:t>
      </w:r>
      <w:r>
        <w:rPr>
          <w:w w:val="100"/>
          <w:sz w:val="21"/>
        </w:rPr>
        <w:t>1</w:t>
      </w:r>
      <w:r>
        <w:rPr>
          <w:spacing w:val="-3"/>
          <w:w w:val="100"/>
          <w:sz w:val="21"/>
        </w:rPr>
        <w:t>8</w:t>
      </w:r>
      <w:r>
        <w:rPr>
          <w:w w:val="100"/>
          <w:sz w:val="21"/>
        </w:rPr>
        <w:t>0</w:t>
      </w:r>
      <w:r>
        <w:rPr>
          <w:spacing w:val="-34"/>
          <w:sz w:val="21"/>
        </w:rPr>
        <w:t> </w:t>
      </w:r>
      <w:r>
        <w:rPr>
          <w:w w:val="100"/>
          <w:sz w:val="21"/>
        </w:rPr>
        <w:t>天</w:t>
      </w:r>
      <w:r>
        <w:rPr>
          <w:spacing w:val="-3"/>
          <w:w w:val="100"/>
          <w:sz w:val="21"/>
        </w:rPr>
        <w:t>后</w:t>
      </w:r>
      <w:r>
        <w:rPr>
          <w:w w:val="100"/>
          <w:sz w:val="21"/>
        </w:rPr>
        <w:t>，</w:t>
      </w:r>
      <w:r>
        <w:rPr>
          <w:spacing w:val="-3"/>
          <w:w w:val="100"/>
          <w:sz w:val="21"/>
        </w:rPr>
        <w:t>每</w:t>
      </w:r>
      <w:r>
        <w:rPr>
          <w:w w:val="100"/>
          <w:sz w:val="21"/>
        </w:rPr>
        <w:t>肢</w:t>
      </w:r>
      <w:r>
        <w:rPr>
          <w:spacing w:val="-3"/>
          <w:w w:val="100"/>
          <w:sz w:val="21"/>
        </w:rPr>
        <w:t>三</w:t>
      </w:r>
      <w:r>
        <w:rPr>
          <w:w w:val="100"/>
          <w:sz w:val="21"/>
        </w:rPr>
        <w:t>大</w:t>
      </w:r>
      <w:r>
        <w:rPr>
          <w:spacing w:val="-3"/>
          <w:w w:val="100"/>
          <w:sz w:val="21"/>
        </w:rPr>
        <w:t>关</w:t>
      </w:r>
      <w:r>
        <w:rPr>
          <w:w w:val="100"/>
          <w:sz w:val="21"/>
        </w:rPr>
        <w:t>节中</w:t>
      </w:r>
      <w:r>
        <w:rPr>
          <w:spacing w:val="-3"/>
          <w:w w:val="100"/>
          <w:sz w:val="21"/>
        </w:rPr>
        <w:t>的</w:t>
      </w:r>
      <w:r>
        <w:rPr>
          <w:w w:val="100"/>
          <w:sz w:val="21"/>
        </w:rPr>
        <w:t>两</w:t>
      </w:r>
      <w:r>
        <w:rPr>
          <w:spacing w:val="-3"/>
          <w:w w:val="100"/>
          <w:sz w:val="21"/>
        </w:rPr>
        <w:t>大</w:t>
      </w:r>
      <w:r>
        <w:rPr>
          <w:w w:val="100"/>
          <w:sz w:val="21"/>
        </w:rPr>
        <w:t>关</w:t>
      </w:r>
      <w:r>
        <w:rPr>
          <w:spacing w:val="-3"/>
          <w:w w:val="100"/>
          <w:sz w:val="21"/>
        </w:rPr>
        <w:t>节</w:t>
      </w:r>
      <w:r>
        <w:rPr>
          <w:w w:val="100"/>
          <w:sz w:val="21"/>
        </w:rPr>
        <w:t>仍</w:t>
      </w:r>
      <w:r>
        <w:rPr>
          <w:spacing w:val="-3"/>
          <w:w w:val="100"/>
          <w:sz w:val="21"/>
        </w:rPr>
        <w:t>然</w:t>
      </w:r>
      <w:r>
        <w:rPr>
          <w:w w:val="100"/>
          <w:sz w:val="21"/>
        </w:rPr>
        <w:t>完</w:t>
      </w:r>
      <w:r>
        <w:rPr>
          <w:spacing w:val="-3"/>
          <w:w w:val="100"/>
          <w:sz w:val="21"/>
        </w:rPr>
        <w:t>全</w:t>
      </w:r>
      <w:r>
        <w:rPr>
          <w:w w:val="100"/>
          <w:sz w:val="21"/>
        </w:rPr>
        <w:t>僵硬</w:t>
      </w:r>
      <w:r>
        <w:rPr>
          <w:spacing w:val="-3"/>
          <w:w w:val="100"/>
          <w:sz w:val="21"/>
        </w:rPr>
        <w:t>，</w:t>
      </w:r>
      <w:r>
        <w:rPr>
          <w:w w:val="100"/>
          <w:sz w:val="21"/>
        </w:rPr>
        <w:t>或</w:t>
      </w:r>
      <w:r>
        <w:rPr>
          <w:spacing w:val="-3"/>
          <w:w w:val="100"/>
          <w:sz w:val="21"/>
        </w:rPr>
        <w:t>肢</w:t>
      </w:r>
      <w:r>
        <w:rPr>
          <w:w w:val="100"/>
          <w:sz w:val="21"/>
        </w:rPr>
        <w:t>体</w:t>
      </w:r>
      <w:r>
        <w:rPr>
          <w:spacing w:val="-3"/>
          <w:w w:val="100"/>
          <w:sz w:val="21"/>
        </w:rPr>
        <w:t>肌力</w:t>
      </w:r>
      <w:r>
        <w:rPr>
          <w:w w:val="100"/>
          <w:sz w:val="21"/>
        </w:rPr>
        <w:t>在</w:t>
      </w:r>
      <w:r>
        <w:rPr>
          <w:spacing w:val="-31"/>
          <w:sz w:val="21"/>
        </w:rPr>
        <w:t> </w:t>
      </w:r>
      <w:r>
        <w:rPr>
          <w:w w:val="100"/>
          <w:sz w:val="21"/>
        </w:rPr>
        <w:t>2</w:t>
      </w:r>
    </w:p>
    <w:p>
      <w:pPr>
        <w:pStyle w:val="BodyText"/>
        <w:spacing w:before="6"/>
        <w:ind w:left="2805"/>
      </w:pPr>
      <w:r>
        <w:rPr>
          <w:spacing w:val="-2"/>
        </w:rPr>
        <w:t>级（含）</w:t>
      </w:r>
      <w:r>
        <w:rPr>
          <w:spacing w:val="-6"/>
        </w:rPr>
        <w:t>以下。</w:t>
      </w:r>
    </w:p>
    <w:p>
      <w:pPr>
        <w:pStyle w:val="BodyText"/>
        <w:spacing w:before="6"/>
        <w:rPr>
          <w:sz w:val="19"/>
        </w:rPr>
      </w:pPr>
    </w:p>
    <w:p>
      <w:pPr>
        <w:pStyle w:val="ListParagraph"/>
        <w:numPr>
          <w:ilvl w:val="0"/>
          <w:numId w:val="33"/>
        </w:numPr>
        <w:tabs>
          <w:tab w:pos="1210" w:val="left" w:leader="none"/>
          <w:tab w:pos="1211" w:val="left" w:leader="none"/>
        </w:tabs>
        <w:spacing w:line="204" w:lineRule="auto" w:before="1" w:after="0"/>
        <w:ind w:left="2805" w:right="326" w:hanging="2552"/>
        <w:jc w:val="both"/>
        <w:rPr>
          <w:sz w:val="21"/>
        </w:rPr>
      </w:pPr>
      <w:r>
        <w:rPr>
          <w:rFonts w:ascii="微软雅黑" w:eastAsia="微软雅黑"/>
          <w:b/>
          <w:spacing w:val="35"/>
          <w:sz w:val="21"/>
        </w:rPr>
        <w:t>心脏瓣膜手术 </w:t>
      </w:r>
      <w:r>
        <w:rPr>
          <w:sz w:val="21"/>
        </w:rPr>
        <w:t>指为治疗心脏瓣膜疾病，已经实施了切开心脏进行的心脏瓣膜置换或修复</w:t>
      </w:r>
      <w:r>
        <w:rPr>
          <w:spacing w:val="-4"/>
          <w:sz w:val="21"/>
        </w:rPr>
        <w:t>的手术。</w:t>
      </w:r>
    </w:p>
    <w:p>
      <w:pPr>
        <w:spacing w:line="333" w:lineRule="exact" w:before="0"/>
        <w:ind w:left="2805" w:right="0" w:firstLine="0"/>
        <w:jc w:val="left"/>
        <w:rPr>
          <w:rFonts w:ascii="微软雅黑" w:eastAsia="微软雅黑"/>
          <w:b/>
          <w:sz w:val="21"/>
        </w:rPr>
      </w:pPr>
      <w:r>
        <w:rPr>
          <w:rFonts w:ascii="微软雅黑" w:eastAsia="微软雅黑"/>
          <w:b/>
          <w:spacing w:val="-3"/>
          <w:sz w:val="21"/>
        </w:rPr>
        <w:t>所有未切开心脏的心脏瓣膜介入手术不在保障范围内。</w:t>
      </w:r>
    </w:p>
    <w:p>
      <w:pPr>
        <w:pStyle w:val="BodyText"/>
        <w:spacing w:before="5"/>
        <w:rPr>
          <w:rFonts w:ascii="微软雅黑"/>
          <w:b/>
          <w:sz w:val="8"/>
        </w:rPr>
      </w:pPr>
    </w:p>
    <w:p>
      <w:pPr>
        <w:spacing w:after="0"/>
        <w:rPr>
          <w:rFonts w:ascii="微软雅黑"/>
          <w:sz w:val="8"/>
        </w:rPr>
        <w:sectPr>
          <w:pgSz w:w="11910" w:h="16840"/>
          <w:pgMar w:header="877" w:footer="0" w:top="1100" w:bottom="280" w:left="1060" w:right="980"/>
        </w:sectPr>
      </w:pPr>
    </w:p>
    <w:p>
      <w:pPr>
        <w:pStyle w:val="ListParagraph"/>
        <w:numPr>
          <w:ilvl w:val="0"/>
          <w:numId w:val="33"/>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5"/>
          <w:sz w:val="21"/>
        </w:rPr>
        <w:t>严重阿尔茨海</w:t>
      </w:r>
      <w:r>
        <w:rPr>
          <w:rFonts w:ascii="微软雅黑" w:eastAsia="微软雅黑"/>
          <w:b/>
          <w:spacing w:val="-6"/>
          <w:sz w:val="21"/>
        </w:rPr>
        <w:t>默病</w:t>
      </w:r>
    </w:p>
    <w:p>
      <w:pPr>
        <w:pStyle w:val="BodyText"/>
        <w:spacing w:line="242" w:lineRule="auto" w:before="72"/>
        <w:ind w:left="177" w:right="324"/>
        <w:jc w:val="both"/>
      </w:pPr>
      <w:r>
        <w:rPr/>
        <w:br w:type="column"/>
      </w:r>
      <w:r>
        <w:rPr>
          <w:spacing w:val="-2"/>
        </w:rPr>
        <w:t>指因大脑进行性、不可逆性改变导致智能严重衰退或丧失，临床表现为严</w:t>
      </w:r>
      <w:r>
        <w:rPr>
          <w:spacing w:val="-2"/>
        </w:rPr>
        <w:t>重的认知功能障碍、精神行为异常和社交能力减退等，其日常生活必须持</w:t>
      </w:r>
      <w:r>
        <w:rPr>
          <w:spacing w:val="-4"/>
        </w:rPr>
        <w:t>续受到他人监护。须由头颅断层扫描（CT）、核磁共振检查（MRI）或正电</w:t>
      </w:r>
      <w:r>
        <w:rPr>
          <w:spacing w:val="-4"/>
        </w:rPr>
        <w:t>子发射断层扫描（PET）等影像学检查证实，并经我们认可医院的相关专科</w:t>
      </w:r>
      <w:r>
        <w:rPr>
          <w:spacing w:val="-2"/>
        </w:rPr>
        <w:t>医生确诊，且须满足下列至少一项条件：</w:t>
      </w:r>
    </w:p>
    <w:p>
      <w:pPr>
        <w:pStyle w:val="ListParagraph"/>
        <w:numPr>
          <w:ilvl w:val="0"/>
          <w:numId w:val="34"/>
        </w:numPr>
        <w:tabs>
          <w:tab w:pos="707" w:val="left" w:leader="none"/>
        </w:tabs>
        <w:spacing w:line="242" w:lineRule="auto" w:before="2" w:after="0"/>
        <w:ind w:left="703" w:right="326" w:hanging="526"/>
        <w:jc w:val="left"/>
        <w:rPr>
          <w:sz w:val="21"/>
        </w:rPr>
      </w:pPr>
      <w:r>
        <w:rPr>
          <w:spacing w:val="-2"/>
          <w:sz w:val="21"/>
        </w:rPr>
        <w:t>由具有评估资格的专科医生根据临床痴呆评定量表（CDR，Clinical </w:t>
      </w:r>
      <w:r>
        <w:rPr>
          <w:sz w:val="21"/>
        </w:rPr>
        <w:t>Dementia Rating）</w:t>
      </w:r>
      <w:r>
        <w:rPr>
          <w:spacing w:val="-3"/>
          <w:sz w:val="21"/>
        </w:rPr>
        <w:t>评估结果为 </w:t>
      </w:r>
      <w:r>
        <w:rPr>
          <w:sz w:val="21"/>
        </w:rPr>
        <w:t>3</w:t>
      </w:r>
      <w:r>
        <w:rPr>
          <w:spacing w:val="-6"/>
          <w:sz w:val="21"/>
        </w:rPr>
        <w:t> 分；</w:t>
      </w:r>
    </w:p>
    <w:p>
      <w:pPr>
        <w:pStyle w:val="ListParagraph"/>
        <w:numPr>
          <w:ilvl w:val="0"/>
          <w:numId w:val="34"/>
        </w:numPr>
        <w:tabs>
          <w:tab w:pos="707" w:val="left" w:leader="none"/>
        </w:tabs>
        <w:spacing w:line="242" w:lineRule="auto" w:before="2" w:after="0"/>
        <w:ind w:left="703" w:right="324" w:hanging="526"/>
        <w:jc w:val="left"/>
        <w:rPr>
          <w:sz w:val="21"/>
        </w:rPr>
      </w:pPr>
      <w:r>
        <w:rPr>
          <w:spacing w:val="-2"/>
          <w:sz w:val="21"/>
        </w:rPr>
        <w:t>自主生活能力完全丧失，无法独立完成六项基本日常生活活动中的三项或三项以上。</w:t>
      </w:r>
    </w:p>
    <w:p>
      <w:pPr>
        <w:spacing w:line="321" w:lineRule="exact" w:before="0"/>
        <w:ind w:left="177" w:right="0" w:firstLine="0"/>
        <w:jc w:val="left"/>
        <w:rPr>
          <w:rFonts w:ascii="微软雅黑" w:eastAsia="微软雅黑"/>
          <w:b/>
          <w:sz w:val="21"/>
        </w:rPr>
      </w:pPr>
      <w:r>
        <w:rPr>
          <w:rFonts w:ascii="微软雅黑" w:eastAsia="微软雅黑"/>
          <w:b/>
          <w:spacing w:val="-3"/>
          <w:sz w:val="21"/>
        </w:rPr>
        <w:t>阿尔茨海默病之外的其他类型痴呆不在保障范围内。</w:t>
      </w:r>
    </w:p>
    <w:p>
      <w:pPr>
        <w:spacing w:after="0" w:line="321" w:lineRule="exact"/>
        <w:jc w:val="left"/>
        <w:rPr>
          <w:rFonts w:asci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5"/>
        <w:rPr>
          <w:rFonts w:ascii="微软雅黑"/>
          <w:b/>
          <w:sz w:val="8"/>
        </w:rPr>
      </w:pPr>
    </w:p>
    <w:p>
      <w:pPr>
        <w:pStyle w:val="ListParagraph"/>
        <w:numPr>
          <w:ilvl w:val="0"/>
          <w:numId w:val="33"/>
        </w:numPr>
        <w:tabs>
          <w:tab w:pos="1210" w:val="left" w:leader="none"/>
          <w:tab w:pos="1211" w:val="left" w:leader="none"/>
        </w:tabs>
        <w:spacing w:line="220" w:lineRule="auto" w:before="27" w:after="0"/>
        <w:ind w:left="2805" w:right="323" w:hanging="2552"/>
        <w:jc w:val="both"/>
        <w:rPr>
          <w:sz w:val="21"/>
        </w:rPr>
      </w:pPr>
      <w:r>
        <w:rPr>
          <w:rFonts w:ascii="微软雅黑" w:eastAsia="微软雅黑"/>
          <w:b/>
          <w:spacing w:val="77"/>
          <w:sz w:val="21"/>
        </w:rPr>
        <w:t>严重脑损伤 </w:t>
      </w:r>
      <w:r>
        <w:rPr>
          <w:sz w:val="21"/>
        </w:rPr>
        <w:t>指因头部遭受机械性外力，引起脑重要部位损伤，导致神经系统永久性的</w:t>
      </w:r>
      <w:r>
        <w:rPr>
          <w:spacing w:val="-4"/>
          <w:sz w:val="21"/>
        </w:rPr>
        <w:t>功能障碍。须由头颅断层扫描（CT）、核磁共振检查（MRI）或正电子发射</w:t>
      </w:r>
      <w:r>
        <w:rPr>
          <w:spacing w:val="-4"/>
          <w:sz w:val="21"/>
        </w:rPr>
        <w:t>断层扫描（PET）等影像学检查证实。神经系统永久性的功能障碍，指脑损</w:t>
      </w:r>
    </w:p>
    <w:p>
      <w:pPr>
        <w:pStyle w:val="BodyText"/>
        <w:spacing w:before="10"/>
        <w:ind w:left="2805"/>
      </w:pPr>
      <w:r>
        <w:rPr>
          <w:spacing w:val="-24"/>
        </w:rPr>
        <w:t>伤 </w:t>
      </w:r>
      <w:r>
        <w:rPr>
          <w:spacing w:val="-2"/>
        </w:rPr>
        <w:t>180</w:t>
      </w:r>
      <w:r>
        <w:rPr>
          <w:spacing w:val="-10"/>
        </w:rPr>
        <w:t> 天后，仍遗留下列至少一种障碍：</w:t>
      </w:r>
    </w:p>
    <w:p>
      <w:pPr>
        <w:pStyle w:val="ListParagraph"/>
        <w:numPr>
          <w:ilvl w:val="0"/>
          <w:numId w:val="35"/>
        </w:numPr>
        <w:tabs>
          <w:tab w:pos="3334" w:val="left" w:leader="none"/>
        </w:tabs>
        <w:spacing w:line="240" w:lineRule="auto" w:before="4" w:after="0"/>
        <w:ind w:left="3334" w:right="0" w:hanging="529"/>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35"/>
        </w:numPr>
        <w:tabs>
          <w:tab w:pos="3334" w:val="left" w:leader="none"/>
        </w:tabs>
        <w:spacing w:line="240" w:lineRule="auto" w:before="3" w:after="0"/>
        <w:ind w:left="3334" w:right="0" w:hanging="529"/>
        <w:jc w:val="left"/>
        <w:rPr>
          <w:sz w:val="21"/>
        </w:rPr>
      </w:pPr>
      <w:r>
        <w:rPr>
          <w:spacing w:val="-3"/>
          <w:sz w:val="21"/>
        </w:rPr>
        <w:t>语言能力完全丧失，或严重咀嚼吞咽功能障碍；</w:t>
      </w:r>
    </w:p>
    <w:p>
      <w:pPr>
        <w:pStyle w:val="ListParagraph"/>
        <w:numPr>
          <w:ilvl w:val="0"/>
          <w:numId w:val="35"/>
        </w:numPr>
        <w:tabs>
          <w:tab w:pos="3334" w:val="left" w:leader="none"/>
        </w:tabs>
        <w:spacing w:line="242" w:lineRule="auto" w:before="4" w:after="0"/>
        <w:ind w:left="3330" w:right="324" w:hanging="526"/>
        <w:jc w:val="left"/>
        <w:rPr>
          <w:sz w:val="21"/>
        </w:rPr>
      </w:pPr>
      <w:r>
        <w:rPr>
          <w:spacing w:val="-2"/>
          <w:sz w:val="21"/>
        </w:rPr>
        <w:t>自主生活能力完全丧失，无法独立完成六项基本日常生活活动中的三项或三项以上。</w:t>
      </w:r>
    </w:p>
    <w:p>
      <w:pPr>
        <w:pStyle w:val="BodyText"/>
        <w:spacing w:before="9"/>
        <w:rPr>
          <w:sz w:val="15"/>
        </w:rPr>
      </w:pPr>
    </w:p>
    <w:p>
      <w:pPr>
        <w:spacing w:after="0"/>
        <w:rPr>
          <w:sz w:val="15"/>
        </w:rPr>
        <w:sectPr>
          <w:type w:val="continuous"/>
          <w:pgSz w:w="11910" w:h="16840"/>
          <w:pgMar w:header="877" w:footer="0" w:top="1100" w:bottom="280" w:left="1060" w:right="980"/>
        </w:sectPr>
      </w:pPr>
    </w:p>
    <w:p>
      <w:pPr>
        <w:pStyle w:val="ListParagraph"/>
        <w:numPr>
          <w:ilvl w:val="0"/>
          <w:numId w:val="33"/>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严重原发性帕</w:t>
      </w:r>
      <w:r>
        <w:rPr>
          <w:rFonts w:ascii="微软雅黑" w:eastAsia="微软雅黑"/>
          <w:b/>
          <w:spacing w:val="-4"/>
          <w:sz w:val="21"/>
        </w:rPr>
        <w:t>金森病</w:t>
      </w:r>
    </w:p>
    <w:p>
      <w:pPr>
        <w:pStyle w:val="BodyText"/>
        <w:spacing w:line="244" w:lineRule="auto" w:before="72"/>
        <w:ind w:left="177" w:right="326"/>
      </w:pPr>
      <w:r>
        <w:rPr/>
        <w:br w:type="column"/>
      </w:r>
      <w:r>
        <w:rPr>
          <w:spacing w:val="-2"/>
        </w:rPr>
        <w:t>是一种中枢神经系统的退行性疾病，临床表现为运动迟缓、静止性震颤或</w:t>
      </w:r>
      <w:r>
        <w:rPr>
          <w:spacing w:val="-3"/>
        </w:rPr>
        <w:t>肌强直等，经我们认可医院的相关专科医生确诊，且须满足自主生活能力</w:t>
      </w:r>
    </w:p>
    <w:p>
      <w:pPr>
        <w:spacing w:line="194" w:lineRule="auto" w:before="36"/>
        <w:ind w:left="177" w:right="542" w:firstLine="0"/>
        <w:jc w:val="left"/>
        <w:rPr>
          <w:rFonts w:ascii="微软雅黑" w:eastAsia="微软雅黑"/>
          <w:b/>
          <w:sz w:val="21"/>
        </w:rPr>
      </w:pPr>
      <w:r>
        <w:rPr>
          <w:spacing w:val="-2"/>
          <w:sz w:val="21"/>
        </w:rPr>
        <w:t>完全丧失，无法独立完成六项基本日常生活活动中的三项或三项以上。</w:t>
      </w:r>
      <w:r>
        <w:rPr>
          <w:rFonts w:ascii="微软雅黑" w:eastAsia="微软雅黑"/>
          <w:b/>
          <w:spacing w:val="-2"/>
          <w:sz w:val="21"/>
        </w:rPr>
        <w:t>继发性帕金森综合征、帕金森叠加综合征不在保障范围内。</w:t>
      </w:r>
    </w:p>
    <w:p>
      <w:pPr>
        <w:spacing w:after="0" w:line="194" w:lineRule="auto"/>
        <w:jc w:val="left"/>
        <w:rPr>
          <w:rFonts w:asci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7"/>
        <w:rPr>
          <w:rFonts w:ascii="微软雅黑"/>
          <w:b/>
          <w:sz w:val="9"/>
        </w:rPr>
      </w:pPr>
    </w:p>
    <w:p>
      <w:pPr>
        <w:pStyle w:val="ListParagraph"/>
        <w:numPr>
          <w:ilvl w:val="0"/>
          <w:numId w:val="33"/>
        </w:numPr>
        <w:tabs>
          <w:tab w:pos="1210" w:val="left" w:leader="none"/>
          <w:tab w:pos="1211" w:val="left" w:leader="none"/>
          <w:tab w:pos="2804" w:val="left" w:leader="none"/>
        </w:tabs>
        <w:spacing w:line="206" w:lineRule="auto" w:before="43" w:after="0"/>
        <w:ind w:left="2805" w:right="328" w:hanging="2552"/>
        <w:jc w:val="left"/>
        <w:rPr>
          <w:sz w:val="21"/>
        </w:rPr>
      </w:pPr>
      <w:r>
        <w:rPr>
          <w:rFonts w:ascii="微软雅黑" w:hAnsi="微软雅黑" w:eastAsia="微软雅黑"/>
          <w:b/>
          <w:spacing w:val="-2"/>
          <w:sz w:val="21"/>
        </w:rPr>
        <w:t>严</w:t>
      </w:r>
      <w:r>
        <w:rPr>
          <w:rFonts w:ascii="微软雅黑" w:hAnsi="微软雅黑" w:eastAsia="微软雅黑"/>
          <w:b/>
          <w:spacing w:val="-2"/>
          <w:sz w:val="21"/>
        </w:rPr>
        <w:t>重</w:t>
      </w:r>
      <w:r>
        <w:rPr>
          <w:rFonts w:ascii="微软雅黑" w:hAnsi="微软雅黑" w:eastAsia="微软雅黑"/>
          <w:b/>
          <w:spacing w:val="-2"/>
          <w:sz w:val="21"/>
        </w:rPr>
        <w:t>Ⅲ</w:t>
      </w:r>
      <w:r>
        <w:rPr>
          <w:rFonts w:ascii="微软雅黑" w:hAnsi="微软雅黑" w:eastAsia="微软雅黑"/>
          <w:b/>
          <w:spacing w:val="-2"/>
          <w:sz w:val="21"/>
        </w:rPr>
        <w:t>度</w:t>
      </w:r>
      <w:r>
        <w:rPr>
          <w:rFonts w:ascii="微软雅黑" w:hAnsi="微软雅黑" w:eastAsia="微软雅黑"/>
          <w:b/>
          <w:spacing w:val="-2"/>
          <w:sz w:val="21"/>
        </w:rPr>
        <w:t>烧</w:t>
      </w:r>
      <w:r>
        <w:rPr>
          <w:rFonts w:ascii="微软雅黑" w:hAnsi="微软雅黑" w:eastAsia="微软雅黑"/>
          <w:b/>
          <w:spacing w:val="-2"/>
          <w:sz w:val="21"/>
        </w:rPr>
        <w:t>伤</w:t>
      </w:r>
      <w:r>
        <w:rPr>
          <w:rFonts w:ascii="微软雅黑" w:hAnsi="微软雅黑" w:eastAsia="微软雅黑"/>
          <w:b/>
          <w:sz w:val="21"/>
        </w:rPr>
        <w:tab/>
      </w:r>
      <w:r>
        <w:rPr>
          <w:sz w:val="21"/>
        </w:rPr>
        <w:t>指烧伤程度为Ⅲ度</w:t>
      </w:r>
      <w:r>
        <w:rPr>
          <w:spacing w:val="-99"/>
          <w:sz w:val="21"/>
        </w:rPr>
        <w:t>，</w:t>
      </w:r>
      <w:r>
        <w:rPr>
          <w:sz w:val="21"/>
        </w:rPr>
        <w:t>且Ⅲ度</w:t>
      </w:r>
      <w:r>
        <w:rPr>
          <w:sz w:val="21"/>
        </w:rPr>
        <w:t>烧伤的面积达到全身体表面积的</w:t>
      </w:r>
      <w:r>
        <w:rPr>
          <w:spacing w:val="-53"/>
          <w:sz w:val="21"/>
        </w:rPr>
        <w:t> </w:t>
      </w:r>
      <w:r>
        <w:rPr>
          <w:sz w:val="21"/>
        </w:rPr>
        <w:t>20％或</w:t>
      </w:r>
      <w:r>
        <w:rPr>
          <w:spacing w:val="-53"/>
          <w:sz w:val="21"/>
        </w:rPr>
        <w:t> </w:t>
      </w:r>
      <w:r>
        <w:rPr>
          <w:sz w:val="21"/>
        </w:rPr>
        <w:t>20％</w:t>
      </w:r>
      <w:r>
        <w:rPr>
          <w:sz w:val="21"/>
        </w:rPr>
        <w:t>以</w:t>
      </w:r>
      <w:r>
        <w:rPr>
          <w:spacing w:val="-2"/>
          <w:sz w:val="21"/>
        </w:rPr>
        <w:t>上</w:t>
      </w:r>
      <w:r>
        <w:rPr>
          <w:spacing w:val="-2"/>
          <w:sz w:val="21"/>
        </w:rPr>
        <w:t>。</w:t>
      </w:r>
      <w:r>
        <w:rPr>
          <w:spacing w:val="-2"/>
          <w:sz w:val="21"/>
        </w:rPr>
        <w:t>体表面积根据《中国</w:t>
      </w:r>
      <w:r>
        <w:rPr>
          <w:spacing w:val="-2"/>
          <w:sz w:val="21"/>
        </w:rPr>
        <w:t>新</w:t>
      </w:r>
      <w:r>
        <w:rPr>
          <w:spacing w:val="-2"/>
          <w:sz w:val="21"/>
        </w:rPr>
        <w:t>九</w:t>
      </w:r>
      <w:r>
        <w:rPr>
          <w:spacing w:val="-2"/>
          <w:sz w:val="21"/>
        </w:rPr>
        <w:t>分法》计算。</w:t>
      </w:r>
    </w:p>
    <w:p>
      <w:pPr>
        <w:pStyle w:val="BodyText"/>
        <w:spacing w:before="6"/>
        <w:rPr>
          <w:sz w:val="16"/>
        </w:rPr>
      </w:pPr>
    </w:p>
    <w:p>
      <w:pPr>
        <w:spacing w:after="0"/>
        <w:rPr>
          <w:sz w:val="16"/>
        </w:rPr>
        <w:sectPr>
          <w:type w:val="continuous"/>
          <w:pgSz w:w="11910" w:h="16840"/>
          <w:pgMar w:header="877" w:footer="0" w:top="1100" w:bottom="280" w:left="1060" w:right="980"/>
        </w:sectPr>
      </w:pPr>
    </w:p>
    <w:p>
      <w:pPr>
        <w:pStyle w:val="ListParagraph"/>
        <w:numPr>
          <w:ilvl w:val="0"/>
          <w:numId w:val="33"/>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5"/>
          <w:sz w:val="21"/>
        </w:rPr>
        <w:t>严重特发性肺</w:t>
      </w:r>
      <w:r>
        <w:rPr>
          <w:rFonts w:ascii="微软雅黑" w:eastAsia="微软雅黑"/>
          <w:b/>
          <w:spacing w:val="-4"/>
          <w:sz w:val="21"/>
        </w:rPr>
        <w:t>动脉高压</w:t>
      </w:r>
    </w:p>
    <w:p>
      <w:pPr>
        <w:spacing w:line="194" w:lineRule="auto" w:before="112"/>
        <w:ind w:left="177" w:right="326" w:firstLine="0"/>
        <w:jc w:val="left"/>
        <w:rPr>
          <w:rFonts w:ascii="微软雅黑" w:eastAsia="微软雅黑"/>
          <w:b/>
          <w:sz w:val="21"/>
        </w:rPr>
      </w:pPr>
      <w:r>
        <w:rPr/>
        <w:br w:type="column"/>
      </w:r>
      <w:r>
        <w:rPr>
          <w:spacing w:val="-2"/>
          <w:sz w:val="21"/>
        </w:rPr>
        <w:t>指不明原因的肺动脉压力持续性增高，进行性发展而导致的慢性疾病，已</w:t>
      </w:r>
      <w:r>
        <w:rPr>
          <w:spacing w:val="-5"/>
          <w:sz w:val="21"/>
        </w:rPr>
        <w:t>经造成永久不可逆性的体力活动能力受限，达到</w:t>
      </w:r>
      <w:r>
        <w:rPr>
          <w:rFonts w:ascii="微软雅黑" w:eastAsia="微软雅黑"/>
          <w:b/>
          <w:spacing w:val="-8"/>
          <w:sz w:val="21"/>
        </w:rPr>
        <w:t>美国纽约心脏病学会</w:t>
      </w:r>
      <w:r>
        <w:rPr>
          <w:rFonts w:ascii="微软雅黑" w:eastAsia="微软雅黑"/>
          <w:b/>
          <w:spacing w:val="-4"/>
          <w:w w:val="80"/>
          <w:sz w:val="21"/>
        </w:rPr>
        <w:t>（New</w:t>
      </w:r>
    </w:p>
    <w:p>
      <w:pPr>
        <w:spacing w:after="0" w:line="194" w:lineRule="auto"/>
        <w:jc w:val="left"/>
        <w:rPr>
          <w:rFonts w:ascii="微软雅黑" w:eastAsia="微软雅黑"/>
          <w:sz w:val="21"/>
        </w:rPr>
        <w:sectPr>
          <w:type w:val="continuous"/>
          <w:pgSz w:w="11910" w:h="16840"/>
          <w:pgMar w:header="877" w:footer="0" w:top="1100" w:bottom="280" w:left="1060" w:right="980"/>
          <w:cols w:num="2" w:equalWidth="0">
            <w:col w:w="2588" w:space="40"/>
            <w:col w:w="7242"/>
          </w:cols>
        </w:sectPr>
      </w:pPr>
    </w:p>
    <w:p>
      <w:pPr>
        <w:spacing w:line="204" w:lineRule="auto" w:before="57"/>
        <w:ind w:left="2805" w:right="321" w:firstLine="0"/>
        <w:jc w:val="left"/>
        <w:rPr>
          <w:sz w:val="21"/>
        </w:rPr>
      </w:pPr>
      <w:r>
        <w:rPr>
          <w:rFonts w:ascii="微软雅黑" w:hAnsi="微软雅黑" w:eastAsia="微软雅黑"/>
          <w:b/>
          <w:w w:val="95"/>
          <w:sz w:val="21"/>
        </w:rPr>
        <w:t>York</w:t>
      </w:r>
      <w:r>
        <w:rPr>
          <w:rFonts w:ascii="微软雅黑" w:hAnsi="微软雅黑" w:eastAsia="微软雅黑"/>
          <w:b/>
          <w:spacing w:val="31"/>
          <w:sz w:val="21"/>
        </w:rPr>
        <w:t> </w:t>
      </w:r>
      <w:r>
        <w:rPr>
          <w:rFonts w:ascii="微软雅黑" w:hAnsi="微软雅黑" w:eastAsia="微软雅黑"/>
          <w:b/>
          <w:w w:val="95"/>
          <w:sz w:val="21"/>
        </w:rPr>
        <w:t>Heart</w:t>
      </w:r>
      <w:r>
        <w:rPr>
          <w:rFonts w:ascii="微软雅黑" w:hAnsi="微软雅黑" w:eastAsia="微软雅黑"/>
          <w:b/>
          <w:spacing w:val="31"/>
          <w:sz w:val="21"/>
        </w:rPr>
        <w:t> </w:t>
      </w:r>
      <w:r>
        <w:rPr>
          <w:rFonts w:ascii="微软雅黑" w:hAnsi="微软雅黑" w:eastAsia="微软雅黑"/>
          <w:b/>
          <w:w w:val="95"/>
          <w:sz w:val="21"/>
        </w:rPr>
        <w:t>Association，NYHA）</w:t>
      </w:r>
      <w:r>
        <w:rPr>
          <w:rFonts w:ascii="微软雅黑" w:hAnsi="微软雅黑" w:eastAsia="微软雅黑"/>
          <w:b/>
          <w:w w:val="95"/>
          <w:sz w:val="21"/>
        </w:rPr>
        <w:t>心</w:t>
      </w:r>
      <w:r>
        <w:rPr>
          <w:rFonts w:ascii="微软雅黑" w:hAnsi="微软雅黑" w:eastAsia="微软雅黑"/>
          <w:b/>
          <w:w w:val="95"/>
          <w:sz w:val="21"/>
        </w:rPr>
        <w:t>功能状</w:t>
      </w:r>
      <w:r>
        <w:rPr>
          <w:rFonts w:ascii="微软雅黑" w:hAnsi="微软雅黑" w:eastAsia="微软雅黑"/>
          <w:b/>
          <w:w w:val="95"/>
          <w:sz w:val="21"/>
        </w:rPr>
        <w:t>态</w:t>
      </w:r>
      <w:r>
        <w:rPr>
          <w:rFonts w:ascii="微软雅黑" w:hAnsi="微软雅黑" w:eastAsia="微软雅黑"/>
          <w:b/>
          <w:w w:val="95"/>
          <w:sz w:val="21"/>
        </w:rPr>
        <w:t>分</w:t>
      </w:r>
      <w:r>
        <w:rPr>
          <w:rFonts w:ascii="微软雅黑" w:hAnsi="微软雅黑" w:eastAsia="微软雅黑"/>
          <w:b/>
          <w:w w:val="95"/>
          <w:sz w:val="21"/>
        </w:rPr>
        <w:t>级</w:t>
      </w:r>
      <w:r>
        <w:rPr>
          <w:rFonts w:ascii="微软雅黑" w:hAnsi="微软雅黑" w:eastAsia="微软雅黑"/>
          <w:b/>
          <w:w w:val="95"/>
          <w:position w:val="11"/>
          <w:sz w:val="11"/>
        </w:rPr>
        <w:t>39</w:t>
      </w:r>
      <w:r>
        <w:rPr>
          <w:w w:val="95"/>
          <w:sz w:val="21"/>
        </w:rPr>
        <w:t>Ⅳ</w:t>
      </w:r>
      <w:r>
        <w:rPr>
          <w:w w:val="95"/>
          <w:sz w:val="21"/>
        </w:rPr>
        <w:t>级</w:t>
      </w:r>
      <w:r>
        <w:rPr>
          <w:w w:val="95"/>
          <w:sz w:val="21"/>
        </w:rPr>
        <w:t>，</w:t>
      </w:r>
      <w:r>
        <w:rPr>
          <w:w w:val="95"/>
          <w:sz w:val="21"/>
        </w:rPr>
        <w:t>且</w:t>
      </w:r>
      <w:r>
        <w:rPr>
          <w:w w:val="95"/>
          <w:sz w:val="21"/>
        </w:rPr>
        <w:t>静</w:t>
      </w:r>
      <w:r>
        <w:rPr>
          <w:w w:val="95"/>
          <w:sz w:val="21"/>
        </w:rPr>
        <w:t>息</w:t>
      </w:r>
      <w:r>
        <w:rPr>
          <w:w w:val="95"/>
          <w:sz w:val="21"/>
        </w:rPr>
        <w:t>状</w:t>
      </w:r>
      <w:r>
        <w:rPr>
          <w:w w:val="95"/>
          <w:sz w:val="21"/>
        </w:rPr>
        <w:t>态</w:t>
      </w:r>
      <w:r>
        <w:rPr>
          <w:w w:val="95"/>
          <w:sz w:val="21"/>
        </w:rPr>
        <w:t>下</w:t>
      </w:r>
      <w:r>
        <w:rPr>
          <w:spacing w:val="-6"/>
          <w:sz w:val="21"/>
        </w:rPr>
        <w:t>肺动脉平均压在 </w:t>
      </w:r>
      <w:r>
        <w:rPr>
          <w:sz w:val="21"/>
        </w:rPr>
        <w:t>36mmHg（含）以上。</w:t>
      </w:r>
    </w:p>
    <w:p>
      <w:pPr>
        <w:pStyle w:val="BodyText"/>
        <w:spacing w:before="7"/>
        <w:rPr>
          <w:sz w:val="16"/>
        </w:rPr>
      </w:pPr>
    </w:p>
    <w:p>
      <w:pPr>
        <w:spacing w:after="0"/>
        <w:rPr>
          <w:sz w:val="16"/>
        </w:rPr>
        <w:sectPr>
          <w:pgSz w:w="11910" w:h="16840"/>
          <w:pgMar w:header="877" w:footer="0" w:top="1100" w:bottom="280" w:left="1060" w:right="980"/>
        </w:sectPr>
      </w:pPr>
    </w:p>
    <w:p>
      <w:pPr>
        <w:pStyle w:val="ListParagraph"/>
        <w:numPr>
          <w:ilvl w:val="0"/>
          <w:numId w:val="33"/>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严重运动神经</w:t>
      </w:r>
      <w:r>
        <w:rPr>
          <w:rFonts w:ascii="微软雅黑" w:eastAsia="微软雅黑"/>
          <w:b/>
          <w:spacing w:val="-6"/>
          <w:sz w:val="21"/>
        </w:rPr>
        <w:t>元病</w:t>
      </w:r>
    </w:p>
    <w:p>
      <w:pPr>
        <w:pStyle w:val="BodyText"/>
        <w:spacing w:line="242" w:lineRule="auto" w:before="72"/>
        <w:ind w:left="177" w:right="326"/>
        <w:jc w:val="both"/>
      </w:pPr>
      <w:r>
        <w:rPr/>
        <w:br w:type="column"/>
      </w:r>
      <w:r>
        <w:rPr>
          <w:spacing w:val="-2"/>
        </w:rPr>
        <w:t>是一组中枢神经系统运动神经元的进行性变性疾病，包括进行性脊肌萎缩</w:t>
      </w:r>
      <w:r>
        <w:rPr>
          <w:spacing w:val="-2"/>
        </w:rPr>
        <w:t>症、进行性延髓麻痹症、原发性侧索硬化症、肌萎缩性侧索硬化症，经我</w:t>
      </w:r>
      <w:r>
        <w:rPr>
          <w:spacing w:val="-2"/>
        </w:rPr>
        <w:t>们认可医院的相关专科医生确诊，且须满足下列至少一项条件：</w:t>
      </w:r>
    </w:p>
    <w:p>
      <w:pPr>
        <w:pStyle w:val="ListParagraph"/>
        <w:numPr>
          <w:ilvl w:val="0"/>
          <w:numId w:val="36"/>
        </w:numPr>
        <w:tabs>
          <w:tab w:pos="707" w:val="left" w:leader="none"/>
        </w:tabs>
        <w:spacing w:line="240" w:lineRule="auto" w:before="3" w:after="0"/>
        <w:ind w:left="706" w:right="0" w:hanging="530"/>
        <w:jc w:val="left"/>
        <w:rPr>
          <w:sz w:val="21"/>
        </w:rPr>
      </w:pPr>
      <w:r>
        <w:rPr>
          <w:spacing w:val="-3"/>
          <w:sz w:val="21"/>
        </w:rPr>
        <w:t>严重咀嚼吞咽功能障碍；</w:t>
      </w:r>
    </w:p>
    <w:p>
      <w:pPr>
        <w:pStyle w:val="ListParagraph"/>
        <w:numPr>
          <w:ilvl w:val="0"/>
          <w:numId w:val="36"/>
        </w:numPr>
        <w:tabs>
          <w:tab w:pos="707" w:val="left" w:leader="none"/>
        </w:tabs>
        <w:spacing w:line="244" w:lineRule="auto" w:before="2" w:after="0"/>
        <w:ind w:left="703" w:right="326" w:hanging="526"/>
        <w:jc w:val="left"/>
        <w:rPr>
          <w:sz w:val="21"/>
        </w:rPr>
      </w:pPr>
      <w:r>
        <w:rPr>
          <w:spacing w:val="-1"/>
          <w:sz w:val="21"/>
        </w:rPr>
        <w:t>呼吸肌麻痹导致严重呼吸困难，且已经持续使用呼吸机 </w:t>
      </w:r>
      <w:r>
        <w:rPr>
          <w:sz w:val="21"/>
        </w:rPr>
        <w:t>7</w:t>
      </w:r>
      <w:r>
        <w:rPr>
          <w:spacing w:val="-13"/>
          <w:sz w:val="21"/>
        </w:rPr>
        <w:t> 天</w:t>
      </w:r>
      <w:r>
        <w:rPr>
          <w:sz w:val="21"/>
        </w:rPr>
        <w:t>（含）</w:t>
      </w:r>
      <w:r>
        <w:rPr>
          <w:spacing w:val="-4"/>
          <w:sz w:val="21"/>
        </w:rPr>
        <w:t>以上；</w:t>
      </w:r>
    </w:p>
    <w:p>
      <w:pPr>
        <w:pStyle w:val="ListParagraph"/>
        <w:numPr>
          <w:ilvl w:val="0"/>
          <w:numId w:val="36"/>
        </w:numPr>
        <w:tabs>
          <w:tab w:pos="707" w:val="left" w:leader="none"/>
        </w:tabs>
        <w:spacing w:line="244" w:lineRule="auto" w:before="0" w:after="0"/>
        <w:ind w:left="703" w:right="324" w:hanging="526"/>
        <w:jc w:val="left"/>
        <w:rPr>
          <w:sz w:val="21"/>
        </w:rPr>
      </w:pPr>
      <w:r>
        <w:rPr>
          <w:spacing w:val="-2"/>
          <w:sz w:val="21"/>
        </w:rPr>
        <w:t>自主生活能力完全丧失，无法独立完成六项基本日常生活活动中的三项或三项以上。</w:t>
      </w:r>
    </w:p>
    <w:p>
      <w:pPr>
        <w:spacing w:after="0" w:line="244" w:lineRule="auto"/>
        <w:jc w:val="left"/>
        <w:rPr>
          <w:sz w:val="21"/>
        </w:rPr>
        <w:sectPr>
          <w:type w:val="continuous"/>
          <w:pgSz w:w="11910" w:h="16840"/>
          <w:pgMar w:header="877" w:footer="0" w:top="1100" w:bottom="280" w:left="1060" w:right="980"/>
          <w:cols w:num="2" w:equalWidth="0">
            <w:col w:w="2588" w:space="40"/>
            <w:col w:w="7242"/>
          </w:cols>
        </w:sectPr>
      </w:pPr>
    </w:p>
    <w:p>
      <w:pPr>
        <w:pStyle w:val="BodyText"/>
        <w:spacing w:before="2"/>
        <w:rPr>
          <w:sz w:val="15"/>
        </w:rPr>
      </w:pPr>
    </w:p>
    <w:p>
      <w:pPr>
        <w:pStyle w:val="ListParagraph"/>
        <w:numPr>
          <w:ilvl w:val="0"/>
          <w:numId w:val="33"/>
        </w:numPr>
        <w:tabs>
          <w:tab w:pos="1210" w:val="left" w:leader="none"/>
          <w:tab w:pos="1211" w:val="left" w:leader="none"/>
          <w:tab w:pos="2804" w:val="left" w:leader="none"/>
        </w:tabs>
        <w:spacing w:line="363" w:lineRule="exact" w:before="5" w:after="0"/>
        <w:ind w:left="1210" w:right="0" w:hanging="958"/>
        <w:jc w:val="left"/>
        <w:rPr>
          <w:sz w:val="21"/>
        </w:rPr>
      </w:pPr>
      <w:r>
        <w:rPr>
          <w:rFonts w:ascii="微软雅黑" w:eastAsia="微软雅黑"/>
          <w:b/>
          <w:sz w:val="21"/>
        </w:rPr>
        <w:t>语言能力丧</w:t>
      </w:r>
      <w:r>
        <w:rPr>
          <w:rFonts w:ascii="微软雅黑" w:eastAsia="微软雅黑"/>
          <w:b/>
          <w:spacing w:val="-10"/>
          <w:sz w:val="21"/>
        </w:rPr>
        <w:t>失</w:t>
      </w:r>
      <w:r>
        <w:rPr>
          <w:rFonts w:ascii="微软雅黑" w:eastAsia="微软雅黑"/>
          <w:b/>
          <w:sz w:val="21"/>
        </w:rPr>
        <w:tab/>
      </w:r>
      <w:r>
        <w:rPr>
          <w:sz w:val="21"/>
        </w:rPr>
        <w:t>指因疾病</w:t>
      </w:r>
      <w:r>
        <w:rPr>
          <w:sz w:val="21"/>
        </w:rPr>
        <w:t>或意外伤害导致</w:t>
      </w:r>
      <w:r>
        <w:rPr>
          <w:sz w:val="21"/>
        </w:rPr>
        <w:t>语言能力</w:t>
      </w:r>
      <w:r>
        <w:rPr>
          <w:sz w:val="21"/>
        </w:rPr>
        <w:t>完全丧失，经过</w:t>
      </w:r>
      <w:r>
        <w:rPr>
          <w:sz w:val="21"/>
        </w:rPr>
        <w:t>积极治疗</w:t>
      </w:r>
      <w:r>
        <w:rPr>
          <w:sz w:val="21"/>
        </w:rPr>
        <w:t>至少</w:t>
      </w:r>
      <w:r>
        <w:rPr>
          <w:spacing w:val="-17"/>
          <w:sz w:val="21"/>
        </w:rPr>
        <w:t> </w:t>
      </w:r>
      <w:r>
        <w:rPr>
          <w:sz w:val="21"/>
        </w:rPr>
        <w:t>12</w:t>
      </w:r>
      <w:r>
        <w:rPr>
          <w:spacing w:val="-15"/>
          <w:sz w:val="21"/>
        </w:rPr>
        <w:t> </w:t>
      </w:r>
      <w:r>
        <w:rPr>
          <w:sz w:val="21"/>
        </w:rPr>
        <w:t>个</w:t>
      </w:r>
      <w:r>
        <w:rPr>
          <w:spacing w:val="-10"/>
          <w:sz w:val="21"/>
        </w:rPr>
        <w:t>月</w:t>
      </w:r>
    </w:p>
    <w:p>
      <w:pPr>
        <w:spacing w:line="194" w:lineRule="auto" w:before="15"/>
        <w:ind w:left="2805" w:right="753" w:firstLine="0"/>
        <w:jc w:val="left"/>
        <w:rPr>
          <w:rFonts w:ascii="微软雅黑" w:eastAsia="微软雅黑"/>
          <w:b/>
          <w:sz w:val="21"/>
        </w:rPr>
      </w:pPr>
      <w:r>
        <w:rPr>
          <w:spacing w:val="-2"/>
          <w:sz w:val="21"/>
        </w:rPr>
        <w:t>（声带完全切除不受此时间限制），仍无法通过现有医疗手段恢复。</w:t>
      </w:r>
      <w:r>
        <w:rPr>
          <w:rFonts w:ascii="微软雅黑" w:eastAsia="微软雅黑"/>
          <w:b/>
          <w:spacing w:val="-2"/>
          <w:sz w:val="21"/>
        </w:rPr>
        <w:t>精神心理因素所致的语言能力丧失不在保障范围内。</w:t>
      </w:r>
    </w:p>
    <w:p>
      <w:pPr>
        <w:spacing w:line="237" w:lineRule="exact" w:before="0"/>
        <w:ind w:left="2805" w:right="0" w:firstLine="0"/>
        <w:jc w:val="left"/>
        <w:rPr>
          <w:rFonts w:ascii="微软雅黑" w:eastAsia="微软雅黑"/>
          <w:b/>
          <w:sz w:val="21"/>
        </w:rPr>
      </w:pPr>
      <w:r>
        <w:rPr>
          <w:rFonts w:ascii="微软雅黑" w:eastAsia="微软雅黑"/>
          <w:b/>
          <w:w w:val="95"/>
          <w:sz w:val="21"/>
        </w:rPr>
        <w:t>先</w:t>
      </w:r>
      <w:r>
        <w:rPr>
          <w:rFonts w:ascii="微软雅黑" w:eastAsia="微软雅黑"/>
          <w:b/>
          <w:w w:val="95"/>
          <w:sz w:val="21"/>
        </w:rPr>
        <w:t>天</w:t>
      </w:r>
      <w:r>
        <w:rPr>
          <w:rFonts w:ascii="微软雅黑" w:eastAsia="微软雅黑"/>
          <w:b/>
          <w:w w:val="95"/>
          <w:sz w:val="21"/>
        </w:rPr>
        <w:t>性</w:t>
      </w:r>
      <w:r>
        <w:rPr>
          <w:rFonts w:ascii="微软雅黑" w:eastAsia="微软雅黑"/>
          <w:b/>
          <w:w w:val="95"/>
          <w:sz w:val="21"/>
        </w:rPr>
        <w:t>疾</w:t>
      </w:r>
      <w:r>
        <w:rPr>
          <w:rFonts w:ascii="微软雅黑" w:eastAsia="微软雅黑"/>
          <w:b/>
          <w:w w:val="95"/>
          <w:sz w:val="21"/>
        </w:rPr>
        <w:t>病</w:t>
      </w:r>
      <w:r>
        <w:rPr>
          <w:rFonts w:ascii="微软雅黑" w:eastAsia="微软雅黑"/>
          <w:b/>
          <w:w w:val="95"/>
          <w:sz w:val="21"/>
        </w:rPr>
        <w:t>所</w:t>
      </w:r>
      <w:r>
        <w:rPr>
          <w:rFonts w:ascii="微软雅黑" w:eastAsia="微软雅黑"/>
          <w:b/>
          <w:w w:val="95"/>
          <w:sz w:val="21"/>
        </w:rPr>
        <w:t>致</w:t>
      </w:r>
      <w:r>
        <w:rPr>
          <w:rFonts w:ascii="微软雅黑" w:eastAsia="微软雅黑"/>
          <w:b/>
          <w:w w:val="95"/>
          <w:sz w:val="21"/>
        </w:rPr>
        <w:t>的</w:t>
      </w:r>
      <w:r>
        <w:rPr>
          <w:rFonts w:ascii="微软雅黑" w:eastAsia="微软雅黑"/>
          <w:b/>
          <w:w w:val="95"/>
          <w:sz w:val="21"/>
        </w:rPr>
        <w:t>语言能</w:t>
      </w:r>
      <w:r>
        <w:rPr>
          <w:rFonts w:ascii="微软雅黑" w:eastAsia="微软雅黑"/>
          <w:b/>
          <w:w w:val="95"/>
          <w:sz w:val="21"/>
        </w:rPr>
        <w:t>力</w:t>
      </w:r>
      <w:r>
        <w:rPr>
          <w:rFonts w:ascii="微软雅黑" w:eastAsia="微软雅黑"/>
          <w:b/>
          <w:w w:val="95"/>
          <w:sz w:val="21"/>
        </w:rPr>
        <w:t>丧</w:t>
      </w:r>
      <w:r>
        <w:rPr>
          <w:rFonts w:ascii="微软雅黑" w:eastAsia="微软雅黑"/>
          <w:b/>
          <w:w w:val="95"/>
          <w:sz w:val="21"/>
        </w:rPr>
        <w:t>失</w:t>
      </w:r>
      <w:r>
        <w:rPr>
          <w:rFonts w:ascii="微软雅黑" w:eastAsia="微软雅黑"/>
          <w:b/>
          <w:w w:val="95"/>
          <w:sz w:val="21"/>
        </w:rPr>
        <w:t>及</w:t>
      </w:r>
      <w:r>
        <w:rPr>
          <w:rFonts w:ascii="微软雅黑" w:eastAsia="微软雅黑"/>
          <w:b/>
          <w:w w:val="95"/>
          <w:sz w:val="21"/>
        </w:rPr>
        <w:t>被</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人</w:t>
      </w:r>
      <w:r>
        <w:rPr>
          <w:rFonts w:ascii="微软雅黑" w:eastAsia="微软雅黑"/>
          <w:b/>
          <w:w w:val="95"/>
          <w:sz w:val="21"/>
        </w:rPr>
        <w:t>在</w:t>
      </w:r>
      <w:r>
        <w:rPr>
          <w:rFonts w:ascii="微软雅黑" w:eastAsia="微软雅黑"/>
          <w:b/>
          <w:spacing w:val="51"/>
          <w:sz w:val="21"/>
        </w:rPr>
        <w:t> </w:t>
      </w:r>
      <w:r>
        <w:rPr>
          <w:rFonts w:ascii="微软雅黑" w:eastAsia="微软雅黑"/>
          <w:b/>
          <w:w w:val="95"/>
          <w:sz w:val="21"/>
        </w:rPr>
        <w:t>0</w:t>
      </w:r>
      <w:r>
        <w:rPr>
          <w:rFonts w:ascii="微软雅黑" w:eastAsia="微软雅黑"/>
          <w:b/>
          <w:spacing w:val="51"/>
          <w:sz w:val="21"/>
        </w:rPr>
        <w:t> </w:t>
      </w:r>
      <w:r>
        <w:rPr>
          <w:rFonts w:ascii="微软雅黑" w:eastAsia="微软雅黑"/>
          <w:b/>
          <w:w w:val="95"/>
          <w:sz w:val="21"/>
        </w:rPr>
        <w:t>至</w:t>
      </w:r>
      <w:r>
        <w:rPr>
          <w:rFonts w:ascii="微软雅黑" w:eastAsia="微软雅黑"/>
          <w:b/>
          <w:spacing w:val="46"/>
          <w:sz w:val="21"/>
        </w:rPr>
        <w:t> </w:t>
      </w:r>
      <w:r>
        <w:rPr>
          <w:rFonts w:ascii="微软雅黑" w:eastAsia="微软雅黑"/>
          <w:b/>
          <w:w w:val="95"/>
          <w:sz w:val="21"/>
        </w:rPr>
        <w:t>3</w:t>
      </w:r>
      <w:r>
        <w:rPr>
          <w:rFonts w:ascii="微软雅黑" w:eastAsia="微软雅黑"/>
          <w:b/>
          <w:spacing w:val="52"/>
          <w:sz w:val="21"/>
        </w:rPr>
        <w:t> </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期</w:t>
      </w:r>
      <w:r>
        <w:rPr>
          <w:rFonts w:ascii="微软雅黑" w:eastAsia="微软雅黑"/>
          <w:b/>
          <w:w w:val="95"/>
          <w:sz w:val="21"/>
        </w:rPr>
        <w:t>间</w:t>
      </w:r>
      <w:r>
        <w:rPr>
          <w:rFonts w:ascii="微软雅黑" w:eastAsia="微软雅黑"/>
          <w:b/>
          <w:w w:val="95"/>
          <w:sz w:val="21"/>
        </w:rPr>
        <w:t>因</w:t>
      </w:r>
      <w:r>
        <w:rPr>
          <w:rFonts w:ascii="微软雅黑" w:eastAsia="微软雅黑"/>
          <w:b/>
          <w:w w:val="95"/>
          <w:sz w:val="21"/>
        </w:rPr>
        <w:t>疾</w:t>
      </w:r>
      <w:r>
        <w:rPr>
          <w:rFonts w:ascii="微软雅黑" w:eastAsia="微软雅黑"/>
          <w:b/>
          <w:w w:val="95"/>
          <w:sz w:val="21"/>
        </w:rPr>
        <w:t>病</w:t>
      </w:r>
      <w:r>
        <w:rPr>
          <w:rFonts w:ascii="微软雅黑" w:eastAsia="微软雅黑"/>
          <w:b/>
          <w:w w:val="95"/>
          <w:sz w:val="21"/>
        </w:rPr>
        <w:t>所</w:t>
      </w:r>
      <w:r>
        <w:rPr>
          <w:rFonts w:ascii="微软雅黑" w:eastAsia="微软雅黑"/>
          <w:b/>
          <w:spacing w:val="-10"/>
          <w:w w:val="95"/>
          <w:sz w:val="21"/>
        </w:rPr>
        <w:t>致</w:t>
      </w:r>
    </w:p>
    <w:p>
      <w:pPr>
        <w:spacing w:line="168" w:lineRule="auto" w:before="27"/>
        <w:ind w:left="2805" w:right="326" w:firstLine="0"/>
        <w:jc w:val="left"/>
        <w:rPr>
          <w:rFonts w:ascii="微软雅黑" w:eastAsia="微软雅黑"/>
          <w:b/>
          <w:sz w:val="21"/>
        </w:rPr>
      </w:pPr>
      <w:r>
        <w:rPr>
          <w:rFonts w:ascii="微软雅黑" w:eastAsia="微软雅黑"/>
          <w:b/>
          <w:spacing w:val="-2"/>
          <w:sz w:val="21"/>
        </w:rPr>
        <w:t>的语言能力丧失不在保障范围内，且申请理赔时需提供 3 周岁以后的语言</w:t>
      </w:r>
      <w:r>
        <w:rPr>
          <w:rFonts w:ascii="微软雅黑" w:eastAsia="微软雅黑"/>
          <w:b/>
          <w:spacing w:val="-2"/>
          <w:sz w:val="21"/>
        </w:rPr>
        <w:t>能力丧失诊断及检查证明。</w:t>
      </w:r>
    </w:p>
    <w:p>
      <w:pPr>
        <w:pStyle w:val="BodyText"/>
        <w:spacing w:before="2"/>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33"/>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重型再生障碍</w:t>
      </w:r>
      <w:r>
        <w:rPr>
          <w:rFonts w:ascii="微软雅黑" w:eastAsia="微软雅黑"/>
          <w:b/>
          <w:spacing w:val="-4"/>
          <w:sz w:val="21"/>
        </w:rPr>
        <w:t>性贫血</w:t>
      </w:r>
    </w:p>
    <w:p>
      <w:pPr>
        <w:pStyle w:val="BodyText"/>
        <w:spacing w:line="244" w:lineRule="auto" w:before="72"/>
        <w:ind w:left="177" w:right="326"/>
      </w:pPr>
      <w:r>
        <w:rPr/>
        <w:br w:type="column"/>
      </w:r>
      <w:r>
        <w:rPr>
          <w:spacing w:val="-2"/>
        </w:rPr>
        <w:t>指因骨髓造血功能慢性持续性衰竭导致的贫血、中性粒细胞减少及血小板</w:t>
      </w:r>
      <w:r>
        <w:rPr>
          <w:spacing w:val="-2"/>
        </w:rPr>
        <w:t>减少，且须满足下列全部条件：</w:t>
      </w:r>
    </w:p>
    <w:p>
      <w:pPr>
        <w:pStyle w:val="ListParagraph"/>
        <w:numPr>
          <w:ilvl w:val="0"/>
          <w:numId w:val="37"/>
        </w:numPr>
        <w:tabs>
          <w:tab w:pos="707" w:val="left" w:leader="none"/>
        </w:tabs>
        <w:spacing w:line="242" w:lineRule="auto" w:before="0" w:after="0"/>
        <w:ind w:left="703" w:right="326" w:hanging="526"/>
        <w:jc w:val="left"/>
        <w:rPr>
          <w:sz w:val="21"/>
        </w:rPr>
      </w:pPr>
      <w:r>
        <w:rPr>
          <w:spacing w:val="-2"/>
          <w:sz w:val="21"/>
        </w:rPr>
        <w:t>骨髓穿刺检查或骨髓活检结果支持诊断：骨髓细胞增生程度&lt;正常的 </w:t>
      </w:r>
      <w:r>
        <w:rPr>
          <w:sz w:val="21"/>
        </w:rPr>
        <w:t>25%</w:t>
      </w:r>
      <w:r>
        <w:rPr>
          <w:spacing w:val="-6"/>
          <w:sz w:val="21"/>
        </w:rPr>
        <w:t>；如≥正常的 </w:t>
      </w:r>
      <w:r>
        <w:rPr>
          <w:sz w:val="21"/>
        </w:rPr>
        <w:t>25%但&lt;50%，则残存的造血细胞应&lt;30%；</w:t>
      </w:r>
    </w:p>
    <w:p>
      <w:pPr>
        <w:pStyle w:val="ListParagraph"/>
        <w:numPr>
          <w:ilvl w:val="0"/>
          <w:numId w:val="37"/>
        </w:numPr>
        <w:tabs>
          <w:tab w:pos="707" w:val="left" w:leader="none"/>
        </w:tabs>
        <w:spacing w:line="265" w:lineRule="exact" w:before="0" w:after="0"/>
        <w:ind w:left="706" w:right="2572" w:hanging="707"/>
        <w:jc w:val="left"/>
        <w:rPr>
          <w:sz w:val="21"/>
        </w:rPr>
      </w:pPr>
      <w:r>
        <w:rPr>
          <w:spacing w:val="-3"/>
          <w:sz w:val="21"/>
        </w:rPr>
        <w:t>外周血象须具备以下三项条件中的两项：</w:t>
      </w:r>
    </w:p>
    <w:p>
      <w:pPr>
        <w:pStyle w:val="BodyText"/>
        <w:spacing w:line="273" w:lineRule="exact"/>
        <w:ind w:left="708" w:right="3329"/>
        <w:jc w:val="center"/>
      </w:pPr>
      <w:r>
        <w:rPr>
          <w:spacing w:val="-2"/>
        </w:rPr>
        <w:t>①中性粒细胞绝对值&lt;0.5×10</w:t>
      </w:r>
      <w:r>
        <w:rPr>
          <w:spacing w:val="-2"/>
          <w:position w:val="11"/>
          <w:sz w:val="11"/>
        </w:rPr>
        <w:t>9</w:t>
      </w:r>
      <w:r>
        <w:rPr>
          <w:spacing w:val="-2"/>
        </w:rPr>
        <w:t>/L；</w:t>
      </w:r>
    </w:p>
    <w:p>
      <w:pPr>
        <w:pStyle w:val="BodyText"/>
        <w:spacing w:line="273" w:lineRule="exact"/>
        <w:ind w:left="703"/>
      </w:pPr>
      <w:r>
        <w:rPr>
          <w:spacing w:val="-2"/>
        </w:rPr>
        <w:t>②网织红细胞计数&lt;20×10</w:t>
      </w:r>
      <w:r>
        <w:rPr>
          <w:spacing w:val="-2"/>
          <w:position w:val="11"/>
          <w:sz w:val="11"/>
        </w:rPr>
        <w:t>9</w:t>
      </w:r>
      <w:r>
        <w:rPr>
          <w:spacing w:val="-2"/>
        </w:rPr>
        <w:t>/L；</w:t>
      </w:r>
    </w:p>
    <w:p>
      <w:pPr>
        <w:pStyle w:val="BodyText"/>
        <w:spacing w:line="275" w:lineRule="exact"/>
        <w:ind w:left="703"/>
      </w:pPr>
      <w:r>
        <w:rPr>
          <w:spacing w:val="-2"/>
        </w:rPr>
        <w:t>③血小板绝对值&lt;20×10</w:t>
      </w:r>
      <w:r>
        <w:rPr>
          <w:spacing w:val="-2"/>
          <w:position w:val="11"/>
          <w:sz w:val="11"/>
        </w:rPr>
        <w:t>9</w:t>
      </w:r>
      <w:r>
        <w:rPr>
          <w:spacing w:val="-2"/>
        </w:rPr>
        <w:t>/L</w:t>
      </w:r>
      <w:r>
        <w:rPr>
          <w:spacing w:val="-12"/>
        </w:rPr>
        <w:t>。</w:t>
      </w:r>
    </w:p>
    <w:p>
      <w:pPr>
        <w:spacing w:after="0" w:line="275" w:lineRule="exact"/>
        <w:sectPr>
          <w:type w:val="continuous"/>
          <w:pgSz w:w="11910" w:h="16840"/>
          <w:pgMar w:header="877" w:footer="0" w:top="1100" w:bottom="280" w:left="1060" w:right="980"/>
          <w:cols w:num="2" w:equalWidth="0">
            <w:col w:w="2588" w:space="40"/>
            <w:col w:w="7242"/>
          </w:cols>
        </w:sectPr>
      </w:pPr>
    </w:p>
    <w:p>
      <w:pPr>
        <w:pStyle w:val="BodyText"/>
        <w:spacing w:before="9"/>
        <w:rPr>
          <w:sz w:val="15"/>
        </w:rPr>
      </w:pPr>
    </w:p>
    <w:p>
      <w:pPr>
        <w:pStyle w:val="ListParagraph"/>
        <w:numPr>
          <w:ilvl w:val="0"/>
          <w:numId w:val="33"/>
        </w:numPr>
        <w:tabs>
          <w:tab w:pos="1210" w:val="left" w:leader="none"/>
          <w:tab w:pos="1211" w:val="left" w:leader="none"/>
        </w:tabs>
        <w:spacing w:line="220" w:lineRule="auto" w:before="26" w:after="0"/>
        <w:ind w:left="2805" w:right="326" w:hanging="2552"/>
        <w:jc w:val="both"/>
        <w:rPr>
          <w:sz w:val="21"/>
        </w:rPr>
      </w:pPr>
      <w:r>
        <w:rPr>
          <w:rFonts w:ascii="微软雅黑" w:eastAsia="微软雅黑"/>
          <w:b/>
          <w:spacing w:val="76"/>
          <w:sz w:val="21"/>
        </w:rPr>
        <w:t>主动脉手术 </w:t>
      </w:r>
      <w:r>
        <w:rPr>
          <w:sz w:val="21"/>
        </w:rPr>
        <w:t>指为治疗主动脉疾病或主动脉创伤，已经实施了开胸（含胸腔镜下）或开</w:t>
      </w:r>
      <w:r>
        <w:rPr>
          <w:spacing w:val="-2"/>
          <w:sz w:val="21"/>
        </w:rPr>
        <w:t>腹（含腹腔镜下）进行的切除、置换、修补病损主动脉血管、主动脉创伤</w:t>
      </w:r>
      <w:r>
        <w:rPr>
          <w:spacing w:val="-2"/>
          <w:sz w:val="21"/>
        </w:rPr>
        <w:t>后修复的手术。主动脉指升主动脉、主动脉弓和降主动脉（</w:t>
      </w:r>
      <w:r>
        <w:rPr>
          <w:spacing w:val="-4"/>
          <w:sz w:val="21"/>
        </w:rPr>
        <w:t>含胸主动脉和</w:t>
      </w:r>
    </w:p>
    <w:p>
      <w:pPr>
        <w:spacing w:line="168" w:lineRule="auto" w:before="28"/>
        <w:ind w:left="2805" w:right="948" w:firstLine="0"/>
        <w:jc w:val="left"/>
        <w:rPr>
          <w:rFonts w:ascii="微软雅黑" w:eastAsia="微软雅黑"/>
          <w:b/>
          <w:sz w:val="21"/>
        </w:rPr>
      </w:pPr>
      <w:r>
        <w:rPr>
          <w:spacing w:val="-2"/>
          <w:sz w:val="21"/>
        </w:rPr>
        <w:t>腹主动脉），</w:t>
      </w:r>
      <w:r>
        <w:rPr>
          <w:rFonts w:ascii="微软雅黑" w:eastAsia="微软雅黑"/>
          <w:b/>
          <w:spacing w:val="-2"/>
          <w:sz w:val="21"/>
        </w:rPr>
        <w:t>不包括升主动脉、主动脉弓和降主动脉的分支血管。</w:t>
      </w:r>
      <w:r>
        <w:rPr>
          <w:rFonts w:ascii="微软雅黑" w:eastAsia="微软雅黑"/>
          <w:b/>
          <w:spacing w:val="-2"/>
          <w:sz w:val="21"/>
        </w:rPr>
        <w:t>所有未实施开胸或开腹的动脉内介入治疗不在保障范围内。</w:t>
      </w:r>
    </w:p>
    <w:p>
      <w:pPr>
        <w:pStyle w:val="BodyText"/>
        <w:spacing w:before="3"/>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33"/>
        </w:numPr>
        <w:tabs>
          <w:tab w:pos="1210" w:val="left" w:leader="none"/>
          <w:tab w:pos="1211" w:val="left" w:leader="none"/>
        </w:tabs>
        <w:spacing w:line="170" w:lineRule="auto" w:before="84" w:after="0"/>
        <w:ind w:left="1210" w:right="0" w:hanging="958"/>
        <w:jc w:val="left"/>
        <w:rPr>
          <w:rFonts w:ascii="微软雅黑" w:eastAsia="微软雅黑"/>
          <w:b/>
          <w:sz w:val="21"/>
        </w:rPr>
      </w:pPr>
      <w:r>
        <w:rPr>
          <w:rFonts w:ascii="微软雅黑" w:eastAsia="微软雅黑"/>
          <w:b/>
          <w:spacing w:val="15"/>
          <w:sz w:val="21"/>
        </w:rPr>
        <w:t>严重慢性呼吸</w:t>
      </w:r>
      <w:r>
        <w:rPr>
          <w:rFonts w:ascii="微软雅黑" w:eastAsia="微软雅黑"/>
          <w:b/>
          <w:spacing w:val="-6"/>
          <w:sz w:val="21"/>
        </w:rPr>
        <w:t>衰竭</w:t>
      </w:r>
    </w:p>
    <w:p>
      <w:pPr>
        <w:pStyle w:val="BodyText"/>
        <w:spacing w:line="244" w:lineRule="auto" w:before="71"/>
        <w:ind w:left="177" w:right="326"/>
      </w:pPr>
      <w:r>
        <w:rPr/>
        <w:br w:type="column"/>
      </w:r>
      <w:r>
        <w:rPr>
          <w:spacing w:val="-1"/>
        </w:rPr>
        <w:t>指因慢性呼吸系统疾病导致永久不可逆性的呼吸衰竭，经过积极治疗 </w:t>
      </w:r>
      <w:r>
        <w:rPr/>
        <w:t>180</w:t>
      </w:r>
      <w:r>
        <w:rPr>
          <w:spacing w:val="-2"/>
        </w:rPr>
        <w:t>天后满足以下所有条件：</w:t>
      </w:r>
    </w:p>
    <w:p>
      <w:pPr>
        <w:pStyle w:val="ListParagraph"/>
        <w:numPr>
          <w:ilvl w:val="0"/>
          <w:numId w:val="38"/>
        </w:numPr>
        <w:tabs>
          <w:tab w:pos="707" w:val="left" w:leader="none"/>
        </w:tabs>
        <w:spacing w:line="265" w:lineRule="exact" w:before="0" w:after="0"/>
        <w:ind w:left="706" w:right="0" w:hanging="530"/>
        <w:jc w:val="left"/>
        <w:rPr>
          <w:sz w:val="21"/>
        </w:rPr>
      </w:pPr>
      <w:r>
        <w:rPr>
          <w:spacing w:val="-3"/>
          <w:sz w:val="21"/>
        </w:rPr>
        <w:t>静息时出现呼吸困难；</w:t>
      </w:r>
    </w:p>
    <w:p>
      <w:pPr>
        <w:pStyle w:val="ListParagraph"/>
        <w:numPr>
          <w:ilvl w:val="0"/>
          <w:numId w:val="38"/>
        </w:numPr>
        <w:tabs>
          <w:tab w:pos="707" w:val="left" w:leader="none"/>
        </w:tabs>
        <w:spacing w:line="240" w:lineRule="auto" w:before="5" w:after="0"/>
        <w:ind w:left="706" w:right="0" w:hanging="530"/>
        <w:jc w:val="left"/>
        <w:rPr>
          <w:sz w:val="21"/>
        </w:rPr>
      </w:pPr>
      <w:r>
        <w:rPr>
          <w:spacing w:val="-2"/>
          <w:position w:val="1"/>
          <w:sz w:val="21"/>
        </w:rPr>
        <w:t>肺功能第一秒用力呼气容积（FEV</w:t>
      </w:r>
      <w:r>
        <w:rPr>
          <w:spacing w:val="-2"/>
          <w:sz w:val="11"/>
        </w:rPr>
        <w:t>1</w:t>
      </w:r>
      <w:r>
        <w:rPr>
          <w:spacing w:val="-2"/>
          <w:position w:val="1"/>
          <w:sz w:val="21"/>
        </w:rPr>
        <w:t>）占预计值的百分比&lt;30%；</w:t>
      </w:r>
    </w:p>
    <w:p>
      <w:pPr>
        <w:pStyle w:val="ListParagraph"/>
        <w:numPr>
          <w:ilvl w:val="0"/>
          <w:numId w:val="38"/>
        </w:numPr>
        <w:tabs>
          <w:tab w:pos="707" w:val="left" w:leader="none"/>
        </w:tabs>
        <w:spacing w:line="240" w:lineRule="auto" w:before="2" w:after="0"/>
        <w:ind w:left="706" w:right="0" w:hanging="530"/>
        <w:jc w:val="left"/>
        <w:rPr>
          <w:sz w:val="21"/>
        </w:rPr>
      </w:pPr>
      <w:r>
        <w:rPr>
          <w:spacing w:val="-2"/>
          <w:position w:val="1"/>
          <w:sz w:val="21"/>
        </w:rPr>
        <w:t>在静息状态、呼吸空气条件下，动脉血氧分压（PaO</w:t>
      </w:r>
      <w:r>
        <w:rPr>
          <w:spacing w:val="-2"/>
          <w:sz w:val="11"/>
        </w:rPr>
        <w:t>2</w:t>
      </w:r>
      <w:r>
        <w:rPr>
          <w:spacing w:val="-2"/>
          <w:position w:val="1"/>
          <w:sz w:val="21"/>
        </w:rPr>
        <w:t>）&lt;50mmHg</w:t>
      </w:r>
      <w:r>
        <w:rPr>
          <w:spacing w:val="-10"/>
          <w:position w:val="1"/>
          <w:sz w:val="21"/>
        </w:rPr>
        <w:t>。</w:t>
      </w:r>
    </w:p>
    <w:p>
      <w:pPr>
        <w:spacing w:after="0" w:line="240" w:lineRule="auto"/>
        <w:jc w:val="left"/>
        <w:rPr>
          <w:sz w:val="21"/>
        </w:rPr>
        <w:sectPr>
          <w:type w:val="continuous"/>
          <w:pgSz w:w="11910" w:h="16840"/>
          <w:pgMar w:header="877" w:footer="0" w:top="1100" w:bottom="280" w:left="1060" w:right="980"/>
          <w:cols w:num="2" w:equalWidth="0">
            <w:col w:w="2588" w:space="40"/>
            <w:col w:w="7242"/>
          </w:cols>
        </w:sectPr>
      </w:pPr>
    </w:p>
    <w:p>
      <w:pPr>
        <w:pStyle w:val="BodyText"/>
        <w:rPr>
          <w:sz w:val="16"/>
        </w:rPr>
      </w:pPr>
    </w:p>
    <w:p>
      <w:pPr>
        <w:pStyle w:val="ListParagraph"/>
        <w:numPr>
          <w:ilvl w:val="0"/>
          <w:numId w:val="33"/>
        </w:numPr>
        <w:tabs>
          <w:tab w:pos="1210" w:val="left" w:leader="none"/>
          <w:tab w:pos="1211" w:val="left" w:leader="none"/>
        </w:tabs>
        <w:spacing w:line="220" w:lineRule="auto" w:before="26" w:after="0"/>
        <w:ind w:left="2805" w:right="333" w:hanging="2552"/>
        <w:jc w:val="both"/>
        <w:rPr>
          <w:sz w:val="21"/>
        </w:rPr>
      </w:pPr>
      <w:r>
        <w:rPr>
          <w:rFonts w:ascii="微软雅黑" w:eastAsia="微软雅黑"/>
          <w:b/>
          <w:spacing w:val="37"/>
          <w:sz w:val="21"/>
        </w:rPr>
        <w:t>严重克罗恩病 </w:t>
      </w:r>
      <w:r>
        <w:rPr>
          <w:sz w:val="21"/>
        </w:rPr>
        <w:t>指一种慢性肉芽肿性肠炎，具有特征性的克罗恩病（Crohn</w:t>
      </w:r>
      <w:r>
        <w:rPr>
          <w:spacing w:val="-14"/>
          <w:sz w:val="21"/>
        </w:rPr>
        <w:t> 病</w:t>
      </w:r>
      <w:r>
        <w:rPr>
          <w:sz w:val="21"/>
        </w:rPr>
        <w:t>）病理组织</w:t>
      </w:r>
      <w:r>
        <w:rPr>
          <w:spacing w:val="-2"/>
          <w:sz w:val="21"/>
        </w:rPr>
        <w:t>学变化，须根据组织病理学特点诊断，且已经造成瘘管形成并伴有肠梗阻</w:t>
      </w:r>
      <w:r>
        <w:rPr>
          <w:spacing w:val="-4"/>
          <w:sz w:val="21"/>
        </w:rPr>
        <w:t>或肠穿孔。</w:t>
      </w:r>
    </w:p>
    <w:p>
      <w:pPr>
        <w:pStyle w:val="BodyText"/>
        <w:spacing w:before="7"/>
        <w:rPr>
          <w:sz w:val="16"/>
        </w:rPr>
      </w:pPr>
    </w:p>
    <w:p>
      <w:pPr>
        <w:spacing w:after="0"/>
        <w:rPr>
          <w:sz w:val="16"/>
        </w:rPr>
        <w:sectPr>
          <w:type w:val="continuous"/>
          <w:pgSz w:w="11910" w:h="16840"/>
          <w:pgMar w:header="877" w:footer="0" w:top="1100" w:bottom="280" w:left="1060" w:right="980"/>
        </w:sectPr>
      </w:pPr>
    </w:p>
    <w:p>
      <w:pPr>
        <w:pStyle w:val="ListParagraph"/>
        <w:numPr>
          <w:ilvl w:val="0"/>
          <w:numId w:val="33"/>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5"/>
          <w:sz w:val="21"/>
        </w:rPr>
        <w:t>严重溃疡性结</w:t>
      </w:r>
      <w:r>
        <w:rPr>
          <w:rFonts w:ascii="微软雅黑" w:eastAsia="微软雅黑"/>
          <w:b/>
          <w:spacing w:val="-6"/>
          <w:sz w:val="21"/>
        </w:rPr>
        <w:t>肠炎</w:t>
      </w:r>
    </w:p>
    <w:p>
      <w:pPr>
        <w:pStyle w:val="BodyText"/>
        <w:spacing w:line="242" w:lineRule="auto" w:before="72"/>
        <w:ind w:left="177" w:right="326"/>
      </w:pPr>
      <w:r>
        <w:rPr/>
        <w:br w:type="column"/>
      </w:r>
      <w:r>
        <w:rPr>
          <w:spacing w:val="-2"/>
        </w:rPr>
        <w:t>指伴有致命性电解质紊乱的急性暴发性溃疡性结肠炎，病变已经累及全结</w:t>
      </w:r>
      <w:r>
        <w:rPr>
          <w:spacing w:val="-3"/>
        </w:rPr>
        <w:t>肠，表现为严重的血便和系统性症状体征，须根据组织病理学特点诊断，</w:t>
      </w:r>
    </w:p>
    <w:p>
      <w:pPr>
        <w:spacing w:after="0" w:line="242" w:lineRule="auto"/>
        <w:sectPr>
          <w:type w:val="continuous"/>
          <w:pgSz w:w="11910" w:h="16840"/>
          <w:pgMar w:header="877" w:footer="0" w:top="1100" w:bottom="280" w:left="1060" w:right="980"/>
          <w:cols w:num="2" w:equalWidth="0">
            <w:col w:w="2588" w:space="40"/>
            <w:col w:w="7242"/>
          </w:cols>
        </w:sectPr>
      </w:pPr>
    </w:p>
    <w:p>
      <w:pPr>
        <w:pStyle w:val="BodyText"/>
        <w:spacing w:before="12"/>
        <w:rPr>
          <w:sz w:val="11"/>
        </w:rPr>
      </w:pPr>
    </w:p>
    <w:p>
      <w:pPr>
        <w:pStyle w:val="BodyText"/>
        <w:spacing w:line="20" w:lineRule="exact"/>
        <w:ind w:left="140"/>
        <w:rPr>
          <w:sz w:val="2"/>
        </w:rPr>
      </w:pPr>
      <w:r>
        <w:rPr>
          <w:sz w:val="2"/>
        </w:rPr>
        <w:drawing>
          <wp:inline distT="0" distB="0" distL="0" distR="0">
            <wp:extent cx="1829130" cy="6095"/>
            <wp:effectExtent l="0" t="0" r="0" b="0"/>
            <wp:docPr id="35" name="image4.png"/>
            <wp:cNvGraphicFramePr>
              <a:graphicFrameLocks noChangeAspect="1"/>
            </wp:cNvGraphicFramePr>
            <a:graphic>
              <a:graphicData uri="http://schemas.openxmlformats.org/drawingml/2006/picture">
                <pic:pic>
                  <pic:nvPicPr>
                    <pic:cNvPr id="36" name="image4.png"/>
                    <pic:cNvPicPr/>
                  </pic:nvPicPr>
                  <pic:blipFill>
                    <a:blip r:embed="rId9" cstate="print"/>
                    <a:stretch>
                      <a:fillRect/>
                    </a:stretch>
                  </pic:blipFill>
                  <pic:spPr>
                    <a:xfrm>
                      <a:off x="0" y="0"/>
                      <a:ext cx="1829130" cy="6095"/>
                    </a:xfrm>
                    <a:prstGeom prst="rect">
                      <a:avLst/>
                    </a:prstGeom>
                  </pic:spPr>
                </pic:pic>
              </a:graphicData>
            </a:graphic>
          </wp:inline>
        </w:drawing>
      </w:r>
      <w:r>
        <w:rPr>
          <w:sz w:val="2"/>
        </w:rPr>
      </w:r>
    </w:p>
    <w:p>
      <w:pPr>
        <w:spacing w:line="363" w:lineRule="exact" w:before="22"/>
        <w:ind w:left="140" w:right="0" w:firstLine="0"/>
        <w:jc w:val="left"/>
        <w:rPr>
          <w:sz w:val="21"/>
        </w:rPr>
      </w:pPr>
      <w:r>
        <w:rPr>
          <w:w w:val="95"/>
          <w:position w:val="11"/>
          <w:sz w:val="11"/>
        </w:rPr>
        <w:t>39</w:t>
      </w:r>
      <w:r>
        <w:rPr>
          <w:spacing w:val="21"/>
          <w:w w:val="95"/>
          <w:position w:val="11"/>
          <w:sz w:val="11"/>
        </w:rPr>
        <w:t> </w:t>
      </w:r>
      <w:r>
        <w:rPr>
          <w:rFonts w:ascii="微软雅黑" w:eastAsia="微软雅黑"/>
          <w:b/>
          <w:w w:val="95"/>
          <w:sz w:val="21"/>
        </w:rPr>
        <w:t>美</w:t>
      </w:r>
      <w:r>
        <w:rPr>
          <w:rFonts w:ascii="微软雅黑" w:eastAsia="微软雅黑"/>
          <w:b/>
          <w:w w:val="95"/>
          <w:sz w:val="21"/>
        </w:rPr>
        <w:t>国</w:t>
      </w:r>
      <w:r>
        <w:rPr>
          <w:rFonts w:ascii="微软雅黑" w:eastAsia="微软雅黑"/>
          <w:b/>
          <w:w w:val="95"/>
          <w:sz w:val="21"/>
        </w:rPr>
        <w:t>纽</w:t>
      </w:r>
      <w:r>
        <w:rPr>
          <w:rFonts w:ascii="微软雅黑" w:eastAsia="微软雅黑"/>
          <w:b/>
          <w:w w:val="95"/>
          <w:sz w:val="21"/>
        </w:rPr>
        <w:t>约</w:t>
      </w:r>
      <w:r>
        <w:rPr>
          <w:rFonts w:ascii="微软雅黑" w:eastAsia="微软雅黑"/>
          <w:b/>
          <w:w w:val="95"/>
          <w:sz w:val="21"/>
        </w:rPr>
        <w:t>心</w:t>
      </w:r>
      <w:r>
        <w:rPr>
          <w:rFonts w:ascii="微软雅黑" w:eastAsia="微软雅黑"/>
          <w:b/>
          <w:w w:val="95"/>
          <w:sz w:val="21"/>
        </w:rPr>
        <w:t>脏</w:t>
      </w:r>
      <w:r>
        <w:rPr>
          <w:rFonts w:ascii="微软雅黑" w:eastAsia="微软雅黑"/>
          <w:b/>
          <w:w w:val="95"/>
          <w:sz w:val="21"/>
        </w:rPr>
        <w:t>病</w:t>
      </w:r>
      <w:r>
        <w:rPr>
          <w:rFonts w:ascii="微软雅黑" w:eastAsia="微软雅黑"/>
          <w:b/>
          <w:w w:val="95"/>
          <w:sz w:val="21"/>
        </w:rPr>
        <w:t>学</w:t>
      </w:r>
      <w:r>
        <w:rPr>
          <w:rFonts w:ascii="微软雅黑" w:eastAsia="微软雅黑"/>
          <w:b/>
          <w:w w:val="95"/>
          <w:sz w:val="21"/>
        </w:rPr>
        <w:t>会（New</w:t>
      </w:r>
      <w:r>
        <w:rPr>
          <w:rFonts w:ascii="微软雅黑" w:eastAsia="微软雅黑"/>
          <w:b/>
          <w:spacing w:val="11"/>
          <w:sz w:val="21"/>
        </w:rPr>
        <w:t> </w:t>
      </w:r>
      <w:r>
        <w:rPr>
          <w:rFonts w:ascii="微软雅黑" w:eastAsia="微软雅黑"/>
          <w:b/>
          <w:w w:val="95"/>
          <w:sz w:val="21"/>
        </w:rPr>
        <w:t>York</w:t>
      </w:r>
      <w:r>
        <w:rPr>
          <w:rFonts w:ascii="微软雅黑" w:eastAsia="微软雅黑"/>
          <w:b/>
          <w:spacing w:val="11"/>
          <w:sz w:val="21"/>
        </w:rPr>
        <w:t> </w:t>
      </w:r>
      <w:r>
        <w:rPr>
          <w:rFonts w:ascii="微软雅黑" w:eastAsia="微软雅黑"/>
          <w:b/>
          <w:w w:val="95"/>
          <w:sz w:val="21"/>
        </w:rPr>
        <w:t>Heart</w:t>
      </w:r>
      <w:r>
        <w:rPr>
          <w:rFonts w:ascii="微软雅黑" w:eastAsia="微软雅黑"/>
          <w:b/>
          <w:spacing w:val="11"/>
          <w:sz w:val="21"/>
        </w:rPr>
        <w:t> </w:t>
      </w:r>
      <w:r>
        <w:rPr>
          <w:rFonts w:ascii="微软雅黑" w:eastAsia="微软雅黑"/>
          <w:b/>
          <w:w w:val="95"/>
          <w:sz w:val="21"/>
        </w:rPr>
        <w:t>Association，NYHA）</w:t>
      </w:r>
      <w:r>
        <w:rPr>
          <w:rFonts w:ascii="微软雅黑" w:eastAsia="微软雅黑"/>
          <w:b/>
          <w:w w:val="95"/>
          <w:sz w:val="21"/>
        </w:rPr>
        <w:t>心</w:t>
      </w:r>
      <w:r>
        <w:rPr>
          <w:rFonts w:ascii="微软雅黑" w:eastAsia="微软雅黑"/>
          <w:b/>
          <w:w w:val="95"/>
          <w:sz w:val="21"/>
        </w:rPr>
        <w:t>功</w:t>
      </w:r>
      <w:r>
        <w:rPr>
          <w:rFonts w:ascii="微软雅黑" w:eastAsia="微软雅黑"/>
          <w:b/>
          <w:w w:val="95"/>
          <w:sz w:val="21"/>
        </w:rPr>
        <w:t>能</w:t>
      </w:r>
      <w:r>
        <w:rPr>
          <w:rFonts w:ascii="微软雅黑" w:eastAsia="微软雅黑"/>
          <w:b/>
          <w:w w:val="95"/>
          <w:sz w:val="21"/>
        </w:rPr>
        <w:t>状</w:t>
      </w:r>
      <w:r>
        <w:rPr>
          <w:rFonts w:ascii="微软雅黑" w:eastAsia="微软雅黑"/>
          <w:b/>
          <w:w w:val="95"/>
          <w:sz w:val="21"/>
        </w:rPr>
        <w:t>态</w:t>
      </w:r>
      <w:r>
        <w:rPr>
          <w:rFonts w:ascii="微软雅黑" w:eastAsia="微软雅黑"/>
          <w:b/>
          <w:w w:val="95"/>
          <w:sz w:val="21"/>
        </w:rPr>
        <w:t>分</w:t>
      </w:r>
      <w:r>
        <w:rPr>
          <w:rFonts w:ascii="微软雅黑" w:eastAsia="微软雅黑"/>
          <w:b/>
          <w:w w:val="95"/>
          <w:sz w:val="21"/>
        </w:rPr>
        <w:t>级</w:t>
      </w:r>
      <w:r>
        <w:rPr>
          <w:w w:val="95"/>
          <w:sz w:val="21"/>
        </w:rPr>
        <w:t>：</w:t>
      </w:r>
      <w:r>
        <w:rPr>
          <w:w w:val="95"/>
          <w:sz w:val="21"/>
        </w:rPr>
        <w:t>美</w:t>
      </w:r>
      <w:r>
        <w:rPr>
          <w:spacing w:val="-2"/>
          <w:w w:val="95"/>
          <w:sz w:val="21"/>
        </w:rPr>
        <w:t>国纽约心脏病学会</w:t>
      </w:r>
    </w:p>
    <w:p>
      <w:pPr>
        <w:pStyle w:val="BodyText"/>
        <w:spacing w:line="245" w:lineRule="exact"/>
        <w:ind w:left="351"/>
      </w:pPr>
      <w:r>
        <w:rPr/>
        <w:t>（New</w:t>
      </w:r>
      <w:r>
        <w:rPr>
          <w:spacing w:val="-15"/>
        </w:rPr>
        <w:t> </w:t>
      </w:r>
      <w:r>
        <w:rPr/>
        <w:t>York</w:t>
      </w:r>
      <w:r>
        <w:rPr>
          <w:spacing w:val="-14"/>
        </w:rPr>
        <w:t> </w:t>
      </w:r>
      <w:r>
        <w:rPr/>
        <w:t>Heart</w:t>
      </w:r>
      <w:r>
        <w:rPr>
          <w:spacing w:val="-12"/>
        </w:rPr>
        <w:t> </w:t>
      </w:r>
      <w:r>
        <w:rPr/>
        <w:t>Association，NYHA）</w:t>
      </w:r>
      <w:r>
        <w:rPr>
          <w:spacing w:val="-1"/>
        </w:rPr>
        <w:t>将心功能状态分为四级：</w:t>
      </w:r>
    </w:p>
    <w:p>
      <w:pPr>
        <w:pStyle w:val="BodyText"/>
        <w:spacing w:before="4"/>
        <w:ind w:left="351"/>
      </w:pPr>
      <w:r>
        <w:rPr>
          <w:spacing w:val="-3"/>
        </w:rPr>
        <w:t>Ⅰ级：心脏病病人日常活动量不受限制，一般活动不引起乏力、呼吸困难等心衰症状。</w:t>
      </w:r>
    </w:p>
    <w:p>
      <w:pPr>
        <w:pStyle w:val="BodyText"/>
        <w:spacing w:line="244" w:lineRule="auto" w:before="3"/>
        <w:ind w:left="351" w:right="1104"/>
      </w:pPr>
      <w:r>
        <w:rPr>
          <w:spacing w:val="-2"/>
        </w:rPr>
        <w:t>Ⅱ级：心脏病病人体力活动轻度受限制，休息时无自觉症状，一般活动下可出现心衰症状。</w:t>
      </w:r>
      <w:r>
        <w:rPr>
          <w:spacing w:val="-2"/>
        </w:rPr>
        <w:t> Ⅲ级：心脏病病人体力活动明显受限，低于平时一般活动即引起心衰症状。</w:t>
      </w:r>
    </w:p>
    <w:p>
      <w:pPr>
        <w:pStyle w:val="BodyText"/>
        <w:spacing w:line="265" w:lineRule="exact"/>
        <w:ind w:left="351"/>
      </w:pPr>
      <w:r>
        <w:rPr>
          <w:spacing w:val="-3"/>
        </w:rPr>
        <w:t>Ⅳ级：心脏病病人不能从事任何体力活动，休息状态下也存在心衰症状，活动后加重。</w:t>
      </w:r>
    </w:p>
    <w:p>
      <w:pPr>
        <w:spacing w:after="0" w:line="265" w:lineRule="exact"/>
        <w:sectPr>
          <w:type w:val="continuous"/>
          <w:pgSz w:w="11910" w:h="16840"/>
          <w:pgMar w:header="877" w:footer="0" w:top="1100" w:bottom="280" w:left="1060" w:right="980"/>
        </w:sectPr>
      </w:pPr>
    </w:p>
    <w:p>
      <w:pPr>
        <w:pStyle w:val="BodyText"/>
        <w:spacing w:before="83"/>
        <w:ind w:left="2805"/>
      </w:pPr>
      <w:r>
        <w:rPr>
          <w:spacing w:val="-3"/>
        </w:rPr>
        <w:t>且已经实施了结肠切除或回肠造瘘术。</w:t>
      </w:r>
    </w:p>
    <w:p>
      <w:pPr>
        <w:pStyle w:val="BodyText"/>
        <w:spacing w:before="12"/>
        <w:rPr>
          <w:sz w:val="15"/>
        </w:rPr>
      </w:pPr>
    </w:p>
    <w:p>
      <w:pPr>
        <w:spacing w:after="0"/>
        <w:rPr>
          <w:sz w:val="15"/>
        </w:rPr>
        <w:sectPr>
          <w:pgSz w:w="11910" w:h="16840"/>
          <w:pgMar w:header="877" w:footer="0" w:top="1100" w:bottom="280" w:left="1060" w:right="980"/>
        </w:sectPr>
      </w:pPr>
    </w:p>
    <w:p>
      <w:pPr>
        <w:pStyle w:val="ListParagraph"/>
        <w:numPr>
          <w:ilvl w:val="0"/>
          <w:numId w:val="33"/>
        </w:numPr>
        <w:tabs>
          <w:tab w:pos="1210" w:val="left" w:leader="none"/>
          <w:tab w:pos="1211" w:val="left" w:leader="none"/>
        </w:tabs>
        <w:spacing w:line="168" w:lineRule="auto" w:before="87" w:after="0"/>
        <w:ind w:left="1210" w:right="0" w:hanging="958"/>
        <w:jc w:val="left"/>
        <w:rPr>
          <w:rFonts w:ascii="微软雅黑" w:eastAsia="微软雅黑"/>
          <w:b/>
          <w:sz w:val="21"/>
        </w:rPr>
      </w:pPr>
      <w:r>
        <w:rPr>
          <w:rFonts w:ascii="微软雅黑" w:eastAsia="微软雅黑"/>
          <w:b/>
          <w:spacing w:val="15"/>
          <w:sz w:val="21"/>
        </w:rPr>
        <w:t>严重多发性硬</w:t>
      </w:r>
      <w:r>
        <w:rPr>
          <w:rFonts w:ascii="微软雅黑" w:eastAsia="微软雅黑"/>
          <w:b/>
          <w:spacing w:val="-10"/>
          <w:sz w:val="21"/>
        </w:rPr>
        <w:t>化</w:t>
      </w:r>
    </w:p>
    <w:p>
      <w:pPr>
        <w:pStyle w:val="BodyText"/>
        <w:spacing w:line="242" w:lineRule="auto" w:before="71"/>
        <w:ind w:left="177" w:right="218"/>
      </w:pPr>
      <w:r>
        <w:rPr/>
        <w:br w:type="column"/>
      </w:r>
      <w:r>
        <w:rPr>
          <w:spacing w:val="-2"/>
        </w:rPr>
        <w:t>被保险人因脑及脊髓内的脱髓鞘病变而出现神经系统多灶性（多发性）多</w:t>
      </w:r>
      <w:r>
        <w:rPr/>
        <w:t>时相（</w:t>
      </w:r>
      <w:r>
        <w:rPr>
          <w:spacing w:val="-4"/>
        </w:rPr>
        <w:t>至少 </w:t>
      </w:r>
      <w:r>
        <w:rPr/>
        <w:t>6</w:t>
      </w:r>
      <w:r>
        <w:rPr>
          <w:spacing w:val="-3"/>
        </w:rPr>
        <w:t> 个月以内有一次以上</w:t>
      </w:r>
      <w:r>
        <w:rPr/>
        <w:t>（不包含一次）的发作）的病变，须由</w:t>
      </w:r>
      <w:r>
        <w:rPr>
          <w:spacing w:val="-11"/>
        </w:rPr>
        <w:t>计算机断层扫描</w:t>
      </w:r>
      <w:r>
        <w:rPr>
          <w:spacing w:val="-4"/>
        </w:rPr>
        <w:t>（CT）</w:t>
      </w:r>
      <w:r>
        <w:rPr>
          <w:spacing w:val="-19"/>
        </w:rPr>
        <w:t>、核磁共振检查</w:t>
      </w:r>
      <w:r>
        <w:rPr>
          <w:spacing w:val="-4"/>
        </w:rPr>
        <w:t>（MRI）</w:t>
      </w:r>
      <w:r>
        <w:rPr>
          <w:spacing w:val="-9"/>
        </w:rPr>
        <w:t>或正电子发射断层扫描</w:t>
      </w:r>
      <w:r>
        <w:rPr>
          <w:spacing w:val="-4"/>
        </w:rPr>
        <w:t>（PET）</w:t>
      </w:r>
      <w:r>
        <w:rPr>
          <w:spacing w:val="-2"/>
        </w:rPr>
        <w:t>等影像学检查证实，且已经造成自主生活能力完全丧失，无法独立完成六</w:t>
      </w:r>
      <w:r>
        <w:rPr>
          <w:spacing w:val="-1"/>
        </w:rPr>
        <w:t>项基本日常生活活动中的三项或三项以上，持续至少 </w:t>
      </w:r>
      <w:r>
        <w:rPr/>
        <w:t>180</w:t>
      </w:r>
      <w:r>
        <w:rPr>
          <w:spacing w:val="-9"/>
        </w:rPr>
        <w:t> 天。</w:t>
      </w:r>
    </w:p>
    <w:p>
      <w:pPr>
        <w:spacing w:after="0" w:line="242" w:lineRule="auto"/>
        <w:sectPr>
          <w:type w:val="continuous"/>
          <w:pgSz w:w="11910" w:h="16840"/>
          <w:pgMar w:header="877" w:footer="0" w:top="1100" w:bottom="280" w:left="1060" w:right="980"/>
          <w:cols w:num="2" w:equalWidth="0">
            <w:col w:w="2588" w:space="40"/>
            <w:col w:w="7242"/>
          </w:cols>
        </w:sectPr>
      </w:pPr>
    </w:p>
    <w:p>
      <w:pPr>
        <w:pStyle w:val="BodyText"/>
        <w:spacing w:before="12"/>
        <w:rPr>
          <w:sz w:val="15"/>
        </w:rPr>
      </w:pPr>
    </w:p>
    <w:p>
      <w:pPr>
        <w:spacing w:after="0"/>
        <w:rPr>
          <w:sz w:val="15"/>
        </w:rPr>
        <w:sectPr>
          <w:type w:val="continuous"/>
          <w:pgSz w:w="11910" w:h="16840"/>
          <w:pgMar w:header="877" w:footer="0" w:top="1100" w:bottom="280" w:left="1060" w:right="980"/>
        </w:sectPr>
      </w:pPr>
    </w:p>
    <w:p>
      <w:pPr>
        <w:pStyle w:val="ListParagraph"/>
        <w:numPr>
          <w:ilvl w:val="0"/>
          <w:numId w:val="33"/>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6"/>
          <w:sz w:val="21"/>
        </w:rPr>
        <w:t>严重 </w:t>
      </w:r>
      <w:r>
        <w:rPr>
          <w:rFonts w:ascii="微软雅黑" w:eastAsia="微软雅黑"/>
          <w:b/>
          <w:sz w:val="21"/>
        </w:rPr>
        <w:t>1</w:t>
      </w:r>
      <w:r>
        <w:rPr>
          <w:rFonts w:ascii="微软雅黑" w:eastAsia="微软雅黑"/>
          <w:b/>
          <w:spacing w:val="4"/>
          <w:sz w:val="21"/>
        </w:rPr>
        <w:t> 型糖尿</w:t>
      </w:r>
      <w:r>
        <w:rPr>
          <w:rFonts w:ascii="微软雅黑" w:eastAsia="微软雅黑"/>
          <w:b/>
          <w:spacing w:val="-10"/>
          <w:sz w:val="21"/>
        </w:rPr>
        <w:t>病</w:t>
      </w:r>
    </w:p>
    <w:p>
      <w:pPr>
        <w:pStyle w:val="BodyText"/>
        <w:spacing w:line="242" w:lineRule="auto" w:before="72"/>
        <w:ind w:left="171" w:right="323"/>
      </w:pPr>
      <w:r>
        <w:rPr/>
        <w:br w:type="column"/>
      </w:r>
      <w:r>
        <w:rPr>
          <w:spacing w:val="-2"/>
        </w:rPr>
        <w:t>指经我们认可医院的内分泌专科医生明确诊断为严重 </w:t>
      </w:r>
      <w:r>
        <w:rPr/>
        <w:t>1</w:t>
      </w:r>
      <w:r>
        <w:rPr>
          <w:spacing w:val="-7"/>
        </w:rPr>
        <w:t> 型糖尿病，且须同</w:t>
      </w:r>
      <w:r>
        <w:rPr>
          <w:spacing w:val="-2"/>
        </w:rPr>
        <w:t>时满足下列条件：</w:t>
      </w:r>
    </w:p>
    <w:p>
      <w:pPr>
        <w:pStyle w:val="ListParagraph"/>
        <w:numPr>
          <w:ilvl w:val="0"/>
          <w:numId w:val="39"/>
        </w:numPr>
        <w:tabs>
          <w:tab w:pos="701" w:val="left" w:leader="none"/>
        </w:tabs>
        <w:spacing w:line="240" w:lineRule="auto" w:before="1" w:after="0"/>
        <w:ind w:left="700" w:right="0" w:hanging="530"/>
        <w:jc w:val="left"/>
        <w:rPr>
          <w:sz w:val="21"/>
        </w:rPr>
      </w:pPr>
      <w:r>
        <w:rPr>
          <w:spacing w:val="-4"/>
          <w:sz w:val="21"/>
        </w:rPr>
        <w:t>必须持续性地依赖外源性胰岛素维持生命至少 </w:t>
      </w:r>
      <w:r>
        <w:rPr>
          <w:spacing w:val="-2"/>
          <w:sz w:val="21"/>
        </w:rPr>
        <w:t>180</w:t>
      </w:r>
      <w:r>
        <w:rPr>
          <w:spacing w:val="-13"/>
          <w:sz w:val="21"/>
        </w:rPr>
        <w:t> 天以上；</w:t>
      </w:r>
    </w:p>
    <w:p>
      <w:pPr>
        <w:pStyle w:val="ListParagraph"/>
        <w:numPr>
          <w:ilvl w:val="0"/>
          <w:numId w:val="39"/>
        </w:numPr>
        <w:tabs>
          <w:tab w:pos="701" w:val="left" w:leader="none"/>
        </w:tabs>
        <w:spacing w:line="240" w:lineRule="auto" w:before="2" w:after="0"/>
        <w:ind w:left="700" w:right="0" w:hanging="530"/>
        <w:jc w:val="left"/>
        <w:rPr>
          <w:sz w:val="21"/>
        </w:rPr>
      </w:pPr>
      <w:r>
        <w:rPr>
          <w:spacing w:val="-8"/>
          <w:sz w:val="21"/>
        </w:rPr>
        <w:t>血胰岛素测定、血 </w:t>
      </w:r>
      <w:r>
        <w:rPr>
          <w:spacing w:val="-2"/>
          <w:sz w:val="21"/>
        </w:rPr>
        <w:t>C</w:t>
      </w:r>
      <w:r>
        <w:rPr>
          <w:spacing w:val="-18"/>
          <w:sz w:val="21"/>
        </w:rPr>
        <w:t> 肽测定或尿 </w:t>
      </w:r>
      <w:r>
        <w:rPr>
          <w:spacing w:val="-2"/>
          <w:sz w:val="21"/>
        </w:rPr>
        <w:t>C</w:t>
      </w:r>
      <w:r>
        <w:rPr>
          <w:spacing w:val="-10"/>
          <w:sz w:val="21"/>
        </w:rPr>
        <w:t> 肽测定结果异常；</w:t>
      </w:r>
    </w:p>
    <w:p>
      <w:pPr>
        <w:pStyle w:val="ListParagraph"/>
        <w:numPr>
          <w:ilvl w:val="0"/>
          <w:numId w:val="39"/>
        </w:numPr>
        <w:tabs>
          <w:tab w:pos="701" w:val="left" w:leader="none"/>
        </w:tabs>
        <w:spacing w:line="240" w:lineRule="auto" w:before="5" w:after="0"/>
        <w:ind w:left="700" w:right="0" w:hanging="530"/>
        <w:jc w:val="left"/>
        <w:rPr>
          <w:sz w:val="21"/>
        </w:rPr>
      </w:pPr>
      <w:r>
        <w:rPr>
          <w:spacing w:val="-3"/>
          <w:sz w:val="21"/>
        </w:rPr>
        <w:t>出现下述三种并发症之一或一种以上：</w:t>
      </w:r>
    </w:p>
    <w:p>
      <w:pPr>
        <w:pStyle w:val="BodyText"/>
        <w:spacing w:before="3"/>
        <w:ind w:left="802"/>
      </w:pPr>
      <w:r>
        <w:rPr>
          <w:spacing w:val="-3"/>
        </w:rPr>
        <w:t>①并发增殖性视网膜病变；</w:t>
      </w:r>
    </w:p>
    <w:p>
      <w:pPr>
        <w:pStyle w:val="BodyText"/>
        <w:spacing w:before="4"/>
        <w:ind w:left="802"/>
      </w:pPr>
      <w:r>
        <w:rPr>
          <w:spacing w:val="-3"/>
        </w:rPr>
        <w:t>②并发心脏病变，并须植入心脏起搏器进行治疗；</w:t>
      </w:r>
    </w:p>
    <w:p>
      <w:pPr>
        <w:pStyle w:val="BodyText"/>
        <w:spacing w:before="2"/>
        <w:ind w:left="802"/>
      </w:pPr>
      <w:r>
        <w:rPr>
          <w:spacing w:val="-3"/>
        </w:rPr>
        <w:t>③至少一个脚趾发生坏疽并已达到手术切除指征。</w:t>
      </w:r>
    </w:p>
    <w:p>
      <w:pPr>
        <w:spacing w:after="0"/>
        <w:sectPr>
          <w:type w:val="continuous"/>
          <w:pgSz w:w="11910" w:h="16840"/>
          <w:pgMar w:header="877" w:footer="0" w:top="1100" w:bottom="280" w:left="1060" w:right="980"/>
          <w:cols w:num="2" w:equalWidth="0">
            <w:col w:w="2594" w:space="40"/>
            <w:col w:w="7236"/>
          </w:cols>
        </w:sectPr>
      </w:pPr>
    </w:p>
    <w:p>
      <w:pPr>
        <w:pStyle w:val="BodyText"/>
        <w:spacing w:before="12"/>
        <w:rPr>
          <w:sz w:val="15"/>
        </w:rPr>
      </w:pPr>
    </w:p>
    <w:p>
      <w:pPr>
        <w:spacing w:after="0"/>
        <w:rPr>
          <w:sz w:val="15"/>
        </w:rPr>
        <w:sectPr>
          <w:type w:val="continuous"/>
          <w:pgSz w:w="11910" w:h="16840"/>
          <w:pgMar w:header="877" w:footer="0" w:top="1100" w:bottom="280" w:left="1060" w:right="980"/>
        </w:sectPr>
      </w:pPr>
    </w:p>
    <w:p>
      <w:pPr>
        <w:pStyle w:val="ListParagraph"/>
        <w:numPr>
          <w:ilvl w:val="0"/>
          <w:numId w:val="33"/>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9"/>
          <w:sz w:val="21"/>
        </w:rPr>
        <w:t>全身性</w:t>
      </w:r>
      <w:r>
        <w:rPr>
          <w:rFonts w:ascii="微软雅黑" w:eastAsia="微软雅黑"/>
          <w:b/>
          <w:spacing w:val="-2"/>
          <w:sz w:val="21"/>
        </w:rPr>
        <w:t>（型</w:t>
      </w:r>
      <w:r>
        <w:rPr>
          <w:rFonts w:ascii="微软雅黑" w:eastAsia="微软雅黑"/>
          <w:b/>
          <w:spacing w:val="-51"/>
          <w:sz w:val="21"/>
        </w:rPr>
        <w:t>）</w:t>
      </w:r>
      <w:r>
        <w:rPr>
          <w:rFonts w:ascii="微软雅黑" w:eastAsia="微软雅黑"/>
          <w:b/>
          <w:spacing w:val="-2"/>
          <w:sz w:val="21"/>
        </w:rPr>
        <w:t>重</w:t>
      </w:r>
      <w:r>
        <w:rPr>
          <w:rFonts w:ascii="微软雅黑" w:eastAsia="微软雅黑"/>
          <w:b/>
          <w:spacing w:val="-4"/>
          <w:sz w:val="21"/>
        </w:rPr>
        <w:t>症肌无力</w:t>
      </w:r>
    </w:p>
    <w:p>
      <w:pPr>
        <w:pStyle w:val="BodyText"/>
        <w:spacing w:line="242" w:lineRule="auto" w:before="72"/>
        <w:ind w:left="176" w:right="326"/>
        <w:jc w:val="both"/>
      </w:pPr>
      <w:r>
        <w:rPr/>
        <w:br w:type="column"/>
      </w:r>
      <w:r>
        <w:rPr>
          <w:spacing w:val="-2"/>
        </w:rPr>
        <w:t>指一种神经与肌肉接头部位传递障碍的自身免疫性疾病，临床特征是局部</w:t>
      </w:r>
      <w:r>
        <w:rPr>
          <w:spacing w:val="-2"/>
        </w:rPr>
        <w:t>或全身横纹肌于活动时易于疲劳无力，颅神经眼外肌最易累及，也可累及</w:t>
      </w:r>
      <w:r>
        <w:rPr>
          <w:spacing w:val="-2"/>
        </w:rPr>
        <w:t>呼吸肌、下肢近端肌群乃至全身肌肉。本病须经相关专科医生出具医学诊</w:t>
      </w:r>
      <w:r>
        <w:rPr>
          <w:spacing w:val="-2"/>
        </w:rPr>
        <w:t>断证明，并且同时满足下列条件：</w:t>
      </w:r>
    </w:p>
    <w:p>
      <w:pPr>
        <w:pStyle w:val="ListParagraph"/>
        <w:numPr>
          <w:ilvl w:val="0"/>
          <w:numId w:val="40"/>
        </w:numPr>
        <w:tabs>
          <w:tab w:pos="706" w:val="left" w:leader="none"/>
        </w:tabs>
        <w:spacing w:line="242" w:lineRule="auto" w:before="2" w:after="0"/>
        <w:ind w:left="702" w:right="324" w:hanging="526"/>
        <w:jc w:val="left"/>
        <w:rPr>
          <w:sz w:val="21"/>
        </w:rPr>
      </w:pPr>
      <w:r>
        <w:rPr>
          <w:spacing w:val="-2"/>
          <w:sz w:val="21"/>
        </w:rPr>
        <w:t>出现眼睑下垂，或构音困难、进食呛咳，或由于肌无力累及呼吸肌而致机体呼吸功能不正常的危急状态即肌无力危象；</w:t>
      </w:r>
    </w:p>
    <w:p>
      <w:pPr>
        <w:pStyle w:val="ListParagraph"/>
        <w:numPr>
          <w:ilvl w:val="0"/>
          <w:numId w:val="40"/>
        </w:numPr>
        <w:tabs>
          <w:tab w:pos="706" w:val="left" w:leader="none"/>
        </w:tabs>
        <w:spacing w:line="194" w:lineRule="auto" w:before="42" w:after="0"/>
        <w:ind w:left="176" w:right="1596" w:firstLine="0"/>
        <w:jc w:val="left"/>
        <w:rPr>
          <w:rFonts w:ascii="微软雅黑" w:eastAsia="微软雅黑"/>
          <w:b/>
          <w:sz w:val="21"/>
        </w:rPr>
      </w:pPr>
      <w:r>
        <w:rPr>
          <w:spacing w:val="-2"/>
          <w:sz w:val="21"/>
        </w:rPr>
        <w:t>经胸腺切除或药物治疗 </w:t>
      </w:r>
      <w:r>
        <w:rPr>
          <w:sz w:val="21"/>
        </w:rPr>
        <w:t>180</w:t>
      </w:r>
      <w:r>
        <w:rPr>
          <w:spacing w:val="-5"/>
          <w:sz w:val="21"/>
        </w:rPr>
        <w:t> 日以上仍无法控制病情。</w:t>
      </w:r>
      <w:r>
        <w:rPr>
          <w:rFonts w:ascii="微软雅黑" w:eastAsia="微软雅黑"/>
          <w:b/>
          <w:spacing w:val="-2"/>
          <w:sz w:val="21"/>
        </w:rPr>
        <w:t>单纯眼肌型重症肌无力不在保障范围内。</w:t>
      </w:r>
    </w:p>
    <w:p>
      <w:pPr>
        <w:spacing w:after="0" w:line="194" w:lineRule="auto"/>
        <w:jc w:val="left"/>
        <w:rPr>
          <w:rFonts w:ascii="微软雅黑" w:eastAsia="微软雅黑"/>
          <w:sz w:val="21"/>
        </w:rPr>
        <w:sectPr>
          <w:type w:val="continuous"/>
          <w:pgSz w:w="11910" w:h="16840"/>
          <w:pgMar w:header="877" w:footer="0" w:top="1100" w:bottom="280" w:left="1060" w:right="980"/>
          <w:cols w:num="2" w:equalWidth="0">
            <w:col w:w="2589" w:space="40"/>
            <w:col w:w="7241"/>
          </w:cols>
        </w:sectPr>
      </w:pPr>
    </w:p>
    <w:p>
      <w:pPr>
        <w:pStyle w:val="BodyText"/>
        <w:spacing w:before="7"/>
        <w:rPr>
          <w:rFonts w:ascii="微软雅黑"/>
          <w:b/>
          <w:sz w:val="9"/>
        </w:rPr>
      </w:pPr>
    </w:p>
    <w:p>
      <w:pPr>
        <w:spacing w:after="0"/>
        <w:rPr>
          <w:rFonts w:ascii="微软雅黑"/>
          <w:sz w:val="9"/>
        </w:rPr>
        <w:sectPr>
          <w:type w:val="continuous"/>
          <w:pgSz w:w="11910" w:h="16840"/>
          <w:pgMar w:header="877" w:footer="0" w:top="1100" w:bottom="280" w:left="1060" w:right="980"/>
        </w:sectPr>
      </w:pPr>
    </w:p>
    <w:p>
      <w:pPr>
        <w:pStyle w:val="ListParagraph"/>
        <w:numPr>
          <w:ilvl w:val="0"/>
          <w:numId w:val="33"/>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严重类风湿性</w:t>
      </w:r>
      <w:r>
        <w:rPr>
          <w:rFonts w:ascii="微软雅黑" w:eastAsia="微软雅黑"/>
          <w:b/>
          <w:spacing w:val="-4"/>
          <w:sz w:val="21"/>
        </w:rPr>
        <w:t>关节炎</w:t>
      </w:r>
    </w:p>
    <w:p>
      <w:pPr>
        <w:pStyle w:val="BodyText"/>
        <w:spacing w:line="242" w:lineRule="auto" w:before="72"/>
        <w:ind w:left="177" w:right="323"/>
        <w:jc w:val="both"/>
      </w:pPr>
      <w:r>
        <w:rPr/>
        <w:br w:type="column"/>
      </w:r>
      <w:r>
        <w:rPr>
          <w:spacing w:val="-2"/>
        </w:rPr>
        <w:t>类风湿性关节炎为广泛分布的慢性进行性多关节病变，表现为关节严重变</w:t>
      </w:r>
      <w:r>
        <w:rPr>
          <w:spacing w:val="-4"/>
        </w:rPr>
        <w:t>形，侵犯至少三个主要关节或关节组[如：双手（多手指）关节、双足（多</w:t>
      </w:r>
      <w:r>
        <w:rPr>
          <w:spacing w:val="-4"/>
        </w:rPr>
        <w:t>足趾）关节、双腕关节、双膝关节和双髋关节]。类风湿性关节炎必须明确</w:t>
      </w:r>
      <w:r>
        <w:rPr>
          <w:spacing w:val="-2"/>
        </w:rPr>
        <w:t>诊断并且已经达到类风湿性关节炎功能分级Ⅲ级以上的功能障碍（关节活</w:t>
      </w:r>
      <w:r>
        <w:rPr>
          <w:spacing w:val="-2"/>
        </w:rPr>
        <w:t>动严重限制，不能完成大部分的日常工作和活动），并且自主生活能力完</w:t>
      </w:r>
      <w:r>
        <w:rPr>
          <w:spacing w:val="-4"/>
        </w:rPr>
        <w:t>全丧失，经鉴定至少持续 </w:t>
      </w:r>
      <w:r>
        <w:rPr>
          <w:spacing w:val="-2"/>
        </w:rPr>
        <w:t>180</w:t>
      </w:r>
      <w:r>
        <w:rPr>
          <w:spacing w:val="-7"/>
        </w:rPr>
        <w:t> 天无法独立完成六项基本日常生活活动中的</w:t>
      </w:r>
      <w:r>
        <w:rPr>
          <w:spacing w:val="-2"/>
        </w:rPr>
        <w:t>三项或三项以上。</w:t>
      </w:r>
    </w:p>
    <w:p>
      <w:pPr>
        <w:spacing w:after="0" w:line="242" w:lineRule="auto"/>
        <w:jc w:val="both"/>
        <w:sectPr>
          <w:type w:val="continuous"/>
          <w:pgSz w:w="11910" w:h="16840"/>
          <w:pgMar w:header="877" w:footer="0" w:top="1100" w:bottom="280" w:left="1060" w:right="980"/>
          <w:cols w:num="2" w:equalWidth="0">
            <w:col w:w="2588" w:space="40"/>
            <w:col w:w="7242"/>
          </w:cols>
        </w:sectPr>
      </w:pPr>
    </w:p>
    <w:p>
      <w:pPr>
        <w:pStyle w:val="BodyText"/>
        <w:rPr>
          <w:sz w:val="16"/>
        </w:rPr>
      </w:pPr>
    </w:p>
    <w:p>
      <w:pPr>
        <w:spacing w:after="0"/>
        <w:rPr>
          <w:sz w:val="16"/>
        </w:rPr>
        <w:sectPr>
          <w:type w:val="continuous"/>
          <w:pgSz w:w="11910" w:h="16840"/>
          <w:pgMar w:header="877" w:footer="0" w:top="1100" w:bottom="280" w:left="1060" w:right="980"/>
        </w:sectPr>
      </w:pPr>
    </w:p>
    <w:p>
      <w:pPr>
        <w:pStyle w:val="ListParagraph"/>
        <w:numPr>
          <w:ilvl w:val="0"/>
          <w:numId w:val="33"/>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严重脊髓灰质</w:t>
      </w:r>
      <w:r>
        <w:rPr>
          <w:rFonts w:ascii="微软雅黑" w:eastAsia="微软雅黑"/>
          <w:b/>
          <w:spacing w:val="-10"/>
          <w:sz w:val="21"/>
        </w:rPr>
        <w:t>炎</w:t>
      </w:r>
    </w:p>
    <w:p>
      <w:pPr>
        <w:pStyle w:val="BodyText"/>
        <w:spacing w:line="244" w:lineRule="auto" w:before="72"/>
        <w:ind w:left="177" w:right="326"/>
      </w:pPr>
      <w:r>
        <w:rPr/>
        <w:br w:type="column"/>
      </w:r>
      <w:r>
        <w:rPr>
          <w:spacing w:val="-2"/>
        </w:rPr>
        <w:t>脊髓灰质炎指由于脊髓灰质炎病毒感染所致的瘫痪性疾病，临床表现为运</w:t>
      </w:r>
      <w:r>
        <w:rPr>
          <w:spacing w:val="-2"/>
        </w:rPr>
        <w:t>动功能损害或呼吸无力。脊髓灰质炎必须明确诊断。</w:t>
      </w:r>
    </w:p>
    <w:p>
      <w:pPr>
        <w:pStyle w:val="BodyText"/>
        <w:spacing w:line="242" w:lineRule="auto"/>
        <w:ind w:left="177" w:right="323"/>
        <w:jc w:val="both"/>
      </w:pPr>
      <w:r>
        <w:rPr>
          <w:spacing w:val="-2"/>
        </w:rPr>
        <w:t>本合同所称“严重脊髓灰质炎”仅指脊髓灰质炎造成的神经系统功能损害</w:t>
      </w:r>
      <w:r>
        <w:rPr>
          <w:spacing w:val="-2"/>
        </w:rPr>
        <w:t>导致被保险人一肢或一肢以上肢体机能永久完全丧失的情形。肢体机能永</w:t>
      </w:r>
      <w:r>
        <w:rPr>
          <w:spacing w:val="-5"/>
        </w:rPr>
        <w:t>久完全丧失，指疾病确诊 </w:t>
      </w:r>
      <w:r>
        <w:rPr>
          <w:spacing w:val="-2"/>
        </w:rPr>
        <w:t>180</w:t>
      </w:r>
      <w:r>
        <w:rPr>
          <w:spacing w:val="-9"/>
        </w:rPr>
        <w:t> 天后，每肢三大关节中的两大关节仍然完全</w:t>
      </w:r>
    </w:p>
    <w:p>
      <w:pPr>
        <w:pStyle w:val="BodyText"/>
        <w:spacing w:line="237" w:lineRule="exact"/>
        <w:ind w:left="177"/>
        <w:jc w:val="both"/>
      </w:pPr>
      <w:r>
        <w:rPr>
          <w:spacing w:val="-5"/>
        </w:rPr>
        <w:t>僵硬，或不能随意识活动，或肢体肌力在 </w:t>
      </w:r>
      <w:r>
        <w:rPr>
          <w:spacing w:val="-2"/>
        </w:rPr>
        <w:t>2</w:t>
      </w:r>
      <w:r>
        <w:rPr>
          <w:spacing w:val="-23"/>
        </w:rPr>
        <w:t> 级</w:t>
      </w:r>
      <w:r>
        <w:rPr>
          <w:spacing w:val="-2"/>
        </w:rPr>
        <w:t>（含）</w:t>
      </w:r>
      <w:r>
        <w:rPr>
          <w:spacing w:val="-5"/>
        </w:rPr>
        <w:t>以下。</w:t>
      </w:r>
    </w:p>
    <w:p>
      <w:pPr>
        <w:spacing w:line="170" w:lineRule="auto" w:before="47"/>
        <w:ind w:left="177" w:right="333" w:firstLine="0"/>
        <w:jc w:val="left"/>
        <w:rPr>
          <w:rFonts w:ascii="微软雅黑" w:eastAsia="微软雅黑"/>
          <w:b/>
          <w:sz w:val="21"/>
        </w:rPr>
      </w:pPr>
      <w:r>
        <w:rPr>
          <w:rFonts w:ascii="微软雅黑" w:eastAsia="微软雅黑"/>
          <w:b/>
          <w:spacing w:val="3"/>
          <w:w w:val="100"/>
          <w:sz w:val="21"/>
        </w:rPr>
        <w:t>如果无因此感染而导致麻痹性瘫痪的事实结果，以及其他病因所致的麻</w:t>
      </w:r>
      <w:r>
        <w:rPr>
          <w:rFonts w:ascii="微软雅黑" w:eastAsia="微软雅黑"/>
          <w:b/>
          <w:spacing w:val="-2"/>
          <w:w w:val="100"/>
          <w:sz w:val="21"/>
        </w:rPr>
        <w:t>痹，例如格林巴利综合征则不属于本合同所说的脊髓灰质炎。</w:t>
      </w:r>
    </w:p>
    <w:p>
      <w:pPr>
        <w:spacing w:after="0" w:line="170" w:lineRule="auto"/>
        <w:jc w:val="left"/>
        <w:rPr>
          <w:rFonts w:asci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16"/>
        <w:rPr>
          <w:rFonts w:ascii="微软雅黑"/>
          <w:b/>
          <w:sz w:val="9"/>
        </w:rPr>
      </w:pPr>
    </w:p>
    <w:p>
      <w:pPr>
        <w:spacing w:after="0"/>
        <w:rPr>
          <w:rFonts w:ascii="微软雅黑"/>
          <w:sz w:val="9"/>
        </w:rPr>
        <w:sectPr>
          <w:type w:val="continuous"/>
          <w:pgSz w:w="11910" w:h="16840"/>
          <w:pgMar w:header="877" w:footer="0" w:top="1100" w:bottom="280" w:left="1060" w:right="980"/>
        </w:sectPr>
      </w:pPr>
    </w:p>
    <w:p>
      <w:pPr>
        <w:pStyle w:val="ListParagraph"/>
        <w:numPr>
          <w:ilvl w:val="0"/>
          <w:numId w:val="33"/>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重症急性坏死</w:t>
      </w:r>
      <w:r>
        <w:rPr>
          <w:rFonts w:ascii="微软雅黑" w:eastAsia="微软雅黑"/>
          <w:b/>
          <w:spacing w:val="-4"/>
          <w:sz w:val="21"/>
        </w:rPr>
        <w:t>性筋膜炎</w:t>
      </w:r>
    </w:p>
    <w:p>
      <w:pPr>
        <w:pStyle w:val="BodyText"/>
        <w:spacing w:before="71"/>
        <w:ind w:left="177"/>
      </w:pPr>
      <w:r>
        <w:rPr/>
        <w:br w:type="column"/>
      </w:r>
      <w:r>
        <w:rPr>
          <w:spacing w:val="-3"/>
        </w:rPr>
        <w:t>坏死性筋膜炎的诊断须同时符合下列要求：</w:t>
      </w:r>
    </w:p>
    <w:p>
      <w:pPr>
        <w:pStyle w:val="ListParagraph"/>
        <w:numPr>
          <w:ilvl w:val="0"/>
          <w:numId w:val="41"/>
        </w:numPr>
        <w:tabs>
          <w:tab w:pos="745" w:val="left" w:leader="none"/>
        </w:tabs>
        <w:spacing w:line="240" w:lineRule="auto" w:before="5" w:after="0"/>
        <w:ind w:left="744" w:right="0" w:hanging="568"/>
        <w:jc w:val="left"/>
        <w:rPr>
          <w:sz w:val="21"/>
        </w:rPr>
      </w:pPr>
      <w:r>
        <w:rPr>
          <w:spacing w:val="-3"/>
          <w:sz w:val="21"/>
        </w:rPr>
        <w:t>符合坏死性筋膜炎的一般临床表现；</w:t>
      </w:r>
    </w:p>
    <w:p>
      <w:pPr>
        <w:pStyle w:val="ListParagraph"/>
        <w:numPr>
          <w:ilvl w:val="0"/>
          <w:numId w:val="41"/>
        </w:numPr>
        <w:tabs>
          <w:tab w:pos="745" w:val="left" w:leader="none"/>
        </w:tabs>
        <w:spacing w:line="240" w:lineRule="auto" w:before="2" w:after="0"/>
        <w:ind w:left="744" w:right="0" w:hanging="568"/>
        <w:jc w:val="left"/>
        <w:rPr>
          <w:sz w:val="21"/>
        </w:rPr>
      </w:pPr>
      <w:r>
        <w:rPr>
          <w:spacing w:val="-3"/>
          <w:sz w:val="21"/>
        </w:rPr>
        <w:t>细菌培养检出致病菌；</w:t>
      </w:r>
    </w:p>
    <w:p>
      <w:pPr>
        <w:pStyle w:val="ListParagraph"/>
        <w:numPr>
          <w:ilvl w:val="0"/>
          <w:numId w:val="41"/>
        </w:numPr>
        <w:tabs>
          <w:tab w:pos="745" w:val="left" w:leader="none"/>
        </w:tabs>
        <w:spacing w:line="242" w:lineRule="auto" w:before="5" w:after="0"/>
        <w:ind w:left="744" w:right="330" w:hanging="567"/>
        <w:jc w:val="both"/>
        <w:rPr>
          <w:sz w:val="21"/>
        </w:rPr>
      </w:pPr>
      <w:r>
        <w:rPr>
          <w:spacing w:val="-2"/>
          <w:sz w:val="21"/>
        </w:rPr>
        <w:t>出现广泛性肌肉及软组织坏死，并导致身体受影响部位永久完全失</w:t>
      </w:r>
      <w:r>
        <w:rPr>
          <w:spacing w:val="-2"/>
          <w:sz w:val="21"/>
        </w:rPr>
        <w:t>去功能。所谓永久完全失去功能是指受影响部位的全部功能完全丧</w:t>
      </w:r>
      <w:r>
        <w:rPr>
          <w:spacing w:val="-6"/>
          <w:sz w:val="21"/>
        </w:rPr>
        <w:t>失超过 </w:t>
      </w:r>
      <w:r>
        <w:rPr>
          <w:sz w:val="21"/>
        </w:rPr>
        <w:t>180</w:t>
      </w:r>
      <w:r>
        <w:rPr>
          <w:spacing w:val="-9"/>
          <w:sz w:val="21"/>
        </w:rPr>
        <w:t> 天。</w:t>
      </w:r>
    </w:p>
    <w:p>
      <w:pPr>
        <w:spacing w:after="0" w:line="242" w:lineRule="auto"/>
        <w:jc w:val="both"/>
        <w:rPr>
          <w:sz w:val="21"/>
        </w:rPr>
        <w:sectPr>
          <w:type w:val="continuous"/>
          <w:pgSz w:w="11910" w:h="16840"/>
          <w:pgMar w:header="877" w:footer="0" w:top="1100" w:bottom="280" w:left="1060" w:right="980"/>
          <w:cols w:num="2" w:equalWidth="0">
            <w:col w:w="2588" w:space="40"/>
            <w:col w:w="7242"/>
          </w:cols>
        </w:sectPr>
      </w:pPr>
    </w:p>
    <w:p>
      <w:pPr>
        <w:pStyle w:val="BodyText"/>
        <w:spacing w:before="10"/>
        <w:rPr>
          <w:sz w:val="15"/>
        </w:rPr>
      </w:pPr>
    </w:p>
    <w:p>
      <w:pPr>
        <w:pStyle w:val="ListParagraph"/>
        <w:numPr>
          <w:ilvl w:val="0"/>
          <w:numId w:val="33"/>
        </w:numPr>
        <w:tabs>
          <w:tab w:pos="1210" w:val="left" w:leader="none"/>
          <w:tab w:pos="1211" w:val="left" w:leader="none"/>
        </w:tabs>
        <w:spacing w:line="220" w:lineRule="auto" w:before="27" w:after="0"/>
        <w:ind w:left="2805" w:right="220" w:hanging="2552"/>
        <w:jc w:val="both"/>
        <w:rPr>
          <w:sz w:val="21"/>
        </w:rPr>
      </w:pPr>
      <w:r>
        <w:rPr>
          <w:rFonts w:ascii="微软雅黑" w:eastAsia="微软雅黑"/>
          <w:b/>
          <w:spacing w:val="37"/>
          <w:sz w:val="21"/>
        </w:rPr>
        <w:t>系统性硬皮病 </w:t>
      </w:r>
      <w:r>
        <w:rPr>
          <w:sz w:val="21"/>
        </w:rPr>
        <w:t>指一种全身性的胶原血管性疾病，可以导致皮肤、血管及内脏器官进行性</w:t>
      </w:r>
      <w:r>
        <w:rPr>
          <w:spacing w:val="-2"/>
          <w:sz w:val="21"/>
        </w:rPr>
        <w:t>弥漫性纤维化。本病须经我们认可医院的专科医生明确确诊，诊断必须经</w:t>
      </w:r>
      <w:r>
        <w:rPr>
          <w:spacing w:val="-10"/>
          <w:sz w:val="21"/>
        </w:rPr>
        <w:t>活检及血清学检查证实，疾病必须是全身性，且须满足下列至少一项条件：</w:t>
      </w:r>
    </w:p>
    <w:p>
      <w:pPr>
        <w:spacing w:after="0" w:line="220" w:lineRule="auto"/>
        <w:jc w:val="both"/>
        <w:rPr>
          <w:sz w:val="21"/>
        </w:rPr>
        <w:sectPr>
          <w:type w:val="continuous"/>
          <w:pgSz w:w="11910" w:h="16840"/>
          <w:pgMar w:header="877" w:footer="0" w:top="1100" w:bottom="280" w:left="1060" w:right="980"/>
        </w:sectPr>
      </w:pPr>
    </w:p>
    <w:p>
      <w:pPr>
        <w:pStyle w:val="BodyText"/>
        <w:spacing w:before="8"/>
        <w:rPr>
          <w:sz w:val="8"/>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6997"/>
      </w:tblGrid>
      <w:tr>
        <w:trPr>
          <w:trHeight w:val="786" w:hRule="atLeast"/>
        </w:trPr>
        <w:tc>
          <w:tcPr>
            <w:tcW w:w="2492" w:type="dxa"/>
            <w:gridSpan w:val="2"/>
            <w:vMerge w:val="restart"/>
          </w:tcPr>
          <w:p>
            <w:pPr>
              <w:pStyle w:val="TableParagraph"/>
              <w:rPr>
                <w:rFonts w:ascii="Times New Roman"/>
                <w:sz w:val="20"/>
              </w:rPr>
            </w:pPr>
          </w:p>
        </w:tc>
        <w:tc>
          <w:tcPr>
            <w:tcW w:w="6997" w:type="dxa"/>
          </w:tcPr>
          <w:p>
            <w:pPr>
              <w:pStyle w:val="TableParagraph"/>
              <w:numPr>
                <w:ilvl w:val="0"/>
                <w:numId w:val="42"/>
              </w:numPr>
              <w:tabs>
                <w:tab w:pos="639" w:val="left" w:leader="none"/>
              </w:tabs>
              <w:spacing w:line="241" w:lineRule="exact" w:before="0" w:after="0"/>
              <w:ind w:left="638" w:right="0" w:hanging="530"/>
              <w:jc w:val="left"/>
              <w:rPr>
                <w:sz w:val="21"/>
              </w:rPr>
            </w:pPr>
            <w:r>
              <w:rPr>
                <w:spacing w:val="-3"/>
                <w:sz w:val="21"/>
              </w:rPr>
              <w:t>肺脏：肺部病变进而发展为肺间质纤维化和肺动脉高压；</w:t>
            </w:r>
          </w:p>
          <w:p>
            <w:pPr>
              <w:pStyle w:val="TableParagraph"/>
              <w:numPr>
                <w:ilvl w:val="0"/>
                <w:numId w:val="42"/>
              </w:numPr>
              <w:tabs>
                <w:tab w:pos="639" w:val="left" w:leader="none"/>
              </w:tabs>
              <w:spacing w:line="240" w:lineRule="auto" w:before="2" w:after="0"/>
              <w:ind w:left="638" w:right="0" w:hanging="530"/>
              <w:jc w:val="left"/>
              <w:rPr>
                <w:sz w:val="21"/>
              </w:rPr>
            </w:pPr>
            <w:r>
              <w:rPr>
                <w:spacing w:val="-3"/>
                <w:sz w:val="21"/>
              </w:rPr>
              <w:t>心脏：心功能受损达到美国纽约心脏病学会心功能状态分级Ⅳ级；</w:t>
            </w:r>
          </w:p>
          <w:p>
            <w:pPr>
              <w:pStyle w:val="TableParagraph"/>
              <w:numPr>
                <w:ilvl w:val="0"/>
                <w:numId w:val="42"/>
              </w:numPr>
              <w:tabs>
                <w:tab w:pos="639" w:val="left" w:leader="none"/>
              </w:tabs>
              <w:spacing w:line="250" w:lineRule="exact" w:before="5" w:after="0"/>
              <w:ind w:left="638" w:right="0" w:hanging="530"/>
              <w:jc w:val="left"/>
              <w:rPr>
                <w:sz w:val="21"/>
              </w:rPr>
            </w:pPr>
            <w:r>
              <w:rPr>
                <w:spacing w:val="-3"/>
                <w:sz w:val="21"/>
              </w:rPr>
              <w:t>肾脏：肾脏受损导致双肾功能慢性不可逆衰竭，达到尿毒症期。</w:t>
            </w:r>
          </w:p>
        </w:tc>
      </w:tr>
      <w:tr>
        <w:trPr>
          <w:trHeight w:val="1226" w:hRule="atLeast"/>
        </w:trPr>
        <w:tc>
          <w:tcPr>
            <w:tcW w:w="2492" w:type="dxa"/>
            <w:gridSpan w:val="2"/>
            <w:vMerge/>
            <w:tcBorders>
              <w:top w:val="nil"/>
            </w:tcBorders>
          </w:tcPr>
          <w:p>
            <w:pPr>
              <w:rPr>
                <w:sz w:val="2"/>
                <w:szCs w:val="2"/>
              </w:rPr>
            </w:pPr>
          </w:p>
        </w:tc>
        <w:tc>
          <w:tcPr>
            <w:tcW w:w="6997" w:type="dxa"/>
          </w:tcPr>
          <w:p>
            <w:pPr>
              <w:pStyle w:val="TableParagraph"/>
              <w:spacing w:line="265" w:lineRule="exact"/>
              <w:ind w:left="109"/>
              <w:rPr>
                <w:rFonts w:ascii="微软雅黑" w:eastAsia="微软雅黑"/>
                <w:b/>
                <w:sz w:val="21"/>
              </w:rPr>
            </w:pPr>
            <w:r>
              <w:rPr>
                <w:rFonts w:ascii="微软雅黑" w:eastAsia="微软雅黑"/>
                <w:b/>
                <w:spacing w:val="-3"/>
                <w:sz w:val="21"/>
              </w:rPr>
              <w:t>以下情况不在保障范围内：</w:t>
            </w:r>
          </w:p>
          <w:p>
            <w:pPr>
              <w:pStyle w:val="TableParagraph"/>
              <w:numPr>
                <w:ilvl w:val="0"/>
                <w:numId w:val="43"/>
              </w:numPr>
              <w:tabs>
                <w:tab w:pos="639" w:val="left" w:leader="none"/>
              </w:tabs>
              <w:spacing w:line="272" w:lineRule="exact" w:before="0" w:after="0"/>
              <w:ind w:left="638" w:right="0" w:hanging="530"/>
              <w:jc w:val="left"/>
              <w:rPr>
                <w:rFonts w:ascii="微软雅黑" w:eastAsia="微软雅黑"/>
                <w:b/>
                <w:sz w:val="21"/>
              </w:rPr>
            </w:pPr>
            <w:r>
              <w:rPr>
                <w:rFonts w:ascii="微软雅黑" w:eastAsia="微软雅黑"/>
                <w:b/>
                <w:spacing w:val="-2"/>
                <w:sz w:val="21"/>
              </w:rPr>
              <w:t>局限性硬皮病（如带状硬皮病或斑状损害</w:t>
            </w:r>
            <w:r>
              <w:rPr>
                <w:rFonts w:ascii="微软雅黑" w:eastAsia="微软雅黑"/>
                <w:b/>
                <w:spacing w:val="-5"/>
                <w:sz w:val="21"/>
              </w:rPr>
              <w:t>）；</w:t>
            </w:r>
          </w:p>
          <w:p>
            <w:pPr>
              <w:pStyle w:val="TableParagraph"/>
              <w:numPr>
                <w:ilvl w:val="0"/>
                <w:numId w:val="43"/>
              </w:numPr>
              <w:tabs>
                <w:tab w:pos="639" w:val="left" w:leader="none"/>
              </w:tabs>
              <w:spacing w:line="272" w:lineRule="exact" w:before="0" w:after="0"/>
              <w:ind w:left="638" w:right="0" w:hanging="530"/>
              <w:jc w:val="left"/>
              <w:rPr>
                <w:rFonts w:ascii="微软雅黑" w:eastAsia="微软雅黑"/>
                <w:b/>
                <w:sz w:val="21"/>
              </w:rPr>
            </w:pPr>
            <w:r>
              <w:rPr>
                <w:rFonts w:ascii="微软雅黑" w:eastAsia="微软雅黑"/>
                <w:b/>
                <w:spacing w:val="-2"/>
                <w:sz w:val="21"/>
              </w:rPr>
              <w:t>嗜酸性筋膜炎；</w:t>
            </w:r>
          </w:p>
          <w:p>
            <w:pPr>
              <w:pStyle w:val="TableParagraph"/>
              <w:numPr>
                <w:ilvl w:val="0"/>
                <w:numId w:val="43"/>
              </w:numPr>
              <w:tabs>
                <w:tab w:pos="639" w:val="left" w:leader="none"/>
              </w:tabs>
              <w:spacing w:line="330" w:lineRule="exact" w:before="0" w:after="0"/>
              <w:ind w:left="638" w:right="0" w:hanging="530"/>
              <w:jc w:val="left"/>
              <w:rPr>
                <w:rFonts w:ascii="微软雅黑" w:eastAsia="微软雅黑"/>
                <w:b/>
                <w:sz w:val="21"/>
              </w:rPr>
            </w:pPr>
            <w:r>
              <w:rPr>
                <w:rFonts w:ascii="微软雅黑" w:eastAsia="微软雅黑"/>
                <w:b/>
                <w:w w:val="85"/>
                <w:sz w:val="21"/>
              </w:rPr>
              <w:t>CREST</w:t>
            </w:r>
            <w:r>
              <w:rPr>
                <w:rFonts w:ascii="微软雅黑" w:eastAsia="微软雅黑"/>
                <w:b/>
                <w:spacing w:val="44"/>
                <w:sz w:val="21"/>
              </w:rPr>
              <w:t> </w:t>
            </w:r>
            <w:r>
              <w:rPr>
                <w:rFonts w:ascii="微软雅黑" w:eastAsia="微软雅黑"/>
                <w:b/>
                <w:w w:val="85"/>
                <w:sz w:val="21"/>
              </w:rPr>
              <w:t>综</w:t>
            </w:r>
            <w:r>
              <w:rPr>
                <w:rFonts w:ascii="微软雅黑" w:eastAsia="微软雅黑"/>
                <w:b/>
                <w:w w:val="85"/>
                <w:sz w:val="21"/>
              </w:rPr>
              <w:t>合</w:t>
            </w:r>
            <w:r>
              <w:rPr>
                <w:rFonts w:ascii="微软雅黑" w:eastAsia="微软雅黑"/>
                <w:b/>
                <w:w w:val="85"/>
                <w:sz w:val="21"/>
              </w:rPr>
              <w:t>征</w:t>
            </w:r>
            <w:r>
              <w:rPr>
                <w:rFonts w:ascii="微软雅黑" w:eastAsia="微软雅黑"/>
                <w:b/>
                <w:spacing w:val="-10"/>
                <w:w w:val="85"/>
                <w:sz w:val="21"/>
              </w:rPr>
              <w:t>。</w:t>
            </w:r>
          </w:p>
        </w:tc>
      </w:tr>
      <w:tr>
        <w:trPr>
          <w:trHeight w:val="1361" w:hRule="atLeast"/>
        </w:trPr>
        <w:tc>
          <w:tcPr>
            <w:tcW w:w="634" w:type="dxa"/>
          </w:tcPr>
          <w:p>
            <w:pPr>
              <w:pStyle w:val="TableParagraph"/>
              <w:spacing w:before="71"/>
              <w:ind w:left="50"/>
              <w:rPr>
                <w:rFonts w:ascii="微软雅黑"/>
                <w:b/>
                <w:sz w:val="21"/>
              </w:rPr>
            </w:pPr>
            <w:r>
              <w:rPr>
                <w:rFonts w:ascii="微软雅黑"/>
                <w:b/>
                <w:spacing w:val="-5"/>
                <w:w w:val="90"/>
                <w:sz w:val="21"/>
              </w:rPr>
              <w:t>36</w:t>
            </w:r>
          </w:p>
        </w:tc>
        <w:tc>
          <w:tcPr>
            <w:tcW w:w="1858" w:type="dxa"/>
          </w:tcPr>
          <w:p>
            <w:pPr>
              <w:pStyle w:val="TableParagraph"/>
              <w:spacing w:line="168" w:lineRule="auto" w:before="154"/>
              <w:ind w:left="373" w:right="106"/>
              <w:rPr>
                <w:rFonts w:ascii="微软雅黑" w:eastAsia="微软雅黑"/>
                <w:b/>
                <w:sz w:val="21"/>
              </w:rPr>
            </w:pPr>
            <w:r>
              <w:rPr>
                <w:rFonts w:ascii="微软雅黑" w:eastAsia="微软雅黑"/>
                <w:b/>
                <w:spacing w:val="15"/>
                <w:sz w:val="21"/>
              </w:rPr>
              <w:t>急性坏死性胰</w:t>
            </w:r>
            <w:r>
              <w:rPr>
                <w:rFonts w:ascii="微软雅黑" w:eastAsia="微软雅黑"/>
                <w:b/>
                <w:spacing w:val="-2"/>
                <w:sz w:val="21"/>
              </w:rPr>
              <w:t>腺炎开腹手术</w:t>
            </w:r>
          </w:p>
        </w:tc>
        <w:tc>
          <w:tcPr>
            <w:tcW w:w="6997" w:type="dxa"/>
          </w:tcPr>
          <w:p>
            <w:pPr>
              <w:pStyle w:val="TableParagraph"/>
              <w:spacing w:line="242" w:lineRule="auto" w:before="138"/>
              <w:ind w:left="109" w:right="152"/>
              <w:rPr>
                <w:sz w:val="21"/>
              </w:rPr>
            </w:pPr>
            <w:r>
              <w:rPr>
                <w:spacing w:val="-2"/>
                <w:sz w:val="21"/>
              </w:rPr>
              <w:t>指被保险人因为急性出血坏死性胰腺炎已经接受了外科开腹手术治疗，以</w:t>
            </w:r>
            <w:r>
              <w:rPr>
                <w:spacing w:val="-2"/>
                <w:sz w:val="21"/>
              </w:rPr>
              <w:t>进行坏死组织清除、坏死病灶切除或胰腺切除。</w:t>
            </w:r>
          </w:p>
          <w:p>
            <w:pPr>
              <w:pStyle w:val="TableParagraph"/>
              <w:spacing w:line="168" w:lineRule="auto" w:before="17"/>
              <w:ind w:left="109" w:right="159"/>
              <w:rPr>
                <w:rFonts w:ascii="微软雅黑" w:eastAsia="微软雅黑"/>
                <w:b/>
                <w:sz w:val="21"/>
              </w:rPr>
            </w:pPr>
            <w:r>
              <w:rPr>
                <w:rFonts w:ascii="微软雅黑" w:eastAsia="微软雅黑"/>
                <w:b/>
                <w:spacing w:val="3"/>
                <w:w w:val="100"/>
                <w:sz w:val="21"/>
              </w:rPr>
              <w:t>因饮酒所致的急性出血坏死性胰腺炎或经腹腔镜手术进行的治疗不在保障范围内。</w:t>
            </w:r>
          </w:p>
        </w:tc>
      </w:tr>
      <w:tr>
        <w:trPr>
          <w:trHeight w:val="2179" w:hRule="atLeast"/>
        </w:trPr>
        <w:tc>
          <w:tcPr>
            <w:tcW w:w="634" w:type="dxa"/>
          </w:tcPr>
          <w:p>
            <w:pPr>
              <w:pStyle w:val="TableParagraph"/>
              <w:spacing w:before="71"/>
              <w:ind w:left="50"/>
              <w:rPr>
                <w:rFonts w:ascii="微软雅黑"/>
                <w:b/>
                <w:sz w:val="21"/>
              </w:rPr>
            </w:pPr>
            <w:r>
              <w:rPr>
                <w:rFonts w:ascii="微软雅黑"/>
                <w:b/>
                <w:spacing w:val="-5"/>
                <w:w w:val="90"/>
                <w:sz w:val="21"/>
              </w:rPr>
              <w:t>37</w:t>
            </w:r>
          </w:p>
        </w:tc>
        <w:tc>
          <w:tcPr>
            <w:tcW w:w="1858" w:type="dxa"/>
          </w:tcPr>
          <w:p>
            <w:pPr>
              <w:pStyle w:val="TableParagraph"/>
              <w:spacing w:line="170" w:lineRule="auto" w:before="152"/>
              <w:ind w:left="373" w:right="106"/>
              <w:rPr>
                <w:rFonts w:ascii="微软雅黑" w:eastAsia="微软雅黑"/>
                <w:b/>
                <w:sz w:val="21"/>
              </w:rPr>
            </w:pPr>
            <w:r>
              <w:rPr>
                <w:rFonts w:ascii="微软雅黑" w:eastAsia="微软雅黑"/>
                <w:b/>
                <w:spacing w:val="15"/>
                <w:sz w:val="21"/>
              </w:rPr>
              <w:t>严重原发性硬</w:t>
            </w:r>
            <w:r>
              <w:rPr>
                <w:rFonts w:ascii="微软雅黑" w:eastAsia="微软雅黑"/>
                <w:b/>
                <w:spacing w:val="-2"/>
                <w:sz w:val="21"/>
              </w:rPr>
              <w:t>化性胆管炎</w:t>
            </w:r>
          </w:p>
        </w:tc>
        <w:tc>
          <w:tcPr>
            <w:tcW w:w="6997" w:type="dxa"/>
          </w:tcPr>
          <w:p>
            <w:pPr>
              <w:pStyle w:val="TableParagraph"/>
              <w:spacing w:line="242" w:lineRule="auto" w:before="138"/>
              <w:ind w:left="109" w:right="46"/>
              <w:rPr>
                <w:sz w:val="21"/>
              </w:rPr>
            </w:pPr>
            <w:r>
              <w:rPr>
                <w:spacing w:val="-2"/>
                <w:sz w:val="21"/>
              </w:rPr>
              <w:t>指一种胆汁淤积综合征，其特征是肝内、肝外胆道因非细菌性炎症、慢性</w:t>
            </w:r>
            <w:r>
              <w:rPr>
                <w:spacing w:val="-11"/>
                <w:sz w:val="21"/>
              </w:rPr>
              <w:t>纤维化性炎症逐渐狭窄，并最终导致完全阻塞而发展为胆汁淤积性肝硬化。</w:t>
            </w:r>
            <w:r>
              <w:rPr>
                <w:spacing w:val="-8"/>
                <w:sz w:val="21"/>
              </w:rPr>
              <w:t>本病须经内镜逆行胰胆管造影等影像学检查证实，并须满足下列全部条件：</w:t>
            </w:r>
          </w:p>
          <w:p>
            <w:pPr>
              <w:pStyle w:val="TableParagraph"/>
              <w:numPr>
                <w:ilvl w:val="0"/>
                <w:numId w:val="44"/>
              </w:numPr>
              <w:tabs>
                <w:tab w:pos="639" w:val="left" w:leader="none"/>
              </w:tabs>
              <w:spacing w:line="240" w:lineRule="auto" w:before="3" w:after="0"/>
              <w:ind w:left="638" w:right="0" w:hanging="530"/>
              <w:jc w:val="left"/>
              <w:rPr>
                <w:sz w:val="21"/>
              </w:rPr>
            </w:pPr>
            <w:r>
              <w:rPr>
                <w:spacing w:val="-5"/>
                <w:sz w:val="21"/>
              </w:rPr>
              <w:t>总胆红素和直接胆红素同时升高，血清 </w:t>
            </w:r>
            <w:r>
              <w:rPr>
                <w:spacing w:val="-2"/>
                <w:sz w:val="21"/>
              </w:rPr>
              <w:t>ALP&gt;200U/L；</w:t>
            </w:r>
          </w:p>
          <w:p>
            <w:pPr>
              <w:pStyle w:val="TableParagraph"/>
              <w:numPr>
                <w:ilvl w:val="0"/>
                <w:numId w:val="44"/>
              </w:numPr>
              <w:tabs>
                <w:tab w:pos="639" w:val="left" w:leader="none"/>
              </w:tabs>
              <w:spacing w:line="240" w:lineRule="auto" w:before="3" w:after="0"/>
              <w:ind w:left="638" w:right="0" w:hanging="530"/>
              <w:jc w:val="left"/>
              <w:rPr>
                <w:sz w:val="21"/>
              </w:rPr>
            </w:pPr>
            <w:r>
              <w:rPr>
                <w:spacing w:val="-4"/>
                <w:sz w:val="21"/>
              </w:rPr>
              <w:t>持续性黄疸病史；</w:t>
            </w:r>
          </w:p>
          <w:p>
            <w:pPr>
              <w:pStyle w:val="TableParagraph"/>
              <w:numPr>
                <w:ilvl w:val="0"/>
                <w:numId w:val="44"/>
              </w:numPr>
              <w:tabs>
                <w:tab w:pos="639" w:val="left" w:leader="none"/>
              </w:tabs>
              <w:spacing w:line="237" w:lineRule="exact" w:before="4" w:after="0"/>
              <w:ind w:left="638" w:right="0" w:hanging="530"/>
              <w:jc w:val="left"/>
              <w:rPr>
                <w:sz w:val="21"/>
              </w:rPr>
            </w:pPr>
            <w:r>
              <w:rPr>
                <w:spacing w:val="-3"/>
                <w:sz w:val="21"/>
              </w:rPr>
              <w:t>出现胆汁性肝硬化或门脉高压。</w:t>
            </w:r>
          </w:p>
          <w:p>
            <w:pPr>
              <w:pStyle w:val="TableParagraph"/>
              <w:spacing w:line="355" w:lineRule="exact"/>
              <w:ind w:left="109"/>
              <w:rPr>
                <w:rFonts w:ascii="微软雅黑" w:eastAsia="微软雅黑"/>
                <w:b/>
                <w:sz w:val="21"/>
              </w:rPr>
            </w:pPr>
            <w:r>
              <w:rPr>
                <w:rFonts w:ascii="微软雅黑" w:eastAsia="微软雅黑"/>
                <w:b/>
                <w:spacing w:val="-3"/>
                <w:sz w:val="21"/>
              </w:rPr>
              <w:t>因肿瘤或胆管损伤等继发性的硬化性胆管炎不在保障范围内。</w:t>
            </w:r>
          </w:p>
        </w:tc>
      </w:tr>
      <w:tr>
        <w:trPr>
          <w:trHeight w:val="815" w:hRule="atLeast"/>
        </w:trPr>
        <w:tc>
          <w:tcPr>
            <w:tcW w:w="634" w:type="dxa"/>
          </w:tcPr>
          <w:p>
            <w:pPr>
              <w:pStyle w:val="TableParagraph"/>
              <w:spacing w:before="71"/>
              <w:ind w:left="50"/>
              <w:rPr>
                <w:rFonts w:ascii="微软雅黑"/>
                <w:b/>
                <w:sz w:val="21"/>
              </w:rPr>
            </w:pPr>
            <w:r>
              <w:rPr>
                <w:rFonts w:ascii="微软雅黑"/>
                <w:b/>
                <w:spacing w:val="-5"/>
                <w:w w:val="90"/>
                <w:sz w:val="21"/>
              </w:rPr>
              <w:t>38</w:t>
            </w:r>
          </w:p>
        </w:tc>
        <w:tc>
          <w:tcPr>
            <w:tcW w:w="1858" w:type="dxa"/>
          </w:tcPr>
          <w:p>
            <w:pPr>
              <w:pStyle w:val="TableParagraph"/>
              <w:spacing w:before="71"/>
              <w:ind w:left="373"/>
              <w:rPr>
                <w:rFonts w:ascii="微软雅黑" w:eastAsia="微软雅黑"/>
                <w:b/>
                <w:sz w:val="21"/>
              </w:rPr>
            </w:pPr>
            <w:r>
              <w:rPr>
                <w:rFonts w:ascii="微软雅黑" w:eastAsia="微软雅黑"/>
                <w:b/>
                <w:spacing w:val="-2"/>
                <w:sz w:val="21"/>
              </w:rPr>
              <w:t>严重心肌炎</w:t>
            </w:r>
          </w:p>
        </w:tc>
        <w:tc>
          <w:tcPr>
            <w:tcW w:w="6997" w:type="dxa"/>
          </w:tcPr>
          <w:p>
            <w:pPr>
              <w:pStyle w:val="TableParagraph"/>
              <w:spacing w:line="242" w:lineRule="auto" w:before="138"/>
              <w:ind w:left="109" w:right="152"/>
              <w:rPr>
                <w:sz w:val="21"/>
              </w:rPr>
            </w:pPr>
            <w:r>
              <w:rPr>
                <w:spacing w:val="-2"/>
                <w:sz w:val="21"/>
              </w:rPr>
              <w:t>指心肌局限性或弥漫性的急性或慢性炎症病变，导致心脏功能障碍，达到</w:t>
            </w:r>
            <w:r>
              <w:rPr>
                <w:spacing w:val="-1"/>
                <w:sz w:val="21"/>
              </w:rPr>
              <w:t>美国纽约心脏病学会心功能状态分级Ⅳ级，且需持续至少 </w:t>
            </w:r>
            <w:r>
              <w:rPr>
                <w:sz w:val="21"/>
              </w:rPr>
              <w:t>90</w:t>
            </w:r>
            <w:r>
              <w:rPr>
                <w:spacing w:val="-9"/>
                <w:sz w:val="21"/>
              </w:rPr>
              <w:t> 天。</w:t>
            </w:r>
          </w:p>
        </w:tc>
      </w:tr>
      <w:tr>
        <w:trPr>
          <w:trHeight w:val="1196" w:hRule="atLeast"/>
        </w:trPr>
        <w:tc>
          <w:tcPr>
            <w:tcW w:w="634" w:type="dxa"/>
          </w:tcPr>
          <w:p>
            <w:pPr>
              <w:pStyle w:val="TableParagraph"/>
              <w:spacing w:before="71"/>
              <w:ind w:left="50"/>
              <w:rPr>
                <w:rFonts w:ascii="微软雅黑"/>
                <w:b/>
                <w:sz w:val="21"/>
              </w:rPr>
            </w:pPr>
            <w:r>
              <w:rPr>
                <w:rFonts w:ascii="微软雅黑"/>
                <w:b/>
                <w:spacing w:val="-5"/>
                <w:w w:val="90"/>
                <w:sz w:val="21"/>
              </w:rPr>
              <w:t>39</w:t>
            </w:r>
          </w:p>
        </w:tc>
        <w:tc>
          <w:tcPr>
            <w:tcW w:w="1858" w:type="dxa"/>
          </w:tcPr>
          <w:p>
            <w:pPr>
              <w:pStyle w:val="TableParagraph"/>
              <w:spacing w:line="170" w:lineRule="auto" w:before="151"/>
              <w:ind w:left="373" w:right="106"/>
              <w:rPr>
                <w:rFonts w:ascii="微软雅黑" w:eastAsia="微软雅黑"/>
                <w:b/>
                <w:sz w:val="21"/>
              </w:rPr>
            </w:pPr>
            <w:r>
              <w:rPr>
                <w:rFonts w:ascii="微软雅黑" w:eastAsia="微软雅黑"/>
                <w:b/>
                <w:spacing w:val="15"/>
                <w:sz w:val="21"/>
              </w:rPr>
              <w:t>严重肌营养不</w:t>
            </w:r>
            <w:r>
              <w:rPr>
                <w:rFonts w:ascii="微软雅黑" w:eastAsia="微软雅黑"/>
                <w:b/>
                <w:spacing w:val="-6"/>
                <w:sz w:val="21"/>
              </w:rPr>
              <w:t>良症</w:t>
            </w:r>
          </w:p>
        </w:tc>
        <w:tc>
          <w:tcPr>
            <w:tcW w:w="6997" w:type="dxa"/>
          </w:tcPr>
          <w:p>
            <w:pPr>
              <w:pStyle w:val="TableParagraph"/>
              <w:spacing w:line="244" w:lineRule="auto" w:before="138"/>
              <w:ind w:left="109" w:right="152"/>
              <w:rPr>
                <w:sz w:val="21"/>
              </w:rPr>
            </w:pPr>
            <w:r>
              <w:rPr>
                <w:spacing w:val="-2"/>
                <w:sz w:val="21"/>
              </w:rPr>
              <w:t>指一组原发于肌肉的遗传性疾病，临床表现为与神经系统无关的肌肉无力</w:t>
            </w:r>
            <w:r>
              <w:rPr>
                <w:spacing w:val="-2"/>
                <w:sz w:val="21"/>
              </w:rPr>
              <w:t>和肌肉萎缩。须满足下列全部条件：</w:t>
            </w:r>
          </w:p>
          <w:p>
            <w:pPr>
              <w:pStyle w:val="TableParagraph"/>
              <w:numPr>
                <w:ilvl w:val="0"/>
                <w:numId w:val="45"/>
              </w:numPr>
              <w:tabs>
                <w:tab w:pos="639" w:val="left" w:leader="none"/>
              </w:tabs>
              <w:spacing w:line="265" w:lineRule="exact" w:before="0" w:after="0"/>
              <w:ind w:left="638" w:right="0" w:hanging="530"/>
              <w:jc w:val="left"/>
              <w:rPr>
                <w:sz w:val="21"/>
              </w:rPr>
            </w:pPr>
            <w:r>
              <w:rPr>
                <w:spacing w:val="-3"/>
                <w:sz w:val="21"/>
              </w:rPr>
              <w:t>肌电图显示典型肌营养不良症的阳性改变；</w:t>
            </w:r>
          </w:p>
          <w:p>
            <w:pPr>
              <w:pStyle w:val="TableParagraph"/>
              <w:numPr>
                <w:ilvl w:val="0"/>
                <w:numId w:val="45"/>
              </w:numPr>
              <w:tabs>
                <w:tab w:pos="639" w:val="left" w:leader="none"/>
              </w:tabs>
              <w:spacing w:line="220" w:lineRule="exact" w:before="5" w:after="0"/>
              <w:ind w:left="638" w:right="0" w:hanging="530"/>
              <w:jc w:val="left"/>
              <w:rPr>
                <w:sz w:val="21"/>
              </w:rPr>
            </w:pPr>
            <w:r>
              <w:rPr>
                <w:spacing w:val="-5"/>
                <w:sz w:val="21"/>
              </w:rPr>
              <w:t>肌肉组织活检结果满足肌营养不良症的肌肉细胞变性、坏死等阳性改</w:t>
            </w:r>
          </w:p>
        </w:tc>
      </w:tr>
    </w:tbl>
    <w:p>
      <w:pPr>
        <w:pStyle w:val="BodyText"/>
        <w:spacing w:before="34"/>
        <w:ind w:left="3330"/>
      </w:pPr>
      <w:r>
        <w:rPr>
          <w:spacing w:val="-5"/>
        </w:rPr>
        <w:t>变；</w:t>
      </w:r>
    </w:p>
    <w:p>
      <w:pPr>
        <w:pStyle w:val="BodyText"/>
        <w:spacing w:line="242" w:lineRule="auto" w:before="5"/>
        <w:ind w:left="3330" w:right="324" w:hanging="526"/>
      </w:pPr>
      <w:r>
        <w:rPr>
          <w:spacing w:val="-4"/>
        </w:rPr>
        <w:t>（3）自主生活能力严重丧失，无法独立完成六项基本日常生活活动中的三</w:t>
      </w:r>
      <w:r>
        <w:rPr>
          <w:spacing w:val="-2"/>
        </w:rPr>
        <w:t>项或三项以上。</w:t>
      </w:r>
    </w:p>
    <w:p>
      <w:pPr>
        <w:pStyle w:val="BodyText"/>
        <w:spacing w:line="242" w:lineRule="auto" w:before="1"/>
        <w:ind w:left="2805" w:right="326"/>
      </w:pPr>
      <w:r>
        <w:rPr>
          <w:spacing w:val="-2"/>
        </w:rPr>
        <w:t>我们承担本项疾病责任不受本合同“责任免除”中“遗传性疾病、先天性</w:t>
      </w:r>
      <w:r>
        <w:rPr>
          <w:spacing w:val="-2"/>
        </w:rPr>
        <w:t>畸形、变形或染色体异常”的限制。</w:t>
      </w:r>
    </w:p>
    <w:p>
      <w:pPr>
        <w:pStyle w:val="BodyText"/>
        <w:spacing w:before="4"/>
        <w:rPr>
          <w:sz w:val="22"/>
        </w:rPr>
      </w:pPr>
    </w:p>
    <w:p>
      <w:pPr>
        <w:pStyle w:val="ListParagraph"/>
        <w:numPr>
          <w:ilvl w:val="0"/>
          <w:numId w:val="46"/>
        </w:numPr>
        <w:tabs>
          <w:tab w:pos="1210" w:val="left" w:leader="none"/>
          <w:tab w:pos="1211" w:val="left" w:leader="none"/>
          <w:tab w:pos="2804" w:val="left" w:leader="none"/>
        </w:tabs>
        <w:spacing w:line="170" w:lineRule="auto" w:before="0" w:after="0"/>
        <w:ind w:left="2805" w:right="326" w:hanging="2552"/>
        <w:jc w:val="left"/>
        <w:rPr>
          <w:sz w:val="21"/>
        </w:rPr>
      </w:pPr>
      <w:r>
        <w:rPr>
          <w:rFonts w:ascii="微软雅黑" w:eastAsia="微软雅黑"/>
          <w:b/>
          <w:spacing w:val="-4"/>
          <w:sz w:val="21"/>
        </w:rPr>
        <w:t>颅</w:t>
      </w:r>
      <w:r>
        <w:rPr>
          <w:rFonts w:ascii="微软雅黑" w:eastAsia="微软雅黑"/>
          <w:b/>
          <w:spacing w:val="-4"/>
          <w:sz w:val="21"/>
        </w:rPr>
        <w:t>脑</w:t>
      </w:r>
      <w:r>
        <w:rPr>
          <w:rFonts w:ascii="微软雅黑" w:eastAsia="微软雅黑"/>
          <w:b/>
          <w:spacing w:val="-4"/>
          <w:sz w:val="21"/>
        </w:rPr>
        <w:t>手</w:t>
      </w:r>
      <w:r>
        <w:rPr>
          <w:rFonts w:ascii="微软雅黑" w:eastAsia="微软雅黑"/>
          <w:b/>
          <w:spacing w:val="-4"/>
          <w:sz w:val="21"/>
        </w:rPr>
        <w:t>术</w:t>
      </w:r>
      <w:r>
        <w:rPr>
          <w:rFonts w:ascii="微软雅黑" w:eastAsia="微软雅黑"/>
          <w:b/>
          <w:sz w:val="21"/>
        </w:rPr>
        <w:tab/>
      </w:r>
      <w:r>
        <w:rPr>
          <w:spacing w:val="-2"/>
          <w:sz w:val="21"/>
        </w:rPr>
        <w:t>指</w:t>
      </w:r>
      <w:r>
        <w:rPr>
          <w:spacing w:val="-2"/>
          <w:sz w:val="21"/>
        </w:rPr>
        <w:t>被</w:t>
      </w:r>
      <w:r>
        <w:rPr>
          <w:spacing w:val="-2"/>
          <w:sz w:val="21"/>
        </w:rPr>
        <w:t>保</w:t>
      </w:r>
      <w:r>
        <w:rPr>
          <w:spacing w:val="-2"/>
          <w:sz w:val="21"/>
        </w:rPr>
        <w:t>险人因</w:t>
      </w:r>
      <w:r>
        <w:rPr>
          <w:spacing w:val="-2"/>
          <w:sz w:val="21"/>
        </w:rPr>
        <w:t>疾</w:t>
      </w:r>
      <w:r>
        <w:rPr>
          <w:spacing w:val="-2"/>
          <w:sz w:val="21"/>
        </w:rPr>
        <w:t>病</w:t>
      </w:r>
      <w:r>
        <w:rPr>
          <w:spacing w:val="-2"/>
          <w:sz w:val="21"/>
        </w:rPr>
        <w:t>已经实</w:t>
      </w:r>
      <w:r>
        <w:rPr>
          <w:spacing w:val="-2"/>
          <w:sz w:val="21"/>
        </w:rPr>
        <w:t>施</w:t>
      </w:r>
      <w:r>
        <w:rPr>
          <w:spacing w:val="-2"/>
          <w:sz w:val="21"/>
        </w:rPr>
        <w:t>了</w:t>
      </w:r>
      <w:r>
        <w:rPr>
          <w:spacing w:val="-2"/>
          <w:sz w:val="21"/>
        </w:rPr>
        <w:t>全</w:t>
      </w:r>
      <w:r>
        <w:rPr>
          <w:spacing w:val="-2"/>
          <w:sz w:val="21"/>
        </w:rPr>
        <w:t>麻下的</w:t>
      </w:r>
      <w:r>
        <w:rPr>
          <w:spacing w:val="-2"/>
          <w:sz w:val="21"/>
        </w:rPr>
        <w:t>开</w:t>
      </w:r>
      <w:r>
        <w:rPr>
          <w:spacing w:val="-2"/>
          <w:sz w:val="21"/>
        </w:rPr>
        <w:t>颅</w:t>
      </w:r>
      <w:r>
        <w:rPr>
          <w:spacing w:val="-2"/>
          <w:sz w:val="21"/>
        </w:rPr>
        <w:t>手术（</w:t>
      </w:r>
      <w:r>
        <w:rPr>
          <w:spacing w:val="-2"/>
          <w:sz w:val="21"/>
        </w:rPr>
        <w:t>以</w:t>
      </w:r>
      <w:r>
        <w:rPr>
          <w:spacing w:val="-2"/>
          <w:sz w:val="21"/>
        </w:rPr>
        <w:t>切</w:t>
      </w:r>
      <w:r>
        <w:rPr>
          <w:spacing w:val="-2"/>
          <w:sz w:val="21"/>
        </w:rPr>
        <w:t>开</w:t>
      </w:r>
      <w:r>
        <w:rPr>
          <w:spacing w:val="-2"/>
          <w:sz w:val="21"/>
        </w:rPr>
        <w:t>硬脑膜</w:t>
      </w:r>
      <w:r>
        <w:rPr>
          <w:spacing w:val="-2"/>
          <w:sz w:val="21"/>
        </w:rPr>
        <w:t>为</w:t>
      </w:r>
      <w:r>
        <w:rPr>
          <w:spacing w:val="-2"/>
          <w:sz w:val="21"/>
        </w:rPr>
        <w:t>准</w:t>
      </w:r>
      <w:r>
        <w:rPr>
          <w:spacing w:val="-2"/>
          <w:sz w:val="21"/>
        </w:rPr>
        <w:t>；</w:t>
      </w:r>
      <w:r>
        <w:rPr>
          <w:rFonts w:ascii="微软雅黑" w:eastAsia="微软雅黑"/>
          <w:b/>
          <w:spacing w:val="-2"/>
          <w:sz w:val="21"/>
        </w:rPr>
        <w:t>不</w:t>
      </w:r>
      <w:r>
        <w:rPr>
          <w:rFonts w:ascii="微软雅黑" w:eastAsia="微软雅黑"/>
          <w:b/>
          <w:spacing w:val="-2"/>
          <w:sz w:val="21"/>
        </w:rPr>
        <w:t>包</w:t>
      </w:r>
      <w:r>
        <w:rPr>
          <w:rFonts w:ascii="微软雅黑" w:eastAsia="微软雅黑"/>
          <w:b/>
          <w:spacing w:val="-2"/>
          <w:sz w:val="21"/>
        </w:rPr>
        <w:t>括</w:t>
      </w:r>
      <w:r>
        <w:rPr>
          <w:rFonts w:ascii="微软雅黑" w:eastAsia="微软雅黑"/>
          <w:b/>
          <w:spacing w:val="-2"/>
          <w:sz w:val="21"/>
        </w:rPr>
        <w:t>颅</w:t>
      </w:r>
      <w:r>
        <w:rPr>
          <w:rFonts w:ascii="微软雅黑" w:eastAsia="微软雅黑"/>
          <w:b/>
          <w:spacing w:val="-2"/>
          <w:sz w:val="21"/>
        </w:rPr>
        <w:t>骨</w:t>
      </w:r>
      <w:r>
        <w:rPr>
          <w:rFonts w:ascii="微软雅黑" w:eastAsia="微软雅黑"/>
          <w:b/>
          <w:spacing w:val="-2"/>
          <w:sz w:val="21"/>
        </w:rPr>
        <w:t>钻</w:t>
      </w:r>
      <w:r>
        <w:rPr>
          <w:rFonts w:ascii="微软雅黑" w:eastAsia="微软雅黑"/>
          <w:b/>
          <w:spacing w:val="-2"/>
          <w:sz w:val="21"/>
        </w:rPr>
        <w:t>孔</w:t>
      </w:r>
      <w:r>
        <w:rPr>
          <w:rFonts w:ascii="微软雅黑" w:eastAsia="微软雅黑"/>
          <w:b/>
          <w:spacing w:val="-2"/>
          <w:sz w:val="21"/>
        </w:rPr>
        <w:t>手</w:t>
      </w:r>
      <w:r>
        <w:rPr>
          <w:rFonts w:ascii="微软雅黑" w:eastAsia="微软雅黑"/>
          <w:b/>
          <w:spacing w:val="-2"/>
          <w:sz w:val="21"/>
        </w:rPr>
        <w:t>术</w:t>
      </w:r>
      <w:r>
        <w:rPr>
          <w:rFonts w:ascii="微软雅黑" w:eastAsia="微软雅黑"/>
          <w:b/>
          <w:spacing w:val="-2"/>
          <w:sz w:val="21"/>
        </w:rPr>
        <w:t>、不包</w:t>
      </w:r>
      <w:r>
        <w:rPr>
          <w:rFonts w:ascii="微软雅黑" w:eastAsia="微软雅黑"/>
          <w:b/>
          <w:spacing w:val="-2"/>
          <w:sz w:val="21"/>
        </w:rPr>
        <w:t>括</w:t>
      </w:r>
      <w:r>
        <w:rPr>
          <w:rFonts w:ascii="微软雅黑" w:eastAsia="微软雅黑"/>
          <w:b/>
          <w:spacing w:val="-2"/>
          <w:sz w:val="21"/>
        </w:rPr>
        <w:t>经</w:t>
      </w:r>
      <w:r>
        <w:rPr>
          <w:rFonts w:ascii="微软雅黑" w:eastAsia="微软雅黑"/>
          <w:b/>
          <w:spacing w:val="-2"/>
          <w:sz w:val="21"/>
        </w:rPr>
        <w:t>鼻</w:t>
      </w:r>
      <w:r>
        <w:rPr>
          <w:rFonts w:ascii="微软雅黑" w:eastAsia="微软雅黑"/>
          <w:b/>
          <w:spacing w:val="-2"/>
          <w:sz w:val="21"/>
        </w:rPr>
        <w:t>蝶</w:t>
      </w:r>
      <w:r>
        <w:rPr>
          <w:rFonts w:ascii="微软雅黑" w:eastAsia="微软雅黑"/>
          <w:b/>
          <w:spacing w:val="-2"/>
          <w:sz w:val="21"/>
        </w:rPr>
        <w:t>窦</w:t>
      </w:r>
      <w:r>
        <w:rPr>
          <w:rFonts w:ascii="微软雅黑" w:eastAsia="微软雅黑"/>
          <w:b/>
          <w:spacing w:val="-2"/>
          <w:sz w:val="21"/>
        </w:rPr>
        <w:t>入</w:t>
      </w:r>
      <w:r>
        <w:rPr>
          <w:rFonts w:ascii="微软雅黑" w:eastAsia="微软雅黑"/>
          <w:b/>
          <w:spacing w:val="-2"/>
          <w:sz w:val="21"/>
        </w:rPr>
        <w:t>颅</w:t>
      </w:r>
      <w:r>
        <w:rPr>
          <w:rFonts w:ascii="微软雅黑" w:eastAsia="微软雅黑"/>
          <w:b/>
          <w:spacing w:val="-2"/>
          <w:sz w:val="21"/>
        </w:rPr>
        <w:t>的</w:t>
      </w:r>
      <w:r>
        <w:rPr>
          <w:rFonts w:ascii="微软雅黑" w:eastAsia="微软雅黑"/>
          <w:b/>
          <w:spacing w:val="-2"/>
          <w:sz w:val="21"/>
        </w:rPr>
        <w:t>手术</w:t>
      </w:r>
      <w:r>
        <w:rPr>
          <w:spacing w:val="-2"/>
          <w:sz w:val="21"/>
        </w:rPr>
        <w:t>）</w:t>
      </w:r>
      <w:r>
        <w:rPr>
          <w:spacing w:val="-2"/>
          <w:sz w:val="21"/>
        </w:rPr>
        <w:t>。</w:t>
      </w:r>
    </w:p>
    <w:p>
      <w:pPr>
        <w:spacing w:line="170" w:lineRule="auto" w:before="0"/>
        <w:ind w:left="2805" w:right="333" w:firstLine="0"/>
        <w:jc w:val="left"/>
        <w:rPr>
          <w:rFonts w:ascii="微软雅黑" w:eastAsia="微软雅黑"/>
          <w:b/>
          <w:sz w:val="21"/>
        </w:rPr>
      </w:pPr>
      <w:r>
        <w:rPr>
          <w:rFonts w:ascii="微软雅黑" w:eastAsia="微软雅黑"/>
          <w:b/>
          <w:spacing w:val="3"/>
          <w:w w:val="100"/>
          <w:sz w:val="21"/>
        </w:rPr>
        <w:t>理赔时必须提供由我们认可医院的神经外科专科医生出具的诊断书及手术报告。</w:t>
      </w:r>
    </w:p>
    <w:p>
      <w:pPr>
        <w:spacing w:line="170" w:lineRule="auto" w:before="0"/>
        <w:ind w:left="2805" w:right="326" w:firstLine="0"/>
        <w:jc w:val="left"/>
        <w:rPr>
          <w:rFonts w:ascii="微软雅黑" w:eastAsia="微软雅黑"/>
          <w:b/>
          <w:sz w:val="21"/>
        </w:rPr>
      </w:pPr>
      <w:r>
        <w:rPr>
          <w:rFonts w:ascii="微软雅黑" w:eastAsia="微软雅黑"/>
          <w:b/>
          <w:spacing w:val="-2"/>
          <w:sz w:val="21"/>
        </w:rPr>
        <w:t>因外伤及除脑垂体瘤、脑囊肿、颅内血管性疾病以外的良性颅内肿瘤而实</w:t>
      </w:r>
      <w:r>
        <w:rPr>
          <w:rFonts w:ascii="微软雅黑" w:eastAsia="微软雅黑"/>
          <w:b/>
          <w:spacing w:val="-2"/>
          <w:sz w:val="21"/>
        </w:rPr>
        <w:t>施的颅脑手术不在保障范围内。</w:t>
      </w:r>
    </w:p>
    <w:p>
      <w:pPr>
        <w:pStyle w:val="BodyText"/>
        <w:spacing w:before="9"/>
        <w:rPr>
          <w:rFonts w:ascii="微软雅黑"/>
          <w:b/>
          <w:sz w:val="9"/>
        </w:rPr>
      </w:pPr>
    </w:p>
    <w:p>
      <w:pPr>
        <w:spacing w:after="0"/>
        <w:rPr>
          <w:rFonts w:ascii="微软雅黑"/>
          <w:sz w:val="9"/>
        </w:rPr>
        <w:sectPr>
          <w:pgSz w:w="11910" w:h="16840"/>
          <w:pgMar w:header="877" w:footer="0" w:top="1100" w:bottom="280" w:left="1060" w:right="980"/>
        </w:sectPr>
      </w:pPr>
    </w:p>
    <w:p>
      <w:pPr>
        <w:pStyle w:val="ListParagraph"/>
        <w:numPr>
          <w:ilvl w:val="0"/>
          <w:numId w:val="46"/>
        </w:numPr>
        <w:tabs>
          <w:tab w:pos="1210" w:val="left" w:leader="none"/>
          <w:tab w:pos="1211" w:val="left" w:leader="none"/>
        </w:tabs>
        <w:spacing w:line="168" w:lineRule="auto" w:before="88" w:after="0"/>
        <w:ind w:left="1210" w:right="0" w:hanging="958"/>
        <w:jc w:val="both"/>
        <w:rPr>
          <w:rFonts w:ascii="微软雅黑" w:hAnsi="微软雅黑" w:eastAsia="微软雅黑"/>
          <w:b/>
          <w:sz w:val="21"/>
        </w:rPr>
      </w:pPr>
      <w:r>
        <w:rPr>
          <w:rFonts w:ascii="微软雅黑" w:hAnsi="微软雅黑" w:eastAsia="微软雅黑"/>
          <w:b/>
          <w:spacing w:val="15"/>
          <w:sz w:val="21"/>
        </w:rPr>
        <w:t>系统性红斑狼</w:t>
      </w:r>
      <w:r>
        <w:rPr>
          <w:rFonts w:ascii="微软雅黑" w:hAnsi="微软雅黑" w:eastAsia="微软雅黑"/>
          <w:b/>
          <w:spacing w:val="-16"/>
          <w:sz w:val="21"/>
        </w:rPr>
        <w:t>疮－（并发）Ⅲ</w:t>
      </w:r>
      <w:r>
        <w:rPr>
          <w:rFonts w:ascii="微软雅黑" w:hAnsi="微软雅黑" w:eastAsia="微软雅黑"/>
          <w:b/>
          <w:spacing w:val="15"/>
          <w:sz w:val="21"/>
        </w:rPr>
        <w:t>型或以上狼疮</w:t>
      </w:r>
      <w:r>
        <w:rPr>
          <w:rFonts w:ascii="微软雅黑" w:hAnsi="微软雅黑" w:eastAsia="微软雅黑"/>
          <w:b/>
          <w:spacing w:val="-4"/>
          <w:sz w:val="21"/>
        </w:rPr>
        <w:t>性肾炎</w:t>
      </w:r>
    </w:p>
    <w:p>
      <w:pPr>
        <w:pStyle w:val="BodyText"/>
        <w:spacing w:line="242" w:lineRule="auto" w:before="72"/>
        <w:ind w:left="176" w:right="326"/>
      </w:pPr>
      <w:r>
        <w:rPr/>
        <w:br w:type="column"/>
      </w:r>
      <w:r>
        <w:rPr>
          <w:spacing w:val="-2"/>
        </w:rPr>
        <w:t>系统性红斑狼疮是由多种因素引起，累及多系统的自身免疫性疾病。其特</w:t>
      </w:r>
      <w:r>
        <w:rPr>
          <w:spacing w:val="-2"/>
        </w:rPr>
        <w:t>点是生成自身抗体对抗多种自身抗原。多见于育龄妇女。</w:t>
      </w:r>
    </w:p>
    <w:p>
      <w:pPr>
        <w:spacing w:line="168" w:lineRule="auto" w:before="14"/>
        <w:ind w:left="176" w:right="324" w:firstLine="0"/>
        <w:jc w:val="both"/>
        <w:rPr>
          <w:rFonts w:ascii="微软雅黑" w:hAnsi="微软雅黑" w:eastAsia="微软雅黑"/>
          <w:b/>
          <w:sz w:val="21"/>
        </w:rPr>
      </w:pPr>
      <w:r>
        <w:rPr>
          <w:rFonts w:ascii="微软雅黑" w:hAnsi="微软雅黑" w:eastAsia="微软雅黑"/>
          <w:b/>
          <w:spacing w:val="-2"/>
          <w:sz w:val="21"/>
        </w:rPr>
        <w:t>本合同所指的系统性红斑狼疮仅限于累及肾脏（经肾脏活检确认的，符合</w:t>
      </w:r>
      <w:r>
        <w:rPr>
          <w:rFonts w:ascii="微软雅黑" w:hAnsi="微软雅黑" w:eastAsia="微软雅黑"/>
          <w:b/>
          <w:w w:val="95"/>
          <w:sz w:val="21"/>
        </w:rPr>
        <w:t>世</w:t>
      </w:r>
      <w:r>
        <w:rPr>
          <w:rFonts w:ascii="微软雅黑" w:hAnsi="微软雅黑" w:eastAsia="微软雅黑"/>
          <w:b/>
          <w:w w:val="95"/>
          <w:sz w:val="21"/>
        </w:rPr>
        <w:t>界</w:t>
      </w:r>
      <w:r>
        <w:rPr>
          <w:rFonts w:ascii="微软雅黑" w:hAnsi="微软雅黑" w:eastAsia="微软雅黑"/>
          <w:b/>
          <w:w w:val="95"/>
          <w:sz w:val="21"/>
        </w:rPr>
        <w:t>卫</w:t>
      </w:r>
      <w:r>
        <w:rPr>
          <w:rFonts w:ascii="微软雅黑" w:hAnsi="微软雅黑" w:eastAsia="微软雅黑"/>
          <w:b/>
          <w:w w:val="95"/>
          <w:sz w:val="21"/>
        </w:rPr>
        <w:t>生</w:t>
      </w:r>
      <w:r>
        <w:rPr>
          <w:rFonts w:ascii="微软雅黑" w:hAnsi="微软雅黑" w:eastAsia="微软雅黑"/>
          <w:b/>
          <w:w w:val="95"/>
          <w:sz w:val="21"/>
        </w:rPr>
        <w:t>组</w:t>
      </w:r>
      <w:r>
        <w:rPr>
          <w:rFonts w:ascii="微软雅黑" w:hAnsi="微软雅黑" w:eastAsia="微软雅黑"/>
          <w:b/>
          <w:w w:val="95"/>
          <w:sz w:val="21"/>
        </w:rPr>
        <w:t>织</w:t>
      </w:r>
      <w:r>
        <w:rPr>
          <w:rFonts w:ascii="微软雅黑" w:hAnsi="微软雅黑" w:eastAsia="微软雅黑"/>
          <w:b/>
          <w:w w:val="95"/>
          <w:sz w:val="21"/>
        </w:rPr>
        <w:t>（WHO）</w:t>
      </w:r>
      <w:r>
        <w:rPr>
          <w:rFonts w:ascii="微软雅黑" w:hAnsi="微软雅黑" w:eastAsia="微软雅黑"/>
          <w:b/>
          <w:w w:val="95"/>
          <w:sz w:val="21"/>
        </w:rPr>
        <w:t>诊</w:t>
      </w:r>
      <w:r>
        <w:rPr>
          <w:rFonts w:ascii="微软雅黑" w:hAnsi="微软雅黑" w:eastAsia="微软雅黑"/>
          <w:b/>
          <w:w w:val="95"/>
          <w:sz w:val="21"/>
        </w:rPr>
        <w:t>断</w:t>
      </w:r>
      <w:r>
        <w:rPr>
          <w:rFonts w:ascii="微软雅黑" w:hAnsi="微软雅黑" w:eastAsia="微软雅黑"/>
          <w:b/>
          <w:w w:val="95"/>
          <w:sz w:val="21"/>
        </w:rPr>
        <w:t>标</w:t>
      </w:r>
      <w:r>
        <w:rPr>
          <w:rFonts w:ascii="微软雅黑" w:hAnsi="微软雅黑" w:eastAsia="微软雅黑"/>
          <w:b/>
          <w:w w:val="95"/>
          <w:sz w:val="21"/>
        </w:rPr>
        <w:t>准</w:t>
      </w:r>
      <w:r>
        <w:rPr>
          <w:rFonts w:ascii="微软雅黑" w:hAnsi="微软雅黑" w:eastAsia="微软雅黑"/>
          <w:b/>
          <w:w w:val="95"/>
          <w:sz w:val="21"/>
        </w:rPr>
        <w:t>定</w:t>
      </w:r>
      <w:r>
        <w:rPr>
          <w:rFonts w:ascii="微软雅黑" w:hAnsi="微软雅黑" w:eastAsia="微软雅黑"/>
          <w:b/>
          <w:w w:val="95"/>
          <w:sz w:val="21"/>
        </w:rPr>
        <w:t>义</w:t>
      </w:r>
      <w:r>
        <w:rPr>
          <w:rFonts w:ascii="微软雅黑" w:hAnsi="微软雅黑" w:eastAsia="微软雅黑"/>
          <w:b/>
          <w:w w:val="95"/>
          <w:sz w:val="21"/>
        </w:rPr>
        <w:t>Ⅲ</w:t>
      </w:r>
      <w:r>
        <w:rPr>
          <w:rFonts w:ascii="微软雅黑" w:hAnsi="微软雅黑" w:eastAsia="微软雅黑"/>
          <w:b/>
          <w:w w:val="95"/>
          <w:sz w:val="21"/>
        </w:rPr>
        <w:t>型</w:t>
      </w:r>
      <w:r>
        <w:rPr>
          <w:rFonts w:ascii="微软雅黑" w:hAnsi="微软雅黑" w:eastAsia="微软雅黑"/>
          <w:b/>
          <w:w w:val="95"/>
          <w:sz w:val="21"/>
        </w:rPr>
        <w:t>至</w:t>
      </w:r>
      <w:r>
        <w:rPr>
          <w:rFonts w:ascii="微软雅黑" w:hAnsi="微软雅黑" w:eastAsia="微软雅黑"/>
          <w:b/>
          <w:w w:val="95"/>
          <w:sz w:val="21"/>
        </w:rPr>
        <w:t> V</w:t>
      </w:r>
      <w:r>
        <w:rPr>
          <w:rFonts w:ascii="微软雅黑" w:hAnsi="微软雅黑" w:eastAsia="微软雅黑"/>
          <w:b/>
          <w:w w:val="95"/>
          <w:sz w:val="21"/>
        </w:rPr>
        <w:t> </w:t>
      </w:r>
      <w:r>
        <w:rPr>
          <w:rFonts w:ascii="微软雅黑" w:hAnsi="微软雅黑" w:eastAsia="微软雅黑"/>
          <w:b/>
          <w:w w:val="95"/>
          <w:sz w:val="21"/>
        </w:rPr>
        <w:t>型</w:t>
      </w:r>
      <w:r>
        <w:rPr>
          <w:rFonts w:ascii="微软雅黑" w:hAnsi="微软雅黑" w:eastAsia="微软雅黑"/>
          <w:b/>
          <w:w w:val="95"/>
          <w:sz w:val="21"/>
        </w:rPr>
        <w:t>狼</w:t>
      </w:r>
      <w:r>
        <w:rPr>
          <w:rFonts w:ascii="微软雅黑" w:hAnsi="微软雅黑" w:eastAsia="微软雅黑"/>
          <w:b/>
          <w:w w:val="95"/>
          <w:sz w:val="21"/>
        </w:rPr>
        <w:t>疮</w:t>
      </w:r>
      <w:r>
        <w:rPr>
          <w:rFonts w:ascii="微软雅黑" w:hAnsi="微软雅黑" w:eastAsia="微软雅黑"/>
          <w:b/>
          <w:w w:val="95"/>
          <w:sz w:val="21"/>
        </w:rPr>
        <w:t>性</w:t>
      </w:r>
      <w:r>
        <w:rPr>
          <w:rFonts w:ascii="微软雅黑" w:hAnsi="微软雅黑" w:eastAsia="微软雅黑"/>
          <w:b/>
          <w:w w:val="95"/>
          <w:sz w:val="21"/>
        </w:rPr>
        <w:t>肾</w:t>
      </w:r>
      <w:r>
        <w:rPr>
          <w:rFonts w:ascii="微软雅黑" w:hAnsi="微软雅黑" w:eastAsia="微软雅黑"/>
          <w:b/>
          <w:w w:val="95"/>
          <w:sz w:val="21"/>
        </w:rPr>
        <w:t>炎</w:t>
      </w:r>
      <w:r>
        <w:rPr>
          <w:rFonts w:ascii="微软雅黑" w:hAnsi="微软雅黑" w:eastAsia="微软雅黑"/>
          <w:b/>
          <w:w w:val="95"/>
          <w:sz w:val="21"/>
        </w:rPr>
        <w:t>）</w:t>
      </w:r>
      <w:r>
        <w:rPr>
          <w:rFonts w:ascii="微软雅黑" w:hAnsi="微软雅黑" w:eastAsia="微软雅黑"/>
          <w:b/>
          <w:w w:val="95"/>
          <w:sz w:val="21"/>
        </w:rPr>
        <w:t>的</w:t>
      </w:r>
      <w:r>
        <w:rPr>
          <w:rFonts w:ascii="微软雅黑" w:hAnsi="微软雅黑" w:eastAsia="微软雅黑"/>
          <w:b/>
          <w:w w:val="95"/>
          <w:sz w:val="21"/>
        </w:rPr>
        <w:t>系</w:t>
      </w:r>
      <w:r>
        <w:rPr>
          <w:rFonts w:ascii="微软雅黑" w:hAnsi="微软雅黑" w:eastAsia="微软雅黑"/>
          <w:b/>
          <w:w w:val="95"/>
          <w:sz w:val="21"/>
        </w:rPr>
        <w:t>统</w:t>
      </w:r>
      <w:r>
        <w:rPr>
          <w:rFonts w:ascii="微软雅黑" w:hAnsi="微软雅黑" w:eastAsia="微软雅黑"/>
          <w:b/>
          <w:w w:val="95"/>
          <w:sz w:val="21"/>
        </w:rPr>
        <w:t>性</w:t>
      </w:r>
      <w:r>
        <w:rPr>
          <w:rFonts w:ascii="微软雅黑" w:hAnsi="微软雅黑" w:eastAsia="微软雅黑"/>
          <w:b/>
          <w:w w:val="95"/>
          <w:sz w:val="21"/>
        </w:rPr>
        <w:t>红</w:t>
      </w:r>
      <w:r>
        <w:rPr>
          <w:rFonts w:ascii="微软雅黑" w:hAnsi="微软雅黑" w:eastAsia="微软雅黑"/>
          <w:b/>
          <w:spacing w:val="-2"/>
          <w:sz w:val="21"/>
        </w:rPr>
        <w:t>斑狼疮。其他类型的红斑性狼疮，如盘状狼疮、仅累及血液及关节的狼疮</w:t>
      </w:r>
      <w:r>
        <w:rPr>
          <w:rFonts w:ascii="微软雅黑" w:hAnsi="微软雅黑" w:eastAsia="微软雅黑"/>
          <w:b/>
          <w:spacing w:val="-2"/>
          <w:sz w:val="21"/>
        </w:rPr>
        <w:t>不在保障范围内。</w:t>
      </w:r>
    </w:p>
    <w:p>
      <w:pPr>
        <w:pStyle w:val="BodyText"/>
        <w:spacing w:line="244" w:lineRule="auto"/>
        <w:ind w:left="176" w:right="1802"/>
      </w:pPr>
      <w:r>
        <w:rPr>
          <w:spacing w:val="-2"/>
        </w:rPr>
        <w:t>本病必须由我们认可医院的免疫和风湿科专家医生确诊。</w:t>
      </w:r>
      <w:r>
        <w:rPr>
          <w:spacing w:val="-2"/>
        </w:rPr>
        <w:t>世界卫生组织（WHO）狼疮性肾炎分型：</w:t>
      </w:r>
    </w:p>
    <w:p>
      <w:pPr>
        <w:spacing w:after="0" w:line="244" w:lineRule="auto"/>
        <w:sectPr>
          <w:type w:val="continuous"/>
          <w:pgSz w:w="11910" w:h="16840"/>
          <w:pgMar w:header="877" w:footer="0" w:top="1100" w:bottom="280" w:left="1060" w:right="980"/>
          <w:cols w:num="2" w:equalWidth="0">
            <w:col w:w="2589" w:space="40"/>
            <w:col w:w="7241"/>
          </w:cols>
        </w:sectPr>
      </w:pPr>
    </w:p>
    <w:tbl>
      <w:tblPr>
        <w:tblW w:w="0" w:type="auto"/>
        <w:jc w:val="left"/>
        <w:tblInd w:w="2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360"/>
        <w:gridCol w:w="3360"/>
      </w:tblGrid>
      <w:tr>
        <w:trPr>
          <w:trHeight w:val="273" w:hRule="atLeast"/>
        </w:trPr>
        <w:tc>
          <w:tcPr>
            <w:tcW w:w="3360" w:type="dxa"/>
          </w:tcPr>
          <w:p>
            <w:pPr>
              <w:pStyle w:val="TableParagraph"/>
              <w:spacing w:line="254" w:lineRule="exact"/>
              <w:ind w:left="107"/>
              <w:rPr>
                <w:sz w:val="21"/>
              </w:rPr>
            </w:pPr>
            <w:r>
              <w:rPr>
                <w:spacing w:val="-2"/>
                <w:sz w:val="21"/>
              </w:rPr>
              <w:t>Ⅰ型（微小病变型</w:t>
            </w:r>
            <w:r>
              <w:rPr>
                <w:spacing w:val="-10"/>
                <w:sz w:val="21"/>
              </w:rPr>
              <w:t>）</w:t>
            </w:r>
          </w:p>
        </w:tc>
        <w:tc>
          <w:tcPr>
            <w:tcW w:w="3360" w:type="dxa"/>
          </w:tcPr>
          <w:p>
            <w:pPr>
              <w:pStyle w:val="TableParagraph"/>
              <w:spacing w:line="254" w:lineRule="exact"/>
              <w:ind w:left="108"/>
              <w:rPr>
                <w:sz w:val="21"/>
              </w:rPr>
            </w:pPr>
            <w:r>
              <w:rPr>
                <w:spacing w:val="-3"/>
                <w:sz w:val="21"/>
              </w:rPr>
              <w:t>镜下阴性，尿液正常；</w:t>
            </w:r>
          </w:p>
        </w:tc>
      </w:tr>
      <w:tr>
        <w:trPr>
          <w:trHeight w:val="273" w:hRule="atLeast"/>
        </w:trPr>
        <w:tc>
          <w:tcPr>
            <w:tcW w:w="3360" w:type="dxa"/>
          </w:tcPr>
          <w:p>
            <w:pPr>
              <w:pStyle w:val="TableParagraph"/>
              <w:spacing w:line="253" w:lineRule="exact"/>
              <w:ind w:left="107"/>
              <w:rPr>
                <w:sz w:val="21"/>
              </w:rPr>
            </w:pPr>
            <w:r>
              <w:rPr>
                <w:spacing w:val="-2"/>
                <w:sz w:val="21"/>
              </w:rPr>
              <w:t>Ⅱ型（系膜病变型</w:t>
            </w:r>
            <w:r>
              <w:rPr>
                <w:spacing w:val="-10"/>
                <w:sz w:val="21"/>
              </w:rPr>
              <w:t>）</w:t>
            </w:r>
          </w:p>
        </w:tc>
        <w:tc>
          <w:tcPr>
            <w:tcW w:w="3360" w:type="dxa"/>
          </w:tcPr>
          <w:p>
            <w:pPr>
              <w:pStyle w:val="TableParagraph"/>
              <w:spacing w:line="253" w:lineRule="exact"/>
              <w:ind w:left="108"/>
              <w:rPr>
                <w:sz w:val="21"/>
              </w:rPr>
            </w:pPr>
            <w:r>
              <w:rPr>
                <w:spacing w:val="-3"/>
                <w:sz w:val="21"/>
              </w:rPr>
              <w:t>中度蛋白尿，偶有尿沉渣改变；</w:t>
            </w:r>
          </w:p>
        </w:tc>
      </w:tr>
      <w:tr>
        <w:trPr>
          <w:trHeight w:val="270" w:hRule="atLeast"/>
        </w:trPr>
        <w:tc>
          <w:tcPr>
            <w:tcW w:w="3360" w:type="dxa"/>
          </w:tcPr>
          <w:p>
            <w:pPr>
              <w:pStyle w:val="TableParagraph"/>
              <w:spacing w:line="251" w:lineRule="exact"/>
              <w:ind w:left="107"/>
              <w:rPr>
                <w:sz w:val="21"/>
              </w:rPr>
            </w:pPr>
            <w:r>
              <w:rPr>
                <w:spacing w:val="-2"/>
                <w:sz w:val="21"/>
              </w:rPr>
              <w:t>Ⅲ型（局灶及节段增生型</w:t>
            </w:r>
            <w:r>
              <w:rPr>
                <w:spacing w:val="-10"/>
                <w:sz w:val="21"/>
              </w:rPr>
              <w:t>）</w:t>
            </w:r>
          </w:p>
        </w:tc>
        <w:tc>
          <w:tcPr>
            <w:tcW w:w="3360" w:type="dxa"/>
          </w:tcPr>
          <w:p>
            <w:pPr>
              <w:pStyle w:val="TableParagraph"/>
              <w:spacing w:line="251" w:lineRule="exact"/>
              <w:ind w:left="108"/>
              <w:rPr>
                <w:sz w:val="21"/>
              </w:rPr>
            </w:pPr>
            <w:r>
              <w:rPr>
                <w:spacing w:val="-3"/>
                <w:sz w:val="21"/>
              </w:rPr>
              <w:t>蛋白尿，尿沉渣改变；</w:t>
            </w:r>
          </w:p>
        </w:tc>
      </w:tr>
    </w:tbl>
    <w:p>
      <w:pPr>
        <w:spacing w:after="0" w:line="251" w:lineRule="exact"/>
        <w:rPr>
          <w:sz w:val="21"/>
        </w:rPr>
        <w:sectPr>
          <w:type w:val="continuous"/>
          <w:pgSz w:w="11910" w:h="16840"/>
          <w:pgMar w:header="877" w:footer="0" w:top="1100" w:bottom="280" w:left="1060" w:right="980"/>
        </w:sectPr>
      </w:pPr>
    </w:p>
    <w:p>
      <w:pPr>
        <w:pStyle w:val="BodyText"/>
        <w:spacing w:before="4"/>
        <w:rPr>
          <w:sz w:val="6"/>
        </w:rPr>
      </w:pPr>
    </w:p>
    <w:tbl>
      <w:tblPr>
        <w:tblW w:w="0" w:type="auto"/>
        <w:jc w:val="left"/>
        <w:tblInd w:w="2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360"/>
        <w:gridCol w:w="3360"/>
      </w:tblGrid>
      <w:tr>
        <w:trPr>
          <w:trHeight w:val="544" w:hRule="atLeast"/>
        </w:trPr>
        <w:tc>
          <w:tcPr>
            <w:tcW w:w="3360" w:type="dxa"/>
          </w:tcPr>
          <w:p>
            <w:pPr>
              <w:pStyle w:val="TableParagraph"/>
              <w:spacing w:before="1"/>
              <w:ind w:left="107"/>
              <w:rPr>
                <w:sz w:val="21"/>
              </w:rPr>
            </w:pPr>
            <w:r>
              <w:rPr>
                <w:spacing w:val="-2"/>
                <w:sz w:val="21"/>
              </w:rPr>
              <w:t>Ⅳ型（弥漫增生型</w:t>
            </w:r>
            <w:r>
              <w:rPr>
                <w:spacing w:val="-10"/>
                <w:sz w:val="21"/>
              </w:rPr>
              <w:t>）</w:t>
            </w:r>
          </w:p>
        </w:tc>
        <w:tc>
          <w:tcPr>
            <w:tcW w:w="3360" w:type="dxa"/>
          </w:tcPr>
          <w:p>
            <w:pPr>
              <w:pStyle w:val="TableParagraph"/>
              <w:spacing w:before="1"/>
              <w:ind w:left="108"/>
              <w:rPr>
                <w:sz w:val="21"/>
              </w:rPr>
            </w:pPr>
            <w:r>
              <w:rPr>
                <w:spacing w:val="-1"/>
                <w:sz w:val="21"/>
              </w:rPr>
              <w:t>急性肾炎伴有尿沉渣改变及/或肾</w:t>
            </w:r>
          </w:p>
          <w:p>
            <w:pPr>
              <w:pStyle w:val="TableParagraph"/>
              <w:spacing w:line="250" w:lineRule="exact" w:before="5"/>
              <w:ind w:left="108"/>
              <w:rPr>
                <w:sz w:val="21"/>
              </w:rPr>
            </w:pPr>
            <w:r>
              <w:rPr>
                <w:spacing w:val="-4"/>
                <w:sz w:val="21"/>
              </w:rPr>
              <w:t>病综合征；</w:t>
            </w:r>
          </w:p>
        </w:tc>
      </w:tr>
      <w:tr>
        <w:trPr>
          <w:trHeight w:val="273" w:hRule="atLeast"/>
        </w:trPr>
        <w:tc>
          <w:tcPr>
            <w:tcW w:w="3360" w:type="dxa"/>
          </w:tcPr>
          <w:p>
            <w:pPr>
              <w:pStyle w:val="TableParagraph"/>
              <w:spacing w:line="252" w:lineRule="exact" w:before="1"/>
              <w:ind w:left="107"/>
              <w:rPr>
                <w:sz w:val="21"/>
              </w:rPr>
            </w:pPr>
            <w:r>
              <w:rPr>
                <w:spacing w:val="-2"/>
                <w:sz w:val="21"/>
              </w:rPr>
              <w:t>Ⅴ型（膜型</w:t>
            </w:r>
            <w:r>
              <w:rPr>
                <w:spacing w:val="-10"/>
                <w:sz w:val="21"/>
              </w:rPr>
              <w:t>）</w:t>
            </w:r>
          </w:p>
        </w:tc>
        <w:tc>
          <w:tcPr>
            <w:tcW w:w="3360" w:type="dxa"/>
          </w:tcPr>
          <w:p>
            <w:pPr>
              <w:pStyle w:val="TableParagraph"/>
              <w:spacing w:line="252" w:lineRule="exact" w:before="1"/>
              <w:ind w:left="108"/>
              <w:rPr>
                <w:sz w:val="21"/>
              </w:rPr>
            </w:pPr>
            <w:r>
              <w:rPr>
                <w:spacing w:val="-3"/>
                <w:sz w:val="21"/>
              </w:rPr>
              <w:t>肾病综合征或重度蛋白尿。</w:t>
            </w:r>
          </w:p>
        </w:tc>
      </w:tr>
    </w:tbl>
    <w:p>
      <w:pPr>
        <w:pStyle w:val="BodyText"/>
        <w:spacing w:before="10"/>
        <w:rPr>
          <w:sz w:val="15"/>
        </w:rPr>
      </w:pPr>
    </w:p>
    <w:p>
      <w:pPr>
        <w:spacing w:after="0"/>
        <w:rPr>
          <w:sz w:val="15"/>
        </w:rPr>
        <w:sectPr>
          <w:pgSz w:w="11910" w:h="16840"/>
          <w:pgMar w:header="877" w:footer="0" w:top="1100" w:bottom="280" w:left="1060" w:right="980"/>
        </w:sectPr>
      </w:pPr>
    </w:p>
    <w:p>
      <w:pPr>
        <w:pStyle w:val="ListParagraph"/>
        <w:numPr>
          <w:ilvl w:val="0"/>
          <w:numId w:val="46"/>
        </w:numPr>
        <w:tabs>
          <w:tab w:pos="1210" w:val="left" w:leader="none"/>
          <w:tab w:pos="1211" w:val="left" w:leader="none"/>
        </w:tabs>
        <w:spacing w:line="168" w:lineRule="auto" w:before="87" w:after="0"/>
        <w:ind w:left="1210" w:right="0" w:hanging="958"/>
        <w:jc w:val="both"/>
        <w:rPr>
          <w:rFonts w:ascii="微软雅黑" w:eastAsia="微软雅黑"/>
          <w:b/>
          <w:sz w:val="21"/>
        </w:rPr>
      </w:pPr>
      <w:r>
        <w:rPr>
          <w:rFonts w:ascii="微软雅黑" w:eastAsia="微软雅黑"/>
          <w:b/>
          <w:spacing w:val="15"/>
          <w:sz w:val="21"/>
        </w:rPr>
        <w:t>非阿尔茨海默</w:t>
      </w:r>
      <w:r>
        <w:rPr>
          <w:rFonts w:ascii="微软雅黑" w:eastAsia="微软雅黑"/>
          <w:b/>
          <w:spacing w:val="15"/>
          <w:sz w:val="21"/>
        </w:rPr>
        <w:t>病所致严重痴</w:t>
      </w:r>
      <w:r>
        <w:rPr>
          <w:rFonts w:ascii="微软雅黑" w:eastAsia="微软雅黑"/>
          <w:b/>
          <w:spacing w:val="-10"/>
          <w:sz w:val="21"/>
        </w:rPr>
        <w:t>呆</w:t>
      </w:r>
    </w:p>
    <w:p>
      <w:pPr>
        <w:pStyle w:val="BodyText"/>
        <w:spacing w:line="242" w:lineRule="auto" w:before="71"/>
        <w:ind w:left="177" w:right="326"/>
        <w:jc w:val="both"/>
      </w:pPr>
      <w:r>
        <w:rPr/>
        <w:br w:type="column"/>
      </w:r>
      <w:r>
        <w:rPr>
          <w:spacing w:val="-2"/>
        </w:rPr>
        <w:t>指因阿尔茨海默病以外的脑的器质性疾病造成脑功能衰竭导致永久不可逆</w:t>
      </w:r>
      <w:r>
        <w:rPr>
          <w:spacing w:val="-2"/>
        </w:rPr>
        <w:t>性的严重痴呆，临床表现为明显的认知能力障碍、行为异常和社交能力减</w:t>
      </w:r>
      <w:r>
        <w:rPr>
          <w:spacing w:val="-2"/>
        </w:rPr>
        <w:t>退。被保险人自主生活能力完全丧失，无法独立完成六项基本日常生活活</w:t>
      </w:r>
      <w:r>
        <w:rPr>
          <w:spacing w:val="-2"/>
        </w:rPr>
        <w:t>动中的三项或三项以上，日常生活必须持续受到他人监护。导致痴呆的疾</w:t>
      </w:r>
      <w:r>
        <w:rPr>
          <w:spacing w:val="-2"/>
        </w:rPr>
        <w:t>病必须经我们认可医院的专科医生明确诊断，并且由完整的临床、实验室</w:t>
      </w:r>
      <w:r>
        <w:rPr>
          <w:spacing w:val="-2"/>
        </w:rPr>
        <w:t>和影像学检查结果证实。</w:t>
      </w:r>
    </w:p>
    <w:p>
      <w:pPr>
        <w:spacing w:line="267" w:lineRule="exact" w:before="0"/>
        <w:ind w:left="177" w:right="0" w:firstLine="0"/>
        <w:jc w:val="left"/>
        <w:rPr>
          <w:rFonts w:ascii="微软雅黑" w:eastAsia="微软雅黑"/>
          <w:b/>
          <w:sz w:val="21"/>
        </w:rPr>
      </w:pPr>
      <w:r>
        <w:rPr>
          <w:rFonts w:ascii="微软雅黑" w:eastAsia="微软雅黑"/>
          <w:b/>
          <w:spacing w:val="-3"/>
          <w:sz w:val="21"/>
        </w:rPr>
        <w:t>神经官能症和精神疾病及酒精中毒所致脑损害不在保障范围内。</w:t>
      </w:r>
    </w:p>
    <w:p>
      <w:pPr>
        <w:spacing w:line="168" w:lineRule="auto" w:before="27"/>
        <w:ind w:left="177" w:right="219" w:firstLine="0"/>
        <w:jc w:val="left"/>
        <w:rPr>
          <w:rFonts w:ascii="微软雅黑" w:hAnsi="微软雅黑" w:eastAsia="微软雅黑"/>
          <w:b/>
          <w:sz w:val="21"/>
        </w:rPr>
      </w:pPr>
      <w:r>
        <w:rPr>
          <w:rFonts w:ascii="微软雅黑" w:hAnsi="微软雅黑" w:eastAsia="微软雅黑"/>
          <w:b/>
          <w:spacing w:val="-16"/>
          <w:sz w:val="21"/>
        </w:rPr>
        <w:t>若我们对“严重脑中风后遗症”</w:t>
      </w:r>
      <w:r>
        <w:rPr>
          <w:rFonts w:ascii="微软雅黑" w:hAnsi="微软雅黑" w:eastAsia="微软雅黑"/>
          <w:b/>
          <w:spacing w:val="-18"/>
          <w:sz w:val="21"/>
        </w:rPr>
        <w:t>、“严重脑炎后遗症或严重脑膜炎后遗症”、</w:t>
      </w:r>
      <w:r>
        <w:rPr>
          <w:rFonts w:ascii="微软雅黑" w:hAnsi="微软雅黑" w:eastAsia="微软雅黑"/>
          <w:b/>
          <w:spacing w:val="-2"/>
          <w:sz w:val="21"/>
        </w:rPr>
        <w:t> “严重阿尔茨海默病”、“严重脑损伤”四项中的任意一项承担保险责任</w:t>
      </w:r>
      <w:r>
        <w:rPr>
          <w:rFonts w:ascii="微软雅黑" w:hAnsi="微软雅黑" w:eastAsia="微软雅黑"/>
          <w:b/>
          <w:spacing w:val="-2"/>
          <w:sz w:val="21"/>
        </w:rPr>
        <w:t>后，我们对“非阿尔茨海默病所致严重痴呆”的责任同时终止。</w:t>
      </w:r>
    </w:p>
    <w:p>
      <w:pPr>
        <w:spacing w:after="0" w:line="168" w:lineRule="auto"/>
        <w:jc w:val="left"/>
        <w:rPr>
          <w:rFonts w:ascii="微软雅黑" w:hAns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5"/>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46"/>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5"/>
          <w:sz w:val="21"/>
        </w:rPr>
        <w:t>丝虫病所致象</w:t>
      </w:r>
      <w:r>
        <w:rPr>
          <w:rFonts w:ascii="微软雅黑" w:eastAsia="微软雅黑"/>
          <w:b/>
          <w:spacing w:val="-6"/>
          <w:sz w:val="21"/>
        </w:rPr>
        <w:t>皮肿</w:t>
      </w:r>
    </w:p>
    <w:p>
      <w:pPr>
        <w:pStyle w:val="BodyText"/>
        <w:spacing w:line="242" w:lineRule="auto" w:before="72"/>
        <w:ind w:left="177" w:right="326"/>
        <w:jc w:val="both"/>
      </w:pPr>
      <w:r>
        <w:rPr/>
        <w:br w:type="column"/>
      </w:r>
      <w:r>
        <w:rPr>
          <w:spacing w:val="-2"/>
        </w:rPr>
        <w:t>指末期丝虫病，按国际淋巴学会分级为三度淋巴液肿，其临床表现为肢体</w:t>
      </w:r>
      <w:r>
        <w:rPr>
          <w:spacing w:val="-2"/>
        </w:rPr>
        <w:t>非凹陷性水肿伴畸形增大、硬皮症和疣状增生。此病症须经我们认可医院</w:t>
      </w:r>
      <w:r>
        <w:rPr>
          <w:spacing w:val="-2"/>
        </w:rPr>
        <w:t>的专科医生根据临床表现和微丝蚴的化验结果确诊。</w:t>
      </w:r>
    </w:p>
    <w:p>
      <w:pPr>
        <w:spacing w:after="0" w:line="242" w:lineRule="auto"/>
        <w:jc w:val="both"/>
        <w:sectPr>
          <w:type w:val="continuous"/>
          <w:pgSz w:w="11910" w:h="16840"/>
          <w:pgMar w:header="877" w:footer="0" w:top="1100" w:bottom="280" w:left="1060" w:right="980"/>
          <w:cols w:num="2" w:equalWidth="0">
            <w:col w:w="2588" w:space="40"/>
            <w:col w:w="7242"/>
          </w:cols>
        </w:sectPr>
      </w:pPr>
    </w:p>
    <w:p>
      <w:pPr>
        <w:pStyle w:val="BodyText"/>
        <w:spacing w:before="10"/>
        <w:rPr>
          <w:sz w:val="15"/>
        </w:rPr>
      </w:pPr>
    </w:p>
    <w:p>
      <w:pPr>
        <w:pStyle w:val="ListParagraph"/>
        <w:numPr>
          <w:ilvl w:val="0"/>
          <w:numId w:val="46"/>
        </w:numPr>
        <w:tabs>
          <w:tab w:pos="1210" w:val="left" w:leader="none"/>
          <w:tab w:pos="1211" w:val="left" w:leader="none"/>
          <w:tab w:pos="2804" w:val="left" w:leader="none"/>
        </w:tabs>
        <w:spacing w:line="204" w:lineRule="auto" w:before="46" w:after="0"/>
        <w:ind w:left="2805" w:right="326" w:hanging="2552"/>
        <w:jc w:val="left"/>
        <w:rPr>
          <w:sz w:val="21"/>
        </w:rPr>
      </w:pPr>
      <w:r>
        <w:rPr>
          <w:rFonts w:ascii="微软雅黑" w:eastAsia="微软雅黑"/>
          <w:b/>
          <w:spacing w:val="-4"/>
          <w:sz w:val="21"/>
        </w:rPr>
        <w:t>胰</w:t>
      </w:r>
      <w:r>
        <w:rPr>
          <w:rFonts w:ascii="微软雅黑" w:eastAsia="微软雅黑"/>
          <w:b/>
          <w:spacing w:val="-4"/>
          <w:sz w:val="21"/>
        </w:rPr>
        <w:t>腺</w:t>
      </w:r>
      <w:r>
        <w:rPr>
          <w:rFonts w:ascii="微软雅黑" w:eastAsia="微软雅黑"/>
          <w:b/>
          <w:spacing w:val="-4"/>
          <w:sz w:val="21"/>
        </w:rPr>
        <w:t>移</w:t>
      </w:r>
      <w:r>
        <w:rPr>
          <w:rFonts w:ascii="微软雅黑" w:eastAsia="微软雅黑"/>
          <w:b/>
          <w:spacing w:val="-4"/>
          <w:sz w:val="21"/>
        </w:rPr>
        <w:t>植</w:t>
      </w:r>
      <w:r>
        <w:rPr>
          <w:rFonts w:ascii="微软雅黑" w:eastAsia="微软雅黑"/>
          <w:b/>
          <w:sz w:val="21"/>
        </w:rPr>
        <w:tab/>
      </w:r>
      <w:r>
        <w:rPr>
          <w:spacing w:val="-2"/>
          <w:sz w:val="21"/>
        </w:rPr>
        <w:t>指</w:t>
      </w:r>
      <w:r>
        <w:rPr>
          <w:spacing w:val="-2"/>
          <w:sz w:val="21"/>
        </w:rPr>
        <w:t>胰</w:t>
      </w:r>
      <w:r>
        <w:rPr>
          <w:spacing w:val="-2"/>
          <w:sz w:val="21"/>
        </w:rPr>
        <w:t>腺</w:t>
      </w:r>
      <w:r>
        <w:rPr>
          <w:spacing w:val="-2"/>
          <w:sz w:val="21"/>
        </w:rPr>
        <w:t>功能衰</w:t>
      </w:r>
      <w:r>
        <w:rPr>
          <w:spacing w:val="-2"/>
          <w:sz w:val="21"/>
        </w:rPr>
        <w:t>竭</w:t>
      </w:r>
      <w:r>
        <w:rPr>
          <w:spacing w:val="-2"/>
          <w:sz w:val="21"/>
        </w:rPr>
        <w:t>，已经实</w:t>
      </w:r>
      <w:r>
        <w:rPr>
          <w:spacing w:val="-2"/>
          <w:sz w:val="21"/>
        </w:rPr>
        <w:t>施</w:t>
      </w:r>
      <w:r>
        <w:rPr>
          <w:spacing w:val="-2"/>
          <w:sz w:val="21"/>
        </w:rPr>
        <w:t>了</w:t>
      </w:r>
      <w:r>
        <w:rPr>
          <w:spacing w:val="-2"/>
          <w:sz w:val="21"/>
        </w:rPr>
        <w:t>在</w:t>
      </w:r>
      <w:r>
        <w:rPr>
          <w:spacing w:val="-2"/>
          <w:sz w:val="21"/>
        </w:rPr>
        <w:t>全身麻</w:t>
      </w:r>
      <w:r>
        <w:rPr>
          <w:spacing w:val="-2"/>
          <w:sz w:val="21"/>
        </w:rPr>
        <w:t>醉</w:t>
      </w:r>
      <w:r>
        <w:rPr>
          <w:spacing w:val="-2"/>
          <w:sz w:val="21"/>
        </w:rPr>
        <w:t>下</w:t>
      </w:r>
      <w:r>
        <w:rPr>
          <w:spacing w:val="-2"/>
          <w:sz w:val="21"/>
        </w:rPr>
        <w:t>进行的</w:t>
      </w:r>
      <w:r>
        <w:rPr>
          <w:spacing w:val="-2"/>
          <w:sz w:val="21"/>
        </w:rPr>
        <w:t>胰</w:t>
      </w:r>
      <w:r>
        <w:rPr>
          <w:spacing w:val="-2"/>
          <w:sz w:val="21"/>
        </w:rPr>
        <w:t>腺</w:t>
      </w:r>
      <w:r>
        <w:rPr>
          <w:spacing w:val="-2"/>
          <w:sz w:val="21"/>
        </w:rPr>
        <w:t>的</w:t>
      </w:r>
      <w:r>
        <w:rPr>
          <w:spacing w:val="-2"/>
          <w:sz w:val="21"/>
        </w:rPr>
        <w:t>异体器</w:t>
      </w:r>
      <w:r>
        <w:rPr>
          <w:spacing w:val="-2"/>
          <w:sz w:val="21"/>
        </w:rPr>
        <w:t>官</w:t>
      </w:r>
      <w:r>
        <w:rPr>
          <w:spacing w:val="-2"/>
          <w:sz w:val="21"/>
        </w:rPr>
        <w:t>移</w:t>
      </w:r>
      <w:r>
        <w:rPr>
          <w:spacing w:val="-2"/>
          <w:sz w:val="21"/>
        </w:rPr>
        <w:t>植手</w:t>
      </w:r>
      <w:r>
        <w:rPr>
          <w:spacing w:val="-6"/>
          <w:sz w:val="21"/>
        </w:rPr>
        <w:t>术</w:t>
      </w:r>
      <w:r>
        <w:rPr>
          <w:spacing w:val="-6"/>
          <w:sz w:val="21"/>
        </w:rPr>
        <w:t>。</w:t>
      </w:r>
    </w:p>
    <w:p>
      <w:pPr>
        <w:spacing w:line="333" w:lineRule="exact" w:before="0"/>
        <w:ind w:left="2805" w:right="0" w:firstLine="0"/>
        <w:jc w:val="left"/>
        <w:rPr>
          <w:rFonts w:ascii="微软雅黑" w:eastAsia="微软雅黑"/>
          <w:b/>
          <w:sz w:val="21"/>
        </w:rPr>
      </w:pPr>
      <w:r>
        <w:rPr>
          <w:rFonts w:ascii="微软雅黑" w:eastAsia="微软雅黑"/>
          <w:b/>
          <w:spacing w:val="-3"/>
          <w:sz w:val="21"/>
        </w:rPr>
        <w:t>单纯胰岛移植、部分胰腺组织或细胞的移植不在保障范围内。</w:t>
      </w:r>
    </w:p>
    <w:p>
      <w:pPr>
        <w:pStyle w:val="BodyText"/>
        <w:spacing w:before="4"/>
        <w:rPr>
          <w:rFonts w:ascii="微软雅黑"/>
          <w:b/>
          <w:sz w:val="8"/>
        </w:rPr>
      </w:pPr>
    </w:p>
    <w:p>
      <w:pPr>
        <w:spacing w:after="0"/>
        <w:rPr>
          <w:rFonts w:ascii="微软雅黑"/>
          <w:sz w:val="8"/>
        </w:rPr>
        <w:sectPr>
          <w:type w:val="continuous"/>
          <w:pgSz w:w="11910" w:h="16840"/>
          <w:pgMar w:header="877" w:footer="0" w:top="1100" w:bottom="280" w:left="1060" w:right="980"/>
        </w:sectPr>
      </w:pPr>
    </w:p>
    <w:p>
      <w:pPr>
        <w:pStyle w:val="ListParagraph"/>
        <w:numPr>
          <w:ilvl w:val="0"/>
          <w:numId w:val="46"/>
        </w:numPr>
        <w:tabs>
          <w:tab w:pos="1210" w:val="left" w:leader="none"/>
          <w:tab w:pos="1211" w:val="left" w:leader="none"/>
        </w:tabs>
        <w:spacing w:line="170" w:lineRule="auto" w:before="84" w:after="0"/>
        <w:ind w:left="1210" w:right="0" w:hanging="958"/>
        <w:jc w:val="left"/>
        <w:rPr>
          <w:rFonts w:ascii="微软雅黑" w:eastAsia="微软雅黑"/>
          <w:b/>
          <w:sz w:val="21"/>
        </w:rPr>
      </w:pPr>
      <w:r>
        <w:rPr>
          <w:rFonts w:ascii="微软雅黑" w:eastAsia="微软雅黑"/>
          <w:b/>
          <w:spacing w:val="15"/>
          <w:sz w:val="21"/>
        </w:rPr>
        <w:t>慢性复发性胰</w:t>
      </w:r>
      <w:r>
        <w:rPr>
          <w:rFonts w:ascii="微软雅黑" w:eastAsia="微软雅黑"/>
          <w:b/>
          <w:spacing w:val="-6"/>
          <w:sz w:val="21"/>
        </w:rPr>
        <w:t>腺炎</w:t>
      </w:r>
    </w:p>
    <w:p>
      <w:pPr>
        <w:pStyle w:val="BodyText"/>
        <w:spacing w:line="242" w:lineRule="auto" w:before="71"/>
        <w:ind w:left="177" w:right="323"/>
        <w:jc w:val="both"/>
      </w:pPr>
      <w:r>
        <w:rPr/>
        <w:br w:type="column"/>
      </w:r>
      <w:r>
        <w:rPr>
          <w:spacing w:val="-2"/>
        </w:rPr>
        <w:t>指慢性反复发作的胰腺炎症导致胰腺的广泛纤维化、坏死、弥漫性钙化及</w:t>
      </w:r>
      <w:r>
        <w:rPr>
          <w:spacing w:val="-10"/>
        </w:rPr>
        <w:t>假性囊肿形成，造成胰腺功能障碍出现严重糖尿病和营养不良。 必须满足</w:t>
      </w:r>
      <w:r>
        <w:rPr>
          <w:spacing w:val="-2"/>
        </w:rPr>
        <w:t>下列所有条件：</w:t>
      </w:r>
    </w:p>
    <w:p>
      <w:pPr>
        <w:pStyle w:val="ListParagraph"/>
        <w:numPr>
          <w:ilvl w:val="0"/>
          <w:numId w:val="47"/>
        </w:numPr>
        <w:tabs>
          <w:tab w:pos="707" w:val="left" w:leader="none"/>
        </w:tabs>
        <w:spacing w:line="240" w:lineRule="auto" w:before="4" w:after="0"/>
        <w:ind w:left="706" w:right="0" w:hanging="530"/>
        <w:jc w:val="left"/>
        <w:rPr>
          <w:sz w:val="21"/>
        </w:rPr>
      </w:pPr>
      <w:r>
        <w:rPr>
          <w:spacing w:val="-3"/>
          <w:sz w:val="21"/>
        </w:rPr>
        <w:t>医疗记录证实存在慢性胰腺炎反复急性发作病史；</w:t>
      </w:r>
    </w:p>
    <w:p>
      <w:pPr>
        <w:pStyle w:val="ListParagraph"/>
        <w:numPr>
          <w:ilvl w:val="0"/>
          <w:numId w:val="47"/>
        </w:numPr>
        <w:tabs>
          <w:tab w:pos="707" w:val="left" w:leader="none"/>
        </w:tabs>
        <w:spacing w:line="244" w:lineRule="auto" w:before="2" w:after="0"/>
        <w:ind w:left="703" w:right="323" w:hanging="526"/>
        <w:jc w:val="left"/>
        <w:rPr>
          <w:sz w:val="21"/>
        </w:rPr>
      </w:pPr>
      <w:r>
        <w:rPr>
          <w:sz w:val="21"/>
        </w:rPr>
        <w:t>CT</w:t>
      </w:r>
      <w:r>
        <w:rPr>
          <w:spacing w:val="-5"/>
          <w:sz w:val="21"/>
        </w:rPr>
        <w:t> 显示胰腺广泛钙化或逆行胰胆管造影</w:t>
      </w:r>
      <w:r>
        <w:rPr>
          <w:sz w:val="21"/>
        </w:rPr>
        <w:t>（ERCP）显示胰管扭曲、扩</w:t>
      </w:r>
      <w:r>
        <w:rPr>
          <w:spacing w:val="-2"/>
          <w:sz w:val="21"/>
        </w:rPr>
        <w:t>张和狭窄；</w:t>
      </w:r>
    </w:p>
    <w:p>
      <w:pPr>
        <w:pStyle w:val="ListParagraph"/>
        <w:numPr>
          <w:ilvl w:val="0"/>
          <w:numId w:val="47"/>
        </w:numPr>
        <w:tabs>
          <w:tab w:pos="707" w:val="left" w:leader="none"/>
        </w:tabs>
        <w:spacing w:line="194" w:lineRule="auto" w:before="36" w:after="0"/>
        <w:ind w:left="177" w:right="1595" w:firstLine="0"/>
        <w:jc w:val="left"/>
        <w:rPr>
          <w:rFonts w:ascii="微软雅黑" w:eastAsia="微软雅黑"/>
          <w:b/>
          <w:sz w:val="21"/>
        </w:rPr>
      </w:pPr>
      <w:r>
        <w:rPr>
          <w:spacing w:val="-1"/>
          <w:sz w:val="21"/>
        </w:rPr>
        <w:t>持续接受胰岛素替代治疗和酶替代治疗 </w:t>
      </w:r>
      <w:r>
        <w:rPr>
          <w:sz w:val="21"/>
        </w:rPr>
        <w:t>180</w:t>
      </w:r>
      <w:r>
        <w:rPr>
          <w:spacing w:val="-5"/>
          <w:sz w:val="21"/>
        </w:rPr>
        <w:t> 天以上。</w:t>
      </w:r>
      <w:r>
        <w:rPr>
          <w:rFonts w:ascii="微软雅黑" w:eastAsia="微软雅黑"/>
          <w:b/>
          <w:spacing w:val="-2"/>
          <w:sz w:val="21"/>
        </w:rPr>
        <w:t>酒精导致的慢性复发性胰腺炎除外。</w:t>
      </w:r>
    </w:p>
    <w:p>
      <w:pPr>
        <w:spacing w:after="0" w:line="194" w:lineRule="auto"/>
        <w:jc w:val="left"/>
        <w:rPr>
          <w:rFonts w:asci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9"/>
        <w:rPr>
          <w:rFonts w:ascii="微软雅黑"/>
          <w:b/>
          <w:sz w:val="9"/>
        </w:rPr>
      </w:pPr>
    </w:p>
    <w:p>
      <w:pPr>
        <w:spacing w:after="0"/>
        <w:rPr>
          <w:rFonts w:ascii="微软雅黑"/>
          <w:sz w:val="9"/>
        </w:rPr>
        <w:sectPr>
          <w:type w:val="continuous"/>
          <w:pgSz w:w="11910" w:h="16840"/>
          <w:pgMar w:header="877" w:footer="0" w:top="1100" w:bottom="280" w:left="1060" w:right="980"/>
        </w:sectPr>
      </w:pPr>
    </w:p>
    <w:p>
      <w:pPr>
        <w:pStyle w:val="ListParagraph"/>
        <w:numPr>
          <w:ilvl w:val="0"/>
          <w:numId w:val="46"/>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5"/>
          <w:sz w:val="21"/>
        </w:rPr>
        <w:t>严重肾髓质囊</w:t>
      </w:r>
      <w:r>
        <w:rPr>
          <w:rFonts w:ascii="微软雅黑" w:eastAsia="微软雅黑"/>
          <w:b/>
          <w:spacing w:val="-6"/>
          <w:sz w:val="21"/>
        </w:rPr>
        <w:t>性病</w:t>
      </w:r>
    </w:p>
    <w:p>
      <w:pPr>
        <w:pStyle w:val="BodyText"/>
        <w:spacing w:before="72"/>
        <w:ind w:left="177"/>
      </w:pPr>
      <w:r>
        <w:rPr/>
        <w:br w:type="column"/>
      </w:r>
      <w:r>
        <w:rPr>
          <w:spacing w:val="-3"/>
        </w:rPr>
        <w:t>严重肾髓质囊性病的诊断须同时符合下列要求：</w:t>
      </w:r>
    </w:p>
    <w:p>
      <w:pPr>
        <w:pStyle w:val="ListParagraph"/>
        <w:numPr>
          <w:ilvl w:val="0"/>
          <w:numId w:val="48"/>
        </w:numPr>
        <w:tabs>
          <w:tab w:pos="707" w:val="left" w:leader="none"/>
        </w:tabs>
        <w:spacing w:line="240" w:lineRule="auto" w:before="2" w:after="0"/>
        <w:ind w:left="706" w:right="0" w:hanging="530"/>
        <w:jc w:val="left"/>
        <w:rPr>
          <w:sz w:val="21"/>
        </w:rPr>
      </w:pPr>
      <w:r>
        <w:rPr>
          <w:spacing w:val="-3"/>
          <w:sz w:val="21"/>
        </w:rPr>
        <w:t>肾髓质有囊肿、肾小管萎缩及间质纤维化等病理改变；</w:t>
      </w:r>
    </w:p>
    <w:p>
      <w:pPr>
        <w:pStyle w:val="ListParagraph"/>
        <w:numPr>
          <w:ilvl w:val="0"/>
          <w:numId w:val="48"/>
        </w:numPr>
        <w:tabs>
          <w:tab w:pos="707" w:val="left" w:leader="none"/>
        </w:tabs>
        <w:spacing w:line="240" w:lineRule="auto" w:before="5" w:after="0"/>
        <w:ind w:left="706" w:right="0" w:hanging="530"/>
        <w:jc w:val="left"/>
        <w:rPr>
          <w:sz w:val="21"/>
        </w:rPr>
      </w:pPr>
      <w:r>
        <w:rPr>
          <w:spacing w:val="-4"/>
          <w:sz w:val="21"/>
        </w:rPr>
        <w:t>肾功能衰竭；</w:t>
      </w:r>
    </w:p>
    <w:p>
      <w:pPr>
        <w:pStyle w:val="ListParagraph"/>
        <w:numPr>
          <w:ilvl w:val="0"/>
          <w:numId w:val="48"/>
        </w:numPr>
        <w:tabs>
          <w:tab w:pos="707" w:val="left" w:leader="none"/>
        </w:tabs>
        <w:spacing w:line="194" w:lineRule="auto" w:before="42" w:after="0"/>
        <w:ind w:left="177" w:right="4011" w:firstLine="0"/>
        <w:jc w:val="left"/>
        <w:rPr>
          <w:rFonts w:ascii="微软雅黑" w:eastAsia="微软雅黑"/>
          <w:b/>
          <w:sz w:val="21"/>
        </w:rPr>
      </w:pPr>
      <w:r>
        <w:rPr>
          <w:spacing w:val="-2"/>
          <w:sz w:val="21"/>
        </w:rPr>
        <w:t>诊断须由肾组织活检确定。</w:t>
      </w:r>
      <w:r>
        <w:rPr>
          <w:rFonts w:ascii="微软雅黑" w:eastAsia="微软雅黑"/>
          <w:b/>
          <w:spacing w:val="-2"/>
          <w:sz w:val="21"/>
        </w:rPr>
        <w:t>以下情况不在保障范围内：</w:t>
      </w:r>
    </w:p>
    <w:p>
      <w:pPr>
        <w:pStyle w:val="ListParagraph"/>
        <w:numPr>
          <w:ilvl w:val="0"/>
          <w:numId w:val="49"/>
        </w:numPr>
        <w:tabs>
          <w:tab w:pos="707" w:val="left" w:leader="none"/>
        </w:tabs>
        <w:spacing w:line="237" w:lineRule="exact" w:before="0" w:after="0"/>
        <w:ind w:left="706" w:right="0" w:hanging="530"/>
        <w:jc w:val="left"/>
        <w:rPr>
          <w:rFonts w:ascii="微软雅黑" w:eastAsia="微软雅黑"/>
          <w:b/>
          <w:sz w:val="21"/>
        </w:rPr>
      </w:pPr>
      <w:r>
        <w:rPr>
          <w:rFonts w:ascii="微软雅黑" w:eastAsia="微软雅黑"/>
          <w:b/>
          <w:spacing w:val="-3"/>
          <w:sz w:val="21"/>
        </w:rPr>
        <w:t>多囊肾；</w:t>
      </w:r>
    </w:p>
    <w:p>
      <w:pPr>
        <w:pStyle w:val="ListParagraph"/>
        <w:numPr>
          <w:ilvl w:val="0"/>
          <w:numId w:val="49"/>
        </w:numPr>
        <w:tabs>
          <w:tab w:pos="707" w:val="left" w:leader="none"/>
        </w:tabs>
        <w:spacing w:line="306" w:lineRule="exact" w:before="0" w:after="0"/>
        <w:ind w:left="706" w:right="0" w:hanging="530"/>
        <w:jc w:val="left"/>
        <w:rPr>
          <w:rFonts w:ascii="微软雅黑" w:eastAsia="微软雅黑"/>
          <w:b/>
          <w:sz w:val="21"/>
        </w:rPr>
      </w:pPr>
      <w:r>
        <w:rPr>
          <w:rFonts w:ascii="微软雅黑" w:eastAsia="微软雅黑"/>
          <w:b/>
          <w:spacing w:val="-3"/>
          <w:sz w:val="21"/>
        </w:rPr>
        <w:t>多囊性肾发育不良和髓质海绵肾。</w:t>
      </w:r>
    </w:p>
    <w:p>
      <w:pPr>
        <w:pStyle w:val="BodyText"/>
        <w:spacing w:line="245" w:lineRule="exact"/>
        <w:ind w:left="177"/>
      </w:pPr>
      <w:r>
        <w:rPr>
          <w:spacing w:val="-3"/>
        </w:rPr>
        <w:t>我们承担本项疾病责任不受本合同“责任免除”中“遗传性疾病、先天性</w:t>
      </w:r>
    </w:p>
    <w:p>
      <w:pPr>
        <w:pStyle w:val="BodyText"/>
        <w:spacing w:before="4"/>
        <w:ind w:left="177"/>
      </w:pPr>
      <w:r>
        <w:rPr>
          <w:spacing w:val="-3"/>
        </w:rPr>
        <w:t>畸形、变形或染色体异常”的限制。</w:t>
      </w:r>
    </w:p>
    <w:p>
      <w:pPr>
        <w:spacing w:after="0"/>
        <w:sectPr>
          <w:type w:val="continuous"/>
          <w:pgSz w:w="11910" w:h="16840"/>
          <w:pgMar w:header="877" w:footer="0" w:top="1100" w:bottom="280" w:left="1060" w:right="980"/>
          <w:cols w:num="2" w:equalWidth="0">
            <w:col w:w="2588" w:space="40"/>
            <w:col w:w="7242"/>
          </w:cols>
        </w:sectPr>
      </w:pPr>
    </w:p>
    <w:p>
      <w:pPr>
        <w:pStyle w:val="BodyText"/>
        <w:spacing w:before="12"/>
        <w:rPr>
          <w:sz w:val="15"/>
        </w:rPr>
      </w:pPr>
    </w:p>
    <w:p>
      <w:pPr>
        <w:spacing w:after="0"/>
        <w:rPr>
          <w:sz w:val="15"/>
        </w:rPr>
        <w:sectPr>
          <w:type w:val="continuous"/>
          <w:pgSz w:w="11910" w:h="16840"/>
          <w:pgMar w:header="877" w:footer="0" w:top="1100" w:bottom="280" w:left="1060" w:right="980"/>
        </w:sectPr>
      </w:pPr>
    </w:p>
    <w:p>
      <w:pPr>
        <w:pStyle w:val="ListParagraph"/>
        <w:numPr>
          <w:ilvl w:val="0"/>
          <w:numId w:val="46"/>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5"/>
          <w:sz w:val="21"/>
        </w:rPr>
        <w:t>严重肺源性心</w:t>
      </w:r>
      <w:r>
        <w:rPr>
          <w:rFonts w:ascii="微软雅黑" w:eastAsia="微软雅黑"/>
          <w:b/>
          <w:spacing w:val="-6"/>
          <w:sz w:val="21"/>
        </w:rPr>
        <w:t>脏病</w:t>
      </w:r>
    </w:p>
    <w:p>
      <w:pPr>
        <w:pStyle w:val="BodyText"/>
        <w:spacing w:line="242" w:lineRule="auto" w:before="72"/>
        <w:ind w:left="177" w:right="326"/>
        <w:jc w:val="both"/>
      </w:pPr>
      <w:r>
        <w:rPr/>
        <w:br w:type="column"/>
      </w:r>
      <w:r>
        <w:rPr>
          <w:spacing w:val="-2"/>
        </w:rPr>
        <w:t>指由于各种胸肺及支气管病变而继发的肺动脉高压，最后导致以右室肥大</w:t>
      </w:r>
      <w:r>
        <w:rPr>
          <w:spacing w:val="-2"/>
        </w:rPr>
        <w:t>为特征的心脏病。须经我们认可医院的呼吸科专科医生确诊，且必须同时</w:t>
      </w:r>
      <w:r>
        <w:rPr>
          <w:spacing w:val="-2"/>
        </w:rPr>
        <w:t>满足如下诊断标准：</w:t>
      </w:r>
    </w:p>
    <w:p>
      <w:pPr>
        <w:pStyle w:val="ListParagraph"/>
        <w:numPr>
          <w:ilvl w:val="0"/>
          <w:numId w:val="50"/>
        </w:numPr>
        <w:tabs>
          <w:tab w:pos="707" w:val="left" w:leader="none"/>
        </w:tabs>
        <w:spacing w:line="240" w:lineRule="auto" w:before="0" w:after="0"/>
        <w:ind w:left="706" w:right="0" w:hanging="530"/>
        <w:jc w:val="left"/>
        <w:rPr>
          <w:sz w:val="21"/>
        </w:rPr>
      </w:pPr>
      <w:r>
        <w:rPr>
          <w:spacing w:val="-2"/>
          <w:sz w:val="21"/>
        </w:rPr>
        <w:t>左心房压力增高（</w:t>
      </w:r>
      <w:r>
        <w:rPr>
          <w:spacing w:val="-15"/>
          <w:sz w:val="21"/>
        </w:rPr>
        <w:t>不低于 </w:t>
      </w:r>
      <w:r>
        <w:rPr>
          <w:spacing w:val="-2"/>
          <w:sz w:val="21"/>
        </w:rPr>
        <w:t>20</w:t>
      </w:r>
      <w:r>
        <w:rPr>
          <w:spacing w:val="-14"/>
          <w:sz w:val="21"/>
        </w:rPr>
        <w:t> 个单位</w:t>
      </w:r>
      <w:r>
        <w:rPr>
          <w:spacing w:val="-5"/>
          <w:sz w:val="21"/>
        </w:rPr>
        <w:t>）；</w:t>
      </w:r>
    </w:p>
    <w:p>
      <w:pPr>
        <w:pStyle w:val="ListParagraph"/>
        <w:numPr>
          <w:ilvl w:val="0"/>
          <w:numId w:val="50"/>
        </w:numPr>
        <w:tabs>
          <w:tab w:pos="707" w:val="left" w:leader="none"/>
        </w:tabs>
        <w:spacing w:line="240" w:lineRule="auto" w:before="3" w:after="0"/>
        <w:ind w:left="706" w:right="0" w:hanging="530"/>
        <w:jc w:val="left"/>
        <w:rPr>
          <w:sz w:val="21"/>
        </w:rPr>
      </w:pPr>
      <w:r>
        <w:rPr>
          <w:spacing w:val="-7"/>
          <w:sz w:val="21"/>
        </w:rPr>
        <w:t>肺血管阻力高于正常值 </w:t>
      </w:r>
      <w:r>
        <w:rPr>
          <w:spacing w:val="-2"/>
          <w:sz w:val="21"/>
        </w:rPr>
        <w:t>3</w:t>
      </w:r>
      <w:r>
        <w:rPr>
          <w:spacing w:val="-14"/>
          <w:sz w:val="21"/>
        </w:rPr>
        <w:t> 个单位</w:t>
      </w:r>
      <w:r>
        <w:rPr>
          <w:spacing w:val="-2"/>
          <w:sz w:val="21"/>
        </w:rPr>
        <w:t>（Pulmonary</w:t>
      </w:r>
      <w:r>
        <w:rPr>
          <w:spacing w:val="8"/>
          <w:sz w:val="21"/>
        </w:rPr>
        <w:t> </w:t>
      </w:r>
      <w:r>
        <w:rPr>
          <w:spacing w:val="-2"/>
          <w:sz w:val="21"/>
        </w:rPr>
        <w:t>Resistance）；</w:t>
      </w:r>
    </w:p>
    <w:p>
      <w:pPr>
        <w:pStyle w:val="ListParagraph"/>
        <w:numPr>
          <w:ilvl w:val="0"/>
          <w:numId w:val="50"/>
        </w:numPr>
        <w:tabs>
          <w:tab w:pos="707" w:val="left" w:leader="none"/>
        </w:tabs>
        <w:spacing w:line="240" w:lineRule="auto" w:before="4" w:after="0"/>
        <w:ind w:left="706" w:right="0" w:hanging="530"/>
        <w:jc w:val="left"/>
        <w:rPr>
          <w:sz w:val="21"/>
        </w:rPr>
      </w:pPr>
      <w:r>
        <w:rPr>
          <w:spacing w:val="-8"/>
          <w:sz w:val="21"/>
        </w:rPr>
        <w:t>肺动脉血压不低于 </w:t>
      </w:r>
      <w:r>
        <w:rPr>
          <w:spacing w:val="-2"/>
          <w:sz w:val="21"/>
        </w:rPr>
        <w:t>40</w:t>
      </w:r>
      <w:r>
        <w:rPr>
          <w:spacing w:val="-12"/>
          <w:sz w:val="21"/>
        </w:rPr>
        <w:t> 毫米汞柱；</w:t>
      </w:r>
    </w:p>
    <w:p>
      <w:pPr>
        <w:pStyle w:val="ListParagraph"/>
        <w:numPr>
          <w:ilvl w:val="0"/>
          <w:numId w:val="50"/>
        </w:numPr>
        <w:tabs>
          <w:tab w:pos="707" w:val="left" w:leader="none"/>
        </w:tabs>
        <w:spacing w:line="240" w:lineRule="auto" w:before="2" w:after="0"/>
        <w:ind w:left="706" w:right="0" w:hanging="530"/>
        <w:jc w:val="left"/>
        <w:rPr>
          <w:sz w:val="21"/>
        </w:rPr>
      </w:pPr>
      <w:r>
        <w:rPr>
          <w:spacing w:val="-8"/>
          <w:sz w:val="21"/>
        </w:rPr>
        <w:t>肺动脉楔压不低于 </w:t>
      </w:r>
      <w:r>
        <w:rPr>
          <w:spacing w:val="-2"/>
          <w:sz w:val="21"/>
        </w:rPr>
        <w:t>6</w:t>
      </w:r>
      <w:r>
        <w:rPr>
          <w:spacing w:val="-12"/>
          <w:sz w:val="21"/>
        </w:rPr>
        <w:t> 毫米汞柱；</w:t>
      </w:r>
    </w:p>
    <w:p>
      <w:pPr>
        <w:pStyle w:val="ListParagraph"/>
        <w:numPr>
          <w:ilvl w:val="0"/>
          <w:numId w:val="50"/>
        </w:numPr>
        <w:tabs>
          <w:tab w:pos="707" w:val="left" w:leader="none"/>
        </w:tabs>
        <w:spacing w:line="240" w:lineRule="auto" w:before="5" w:after="0"/>
        <w:ind w:left="706" w:right="0" w:hanging="530"/>
        <w:jc w:val="left"/>
        <w:rPr>
          <w:sz w:val="21"/>
        </w:rPr>
      </w:pPr>
      <w:r>
        <w:rPr>
          <w:spacing w:val="-6"/>
          <w:sz w:val="21"/>
        </w:rPr>
        <w:t>右心室心脏舒张期末压力不低于 </w:t>
      </w:r>
      <w:r>
        <w:rPr>
          <w:spacing w:val="-2"/>
          <w:sz w:val="21"/>
        </w:rPr>
        <w:t>8</w:t>
      </w:r>
      <w:r>
        <w:rPr>
          <w:spacing w:val="-12"/>
          <w:sz w:val="21"/>
        </w:rPr>
        <w:t> 毫米汞柱；</w:t>
      </w:r>
    </w:p>
    <w:p>
      <w:pPr>
        <w:pStyle w:val="ListParagraph"/>
        <w:numPr>
          <w:ilvl w:val="0"/>
          <w:numId w:val="50"/>
        </w:numPr>
        <w:tabs>
          <w:tab w:pos="707" w:val="left" w:leader="none"/>
        </w:tabs>
        <w:spacing w:line="240" w:lineRule="auto" w:before="2" w:after="0"/>
        <w:ind w:left="706" w:right="0" w:hanging="530"/>
        <w:jc w:val="left"/>
        <w:rPr>
          <w:sz w:val="21"/>
        </w:rPr>
      </w:pPr>
      <w:r>
        <w:rPr>
          <w:spacing w:val="-3"/>
          <w:sz w:val="21"/>
        </w:rPr>
        <w:t>右心室过度肥大、扩张，出现右心衰竭和呼吸困难。</w:t>
      </w:r>
    </w:p>
    <w:p>
      <w:pPr>
        <w:spacing w:after="0" w:line="240" w:lineRule="auto"/>
        <w:jc w:val="left"/>
        <w:rPr>
          <w:sz w:val="21"/>
        </w:rPr>
        <w:sectPr>
          <w:type w:val="continuous"/>
          <w:pgSz w:w="11910" w:h="16840"/>
          <w:pgMar w:header="877" w:footer="0" w:top="1100" w:bottom="280" w:left="1060" w:right="980"/>
          <w:cols w:num="2" w:equalWidth="0">
            <w:col w:w="2588" w:space="40"/>
            <w:col w:w="7242"/>
          </w:cols>
        </w:sectPr>
      </w:pPr>
    </w:p>
    <w:p>
      <w:pPr>
        <w:pStyle w:val="ListParagraph"/>
        <w:numPr>
          <w:ilvl w:val="0"/>
          <w:numId w:val="46"/>
        </w:numPr>
        <w:tabs>
          <w:tab w:pos="1210" w:val="left" w:leader="none"/>
          <w:tab w:pos="1211" w:val="left" w:leader="none"/>
        </w:tabs>
        <w:spacing w:line="168" w:lineRule="auto" w:before="98" w:after="0"/>
        <w:ind w:left="1210" w:right="0" w:hanging="958"/>
        <w:jc w:val="both"/>
        <w:rPr>
          <w:rFonts w:ascii="微软雅黑" w:eastAsia="微软雅黑"/>
          <w:b/>
          <w:sz w:val="21"/>
        </w:rPr>
      </w:pPr>
      <w:r>
        <w:rPr>
          <w:rFonts w:ascii="微软雅黑" w:eastAsia="微软雅黑"/>
          <w:b/>
          <w:spacing w:val="15"/>
          <w:sz w:val="21"/>
        </w:rPr>
        <w:t>特发性慢性肾</w:t>
      </w:r>
      <w:r>
        <w:rPr>
          <w:rFonts w:ascii="微软雅黑" w:eastAsia="微软雅黑"/>
          <w:b/>
          <w:spacing w:val="15"/>
          <w:sz w:val="21"/>
        </w:rPr>
        <w:t>上腺皮质功能</w:t>
      </w:r>
      <w:r>
        <w:rPr>
          <w:rFonts w:ascii="微软雅黑" w:eastAsia="微软雅黑"/>
          <w:b/>
          <w:spacing w:val="-6"/>
          <w:sz w:val="21"/>
        </w:rPr>
        <w:t>减退</w:t>
      </w:r>
    </w:p>
    <w:p>
      <w:pPr>
        <w:pStyle w:val="BodyText"/>
        <w:spacing w:line="242" w:lineRule="auto" w:before="83"/>
        <w:ind w:left="177" w:right="326"/>
      </w:pPr>
      <w:r>
        <w:rPr/>
        <w:br w:type="column"/>
      </w:r>
      <w:r>
        <w:rPr>
          <w:spacing w:val="-2"/>
        </w:rPr>
        <w:t>指自身免疫性肾上腺炎导致肾上腺萎缩和慢性肾上腺皮质功能减退。必须</w:t>
      </w:r>
      <w:r>
        <w:rPr>
          <w:spacing w:val="-2"/>
        </w:rPr>
        <w:t>满足所有以下条件：</w:t>
      </w:r>
    </w:p>
    <w:p>
      <w:pPr>
        <w:pStyle w:val="ListParagraph"/>
        <w:numPr>
          <w:ilvl w:val="0"/>
          <w:numId w:val="51"/>
        </w:numPr>
        <w:tabs>
          <w:tab w:pos="707" w:val="left" w:leader="none"/>
        </w:tabs>
        <w:spacing w:line="240" w:lineRule="auto" w:before="1" w:after="0"/>
        <w:ind w:left="706" w:right="0" w:hanging="530"/>
        <w:jc w:val="left"/>
        <w:rPr>
          <w:sz w:val="21"/>
        </w:rPr>
      </w:pPr>
      <w:r>
        <w:rPr>
          <w:spacing w:val="-3"/>
          <w:sz w:val="21"/>
        </w:rPr>
        <w:t>必须由我们认可医院的专科医生明确诊断，符合所有以下诊断标准：</w:t>
      </w:r>
    </w:p>
    <w:p>
      <w:pPr>
        <w:pStyle w:val="BodyText"/>
        <w:spacing w:before="2"/>
        <w:ind w:left="703"/>
      </w:pPr>
      <w:r>
        <w:rPr>
          <w:spacing w:val="-2"/>
        </w:rPr>
        <w:t>①血浆促肾上腺皮质激素(ACTH)水平测定，&gt;100pg/ml；</w:t>
      </w:r>
    </w:p>
    <w:p>
      <w:pPr>
        <w:pStyle w:val="BodyText"/>
        <w:spacing w:line="242" w:lineRule="auto" w:before="5"/>
        <w:ind w:left="912" w:right="323" w:hanging="209"/>
      </w:pPr>
      <w:r>
        <w:rPr>
          <w:spacing w:val="-4"/>
        </w:rPr>
        <w:t>②血浆肾素活性、血管紧张素Ⅱ和醛固酮测定，显示为原发性肾上腺</w:t>
      </w:r>
      <w:r>
        <w:rPr>
          <w:spacing w:val="-2"/>
        </w:rPr>
        <w:t>皮质功能减退症；</w:t>
      </w:r>
    </w:p>
    <w:p>
      <w:pPr>
        <w:pStyle w:val="BodyText"/>
        <w:spacing w:line="242" w:lineRule="auto" w:before="1"/>
        <w:ind w:left="912" w:right="328" w:hanging="209"/>
      </w:pPr>
      <w:r>
        <w:rPr>
          <w:spacing w:val="-2"/>
        </w:rPr>
        <w:t>③促肾上腺皮质激素(ACTH)刺激试验显示为原发性肾上腺皮质功能</w:t>
      </w:r>
      <w:r>
        <w:rPr>
          <w:spacing w:val="-4"/>
        </w:rPr>
        <w:t>减退症。</w:t>
      </w:r>
    </w:p>
    <w:p>
      <w:pPr>
        <w:pStyle w:val="ListParagraph"/>
        <w:numPr>
          <w:ilvl w:val="0"/>
          <w:numId w:val="51"/>
        </w:numPr>
        <w:tabs>
          <w:tab w:pos="707" w:val="left" w:leader="none"/>
        </w:tabs>
        <w:spacing w:line="237" w:lineRule="exact" w:before="1" w:after="0"/>
        <w:ind w:left="706" w:right="0" w:hanging="530"/>
        <w:jc w:val="left"/>
        <w:rPr>
          <w:sz w:val="21"/>
        </w:rPr>
      </w:pPr>
      <w:r>
        <w:rPr>
          <w:spacing w:val="-6"/>
          <w:sz w:val="21"/>
        </w:rPr>
        <w:t>已经采用皮质类固醇替代治疗 </w:t>
      </w:r>
      <w:r>
        <w:rPr>
          <w:spacing w:val="-2"/>
          <w:sz w:val="21"/>
        </w:rPr>
        <w:t>180</w:t>
      </w:r>
      <w:r>
        <w:rPr>
          <w:spacing w:val="-14"/>
          <w:sz w:val="21"/>
        </w:rPr>
        <w:t> 天以上。</w:t>
      </w:r>
    </w:p>
    <w:p>
      <w:pPr>
        <w:spacing w:line="170" w:lineRule="auto" w:before="48"/>
        <w:ind w:left="177" w:right="327" w:firstLine="0"/>
        <w:jc w:val="left"/>
        <w:rPr>
          <w:rFonts w:ascii="微软雅黑" w:eastAsia="微软雅黑"/>
          <w:b/>
          <w:sz w:val="21"/>
        </w:rPr>
      </w:pPr>
      <w:r>
        <w:rPr>
          <w:rFonts w:ascii="微软雅黑" w:eastAsia="微软雅黑"/>
          <w:b/>
          <w:spacing w:val="-2"/>
          <w:sz w:val="21"/>
        </w:rPr>
        <w:t>肾上腺结核、HIV 感染或艾滋病、感染、肿瘤所致的原发性肾上腺皮质功</w:t>
      </w:r>
      <w:r>
        <w:rPr>
          <w:rFonts w:ascii="微软雅黑" w:eastAsia="微软雅黑"/>
          <w:b/>
          <w:spacing w:val="-2"/>
          <w:sz w:val="21"/>
        </w:rPr>
        <w:t>能减退和继发性肾上腺皮质功能减退不在保障范围内。</w:t>
      </w:r>
    </w:p>
    <w:p>
      <w:pPr>
        <w:spacing w:after="0" w:line="170" w:lineRule="auto"/>
        <w:jc w:val="left"/>
        <w:rPr>
          <w:rFonts w:ascii="微软雅黑" w:eastAsia="微软雅黑"/>
          <w:sz w:val="21"/>
        </w:rPr>
        <w:sectPr>
          <w:pgSz w:w="11910" w:h="16840"/>
          <w:pgMar w:header="877" w:footer="0" w:top="1100" w:bottom="280" w:left="1060" w:right="980"/>
          <w:cols w:num="2" w:equalWidth="0">
            <w:col w:w="2588" w:space="40"/>
            <w:col w:w="7242"/>
          </w:cols>
        </w:sectPr>
      </w:pPr>
    </w:p>
    <w:p>
      <w:pPr>
        <w:pStyle w:val="BodyText"/>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46"/>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5"/>
          <w:sz w:val="21"/>
        </w:rPr>
        <w:t>进行性核上性</w:t>
      </w:r>
      <w:r>
        <w:rPr>
          <w:rFonts w:ascii="微软雅黑" w:eastAsia="微软雅黑"/>
          <w:b/>
          <w:spacing w:val="-6"/>
          <w:sz w:val="21"/>
        </w:rPr>
        <w:t>麻痹</w:t>
      </w:r>
    </w:p>
    <w:p>
      <w:pPr>
        <w:pStyle w:val="BodyText"/>
        <w:spacing w:line="242" w:lineRule="auto" w:before="72"/>
        <w:ind w:left="177" w:right="326"/>
      </w:pPr>
      <w:r>
        <w:rPr/>
        <w:br w:type="column"/>
      </w:r>
      <w:r>
        <w:rPr>
          <w:spacing w:val="-2"/>
        </w:rPr>
        <w:t>一种隐袭起病、逐渐加重的神经系统变性疾病。本疾病必须由我们认可医</w:t>
      </w:r>
      <w:r>
        <w:rPr>
          <w:spacing w:val="-2"/>
        </w:rPr>
        <w:t>院的神经科专科医生确诊，并须满足下列所有条件：</w:t>
      </w:r>
    </w:p>
    <w:p>
      <w:pPr>
        <w:pStyle w:val="ListParagraph"/>
        <w:numPr>
          <w:ilvl w:val="0"/>
          <w:numId w:val="52"/>
        </w:numPr>
        <w:tabs>
          <w:tab w:pos="707" w:val="left" w:leader="none"/>
        </w:tabs>
        <w:spacing w:line="240" w:lineRule="auto" w:before="1" w:after="0"/>
        <w:ind w:left="706" w:right="0" w:hanging="530"/>
        <w:jc w:val="left"/>
        <w:rPr>
          <w:sz w:val="21"/>
        </w:rPr>
      </w:pPr>
      <w:r>
        <w:rPr>
          <w:spacing w:val="-4"/>
          <w:sz w:val="21"/>
        </w:rPr>
        <w:t>步态共济失调；</w:t>
      </w:r>
    </w:p>
    <w:p>
      <w:pPr>
        <w:pStyle w:val="ListParagraph"/>
        <w:numPr>
          <w:ilvl w:val="0"/>
          <w:numId w:val="52"/>
        </w:numPr>
        <w:tabs>
          <w:tab w:pos="707" w:val="left" w:leader="none"/>
        </w:tabs>
        <w:spacing w:line="240" w:lineRule="auto" w:before="3" w:after="0"/>
        <w:ind w:left="706" w:right="0" w:hanging="530"/>
        <w:jc w:val="left"/>
        <w:rPr>
          <w:sz w:val="21"/>
        </w:rPr>
      </w:pPr>
      <w:r>
        <w:rPr>
          <w:spacing w:val="-3"/>
          <w:sz w:val="21"/>
        </w:rPr>
        <w:t>对称性眼球垂直运动障碍；</w:t>
      </w:r>
    </w:p>
    <w:p>
      <w:pPr>
        <w:pStyle w:val="ListParagraph"/>
        <w:numPr>
          <w:ilvl w:val="0"/>
          <w:numId w:val="52"/>
        </w:numPr>
        <w:tabs>
          <w:tab w:pos="707" w:val="left" w:leader="none"/>
        </w:tabs>
        <w:spacing w:line="240" w:lineRule="auto" w:before="4" w:after="0"/>
        <w:ind w:left="706" w:right="0" w:hanging="530"/>
        <w:jc w:val="left"/>
        <w:rPr>
          <w:sz w:val="21"/>
        </w:rPr>
      </w:pPr>
      <w:r>
        <w:rPr>
          <w:spacing w:val="-2"/>
          <w:sz w:val="21"/>
        </w:rPr>
        <w:t>假性球麻痹（构音障碍和吞咽困难</w:t>
      </w:r>
      <w:r>
        <w:rPr>
          <w:spacing w:val="-5"/>
          <w:sz w:val="21"/>
        </w:rPr>
        <w:t>）；</w:t>
      </w:r>
    </w:p>
    <w:p>
      <w:pPr>
        <w:pStyle w:val="ListParagraph"/>
        <w:numPr>
          <w:ilvl w:val="0"/>
          <w:numId w:val="52"/>
        </w:numPr>
        <w:tabs>
          <w:tab w:pos="707" w:val="left" w:leader="none"/>
        </w:tabs>
        <w:spacing w:line="244" w:lineRule="auto" w:before="2" w:after="0"/>
        <w:ind w:left="689" w:right="324" w:hanging="512"/>
        <w:jc w:val="left"/>
        <w:rPr>
          <w:sz w:val="21"/>
        </w:rPr>
      </w:pPr>
      <w:r>
        <w:rPr>
          <w:spacing w:val="-9"/>
          <w:sz w:val="21"/>
        </w:rPr>
        <w:t>被保险人自主生活能力完全丧失，无法独立完成六项基本日常生活活</w:t>
      </w:r>
      <w:r>
        <w:rPr>
          <w:spacing w:val="-2"/>
          <w:sz w:val="21"/>
        </w:rPr>
        <w:t>动中的三项或三项以上。</w:t>
      </w:r>
    </w:p>
    <w:p>
      <w:pPr>
        <w:spacing w:after="0" w:line="244" w:lineRule="auto"/>
        <w:jc w:val="left"/>
        <w:rPr>
          <w:sz w:val="21"/>
        </w:rPr>
        <w:sectPr>
          <w:type w:val="continuous"/>
          <w:pgSz w:w="11910" w:h="16840"/>
          <w:pgMar w:header="877" w:footer="0" w:top="1100" w:bottom="280" w:left="1060" w:right="980"/>
          <w:cols w:num="2" w:equalWidth="0">
            <w:col w:w="2588" w:space="40"/>
            <w:col w:w="7242"/>
          </w:cols>
        </w:sectPr>
      </w:pPr>
    </w:p>
    <w:p>
      <w:pPr>
        <w:pStyle w:val="BodyText"/>
        <w:spacing w:before="6"/>
        <w:rPr>
          <w:sz w:val="15"/>
        </w:rPr>
      </w:pPr>
    </w:p>
    <w:p>
      <w:pPr>
        <w:spacing w:after="0"/>
        <w:rPr>
          <w:sz w:val="15"/>
        </w:rPr>
        <w:sectPr>
          <w:type w:val="continuous"/>
          <w:pgSz w:w="11910" w:h="16840"/>
          <w:pgMar w:header="877" w:footer="0" w:top="1100" w:bottom="280" w:left="1060" w:right="980"/>
        </w:sectPr>
      </w:pPr>
    </w:p>
    <w:p>
      <w:pPr>
        <w:pStyle w:val="ListParagraph"/>
        <w:numPr>
          <w:ilvl w:val="0"/>
          <w:numId w:val="46"/>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5"/>
          <w:sz w:val="21"/>
        </w:rPr>
        <w:t>严重肝豆状核</w:t>
      </w:r>
      <w:r>
        <w:rPr>
          <w:rFonts w:ascii="微软雅黑" w:eastAsia="微软雅黑"/>
          <w:b/>
          <w:spacing w:val="-6"/>
          <w:sz w:val="21"/>
        </w:rPr>
        <w:t>变性</w:t>
      </w:r>
    </w:p>
    <w:p>
      <w:pPr>
        <w:pStyle w:val="BodyText"/>
        <w:spacing w:line="242" w:lineRule="auto" w:before="72"/>
        <w:ind w:left="177" w:right="326"/>
      </w:pPr>
      <w:r>
        <w:rPr/>
        <w:br w:type="column"/>
      </w:r>
      <w:r>
        <w:rPr>
          <w:spacing w:val="-2"/>
        </w:rPr>
        <w:t>指由于铜代谢障碍所引起的一种疾病，其特点为肝硬化与双侧脑基底神经</w:t>
      </w:r>
      <w:r>
        <w:rPr>
          <w:spacing w:val="-3"/>
        </w:rPr>
        <w:t>节变性同时存在，且须由专科医生明确诊断，并必须满足下列全部条件：</w:t>
      </w:r>
    </w:p>
    <w:p>
      <w:pPr>
        <w:pStyle w:val="ListParagraph"/>
        <w:numPr>
          <w:ilvl w:val="0"/>
          <w:numId w:val="53"/>
        </w:numPr>
        <w:tabs>
          <w:tab w:pos="707" w:val="left" w:leader="none"/>
        </w:tabs>
        <w:spacing w:line="244" w:lineRule="auto" w:before="0" w:after="0"/>
        <w:ind w:left="703" w:right="230" w:hanging="526"/>
        <w:jc w:val="left"/>
        <w:rPr>
          <w:sz w:val="21"/>
        </w:rPr>
      </w:pPr>
      <w:r>
        <w:rPr>
          <w:spacing w:val="-2"/>
          <w:sz w:val="21"/>
        </w:rPr>
        <w:t>临床表现包括：进行性加剧的肢体震颤，肌强直，吞咽及发音困难，</w:t>
      </w:r>
      <w:r>
        <w:rPr>
          <w:spacing w:val="-2"/>
          <w:sz w:val="21"/>
        </w:rPr>
        <w:t>精神异常；</w:t>
      </w:r>
    </w:p>
    <w:p>
      <w:pPr>
        <w:spacing w:after="0" w:line="244" w:lineRule="auto"/>
        <w:jc w:val="left"/>
        <w:rPr>
          <w:sz w:val="21"/>
        </w:rPr>
        <w:sectPr>
          <w:type w:val="continuous"/>
          <w:pgSz w:w="11910" w:h="16840"/>
          <w:pgMar w:header="877" w:footer="0" w:top="1100" w:bottom="280" w:left="1060" w:right="980"/>
          <w:cols w:num="2" w:equalWidth="0">
            <w:col w:w="2588" w:space="40"/>
            <w:col w:w="7242"/>
          </w:cols>
        </w:sect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04"/>
        <w:gridCol w:w="6949"/>
      </w:tblGrid>
      <w:tr>
        <w:trPr>
          <w:trHeight w:val="1467" w:hRule="atLeast"/>
        </w:trPr>
        <w:tc>
          <w:tcPr>
            <w:tcW w:w="2438" w:type="dxa"/>
            <w:gridSpan w:val="2"/>
          </w:tcPr>
          <w:p>
            <w:pPr>
              <w:pStyle w:val="TableParagraph"/>
              <w:rPr>
                <w:rFonts w:ascii="Times New Roman"/>
                <w:sz w:val="20"/>
              </w:rPr>
            </w:pPr>
          </w:p>
        </w:tc>
        <w:tc>
          <w:tcPr>
            <w:tcW w:w="6949" w:type="dxa"/>
          </w:tcPr>
          <w:p>
            <w:pPr>
              <w:pStyle w:val="TableParagraph"/>
              <w:numPr>
                <w:ilvl w:val="0"/>
                <w:numId w:val="54"/>
              </w:numPr>
              <w:tabs>
                <w:tab w:pos="693" w:val="left" w:leader="none"/>
              </w:tabs>
              <w:spacing w:line="241" w:lineRule="exact" w:before="0" w:after="0"/>
              <w:ind w:left="692" w:right="0" w:hanging="530"/>
              <w:jc w:val="left"/>
              <w:rPr>
                <w:sz w:val="21"/>
              </w:rPr>
            </w:pPr>
            <w:r>
              <w:rPr>
                <w:spacing w:val="-2"/>
                <w:sz w:val="21"/>
              </w:rPr>
              <w:t>角膜色素环（K-F</w:t>
            </w:r>
            <w:r>
              <w:rPr>
                <w:spacing w:val="-26"/>
                <w:sz w:val="21"/>
              </w:rPr>
              <w:t> 环</w:t>
            </w:r>
            <w:r>
              <w:rPr>
                <w:spacing w:val="-5"/>
                <w:sz w:val="21"/>
              </w:rPr>
              <w:t>）；</w:t>
            </w:r>
          </w:p>
          <w:p>
            <w:pPr>
              <w:pStyle w:val="TableParagraph"/>
              <w:numPr>
                <w:ilvl w:val="0"/>
                <w:numId w:val="54"/>
              </w:numPr>
              <w:tabs>
                <w:tab w:pos="693" w:val="left" w:leader="none"/>
              </w:tabs>
              <w:spacing w:line="240" w:lineRule="auto" w:before="5" w:after="0"/>
              <w:ind w:left="692" w:right="0" w:hanging="530"/>
              <w:jc w:val="left"/>
              <w:rPr>
                <w:sz w:val="21"/>
              </w:rPr>
            </w:pPr>
            <w:r>
              <w:rPr>
                <w:spacing w:val="-3"/>
                <w:sz w:val="21"/>
              </w:rPr>
              <w:t>血清铜和血清铜蓝蛋白降低，尿铜增加；</w:t>
            </w:r>
          </w:p>
          <w:p>
            <w:pPr>
              <w:pStyle w:val="TableParagraph"/>
              <w:numPr>
                <w:ilvl w:val="0"/>
                <w:numId w:val="54"/>
              </w:numPr>
              <w:tabs>
                <w:tab w:pos="693" w:val="left" w:leader="none"/>
              </w:tabs>
              <w:spacing w:line="240" w:lineRule="auto" w:before="2" w:after="0"/>
              <w:ind w:left="692" w:right="0" w:hanging="530"/>
              <w:jc w:val="left"/>
              <w:rPr>
                <w:sz w:val="21"/>
              </w:rPr>
            </w:pPr>
            <w:r>
              <w:rPr>
                <w:spacing w:val="-3"/>
                <w:sz w:val="21"/>
              </w:rPr>
              <w:t>经皮做肝脏活检来定量分析肝脏铜的含量。</w:t>
            </w:r>
          </w:p>
          <w:p>
            <w:pPr>
              <w:pStyle w:val="TableParagraph"/>
              <w:spacing w:line="242" w:lineRule="auto" w:before="4"/>
              <w:ind w:left="163" w:right="50"/>
              <w:rPr>
                <w:sz w:val="21"/>
              </w:rPr>
            </w:pPr>
            <w:r>
              <w:rPr>
                <w:spacing w:val="-2"/>
                <w:sz w:val="21"/>
              </w:rPr>
              <w:t>本公司承担本项疾病责任不受本合同责任免除中“遗传性疾病、先天性畸</w:t>
            </w:r>
            <w:r>
              <w:rPr>
                <w:spacing w:val="-2"/>
                <w:sz w:val="21"/>
              </w:rPr>
              <w:t>形、变形或染色体异常”的限制。</w:t>
            </w:r>
          </w:p>
        </w:tc>
      </w:tr>
      <w:tr>
        <w:trPr>
          <w:trHeight w:val="2453" w:hRule="atLeast"/>
        </w:trPr>
        <w:tc>
          <w:tcPr>
            <w:tcW w:w="634" w:type="dxa"/>
          </w:tcPr>
          <w:p>
            <w:pPr>
              <w:pStyle w:val="TableParagraph"/>
              <w:spacing w:before="71"/>
              <w:ind w:left="50"/>
              <w:rPr>
                <w:rFonts w:ascii="微软雅黑"/>
                <w:b/>
                <w:sz w:val="21"/>
              </w:rPr>
            </w:pPr>
            <w:r>
              <w:rPr>
                <w:rFonts w:ascii="微软雅黑"/>
                <w:b/>
                <w:spacing w:val="-5"/>
                <w:w w:val="90"/>
                <w:sz w:val="21"/>
              </w:rPr>
              <w:t>51</w:t>
            </w:r>
          </w:p>
        </w:tc>
        <w:tc>
          <w:tcPr>
            <w:tcW w:w="1804" w:type="dxa"/>
          </w:tcPr>
          <w:p>
            <w:pPr>
              <w:pStyle w:val="TableParagraph"/>
              <w:spacing w:before="71"/>
              <w:ind w:left="373"/>
              <w:rPr>
                <w:rFonts w:ascii="微软雅黑" w:eastAsia="微软雅黑"/>
                <w:b/>
                <w:sz w:val="21"/>
              </w:rPr>
            </w:pPr>
            <w:r>
              <w:rPr>
                <w:rFonts w:ascii="微软雅黑" w:eastAsia="微软雅黑"/>
                <w:b/>
                <w:spacing w:val="-3"/>
                <w:sz w:val="21"/>
              </w:rPr>
              <w:t>严重哮喘</w:t>
            </w:r>
          </w:p>
        </w:tc>
        <w:tc>
          <w:tcPr>
            <w:tcW w:w="6949" w:type="dxa"/>
          </w:tcPr>
          <w:p>
            <w:pPr>
              <w:pStyle w:val="TableParagraph"/>
              <w:spacing w:line="244" w:lineRule="auto" w:before="138"/>
              <w:ind w:left="163" w:right="50"/>
              <w:rPr>
                <w:sz w:val="21"/>
              </w:rPr>
            </w:pPr>
            <w:r>
              <w:rPr>
                <w:spacing w:val="-2"/>
                <w:sz w:val="21"/>
              </w:rPr>
              <w:t>指一种反复发作的严重支气管阻塞性疾病，经我们认可医院的专科医生确</w:t>
            </w:r>
            <w:r>
              <w:rPr>
                <w:spacing w:val="-2"/>
                <w:sz w:val="21"/>
              </w:rPr>
              <w:t>诊，且必须同时符合下列全部标准：</w:t>
            </w:r>
          </w:p>
          <w:p>
            <w:pPr>
              <w:pStyle w:val="TableParagraph"/>
              <w:numPr>
                <w:ilvl w:val="0"/>
                <w:numId w:val="55"/>
              </w:numPr>
              <w:tabs>
                <w:tab w:pos="693" w:val="left" w:leader="none"/>
              </w:tabs>
              <w:spacing w:line="244" w:lineRule="auto" w:before="0" w:after="0"/>
              <w:ind w:left="689" w:right="59" w:hanging="526"/>
              <w:jc w:val="left"/>
              <w:rPr>
                <w:sz w:val="21"/>
              </w:rPr>
            </w:pPr>
            <w:r>
              <w:rPr>
                <w:spacing w:val="-2"/>
                <w:sz w:val="21"/>
              </w:rPr>
              <w:t>过去两年中曾因哮喘持续状态（</w:t>
            </w:r>
            <w:r>
              <w:rPr>
                <w:spacing w:val="-7"/>
                <w:sz w:val="21"/>
              </w:rPr>
              <w:t>指哮喘持续发作 </w:t>
            </w:r>
            <w:r>
              <w:rPr>
                <w:spacing w:val="-2"/>
                <w:sz w:val="21"/>
              </w:rPr>
              <w:t>24</w:t>
            </w:r>
            <w:r>
              <w:rPr>
                <w:spacing w:val="-9"/>
                <w:sz w:val="21"/>
              </w:rPr>
              <w:t> 小时以上不能缓</w:t>
            </w:r>
            <w:r>
              <w:rPr>
                <w:spacing w:val="-2"/>
                <w:sz w:val="21"/>
              </w:rPr>
              <w:t>解）住院治疗，并提供完整住院记录；</w:t>
            </w:r>
          </w:p>
          <w:p>
            <w:pPr>
              <w:pStyle w:val="TableParagraph"/>
              <w:numPr>
                <w:ilvl w:val="0"/>
                <w:numId w:val="55"/>
              </w:numPr>
              <w:tabs>
                <w:tab w:pos="693" w:val="left" w:leader="none"/>
              </w:tabs>
              <w:spacing w:line="265" w:lineRule="exact" w:before="0" w:after="0"/>
              <w:ind w:left="692" w:right="0" w:hanging="530"/>
              <w:jc w:val="left"/>
              <w:rPr>
                <w:sz w:val="21"/>
              </w:rPr>
            </w:pPr>
            <w:r>
              <w:rPr>
                <w:spacing w:val="-3"/>
                <w:sz w:val="21"/>
              </w:rPr>
              <w:t>因慢性过度换气导致胸廓畸形；</w:t>
            </w:r>
          </w:p>
          <w:p>
            <w:pPr>
              <w:pStyle w:val="TableParagraph"/>
              <w:numPr>
                <w:ilvl w:val="0"/>
                <w:numId w:val="55"/>
              </w:numPr>
              <w:tabs>
                <w:tab w:pos="693" w:val="left" w:leader="none"/>
              </w:tabs>
              <w:spacing w:line="240" w:lineRule="auto" w:before="0" w:after="0"/>
              <w:ind w:left="692" w:right="0" w:hanging="530"/>
              <w:jc w:val="left"/>
              <w:rPr>
                <w:sz w:val="21"/>
              </w:rPr>
            </w:pPr>
            <w:r>
              <w:rPr>
                <w:spacing w:val="-3"/>
                <w:sz w:val="21"/>
              </w:rPr>
              <w:t>在家中需要医生处方的氧气治疗法；</w:t>
            </w:r>
          </w:p>
          <w:p>
            <w:pPr>
              <w:pStyle w:val="TableParagraph"/>
              <w:numPr>
                <w:ilvl w:val="0"/>
                <w:numId w:val="55"/>
              </w:numPr>
              <w:tabs>
                <w:tab w:pos="693" w:val="left" w:leader="none"/>
              </w:tabs>
              <w:spacing w:line="238" w:lineRule="exact" w:before="3" w:after="0"/>
              <w:ind w:left="692" w:right="0" w:hanging="530"/>
              <w:jc w:val="left"/>
              <w:rPr>
                <w:sz w:val="21"/>
              </w:rPr>
            </w:pPr>
            <w:r>
              <w:rPr>
                <w:spacing w:val="-5"/>
                <w:sz w:val="21"/>
              </w:rPr>
              <w:t>持续日常服用口服类固醇激素治疗持续至少 </w:t>
            </w:r>
            <w:r>
              <w:rPr>
                <w:spacing w:val="-2"/>
                <w:sz w:val="21"/>
              </w:rPr>
              <w:t>6</w:t>
            </w:r>
            <w:r>
              <w:rPr>
                <w:spacing w:val="-16"/>
                <w:sz w:val="21"/>
              </w:rPr>
              <w:t> 个月。</w:t>
            </w:r>
          </w:p>
          <w:p>
            <w:pPr>
              <w:pStyle w:val="TableParagraph"/>
              <w:spacing w:line="356" w:lineRule="exact"/>
              <w:ind w:left="163"/>
              <w:rPr>
                <w:rFonts w:ascii="微软雅黑" w:eastAsia="微软雅黑"/>
                <w:b/>
                <w:sz w:val="21"/>
              </w:rPr>
            </w:pPr>
            <w:r>
              <w:rPr>
                <w:rFonts w:ascii="微软雅黑" w:eastAsia="微软雅黑"/>
                <w:b/>
                <w:w w:val="95"/>
                <w:sz w:val="21"/>
              </w:rPr>
              <w:t>被</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人</w:t>
            </w:r>
            <w:r>
              <w:rPr>
                <w:rFonts w:ascii="微软雅黑" w:eastAsia="微软雅黑"/>
                <w:b/>
                <w:w w:val="95"/>
                <w:sz w:val="21"/>
              </w:rPr>
              <w:t>在</w:t>
            </w:r>
            <w:r>
              <w:rPr>
                <w:rFonts w:ascii="微软雅黑" w:eastAsia="微软雅黑"/>
                <w:b/>
                <w:w w:val="95"/>
                <w:sz w:val="21"/>
              </w:rPr>
              <w:t>年</w:t>
            </w:r>
            <w:r>
              <w:rPr>
                <w:rFonts w:ascii="微软雅黑" w:eastAsia="微软雅黑"/>
                <w:b/>
                <w:w w:val="95"/>
                <w:sz w:val="21"/>
              </w:rPr>
              <w:t>满</w:t>
            </w:r>
            <w:r>
              <w:rPr>
                <w:rFonts w:ascii="微软雅黑" w:eastAsia="微软雅黑"/>
                <w:b/>
                <w:spacing w:val="57"/>
                <w:w w:val="150"/>
                <w:sz w:val="21"/>
              </w:rPr>
              <w:t> </w:t>
            </w:r>
            <w:r>
              <w:rPr>
                <w:rFonts w:ascii="微软雅黑" w:eastAsia="微软雅黑"/>
                <w:b/>
                <w:w w:val="95"/>
                <w:sz w:val="21"/>
              </w:rPr>
              <w:t>25</w:t>
            </w:r>
            <w:r>
              <w:rPr>
                <w:rFonts w:ascii="微软雅黑" w:eastAsia="微软雅黑"/>
                <w:b/>
                <w:spacing w:val="57"/>
                <w:w w:val="150"/>
                <w:sz w:val="21"/>
              </w:rPr>
              <w:t> </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之</w:t>
            </w:r>
            <w:r>
              <w:rPr>
                <w:rFonts w:ascii="微软雅黑" w:eastAsia="微软雅黑"/>
                <w:b/>
                <w:w w:val="95"/>
                <w:sz w:val="21"/>
              </w:rPr>
              <w:t>后</w:t>
            </w:r>
            <w:r>
              <w:rPr>
                <w:rFonts w:ascii="微软雅黑" w:eastAsia="微软雅黑"/>
                <w:b/>
                <w:w w:val="95"/>
                <w:sz w:val="21"/>
              </w:rPr>
              <w:t>的</w:t>
            </w:r>
            <w:r>
              <w:rPr>
                <w:rFonts w:ascii="微软雅黑" w:eastAsia="微软雅黑"/>
                <w:b/>
                <w:w w:val="95"/>
                <w:sz w:val="21"/>
              </w:rPr>
              <w:t>严</w:t>
            </w:r>
            <w:r>
              <w:rPr>
                <w:rFonts w:ascii="微软雅黑" w:eastAsia="微软雅黑"/>
                <w:b/>
                <w:w w:val="95"/>
                <w:sz w:val="21"/>
              </w:rPr>
              <w:t>重</w:t>
            </w:r>
            <w:r>
              <w:rPr>
                <w:rFonts w:ascii="微软雅黑" w:eastAsia="微软雅黑"/>
                <w:b/>
                <w:w w:val="95"/>
                <w:sz w:val="21"/>
              </w:rPr>
              <w:t>哮</w:t>
            </w:r>
            <w:r>
              <w:rPr>
                <w:rFonts w:ascii="微软雅黑" w:eastAsia="微软雅黑"/>
                <w:b/>
                <w:w w:val="95"/>
                <w:sz w:val="21"/>
              </w:rPr>
              <w:t>喘</w:t>
            </w:r>
            <w:r>
              <w:rPr>
                <w:rFonts w:ascii="微软雅黑" w:eastAsia="微软雅黑"/>
                <w:b/>
                <w:w w:val="95"/>
                <w:sz w:val="21"/>
              </w:rPr>
              <w:t>不</w:t>
            </w:r>
            <w:r>
              <w:rPr>
                <w:rFonts w:ascii="微软雅黑" w:eastAsia="微软雅黑"/>
                <w:b/>
                <w:w w:val="95"/>
                <w:sz w:val="21"/>
              </w:rPr>
              <w:t>在</w:t>
            </w:r>
            <w:r>
              <w:rPr>
                <w:rFonts w:ascii="微软雅黑" w:eastAsia="微软雅黑"/>
                <w:b/>
                <w:w w:val="95"/>
                <w:sz w:val="21"/>
              </w:rPr>
              <w:t>保障范</w:t>
            </w:r>
            <w:r>
              <w:rPr>
                <w:rFonts w:ascii="微软雅黑" w:eastAsia="微软雅黑"/>
                <w:b/>
                <w:w w:val="95"/>
                <w:sz w:val="21"/>
              </w:rPr>
              <w:t>围</w:t>
            </w:r>
            <w:r>
              <w:rPr>
                <w:rFonts w:ascii="微软雅黑" w:eastAsia="微软雅黑"/>
                <w:b/>
                <w:w w:val="95"/>
                <w:sz w:val="21"/>
              </w:rPr>
              <w:t>内</w:t>
            </w:r>
            <w:r>
              <w:rPr>
                <w:rFonts w:ascii="微软雅黑" w:eastAsia="微软雅黑"/>
                <w:b/>
                <w:spacing w:val="-10"/>
                <w:w w:val="95"/>
                <w:sz w:val="21"/>
              </w:rPr>
              <w:t>。</w:t>
            </w:r>
          </w:p>
        </w:tc>
      </w:tr>
      <w:tr>
        <w:trPr>
          <w:trHeight w:val="1632" w:hRule="atLeast"/>
        </w:trPr>
        <w:tc>
          <w:tcPr>
            <w:tcW w:w="634" w:type="dxa"/>
          </w:tcPr>
          <w:p>
            <w:pPr>
              <w:pStyle w:val="TableParagraph"/>
              <w:spacing w:before="71"/>
              <w:ind w:left="50"/>
              <w:rPr>
                <w:rFonts w:ascii="微软雅黑"/>
                <w:b/>
                <w:sz w:val="21"/>
              </w:rPr>
            </w:pPr>
            <w:r>
              <w:rPr>
                <w:rFonts w:ascii="微软雅黑"/>
                <w:b/>
                <w:spacing w:val="-5"/>
                <w:w w:val="90"/>
                <w:sz w:val="21"/>
              </w:rPr>
              <w:t>52</w:t>
            </w:r>
          </w:p>
        </w:tc>
        <w:tc>
          <w:tcPr>
            <w:tcW w:w="1804" w:type="dxa"/>
          </w:tcPr>
          <w:p>
            <w:pPr>
              <w:pStyle w:val="TableParagraph"/>
              <w:spacing w:before="71"/>
              <w:ind w:left="373"/>
              <w:rPr>
                <w:rFonts w:ascii="微软雅黑" w:eastAsia="微软雅黑"/>
                <w:b/>
                <w:sz w:val="21"/>
              </w:rPr>
            </w:pPr>
            <w:r>
              <w:rPr>
                <w:rFonts w:ascii="微软雅黑" w:eastAsia="微软雅黑"/>
                <w:b/>
                <w:spacing w:val="-2"/>
                <w:sz w:val="21"/>
              </w:rPr>
              <w:t>严重冠心病</w:t>
            </w:r>
          </w:p>
        </w:tc>
        <w:tc>
          <w:tcPr>
            <w:tcW w:w="6949" w:type="dxa"/>
          </w:tcPr>
          <w:p>
            <w:pPr>
              <w:pStyle w:val="TableParagraph"/>
              <w:spacing w:line="242" w:lineRule="auto" w:before="138"/>
              <w:ind w:left="163" w:right="48"/>
              <w:jc w:val="both"/>
              <w:rPr>
                <w:sz w:val="21"/>
              </w:rPr>
            </w:pPr>
            <w:r>
              <w:rPr>
                <w:spacing w:val="-2"/>
                <w:sz w:val="21"/>
              </w:rPr>
              <w:t>指根据冠状动脉造影检查结果，明确诊断为三支或以上冠状动脉主要血管</w:t>
            </w:r>
            <w:r>
              <w:rPr>
                <w:spacing w:val="-4"/>
                <w:sz w:val="21"/>
              </w:rPr>
              <w:t>的严重狭窄性病变（至少一支血管管腔直径减少 75％以上和其他两支血管</w:t>
            </w:r>
            <w:r>
              <w:rPr>
                <w:spacing w:val="-4"/>
                <w:sz w:val="21"/>
              </w:rPr>
              <w:t>管腔直径减少 60％以上）。冠状动脉的主要血管指左冠状动脉主干、前降</w:t>
            </w:r>
            <w:r>
              <w:rPr>
                <w:spacing w:val="-2"/>
                <w:sz w:val="21"/>
              </w:rPr>
              <w:t>支、左旋支及右冠状动脉。</w:t>
            </w:r>
          </w:p>
          <w:p>
            <w:pPr>
              <w:pStyle w:val="TableParagraph"/>
              <w:spacing w:line="320" w:lineRule="exact"/>
              <w:ind w:left="163"/>
              <w:rPr>
                <w:rFonts w:ascii="微软雅黑" w:eastAsia="微软雅黑"/>
                <w:b/>
                <w:sz w:val="21"/>
              </w:rPr>
            </w:pPr>
            <w:r>
              <w:rPr>
                <w:rFonts w:ascii="微软雅黑" w:eastAsia="微软雅黑"/>
                <w:b/>
                <w:spacing w:val="-3"/>
                <w:sz w:val="21"/>
              </w:rPr>
              <w:t>前降支、左旋支及右冠状动脉的分支血管的狭窄不在保障范围内。</w:t>
            </w:r>
          </w:p>
        </w:tc>
      </w:tr>
      <w:tr>
        <w:trPr>
          <w:trHeight w:val="1634" w:hRule="atLeast"/>
        </w:trPr>
        <w:tc>
          <w:tcPr>
            <w:tcW w:w="634" w:type="dxa"/>
          </w:tcPr>
          <w:p>
            <w:pPr>
              <w:pStyle w:val="TableParagraph"/>
              <w:spacing w:before="71"/>
              <w:ind w:left="50"/>
              <w:rPr>
                <w:rFonts w:ascii="微软雅黑"/>
                <w:b/>
                <w:sz w:val="21"/>
              </w:rPr>
            </w:pPr>
            <w:r>
              <w:rPr>
                <w:rFonts w:ascii="微软雅黑"/>
                <w:b/>
                <w:spacing w:val="-5"/>
                <w:w w:val="90"/>
                <w:sz w:val="21"/>
              </w:rPr>
              <w:t>53</w:t>
            </w:r>
          </w:p>
        </w:tc>
        <w:tc>
          <w:tcPr>
            <w:tcW w:w="1804" w:type="dxa"/>
          </w:tcPr>
          <w:p>
            <w:pPr>
              <w:pStyle w:val="TableParagraph"/>
              <w:spacing w:before="71"/>
              <w:ind w:left="373"/>
              <w:rPr>
                <w:rFonts w:ascii="微软雅黑" w:eastAsia="微软雅黑"/>
                <w:b/>
                <w:sz w:val="21"/>
              </w:rPr>
            </w:pPr>
            <w:r>
              <w:rPr>
                <w:rFonts w:ascii="微软雅黑" w:eastAsia="微软雅黑"/>
                <w:b/>
                <w:spacing w:val="-2"/>
                <w:sz w:val="21"/>
              </w:rPr>
              <w:t>植物人状态</w:t>
            </w:r>
          </w:p>
        </w:tc>
        <w:tc>
          <w:tcPr>
            <w:tcW w:w="6949" w:type="dxa"/>
          </w:tcPr>
          <w:p>
            <w:pPr>
              <w:pStyle w:val="TableParagraph"/>
              <w:spacing w:line="242" w:lineRule="auto" w:before="138"/>
              <w:ind w:left="163" w:right="50"/>
              <w:jc w:val="both"/>
              <w:rPr>
                <w:sz w:val="21"/>
              </w:rPr>
            </w:pPr>
            <w:r>
              <w:rPr>
                <w:spacing w:val="-2"/>
                <w:sz w:val="21"/>
              </w:rPr>
              <w:t>指脑皮质广泛性坏死而导致对自身及周边的认知能力完全丧失，但脑干功</w:t>
            </w:r>
            <w:r>
              <w:rPr>
                <w:spacing w:val="-2"/>
                <w:sz w:val="21"/>
              </w:rPr>
              <w:t>能依然存在。必须经我们认可医院的神经科专科医生明确诊断，并有头颅</w:t>
            </w:r>
            <w:r>
              <w:rPr>
                <w:spacing w:val="-2"/>
                <w:sz w:val="21"/>
              </w:rPr>
              <w:t>断层扫描（CT），核磁共振检查（MRI）或正电子发射断层扫描（PET）等</w:t>
            </w:r>
            <w:r>
              <w:rPr>
                <w:spacing w:val="-2"/>
                <w:sz w:val="21"/>
              </w:rPr>
              <w:t>影像学检查证实。上述情况必须有至少一个月的病历记录加以证实。</w:t>
            </w:r>
          </w:p>
          <w:p>
            <w:pPr>
              <w:pStyle w:val="TableParagraph"/>
              <w:spacing w:line="323" w:lineRule="exact"/>
              <w:ind w:left="163"/>
              <w:rPr>
                <w:rFonts w:ascii="微软雅黑" w:eastAsia="微软雅黑"/>
                <w:b/>
                <w:sz w:val="21"/>
              </w:rPr>
            </w:pPr>
            <w:r>
              <w:rPr>
                <w:rFonts w:ascii="微软雅黑" w:eastAsia="微软雅黑"/>
                <w:b/>
                <w:spacing w:val="-3"/>
                <w:sz w:val="21"/>
              </w:rPr>
              <w:t>由于酗酒或滥用药物所致的植物人状态不在保障范围内。</w:t>
            </w:r>
          </w:p>
        </w:tc>
      </w:tr>
      <w:tr>
        <w:trPr>
          <w:trHeight w:val="651" w:hRule="atLeast"/>
        </w:trPr>
        <w:tc>
          <w:tcPr>
            <w:tcW w:w="634" w:type="dxa"/>
          </w:tcPr>
          <w:p>
            <w:pPr>
              <w:pStyle w:val="TableParagraph"/>
              <w:spacing w:before="71"/>
              <w:ind w:left="50"/>
              <w:rPr>
                <w:rFonts w:ascii="微软雅黑"/>
                <w:b/>
                <w:sz w:val="21"/>
              </w:rPr>
            </w:pPr>
            <w:r>
              <w:rPr>
                <w:rFonts w:ascii="微软雅黑"/>
                <w:b/>
                <w:spacing w:val="-5"/>
                <w:w w:val="90"/>
                <w:sz w:val="21"/>
              </w:rPr>
              <w:t>54</w:t>
            </w:r>
          </w:p>
        </w:tc>
        <w:tc>
          <w:tcPr>
            <w:tcW w:w="1804" w:type="dxa"/>
          </w:tcPr>
          <w:p>
            <w:pPr>
              <w:pStyle w:val="TableParagraph"/>
              <w:spacing w:before="71"/>
              <w:ind w:left="373"/>
              <w:rPr>
                <w:rFonts w:ascii="微软雅黑" w:eastAsia="微软雅黑"/>
                <w:b/>
                <w:sz w:val="21"/>
              </w:rPr>
            </w:pPr>
            <w:r>
              <w:rPr>
                <w:rFonts w:ascii="微软雅黑" w:eastAsia="微软雅黑"/>
                <w:b/>
                <w:spacing w:val="-2"/>
                <w:sz w:val="21"/>
              </w:rPr>
              <w:t>严重克雅氏病</w:t>
            </w:r>
          </w:p>
        </w:tc>
        <w:tc>
          <w:tcPr>
            <w:tcW w:w="6949" w:type="dxa"/>
          </w:tcPr>
          <w:p>
            <w:pPr>
              <w:pStyle w:val="TableParagraph"/>
              <w:spacing w:line="270" w:lineRule="atLeast" w:before="117"/>
              <w:ind w:left="163" w:right="47"/>
              <w:rPr>
                <w:sz w:val="21"/>
              </w:rPr>
            </w:pPr>
            <w:r>
              <w:rPr>
                <w:spacing w:val="-2"/>
                <w:sz w:val="21"/>
              </w:rPr>
              <w:t>是一种传染性海绵状脑病，临床表现为快速进行性痴呆、肌阵挛和特征性</w:t>
            </w:r>
            <w:r>
              <w:rPr>
                <w:spacing w:val="-4"/>
                <w:sz w:val="21"/>
              </w:rPr>
              <w:t>脑电图变化。本病须由我们认可医院的专科医生根据 </w:t>
            </w:r>
            <w:r>
              <w:rPr>
                <w:spacing w:val="-2"/>
                <w:sz w:val="21"/>
              </w:rPr>
              <w:t>WHO</w:t>
            </w:r>
            <w:r>
              <w:rPr>
                <w:spacing w:val="-9"/>
                <w:sz w:val="21"/>
              </w:rPr>
              <w:t> 诊断标准明确诊</w:t>
            </w:r>
          </w:p>
        </w:tc>
      </w:tr>
    </w:tbl>
    <w:p>
      <w:pPr>
        <w:spacing w:after="0" w:line="270" w:lineRule="atLeast"/>
        <w:rPr>
          <w:sz w:val="21"/>
        </w:rPr>
        <w:sectPr>
          <w:type w:val="continuous"/>
          <w:pgSz w:w="11910" w:h="16840"/>
          <w:pgMar w:header="877" w:footer="0" w:top="1100" w:bottom="280" w:left="1060" w:right="980"/>
        </w:sectPr>
      </w:pPr>
    </w:p>
    <w:p>
      <w:pPr>
        <w:pStyle w:val="BodyText"/>
        <w:spacing w:before="8"/>
        <w:rPr>
          <w:sz w:val="8"/>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38"/>
        <w:gridCol w:w="6915"/>
      </w:tblGrid>
      <w:tr>
        <w:trPr>
          <w:trHeight w:val="514" w:hRule="atLeast"/>
        </w:trPr>
        <w:tc>
          <w:tcPr>
            <w:tcW w:w="634" w:type="dxa"/>
          </w:tcPr>
          <w:p>
            <w:pPr>
              <w:pStyle w:val="TableParagraph"/>
              <w:rPr>
                <w:rFonts w:ascii="Times New Roman"/>
                <w:sz w:val="20"/>
              </w:rPr>
            </w:pPr>
          </w:p>
        </w:tc>
        <w:tc>
          <w:tcPr>
            <w:tcW w:w="1838" w:type="dxa"/>
          </w:tcPr>
          <w:p>
            <w:pPr>
              <w:pStyle w:val="TableParagraph"/>
              <w:rPr>
                <w:rFonts w:ascii="Times New Roman"/>
                <w:sz w:val="20"/>
              </w:rPr>
            </w:pPr>
          </w:p>
        </w:tc>
        <w:tc>
          <w:tcPr>
            <w:tcW w:w="6915" w:type="dxa"/>
          </w:tcPr>
          <w:p>
            <w:pPr>
              <w:pStyle w:val="TableParagraph"/>
              <w:spacing w:line="241" w:lineRule="exact"/>
              <w:ind w:left="129"/>
              <w:rPr>
                <w:sz w:val="21"/>
              </w:rPr>
            </w:pPr>
            <w:r>
              <w:rPr>
                <w:spacing w:val="-3"/>
                <w:sz w:val="21"/>
              </w:rPr>
              <w:t>断，并且被保险人自主生活能力完全丧失，无法独立完成六项基本日常生</w:t>
            </w:r>
          </w:p>
          <w:p>
            <w:pPr>
              <w:pStyle w:val="TableParagraph"/>
              <w:spacing w:line="251" w:lineRule="exact" w:before="2"/>
              <w:ind w:left="129"/>
              <w:rPr>
                <w:sz w:val="21"/>
              </w:rPr>
            </w:pPr>
            <w:r>
              <w:rPr>
                <w:spacing w:val="-3"/>
                <w:sz w:val="21"/>
              </w:rPr>
              <w:t>活活动中的三项或三项以上。</w:t>
            </w:r>
          </w:p>
        </w:tc>
      </w:tr>
      <w:tr>
        <w:trPr>
          <w:trHeight w:val="409" w:hRule="atLeast"/>
        </w:trPr>
        <w:tc>
          <w:tcPr>
            <w:tcW w:w="634" w:type="dxa"/>
          </w:tcPr>
          <w:p>
            <w:pPr>
              <w:pStyle w:val="TableParagraph"/>
              <w:rPr>
                <w:rFonts w:ascii="Times New Roman"/>
                <w:sz w:val="20"/>
              </w:rPr>
            </w:pPr>
          </w:p>
        </w:tc>
        <w:tc>
          <w:tcPr>
            <w:tcW w:w="1838" w:type="dxa"/>
          </w:tcPr>
          <w:p>
            <w:pPr>
              <w:pStyle w:val="TableParagraph"/>
              <w:rPr>
                <w:rFonts w:ascii="Times New Roman"/>
                <w:sz w:val="20"/>
              </w:rPr>
            </w:pPr>
          </w:p>
        </w:tc>
        <w:tc>
          <w:tcPr>
            <w:tcW w:w="6915" w:type="dxa"/>
          </w:tcPr>
          <w:p>
            <w:pPr>
              <w:pStyle w:val="TableParagraph"/>
              <w:spacing w:line="323" w:lineRule="exact"/>
              <w:ind w:left="129"/>
              <w:rPr>
                <w:rFonts w:ascii="微软雅黑" w:eastAsia="微软雅黑"/>
                <w:b/>
                <w:sz w:val="21"/>
              </w:rPr>
            </w:pPr>
            <w:r>
              <w:rPr>
                <w:rFonts w:ascii="微软雅黑" w:eastAsia="微软雅黑"/>
                <w:b/>
                <w:spacing w:val="-3"/>
                <w:sz w:val="21"/>
              </w:rPr>
              <w:t>疑似病例不在保障范围内。</w:t>
            </w:r>
          </w:p>
        </w:tc>
      </w:tr>
      <w:tr>
        <w:trPr>
          <w:trHeight w:val="2450" w:hRule="atLeast"/>
        </w:trPr>
        <w:tc>
          <w:tcPr>
            <w:tcW w:w="634" w:type="dxa"/>
          </w:tcPr>
          <w:p>
            <w:pPr>
              <w:pStyle w:val="TableParagraph"/>
              <w:spacing w:before="71"/>
              <w:ind w:left="50"/>
              <w:rPr>
                <w:rFonts w:ascii="微软雅黑"/>
                <w:b/>
                <w:sz w:val="21"/>
              </w:rPr>
            </w:pPr>
            <w:r>
              <w:rPr>
                <w:rFonts w:ascii="微软雅黑"/>
                <w:b/>
                <w:spacing w:val="-5"/>
                <w:w w:val="90"/>
                <w:sz w:val="21"/>
              </w:rPr>
              <w:t>55</w:t>
            </w:r>
          </w:p>
        </w:tc>
        <w:tc>
          <w:tcPr>
            <w:tcW w:w="1838" w:type="dxa"/>
          </w:tcPr>
          <w:p>
            <w:pPr>
              <w:pStyle w:val="TableParagraph"/>
              <w:spacing w:line="168" w:lineRule="auto" w:before="154"/>
              <w:ind w:left="373" w:right="86"/>
              <w:rPr>
                <w:rFonts w:ascii="微软雅黑" w:eastAsia="微软雅黑"/>
                <w:b/>
                <w:sz w:val="21"/>
              </w:rPr>
            </w:pPr>
            <w:r>
              <w:rPr>
                <w:rFonts w:ascii="微软雅黑" w:eastAsia="微软雅黑"/>
                <w:b/>
                <w:spacing w:val="15"/>
                <w:sz w:val="21"/>
              </w:rPr>
              <w:t>严重自身免疫</w:t>
            </w:r>
            <w:r>
              <w:rPr>
                <w:rFonts w:ascii="微软雅黑" w:eastAsia="微软雅黑"/>
                <w:b/>
                <w:spacing w:val="-4"/>
                <w:sz w:val="21"/>
              </w:rPr>
              <w:t>性肝炎</w:t>
            </w:r>
          </w:p>
        </w:tc>
        <w:tc>
          <w:tcPr>
            <w:tcW w:w="6915" w:type="dxa"/>
          </w:tcPr>
          <w:p>
            <w:pPr>
              <w:pStyle w:val="TableParagraph"/>
              <w:spacing w:line="242" w:lineRule="auto" w:before="138"/>
              <w:ind w:left="88" w:right="53"/>
              <w:jc w:val="both"/>
              <w:rPr>
                <w:sz w:val="21"/>
              </w:rPr>
            </w:pPr>
            <w:r>
              <w:rPr>
                <w:spacing w:val="-2"/>
                <w:sz w:val="21"/>
              </w:rPr>
              <w:t>自身免疫性肝炎是一种原因不明的慢性肝脏的坏死性炎性疾病，机体免疫机制被破坏，产生针对肝脏自身抗原的抗体导致自身免疫反应，从而破坏</w:t>
            </w:r>
            <w:r>
              <w:rPr>
                <w:spacing w:val="-3"/>
                <w:sz w:val="21"/>
              </w:rPr>
              <w:t>肝细胞造成肝脏炎症坏死，进而发展为肝硬化。必须满足所有以下条件：</w:t>
            </w:r>
          </w:p>
          <w:p>
            <w:pPr>
              <w:pStyle w:val="TableParagraph"/>
              <w:numPr>
                <w:ilvl w:val="0"/>
                <w:numId w:val="56"/>
              </w:numPr>
              <w:tabs>
                <w:tab w:pos="659" w:val="left" w:leader="none"/>
              </w:tabs>
              <w:spacing w:line="240" w:lineRule="auto" w:before="1" w:after="0"/>
              <w:ind w:left="658" w:right="0" w:hanging="530"/>
              <w:jc w:val="both"/>
              <w:rPr>
                <w:sz w:val="21"/>
              </w:rPr>
            </w:pPr>
            <w:r>
              <w:rPr>
                <w:spacing w:val="-27"/>
                <w:sz w:val="21"/>
              </w:rPr>
              <w:t>高 </w:t>
            </w:r>
            <w:r>
              <w:rPr>
                <w:spacing w:val="-2"/>
                <w:sz w:val="21"/>
              </w:rPr>
              <w:t>γ</w:t>
            </w:r>
            <w:r>
              <w:rPr>
                <w:spacing w:val="-12"/>
                <w:sz w:val="21"/>
              </w:rPr>
              <w:t> 球蛋白血症；</w:t>
            </w:r>
          </w:p>
          <w:p>
            <w:pPr>
              <w:pStyle w:val="TableParagraph"/>
              <w:numPr>
                <w:ilvl w:val="0"/>
                <w:numId w:val="56"/>
              </w:numPr>
              <w:tabs>
                <w:tab w:pos="659" w:val="left" w:leader="none"/>
              </w:tabs>
              <w:spacing w:line="242" w:lineRule="auto" w:before="4" w:after="0"/>
              <w:ind w:left="640" w:right="52" w:hanging="512"/>
              <w:jc w:val="both"/>
              <w:rPr>
                <w:sz w:val="21"/>
              </w:rPr>
            </w:pPr>
            <w:r>
              <w:rPr>
                <w:spacing w:val="-1"/>
                <w:sz w:val="21"/>
              </w:rPr>
              <w:t>血液中存在高水平的自身免疫抗体，如 </w:t>
            </w:r>
            <w:r>
              <w:rPr>
                <w:sz w:val="21"/>
              </w:rPr>
              <w:t>ANA（抗核抗体）、SMA（抗</w:t>
            </w:r>
            <w:r>
              <w:rPr>
                <w:sz w:val="21"/>
              </w:rPr>
              <w:t>平滑肌抗体）</w:t>
            </w:r>
            <w:r>
              <w:rPr>
                <w:spacing w:val="-5"/>
                <w:sz w:val="21"/>
              </w:rPr>
              <w:t>、抗 </w:t>
            </w:r>
            <w:r>
              <w:rPr>
                <w:sz w:val="21"/>
              </w:rPr>
              <w:t>LKM1</w:t>
            </w:r>
            <w:r>
              <w:rPr>
                <w:spacing w:val="-5"/>
                <w:sz w:val="21"/>
              </w:rPr>
              <w:t> 抗体或抗-</w:t>
            </w:r>
            <w:r>
              <w:rPr>
                <w:sz w:val="21"/>
              </w:rPr>
              <w:t>SLA/LP</w:t>
            </w:r>
            <w:r>
              <w:rPr>
                <w:spacing w:val="-6"/>
                <w:sz w:val="21"/>
              </w:rPr>
              <w:t> 抗体；</w:t>
            </w:r>
          </w:p>
          <w:p>
            <w:pPr>
              <w:pStyle w:val="TableParagraph"/>
              <w:numPr>
                <w:ilvl w:val="0"/>
                <w:numId w:val="56"/>
              </w:numPr>
              <w:tabs>
                <w:tab w:pos="659" w:val="left" w:leader="none"/>
              </w:tabs>
              <w:spacing w:line="240" w:lineRule="auto" w:before="2" w:after="0"/>
              <w:ind w:left="658" w:right="0" w:hanging="530"/>
              <w:jc w:val="left"/>
              <w:rPr>
                <w:sz w:val="21"/>
              </w:rPr>
            </w:pPr>
            <w:r>
              <w:rPr>
                <w:spacing w:val="-3"/>
                <w:sz w:val="21"/>
              </w:rPr>
              <w:t>肝脏活检证实免疫性肝炎；</w:t>
            </w:r>
          </w:p>
          <w:p>
            <w:pPr>
              <w:pStyle w:val="TableParagraph"/>
              <w:numPr>
                <w:ilvl w:val="0"/>
                <w:numId w:val="56"/>
              </w:numPr>
              <w:tabs>
                <w:tab w:pos="659" w:val="left" w:leader="none"/>
              </w:tabs>
              <w:spacing w:line="240" w:lineRule="auto" w:before="2" w:after="0"/>
              <w:ind w:left="658" w:right="0" w:hanging="530"/>
              <w:jc w:val="left"/>
              <w:rPr>
                <w:sz w:val="21"/>
              </w:rPr>
            </w:pPr>
            <w:r>
              <w:rPr>
                <w:spacing w:val="-3"/>
                <w:sz w:val="21"/>
              </w:rPr>
              <w:t>临床已经出现腹水、食道静脉曲张和脾肿大等肝硬化表现。</w:t>
            </w:r>
          </w:p>
        </w:tc>
      </w:tr>
      <w:tr>
        <w:trPr>
          <w:trHeight w:val="3540" w:hRule="atLeast"/>
        </w:trPr>
        <w:tc>
          <w:tcPr>
            <w:tcW w:w="634" w:type="dxa"/>
          </w:tcPr>
          <w:p>
            <w:pPr>
              <w:pStyle w:val="TableParagraph"/>
              <w:spacing w:before="71"/>
              <w:ind w:left="50"/>
              <w:rPr>
                <w:rFonts w:ascii="微软雅黑"/>
                <w:b/>
                <w:sz w:val="21"/>
              </w:rPr>
            </w:pPr>
            <w:r>
              <w:rPr>
                <w:rFonts w:ascii="微软雅黑"/>
                <w:b/>
                <w:spacing w:val="-5"/>
                <w:w w:val="90"/>
                <w:sz w:val="21"/>
              </w:rPr>
              <w:t>56</w:t>
            </w:r>
          </w:p>
        </w:tc>
        <w:tc>
          <w:tcPr>
            <w:tcW w:w="1838" w:type="dxa"/>
          </w:tcPr>
          <w:p>
            <w:pPr>
              <w:pStyle w:val="TableParagraph"/>
              <w:spacing w:line="170" w:lineRule="auto" w:before="152"/>
              <w:ind w:left="373" w:right="86"/>
              <w:rPr>
                <w:rFonts w:ascii="微软雅黑" w:eastAsia="微软雅黑"/>
                <w:b/>
                <w:sz w:val="21"/>
              </w:rPr>
            </w:pPr>
            <w:r>
              <w:rPr>
                <w:rFonts w:ascii="微软雅黑" w:eastAsia="微软雅黑"/>
                <w:b/>
                <w:spacing w:val="15"/>
                <w:sz w:val="21"/>
              </w:rPr>
              <w:t>失去一眼及一</w:t>
            </w:r>
            <w:r>
              <w:rPr>
                <w:rFonts w:ascii="微软雅黑" w:eastAsia="微软雅黑"/>
                <w:b/>
                <w:spacing w:val="-10"/>
                <w:sz w:val="21"/>
              </w:rPr>
              <w:t>肢</w:t>
            </w:r>
          </w:p>
        </w:tc>
        <w:tc>
          <w:tcPr>
            <w:tcW w:w="6915" w:type="dxa"/>
          </w:tcPr>
          <w:p>
            <w:pPr>
              <w:pStyle w:val="TableParagraph"/>
              <w:spacing w:line="244" w:lineRule="auto" w:before="138"/>
              <w:ind w:left="129" w:right="50"/>
              <w:rPr>
                <w:sz w:val="21"/>
              </w:rPr>
            </w:pPr>
            <w:r>
              <w:rPr>
                <w:spacing w:val="-2"/>
                <w:sz w:val="21"/>
              </w:rPr>
              <w:t>指因疾病或者意外伤害导致单眼视力丧失及单肢肢体机能完全丧失。单眼</w:t>
            </w:r>
            <w:r>
              <w:rPr>
                <w:spacing w:val="-3"/>
                <w:sz w:val="21"/>
              </w:rPr>
              <w:t>视力丧失指单眼视力永久不可逆性丧失，患眼须满足下列至少一项条件：</w:t>
            </w:r>
          </w:p>
          <w:p>
            <w:pPr>
              <w:pStyle w:val="TableParagraph"/>
              <w:numPr>
                <w:ilvl w:val="0"/>
                <w:numId w:val="57"/>
              </w:numPr>
              <w:tabs>
                <w:tab w:pos="659" w:val="left" w:leader="none"/>
              </w:tabs>
              <w:spacing w:line="265" w:lineRule="exact" w:before="0" w:after="0"/>
              <w:ind w:left="658" w:right="0" w:hanging="530"/>
              <w:jc w:val="left"/>
              <w:rPr>
                <w:sz w:val="21"/>
              </w:rPr>
            </w:pPr>
            <w:r>
              <w:rPr>
                <w:spacing w:val="-3"/>
                <w:sz w:val="21"/>
              </w:rPr>
              <w:t>眼球缺失或者摘除；</w:t>
            </w:r>
          </w:p>
          <w:p>
            <w:pPr>
              <w:pStyle w:val="TableParagraph"/>
              <w:numPr>
                <w:ilvl w:val="0"/>
                <w:numId w:val="57"/>
              </w:numPr>
              <w:tabs>
                <w:tab w:pos="659" w:val="left" w:leader="none"/>
              </w:tabs>
              <w:spacing w:line="242" w:lineRule="auto" w:before="5" w:after="0"/>
              <w:ind w:left="655" w:right="50" w:hanging="526"/>
              <w:jc w:val="left"/>
              <w:rPr>
                <w:sz w:val="21"/>
              </w:rPr>
            </w:pPr>
            <w:r>
              <w:rPr>
                <w:spacing w:val="-4"/>
                <w:sz w:val="21"/>
              </w:rPr>
              <w:t>矫正视力低于 </w:t>
            </w:r>
            <w:r>
              <w:rPr>
                <w:sz w:val="21"/>
              </w:rPr>
              <w:t>0.02（采用国际标准视力表，如果使用其它视力表应</w:t>
            </w:r>
            <w:r>
              <w:rPr>
                <w:spacing w:val="-2"/>
                <w:sz w:val="21"/>
              </w:rPr>
              <w:t>进行换算）；</w:t>
            </w:r>
          </w:p>
          <w:p>
            <w:pPr>
              <w:pStyle w:val="TableParagraph"/>
              <w:numPr>
                <w:ilvl w:val="0"/>
                <w:numId w:val="57"/>
              </w:numPr>
              <w:tabs>
                <w:tab w:pos="659" w:val="left" w:leader="none"/>
              </w:tabs>
              <w:spacing w:line="240" w:lineRule="auto" w:before="1" w:after="0"/>
              <w:ind w:left="658" w:right="0" w:hanging="530"/>
              <w:jc w:val="left"/>
              <w:rPr>
                <w:sz w:val="21"/>
              </w:rPr>
            </w:pPr>
            <w:r>
              <w:rPr>
                <w:spacing w:val="-2"/>
                <w:sz w:val="21"/>
              </w:rPr>
              <w:t>视野半径小于 </w:t>
            </w:r>
            <w:r>
              <w:rPr>
                <w:sz w:val="21"/>
              </w:rPr>
              <w:t>5</w:t>
            </w:r>
            <w:r>
              <w:rPr>
                <w:spacing w:val="-5"/>
                <w:sz w:val="21"/>
              </w:rPr>
              <w:t> 度。</w:t>
            </w:r>
          </w:p>
          <w:p>
            <w:pPr>
              <w:pStyle w:val="TableParagraph"/>
              <w:spacing w:before="2"/>
              <w:ind w:left="129"/>
              <w:rPr>
                <w:sz w:val="21"/>
              </w:rPr>
            </w:pPr>
            <w:r>
              <w:rPr>
                <w:spacing w:val="-3"/>
                <w:sz w:val="21"/>
              </w:rPr>
              <w:t>单肢肢体机能完全丧失，须满足下列至少一条件：</w:t>
            </w:r>
          </w:p>
          <w:p>
            <w:pPr>
              <w:pStyle w:val="TableParagraph"/>
              <w:numPr>
                <w:ilvl w:val="0"/>
                <w:numId w:val="58"/>
              </w:numPr>
              <w:tabs>
                <w:tab w:pos="659" w:val="left" w:leader="none"/>
              </w:tabs>
              <w:spacing w:line="240" w:lineRule="auto" w:before="5" w:after="0"/>
              <w:ind w:left="658" w:right="0" w:hanging="530"/>
              <w:jc w:val="left"/>
              <w:rPr>
                <w:sz w:val="21"/>
              </w:rPr>
            </w:pPr>
            <w:r>
              <w:rPr>
                <w:spacing w:val="-2"/>
                <w:sz w:val="21"/>
              </w:rPr>
              <w:t>任何一肢自腕关节或踝关节近端（靠近躯干端）</w:t>
            </w:r>
            <w:r>
              <w:rPr>
                <w:spacing w:val="-4"/>
                <w:sz w:val="21"/>
              </w:rPr>
              <w:t>以上完全性断离；</w:t>
            </w:r>
          </w:p>
          <w:p>
            <w:pPr>
              <w:pStyle w:val="TableParagraph"/>
              <w:numPr>
                <w:ilvl w:val="0"/>
                <w:numId w:val="58"/>
              </w:numPr>
              <w:tabs>
                <w:tab w:pos="659" w:val="left" w:leader="none"/>
              </w:tabs>
              <w:spacing w:line="237" w:lineRule="exact" w:before="2" w:after="0"/>
              <w:ind w:left="658" w:right="0" w:hanging="530"/>
              <w:jc w:val="left"/>
              <w:rPr>
                <w:sz w:val="21"/>
              </w:rPr>
            </w:pPr>
            <w:r>
              <w:rPr>
                <w:spacing w:val="-3"/>
                <w:sz w:val="21"/>
              </w:rPr>
              <w:t>任何一肢肢体机能完全丧失。</w:t>
            </w:r>
          </w:p>
          <w:p>
            <w:pPr>
              <w:pStyle w:val="TableParagraph"/>
              <w:spacing w:line="298" w:lineRule="exact"/>
              <w:ind w:left="129"/>
              <w:rPr>
                <w:rFonts w:ascii="微软雅黑" w:eastAsia="微软雅黑"/>
                <w:b/>
                <w:sz w:val="21"/>
              </w:rPr>
            </w:pPr>
            <w:r>
              <w:rPr>
                <w:rFonts w:ascii="微软雅黑" w:eastAsia="微软雅黑"/>
                <w:b/>
                <w:spacing w:val="3"/>
                <w:sz w:val="21"/>
              </w:rPr>
              <w:t>被保险人在 </w:t>
            </w:r>
            <w:r>
              <w:rPr>
                <w:rFonts w:ascii="微软雅黑" w:eastAsia="微软雅黑"/>
                <w:b/>
                <w:sz w:val="21"/>
              </w:rPr>
              <w:t>0</w:t>
            </w:r>
            <w:r>
              <w:rPr>
                <w:rFonts w:ascii="微软雅黑" w:eastAsia="微软雅黑"/>
                <w:b/>
                <w:spacing w:val="15"/>
                <w:sz w:val="21"/>
              </w:rPr>
              <w:t> 至 </w:t>
            </w:r>
            <w:r>
              <w:rPr>
                <w:rFonts w:ascii="微软雅黑" w:eastAsia="微软雅黑"/>
                <w:b/>
                <w:sz w:val="21"/>
              </w:rPr>
              <w:t>3</w:t>
            </w:r>
            <w:r>
              <w:rPr>
                <w:rFonts w:ascii="微软雅黑" w:eastAsia="微软雅黑"/>
                <w:b/>
                <w:spacing w:val="-1"/>
                <w:sz w:val="21"/>
              </w:rPr>
              <w:t> 周岁期间因疾病所致的失去一眼及一肢不在保障范围</w:t>
            </w:r>
          </w:p>
          <w:p>
            <w:pPr>
              <w:pStyle w:val="TableParagraph"/>
              <w:spacing w:line="168" w:lineRule="auto" w:before="26"/>
              <w:ind w:left="129" w:right="665"/>
              <w:rPr>
                <w:rFonts w:ascii="微软雅黑" w:eastAsia="微软雅黑"/>
                <w:b/>
                <w:sz w:val="21"/>
              </w:rPr>
            </w:pPr>
            <w:r>
              <w:rPr>
                <w:rFonts w:ascii="微软雅黑" w:eastAsia="微软雅黑"/>
                <w:b/>
                <w:spacing w:val="-2"/>
                <w:sz w:val="21"/>
              </w:rPr>
              <w:t>内，且申请理赔时需提供 </w:t>
            </w:r>
            <w:r>
              <w:rPr>
                <w:rFonts w:ascii="微软雅黑" w:eastAsia="微软雅黑"/>
                <w:b/>
                <w:sz w:val="21"/>
              </w:rPr>
              <w:t>3</w:t>
            </w:r>
            <w:r>
              <w:rPr>
                <w:rFonts w:ascii="微软雅黑" w:eastAsia="微软雅黑"/>
                <w:b/>
                <w:spacing w:val="-4"/>
                <w:sz w:val="21"/>
              </w:rPr>
              <w:t> 周岁以后的视力丧失诊断及检查证据。</w:t>
            </w:r>
            <w:r>
              <w:rPr>
                <w:rFonts w:ascii="微软雅黑" w:eastAsia="微软雅黑"/>
                <w:b/>
                <w:spacing w:val="-2"/>
                <w:sz w:val="21"/>
              </w:rPr>
              <w:t>投保时已有单眼缺失或有一肢缺失的不在保障范围内。</w:t>
            </w:r>
          </w:p>
        </w:tc>
      </w:tr>
      <w:tr>
        <w:trPr>
          <w:trHeight w:val="1196" w:hRule="atLeast"/>
        </w:trPr>
        <w:tc>
          <w:tcPr>
            <w:tcW w:w="634" w:type="dxa"/>
          </w:tcPr>
          <w:p>
            <w:pPr>
              <w:pStyle w:val="TableParagraph"/>
              <w:spacing w:before="71"/>
              <w:ind w:left="50"/>
              <w:rPr>
                <w:rFonts w:ascii="微软雅黑"/>
                <w:b/>
                <w:sz w:val="21"/>
              </w:rPr>
            </w:pPr>
            <w:r>
              <w:rPr>
                <w:rFonts w:ascii="微软雅黑"/>
                <w:b/>
                <w:spacing w:val="-5"/>
                <w:w w:val="90"/>
                <w:sz w:val="21"/>
              </w:rPr>
              <w:t>57</w:t>
            </w:r>
          </w:p>
        </w:tc>
        <w:tc>
          <w:tcPr>
            <w:tcW w:w="1838" w:type="dxa"/>
          </w:tcPr>
          <w:p>
            <w:pPr>
              <w:pStyle w:val="TableParagraph"/>
              <w:spacing w:line="168" w:lineRule="auto" w:before="154"/>
              <w:ind w:left="373" w:right="86"/>
              <w:jc w:val="both"/>
              <w:rPr>
                <w:rFonts w:ascii="微软雅黑" w:eastAsia="微软雅黑"/>
                <w:b/>
                <w:sz w:val="21"/>
              </w:rPr>
            </w:pPr>
            <w:r>
              <w:rPr>
                <w:rFonts w:ascii="微软雅黑" w:eastAsia="微软雅黑"/>
                <w:b/>
                <w:spacing w:val="15"/>
                <w:sz w:val="21"/>
              </w:rPr>
              <w:t>因职业关系导</w:t>
            </w:r>
            <w:r>
              <w:rPr>
                <w:rFonts w:ascii="微软雅黑" w:eastAsia="微软雅黑"/>
                <w:b/>
                <w:spacing w:val="15"/>
                <w:sz w:val="21"/>
              </w:rPr>
              <w:t>致的艾滋病病毒感染或患艾</w:t>
            </w:r>
          </w:p>
          <w:p>
            <w:pPr>
              <w:pStyle w:val="TableParagraph"/>
              <w:spacing w:line="209" w:lineRule="exact"/>
              <w:ind w:left="373"/>
              <w:rPr>
                <w:rFonts w:ascii="微软雅黑" w:eastAsia="微软雅黑"/>
                <w:b/>
                <w:sz w:val="21"/>
              </w:rPr>
            </w:pPr>
            <w:r>
              <w:rPr>
                <w:rFonts w:ascii="微软雅黑" w:eastAsia="微软雅黑"/>
                <w:b/>
                <w:spacing w:val="-5"/>
                <w:sz w:val="21"/>
              </w:rPr>
              <w:t>滋病</w:t>
            </w:r>
          </w:p>
        </w:tc>
        <w:tc>
          <w:tcPr>
            <w:tcW w:w="6915" w:type="dxa"/>
          </w:tcPr>
          <w:p>
            <w:pPr>
              <w:pStyle w:val="TableParagraph"/>
              <w:spacing w:line="244" w:lineRule="auto" w:before="138"/>
              <w:ind w:left="129" w:right="50"/>
              <w:rPr>
                <w:sz w:val="21"/>
              </w:rPr>
            </w:pPr>
            <w:r>
              <w:rPr>
                <w:spacing w:val="-2"/>
                <w:sz w:val="21"/>
              </w:rPr>
              <w:t>被保险人在其常规职业工作过程中遭遇外伤，或职业需要处理血液或其他</w:t>
            </w:r>
            <w:r>
              <w:rPr>
                <w:spacing w:val="-2"/>
                <w:sz w:val="21"/>
              </w:rPr>
              <w:t>体液时感染上人类免疫缺陷病毒（HIV）。必须满足下列全部条件：</w:t>
            </w:r>
          </w:p>
          <w:p>
            <w:pPr>
              <w:pStyle w:val="TableParagraph"/>
              <w:spacing w:line="259" w:lineRule="exact"/>
              <w:ind w:left="129"/>
              <w:rPr>
                <w:rFonts w:ascii="微软雅黑" w:eastAsia="微软雅黑"/>
                <w:b/>
                <w:sz w:val="21"/>
              </w:rPr>
            </w:pPr>
            <w:r>
              <w:rPr>
                <w:spacing w:val="-2"/>
                <w:sz w:val="21"/>
              </w:rPr>
              <w:t>（1）</w:t>
            </w:r>
            <w:r>
              <w:rPr>
                <w:spacing w:val="-7"/>
                <w:sz w:val="21"/>
              </w:rPr>
              <w:t>感染必须是在被保险人正在从事其职业工作中发生，</w:t>
            </w:r>
            <w:r>
              <w:rPr>
                <w:rFonts w:ascii="微软雅黑" w:eastAsia="微软雅黑"/>
                <w:b/>
                <w:spacing w:val="-4"/>
                <w:sz w:val="21"/>
              </w:rPr>
              <w:t>该职业必须属于</w:t>
            </w:r>
          </w:p>
          <w:p>
            <w:pPr>
              <w:pStyle w:val="TableParagraph"/>
              <w:spacing w:line="230" w:lineRule="exact"/>
              <w:ind w:left="640"/>
              <w:rPr>
                <w:rFonts w:ascii="微软雅黑" w:eastAsia="微软雅黑"/>
                <w:b/>
                <w:sz w:val="21"/>
              </w:rPr>
            </w:pPr>
            <w:r>
              <w:rPr>
                <w:rFonts w:ascii="微软雅黑" w:eastAsia="微软雅黑"/>
                <w:b/>
                <w:spacing w:val="-3"/>
                <w:sz w:val="21"/>
              </w:rPr>
              <w:t>下列限定职业范围内的职业；</w:t>
            </w:r>
          </w:p>
        </w:tc>
      </w:tr>
    </w:tbl>
    <w:p>
      <w:pPr>
        <w:pStyle w:val="ListParagraph"/>
        <w:numPr>
          <w:ilvl w:val="1"/>
          <w:numId w:val="53"/>
        </w:numPr>
        <w:tabs>
          <w:tab w:pos="3334" w:val="left" w:leader="none"/>
        </w:tabs>
        <w:spacing w:line="240" w:lineRule="auto" w:before="33" w:after="0"/>
        <w:ind w:left="3334" w:right="0" w:hanging="529"/>
        <w:jc w:val="both"/>
        <w:rPr>
          <w:sz w:val="21"/>
        </w:rPr>
      </w:pPr>
      <w:r>
        <w:rPr>
          <w:spacing w:val="-5"/>
          <w:sz w:val="21"/>
        </w:rPr>
        <w:t>血清转化必须出现在事故发生后的 </w:t>
      </w:r>
      <w:r>
        <w:rPr>
          <w:spacing w:val="-2"/>
          <w:sz w:val="21"/>
        </w:rPr>
        <w:t>6</w:t>
      </w:r>
      <w:r>
        <w:rPr>
          <w:spacing w:val="-12"/>
          <w:sz w:val="21"/>
        </w:rPr>
        <w:t> 个月以内；</w:t>
      </w:r>
    </w:p>
    <w:p>
      <w:pPr>
        <w:pStyle w:val="ListParagraph"/>
        <w:numPr>
          <w:ilvl w:val="1"/>
          <w:numId w:val="53"/>
        </w:numPr>
        <w:tabs>
          <w:tab w:pos="3334" w:val="left" w:leader="none"/>
        </w:tabs>
        <w:spacing w:line="242" w:lineRule="auto" w:before="5" w:after="0"/>
        <w:ind w:left="3316" w:right="324" w:hanging="512"/>
        <w:jc w:val="both"/>
        <w:rPr>
          <w:sz w:val="21"/>
        </w:rPr>
      </w:pPr>
      <w:r>
        <w:rPr>
          <w:spacing w:val="-4"/>
          <w:sz w:val="21"/>
        </w:rPr>
        <w:t>必须提供被保险人在所报事故发生后的 </w:t>
      </w:r>
      <w:r>
        <w:rPr>
          <w:spacing w:val="-2"/>
          <w:sz w:val="21"/>
        </w:rPr>
        <w:t>5</w:t>
      </w:r>
      <w:r>
        <w:rPr>
          <w:spacing w:val="-14"/>
          <w:sz w:val="21"/>
        </w:rPr>
        <w:t> 天以内进行的检查报告，该</w:t>
      </w:r>
      <w:r>
        <w:rPr>
          <w:spacing w:val="-4"/>
          <w:sz w:val="21"/>
        </w:rPr>
        <w:t>报告必须显示被保险人血液人类免疫缺陷病毒（HIV）阴性和/或人类</w:t>
      </w:r>
      <w:r>
        <w:rPr>
          <w:spacing w:val="-2"/>
          <w:sz w:val="21"/>
        </w:rPr>
        <w:t>免疫缺陷病毒（HIV）抗体阴性；</w:t>
      </w:r>
    </w:p>
    <w:p>
      <w:pPr>
        <w:pStyle w:val="ListParagraph"/>
        <w:numPr>
          <w:ilvl w:val="1"/>
          <w:numId w:val="53"/>
        </w:numPr>
        <w:tabs>
          <w:tab w:pos="3334" w:val="left" w:leader="none"/>
        </w:tabs>
        <w:spacing w:line="244" w:lineRule="auto" w:before="0" w:after="25"/>
        <w:ind w:left="3316" w:right="323" w:hanging="512"/>
        <w:jc w:val="both"/>
        <w:rPr>
          <w:sz w:val="21"/>
        </w:rPr>
      </w:pPr>
      <w:r>
        <w:rPr>
          <w:spacing w:val="-5"/>
          <w:sz w:val="21"/>
        </w:rPr>
        <w:t>必须在事故发生后的 </w:t>
      </w:r>
      <w:r>
        <w:rPr>
          <w:spacing w:val="-2"/>
          <w:sz w:val="21"/>
        </w:rPr>
        <w:t>12</w:t>
      </w:r>
      <w:r>
        <w:rPr>
          <w:spacing w:val="-7"/>
          <w:sz w:val="21"/>
        </w:rPr>
        <w:t> 个月内证实被保险人体内存在人类免疫缺陷</w:t>
      </w:r>
      <w:r>
        <w:rPr>
          <w:spacing w:val="-2"/>
          <w:sz w:val="21"/>
        </w:rPr>
        <w:t>病毒（HIV）或人类免疫缺陷病毒（HIV）抗体。</w:t>
      </w: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61"/>
        <w:gridCol w:w="6891"/>
      </w:tblGrid>
      <w:tr>
        <w:trPr>
          <w:trHeight w:val="787" w:hRule="atLeast"/>
        </w:trPr>
        <w:tc>
          <w:tcPr>
            <w:tcW w:w="2495" w:type="dxa"/>
            <w:gridSpan w:val="2"/>
            <w:vMerge w:val="restart"/>
          </w:tcPr>
          <w:p>
            <w:pPr>
              <w:pStyle w:val="TableParagraph"/>
              <w:rPr>
                <w:rFonts w:ascii="Times New Roman"/>
                <w:sz w:val="20"/>
              </w:rPr>
            </w:pPr>
          </w:p>
        </w:tc>
        <w:tc>
          <w:tcPr>
            <w:tcW w:w="6891" w:type="dxa"/>
          </w:tcPr>
          <w:p>
            <w:pPr>
              <w:pStyle w:val="TableParagraph"/>
              <w:spacing w:line="241" w:lineRule="exact"/>
              <w:ind w:left="106"/>
              <w:rPr>
                <w:sz w:val="21"/>
              </w:rPr>
            </w:pPr>
            <w:r>
              <w:rPr>
                <w:spacing w:val="-4"/>
                <w:sz w:val="21"/>
              </w:rPr>
              <w:t>限定职业：</w:t>
            </w:r>
          </w:p>
          <w:p>
            <w:pPr>
              <w:pStyle w:val="TableParagraph"/>
              <w:spacing w:line="270" w:lineRule="atLeast"/>
              <w:ind w:left="106" w:right="49"/>
              <w:rPr>
                <w:sz w:val="21"/>
              </w:rPr>
            </w:pPr>
            <w:r>
              <w:rPr>
                <w:spacing w:val="-2"/>
                <w:sz w:val="21"/>
              </w:rPr>
              <w:t>医生和牙科医生、护士、医院化验室工作人员、医院护工、医生助理和牙</w:t>
            </w:r>
            <w:r>
              <w:rPr>
                <w:spacing w:val="-2"/>
                <w:sz w:val="21"/>
              </w:rPr>
              <w:t>医助理、救护车工作人员、助产士、消防队员、警察、狱警。</w:t>
            </w:r>
          </w:p>
        </w:tc>
      </w:tr>
      <w:tr>
        <w:trPr>
          <w:trHeight w:val="2065" w:hRule="atLeast"/>
        </w:trPr>
        <w:tc>
          <w:tcPr>
            <w:tcW w:w="2495" w:type="dxa"/>
            <w:gridSpan w:val="2"/>
            <w:vMerge/>
            <w:tcBorders>
              <w:top w:val="nil"/>
            </w:tcBorders>
          </w:tcPr>
          <w:p>
            <w:pPr>
              <w:rPr>
                <w:sz w:val="2"/>
                <w:szCs w:val="2"/>
              </w:rPr>
            </w:pPr>
          </w:p>
        </w:tc>
        <w:tc>
          <w:tcPr>
            <w:tcW w:w="6891" w:type="dxa"/>
          </w:tcPr>
          <w:p>
            <w:pPr>
              <w:pStyle w:val="TableParagraph"/>
              <w:spacing w:line="168" w:lineRule="auto" w:before="18"/>
              <w:ind w:left="106" w:right="49"/>
              <w:jc w:val="both"/>
              <w:rPr>
                <w:rFonts w:ascii="微软雅黑" w:eastAsia="微软雅黑"/>
                <w:b/>
                <w:sz w:val="21"/>
              </w:rPr>
            </w:pPr>
            <w:r>
              <w:rPr>
                <w:rFonts w:ascii="微软雅黑" w:eastAsia="微软雅黑"/>
                <w:b/>
                <w:spacing w:val="2"/>
                <w:w w:val="100"/>
                <w:sz w:val="21"/>
              </w:rPr>
              <w:t>在任何治愈艾滋病或阻止人类免疫缺陷病毒</w:t>
            </w:r>
            <w:r>
              <w:rPr>
                <w:rFonts w:ascii="微软雅黑" w:eastAsia="微软雅黑"/>
                <w:b/>
                <w:spacing w:val="8"/>
                <w:w w:val="100"/>
                <w:sz w:val="21"/>
              </w:rPr>
              <w:t>（</w:t>
            </w:r>
            <w:r>
              <w:rPr>
                <w:rFonts w:ascii="微软雅黑" w:eastAsia="微软雅黑"/>
                <w:b/>
                <w:w w:val="80"/>
                <w:sz w:val="21"/>
              </w:rPr>
              <w:t>HI</w:t>
            </w:r>
            <w:r>
              <w:rPr>
                <w:rFonts w:ascii="微软雅黑" w:eastAsia="微软雅黑"/>
                <w:b/>
                <w:spacing w:val="3"/>
                <w:w w:val="80"/>
                <w:sz w:val="21"/>
              </w:rPr>
              <w:t>V</w:t>
            </w:r>
            <w:r>
              <w:rPr>
                <w:rFonts w:ascii="微软雅黑" w:eastAsia="微软雅黑"/>
                <w:b/>
                <w:spacing w:val="2"/>
                <w:w w:val="100"/>
                <w:sz w:val="21"/>
              </w:rPr>
              <w:t>）</w:t>
            </w:r>
            <w:r>
              <w:rPr>
                <w:rFonts w:ascii="微软雅黑" w:eastAsia="微软雅黑"/>
                <w:b/>
                <w:spacing w:val="1"/>
                <w:w w:val="100"/>
                <w:sz w:val="21"/>
              </w:rPr>
              <w:t>病毒作用的疗法被发</w:t>
            </w:r>
            <w:r>
              <w:rPr>
                <w:rFonts w:ascii="微软雅黑" w:eastAsia="微软雅黑"/>
                <w:b/>
                <w:spacing w:val="-5"/>
                <w:w w:val="100"/>
                <w:sz w:val="21"/>
              </w:rPr>
              <w:t>现以后，或能防止艾滋病发生的医疗方法被研究出来以后，本保障将不再</w:t>
            </w:r>
            <w:r>
              <w:rPr>
                <w:rFonts w:ascii="微软雅黑" w:eastAsia="微软雅黑"/>
                <w:b/>
                <w:w w:val="100"/>
                <w:sz w:val="21"/>
              </w:rPr>
              <w:t>予以赔付。</w:t>
            </w:r>
          </w:p>
          <w:p>
            <w:pPr>
              <w:pStyle w:val="TableParagraph"/>
              <w:spacing w:line="168" w:lineRule="auto" w:before="4"/>
              <w:ind w:left="106" w:right="46"/>
              <w:jc w:val="both"/>
              <w:rPr>
                <w:rFonts w:ascii="微软雅黑" w:eastAsia="微软雅黑"/>
                <w:b/>
                <w:sz w:val="21"/>
              </w:rPr>
            </w:pPr>
            <w:r>
              <w:rPr>
                <w:rFonts w:ascii="微软雅黑" w:eastAsia="微软雅黑"/>
                <w:b/>
                <w:spacing w:val="-1"/>
                <w:w w:val="100"/>
                <w:sz w:val="21"/>
              </w:rPr>
              <w:t>任何因其他传播方式</w:t>
            </w:r>
            <w:r>
              <w:rPr>
                <w:rFonts w:ascii="微软雅黑" w:eastAsia="微软雅黑"/>
                <w:b/>
                <w:w w:val="100"/>
                <w:sz w:val="21"/>
              </w:rPr>
              <w:t>（</w:t>
            </w:r>
            <w:r>
              <w:rPr>
                <w:rFonts w:ascii="微软雅黑" w:eastAsia="微软雅黑"/>
                <w:b/>
                <w:spacing w:val="-3"/>
                <w:w w:val="100"/>
                <w:sz w:val="21"/>
              </w:rPr>
              <w:t>包括：性传播或静脉注射毒品</w:t>
            </w:r>
            <w:r>
              <w:rPr>
                <w:rFonts w:ascii="微软雅黑" w:eastAsia="微软雅黑"/>
                <w:b/>
                <w:spacing w:val="-5"/>
                <w:w w:val="100"/>
                <w:sz w:val="21"/>
              </w:rPr>
              <w:t>）</w:t>
            </w:r>
            <w:r>
              <w:rPr>
                <w:rFonts w:ascii="微软雅黑" w:eastAsia="微软雅黑"/>
                <w:b/>
                <w:w w:val="100"/>
                <w:sz w:val="21"/>
              </w:rPr>
              <w:t>导致的</w:t>
            </w:r>
            <w:r>
              <w:rPr>
                <w:rFonts w:ascii="微软雅黑" w:eastAsia="微软雅黑"/>
                <w:b/>
                <w:spacing w:val="-9"/>
                <w:sz w:val="21"/>
              </w:rPr>
              <w:t> </w:t>
            </w:r>
            <w:r>
              <w:rPr>
                <w:rFonts w:ascii="微软雅黑" w:eastAsia="微软雅黑"/>
                <w:b/>
                <w:w w:val="80"/>
                <w:sz w:val="21"/>
              </w:rPr>
              <w:t>HIV</w:t>
            </w:r>
            <w:r>
              <w:rPr>
                <w:rFonts w:ascii="微软雅黑" w:eastAsia="微软雅黑"/>
                <w:b/>
                <w:spacing w:val="-10"/>
                <w:sz w:val="21"/>
              </w:rPr>
              <w:t> </w:t>
            </w:r>
            <w:r>
              <w:rPr>
                <w:rFonts w:ascii="微软雅黑" w:eastAsia="微软雅黑"/>
                <w:b/>
                <w:spacing w:val="-5"/>
                <w:w w:val="100"/>
                <w:sz w:val="21"/>
              </w:rPr>
              <w:t>感染不</w:t>
            </w:r>
            <w:r>
              <w:rPr>
                <w:rFonts w:ascii="微软雅黑" w:eastAsia="微软雅黑"/>
                <w:b/>
                <w:w w:val="100"/>
                <w:sz w:val="21"/>
              </w:rPr>
              <w:t>在保障范围内。</w:t>
            </w:r>
          </w:p>
          <w:p>
            <w:pPr>
              <w:pStyle w:val="TableParagraph"/>
              <w:spacing w:line="266" w:lineRule="exact"/>
              <w:ind w:left="106"/>
              <w:rPr>
                <w:sz w:val="22"/>
              </w:rPr>
            </w:pPr>
            <w:r>
              <w:rPr>
                <w:spacing w:val="-4"/>
                <w:sz w:val="21"/>
              </w:rPr>
              <w:t>我们承担本项疾病责任不受本合同“责任免除”中“被保险人</w:t>
            </w:r>
            <w:r>
              <w:rPr>
                <w:spacing w:val="-6"/>
                <w:sz w:val="22"/>
              </w:rPr>
              <w:t>感染艾滋病</w:t>
            </w:r>
          </w:p>
          <w:p>
            <w:pPr>
              <w:pStyle w:val="TableParagraph"/>
              <w:spacing w:before="3"/>
              <w:ind w:left="106"/>
              <w:rPr>
                <w:sz w:val="21"/>
              </w:rPr>
            </w:pPr>
            <w:r>
              <w:rPr>
                <w:spacing w:val="-2"/>
                <w:sz w:val="22"/>
              </w:rPr>
              <w:t>病毒或患艾滋病</w:t>
            </w:r>
            <w:r>
              <w:rPr>
                <w:spacing w:val="-4"/>
                <w:sz w:val="21"/>
              </w:rPr>
              <w:t>”的限制。</w:t>
            </w:r>
          </w:p>
        </w:tc>
      </w:tr>
      <w:tr>
        <w:trPr>
          <w:trHeight w:val="1469" w:hRule="atLeast"/>
        </w:trPr>
        <w:tc>
          <w:tcPr>
            <w:tcW w:w="634" w:type="dxa"/>
          </w:tcPr>
          <w:p>
            <w:pPr>
              <w:pStyle w:val="TableParagraph"/>
              <w:spacing w:before="73"/>
              <w:ind w:left="50"/>
              <w:rPr>
                <w:rFonts w:ascii="微软雅黑"/>
                <w:b/>
                <w:sz w:val="21"/>
              </w:rPr>
            </w:pPr>
            <w:r>
              <w:rPr>
                <w:rFonts w:ascii="微软雅黑"/>
                <w:b/>
                <w:spacing w:val="-5"/>
                <w:w w:val="90"/>
                <w:sz w:val="21"/>
              </w:rPr>
              <w:t>58</w:t>
            </w:r>
          </w:p>
        </w:tc>
        <w:tc>
          <w:tcPr>
            <w:tcW w:w="1861" w:type="dxa"/>
          </w:tcPr>
          <w:p>
            <w:pPr>
              <w:pStyle w:val="TableParagraph"/>
              <w:spacing w:line="170" w:lineRule="auto" w:before="153"/>
              <w:ind w:left="373" w:right="103"/>
              <w:jc w:val="both"/>
              <w:rPr>
                <w:rFonts w:ascii="微软雅黑" w:eastAsia="微软雅黑"/>
                <w:b/>
                <w:sz w:val="21"/>
              </w:rPr>
            </w:pPr>
            <w:r>
              <w:rPr>
                <w:rFonts w:ascii="微软雅黑" w:eastAsia="微软雅黑"/>
                <w:b/>
                <w:spacing w:val="15"/>
                <w:sz w:val="21"/>
              </w:rPr>
              <w:t>严重瑞氏综合</w:t>
            </w:r>
            <w:r>
              <w:rPr>
                <w:rFonts w:ascii="微软雅黑" w:eastAsia="微软雅黑"/>
                <w:b/>
                <w:w w:val="95"/>
                <w:sz w:val="21"/>
              </w:rPr>
              <w:t>征</w:t>
            </w:r>
            <w:r>
              <w:rPr>
                <w:rFonts w:ascii="微软雅黑" w:eastAsia="微软雅黑"/>
                <w:b/>
                <w:w w:val="95"/>
                <w:sz w:val="21"/>
              </w:rPr>
              <w:t>（Reye</w:t>
            </w:r>
            <w:r>
              <w:rPr>
                <w:rFonts w:ascii="微软雅黑" w:eastAsia="微软雅黑"/>
                <w:b/>
                <w:w w:val="95"/>
                <w:sz w:val="21"/>
              </w:rPr>
              <w:t> 综合</w:t>
            </w:r>
            <w:r>
              <w:rPr>
                <w:rFonts w:ascii="微软雅黑" w:eastAsia="微软雅黑"/>
                <w:b/>
                <w:spacing w:val="-17"/>
                <w:sz w:val="21"/>
              </w:rPr>
              <w:t>征，也称赖氏综</w:t>
            </w:r>
            <w:r>
              <w:rPr>
                <w:rFonts w:ascii="微软雅黑" w:eastAsia="微软雅黑"/>
                <w:b/>
                <w:spacing w:val="-17"/>
                <w:sz w:val="21"/>
              </w:rPr>
              <w:t>合征、雷氏综合</w:t>
            </w:r>
          </w:p>
          <w:p>
            <w:pPr>
              <w:pStyle w:val="TableParagraph"/>
              <w:spacing w:line="197" w:lineRule="exact"/>
              <w:ind w:left="373"/>
              <w:rPr>
                <w:rFonts w:ascii="微软雅黑" w:eastAsia="微软雅黑"/>
                <w:b/>
                <w:sz w:val="21"/>
              </w:rPr>
            </w:pPr>
            <w:r>
              <w:rPr>
                <w:rFonts w:ascii="微软雅黑" w:eastAsia="微软雅黑"/>
                <w:b/>
                <w:sz w:val="21"/>
              </w:rPr>
              <w:t>征</w:t>
            </w:r>
            <w:r>
              <w:rPr>
                <w:rFonts w:ascii="微软雅黑" w:eastAsia="微软雅黑"/>
                <w:b/>
                <w:spacing w:val="-10"/>
                <w:sz w:val="21"/>
              </w:rPr>
              <w:t>）</w:t>
            </w:r>
          </w:p>
        </w:tc>
        <w:tc>
          <w:tcPr>
            <w:tcW w:w="6891" w:type="dxa"/>
          </w:tcPr>
          <w:p>
            <w:pPr>
              <w:pStyle w:val="TableParagraph"/>
              <w:spacing w:line="242" w:lineRule="auto" w:before="140"/>
              <w:ind w:left="106" w:right="49"/>
              <w:jc w:val="both"/>
              <w:rPr>
                <w:sz w:val="21"/>
              </w:rPr>
            </w:pPr>
            <w:r>
              <w:rPr>
                <w:spacing w:val="-2"/>
                <w:sz w:val="21"/>
              </w:rPr>
              <w:t>瑞氏综合征是线粒体功能障碍性疾病。导致脂肪代谢障碍，引起短链脂肪</w:t>
            </w:r>
            <w:r>
              <w:rPr>
                <w:spacing w:val="-2"/>
                <w:sz w:val="21"/>
              </w:rPr>
              <w:t>酸、血氨升高，造成脑水肿。主要临床表现为急性发热、反复呕吐、惊厥</w:t>
            </w:r>
            <w:r>
              <w:rPr>
                <w:spacing w:val="-2"/>
                <w:sz w:val="21"/>
              </w:rPr>
              <w:t>及意识障碍等。</w:t>
            </w:r>
          </w:p>
          <w:p>
            <w:pPr>
              <w:pStyle w:val="TableParagraph"/>
              <w:spacing w:line="270" w:lineRule="atLeast"/>
              <w:ind w:left="106" w:right="49"/>
              <w:rPr>
                <w:sz w:val="21"/>
              </w:rPr>
            </w:pPr>
            <w:r>
              <w:rPr>
                <w:spacing w:val="-2"/>
                <w:sz w:val="21"/>
              </w:rPr>
              <w:t>肝脏活检是确诊的重要手段。瑞氏综合征须由我们认可医院中的三级医院</w:t>
            </w:r>
            <w:r>
              <w:rPr>
                <w:spacing w:val="-2"/>
                <w:sz w:val="21"/>
              </w:rPr>
              <w:t>的儿科专科医生确诊，并符合下列所有条件：</w:t>
            </w:r>
          </w:p>
        </w:tc>
      </w:tr>
    </w:tbl>
    <w:p>
      <w:pPr>
        <w:spacing w:after="0" w:line="270" w:lineRule="atLeast"/>
        <w:rPr>
          <w:sz w:val="21"/>
        </w:rPr>
        <w:sectPr>
          <w:pgSz w:w="11910" w:h="16840"/>
          <w:pgMar w:header="877" w:footer="0" w:top="1100" w:bottom="280" w:left="1060" w:right="980"/>
        </w:sectPr>
      </w:pPr>
    </w:p>
    <w:p>
      <w:pPr>
        <w:pStyle w:val="BodyText"/>
        <w:spacing w:before="8"/>
        <w:rPr>
          <w:sz w:val="8"/>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38"/>
        <w:gridCol w:w="7020"/>
      </w:tblGrid>
      <w:tr>
        <w:trPr>
          <w:trHeight w:val="923" w:hRule="atLeast"/>
        </w:trPr>
        <w:tc>
          <w:tcPr>
            <w:tcW w:w="634" w:type="dxa"/>
          </w:tcPr>
          <w:p>
            <w:pPr>
              <w:pStyle w:val="TableParagraph"/>
              <w:rPr>
                <w:rFonts w:ascii="Times New Roman"/>
                <w:sz w:val="20"/>
              </w:rPr>
            </w:pPr>
          </w:p>
        </w:tc>
        <w:tc>
          <w:tcPr>
            <w:tcW w:w="1838" w:type="dxa"/>
          </w:tcPr>
          <w:p>
            <w:pPr>
              <w:pStyle w:val="TableParagraph"/>
              <w:rPr>
                <w:rFonts w:ascii="Times New Roman"/>
                <w:sz w:val="20"/>
              </w:rPr>
            </w:pPr>
          </w:p>
        </w:tc>
        <w:tc>
          <w:tcPr>
            <w:tcW w:w="7020" w:type="dxa"/>
          </w:tcPr>
          <w:p>
            <w:pPr>
              <w:pStyle w:val="TableParagraph"/>
              <w:numPr>
                <w:ilvl w:val="0"/>
                <w:numId w:val="59"/>
              </w:numPr>
              <w:tabs>
                <w:tab w:pos="659" w:val="left" w:leader="none"/>
              </w:tabs>
              <w:spacing w:line="241" w:lineRule="exact" w:before="0" w:after="0"/>
              <w:ind w:left="658" w:right="0" w:hanging="530"/>
              <w:jc w:val="left"/>
              <w:rPr>
                <w:sz w:val="21"/>
              </w:rPr>
            </w:pPr>
            <w:r>
              <w:rPr>
                <w:spacing w:val="-3"/>
                <w:sz w:val="21"/>
              </w:rPr>
              <w:t>有脑水肿和颅内压升高的脑脊液检查和影像学检查证据；</w:t>
            </w:r>
          </w:p>
          <w:p>
            <w:pPr>
              <w:pStyle w:val="TableParagraph"/>
              <w:numPr>
                <w:ilvl w:val="0"/>
                <w:numId w:val="59"/>
              </w:numPr>
              <w:tabs>
                <w:tab w:pos="659" w:val="left" w:leader="none"/>
              </w:tabs>
              <w:spacing w:line="240" w:lineRule="auto" w:before="2" w:after="0"/>
              <w:ind w:left="658" w:right="0" w:hanging="530"/>
              <w:jc w:val="left"/>
              <w:rPr>
                <w:sz w:val="21"/>
              </w:rPr>
            </w:pPr>
            <w:r>
              <w:rPr>
                <w:spacing w:val="-8"/>
                <w:sz w:val="21"/>
              </w:rPr>
              <w:t>血氨超过正常值的 </w:t>
            </w:r>
            <w:r>
              <w:rPr>
                <w:spacing w:val="-2"/>
                <w:sz w:val="21"/>
              </w:rPr>
              <w:t>3</w:t>
            </w:r>
            <w:r>
              <w:rPr>
                <w:spacing w:val="-21"/>
                <w:sz w:val="21"/>
              </w:rPr>
              <w:t> 倍；</w:t>
            </w:r>
          </w:p>
          <w:p>
            <w:pPr>
              <w:pStyle w:val="TableParagraph"/>
              <w:numPr>
                <w:ilvl w:val="0"/>
                <w:numId w:val="59"/>
              </w:numPr>
              <w:tabs>
                <w:tab w:pos="659" w:val="left" w:leader="none"/>
              </w:tabs>
              <w:spacing w:line="240" w:lineRule="auto" w:before="5" w:after="0"/>
              <w:ind w:left="658" w:right="0" w:hanging="530"/>
              <w:jc w:val="left"/>
              <w:rPr>
                <w:sz w:val="21"/>
              </w:rPr>
            </w:pPr>
            <w:r>
              <w:rPr>
                <w:spacing w:val="-5"/>
                <w:sz w:val="21"/>
              </w:rPr>
              <w:t>临床出现昏迷，病程至少达到疾病分期第 </w:t>
            </w:r>
            <w:r>
              <w:rPr>
                <w:spacing w:val="-2"/>
                <w:sz w:val="21"/>
              </w:rPr>
              <w:t>3</w:t>
            </w:r>
            <w:r>
              <w:rPr>
                <w:spacing w:val="-20"/>
                <w:sz w:val="21"/>
              </w:rPr>
              <w:t> 期。</w:t>
            </w:r>
          </w:p>
        </w:tc>
      </w:tr>
      <w:tr>
        <w:trPr>
          <w:trHeight w:val="1634" w:hRule="atLeast"/>
        </w:trPr>
        <w:tc>
          <w:tcPr>
            <w:tcW w:w="634" w:type="dxa"/>
          </w:tcPr>
          <w:p>
            <w:pPr>
              <w:pStyle w:val="TableParagraph"/>
              <w:spacing w:before="71"/>
              <w:ind w:left="50"/>
              <w:rPr>
                <w:rFonts w:ascii="微软雅黑"/>
                <w:b/>
                <w:sz w:val="21"/>
              </w:rPr>
            </w:pPr>
            <w:r>
              <w:rPr>
                <w:rFonts w:ascii="微软雅黑"/>
                <w:b/>
                <w:spacing w:val="-5"/>
                <w:w w:val="90"/>
                <w:sz w:val="21"/>
              </w:rPr>
              <w:t>59</w:t>
            </w:r>
          </w:p>
        </w:tc>
        <w:tc>
          <w:tcPr>
            <w:tcW w:w="1838" w:type="dxa"/>
          </w:tcPr>
          <w:p>
            <w:pPr>
              <w:pStyle w:val="TableParagraph"/>
              <w:spacing w:before="71"/>
              <w:ind w:left="373"/>
              <w:rPr>
                <w:rFonts w:ascii="微软雅黑" w:eastAsia="微软雅黑"/>
                <w:b/>
                <w:sz w:val="21"/>
              </w:rPr>
            </w:pPr>
            <w:r>
              <w:rPr>
                <w:rFonts w:ascii="微软雅黑" w:eastAsia="微软雅黑"/>
                <w:b/>
                <w:spacing w:val="-2"/>
                <w:sz w:val="21"/>
              </w:rPr>
              <w:t>严重川崎病</w:t>
            </w:r>
          </w:p>
        </w:tc>
        <w:tc>
          <w:tcPr>
            <w:tcW w:w="7020" w:type="dxa"/>
          </w:tcPr>
          <w:p>
            <w:pPr>
              <w:pStyle w:val="TableParagraph"/>
              <w:spacing w:line="242" w:lineRule="auto" w:before="138"/>
              <w:ind w:left="88" w:right="49"/>
              <w:rPr>
                <w:sz w:val="21"/>
              </w:rPr>
            </w:pPr>
            <w:r>
              <w:rPr>
                <w:spacing w:val="-8"/>
                <w:w w:val="100"/>
                <w:sz w:val="21"/>
              </w:rPr>
              <w:t>是一种血管炎综合征，临床表现为急性发热，皮肤粘膜病损和淋巴结肿大。</w:t>
            </w:r>
            <w:r>
              <w:rPr>
                <w:spacing w:val="-3"/>
                <w:w w:val="100"/>
                <w:sz w:val="21"/>
              </w:rPr>
              <w:t>本病须经我们认可医院的专科医生明确诊断，同时须由血管造影或超声心动图检查证实，满足下列至少一项条件：</w:t>
            </w:r>
          </w:p>
          <w:p>
            <w:pPr>
              <w:pStyle w:val="TableParagraph"/>
              <w:numPr>
                <w:ilvl w:val="0"/>
                <w:numId w:val="60"/>
              </w:numPr>
              <w:tabs>
                <w:tab w:pos="659" w:val="left" w:leader="none"/>
              </w:tabs>
              <w:spacing w:line="240" w:lineRule="auto" w:before="1" w:after="0"/>
              <w:ind w:left="658" w:right="0" w:hanging="530"/>
              <w:jc w:val="left"/>
              <w:rPr>
                <w:sz w:val="21"/>
              </w:rPr>
            </w:pPr>
            <w:r>
              <w:rPr>
                <w:spacing w:val="-4"/>
                <w:sz w:val="21"/>
              </w:rPr>
              <w:t>伴有冠状动脉瘤，且冠状动脉瘤于最初急性发病后持续至少 </w:t>
            </w:r>
            <w:r>
              <w:rPr>
                <w:spacing w:val="-2"/>
                <w:sz w:val="21"/>
              </w:rPr>
              <w:t>180</w:t>
            </w:r>
            <w:r>
              <w:rPr>
                <w:spacing w:val="-19"/>
                <w:sz w:val="21"/>
              </w:rPr>
              <w:t> 天；</w:t>
            </w:r>
          </w:p>
          <w:p>
            <w:pPr>
              <w:pStyle w:val="TableParagraph"/>
              <w:numPr>
                <w:ilvl w:val="0"/>
                <w:numId w:val="60"/>
              </w:numPr>
              <w:tabs>
                <w:tab w:pos="659" w:val="left" w:leader="none"/>
              </w:tabs>
              <w:spacing w:line="240" w:lineRule="auto" w:before="4" w:after="0"/>
              <w:ind w:left="658" w:right="0" w:hanging="530"/>
              <w:jc w:val="left"/>
              <w:rPr>
                <w:sz w:val="21"/>
              </w:rPr>
            </w:pPr>
            <w:r>
              <w:rPr>
                <w:spacing w:val="-3"/>
                <w:sz w:val="21"/>
              </w:rPr>
              <w:t>伴有冠状动脉瘤，且实际接受了对冠状动脉瘤进行的手术治疗。</w:t>
            </w:r>
          </w:p>
        </w:tc>
      </w:tr>
      <w:tr>
        <w:trPr>
          <w:trHeight w:val="1906" w:hRule="atLeast"/>
        </w:trPr>
        <w:tc>
          <w:tcPr>
            <w:tcW w:w="634" w:type="dxa"/>
          </w:tcPr>
          <w:p>
            <w:pPr>
              <w:pStyle w:val="TableParagraph"/>
              <w:spacing w:before="71"/>
              <w:ind w:left="50"/>
              <w:rPr>
                <w:rFonts w:ascii="微软雅黑"/>
                <w:b/>
                <w:sz w:val="21"/>
              </w:rPr>
            </w:pPr>
            <w:r>
              <w:rPr>
                <w:rFonts w:ascii="微软雅黑"/>
                <w:b/>
                <w:spacing w:val="-5"/>
                <w:w w:val="90"/>
                <w:sz w:val="21"/>
              </w:rPr>
              <w:t>60</w:t>
            </w:r>
          </w:p>
        </w:tc>
        <w:tc>
          <w:tcPr>
            <w:tcW w:w="1838" w:type="dxa"/>
          </w:tcPr>
          <w:p>
            <w:pPr>
              <w:pStyle w:val="TableParagraph"/>
              <w:spacing w:line="168" w:lineRule="auto" w:before="154"/>
              <w:ind w:left="373" w:right="86"/>
              <w:rPr>
                <w:rFonts w:ascii="微软雅黑" w:eastAsia="微软雅黑"/>
                <w:b/>
                <w:sz w:val="21"/>
              </w:rPr>
            </w:pPr>
            <w:r>
              <w:rPr>
                <w:rFonts w:ascii="微软雅黑" w:eastAsia="微软雅黑"/>
                <w:b/>
                <w:spacing w:val="15"/>
                <w:sz w:val="21"/>
              </w:rPr>
              <w:t>严重原发性心</w:t>
            </w:r>
            <w:r>
              <w:rPr>
                <w:rFonts w:ascii="微软雅黑" w:eastAsia="微软雅黑"/>
                <w:b/>
                <w:spacing w:val="-6"/>
                <w:sz w:val="21"/>
              </w:rPr>
              <w:t>肌病</w:t>
            </w:r>
          </w:p>
        </w:tc>
        <w:tc>
          <w:tcPr>
            <w:tcW w:w="7020" w:type="dxa"/>
          </w:tcPr>
          <w:p>
            <w:pPr>
              <w:pStyle w:val="TableParagraph"/>
              <w:spacing w:line="242" w:lineRule="auto" w:before="138"/>
              <w:ind w:left="129" w:right="47"/>
              <w:rPr>
                <w:sz w:val="21"/>
              </w:rPr>
            </w:pPr>
            <w:r>
              <w:rPr>
                <w:spacing w:val="-2"/>
                <w:sz w:val="21"/>
              </w:rPr>
              <w:t>指不明原因引起的一类心肌病变，包括原发性扩张型心肌病、原发性肥厚</w:t>
            </w:r>
            <w:r>
              <w:rPr>
                <w:spacing w:val="-2"/>
                <w:sz w:val="21"/>
              </w:rPr>
              <w:t>型心肌病及原发性限制型心肌病三种，病变必须已造成事实上心室功能障</w:t>
            </w:r>
            <w:r>
              <w:rPr>
                <w:spacing w:val="-4"/>
                <w:sz w:val="21"/>
              </w:rPr>
              <w:t>碍而出现明显的心功能衰竭（美国纽约心脏病学会心功能状态分级Ⅳ级），</w:t>
            </w:r>
            <w:r>
              <w:rPr>
                <w:spacing w:val="-1"/>
                <w:sz w:val="21"/>
              </w:rPr>
              <w:t>且有相关住院医疗记录显示Ⅳ级心功能衰竭状态持续至少 </w:t>
            </w:r>
            <w:r>
              <w:rPr>
                <w:sz w:val="21"/>
              </w:rPr>
              <w:t>180</w:t>
            </w:r>
            <w:r>
              <w:rPr>
                <w:spacing w:val="-9"/>
                <w:sz w:val="21"/>
              </w:rPr>
              <w:t> 天。</w:t>
            </w:r>
          </w:p>
          <w:p>
            <w:pPr>
              <w:pStyle w:val="TableParagraph"/>
              <w:spacing w:line="237" w:lineRule="exact" w:before="3"/>
              <w:ind w:left="129"/>
              <w:rPr>
                <w:sz w:val="21"/>
              </w:rPr>
            </w:pPr>
            <w:r>
              <w:rPr>
                <w:spacing w:val="-3"/>
                <w:sz w:val="21"/>
              </w:rPr>
              <w:t>本病须经我们认可医院的专科医生明确诊断。</w:t>
            </w:r>
          </w:p>
          <w:p>
            <w:pPr>
              <w:pStyle w:val="TableParagraph"/>
              <w:spacing w:line="355" w:lineRule="exact"/>
              <w:ind w:left="129"/>
              <w:rPr>
                <w:rFonts w:ascii="微软雅黑" w:eastAsia="微软雅黑"/>
                <w:b/>
                <w:sz w:val="21"/>
              </w:rPr>
            </w:pPr>
            <w:r>
              <w:rPr>
                <w:rFonts w:ascii="微软雅黑" w:eastAsia="微软雅黑"/>
                <w:b/>
                <w:spacing w:val="-3"/>
                <w:sz w:val="21"/>
              </w:rPr>
              <w:t>继发于全身性疾病或其他器官系统疾病造成的心肌病变不在保障范围内。</w:t>
            </w:r>
          </w:p>
        </w:tc>
      </w:tr>
      <w:tr>
        <w:trPr>
          <w:trHeight w:val="1905" w:hRule="atLeast"/>
        </w:trPr>
        <w:tc>
          <w:tcPr>
            <w:tcW w:w="634" w:type="dxa"/>
          </w:tcPr>
          <w:p>
            <w:pPr>
              <w:pStyle w:val="TableParagraph"/>
              <w:spacing w:before="71"/>
              <w:ind w:left="50"/>
              <w:rPr>
                <w:rFonts w:ascii="微软雅黑"/>
                <w:b/>
                <w:sz w:val="21"/>
              </w:rPr>
            </w:pPr>
            <w:r>
              <w:rPr>
                <w:rFonts w:ascii="微软雅黑"/>
                <w:b/>
                <w:spacing w:val="-5"/>
                <w:w w:val="90"/>
                <w:sz w:val="21"/>
              </w:rPr>
              <w:t>61</w:t>
            </w:r>
          </w:p>
        </w:tc>
        <w:tc>
          <w:tcPr>
            <w:tcW w:w="1838" w:type="dxa"/>
          </w:tcPr>
          <w:p>
            <w:pPr>
              <w:pStyle w:val="TableParagraph"/>
              <w:spacing w:line="170" w:lineRule="auto" w:before="151"/>
              <w:ind w:left="373" w:right="86"/>
              <w:rPr>
                <w:rFonts w:ascii="微软雅黑" w:eastAsia="微软雅黑"/>
                <w:b/>
                <w:sz w:val="21"/>
              </w:rPr>
            </w:pPr>
            <w:r>
              <w:rPr>
                <w:rFonts w:ascii="微软雅黑" w:eastAsia="微软雅黑"/>
                <w:b/>
                <w:spacing w:val="15"/>
                <w:sz w:val="21"/>
              </w:rPr>
              <w:t>脊髓血管病后</w:t>
            </w:r>
            <w:r>
              <w:rPr>
                <w:rFonts w:ascii="微软雅黑" w:eastAsia="微软雅黑"/>
                <w:b/>
                <w:spacing w:val="-6"/>
                <w:sz w:val="21"/>
              </w:rPr>
              <w:t>遗症</w:t>
            </w:r>
          </w:p>
        </w:tc>
        <w:tc>
          <w:tcPr>
            <w:tcW w:w="7020" w:type="dxa"/>
          </w:tcPr>
          <w:p>
            <w:pPr>
              <w:pStyle w:val="TableParagraph"/>
              <w:spacing w:line="242" w:lineRule="auto" w:before="138"/>
              <w:ind w:left="129" w:right="152"/>
              <w:jc w:val="both"/>
              <w:rPr>
                <w:sz w:val="21"/>
              </w:rPr>
            </w:pPr>
            <w:r>
              <w:rPr>
                <w:spacing w:val="-2"/>
                <w:sz w:val="21"/>
              </w:rPr>
              <w:t>指脊髓血管的突发病变引起脊髓梗塞或脊髓出血，导致永久性不可逆的神</w:t>
            </w:r>
            <w:r>
              <w:rPr>
                <w:spacing w:val="-2"/>
                <w:sz w:val="21"/>
              </w:rPr>
              <w:t>经系统功能损害，表现为截瘫或四肢瘫。神经系统永久性的功能障碍指疾</w:t>
            </w:r>
            <w:r>
              <w:rPr>
                <w:spacing w:val="-8"/>
                <w:sz w:val="21"/>
              </w:rPr>
              <w:t>病确诊 </w:t>
            </w:r>
            <w:r>
              <w:rPr>
                <w:spacing w:val="-2"/>
                <w:sz w:val="21"/>
              </w:rPr>
              <w:t>180</w:t>
            </w:r>
            <w:r>
              <w:rPr>
                <w:spacing w:val="-7"/>
                <w:sz w:val="21"/>
              </w:rPr>
              <w:t> 天后，仍然遗留后遗症并且无法独立完成下列基本日常生活活</w:t>
            </w:r>
            <w:r>
              <w:rPr>
                <w:spacing w:val="-4"/>
                <w:sz w:val="21"/>
              </w:rPr>
              <w:t>动之一：</w:t>
            </w:r>
          </w:p>
          <w:p>
            <w:pPr>
              <w:pStyle w:val="TableParagraph"/>
              <w:numPr>
                <w:ilvl w:val="0"/>
                <w:numId w:val="61"/>
              </w:numPr>
              <w:tabs>
                <w:tab w:pos="659" w:val="left" w:leader="none"/>
              </w:tabs>
              <w:spacing w:line="240" w:lineRule="auto" w:before="3" w:after="0"/>
              <w:ind w:left="658" w:right="0" w:hanging="530"/>
              <w:jc w:val="left"/>
              <w:rPr>
                <w:sz w:val="21"/>
              </w:rPr>
            </w:pPr>
            <w:r>
              <w:rPr>
                <w:spacing w:val="-3"/>
                <w:sz w:val="21"/>
              </w:rPr>
              <w:t>移动：自己从一个房间到另一个房间；</w:t>
            </w:r>
          </w:p>
          <w:p>
            <w:pPr>
              <w:pStyle w:val="TableParagraph"/>
              <w:numPr>
                <w:ilvl w:val="0"/>
                <w:numId w:val="61"/>
              </w:numPr>
              <w:tabs>
                <w:tab w:pos="659" w:val="left" w:leader="none"/>
              </w:tabs>
              <w:spacing w:line="240" w:lineRule="auto" w:before="2" w:after="0"/>
              <w:ind w:left="658" w:right="0" w:hanging="530"/>
              <w:jc w:val="left"/>
              <w:rPr>
                <w:sz w:val="21"/>
              </w:rPr>
            </w:pPr>
            <w:r>
              <w:rPr>
                <w:spacing w:val="-3"/>
                <w:sz w:val="21"/>
              </w:rPr>
              <w:t>进食：自己从已准备好的碗或碟中取食物放入口中。</w:t>
            </w:r>
          </w:p>
        </w:tc>
      </w:tr>
      <w:tr>
        <w:trPr>
          <w:trHeight w:val="1090" w:hRule="atLeast"/>
        </w:trPr>
        <w:tc>
          <w:tcPr>
            <w:tcW w:w="634" w:type="dxa"/>
          </w:tcPr>
          <w:p>
            <w:pPr>
              <w:pStyle w:val="TableParagraph"/>
              <w:spacing w:before="71"/>
              <w:ind w:left="50"/>
              <w:rPr>
                <w:rFonts w:ascii="微软雅黑"/>
                <w:b/>
                <w:sz w:val="21"/>
              </w:rPr>
            </w:pPr>
            <w:r>
              <w:rPr>
                <w:rFonts w:ascii="微软雅黑"/>
                <w:b/>
                <w:spacing w:val="-5"/>
                <w:w w:val="90"/>
                <w:sz w:val="21"/>
              </w:rPr>
              <w:t>62</w:t>
            </w:r>
          </w:p>
        </w:tc>
        <w:tc>
          <w:tcPr>
            <w:tcW w:w="1838" w:type="dxa"/>
          </w:tcPr>
          <w:p>
            <w:pPr>
              <w:pStyle w:val="TableParagraph"/>
              <w:spacing w:before="71"/>
              <w:ind w:left="373"/>
              <w:rPr>
                <w:rFonts w:ascii="微软雅黑" w:eastAsia="微软雅黑"/>
                <w:b/>
                <w:sz w:val="21"/>
              </w:rPr>
            </w:pPr>
            <w:r>
              <w:rPr>
                <w:rFonts w:ascii="微软雅黑" w:eastAsia="微软雅黑"/>
                <w:b/>
                <w:spacing w:val="-2"/>
                <w:sz w:val="21"/>
              </w:rPr>
              <w:t>室壁瘤切除术</w:t>
            </w:r>
          </w:p>
        </w:tc>
        <w:tc>
          <w:tcPr>
            <w:tcW w:w="7020" w:type="dxa"/>
          </w:tcPr>
          <w:p>
            <w:pPr>
              <w:pStyle w:val="TableParagraph"/>
              <w:spacing w:line="244" w:lineRule="auto" w:before="138"/>
              <w:ind w:left="129" w:right="155"/>
              <w:rPr>
                <w:sz w:val="21"/>
              </w:rPr>
            </w:pPr>
            <w:r>
              <w:rPr>
                <w:spacing w:val="-2"/>
                <w:sz w:val="21"/>
              </w:rPr>
              <w:t>被保险人被明确诊断为左室室壁瘤，并且实际接受了开胸开心进行的室壁</w:t>
            </w:r>
            <w:r>
              <w:rPr>
                <w:spacing w:val="-2"/>
                <w:sz w:val="21"/>
              </w:rPr>
              <w:t>瘤切除手术治疗。</w:t>
            </w:r>
          </w:p>
          <w:p>
            <w:pPr>
              <w:pStyle w:val="TableParagraph"/>
              <w:spacing w:line="316" w:lineRule="exact"/>
              <w:ind w:left="129"/>
              <w:rPr>
                <w:rFonts w:ascii="微软雅黑" w:eastAsia="微软雅黑"/>
                <w:b/>
                <w:sz w:val="21"/>
              </w:rPr>
            </w:pPr>
            <w:r>
              <w:rPr>
                <w:rFonts w:ascii="微软雅黑" w:eastAsia="微软雅黑"/>
                <w:b/>
                <w:spacing w:val="-3"/>
                <w:sz w:val="21"/>
              </w:rPr>
              <w:t>经导管心室内成型手术治疗不在保障范围内。</w:t>
            </w:r>
          </w:p>
        </w:tc>
      </w:tr>
      <w:tr>
        <w:trPr>
          <w:trHeight w:val="1089" w:hRule="atLeast"/>
        </w:trPr>
        <w:tc>
          <w:tcPr>
            <w:tcW w:w="634" w:type="dxa"/>
          </w:tcPr>
          <w:p>
            <w:pPr>
              <w:pStyle w:val="TableParagraph"/>
              <w:spacing w:before="71"/>
              <w:ind w:left="50"/>
              <w:rPr>
                <w:rFonts w:ascii="微软雅黑"/>
                <w:b/>
                <w:sz w:val="21"/>
              </w:rPr>
            </w:pPr>
            <w:r>
              <w:rPr>
                <w:rFonts w:ascii="微软雅黑"/>
                <w:b/>
                <w:spacing w:val="-5"/>
                <w:w w:val="90"/>
                <w:sz w:val="21"/>
              </w:rPr>
              <w:t>63</w:t>
            </w:r>
          </w:p>
        </w:tc>
        <w:tc>
          <w:tcPr>
            <w:tcW w:w="1838" w:type="dxa"/>
          </w:tcPr>
          <w:p>
            <w:pPr>
              <w:pStyle w:val="TableParagraph"/>
              <w:spacing w:before="71"/>
              <w:ind w:left="373"/>
              <w:rPr>
                <w:rFonts w:ascii="微软雅黑" w:eastAsia="微软雅黑"/>
                <w:b/>
                <w:sz w:val="21"/>
              </w:rPr>
            </w:pPr>
            <w:r>
              <w:rPr>
                <w:rFonts w:ascii="微软雅黑" w:eastAsia="微软雅黑"/>
                <w:b/>
                <w:spacing w:val="-2"/>
                <w:sz w:val="21"/>
              </w:rPr>
              <w:t>嗜铬细胞瘤</w:t>
            </w:r>
          </w:p>
        </w:tc>
        <w:tc>
          <w:tcPr>
            <w:tcW w:w="7020" w:type="dxa"/>
          </w:tcPr>
          <w:p>
            <w:pPr>
              <w:pStyle w:val="TableParagraph"/>
              <w:spacing w:line="242" w:lineRule="auto" w:before="138"/>
              <w:ind w:left="129" w:right="155"/>
              <w:jc w:val="both"/>
              <w:rPr>
                <w:sz w:val="21"/>
              </w:rPr>
            </w:pPr>
            <w:r>
              <w:rPr>
                <w:spacing w:val="-2"/>
                <w:sz w:val="21"/>
              </w:rPr>
              <w:t>指肾上腺或嗜铬外组织出现神经内分泌肿瘤，并分泌过多的儿茶酚胺类的</w:t>
            </w:r>
            <w:r>
              <w:rPr>
                <w:spacing w:val="-2"/>
                <w:sz w:val="21"/>
              </w:rPr>
              <w:t>疾病。嗜铬细胞瘤须由专科医生确诊，并已经由组织病理检查证实，且已</w:t>
            </w:r>
            <w:r>
              <w:rPr>
                <w:spacing w:val="-2"/>
                <w:sz w:val="21"/>
              </w:rPr>
              <w:t>经进行了切除嗜铬细胞肿瘤的手术治疗。</w:t>
            </w:r>
          </w:p>
        </w:tc>
      </w:tr>
      <w:tr>
        <w:trPr>
          <w:trHeight w:val="2453" w:hRule="atLeast"/>
        </w:trPr>
        <w:tc>
          <w:tcPr>
            <w:tcW w:w="634" w:type="dxa"/>
          </w:tcPr>
          <w:p>
            <w:pPr>
              <w:pStyle w:val="TableParagraph"/>
              <w:spacing w:before="71"/>
              <w:ind w:left="50"/>
              <w:rPr>
                <w:rFonts w:ascii="微软雅黑"/>
                <w:b/>
                <w:sz w:val="21"/>
              </w:rPr>
            </w:pPr>
            <w:r>
              <w:rPr>
                <w:rFonts w:ascii="微软雅黑"/>
                <w:b/>
                <w:spacing w:val="-5"/>
                <w:w w:val="90"/>
                <w:sz w:val="21"/>
              </w:rPr>
              <w:t>64</w:t>
            </w:r>
          </w:p>
        </w:tc>
        <w:tc>
          <w:tcPr>
            <w:tcW w:w="1838" w:type="dxa"/>
          </w:tcPr>
          <w:p>
            <w:pPr>
              <w:pStyle w:val="TableParagraph"/>
              <w:spacing w:before="71"/>
              <w:ind w:left="373"/>
              <w:rPr>
                <w:rFonts w:ascii="微软雅黑" w:eastAsia="微软雅黑"/>
                <w:b/>
                <w:sz w:val="21"/>
              </w:rPr>
            </w:pPr>
            <w:r>
              <w:rPr>
                <w:rFonts w:ascii="微软雅黑" w:eastAsia="微软雅黑"/>
                <w:b/>
                <w:spacing w:val="-2"/>
                <w:sz w:val="21"/>
              </w:rPr>
              <w:t>亚历山大病</w:t>
            </w:r>
          </w:p>
        </w:tc>
        <w:tc>
          <w:tcPr>
            <w:tcW w:w="7020" w:type="dxa"/>
          </w:tcPr>
          <w:p>
            <w:pPr>
              <w:pStyle w:val="TableParagraph"/>
              <w:spacing w:line="242" w:lineRule="auto" w:before="138"/>
              <w:ind w:left="129" w:right="49"/>
              <w:rPr>
                <w:sz w:val="21"/>
              </w:rPr>
            </w:pPr>
            <w:r>
              <w:rPr>
                <w:spacing w:val="-2"/>
                <w:sz w:val="21"/>
              </w:rPr>
              <w:t>是一种遗传性中枢神经系统退行性病变，特点为脑白质营养不良。临床表</w:t>
            </w:r>
            <w:r>
              <w:rPr>
                <w:spacing w:val="-2"/>
                <w:sz w:val="21"/>
              </w:rPr>
              <w:t>现为惊厥发作、智力下降、球麻痹、共济失调、痉挛性瘫痪。亚历山大病</w:t>
            </w:r>
            <w:r>
              <w:rPr>
                <w:spacing w:val="-2"/>
                <w:sz w:val="21"/>
              </w:rPr>
              <w:t>必须被明确诊断，并且造成永久性神经系统功能损害。被保险人自主生活</w:t>
            </w:r>
            <w:r>
              <w:rPr>
                <w:spacing w:val="-12"/>
                <w:sz w:val="21"/>
              </w:rPr>
              <w:t>能力完全丧失，无法独立完成六项基本日常生活活动中的三项或三项以上，</w:t>
            </w:r>
            <w:r>
              <w:rPr>
                <w:spacing w:val="-2"/>
                <w:sz w:val="21"/>
              </w:rPr>
              <w:t>日常生活必须持续接受他人护理。</w:t>
            </w:r>
          </w:p>
          <w:p>
            <w:pPr>
              <w:pStyle w:val="TableParagraph"/>
              <w:spacing w:line="300" w:lineRule="exact"/>
              <w:ind w:left="129"/>
              <w:rPr>
                <w:rFonts w:ascii="微软雅黑" w:eastAsia="微软雅黑"/>
                <w:b/>
                <w:sz w:val="21"/>
              </w:rPr>
            </w:pPr>
            <w:r>
              <w:rPr>
                <w:rFonts w:ascii="微软雅黑" w:eastAsia="微软雅黑"/>
                <w:b/>
                <w:spacing w:val="-3"/>
                <w:sz w:val="21"/>
              </w:rPr>
              <w:t>未诊断的疑似病例不在保障范围内。</w:t>
            </w:r>
          </w:p>
          <w:p>
            <w:pPr>
              <w:pStyle w:val="TableParagraph"/>
              <w:spacing w:line="245" w:lineRule="exact"/>
              <w:ind w:left="129"/>
              <w:rPr>
                <w:sz w:val="21"/>
              </w:rPr>
            </w:pPr>
            <w:r>
              <w:rPr>
                <w:spacing w:val="-3"/>
                <w:sz w:val="21"/>
              </w:rPr>
              <w:t>我们承担本项疾病责任不受本合同条款“责任免除”中“遗传性疾病、先</w:t>
            </w:r>
          </w:p>
          <w:p>
            <w:pPr>
              <w:pStyle w:val="TableParagraph"/>
              <w:spacing w:before="5"/>
              <w:ind w:left="129"/>
              <w:rPr>
                <w:sz w:val="21"/>
              </w:rPr>
            </w:pPr>
            <w:r>
              <w:rPr>
                <w:spacing w:val="-3"/>
                <w:sz w:val="21"/>
              </w:rPr>
              <w:t>天性畸形、变形或染色体异常”的限制。</w:t>
            </w:r>
          </w:p>
        </w:tc>
      </w:tr>
      <w:tr>
        <w:trPr>
          <w:trHeight w:val="1087" w:hRule="atLeast"/>
        </w:trPr>
        <w:tc>
          <w:tcPr>
            <w:tcW w:w="634" w:type="dxa"/>
          </w:tcPr>
          <w:p>
            <w:pPr>
              <w:pStyle w:val="TableParagraph"/>
              <w:spacing w:before="71"/>
              <w:ind w:left="50"/>
              <w:rPr>
                <w:rFonts w:ascii="微软雅黑"/>
                <w:b/>
                <w:sz w:val="21"/>
              </w:rPr>
            </w:pPr>
            <w:r>
              <w:rPr>
                <w:rFonts w:ascii="微软雅黑"/>
                <w:b/>
                <w:spacing w:val="-5"/>
                <w:w w:val="90"/>
                <w:sz w:val="21"/>
              </w:rPr>
              <w:t>65</w:t>
            </w:r>
          </w:p>
        </w:tc>
        <w:tc>
          <w:tcPr>
            <w:tcW w:w="1838" w:type="dxa"/>
          </w:tcPr>
          <w:p>
            <w:pPr>
              <w:pStyle w:val="TableParagraph"/>
              <w:spacing w:line="168" w:lineRule="auto" w:before="154"/>
              <w:ind w:left="373" w:right="86"/>
              <w:rPr>
                <w:rFonts w:ascii="微软雅黑" w:eastAsia="微软雅黑"/>
                <w:b/>
                <w:sz w:val="21"/>
              </w:rPr>
            </w:pPr>
            <w:r>
              <w:rPr>
                <w:rFonts w:ascii="微软雅黑" w:eastAsia="微软雅黑"/>
                <w:b/>
                <w:spacing w:val="15"/>
                <w:sz w:val="21"/>
              </w:rPr>
              <w:t>严重肠道疾病</w:t>
            </w:r>
            <w:r>
              <w:rPr>
                <w:rFonts w:ascii="微软雅黑" w:eastAsia="微软雅黑"/>
                <w:b/>
                <w:spacing w:val="-4"/>
                <w:sz w:val="21"/>
              </w:rPr>
              <w:t>并发症</w:t>
            </w:r>
          </w:p>
        </w:tc>
        <w:tc>
          <w:tcPr>
            <w:tcW w:w="7020" w:type="dxa"/>
          </w:tcPr>
          <w:p>
            <w:pPr>
              <w:pStyle w:val="TableParagraph"/>
              <w:spacing w:before="138"/>
              <w:ind w:left="129"/>
              <w:rPr>
                <w:sz w:val="21"/>
              </w:rPr>
            </w:pPr>
            <w:r>
              <w:rPr>
                <w:spacing w:val="-3"/>
                <w:sz w:val="21"/>
              </w:rPr>
              <w:t>严重肠道疾病或外伤导致小肠损害并发症，本疾病须满足以下所有条件：</w:t>
            </w:r>
          </w:p>
          <w:p>
            <w:pPr>
              <w:pStyle w:val="TableParagraph"/>
              <w:numPr>
                <w:ilvl w:val="0"/>
                <w:numId w:val="62"/>
              </w:numPr>
              <w:tabs>
                <w:tab w:pos="659" w:val="left" w:leader="none"/>
              </w:tabs>
              <w:spacing w:line="240" w:lineRule="auto" w:before="2" w:after="0"/>
              <w:ind w:left="658" w:right="0" w:hanging="530"/>
              <w:jc w:val="left"/>
              <w:rPr>
                <w:sz w:val="21"/>
              </w:rPr>
            </w:pPr>
            <w:r>
              <w:rPr>
                <w:spacing w:val="-3"/>
                <w:sz w:val="21"/>
              </w:rPr>
              <w:t>至少切除了三分之二小肠；</w:t>
            </w:r>
          </w:p>
          <w:p>
            <w:pPr>
              <w:pStyle w:val="TableParagraph"/>
              <w:numPr>
                <w:ilvl w:val="0"/>
                <w:numId w:val="62"/>
              </w:numPr>
              <w:tabs>
                <w:tab w:pos="659" w:val="left" w:leader="none"/>
              </w:tabs>
              <w:spacing w:line="240" w:lineRule="auto" w:before="2" w:after="0"/>
              <w:ind w:left="658" w:right="0" w:hanging="530"/>
              <w:jc w:val="left"/>
              <w:rPr>
                <w:sz w:val="21"/>
              </w:rPr>
            </w:pPr>
            <w:r>
              <w:rPr>
                <w:spacing w:val="-3"/>
                <w:sz w:val="21"/>
              </w:rPr>
              <w:t>完全肠外营养支持三个月以上。</w:t>
            </w:r>
          </w:p>
        </w:tc>
      </w:tr>
      <w:tr>
        <w:trPr>
          <w:trHeight w:val="1741" w:hRule="atLeast"/>
        </w:trPr>
        <w:tc>
          <w:tcPr>
            <w:tcW w:w="634" w:type="dxa"/>
          </w:tcPr>
          <w:p>
            <w:pPr>
              <w:pStyle w:val="TableParagraph"/>
              <w:spacing w:before="71"/>
              <w:ind w:left="50"/>
              <w:rPr>
                <w:rFonts w:ascii="微软雅黑"/>
                <w:b/>
                <w:sz w:val="21"/>
              </w:rPr>
            </w:pPr>
            <w:r>
              <w:rPr>
                <w:rFonts w:ascii="微软雅黑"/>
                <w:b/>
                <w:spacing w:val="-5"/>
                <w:w w:val="90"/>
                <w:sz w:val="21"/>
              </w:rPr>
              <w:t>66</w:t>
            </w:r>
          </w:p>
        </w:tc>
        <w:tc>
          <w:tcPr>
            <w:tcW w:w="1838" w:type="dxa"/>
          </w:tcPr>
          <w:p>
            <w:pPr>
              <w:pStyle w:val="TableParagraph"/>
              <w:spacing w:before="71"/>
              <w:ind w:left="373"/>
              <w:rPr>
                <w:rFonts w:ascii="微软雅黑" w:eastAsia="微软雅黑"/>
                <w:b/>
                <w:sz w:val="21"/>
              </w:rPr>
            </w:pPr>
            <w:r>
              <w:rPr>
                <w:rFonts w:ascii="微软雅黑" w:eastAsia="微软雅黑"/>
                <w:b/>
                <w:spacing w:val="-2"/>
                <w:sz w:val="21"/>
              </w:rPr>
              <w:t>严重肺结节病</w:t>
            </w:r>
          </w:p>
        </w:tc>
        <w:tc>
          <w:tcPr>
            <w:tcW w:w="7020" w:type="dxa"/>
          </w:tcPr>
          <w:p>
            <w:pPr>
              <w:pStyle w:val="TableParagraph"/>
              <w:spacing w:line="244" w:lineRule="auto" w:before="138"/>
              <w:ind w:left="129" w:right="155"/>
              <w:rPr>
                <w:sz w:val="21"/>
              </w:rPr>
            </w:pPr>
            <w:r>
              <w:rPr>
                <w:spacing w:val="-2"/>
                <w:sz w:val="21"/>
              </w:rPr>
              <w:t>结节病是一种原因未明的慢性肉芽肿病，可侵犯全身多个器官，以肺和淋</w:t>
            </w:r>
            <w:r>
              <w:rPr>
                <w:spacing w:val="-2"/>
                <w:sz w:val="21"/>
              </w:rPr>
              <w:t>巴结受累最为常见。</w:t>
            </w:r>
          </w:p>
          <w:p>
            <w:pPr>
              <w:pStyle w:val="TableParagraph"/>
              <w:spacing w:line="244" w:lineRule="auto"/>
              <w:ind w:left="129" w:right="155"/>
              <w:rPr>
                <w:sz w:val="21"/>
              </w:rPr>
            </w:pPr>
            <w:r>
              <w:rPr>
                <w:spacing w:val="-2"/>
                <w:sz w:val="21"/>
              </w:rPr>
              <w:t>严重肺结节病表现为肺的广泛纤维化导致慢性呼吸功能衰竭。必须满足下</w:t>
            </w:r>
            <w:r>
              <w:rPr>
                <w:spacing w:val="-2"/>
                <w:sz w:val="21"/>
              </w:rPr>
              <w:t>列所有条件：</w:t>
            </w:r>
          </w:p>
          <w:p>
            <w:pPr>
              <w:pStyle w:val="TableParagraph"/>
              <w:numPr>
                <w:ilvl w:val="0"/>
                <w:numId w:val="63"/>
              </w:numPr>
              <w:tabs>
                <w:tab w:pos="659" w:val="left" w:leader="none"/>
              </w:tabs>
              <w:spacing w:line="265" w:lineRule="exact" w:before="0" w:after="0"/>
              <w:ind w:left="658" w:right="0" w:hanging="530"/>
              <w:jc w:val="left"/>
              <w:rPr>
                <w:sz w:val="21"/>
              </w:rPr>
            </w:pPr>
            <w:r>
              <w:rPr>
                <w:spacing w:val="-10"/>
                <w:sz w:val="21"/>
              </w:rPr>
              <w:t>肺结节病的 </w:t>
            </w:r>
            <w:r>
              <w:rPr>
                <w:spacing w:val="-2"/>
                <w:sz w:val="21"/>
              </w:rPr>
              <w:t>X</w:t>
            </w:r>
            <w:r>
              <w:rPr>
                <w:spacing w:val="-10"/>
                <w:sz w:val="21"/>
              </w:rPr>
              <w:t> 线分期为Ⅳ期，即广泛肺纤维化；</w:t>
            </w:r>
          </w:p>
          <w:p>
            <w:pPr>
              <w:pStyle w:val="TableParagraph"/>
              <w:numPr>
                <w:ilvl w:val="0"/>
                <w:numId w:val="63"/>
              </w:numPr>
              <w:tabs>
                <w:tab w:pos="659" w:val="left" w:leader="none"/>
              </w:tabs>
              <w:spacing w:line="220" w:lineRule="exact" w:before="1" w:after="0"/>
              <w:ind w:left="658" w:right="0" w:hanging="530"/>
              <w:jc w:val="left"/>
              <w:rPr>
                <w:sz w:val="21"/>
              </w:rPr>
            </w:pPr>
            <w:r>
              <w:rPr>
                <w:spacing w:val="-1"/>
                <w:sz w:val="21"/>
              </w:rPr>
              <w:t>永久不可逆性的慢性呼吸功能衰竭，临床持续 </w:t>
            </w:r>
            <w:r>
              <w:rPr>
                <w:sz w:val="21"/>
              </w:rPr>
              <w:t>180</w:t>
            </w:r>
            <w:r>
              <w:rPr>
                <w:spacing w:val="-5"/>
                <w:sz w:val="21"/>
              </w:rPr>
              <w:t> 天动脉血氧分压</w:t>
            </w:r>
          </w:p>
        </w:tc>
      </w:tr>
    </w:tbl>
    <w:p>
      <w:pPr>
        <w:pStyle w:val="BodyText"/>
        <w:spacing w:before="39"/>
        <w:ind w:left="3330"/>
      </w:pPr>
      <w:r>
        <w:rPr>
          <w:spacing w:val="-2"/>
          <w:position w:val="1"/>
        </w:rPr>
        <w:t>（PaO</w:t>
      </w:r>
      <w:r>
        <w:rPr>
          <w:spacing w:val="-2"/>
          <w:sz w:val="11"/>
        </w:rPr>
        <w:t>2</w:t>
      </w:r>
      <w:r>
        <w:rPr>
          <w:spacing w:val="-2"/>
          <w:position w:val="1"/>
        </w:rPr>
        <w:t>）&lt;50mmHg</w:t>
      </w:r>
      <w:r>
        <w:rPr>
          <w:spacing w:val="-7"/>
          <w:position w:val="1"/>
        </w:rPr>
        <w:t> 和动脉血氧饱和度</w:t>
      </w:r>
      <w:r>
        <w:rPr>
          <w:spacing w:val="-2"/>
          <w:position w:val="1"/>
        </w:rPr>
        <w:t>（SaO</w:t>
      </w:r>
      <w:r>
        <w:rPr>
          <w:spacing w:val="-2"/>
          <w:sz w:val="11"/>
        </w:rPr>
        <w:t>2</w:t>
      </w:r>
      <w:r>
        <w:rPr>
          <w:spacing w:val="-2"/>
          <w:position w:val="1"/>
        </w:rPr>
        <w:t>）&lt;80</w:t>
      </w:r>
      <w:r>
        <w:rPr>
          <w:spacing w:val="-6"/>
          <w:position w:val="1"/>
        </w:rPr>
        <w:t>%。</w:t>
      </w:r>
    </w:p>
    <w:p>
      <w:pPr>
        <w:spacing w:after="0"/>
        <w:sectPr>
          <w:pgSz w:w="11910" w:h="16840"/>
          <w:pgMar w:header="877" w:footer="0" w:top="1100" w:bottom="280" w:left="1060" w:right="980"/>
        </w:sectPr>
      </w:pPr>
    </w:p>
    <w:p>
      <w:pPr>
        <w:pStyle w:val="ListParagraph"/>
        <w:numPr>
          <w:ilvl w:val="0"/>
          <w:numId w:val="64"/>
        </w:numPr>
        <w:tabs>
          <w:tab w:pos="1210" w:val="left" w:leader="none"/>
          <w:tab w:pos="1211" w:val="left" w:leader="none"/>
        </w:tabs>
        <w:spacing w:line="223" w:lineRule="auto" w:before="35" w:after="0"/>
        <w:ind w:left="2805" w:right="326" w:hanging="2552"/>
        <w:jc w:val="both"/>
        <w:rPr>
          <w:sz w:val="21"/>
        </w:rPr>
      </w:pPr>
      <w:r>
        <w:rPr>
          <w:rFonts w:ascii="微软雅黑" w:eastAsia="微软雅黑"/>
          <w:b/>
          <w:spacing w:val="35"/>
          <w:sz w:val="21"/>
        </w:rPr>
        <w:t>重症手足口病 </w:t>
      </w:r>
      <w:r>
        <w:rPr>
          <w:sz w:val="21"/>
        </w:rPr>
        <w:t>由肠道病毒引起的急性传染病，主要症状表现为手、足、口腔等部位的斑</w:t>
      </w:r>
      <w:r>
        <w:rPr>
          <w:spacing w:val="-2"/>
          <w:sz w:val="21"/>
        </w:rPr>
        <w:t>丘疹、疱疹。经我们认可医院的专科医生确诊为患有手足口病，并伴有下</w:t>
      </w:r>
      <w:r>
        <w:rPr>
          <w:spacing w:val="-2"/>
          <w:sz w:val="21"/>
        </w:rPr>
        <w:t>列三项中的任意一项并发症：</w:t>
      </w:r>
    </w:p>
    <w:p>
      <w:pPr>
        <w:pStyle w:val="ListParagraph"/>
        <w:numPr>
          <w:ilvl w:val="1"/>
          <w:numId w:val="64"/>
        </w:numPr>
        <w:tabs>
          <w:tab w:pos="3334" w:val="left" w:leader="none"/>
        </w:tabs>
        <w:spacing w:line="244" w:lineRule="auto" w:before="3" w:after="0"/>
        <w:ind w:left="3335" w:right="324" w:hanging="531"/>
        <w:jc w:val="left"/>
        <w:rPr>
          <w:sz w:val="21"/>
        </w:rPr>
      </w:pPr>
      <w:r>
        <w:rPr>
          <w:spacing w:val="-11"/>
          <w:sz w:val="21"/>
        </w:rPr>
        <w:t>有脑膜炎或脑炎并发症，且导致意识障碍或瘫痪的临床表现及实验室</w:t>
      </w:r>
      <w:r>
        <w:rPr>
          <w:spacing w:val="-2"/>
          <w:sz w:val="21"/>
        </w:rPr>
        <w:t>检查证据；</w:t>
      </w:r>
    </w:p>
    <w:p>
      <w:pPr>
        <w:pStyle w:val="ListParagraph"/>
        <w:numPr>
          <w:ilvl w:val="1"/>
          <w:numId w:val="64"/>
        </w:numPr>
        <w:tabs>
          <w:tab w:pos="3334" w:val="left" w:leader="none"/>
        </w:tabs>
        <w:spacing w:line="244" w:lineRule="auto" w:before="0" w:after="0"/>
        <w:ind w:left="3335" w:right="324" w:hanging="531"/>
        <w:jc w:val="left"/>
        <w:rPr>
          <w:sz w:val="21"/>
        </w:rPr>
      </w:pPr>
      <w:r>
        <w:rPr>
          <w:spacing w:val="-11"/>
          <w:sz w:val="21"/>
        </w:rPr>
        <w:t>有肺炎或肺水肿并发症，且导致呼吸衰竭的临床表现及实验室检查证</w:t>
      </w:r>
      <w:r>
        <w:rPr>
          <w:spacing w:val="-6"/>
          <w:sz w:val="21"/>
        </w:rPr>
        <w:t>据；</w:t>
      </w:r>
    </w:p>
    <w:p>
      <w:pPr>
        <w:pStyle w:val="ListParagraph"/>
        <w:numPr>
          <w:ilvl w:val="1"/>
          <w:numId w:val="64"/>
        </w:numPr>
        <w:tabs>
          <w:tab w:pos="3334" w:val="left" w:leader="none"/>
        </w:tabs>
        <w:spacing w:line="244" w:lineRule="auto" w:before="0" w:after="0"/>
        <w:ind w:left="3330" w:right="323" w:hanging="526"/>
        <w:jc w:val="left"/>
        <w:rPr>
          <w:sz w:val="21"/>
        </w:rPr>
      </w:pPr>
      <w:r>
        <w:rPr>
          <w:spacing w:val="-2"/>
          <w:sz w:val="21"/>
        </w:rPr>
        <w:t>有心肌炎并发症，且导致心脏扩大或心力衰竭的临床表现及实验室检查证据。</w:t>
      </w:r>
    </w:p>
    <w:p>
      <w:pPr>
        <w:pStyle w:val="BodyText"/>
        <w:spacing w:before="2"/>
        <w:rPr>
          <w:sz w:val="20"/>
        </w:rPr>
      </w:pPr>
    </w:p>
    <w:p>
      <w:pPr>
        <w:pStyle w:val="ListParagraph"/>
        <w:numPr>
          <w:ilvl w:val="0"/>
          <w:numId w:val="64"/>
        </w:numPr>
        <w:tabs>
          <w:tab w:pos="1210" w:val="left" w:leader="none"/>
          <w:tab w:pos="1211" w:val="left" w:leader="none"/>
          <w:tab w:pos="2804" w:val="left" w:leader="none"/>
        </w:tabs>
        <w:spacing w:line="184" w:lineRule="auto" w:before="0" w:after="0"/>
        <w:ind w:left="2805" w:right="220" w:hanging="2552"/>
        <w:jc w:val="left"/>
        <w:rPr>
          <w:sz w:val="21"/>
        </w:rPr>
      </w:pPr>
      <w:r>
        <w:rPr>
          <w:rFonts w:ascii="微软雅黑" w:hAnsi="微软雅黑" w:eastAsia="微软雅黑"/>
          <w:b/>
          <w:spacing w:val="-2"/>
          <w:sz w:val="21"/>
        </w:rPr>
        <w:t>骨</w:t>
      </w:r>
      <w:r>
        <w:rPr>
          <w:rFonts w:ascii="微软雅黑" w:hAnsi="微软雅黑" w:eastAsia="微软雅黑"/>
          <w:b/>
          <w:spacing w:val="-2"/>
          <w:sz w:val="21"/>
        </w:rPr>
        <w:t>生</w:t>
      </w:r>
      <w:r>
        <w:rPr>
          <w:rFonts w:ascii="微软雅黑" w:hAnsi="微软雅黑" w:eastAsia="微软雅黑"/>
          <w:b/>
          <w:spacing w:val="-2"/>
          <w:sz w:val="21"/>
        </w:rPr>
        <w:t>长</w:t>
      </w:r>
      <w:r>
        <w:rPr>
          <w:rFonts w:ascii="微软雅黑" w:hAnsi="微软雅黑" w:eastAsia="微软雅黑"/>
          <w:b/>
          <w:spacing w:val="-2"/>
          <w:sz w:val="21"/>
        </w:rPr>
        <w:t>不</w:t>
      </w:r>
      <w:r>
        <w:rPr>
          <w:rFonts w:ascii="微软雅黑" w:hAnsi="微软雅黑" w:eastAsia="微软雅黑"/>
          <w:b/>
          <w:spacing w:val="-2"/>
          <w:sz w:val="21"/>
        </w:rPr>
        <w:t>全</w:t>
      </w:r>
      <w:r>
        <w:rPr>
          <w:rFonts w:ascii="微软雅黑" w:hAnsi="微软雅黑" w:eastAsia="微软雅黑"/>
          <w:b/>
          <w:spacing w:val="-2"/>
          <w:sz w:val="21"/>
        </w:rPr>
        <w:t>症</w:t>
      </w:r>
      <w:r>
        <w:rPr>
          <w:rFonts w:ascii="微软雅黑" w:hAnsi="微软雅黑" w:eastAsia="微软雅黑"/>
          <w:b/>
          <w:sz w:val="21"/>
        </w:rPr>
        <w:tab/>
      </w:r>
      <w:r>
        <w:rPr>
          <w:sz w:val="21"/>
        </w:rPr>
        <w:t>指一种胶原病，特征为骨</w:t>
      </w:r>
      <w:r>
        <w:rPr>
          <w:sz w:val="21"/>
        </w:rPr>
        <w:t>易碎，骨质疏松和易骨折</w:t>
      </w:r>
      <w:r>
        <w:rPr>
          <w:sz w:val="21"/>
        </w:rPr>
        <w:t>。该病有</w:t>
      </w:r>
      <w:r>
        <w:rPr>
          <w:spacing w:val="-12"/>
          <w:sz w:val="21"/>
        </w:rPr>
        <w:t> </w:t>
      </w:r>
      <w:r>
        <w:rPr>
          <w:sz w:val="21"/>
        </w:rPr>
        <w:t>4</w:t>
      </w:r>
      <w:r>
        <w:rPr>
          <w:spacing w:val="-15"/>
          <w:sz w:val="21"/>
        </w:rPr>
        <w:t> </w:t>
      </w:r>
      <w:r>
        <w:rPr>
          <w:sz w:val="21"/>
        </w:rPr>
        <w:t>种类型：Ⅰ</w:t>
      </w:r>
      <w:r>
        <w:rPr>
          <w:spacing w:val="-4"/>
          <w:sz w:val="21"/>
        </w:rPr>
        <w:t>型、Ⅱ型、Ⅲ</w:t>
      </w:r>
      <w:r>
        <w:rPr>
          <w:spacing w:val="-4"/>
          <w:sz w:val="21"/>
        </w:rPr>
        <w:t>型</w:t>
      </w:r>
      <w:r>
        <w:rPr>
          <w:spacing w:val="-4"/>
          <w:sz w:val="21"/>
        </w:rPr>
        <w:t>、Ⅳ型。</w:t>
      </w:r>
      <w:r>
        <w:rPr>
          <w:rFonts w:ascii="微软雅黑" w:hAnsi="微软雅黑" w:eastAsia="微软雅黑"/>
          <w:b/>
          <w:spacing w:val="-4"/>
          <w:sz w:val="21"/>
        </w:rPr>
        <w:t>只</w:t>
      </w:r>
      <w:r>
        <w:rPr>
          <w:rFonts w:ascii="微软雅黑" w:hAnsi="微软雅黑" w:eastAsia="微软雅黑"/>
          <w:b/>
          <w:spacing w:val="-4"/>
          <w:sz w:val="21"/>
        </w:rPr>
        <w:t>保</w:t>
      </w:r>
      <w:r>
        <w:rPr>
          <w:rFonts w:ascii="微软雅黑" w:hAnsi="微软雅黑" w:eastAsia="微软雅黑"/>
          <w:b/>
          <w:spacing w:val="-4"/>
          <w:sz w:val="21"/>
        </w:rPr>
        <w:t>障</w:t>
      </w:r>
      <w:r>
        <w:rPr>
          <w:rFonts w:ascii="微软雅黑" w:hAnsi="微软雅黑" w:eastAsia="微软雅黑"/>
          <w:b/>
          <w:spacing w:val="-4"/>
          <w:sz w:val="21"/>
        </w:rPr>
        <w:t>Ⅲ</w:t>
      </w:r>
      <w:r>
        <w:rPr>
          <w:rFonts w:ascii="微软雅黑" w:hAnsi="微软雅黑" w:eastAsia="微软雅黑"/>
          <w:b/>
          <w:spacing w:val="-4"/>
          <w:sz w:val="21"/>
        </w:rPr>
        <w:t>型</w:t>
      </w:r>
      <w:r>
        <w:rPr>
          <w:rFonts w:ascii="微软雅黑" w:hAnsi="微软雅黑" w:eastAsia="微软雅黑"/>
          <w:b/>
          <w:spacing w:val="-4"/>
          <w:sz w:val="21"/>
        </w:rPr>
        <w:t>成</w:t>
      </w:r>
      <w:r>
        <w:rPr>
          <w:rFonts w:ascii="微软雅黑" w:hAnsi="微软雅黑" w:eastAsia="微软雅黑"/>
          <w:b/>
          <w:spacing w:val="-4"/>
          <w:sz w:val="21"/>
        </w:rPr>
        <w:t>骨</w:t>
      </w:r>
      <w:r>
        <w:rPr>
          <w:rFonts w:ascii="微软雅黑" w:hAnsi="微软雅黑" w:eastAsia="微软雅黑"/>
          <w:b/>
          <w:spacing w:val="-4"/>
          <w:sz w:val="21"/>
        </w:rPr>
        <w:t>不</w:t>
      </w:r>
      <w:r>
        <w:rPr>
          <w:rFonts w:ascii="微软雅黑" w:hAnsi="微软雅黑" w:eastAsia="微软雅黑"/>
          <w:b/>
          <w:spacing w:val="-4"/>
          <w:sz w:val="21"/>
        </w:rPr>
        <w:t>全</w:t>
      </w:r>
      <w:r>
        <w:rPr>
          <w:rFonts w:ascii="微软雅黑" w:hAnsi="微软雅黑" w:eastAsia="微软雅黑"/>
          <w:b/>
          <w:spacing w:val="-4"/>
          <w:sz w:val="21"/>
        </w:rPr>
        <w:t>的情形。</w:t>
      </w:r>
      <w:r>
        <w:rPr>
          <w:spacing w:val="-4"/>
          <w:sz w:val="21"/>
        </w:rPr>
        <w:t>其主要临床特</w:t>
      </w:r>
      <w:r>
        <w:rPr>
          <w:spacing w:val="-4"/>
          <w:sz w:val="21"/>
        </w:rPr>
        <w:t>点</w:t>
      </w:r>
      <w:r>
        <w:rPr>
          <w:spacing w:val="-4"/>
          <w:sz w:val="21"/>
        </w:rPr>
        <w:t>有</w:t>
      </w:r>
      <w:r>
        <w:rPr>
          <w:spacing w:val="-4"/>
          <w:sz w:val="21"/>
        </w:rPr>
        <w:t>：</w:t>
      </w:r>
      <w:r>
        <w:rPr>
          <w:spacing w:val="-2"/>
          <w:sz w:val="21"/>
        </w:rPr>
        <w:t>发</w:t>
      </w:r>
      <w:r>
        <w:rPr>
          <w:spacing w:val="-2"/>
          <w:sz w:val="21"/>
        </w:rPr>
        <w:t>展</w:t>
      </w:r>
      <w:r>
        <w:rPr>
          <w:spacing w:val="-2"/>
          <w:sz w:val="21"/>
        </w:rPr>
        <w:t>迟</w:t>
      </w:r>
      <w:r>
        <w:rPr>
          <w:spacing w:val="-2"/>
          <w:sz w:val="21"/>
        </w:rPr>
        <w:t>缓、多</w:t>
      </w:r>
      <w:r>
        <w:rPr>
          <w:spacing w:val="-2"/>
          <w:sz w:val="21"/>
        </w:rPr>
        <w:t>发</w:t>
      </w:r>
      <w:r>
        <w:rPr>
          <w:spacing w:val="-2"/>
          <w:sz w:val="21"/>
        </w:rPr>
        <w:t>性</w:t>
      </w:r>
      <w:r>
        <w:rPr>
          <w:spacing w:val="-2"/>
          <w:sz w:val="21"/>
        </w:rPr>
        <w:t>骨折、</w:t>
      </w:r>
      <w:r>
        <w:rPr>
          <w:spacing w:val="-2"/>
          <w:sz w:val="21"/>
        </w:rPr>
        <w:t>进</w:t>
      </w:r>
      <w:r>
        <w:rPr>
          <w:spacing w:val="-2"/>
          <w:sz w:val="21"/>
        </w:rPr>
        <w:t>行</w:t>
      </w:r>
      <w:r>
        <w:rPr>
          <w:spacing w:val="-2"/>
          <w:sz w:val="21"/>
        </w:rPr>
        <w:t>性</w:t>
      </w:r>
      <w:r>
        <w:rPr>
          <w:spacing w:val="-2"/>
          <w:sz w:val="21"/>
        </w:rPr>
        <w:t>脊柱后</w:t>
      </w:r>
      <w:r>
        <w:rPr>
          <w:spacing w:val="-2"/>
          <w:sz w:val="21"/>
        </w:rPr>
        <w:t>侧</w:t>
      </w:r>
      <w:r>
        <w:rPr>
          <w:spacing w:val="-2"/>
          <w:sz w:val="21"/>
        </w:rPr>
        <w:t>凸</w:t>
      </w:r>
      <w:r>
        <w:rPr>
          <w:spacing w:val="-2"/>
          <w:sz w:val="21"/>
        </w:rPr>
        <w:t>及听力</w:t>
      </w:r>
      <w:r>
        <w:rPr>
          <w:spacing w:val="-2"/>
          <w:sz w:val="21"/>
        </w:rPr>
        <w:t>损</w:t>
      </w:r>
      <w:r>
        <w:rPr>
          <w:spacing w:val="-2"/>
          <w:sz w:val="21"/>
        </w:rPr>
        <w:t>害</w:t>
      </w:r>
      <w:r>
        <w:rPr>
          <w:spacing w:val="-2"/>
          <w:sz w:val="21"/>
        </w:rPr>
        <w:t>。</w:t>
      </w:r>
      <w:r>
        <w:rPr>
          <w:spacing w:val="-2"/>
          <w:sz w:val="21"/>
        </w:rPr>
        <w:t>Ⅲ型成</w:t>
      </w:r>
      <w:r>
        <w:rPr>
          <w:spacing w:val="-2"/>
          <w:sz w:val="21"/>
        </w:rPr>
        <w:t>骨</w:t>
      </w:r>
      <w:r>
        <w:rPr>
          <w:spacing w:val="-2"/>
          <w:sz w:val="21"/>
        </w:rPr>
        <w:t>不</w:t>
      </w:r>
      <w:r>
        <w:rPr>
          <w:spacing w:val="-2"/>
          <w:sz w:val="21"/>
        </w:rPr>
        <w:t>全的</w:t>
      </w:r>
    </w:p>
    <w:p>
      <w:pPr>
        <w:pStyle w:val="BodyText"/>
        <w:spacing w:line="242" w:lineRule="auto" w:before="17"/>
        <w:ind w:left="2805" w:right="326"/>
      </w:pPr>
      <w:r>
        <w:rPr/>
        <w:t>诊断必须根据身体检查，家族史，X</w:t>
      </w:r>
      <w:r>
        <w:rPr>
          <w:spacing w:val="-7"/>
        </w:rPr>
        <w:t> 线检查和皮肤活检报告资料确诊。</w:t>
      </w:r>
      <w:r>
        <w:rPr>
          <w:spacing w:val="40"/>
        </w:rPr>
        <w:t> </w:t>
      </w:r>
      <w:r>
        <w:rPr>
          <w:spacing w:val="-2"/>
        </w:rPr>
        <w:t>我们承担本项疾病责任不受本合同条款“责任免除”中“遗传性疾病、先</w:t>
      </w:r>
      <w:r>
        <w:rPr>
          <w:spacing w:val="-2"/>
        </w:rPr>
        <w:t>天性畸形、变形或染色体异常”的限制。</w:t>
      </w:r>
    </w:p>
    <w:p>
      <w:pPr>
        <w:pStyle w:val="BodyText"/>
        <w:spacing w:before="10"/>
        <w:rPr>
          <w:sz w:val="15"/>
        </w:rPr>
      </w:pPr>
    </w:p>
    <w:p>
      <w:pPr>
        <w:spacing w:after="0"/>
        <w:rPr>
          <w:sz w:val="15"/>
        </w:rPr>
        <w:sectPr>
          <w:pgSz w:w="11910" w:h="16840"/>
          <w:pgMar w:header="877" w:footer="0" w:top="1100" w:bottom="280" w:left="1060" w:right="980"/>
        </w:sectPr>
      </w:pPr>
    </w:p>
    <w:p>
      <w:pPr>
        <w:pStyle w:val="ListParagraph"/>
        <w:numPr>
          <w:ilvl w:val="0"/>
          <w:numId w:val="64"/>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严重感染性心</w:t>
      </w:r>
      <w:r>
        <w:rPr>
          <w:rFonts w:ascii="微软雅黑" w:eastAsia="微软雅黑"/>
          <w:b/>
          <w:spacing w:val="-4"/>
          <w:sz w:val="21"/>
        </w:rPr>
        <w:t>内膜炎</w:t>
      </w:r>
    </w:p>
    <w:p>
      <w:pPr>
        <w:pStyle w:val="BodyText"/>
        <w:spacing w:line="242" w:lineRule="auto" w:before="72"/>
        <w:ind w:left="177" w:right="326"/>
        <w:jc w:val="both"/>
      </w:pPr>
      <w:r>
        <w:rPr/>
        <w:br w:type="column"/>
      </w:r>
      <w:r>
        <w:rPr>
          <w:spacing w:val="-2"/>
        </w:rPr>
        <w:t>指因细菌、真菌和其他微生物（如病毒、立克次体、衣原体、螺旋体等）</w:t>
      </w:r>
      <w:r>
        <w:rPr>
          <w:spacing w:val="-2"/>
        </w:rPr>
        <w:t>直接感染而产生心瓣膜或心室壁内膜的炎症，须经我们认可医院的心脏科</w:t>
      </w:r>
      <w:r>
        <w:rPr>
          <w:spacing w:val="-2"/>
        </w:rPr>
        <w:t>专科医生确诊，并符合以下所有条件：</w:t>
      </w:r>
    </w:p>
    <w:p>
      <w:pPr>
        <w:pStyle w:val="ListParagraph"/>
        <w:numPr>
          <w:ilvl w:val="0"/>
          <w:numId w:val="65"/>
        </w:numPr>
        <w:tabs>
          <w:tab w:pos="724" w:val="left" w:leader="none"/>
        </w:tabs>
        <w:spacing w:line="240" w:lineRule="auto" w:before="3" w:after="0"/>
        <w:ind w:left="723" w:right="0" w:hanging="530"/>
        <w:jc w:val="left"/>
        <w:rPr>
          <w:sz w:val="21"/>
        </w:rPr>
      </w:pPr>
      <w:r>
        <w:rPr>
          <w:spacing w:val="-3"/>
          <w:sz w:val="21"/>
        </w:rPr>
        <w:t>血液培养测试结果为阳性，并至少符合以下条件之一：</w:t>
      </w:r>
    </w:p>
    <w:p>
      <w:pPr>
        <w:pStyle w:val="BodyText"/>
        <w:spacing w:line="242" w:lineRule="auto" w:before="2"/>
        <w:ind w:left="703" w:right="326" w:hanging="212"/>
      </w:pPr>
      <w:r>
        <w:rPr>
          <w:spacing w:val="-9"/>
        </w:rPr>
        <w:t>①微生物：在赘生物，栓塞的赘生物或心脏内脓肿培养或组织检查证实</w:t>
      </w:r>
      <w:r>
        <w:rPr>
          <w:spacing w:val="-2"/>
        </w:rPr>
        <w:t>有微生物；</w:t>
      </w:r>
    </w:p>
    <w:p>
      <w:pPr>
        <w:pStyle w:val="BodyText"/>
        <w:spacing w:before="2"/>
        <w:ind w:left="492"/>
      </w:pPr>
      <w:r>
        <w:rPr>
          <w:spacing w:val="-3"/>
        </w:rPr>
        <w:t>②病理性病灶：组织检查证实赘生物或心脏内脓肿有活动性心内膜炎；</w:t>
      </w:r>
    </w:p>
    <w:p>
      <w:pPr>
        <w:pStyle w:val="BodyText"/>
        <w:spacing w:before="2"/>
        <w:ind w:left="492"/>
      </w:pPr>
      <w:r>
        <w:rPr>
          <w:spacing w:val="-3"/>
        </w:rPr>
        <w:t>③分别两次血液培养证实有典型的微生物且与心内膜炎符合；</w:t>
      </w:r>
    </w:p>
    <w:p>
      <w:pPr>
        <w:pStyle w:val="BodyText"/>
        <w:spacing w:before="5"/>
        <w:ind w:left="492"/>
      </w:pPr>
      <w:r>
        <w:rPr>
          <w:spacing w:val="-3"/>
        </w:rPr>
        <w:t>④持续血液培养证实有微生物阳性反应，且与心内膜炎符合。</w:t>
      </w:r>
    </w:p>
    <w:p>
      <w:pPr>
        <w:pStyle w:val="ListParagraph"/>
        <w:numPr>
          <w:ilvl w:val="0"/>
          <w:numId w:val="65"/>
        </w:numPr>
        <w:tabs>
          <w:tab w:pos="707" w:val="left" w:leader="none"/>
        </w:tabs>
        <w:spacing w:line="244" w:lineRule="auto" w:before="2" w:after="0"/>
        <w:ind w:left="703" w:right="333" w:hanging="526"/>
        <w:jc w:val="left"/>
        <w:rPr>
          <w:sz w:val="21"/>
        </w:rPr>
      </w:pPr>
      <w:r>
        <w:rPr>
          <w:spacing w:val="-2"/>
          <w:sz w:val="21"/>
        </w:rPr>
        <w:t>心内膜炎引起中度心瓣膜关闭不全（指返流指数20%或以上）或中度</w:t>
      </w:r>
      <w:r>
        <w:rPr>
          <w:spacing w:val="-2"/>
          <w:sz w:val="21"/>
        </w:rPr>
        <w:t>心瓣膜狭窄（指心瓣膜开口范围小于或等于正常的30%）。</w:t>
      </w:r>
    </w:p>
    <w:p>
      <w:pPr>
        <w:pStyle w:val="ListParagraph"/>
        <w:numPr>
          <w:ilvl w:val="0"/>
          <w:numId w:val="65"/>
        </w:numPr>
        <w:tabs>
          <w:tab w:pos="707" w:val="left" w:leader="none"/>
        </w:tabs>
        <w:spacing w:line="244" w:lineRule="auto" w:before="0" w:after="0"/>
        <w:ind w:left="703" w:right="436" w:hanging="526"/>
        <w:jc w:val="left"/>
        <w:rPr>
          <w:sz w:val="21"/>
        </w:rPr>
      </w:pPr>
      <w:r>
        <w:rPr>
          <w:spacing w:val="-2"/>
          <w:sz w:val="21"/>
        </w:rPr>
        <w:t>心内膜炎及心瓣膜损毁程度需经由我们认可医院的心脏科专科医生</w:t>
      </w:r>
      <w:r>
        <w:rPr>
          <w:spacing w:val="-4"/>
          <w:sz w:val="21"/>
        </w:rPr>
        <w:t>确诊。</w:t>
      </w:r>
    </w:p>
    <w:p>
      <w:pPr>
        <w:spacing w:line="170" w:lineRule="auto" w:before="5"/>
        <w:ind w:left="177" w:right="326" w:firstLine="0"/>
        <w:jc w:val="left"/>
        <w:rPr>
          <w:rFonts w:ascii="微软雅黑" w:eastAsia="微软雅黑"/>
          <w:b/>
          <w:sz w:val="21"/>
        </w:rPr>
      </w:pPr>
      <w:r>
        <w:rPr>
          <w:rFonts w:ascii="微软雅黑" w:eastAsia="微软雅黑"/>
          <w:b/>
          <w:spacing w:val="-2"/>
          <w:sz w:val="21"/>
        </w:rPr>
        <w:t>因先天性瓣膜疾病、先天性血管病或遗传疾病所伴发的感染，不在保障范</w:t>
      </w:r>
      <w:r>
        <w:rPr>
          <w:rFonts w:ascii="微软雅黑" w:eastAsia="微软雅黑"/>
          <w:b/>
          <w:spacing w:val="-4"/>
          <w:sz w:val="21"/>
        </w:rPr>
        <w:t>围内。</w:t>
      </w:r>
    </w:p>
    <w:p>
      <w:pPr>
        <w:spacing w:after="0" w:line="170" w:lineRule="auto"/>
        <w:jc w:val="left"/>
        <w:rPr>
          <w:rFonts w:asci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18"/>
        <w:rPr>
          <w:rFonts w:ascii="微软雅黑"/>
          <w:b/>
          <w:sz w:val="9"/>
        </w:rPr>
      </w:pPr>
    </w:p>
    <w:p>
      <w:pPr>
        <w:spacing w:after="0"/>
        <w:rPr>
          <w:rFonts w:ascii="微软雅黑"/>
          <w:sz w:val="9"/>
        </w:rPr>
        <w:sectPr>
          <w:type w:val="continuous"/>
          <w:pgSz w:w="11910" w:h="16840"/>
          <w:pgMar w:header="877" w:footer="0" w:top="1100" w:bottom="280" w:left="1060" w:right="980"/>
        </w:sectPr>
      </w:pPr>
    </w:p>
    <w:p>
      <w:pPr>
        <w:pStyle w:val="ListParagraph"/>
        <w:numPr>
          <w:ilvl w:val="0"/>
          <w:numId w:val="64"/>
        </w:numPr>
        <w:tabs>
          <w:tab w:pos="1210" w:val="left" w:leader="none"/>
          <w:tab w:pos="1211" w:val="left" w:leader="none"/>
        </w:tabs>
        <w:spacing w:line="168" w:lineRule="auto" w:before="87" w:after="0"/>
        <w:ind w:left="1210" w:right="0" w:hanging="958"/>
        <w:jc w:val="left"/>
        <w:rPr>
          <w:rFonts w:ascii="微软雅黑" w:hAnsi="微软雅黑" w:eastAsia="微软雅黑"/>
          <w:b/>
          <w:sz w:val="21"/>
        </w:rPr>
      </w:pPr>
      <w:r>
        <w:rPr>
          <w:rFonts w:ascii="微软雅黑" w:hAnsi="微软雅黑" w:eastAsia="微软雅黑"/>
          <w:b/>
          <w:spacing w:val="15"/>
          <w:sz w:val="21"/>
        </w:rPr>
        <w:t>严重Ⅲ度冻伤</w:t>
      </w:r>
      <w:r>
        <w:rPr>
          <w:rFonts w:ascii="微软雅黑" w:hAnsi="微软雅黑" w:eastAsia="微软雅黑"/>
          <w:b/>
          <w:spacing w:val="-4"/>
          <w:sz w:val="21"/>
        </w:rPr>
        <w:t>导致截肢</w:t>
      </w:r>
    </w:p>
    <w:p>
      <w:pPr>
        <w:pStyle w:val="BodyText"/>
        <w:spacing w:line="242" w:lineRule="auto" w:before="71"/>
        <w:ind w:left="154" w:right="326"/>
        <w:jc w:val="both"/>
      </w:pPr>
      <w:r>
        <w:rPr/>
        <w:br w:type="column"/>
      </w:r>
      <w:r>
        <w:rPr>
          <w:spacing w:val="-2"/>
        </w:rPr>
        <w:t>冻伤是由于寒冷潮湿作用引起的人体局部或全身损伤，并且冻伤程度达到 Ⅲ度，且导致一个或一个以上肢体自腕关节或踝关节近端（靠近躯干端）</w:t>
      </w:r>
      <w:r>
        <w:rPr>
          <w:spacing w:val="-2"/>
        </w:rPr>
        <w:t>以上完全性断离。</w:t>
      </w:r>
    </w:p>
    <w:p>
      <w:pPr>
        <w:spacing w:after="0" w:line="242" w:lineRule="auto"/>
        <w:jc w:val="both"/>
        <w:sectPr>
          <w:type w:val="continuous"/>
          <w:pgSz w:w="11910" w:h="16840"/>
          <w:pgMar w:header="877" w:footer="0" w:top="1100" w:bottom="280" w:left="1060" w:right="980"/>
          <w:cols w:num="2" w:equalWidth="0">
            <w:col w:w="2611" w:space="40"/>
            <w:col w:w="7219"/>
          </w:cols>
        </w:sectPr>
      </w:pPr>
    </w:p>
    <w:p>
      <w:pPr>
        <w:pStyle w:val="BodyText"/>
        <w:spacing w:before="11"/>
        <w:rPr>
          <w:sz w:val="15"/>
        </w:rPr>
      </w:pPr>
    </w:p>
    <w:p>
      <w:pPr>
        <w:spacing w:after="0"/>
        <w:rPr>
          <w:sz w:val="15"/>
        </w:rPr>
        <w:sectPr>
          <w:type w:val="continuous"/>
          <w:pgSz w:w="11910" w:h="16840"/>
          <w:pgMar w:header="877" w:footer="0" w:top="1100" w:bottom="280" w:left="1060" w:right="980"/>
        </w:sectPr>
      </w:pPr>
    </w:p>
    <w:p>
      <w:pPr>
        <w:pStyle w:val="ListParagraph"/>
        <w:numPr>
          <w:ilvl w:val="0"/>
          <w:numId w:val="64"/>
        </w:numPr>
        <w:tabs>
          <w:tab w:pos="1210" w:val="left" w:leader="none"/>
          <w:tab w:pos="1211" w:val="left" w:leader="none"/>
        </w:tabs>
        <w:spacing w:line="168" w:lineRule="auto" w:before="88" w:after="0"/>
        <w:ind w:left="1210" w:right="0" w:hanging="958"/>
        <w:jc w:val="both"/>
        <w:rPr>
          <w:rFonts w:ascii="微软雅黑" w:eastAsia="微软雅黑"/>
          <w:b/>
          <w:sz w:val="21"/>
        </w:rPr>
      </w:pPr>
      <w:r>
        <w:rPr>
          <w:rFonts w:ascii="微软雅黑" w:eastAsia="微软雅黑"/>
          <w:b/>
          <w:spacing w:val="15"/>
          <w:sz w:val="21"/>
        </w:rPr>
        <w:t>因器官移植导</w:t>
      </w:r>
      <w:r>
        <w:rPr>
          <w:rFonts w:ascii="微软雅黑" w:eastAsia="微软雅黑"/>
          <w:b/>
          <w:spacing w:val="15"/>
          <w:sz w:val="21"/>
        </w:rPr>
        <w:t>致的艾滋病病</w:t>
      </w:r>
      <w:r>
        <w:rPr>
          <w:rFonts w:ascii="微软雅黑" w:eastAsia="微软雅黑"/>
          <w:b/>
          <w:spacing w:val="15"/>
          <w:sz w:val="21"/>
        </w:rPr>
        <w:t>毒感染或患艾</w:t>
      </w:r>
      <w:r>
        <w:rPr>
          <w:rFonts w:ascii="微软雅黑" w:eastAsia="微软雅黑"/>
          <w:b/>
          <w:spacing w:val="-6"/>
          <w:sz w:val="21"/>
        </w:rPr>
        <w:t>滋病</w:t>
      </w:r>
    </w:p>
    <w:p>
      <w:pPr>
        <w:pStyle w:val="BodyText"/>
        <w:spacing w:line="242" w:lineRule="auto" w:before="72"/>
        <w:ind w:left="177" w:right="323"/>
      </w:pPr>
      <w:r>
        <w:rPr/>
        <w:br w:type="column"/>
      </w:r>
      <w:r>
        <w:rPr>
          <w:spacing w:val="-4"/>
        </w:rPr>
        <w:t>指因进行器官移植而感染上人类免疫缺陷病毒（HIV），且须满足下列全部</w:t>
      </w:r>
      <w:r>
        <w:rPr>
          <w:spacing w:val="-4"/>
        </w:rPr>
        <w:t>条件：</w:t>
      </w:r>
    </w:p>
    <w:p>
      <w:pPr>
        <w:pStyle w:val="ListParagraph"/>
        <w:numPr>
          <w:ilvl w:val="0"/>
          <w:numId w:val="66"/>
        </w:numPr>
        <w:tabs>
          <w:tab w:pos="707" w:val="left" w:leader="none"/>
        </w:tabs>
        <w:spacing w:line="242" w:lineRule="auto" w:before="2" w:after="0"/>
        <w:ind w:left="689" w:right="333" w:hanging="512"/>
        <w:jc w:val="left"/>
        <w:rPr>
          <w:sz w:val="21"/>
        </w:rPr>
      </w:pPr>
      <w:r>
        <w:rPr>
          <w:spacing w:val="-2"/>
          <w:sz w:val="21"/>
        </w:rPr>
        <w:t>在本合同生效日或复效日之后，被保险人因治疗必需而实施器官移</w:t>
      </w:r>
      <w:r>
        <w:rPr>
          <w:spacing w:val="-2"/>
          <w:sz w:val="21"/>
        </w:rPr>
        <w:t>植，并且因器官移植而感染人类免疫缺陷病毒（HIV）；</w:t>
      </w:r>
    </w:p>
    <w:p>
      <w:pPr>
        <w:pStyle w:val="ListParagraph"/>
        <w:numPr>
          <w:ilvl w:val="0"/>
          <w:numId w:val="66"/>
        </w:numPr>
        <w:tabs>
          <w:tab w:pos="707" w:val="left" w:leader="none"/>
        </w:tabs>
        <w:spacing w:line="242" w:lineRule="auto" w:before="1" w:after="0"/>
        <w:ind w:left="689" w:right="324" w:hanging="512"/>
        <w:jc w:val="both"/>
        <w:rPr>
          <w:sz w:val="21"/>
        </w:rPr>
      </w:pPr>
      <w:r>
        <w:rPr>
          <w:spacing w:val="-2"/>
          <w:sz w:val="21"/>
        </w:rPr>
        <w:t>提供器官移植治疗的器官移植中心或我们认可医院出具该项器官移</w:t>
      </w:r>
      <w:r>
        <w:rPr>
          <w:spacing w:val="-4"/>
          <w:sz w:val="21"/>
        </w:rPr>
        <w:t>植感染，属于医疗责任事故的报告，或者法院终审裁定为医疗责任并</w:t>
      </w:r>
      <w:r>
        <w:rPr>
          <w:spacing w:val="-2"/>
          <w:sz w:val="21"/>
        </w:rPr>
        <w:t>且不准上诉；</w:t>
      </w:r>
    </w:p>
    <w:p>
      <w:pPr>
        <w:pStyle w:val="ListParagraph"/>
        <w:numPr>
          <w:ilvl w:val="0"/>
          <w:numId w:val="66"/>
        </w:numPr>
        <w:tabs>
          <w:tab w:pos="707" w:val="left" w:leader="none"/>
        </w:tabs>
        <w:spacing w:line="175" w:lineRule="auto" w:before="57" w:after="0"/>
        <w:ind w:left="177" w:right="326" w:firstLine="0"/>
        <w:jc w:val="left"/>
        <w:rPr>
          <w:rFonts w:ascii="微软雅黑" w:eastAsia="微软雅黑"/>
          <w:b/>
          <w:sz w:val="21"/>
        </w:rPr>
      </w:pPr>
      <w:r>
        <w:rPr>
          <w:spacing w:val="-3"/>
          <w:w w:val="100"/>
          <w:sz w:val="21"/>
        </w:rPr>
        <w:t>提供器官移植治疗的器官移植中心或医院必须拥有合法经营执照。</w:t>
      </w:r>
      <w:r>
        <w:rPr>
          <w:rFonts w:ascii="微软雅黑" w:eastAsia="微软雅黑"/>
          <w:b/>
          <w:spacing w:val="2"/>
          <w:w w:val="100"/>
          <w:sz w:val="21"/>
        </w:rPr>
        <w:t>在任何治愈艾滋病或阻止人类免疫缺陷病毒</w:t>
      </w:r>
      <w:r>
        <w:rPr>
          <w:rFonts w:ascii="微软雅黑" w:eastAsia="微软雅黑"/>
          <w:b/>
          <w:spacing w:val="8"/>
          <w:w w:val="100"/>
          <w:sz w:val="21"/>
        </w:rPr>
        <w:t>（</w:t>
      </w:r>
      <w:r>
        <w:rPr>
          <w:rFonts w:ascii="微软雅黑" w:eastAsia="微软雅黑"/>
          <w:b/>
          <w:w w:val="80"/>
          <w:sz w:val="21"/>
        </w:rPr>
        <w:t>HI</w:t>
      </w:r>
      <w:r>
        <w:rPr>
          <w:rFonts w:ascii="微软雅黑" w:eastAsia="微软雅黑"/>
          <w:b/>
          <w:spacing w:val="3"/>
          <w:w w:val="80"/>
          <w:sz w:val="21"/>
        </w:rPr>
        <w:t>V</w:t>
      </w:r>
      <w:r>
        <w:rPr>
          <w:rFonts w:ascii="微软雅黑" w:eastAsia="微软雅黑"/>
          <w:b/>
          <w:spacing w:val="2"/>
          <w:w w:val="100"/>
          <w:sz w:val="21"/>
        </w:rPr>
        <w:t>）</w:t>
      </w:r>
      <w:r>
        <w:rPr>
          <w:rFonts w:ascii="微软雅黑" w:eastAsia="微软雅黑"/>
          <w:b/>
          <w:spacing w:val="1"/>
          <w:w w:val="100"/>
          <w:sz w:val="21"/>
        </w:rPr>
        <w:t>病毒作用的疗法被发</w:t>
      </w:r>
      <w:r>
        <w:rPr>
          <w:rFonts w:ascii="微软雅黑" w:eastAsia="微软雅黑"/>
          <w:b/>
          <w:spacing w:val="-5"/>
          <w:w w:val="100"/>
          <w:sz w:val="21"/>
        </w:rPr>
        <w:t>现以后，或能防止艾滋病发生的医疗方法被研究出来以后，本保障将不再</w:t>
      </w:r>
      <w:r>
        <w:rPr>
          <w:rFonts w:ascii="微软雅黑" w:eastAsia="微软雅黑"/>
          <w:b/>
          <w:w w:val="100"/>
          <w:sz w:val="21"/>
        </w:rPr>
        <w:t>予以赔付。</w:t>
      </w:r>
    </w:p>
    <w:p>
      <w:pPr>
        <w:spacing w:line="168" w:lineRule="auto" w:before="5"/>
        <w:ind w:left="177" w:right="324" w:firstLine="0"/>
        <w:jc w:val="left"/>
        <w:rPr>
          <w:rFonts w:ascii="微软雅黑" w:eastAsia="微软雅黑"/>
          <w:b/>
          <w:sz w:val="21"/>
        </w:rPr>
      </w:pPr>
      <w:r>
        <w:rPr>
          <w:rFonts w:ascii="微软雅黑" w:eastAsia="微软雅黑"/>
          <w:b/>
          <w:spacing w:val="-1"/>
          <w:w w:val="100"/>
          <w:sz w:val="21"/>
        </w:rPr>
        <w:t>任何因其他传播方式</w:t>
      </w:r>
      <w:r>
        <w:rPr>
          <w:rFonts w:ascii="微软雅黑" w:eastAsia="微软雅黑"/>
          <w:b/>
          <w:w w:val="100"/>
          <w:sz w:val="21"/>
        </w:rPr>
        <w:t>（</w:t>
      </w:r>
      <w:r>
        <w:rPr>
          <w:rFonts w:ascii="微软雅黑" w:eastAsia="微软雅黑"/>
          <w:b/>
          <w:spacing w:val="-3"/>
          <w:w w:val="100"/>
          <w:sz w:val="21"/>
        </w:rPr>
        <w:t>包括：性传播或静脉注射毒品</w:t>
      </w:r>
      <w:r>
        <w:rPr>
          <w:rFonts w:ascii="微软雅黑" w:eastAsia="微软雅黑"/>
          <w:b/>
          <w:spacing w:val="-5"/>
          <w:w w:val="100"/>
          <w:sz w:val="21"/>
        </w:rPr>
        <w:t>）</w:t>
      </w:r>
      <w:r>
        <w:rPr>
          <w:rFonts w:ascii="微软雅黑" w:eastAsia="微软雅黑"/>
          <w:b/>
          <w:w w:val="100"/>
          <w:sz w:val="21"/>
        </w:rPr>
        <w:t>导致的</w:t>
      </w:r>
      <w:r>
        <w:rPr>
          <w:rFonts w:ascii="微软雅黑" w:eastAsia="微软雅黑"/>
          <w:b/>
          <w:spacing w:val="-9"/>
          <w:sz w:val="21"/>
        </w:rPr>
        <w:t> </w:t>
      </w:r>
      <w:r>
        <w:rPr>
          <w:rFonts w:ascii="微软雅黑" w:eastAsia="微软雅黑"/>
          <w:b/>
          <w:w w:val="80"/>
          <w:sz w:val="21"/>
        </w:rPr>
        <w:t>HIV</w:t>
      </w:r>
      <w:r>
        <w:rPr>
          <w:rFonts w:ascii="微软雅黑" w:eastAsia="微软雅黑"/>
          <w:b/>
          <w:spacing w:val="-10"/>
          <w:sz w:val="21"/>
        </w:rPr>
        <w:t> </w:t>
      </w:r>
      <w:r>
        <w:rPr>
          <w:rFonts w:ascii="微软雅黑" w:eastAsia="微软雅黑"/>
          <w:b/>
          <w:spacing w:val="-5"/>
          <w:w w:val="100"/>
          <w:sz w:val="21"/>
        </w:rPr>
        <w:t>感染不</w:t>
      </w:r>
      <w:r>
        <w:rPr>
          <w:rFonts w:ascii="微软雅黑" w:eastAsia="微软雅黑"/>
          <w:b/>
          <w:w w:val="100"/>
          <w:sz w:val="21"/>
        </w:rPr>
        <w:t>在保障范围内。</w:t>
      </w:r>
    </w:p>
    <w:p>
      <w:pPr>
        <w:pStyle w:val="Heading2"/>
        <w:spacing w:line="266" w:lineRule="exact"/>
      </w:pPr>
      <w:r>
        <w:rPr>
          <w:spacing w:val="-1"/>
        </w:rPr>
        <w:t>我们承担本项疾病责任不受本合同“责任免除”中“被保险人感染艾</w:t>
      </w:r>
    </w:p>
    <w:p>
      <w:pPr>
        <w:spacing w:before="4"/>
        <w:ind w:left="177" w:right="0" w:firstLine="0"/>
        <w:jc w:val="left"/>
        <w:rPr>
          <w:sz w:val="22"/>
        </w:rPr>
      </w:pPr>
      <w:r>
        <w:rPr>
          <w:spacing w:val="-3"/>
          <w:sz w:val="22"/>
        </w:rPr>
        <w:t>滋病病毒或患艾滋病”的限制。</w:t>
      </w:r>
    </w:p>
    <w:p>
      <w:pPr>
        <w:spacing w:after="0"/>
        <w:jc w:val="left"/>
        <w:rPr>
          <w:sz w:val="22"/>
        </w:rPr>
        <w:sectPr>
          <w:type w:val="continuous"/>
          <w:pgSz w:w="11910" w:h="16840"/>
          <w:pgMar w:header="877" w:footer="0" w:top="1100" w:bottom="280" w:left="1060" w:right="980"/>
          <w:cols w:num="2" w:equalWidth="0">
            <w:col w:w="2588" w:space="40"/>
            <w:col w:w="7242"/>
          </w:cols>
        </w:sectPr>
      </w:pPr>
    </w:p>
    <w:p>
      <w:pPr>
        <w:pStyle w:val="BodyText"/>
        <w:spacing w:before="11"/>
        <w:rPr>
          <w:sz w:val="29"/>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6999"/>
      </w:tblGrid>
      <w:tr>
        <w:trPr>
          <w:trHeight w:val="242" w:hRule="atLeast"/>
        </w:trPr>
        <w:tc>
          <w:tcPr>
            <w:tcW w:w="634" w:type="dxa"/>
          </w:tcPr>
          <w:p>
            <w:pPr>
              <w:pStyle w:val="TableParagraph"/>
              <w:spacing w:line="222" w:lineRule="exact"/>
              <w:ind w:left="50"/>
              <w:rPr>
                <w:rFonts w:ascii="微软雅黑"/>
                <w:b/>
                <w:sz w:val="21"/>
              </w:rPr>
            </w:pPr>
            <w:r>
              <w:rPr>
                <w:rFonts w:ascii="微软雅黑"/>
                <w:b/>
                <w:spacing w:val="-5"/>
                <w:w w:val="90"/>
                <w:sz w:val="21"/>
              </w:rPr>
              <w:t>72</w:t>
            </w:r>
          </w:p>
        </w:tc>
        <w:tc>
          <w:tcPr>
            <w:tcW w:w="1858" w:type="dxa"/>
          </w:tcPr>
          <w:p>
            <w:pPr>
              <w:pStyle w:val="TableParagraph"/>
              <w:spacing w:line="222" w:lineRule="exact"/>
              <w:ind w:left="373"/>
              <w:rPr>
                <w:rFonts w:ascii="微软雅黑" w:eastAsia="微软雅黑"/>
                <w:b/>
                <w:sz w:val="21"/>
              </w:rPr>
            </w:pPr>
            <w:r>
              <w:rPr>
                <w:rFonts w:ascii="微软雅黑" w:eastAsia="微软雅黑"/>
                <w:b/>
                <w:spacing w:val="15"/>
                <w:sz w:val="21"/>
              </w:rPr>
              <w:t>肺淋巴管肌瘤</w:t>
            </w:r>
          </w:p>
        </w:tc>
        <w:tc>
          <w:tcPr>
            <w:tcW w:w="6999" w:type="dxa"/>
          </w:tcPr>
          <w:p>
            <w:pPr>
              <w:pStyle w:val="TableParagraph"/>
              <w:spacing w:line="222" w:lineRule="exact"/>
              <w:ind w:left="109"/>
              <w:rPr>
                <w:sz w:val="21"/>
              </w:rPr>
            </w:pPr>
            <w:r>
              <w:rPr>
                <w:spacing w:val="-8"/>
                <w:sz w:val="21"/>
              </w:rPr>
              <w:t>肺淋巴管肌瘤病是一种弥漫性肺部疾病，主要病理改变为肺间质、支气管、</w:t>
            </w:r>
          </w:p>
        </w:tc>
      </w:tr>
      <w:tr>
        <w:trPr>
          <w:trHeight w:val="269" w:hRule="atLeast"/>
        </w:trPr>
        <w:tc>
          <w:tcPr>
            <w:tcW w:w="634" w:type="dxa"/>
          </w:tcPr>
          <w:p>
            <w:pPr>
              <w:pStyle w:val="TableParagraph"/>
              <w:rPr>
                <w:rFonts w:ascii="Times New Roman"/>
                <w:sz w:val="18"/>
              </w:rPr>
            </w:pPr>
          </w:p>
        </w:tc>
        <w:tc>
          <w:tcPr>
            <w:tcW w:w="1858" w:type="dxa"/>
          </w:tcPr>
          <w:p>
            <w:pPr>
              <w:pStyle w:val="TableParagraph"/>
              <w:spacing w:line="249" w:lineRule="exact"/>
              <w:ind w:left="373"/>
              <w:rPr>
                <w:rFonts w:ascii="微软雅黑" w:eastAsia="微软雅黑"/>
                <w:b/>
                <w:sz w:val="21"/>
              </w:rPr>
            </w:pPr>
            <w:r>
              <w:rPr>
                <w:rFonts w:ascii="微软雅黑" w:eastAsia="微软雅黑"/>
                <w:b/>
                <w:w w:val="100"/>
                <w:sz w:val="21"/>
              </w:rPr>
              <w:t>病</w:t>
            </w:r>
          </w:p>
        </w:tc>
        <w:tc>
          <w:tcPr>
            <w:tcW w:w="6999" w:type="dxa"/>
          </w:tcPr>
          <w:p>
            <w:pPr>
              <w:pStyle w:val="TableParagraph"/>
              <w:spacing w:line="246" w:lineRule="exact" w:before="2"/>
              <w:ind w:left="109"/>
              <w:rPr>
                <w:sz w:val="21"/>
              </w:rPr>
            </w:pPr>
            <w:r>
              <w:rPr>
                <w:spacing w:val="-8"/>
                <w:sz w:val="21"/>
              </w:rPr>
              <w:t>血管和淋巴管内出现未成熟的平滑肌异常增生，同时须满足下列全部条件：</w:t>
            </w:r>
          </w:p>
        </w:tc>
      </w:tr>
      <w:tr>
        <w:trPr>
          <w:trHeight w:val="964"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numPr>
                <w:ilvl w:val="0"/>
                <w:numId w:val="67"/>
              </w:numPr>
              <w:tabs>
                <w:tab w:pos="639" w:val="left" w:leader="none"/>
              </w:tabs>
              <w:spacing w:line="240" w:lineRule="auto" w:before="5" w:after="0"/>
              <w:ind w:left="638" w:right="0" w:hanging="530"/>
              <w:jc w:val="left"/>
              <w:rPr>
                <w:sz w:val="21"/>
              </w:rPr>
            </w:pPr>
            <w:r>
              <w:rPr>
                <w:spacing w:val="-3"/>
                <w:sz w:val="21"/>
              </w:rPr>
              <w:t>经组织病理学诊断；</w:t>
            </w:r>
          </w:p>
          <w:p>
            <w:pPr>
              <w:pStyle w:val="TableParagraph"/>
              <w:numPr>
                <w:ilvl w:val="0"/>
                <w:numId w:val="67"/>
              </w:numPr>
              <w:tabs>
                <w:tab w:pos="639" w:val="left" w:leader="none"/>
              </w:tabs>
              <w:spacing w:line="240" w:lineRule="auto" w:before="4" w:after="0"/>
              <w:ind w:left="638" w:right="0" w:hanging="530"/>
              <w:jc w:val="left"/>
              <w:rPr>
                <w:sz w:val="21"/>
              </w:rPr>
            </w:pPr>
            <w:r>
              <w:rPr>
                <w:spacing w:val="-2"/>
                <w:sz w:val="21"/>
              </w:rPr>
              <w:t>CT</w:t>
            </w:r>
            <w:r>
              <w:rPr>
                <w:spacing w:val="-10"/>
                <w:sz w:val="21"/>
              </w:rPr>
              <w:t> 显示双肺弥漫性囊性改变；</w:t>
            </w:r>
          </w:p>
          <w:p>
            <w:pPr>
              <w:pStyle w:val="TableParagraph"/>
              <w:numPr>
                <w:ilvl w:val="0"/>
                <w:numId w:val="67"/>
              </w:numPr>
              <w:tabs>
                <w:tab w:pos="639" w:val="left" w:leader="none"/>
              </w:tabs>
              <w:spacing w:line="240" w:lineRule="auto" w:before="2" w:after="0"/>
              <w:ind w:left="638" w:right="0" w:hanging="530"/>
              <w:jc w:val="left"/>
              <w:rPr>
                <w:sz w:val="21"/>
              </w:rPr>
            </w:pPr>
            <w:r>
              <w:rPr>
                <w:spacing w:val="-2"/>
                <w:position w:val="1"/>
                <w:sz w:val="21"/>
              </w:rPr>
              <w:t>血气提示低氧血症，动脉血氧分压（PaO</w:t>
            </w:r>
            <w:r>
              <w:rPr>
                <w:spacing w:val="-2"/>
                <w:sz w:val="11"/>
              </w:rPr>
              <w:t>2</w:t>
            </w:r>
            <w:r>
              <w:rPr>
                <w:spacing w:val="-2"/>
                <w:position w:val="1"/>
                <w:sz w:val="21"/>
              </w:rPr>
              <w:t>）持续&lt;50mmHg</w:t>
            </w:r>
            <w:r>
              <w:rPr>
                <w:spacing w:val="-10"/>
                <w:position w:val="1"/>
                <w:sz w:val="21"/>
              </w:rPr>
              <w:t>。</w:t>
            </w:r>
          </w:p>
        </w:tc>
      </w:tr>
      <w:tr>
        <w:trPr>
          <w:trHeight w:val="401" w:hRule="atLeast"/>
        </w:trPr>
        <w:tc>
          <w:tcPr>
            <w:tcW w:w="634" w:type="dxa"/>
          </w:tcPr>
          <w:p>
            <w:pPr>
              <w:pStyle w:val="TableParagraph"/>
              <w:spacing w:line="318" w:lineRule="exact" w:before="63"/>
              <w:ind w:left="50"/>
              <w:rPr>
                <w:rFonts w:ascii="微软雅黑"/>
                <w:b/>
                <w:sz w:val="21"/>
              </w:rPr>
            </w:pPr>
            <w:r>
              <w:rPr>
                <w:rFonts w:ascii="微软雅黑"/>
                <w:b/>
                <w:spacing w:val="-5"/>
                <w:w w:val="90"/>
                <w:sz w:val="21"/>
              </w:rPr>
              <w:t>73</w:t>
            </w:r>
          </w:p>
        </w:tc>
        <w:tc>
          <w:tcPr>
            <w:tcW w:w="1858" w:type="dxa"/>
          </w:tcPr>
          <w:p>
            <w:pPr>
              <w:pStyle w:val="TableParagraph"/>
              <w:spacing w:line="318" w:lineRule="exact" w:before="63"/>
              <w:ind w:left="373"/>
              <w:rPr>
                <w:rFonts w:ascii="微软雅黑" w:eastAsia="微软雅黑"/>
                <w:b/>
                <w:sz w:val="21"/>
              </w:rPr>
            </w:pPr>
            <w:r>
              <w:rPr>
                <w:rFonts w:ascii="微软雅黑" w:eastAsia="微软雅黑"/>
                <w:b/>
                <w:spacing w:val="15"/>
                <w:sz w:val="21"/>
              </w:rPr>
              <w:t>原发性骨髓纤</w:t>
            </w:r>
          </w:p>
        </w:tc>
        <w:tc>
          <w:tcPr>
            <w:tcW w:w="6999" w:type="dxa"/>
          </w:tcPr>
          <w:p>
            <w:pPr>
              <w:pStyle w:val="TableParagraph"/>
              <w:spacing w:line="251" w:lineRule="exact" w:before="130"/>
              <w:ind w:left="109"/>
              <w:rPr>
                <w:sz w:val="21"/>
              </w:rPr>
            </w:pPr>
            <w:r>
              <w:rPr>
                <w:spacing w:val="-3"/>
                <w:sz w:val="21"/>
              </w:rPr>
              <w:t>原发性骨髓纤维化为原因不明的骨髓中成纤维细胞增殖，伴有髓外造血，</w:t>
            </w:r>
          </w:p>
        </w:tc>
      </w:tr>
      <w:tr>
        <w:trPr>
          <w:trHeight w:val="272" w:hRule="atLeast"/>
        </w:trPr>
        <w:tc>
          <w:tcPr>
            <w:tcW w:w="634" w:type="dxa"/>
          </w:tcPr>
          <w:p>
            <w:pPr>
              <w:pStyle w:val="TableParagraph"/>
              <w:rPr>
                <w:rFonts w:ascii="Times New Roman"/>
                <w:sz w:val="20"/>
              </w:rPr>
            </w:pPr>
          </w:p>
        </w:tc>
        <w:tc>
          <w:tcPr>
            <w:tcW w:w="1858" w:type="dxa"/>
          </w:tcPr>
          <w:p>
            <w:pPr>
              <w:pStyle w:val="TableParagraph"/>
              <w:spacing w:line="252" w:lineRule="exact"/>
              <w:ind w:left="373"/>
              <w:rPr>
                <w:rFonts w:ascii="微软雅黑" w:eastAsia="微软雅黑"/>
                <w:b/>
                <w:sz w:val="21"/>
              </w:rPr>
            </w:pPr>
            <w:r>
              <w:rPr>
                <w:rFonts w:ascii="微软雅黑" w:eastAsia="微软雅黑"/>
                <w:b/>
                <w:spacing w:val="-5"/>
                <w:sz w:val="21"/>
              </w:rPr>
              <w:t>维化</w:t>
            </w:r>
          </w:p>
        </w:tc>
        <w:tc>
          <w:tcPr>
            <w:tcW w:w="6999" w:type="dxa"/>
          </w:tcPr>
          <w:p>
            <w:pPr>
              <w:pStyle w:val="TableParagraph"/>
              <w:spacing w:line="250" w:lineRule="exact" w:before="2"/>
              <w:ind w:left="109"/>
              <w:rPr>
                <w:sz w:val="21"/>
              </w:rPr>
            </w:pPr>
            <w:r>
              <w:rPr>
                <w:spacing w:val="-3"/>
                <w:sz w:val="21"/>
              </w:rPr>
              <w:t>表现为进行性贫血、脾肿大等症状。本疾病须根据骨髓的活组织检查和周</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1" w:lineRule="exact" w:before="1"/>
              <w:ind w:left="109"/>
              <w:rPr>
                <w:sz w:val="21"/>
              </w:rPr>
            </w:pPr>
            <w:r>
              <w:rPr>
                <w:spacing w:val="-3"/>
                <w:sz w:val="21"/>
              </w:rPr>
              <w:t>围血象检查由我们认可医院的血液科专科医生明确诊断，并至少符合下列</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0" w:lineRule="exact" w:before="2"/>
              <w:ind w:left="109"/>
              <w:rPr>
                <w:sz w:val="21"/>
              </w:rPr>
            </w:pPr>
            <w:r>
              <w:rPr>
                <w:spacing w:val="-4"/>
                <w:sz w:val="21"/>
              </w:rPr>
              <w:t>条件中的三项，且符合条件的状态持续 </w:t>
            </w:r>
            <w:r>
              <w:rPr>
                <w:spacing w:val="-2"/>
                <w:sz w:val="21"/>
              </w:rPr>
              <w:t>180</w:t>
            </w:r>
            <w:r>
              <w:rPr>
                <w:spacing w:val="-9"/>
                <w:sz w:val="21"/>
              </w:rPr>
              <w:t> 天及以上，并已经实际实施了</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1" w:lineRule="exact" w:before="1"/>
              <w:ind w:left="109"/>
              <w:rPr>
                <w:sz w:val="21"/>
              </w:rPr>
            </w:pPr>
            <w:r>
              <w:rPr>
                <w:spacing w:val="-4"/>
                <w:sz w:val="21"/>
              </w:rPr>
              <w:t>针对此症的治疗：</w:t>
            </w:r>
          </w:p>
        </w:tc>
      </w:tr>
      <w:tr>
        <w:trPr>
          <w:trHeight w:val="545"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65" w:lineRule="exact" w:before="2"/>
              <w:ind w:left="109"/>
              <w:rPr>
                <w:sz w:val="21"/>
              </w:rPr>
            </w:pPr>
            <w:r>
              <w:rPr>
                <w:spacing w:val="-2"/>
                <w:sz w:val="21"/>
              </w:rPr>
              <w:t>（1）血红蛋白&lt;100g/L；</w:t>
            </w:r>
          </w:p>
          <w:p>
            <w:pPr>
              <w:pStyle w:val="TableParagraph"/>
              <w:spacing w:line="257" w:lineRule="exact"/>
              <w:ind w:left="109"/>
              <w:rPr>
                <w:sz w:val="21"/>
              </w:rPr>
            </w:pPr>
            <w:r>
              <w:rPr>
                <w:spacing w:val="-2"/>
                <w:sz w:val="21"/>
              </w:rPr>
              <w:t>（2）白细胞计数&gt;25×10</w:t>
            </w:r>
            <w:r>
              <w:rPr>
                <w:spacing w:val="-2"/>
                <w:position w:val="11"/>
                <w:sz w:val="11"/>
              </w:rPr>
              <w:t>9</w:t>
            </w:r>
            <w:r>
              <w:rPr>
                <w:spacing w:val="-2"/>
                <w:sz w:val="21"/>
              </w:rPr>
              <w:t>/L；</w:t>
            </w:r>
          </w:p>
        </w:tc>
      </w:tr>
      <w:tr>
        <w:trPr>
          <w:trHeight w:val="544"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65" w:lineRule="exact" w:before="2"/>
              <w:ind w:left="109"/>
              <w:rPr>
                <w:sz w:val="21"/>
              </w:rPr>
            </w:pPr>
            <w:r>
              <w:rPr>
                <w:spacing w:val="-2"/>
                <w:sz w:val="21"/>
              </w:rPr>
              <w:t>（3）外周血原始细胞</w:t>
            </w:r>
            <w:r>
              <w:rPr>
                <w:spacing w:val="-4"/>
                <w:sz w:val="21"/>
              </w:rPr>
              <w:t>≥1%；</w:t>
            </w:r>
          </w:p>
          <w:p>
            <w:pPr>
              <w:pStyle w:val="TableParagraph"/>
              <w:spacing w:line="257" w:lineRule="exact"/>
              <w:ind w:left="109"/>
              <w:rPr>
                <w:sz w:val="21"/>
              </w:rPr>
            </w:pPr>
            <w:r>
              <w:rPr>
                <w:spacing w:val="-2"/>
                <w:sz w:val="21"/>
              </w:rPr>
              <w:t>（4）血小板计数&lt;100×10</w:t>
            </w:r>
            <w:r>
              <w:rPr>
                <w:spacing w:val="-2"/>
                <w:position w:val="11"/>
                <w:sz w:val="11"/>
              </w:rPr>
              <w:t>9</w:t>
            </w:r>
            <w:r>
              <w:rPr>
                <w:spacing w:val="-2"/>
                <w:sz w:val="21"/>
              </w:rPr>
              <w:t>/L</w:t>
            </w:r>
            <w:r>
              <w:rPr>
                <w:spacing w:val="-10"/>
                <w:sz w:val="21"/>
              </w:rPr>
              <w:t>。</w:t>
            </w:r>
          </w:p>
        </w:tc>
      </w:tr>
      <w:tr>
        <w:trPr>
          <w:trHeight w:val="409"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323" w:lineRule="exact"/>
              <w:ind w:left="109"/>
              <w:rPr>
                <w:rFonts w:ascii="微软雅黑" w:eastAsia="微软雅黑"/>
                <w:b/>
                <w:sz w:val="21"/>
              </w:rPr>
            </w:pPr>
            <w:r>
              <w:rPr>
                <w:rFonts w:ascii="微软雅黑" w:eastAsia="微软雅黑"/>
                <w:b/>
                <w:spacing w:val="-3"/>
                <w:sz w:val="21"/>
              </w:rPr>
              <w:t>任何其他病因导致的继发性骨髓纤维化不在保障范围内。</w:t>
            </w:r>
          </w:p>
        </w:tc>
      </w:tr>
      <w:tr>
        <w:trPr>
          <w:trHeight w:val="408" w:hRule="atLeast"/>
        </w:trPr>
        <w:tc>
          <w:tcPr>
            <w:tcW w:w="634" w:type="dxa"/>
          </w:tcPr>
          <w:p>
            <w:pPr>
              <w:pStyle w:val="TableParagraph"/>
              <w:spacing w:line="317" w:lineRule="exact" w:before="71"/>
              <w:ind w:left="50"/>
              <w:rPr>
                <w:rFonts w:ascii="微软雅黑"/>
                <w:b/>
                <w:sz w:val="21"/>
              </w:rPr>
            </w:pPr>
            <w:r>
              <w:rPr>
                <w:rFonts w:ascii="微软雅黑"/>
                <w:b/>
                <w:spacing w:val="-5"/>
                <w:w w:val="90"/>
                <w:sz w:val="21"/>
              </w:rPr>
              <w:t>74</w:t>
            </w:r>
          </w:p>
        </w:tc>
        <w:tc>
          <w:tcPr>
            <w:tcW w:w="1858" w:type="dxa"/>
          </w:tcPr>
          <w:p>
            <w:pPr>
              <w:pStyle w:val="TableParagraph"/>
              <w:spacing w:line="317" w:lineRule="exact" w:before="71"/>
              <w:ind w:left="373"/>
              <w:rPr>
                <w:rFonts w:ascii="微软雅黑" w:eastAsia="微软雅黑"/>
                <w:b/>
                <w:sz w:val="21"/>
              </w:rPr>
            </w:pPr>
            <w:r>
              <w:rPr>
                <w:rFonts w:ascii="微软雅黑" w:eastAsia="微软雅黑"/>
                <w:b/>
                <w:spacing w:val="-2"/>
                <w:sz w:val="21"/>
              </w:rPr>
              <w:t>神经白塞病</w:t>
            </w:r>
          </w:p>
        </w:tc>
        <w:tc>
          <w:tcPr>
            <w:tcW w:w="6999" w:type="dxa"/>
          </w:tcPr>
          <w:p>
            <w:pPr>
              <w:pStyle w:val="TableParagraph"/>
              <w:spacing w:line="250" w:lineRule="exact" w:before="138"/>
              <w:ind w:left="109"/>
              <w:rPr>
                <w:sz w:val="21"/>
              </w:rPr>
            </w:pPr>
            <w:r>
              <w:rPr>
                <w:spacing w:val="-3"/>
                <w:sz w:val="21"/>
              </w:rPr>
              <w:t>白塞病是一种慢性全身性血管炎症性疾病，主要表现为复发性口腔溃疡、</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1" w:lineRule="exact" w:before="1"/>
              <w:ind w:left="109"/>
              <w:rPr>
                <w:sz w:val="21"/>
              </w:rPr>
            </w:pPr>
            <w:r>
              <w:rPr>
                <w:spacing w:val="-7"/>
                <w:sz w:val="21"/>
              </w:rPr>
              <w:t>生殖器溃疡、眼炎及皮肤损害，并可累及大血管、神经系统、消化道、肺、</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0" w:lineRule="exact" w:before="2"/>
              <w:ind w:left="109"/>
              <w:rPr>
                <w:sz w:val="21"/>
              </w:rPr>
            </w:pPr>
            <w:r>
              <w:rPr>
                <w:spacing w:val="-3"/>
                <w:sz w:val="21"/>
              </w:rPr>
              <w:t>肾等。累及神经系统损害的白塞病称为神经白塞病。神经白塞病必须明确</w:t>
            </w:r>
          </w:p>
        </w:tc>
      </w:tr>
      <w:tr>
        <w:trPr>
          <w:trHeight w:val="271"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0" w:lineRule="exact" w:before="1"/>
              <w:ind w:left="109"/>
              <w:rPr>
                <w:sz w:val="21"/>
              </w:rPr>
            </w:pPr>
            <w:r>
              <w:rPr>
                <w:spacing w:val="-3"/>
                <w:sz w:val="21"/>
              </w:rPr>
              <w:t>诊断，并且已经造成永久不可逆的神经系统功能损害。永久不可逆的神经</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1" w:lineRule="exact" w:before="1"/>
              <w:ind w:left="109"/>
              <w:rPr>
                <w:sz w:val="21"/>
              </w:rPr>
            </w:pPr>
            <w:r>
              <w:rPr>
                <w:spacing w:val="3"/>
                <w:sz w:val="21"/>
              </w:rPr>
              <w:t>系统损害指被保险人持续 </w:t>
            </w:r>
            <w:r>
              <w:rPr>
                <w:sz w:val="21"/>
              </w:rPr>
              <w:t>180</w:t>
            </w:r>
            <w:r>
              <w:rPr>
                <w:spacing w:val="-1"/>
                <w:sz w:val="21"/>
              </w:rPr>
              <w:t> 天无法独立完成下列基本日常生活活动之</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0" w:lineRule="exact" w:before="2"/>
              <w:ind w:left="109"/>
              <w:rPr>
                <w:sz w:val="21"/>
              </w:rPr>
            </w:pPr>
            <w:r>
              <w:rPr>
                <w:spacing w:val="-5"/>
                <w:sz w:val="21"/>
              </w:rPr>
              <w:t>一：</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1" w:lineRule="exact" w:before="1"/>
              <w:ind w:left="109"/>
              <w:rPr>
                <w:sz w:val="21"/>
              </w:rPr>
            </w:pPr>
            <w:r>
              <w:rPr>
                <w:spacing w:val="-2"/>
                <w:sz w:val="21"/>
              </w:rPr>
              <w:t>（1）</w:t>
            </w:r>
            <w:r>
              <w:rPr>
                <w:spacing w:val="-3"/>
                <w:sz w:val="21"/>
              </w:rPr>
              <w:t>移动：自己从一个房间到另一个房间；</w:t>
            </w:r>
          </w:p>
        </w:tc>
      </w:tr>
      <w:tr>
        <w:trPr>
          <w:trHeight w:val="409"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before="3"/>
              <w:ind w:left="109"/>
              <w:rPr>
                <w:sz w:val="21"/>
              </w:rPr>
            </w:pPr>
            <w:r>
              <w:rPr>
                <w:spacing w:val="-2"/>
                <w:sz w:val="21"/>
              </w:rPr>
              <w:t>（2）</w:t>
            </w:r>
            <w:r>
              <w:rPr>
                <w:spacing w:val="-3"/>
                <w:sz w:val="21"/>
              </w:rPr>
              <w:t>进食：自己从已准备好的碗或碟中取食物放入口中。</w:t>
            </w:r>
          </w:p>
        </w:tc>
      </w:tr>
      <w:tr>
        <w:trPr>
          <w:trHeight w:val="407" w:hRule="atLeast"/>
        </w:trPr>
        <w:tc>
          <w:tcPr>
            <w:tcW w:w="634" w:type="dxa"/>
          </w:tcPr>
          <w:p>
            <w:pPr>
              <w:pStyle w:val="TableParagraph"/>
              <w:spacing w:line="317" w:lineRule="exact" w:before="71"/>
              <w:ind w:left="50"/>
              <w:rPr>
                <w:rFonts w:ascii="微软雅黑"/>
                <w:b/>
                <w:sz w:val="21"/>
              </w:rPr>
            </w:pPr>
            <w:r>
              <w:rPr>
                <w:rFonts w:ascii="微软雅黑"/>
                <w:b/>
                <w:spacing w:val="-5"/>
                <w:w w:val="90"/>
                <w:sz w:val="21"/>
              </w:rPr>
              <w:t>75</w:t>
            </w:r>
          </w:p>
        </w:tc>
        <w:tc>
          <w:tcPr>
            <w:tcW w:w="1858" w:type="dxa"/>
          </w:tcPr>
          <w:p>
            <w:pPr>
              <w:pStyle w:val="TableParagraph"/>
              <w:spacing w:line="317" w:lineRule="exact" w:before="71"/>
              <w:ind w:left="373"/>
              <w:rPr>
                <w:rFonts w:ascii="微软雅黑" w:eastAsia="微软雅黑"/>
                <w:b/>
                <w:sz w:val="21"/>
              </w:rPr>
            </w:pPr>
            <w:r>
              <w:rPr>
                <w:rFonts w:ascii="微软雅黑" w:eastAsia="微软雅黑"/>
                <w:b/>
                <w:spacing w:val="15"/>
                <w:sz w:val="21"/>
              </w:rPr>
              <w:t>埃博拉病毒感</w:t>
            </w:r>
          </w:p>
        </w:tc>
        <w:tc>
          <w:tcPr>
            <w:tcW w:w="6999" w:type="dxa"/>
          </w:tcPr>
          <w:p>
            <w:pPr>
              <w:pStyle w:val="TableParagraph"/>
              <w:spacing w:line="250" w:lineRule="exact" w:before="138"/>
              <w:ind w:left="109"/>
              <w:rPr>
                <w:sz w:val="21"/>
              </w:rPr>
            </w:pPr>
            <w:r>
              <w:rPr>
                <w:spacing w:val="-3"/>
                <w:sz w:val="21"/>
              </w:rPr>
              <w:t>指埃博拉病毒感染导致的烈性传染病，并须满足下列全部条件：</w:t>
            </w:r>
          </w:p>
        </w:tc>
      </w:tr>
      <w:tr>
        <w:trPr>
          <w:trHeight w:val="241" w:hRule="atLeast"/>
        </w:trPr>
        <w:tc>
          <w:tcPr>
            <w:tcW w:w="634" w:type="dxa"/>
          </w:tcPr>
          <w:p>
            <w:pPr>
              <w:pStyle w:val="TableParagraph"/>
              <w:rPr>
                <w:rFonts w:ascii="Times New Roman"/>
                <w:sz w:val="16"/>
              </w:rPr>
            </w:pPr>
          </w:p>
        </w:tc>
        <w:tc>
          <w:tcPr>
            <w:tcW w:w="1858" w:type="dxa"/>
          </w:tcPr>
          <w:p>
            <w:pPr>
              <w:pStyle w:val="TableParagraph"/>
              <w:spacing w:line="221" w:lineRule="exact"/>
              <w:ind w:left="373"/>
              <w:rPr>
                <w:rFonts w:ascii="微软雅黑" w:eastAsia="微软雅黑"/>
                <w:b/>
                <w:sz w:val="21"/>
              </w:rPr>
            </w:pPr>
            <w:r>
              <w:rPr>
                <w:rFonts w:ascii="微软雅黑" w:eastAsia="微软雅黑"/>
                <w:b/>
                <w:w w:val="100"/>
                <w:sz w:val="21"/>
              </w:rPr>
              <w:t>染</w:t>
            </w:r>
          </w:p>
        </w:tc>
        <w:tc>
          <w:tcPr>
            <w:tcW w:w="6999" w:type="dxa"/>
          </w:tcPr>
          <w:p>
            <w:pPr>
              <w:pStyle w:val="TableParagraph"/>
              <w:spacing w:line="220" w:lineRule="exact" w:before="1"/>
              <w:ind w:left="109"/>
              <w:rPr>
                <w:sz w:val="21"/>
              </w:rPr>
            </w:pPr>
            <w:r>
              <w:rPr>
                <w:spacing w:val="-2"/>
                <w:sz w:val="21"/>
              </w:rPr>
              <w:t>（1）</w:t>
            </w:r>
            <w:r>
              <w:rPr>
                <w:spacing w:val="-8"/>
                <w:sz w:val="21"/>
              </w:rPr>
              <w:t>有实验室检查证据证实存在埃博拉病毒感染，经国家认可的有合法资</w:t>
            </w:r>
          </w:p>
        </w:tc>
      </w:tr>
      <w:tr>
        <w:trPr>
          <w:trHeight w:val="273"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20" w:lineRule="exact" w:before="34"/>
              <w:ind w:left="620"/>
              <w:rPr>
                <w:sz w:val="21"/>
              </w:rPr>
            </w:pPr>
            <w:r>
              <w:rPr>
                <w:spacing w:val="-3"/>
                <w:sz w:val="21"/>
              </w:rPr>
              <w:t>质的传染病专家确诊并上报国家疾病控制中心接受了隔离和治疗；</w:t>
            </w:r>
          </w:p>
        </w:tc>
      </w:tr>
      <w:tr>
        <w:trPr>
          <w:trHeight w:val="30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1" w:lineRule="exact" w:before="31"/>
              <w:ind w:left="109"/>
              <w:rPr>
                <w:sz w:val="21"/>
              </w:rPr>
            </w:pPr>
            <w:r>
              <w:rPr>
                <w:spacing w:val="-2"/>
                <w:sz w:val="21"/>
              </w:rPr>
              <w:t>（2）</w:t>
            </w:r>
            <w:r>
              <w:rPr>
                <w:spacing w:val="-3"/>
                <w:sz w:val="21"/>
              </w:rPr>
              <w:t>存在广泛出血的临床表现；</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0" w:lineRule="exact" w:before="2"/>
              <w:ind w:left="109"/>
              <w:rPr>
                <w:sz w:val="21"/>
              </w:rPr>
            </w:pPr>
            <w:r>
              <w:rPr>
                <w:spacing w:val="-2"/>
                <w:sz w:val="21"/>
              </w:rPr>
              <w:t>（3）</w:t>
            </w:r>
            <w:r>
              <w:rPr>
                <w:spacing w:val="-8"/>
                <w:sz w:val="21"/>
              </w:rPr>
              <w:t>从发病开始有超过 </w:t>
            </w:r>
            <w:r>
              <w:rPr>
                <w:spacing w:val="-2"/>
                <w:sz w:val="21"/>
              </w:rPr>
              <w:t>30</w:t>
            </w:r>
            <w:r>
              <w:rPr>
                <w:spacing w:val="-10"/>
                <w:sz w:val="21"/>
              </w:rPr>
              <w:t> 天的进行性感染症状。</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2" w:lineRule="exact"/>
              <w:ind w:left="109"/>
              <w:rPr>
                <w:rFonts w:ascii="微软雅黑" w:eastAsia="微软雅黑"/>
                <w:b/>
                <w:sz w:val="21"/>
              </w:rPr>
            </w:pPr>
            <w:r>
              <w:rPr>
                <w:rFonts w:ascii="微软雅黑" w:eastAsia="微软雅黑"/>
                <w:b/>
                <w:spacing w:val="-1"/>
                <w:sz w:val="21"/>
              </w:rPr>
              <w:t>单纯实验室诊断但没有临床出血表现的或者在确诊之前已经死亡的不在</w:t>
            </w:r>
          </w:p>
        </w:tc>
      </w:tr>
      <w:tr>
        <w:trPr>
          <w:trHeight w:val="409"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323" w:lineRule="exact"/>
              <w:ind w:left="109"/>
              <w:rPr>
                <w:rFonts w:ascii="微软雅黑" w:eastAsia="微软雅黑"/>
                <w:b/>
                <w:sz w:val="21"/>
              </w:rPr>
            </w:pPr>
            <w:r>
              <w:rPr>
                <w:rFonts w:ascii="微软雅黑" w:eastAsia="微软雅黑"/>
                <w:b/>
                <w:spacing w:val="-2"/>
                <w:sz w:val="21"/>
              </w:rPr>
              <w:t>保障范围内。</w:t>
            </w:r>
          </w:p>
        </w:tc>
      </w:tr>
      <w:tr>
        <w:trPr>
          <w:trHeight w:val="407" w:hRule="atLeast"/>
        </w:trPr>
        <w:tc>
          <w:tcPr>
            <w:tcW w:w="634" w:type="dxa"/>
          </w:tcPr>
          <w:p>
            <w:pPr>
              <w:pStyle w:val="TableParagraph"/>
              <w:spacing w:line="317" w:lineRule="exact" w:before="71"/>
              <w:ind w:left="50"/>
              <w:rPr>
                <w:rFonts w:ascii="微软雅黑"/>
                <w:b/>
                <w:sz w:val="21"/>
              </w:rPr>
            </w:pPr>
            <w:r>
              <w:rPr>
                <w:rFonts w:ascii="微软雅黑"/>
                <w:b/>
                <w:spacing w:val="-5"/>
                <w:w w:val="90"/>
                <w:sz w:val="21"/>
              </w:rPr>
              <w:t>76</w:t>
            </w:r>
          </w:p>
        </w:tc>
        <w:tc>
          <w:tcPr>
            <w:tcW w:w="1858" w:type="dxa"/>
          </w:tcPr>
          <w:p>
            <w:pPr>
              <w:pStyle w:val="TableParagraph"/>
              <w:spacing w:line="317" w:lineRule="exact" w:before="71"/>
              <w:ind w:left="373"/>
              <w:rPr>
                <w:rFonts w:ascii="微软雅黑" w:eastAsia="微软雅黑"/>
                <w:b/>
                <w:sz w:val="21"/>
              </w:rPr>
            </w:pPr>
            <w:r>
              <w:rPr>
                <w:rFonts w:ascii="微软雅黑" w:eastAsia="微软雅黑"/>
                <w:b/>
                <w:spacing w:val="-2"/>
                <w:sz w:val="21"/>
              </w:rPr>
              <w:t>席汉氏综合征</w:t>
            </w:r>
          </w:p>
        </w:tc>
        <w:tc>
          <w:tcPr>
            <w:tcW w:w="6999" w:type="dxa"/>
          </w:tcPr>
          <w:p>
            <w:pPr>
              <w:pStyle w:val="TableParagraph"/>
              <w:spacing w:line="250" w:lineRule="exact" w:before="138"/>
              <w:ind w:left="109"/>
              <w:rPr>
                <w:sz w:val="21"/>
              </w:rPr>
            </w:pPr>
            <w:r>
              <w:rPr>
                <w:spacing w:val="-3"/>
                <w:sz w:val="21"/>
              </w:rPr>
              <w:t>指因产后大出血并发休克、全身循环衰竭、弥漫性血管内凝血导致脑垂体</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1" w:lineRule="exact" w:before="1"/>
              <w:ind w:left="109"/>
              <w:rPr>
                <w:sz w:val="21"/>
              </w:rPr>
            </w:pPr>
            <w:r>
              <w:rPr>
                <w:spacing w:val="-7"/>
                <w:sz w:val="21"/>
              </w:rPr>
              <w:t>缺血坏死和垂体分泌激素不足，造成性腺、甲状腺、肾上腺皮质功能减退。</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0" w:lineRule="exact" w:before="2"/>
              <w:ind w:left="109"/>
              <w:rPr>
                <w:sz w:val="21"/>
              </w:rPr>
            </w:pPr>
            <w:r>
              <w:rPr>
                <w:spacing w:val="-3"/>
                <w:sz w:val="21"/>
              </w:rPr>
              <w:t>必须满足下列所有条件：</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1" w:lineRule="exact" w:before="1"/>
              <w:ind w:left="109"/>
              <w:rPr>
                <w:sz w:val="21"/>
              </w:rPr>
            </w:pPr>
            <w:r>
              <w:rPr>
                <w:spacing w:val="-2"/>
                <w:sz w:val="21"/>
              </w:rPr>
              <w:t>（1）</w:t>
            </w:r>
            <w:r>
              <w:rPr>
                <w:spacing w:val="-3"/>
                <w:sz w:val="21"/>
              </w:rPr>
              <w:t>产后大出血休克病史；</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0" w:lineRule="exact" w:before="2"/>
              <w:ind w:left="109"/>
              <w:rPr>
                <w:sz w:val="21"/>
              </w:rPr>
            </w:pPr>
            <w:r>
              <w:rPr>
                <w:spacing w:val="-2"/>
                <w:sz w:val="21"/>
              </w:rPr>
              <w:t>（2）严重腺垂体功能破坏，破坏程度&gt;95%；</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1" w:lineRule="exact" w:before="1"/>
              <w:ind w:left="109"/>
              <w:rPr>
                <w:sz w:val="21"/>
              </w:rPr>
            </w:pPr>
            <w:r>
              <w:rPr>
                <w:spacing w:val="-2"/>
                <w:sz w:val="21"/>
              </w:rPr>
              <w:t>（3）</w:t>
            </w:r>
            <w:r>
              <w:rPr>
                <w:spacing w:val="-3"/>
                <w:sz w:val="21"/>
              </w:rPr>
              <w:t>影像学检查显示脑垂体严重萎缩或消失；</w:t>
            </w:r>
          </w:p>
        </w:tc>
      </w:tr>
      <w:tr>
        <w:trPr>
          <w:trHeight w:val="242" w:hRule="atLeast"/>
        </w:trPr>
        <w:tc>
          <w:tcPr>
            <w:tcW w:w="634" w:type="dxa"/>
          </w:tcPr>
          <w:p>
            <w:pPr>
              <w:pStyle w:val="TableParagraph"/>
              <w:rPr>
                <w:rFonts w:ascii="Times New Roman"/>
                <w:sz w:val="16"/>
              </w:rPr>
            </w:pPr>
          </w:p>
        </w:tc>
        <w:tc>
          <w:tcPr>
            <w:tcW w:w="1858" w:type="dxa"/>
          </w:tcPr>
          <w:p>
            <w:pPr>
              <w:pStyle w:val="TableParagraph"/>
              <w:rPr>
                <w:rFonts w:ascii="Times New Roman"/>
                <w:sz w:val="16"/>
              </w:rPr>
            </w:pPr>
          </w:p>
        </w:tc>
        <w:tc>
          <w:tcPr>
            <w:tcW w:w="6999" w:type="dxa"/>
          </w:tcPr>
          <w:p>
            <w:pPr>
              <w:pStyle w:val="TableParagraph"/>
              <w:spacing w:line="220" w:lineRule="exact" w:before="2"/>
              <w:ind w:left="109"/>
              <w:rPr>
                <w:sz w:val="21"/>
              </w:rPr>
            </w:pPr>
            <w:r>
              <w:rPr>
                <w:spacing w:val="-2"/>
                <w:sz w:val="21"/>
              </w:rPr>
              <w:t>（4）</w:t>
            </w:r>
            <w:r>
              <w:rPr>
                <w:spacing w:val="-4"/>
                <w:sz w:val="21"/>
              </w:rPr>
              <w:t>实验室检查显示：</w:t>
            </w:r>
          </w:p>
        </w:tc>
      </w:tr>
      <w:tr>
        <w:trPr>
          <w:trHeight w:val="271"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20" w:lineRule="exact" w:before="31"/>
              <w:ind w:left="568"/>
              <w:rPr>
                <w:sz w:val="21"/>
              </w:rPr>
            </w:pPr>
            <w:r>
              <w:rPr>
                <w:spacing w:val="-4"/>
                <w:sz w:val="21"/>
              </w:rPr>
              <w:t>①垂体前叶激素全面低下（</w:t>
            </w:r>
            <w:r>
              <w:rPr>
                <w:spacing w:val="-5"/>
                <w:sz w:val="21"/>
              </w:rPr>
              <w:t>包括生长激素、促甲状腺素、促肾上腺皮</w:t>
            </w:r>
          </w:p>
        </w:tc>
      </w:tr>
    </w:tbl>
    <w:p>
      <w:pPr>
        <w:pStyle w:val="BodyText"/>
        <w:spacing w:before="45"/>
        <w:ind w:left="3472"/>
      </w:pPr>
      <w:r>
        <w:rPr>
          <w:spacing w:val="-2"/>
        </w:rPr>
        <w:t>质激素、卵泡刺激素和黄体生成素</w:t>
      </w:r>
      <w:r>
        <w:rPr>
          <w:spacing w:val="-5"/>
        </w:rPr>
        <w:t>）；</w:t>
      </w:r>
    </w:p>
    <w:p>
      <w:pPr>
        <w:pStyle w:val="BodyText"/>
        <w:spacing w:before="5"/>
        <w:ind w:left="3263"/>
      </w:pPr>
      <w:r>
        <w:rPr>
          <w:spacing w:val="-3"/>
        </w:rPr>
        <w:t>②性激素、甲状腺素、肾上腺皮质激素全面低下。</w:t>
      </w:r>
    </w:p>
    <w:p>
      <w:pPr>
        <w:pStyle w:val="BodyText"/>
        <w:spacing w:line="244" w:lineRule="auto" w:before="2"/>
        <w:ind w:left="3287" w:right="324" w:hanging="483"/>
      </w:pPr>
      <w:r>
        <w:rPr>
          <w:spacing w:val="-2"/>
        </w:rPr>
        <w:t>（5）</w:t>
      </w:r>
      <w:r>
        <w:rPr>
          <w:spacing w:val="-5"/>
        </w:rPr>
        <w:t>需要终身激素替代治疗以维持身体功能，持续服用各种替代激素超过</w:t>
      </w:r>
      <w:r>
        <w:rPr>
          <w:spacing w:val="-4"/>
        </w:rPr>
        <w:t>一年。</w:t>
      </w:r>
    </w:p>
    <w:p>
      <w:pPr>
        <w:spacing w:line="316" w:lineRule="exact" w:before="0"/>
        <w:ind w:left="2805" w:right="0" w:firstLine="0"/>
        <w:jc w:val="left"/>
        <w:rPr>
          <w:rFonts w:ascii="微软雅黑" w:eastAsia="微软雅黑"/>
          <w:b/>
          <w:sz w:val="21"/>
        </w:rPr>
      </w:pPr>
      <w:r>
        <w:rPr>
          <w:rFonts w:ascii="微软雅黑" w:eastAsia="微软雅黑"/>
          <w:b/>
          <w:spacing w:val="-3"/>
          <w:sz w:val="21"/>
        </w:rPr>
        <w:t>垂体功能部分低下及其他原因所致垂体功能低下不在保障范围内。</w:t>
      </w:r>
    </w:p>
    <w:p>
      <w:pPr>
        <w:pStyle w:val="BodyText"/>
        <w:spacing w:before="6"/>
        <w:rPr>
          <w:rFonts w:ascii="微软雅黑"/>
          <w:b/>
          <w:sz w:val="8"/>
        </w:rPr>
      </w:pPr>
    </w:p>
    <w:p>
      <w:pPr>
        <w:spacing w:after="0"/>
        <w:rPr>
          <w:rFonts w:ascii="微软雅黑"/>
          <w:sz w:val="8"/>
        </w:rPr>
        <w:sectPr>
          <w:pgSz w:w="11910" w:h="16840"/>
          <w:pgMar w:header="877" w:footer="0" w:top="1100" w:bottom="280" w:left="1060" w:right="980"/>
        </w:sectPr>
      </w:pPr>
    </w:p>
    <w:p>
      <w:pPr>
        <w:pStyle w:val="ListParagraph"/>
        <w:numPr>
          <w:ilvl w:val="0"/>
          <w:numId w:val="68"/>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严重结核性脊</w:t>
      </w:r>
      <w:r>
        <w:rPr>
          <w:rFonts w:ascii="微软雅黑" w:eastAsia="微软雅黑"/>
          <w:b/>
          <w:spacing w:val="-6"/>
          <w:sz w:val="21"/>
        </w:rPr>
        <w:t>髓炎</w:t>
      </w:r>
    </w:p>
    <w:p>
      <w:pPr>
        <w:pStyle w:val="BodyText"/>
        <w:spacing w:line="242" w:lineRule="auto" w:before="71"/>
        <w:ind w:left="177" w:right="324"/>
        <w:jc w:val="both"/>
      </w:pPr>
      <w:r>
        <w:rPr/>
        <w:br w:type="column"/>
      </w:r>
      <w:r>
        <w:rPr>
          <w:spacing w:val="-2"/>
        </w:rPr>
        <w:t>指因结核杆菌引起的脊髓炎，导致永久不可逆的神经系统功能障碍。疾病</w:t>
      </w:r>
      <w:r>
        <w:rPr>
          <w:spacing w:val="-7"/>
        </w:rPr>
        <w:t>初次确诊 </w:t>
      </w:r>
      <w:r>
        <w:rPr>
          <w:spacing w:val="-2"/>
        </w:rPr>
        <w:t>180</w:t>
      </w:r>
      <w:r>
        <w:rPr>
          <w:spacing w:val="-7"/>
        </w:rPr>
        <w:t> 天后仍遗留下列障碍：自主生活能力完全丧失，无法独立完</w:t>
      </w:r>
      <w:r>
        <w:rPr>
          <w:spacing w:val="-2"/>
        </w:rPr>
        <w:t>成六项基本日常生活活动中的四项或四项以上。</w:t>
      </w:r>
    </w:p>
    <w:p>
      <w:pPr>
        <w:pStyle w:val="BodyText"/>
        <w:spacing w:before="4"/>
        <w:ind w:left="177"/>
      </w:pPr>
      <w:r>
        <w:rPr>
          <w:spacing w:val="-3"/>
        </w:rPr>
        <w:t>该诊断必须由我们认可医院的神经科专科医生证实，并必须经医学检查证</w:t>
      </w:r>
    </w:p>
    <w:p>
      <w:pPr>
        <w:spacing w:after="0"/>
        <w:sectPr>
          <w:type w:val="continuous"/>
          <w:pgSz w:w="11910" w:h="16840"/>
          <w:pgMar w:header="877" w:footer="0" w:top="1100" w:bottom="280" w:left="1060" w:right="980"/>
          <w:cols w:num="2" w:equalWidth="0">
            <w:col w:w="2588" w:space="40"/>
            <w:col w:w="7242"/>
          </w:cols>
        </w:sectPr>
      </w:pPr>
    </w:p>
    <w:p>
      <w:pPr>
        <w:pStyle w:val="BodyText"/>
        <w:spacing w:before="83"/>
        <w:ind w:left="2805"/>
      </w:pPr>
      <w:r>
        <w:rPr>
          <w:spacing w:val="-3"/>
        </w:rPr>
        <w:t>明为结核性脊髓炎。</w:t>
      </w:r>
    </w:p>
    <w:p>
      <w:pPr>
        <w:pStyle w:val="BodyText"/>
        <w:spacing w:before="12"/>
        <w:rPr>
          <w:sz w:val="15"/>
        </w:rPr>
      </w:pPr>
    </w:p>
    <w:p>
      <w:pPr>
        <w:spacing w:after="0"/>
        <w:rPr>
          <w:sz w:val="15"/>
        </w:rPr>
        <w:sectPr>
          <w:pgSz w:w="11910" w:h="16840"/>
          <w:pgMar w:header="877" w:footer="0" w:top="1100" w:bottom="280" w:left="1060" w:right="980"/>
        </w:sectPr>
      </w:pPr>
    </w:p>
    <w:p>
      <w:pPr>
        <w:pStyle w:val="ListParagraph"/>
        <w:numPr>
          <w:ilvl w:val="0"/>
          <w:numId w:val="68"/>
        </w:numPr>
        <w:tabs>
          <w:tab w:pos="1210" w:val="left" w:leader="none"/>
          <w:tab w:pos="1211" w:val="left" w:leader="none"/>
        </w:tabs>
        <w:spacing w:line="168" w:lineRule="auto" w:before="87" w:after="0"/>
        <w:ind w:left="1210" w:right="0" w:hanging="958"/>
        <w:jc w:val="left"/>
        <w:rPr>
          <w:rFonts w:ascii="微软雅黑" w:eastAsia="微软雅黑"/>
          <w:b/>
          <w:sz w:val="21"/>
        </w:rPr>
      </w:pPr>
      <w:r>
        <w:rPr>
          <w:rFonts w:ascii="微软雅黑" w:eastAsia="微软雅黑"/>
          <w:b/>
          <w:spacing w:val="15"/>
          <w:sz w:val="21"/>
        </w:rPr>
        <w:t>严重慢性缩窄</w:t>
      </w:r>
      <w:r>
        <w:rPr>
          <w:rFonts w:ascii="微软雅黑" w:eastAsia="微软雅黑"/>
          <w:b/>
          <w:spacing w:val="-4"/>
          <w:sz w:val="21"/>
        </w:rPr>
        <w:t>型心包炎</w:t>
      </w:r>
    </w:p>
    <w:p>
      <w:pPr>
        <w:pStyle w:val="BodyText"/>
        <w:spacing w:line="242" w:lineRule="auto" w:before="71"/>
        <w:ind w:left="177" w:right="220"/>
        <w:jc w:val="both"/>
      </w:pPr>
      <w:r>
        <w:rPr/>
        <w:br w:type="column"/>
      </w:r>
      <w:r>
        <w:rPr>
          <w:spacing w:val="-2"/>
        </w:rPr>
        <w:t>由于慢性心包炎症导致心包脏层和壁层广泛瘢痕粘连、增厚和钙化，心包</w:t>
      </w:r>
      <w:r>
        <w:rPr>
          <w:spacing w:val="-2"/>
        </w:rPr>
        <w:t>腔闭塞，形成一个纤维瘢痕外壳，使心脏和大血管根部受压，阻碍心脏的</w:t>
      </w:r>
      <w:r>
        <w:rPr>
          <w:spacing w:val="-13"/>
        </w:rPr>
        <w:t>舒张。被保险人被明确诊断为慢性缩窄型心包炎且必须满足以下所有条件：</w:t>
      </w:r>
    </w:p>
    <w:p>
      <w:pPr>
        <w:pStyle w:val="ListParagraph"/>
        <w:numPr>
          <w:ilvl w:val="0"/>
          <w:numId w:val="69"/>
        </w:numPr>
        <w:tabs>
          <w:tab w:pos="707" w:val="left" w:leader="none"/>
        </w:tabs>
        <w:spacing w:line="244" w:lineRule="auto" w:before="1" w:after="0"/>
        <w:ind w:left="689" w:right="327" w:hanging="512"/>
        <w:jc w:val="left"/>
        <w:rPr>
          <w:sz w:val="21"/>
        </w:rPr>
      </w:pPr>
      <w:r>
        <w:rPr>
          <w:spacing w:val="-2"/>
          <w:sz w:val="21"/>
        </w:rPr>
        <w:t>心功能衰竭达到美国纽约心脏病学会心功能状态分级Ⅳ级，并持续 </w:t>
      </w:r>
      <w:r>
        <w:rPr>
          <w:sz w:val="21"/>
        </w:rPr>
        <w:t>180</w:t>
      </w:r>
      <w:r>
        <w:rPr>
          <w:spacing w:val="-10"/>
          <w:sz w:val="21"/>
        </w:rPr>
        <w:t> 天以上；</w:t>
      </w:r>
    </w:p>
    <w:p>
      <w:pPr>
        <w:pStyle w:val="ListParagraph"/>
        <w:numPr>
          <w:ilvl w:val="0"/>
          <w:numId w:val="69"/>
        </w:numPr>
        <w:tabs>
          <w:tab w:pos="707" w:val="left" w:leader="none"/>
        </w:tabs>
        <w:spacing w:line="265" w:lineRule="exact" w:before="0" w:after="0"/>
        <w:ind w:left="706" w:right="0" w:hanging="530"/>
        <w:jc w:val="left"/>
        <w:rPr>
          <w:sz w:val="21"/>
        </w:rPr>
      </w:pPr>
      <w:r>
        <w:rPr>
          <w:spacing w:val="-7"/>
          <w:sz w:val="21"/>
        </w:rPr>
        <w:t>实际接受了以下任何一种手术路径的心包剥脱或心包切除手术；手术</w:t>
      </w:r>
    </w:p>
    <w:p>
      <w:pPr>
        <w:spacing w:after="0" w:line="265" w:lineRule="exact"/>
        <w:jc w:val="left"/>
        <w:rPr>
          <w:sz w:val="21"/>
        </w:rPr>
        <w:sectPr>
          <w:type w:val="continuous"/>
          <w:pgSz w:w="11910" w:h="16840"/>
          <w:pgMar w:header="877" w:footer="0" w:top="1100" w:bottom="280" w:left="1060" w:right="980"/>
          <w:cols w:num="2" w:equalWidth="0">
            <w:col w:w="2588" w:space="40"/>
            <w:col w:w="7242"/>
          </w:cols>
        </w:sectPr>
      </w:pPr>
    </w:p>
    <w:p>
      <w:pPr>
        <w:pStyle w:val="BodyText"/>
        <w:spacing w:before="7"/>
        <w:rPr>
          <w:sz w:val="2"/>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6894"/>
      </w:tblGrid>
      <w:tr>
        <w:trPr>
          <w:trHeight w:val="271"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41" w:lineRule="exact"/>
              <w:ind w:left="620"/>
              <w:rPr>
                <w:sz w:val="21"/>
              </w:rPr>
            </w:pPr>
            <w:r>
              <w:rPr>
                <w:spacing w:val="-3"/>
                <w:sz w:val="21"/>
              </w:rPr>
              <w:t>路径：胸骨正中切口、双侧前胸切口、左前胸肋间切口。</w:t>
            </w:r>
          </w:p>
        </w:tc>
      </w:tr>
      <w:tr>
        <w:trPr>
          <w:trHeight w:val="377"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91" w:lineRule="exact"/>
              <w:ind w:left="109"/>
              <w:rPr>
                <w:rFonts w:ascii="微软雅黑" w:eastAsia="微软雅黑"/>
                <w:b/>
                <w:sz w:val="21"/>
              </w:rPr>
            </w:pPr>
            <w:r>
              <w:rPr>
                <w:rFonts w:ascii="微软雅黑" w:eastAsia="微软雅黑"/>
                <w:b/>
                <w:spacing w:val="-3"/>
                <w:sz w:val="21"/>
              </w:rPr>
              <w:t>经胸腔镜、胸壁打孔进行的手术、心包粘连松解手术不在保障范围内。</w:t>
            </w:r>
          </w:p>
        </w:tc>
      </w:tr>
      <w:tr>
        <w:trPr>
          <w:trHeight w:val="409" w:hRule="atLeast"/>
        </w:trPr>
        <w:tc>
          <w:tcPr>
            <w:tcW w:w="634" w:type="dxa"/>
          </w:tcPr>
          <w:p>
            <w:pPr>
              <w:pStyle w:val="TableParagraph"/>
              <w:spacing w:line="318" w:lineRule="exact" w:before="71"/>
              <w:ind w:left="50"/>
              <w:rPr>
                <w:rFonts w:ascii="微软雅黑"/>
                <w:b/>
                <w:sz w:val="21"/>
              </w:rPr>
            </w:pPr>
            <w:r>
              <w:rPr>
                <w:rFonts w:ascii="微软雅黑"/>
                <w:b/>
                <w:spacing w:val="-5"/>
                <w:w w:val="90"/>
                <w:sz w:val="21"/>
              </w:rPr>
              <w:t>79</w:t>
            </w:r>
          </w:p>
        </w:tc>
        <w:tc>
          <w:tcPr>
            <w:tcW w:w="1858" w:type="dxa"/>
          </w:tcPr>
          <w:p>
            <w:pPr>
              <w:pStyle w:val="TableParagraph"/>
              <w:spacing w:line="318" w:lineRule="exact" w:before="71"/>
              <w:ind w:left="373"/>
              <w:rPr>
                <w:rFonts w:ascii="微软雅黑" w:eastAsia="微软雅黑"/>
                <w:b/>
                <w:sz w:val="21"/>
              </w:rPr>
            </w:pPr>
            <w:r>
              <w:rPr>
                <w:rFonts w:ascii="微软雅黑" w:eastAsia="微软雅黑"/>
                <w:b/>
                <w:spacing w:val="15"/>
                <w:sz w:val="21"/>
              </w:rPr>
              <w:t>艾森门格综合</w:t>
            </w:r>
          </w:p>
        </w:tc>
        <w:tc>
          <w:tcPr>
            <w:tcW w:w="6894" w:type="dxa"/>
          </w:tcPr>
          <w:p>
            <w:pPr>
              <w:pStyle w:val="TableParagraph"/>
              <w:spacing w:line="251" w:lineRule="exact" w:before="138"/>
              <w:ind w:left="109"/>
              <w:rPr>
                <w:sz w:val="21"/>
              </w:rPr>
            </w:pPr>
            <w:r>
              <w:rPr>
                <w:spacing w:val="-3"/>
                <w:sz w:val="21"/>
              </w:rPr>
              <w:t>因心脏病导致的严重肺动脉高压及右向左分流。诊断必须由我们认可医院</w:t>
            </w:r>
          </w:p>
        </w:tc>
      </w:tr>
      <w:tr>
        <w:trPr>
          <w:trHeight w:val="272" w:hRule="atLeast"/>
        </w:trPr>
        <w:tc>
          <w:tcPr>
            <w:tcW w:w="634" w:type="dxa"/>
          </w:tcPr>
          <w:p>
            <w:pPr>
              <w:pStyle w:val="TableParagraph"/>
              <w:rPr>
                <w:rFonts w:ascii="Times New Roman"/>
                <w:sz w:val="20"/>
              </w:rPr>
            </w:pPr>
          </w:p>
        </w:tc>
        <w:tc>
          <w:tcPr>
            <w:tcW w:w="1858" w:type="dxa"/>
          </w:tcPr>
          <w:p>
            <w:pPr>
              <w:pStyle w:val="TableParagraph"/>
              <w:spacing w:line="253" w:lineRule="exact"/>
              <w:ind w:left="373"/>
              <w:rPr>
                <w:rFonts w:ascii="微软雅黑" w:eastAsia="微软雅黑"/>
                <w:b/>
                <w:sz w:val="21"/>
              </w:rPr>
            </w:pPr>
            <w:r>
              <w:rPr>
                <w:rFonts w:ascii="微软雅黑" w:eastAsia="微软雅黑"/>
                <w:b/>
                <w:w w:val="100"/>
                <w:sz w:val="21"/>
              </w:rPr>
              <w:t>征</w:t>
            </w:r>
          </w:p>
        </w:tc>
        <w:tc>
          <w:tcPr>
            <w:tcW w:w="6894" w:type="dxa"/>
          </w:tcPr>
          <w:p>
            <w:pPr>
              <w:pStyle w:val="TableParagraph"/>
              <w:spacing w:line="250" w:lineRule="exact" w:before="2"/>
              <w:ind w:left="109"/>
              <w:rPr>
                <w:sz w:val="21"/>
              </w:rPr>
            </w:pPr>
            <w:r>
              <w:rPr>
                <w:spacing w:val="-1"/>
                <w:sz w:val="21"/>
              </w:rPr>
              <w:t>的心脏科专科医生经超声心动图和心导管检查证实及需符合以下所有标</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51" w:lineRule="exact" w:before="2"/>
              <w:ind w:left="109"/>
              <w:rPr>
                <w:sz w:val="21"/>
              </w:rPr>
            </w:pPr>
            <w:r>
              <w:rPr>
                <w:spacing w:val="-5"/>
                <w:sz w:val="21"/>
              </w:rPr>
              <w:t>准：</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50" w:lineRule="exact" w:before="2"/>
              <w:ind w:left="109"/>
              <w:rPr>
                <w:sz w:val="21"/>
              </w:rPr>
            </w:pPr>
            <w:r>
              <w:rPr>
                <w:spacing w:val="-2"/>
                <w:sz w:val="21"/>
              </w:rPr>
              <w:t>（1）</w:t>
            </w:r>
            <w:r>
              <w:rPr>
                <w:spacing w:val="-7"/>
                <w:sz w:val="21"/>
              </w:rPr>
              <w:t>平均肺动脉压高于 </w:t>
            </w:r>
            <w:r>
              <w:rPr>
                <w:spacing w:val="-2"/>
                <w:sz w:val="21"/>
              </w:rPr>
              <w:t>40mmHg；</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51" w:lineRule="exact" w:before="1"/>
              <w:ind w:left="109"/>
              <w:rPr>
                <w:sz w:val="21"/>
              </w:rPr>
            </w:pPr>
            <w:r>
              <w:rPr>
                <w:spacing w:val="-2"/>
                <w:sz w:val="21"/>
              </w:rPr>
              <w:t>（2）</w:t>
            </w:r>
            <w:r>
              <w:rPr>
                <w:spacing w:val="-8"/>
                <w:sz w:val="21"/>
              </w:rPr>
              <w:t>肺血管阻力高于 </w:t>
            </w:r>
            <w:r>
              <w:rPr>
                <w:spacing w:val="-2"/>
                <w:sz w:val="21"/>
              </w:rPr>
              <w:t>3mm/L/min（Wood</w:t>
            </w:r>
            <w:r>
              <w:rPr>
                <w:spacing w:val="-15"/>
                <w:sz w:val="21"/>
              </w:rPr>
              <w:t> 单位</w:t>
            </w:r>
            <w:r>
              <w:rPr>
                <w:spacing w:val="-5"/>
                <w:sz w:val="21"/>
              </w:rPr>
              <w:t>）；</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50" w:lineRule="exact" w:before="2"/>
              <w:ind w:left="109"/>
              <w:rPr>
                <w:sz w:val="21"/>
              </w:rPr>
            </w:pPr>
            <w:r>
              <w:rPr>
                <w:spacing w:val="-2"/>
                <w:sz w:val="21"/>
              </w:rPr>
              <w:t>（3）</w:t>
            </w:r>
            <w:r>
              <w:rPr>
                <w:spacing w:val="-6"/>
                <w:sz w:val="21"/>
              </w:rPr>
              <w:t>正常肺微血管楔压低于 </w:t>
            </w:r>
            <w:r>
              <w:rPr>
                <w:spacing w:val="-2"/>
                <w:sz w:val="21"/>
              </w:rPr>
              <w:t>15mmHg</w:t>
            </w:r>
            <w:r>
              <w:rPr>
                <w:spacing w:val="-10"/>
                <w:sz w:val="21"/>
              </w:rPr>
              <w:t>。</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51" w:lineRule="exact" w:before="1"/>
              <w:ind w:left="109"/>
              <w:rPr>
                <w:sz w:val="21"/>
              </w:rPr>
            </w:pPr>
            <w:r>
              <w:rPr>
                <w:spacing w:val="-3"/>
                <w:sz w:val="21"/>
              </w:rPr>
              <w:t>我们承担本项疾病责任不受本合同“责任免除”中“遗传性疾病、先天性</w:t>
            </w:r>
          </w:p>
        </w:tc>
      </w:tr>
      <w:tr>
        <w:trPr>
          <w:trHeight w:val="409"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before="2"/>
              <w:ind w:left="109"/>
              <w:rPr>
                <w:sz w:val="21"/>
              </w:rPr>
            </w:pPr>
            <w:r>
              <w:rPr>
                <w:spacing w:val="-3"/>
                <w:sz w:val="21"/>
              </w:rPr>
              <w:t>畸形、变形或染色体异常”的限制。</w:t>
            </w:r>
          </w:p>
        </w:tc>
      </w:tr>
      <w:tr>
        <w:trPr>
          <w:trHeight w:val="408" w:hRule="atLeast"/>
        </w:trPr>
        <w:tc>
          <w:tcPr>
            <w:tcW w:w="634" w:type="dxa"/>
          </w:tcPr>
          <w:p>
            <w:pPr>
              <w:pStyle w:val="TableParagraph"/>
              <w:spacing w:line="317" w:lineRule="exact" w:before="71"/>
              <w:ind w:left="50"/>
              <w:rPr>
                <w:rFonts w:ascii="微软雅黑"/>
                <w:b/>
                <w:sz w:val="21"/>
              </w:rPr>
            </w:pPr>
            <w:r>
              <w:rPr>
                <w:rFonts w:ascii="微软雅黑"/>
                <w:b/>
                <w:spacing w:val="-5"/>
                <w:w w:val="90"/>
                <w:sz w:val="21"/>
              </w:rPr>
              <w:t>80</w:t>
            </w:r>
          </w:p>
        </w:tc>
        <w:tc>
          <w:tcPr>
            <w:tcW w:w="1858" w:type="dxa"/>
          </w:tcPr>
          <w:p>
            <w:pPr>
              <w:pStyle w:val="TableParagraph"/>
              <w:spacing w:line="317" w:lineRule="exact" w:before="71"/>
              <w:ind w:left="373"/>
              <w:rPr>
                <w:rFonts w:ascii="微软雅黑" w:eastAsia="微软雅黑"/>
                <w:b/>
                <w:sz w:val="21"/>
              </w:rPr>
            </w:pPr>
            <w:r>
              <w:rPr>
                <w:rFonts w:ascii="微软雅黑" w:eastAsia="微软雅黑"/>
                <w:b/>
                <w:spacing w:val="15"/>
                <w:sz w:val="21"/>
              </w:rPr>
              <w:t>败血症导致的</w:t>
            </w:r>
          </w:p>
        </w:tc>
        <w:tc>
          <w:tcPr>
            <w:tcW w:w="6894" w:type="dxa"/>
          </w:tcPr>
          <w:p>
            <w:pPr>
              <w:pStyle w:val="TableParagraph"/>
              <w:spacing w:line="250" w:lineRule="exact" w:before="138"/>
              <w:ind w:left="109"/>
              <w:rPr>
                <w:sz w:val="21"/>
              </w:rPr>
            </w:pPr>
            <w:r>
              <w:rPr>
                <w:spacing w:val="-3"/>
                <w:sz w:val="21"/>
              </w:rPr>
              <w:t>多器官功能障碍指败血症导致的并发症，一个或多个器官系统生理功能障</w:t>
            </w:r>
          </w:p>
        </w:tc>
      </w:tr>
      <w:tr>
        <w:trPr>
          <w:trHeight w:val="271" w:hRule="atLeast"/>
        </w:trPr>
        <w:tc>
          <w:tcPr>
            <w:tcW w:w="634" w:type="dxa"/>
          </w:tcPr>
          <w:p>
            <w:pPr>
              <w:pStyle w:val="TableParagraph"/>
              <w:rPr>
                <w:rFonts w:ascii="Times New Roman"/>
                <w:sz w:val="20"/>
              </w:rPr>
            </w:pPr>
          </w:p>
        </w:tc>
        <w:tc>
          <w:tcPr>
            <w:tcW w:w="1858" w:type="dxa"/>
          </w:tcPr>
          <w:p>
            <w:pPr>
              <w:pStyle w:val="TableParagraph"/>
              <w:spacing w:line="251" w:lineRule="exact"/>
              <w:ind w:left="373"/>
              <w:rPr>
                <w:rFonts w:ascii="微软雅黑" w:eastAsia="微软雅黑"/>
                <w:b/>
                <w:sz w:val="21"/>
              </w:rPr>
            </w:pPr>
            <w:r>
              <w:rPr>
                <w:rFonts w:ascii="微软雅黑" w:eastAsia="微软雅黑"/>
                <w:b/>
                <w:spacing w:val="15"/>
                <w:sz w:val="21"/>
              </w:rPr>
              <w:t>多器官功能障</w:t>
            </w:r>
          </w:p>
        </w:tc>
        <w:tc>
          <w:tcPr>
            <w:tcW w:w="6894" w:type="dxa"/>
          </w:tcPr>
          <w:p>
            <w:pPr>
              <w:pStyle w:val="TableParagraph"/>
              <w:spacing w:line="250" w:lineRule="exact" w:before="1"/>
              <w:ind w:left="109"/>
              <w:rPr>
                <w:sz w:val="21"/>
              </w:rPr>
            </w:pPr>
            <w:r>
              <w:rPr>
                <w:spacing w:val="-8"/>
                <w:sz w:val="21"/>
              </w:rPr>
              <w:t>碍，因该疾病住院至少 </w:t>
            </w:r>
            <w:r>
              <w:rPr>
                <w:spacing w:val="-6"/>
                <w:sz w:val="21"/>
              </w:rPr>
              <w:t>96</w:t>
            </w:r>
            <w:r>
              <w:rPr>
                <w:spacing w:val="-11"/>
                <w:sz w:val="21"/>
              </w:rPr>
              <w:t> 小时，败血症需有血液和影像学检查证实，并至</w:t>
            </w:r>
          </w:p>
        </w:tc>
      </w:tr>
      <w:tr>
        <w:trPr>
          <w:trHeight w:val="272" w:hRule="atLeast"/>
        </w:trPr>
        <w:tc>
          <w:tcPr>
            <w:tcW w:w="634" w:type="dxa"/>
          </w:tcPr>
          <w:p>
            <w:pPr>
              <w:pStyle w:val="TableParagraph"/>
              <w:rPr>
                <w:rFonts w:ascii="Times New Roman"/>
                <w:sz w:val="20"/>
              </w:rPr>
            </w:pPr>
          </w:p>
        </w:tc>
        <w:tc>
          <w:tcPr>
            <w:tcW w:w="1858" w:type="dxa"/>
          </w:tcPr>
          <w:p>
            <w:pPr>
              <w:pStyle w:val="TableParagraph"/>
              <w:spacing w:line="252" w:lineRule="exact"/>
              <w:ind w:left="373"/>
              <w:rPr>
                <w:rFonts w:ascii="微软雅黑" w:eastAsia="微软雅黑"/>
                <w:b/>
                <w:sz w:val="21"/>
              </w:rPr>
            </w:pPr>
            <w:r>
              <w:rPr>
                <w:rFonts w:ascii="微软雅黑" w:eastAsia="微软雅黑"/>
                <w:b/>
                <w:spacing w:val="-3"/>
                <w:sz w:val="21"/>
              </w:rPr>
              <w:t>碍综合症</w:t>
            </w:r>
          </w:p>
        </w:tc>
        <w:tc>
          <w:tcPr>
            <w:tcW w:w="6894" w:type="dxa"/>
          </w:tcPr>
          <w:p>
            <w:pPr>
              <w:pStyle w:val="TableParagraph"/>
              <w:spacing w:line="251" w:lineRule="exact" w:before="1"/>
              <w:ind w:left="109"/>
              <w:rPr>
                <w:sz w:val="21"/>
              </w:rPr>
            </w:pPr>
            <w:r>
              <w:rPr>
                <w:spacing w:val="-3"/>
                <w:sz w:val="21"/>
              </w:rPr>
              <w:t>少满足以下一条标准：</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50" w:lineRule="exact" w:before="2"/>
              <w:ind w:left="109"/>
              <w:rPr>
                <w:sz w:val="21"/>
              </w:rPr>
            </w:pPr>
            <w:r>
              <w:rPr>
                <w:spacing w:val="-2"/>
                <w:sz w:val="21"/>
              </w:rPr>
              <w:t>（1）</w:t>
            </w:r>
            <w:r>
              <w:rPr>
                <w:spacing w:val="-3"/>
                <w:sz w:val="21"/>
              </w:rPr>
              <w:t>呼吸衰竭，需要进行气管插管机械通气；</w:t>
            </w:r>
          </w:p>
        </w:tc>
      </w:tr>
      <w:tr>
        <w:trPr>
          <w:trHeight w:val="545"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numPr>
                <w:ilvl w:val="0"/>
                <w:numId w:val="70"/>
              </w:numPr>
              <w:tabs>
                <w:tab w:pos="639" w:val="left" w:leader="none"/>
              </w:tabs>
              <w:spacing w:line="240" w:lineRule="auto" w:before="1" w:after="0"/>
              <w:ind w:left="638" w:right="0" w:hanging="530"/>
              <w:jc w:val="left"/>
              <w:rPr>
                <w:sz w:val="21"/>
              </w:rPr>
            </w:pPr>
            <w:r>
              <w:rPr>
                <w:spacing w:val="-2"/>
                <w:sz w:val="21"/>
              </w:rPr>
              <w:t>凝血血小板计数&lt;50×10</w:t>
            </w:r>
            <w:r>
              <w:rPr>
                <w:rFonts w:ascii="Calibri" w:hAnsi="Calibri" w:eastAsia="Calibri"/>
                <w:spacing w:val="-2"/>
                <w:sz w:val="21"/>
              </w:rPr>
              <w:t>³</w:t>
            </w:r>
            <w:r>
              <w:rPr>
                <w:spacing w:val="-4"/>
                <w:sz w:val="21"/>
              </w:rPr>
              <w:t>/微升；</w:t>
            </w:r>
          </w:p>
          <w:p>
            <w:pPr>
              <w:pStyle w:val="TableParagraph"/>
              <w:numPr>
                <w:ilvl w:val="0"/>
                <w:numId w:val="70"/>
              </w:numPr>
              <w:tabs>
                <w:tab w:pos="639" w:val="left" w:leader="none"/>
              </w:tabs>
              <w:spacing w:line="250" w:lineRule="exact" w:before="5" w:after="0"/>
              <w:ind w:left="638" w:right="0" w:hanging="530"/>
              <w:jc w:val="left"/>
              <w:rPr>
                <w:sz w:val="21"/>
              </w:rPr>
            </w:pPr>
            <w:r>
              <w:rPr>
                <w:spacing w:val="-2"/>
                <w:sz w:val="21"/>
              </w:rPr>
              <w:t>肝功能不全，胆红素&gt;6mg/dl</w:t>
            </w:r>
            <w:r>
              <w:rPr>
                <w:spacing w:val="-21"/>
                <w:sz w:val="21"/>
              </w:rPr>
              <w:t> 或</w:t>
            </w:r>
            <w:r>
              <w:rPr>
                <w:spacing w:val="-2"/>
                <w:sz w:val="21"/>
              </w:rPr>
              <w:t>&gt;102μmol/L；</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51" w:lineRule="exact" w:before="1"/>
              <w:ind w:left="109"/>
              <w:rPr>
                <w:sz w:val="21"/>
              </w:rPr>
            </w:pPr>
            <w:r>
              <w:rPr>
                <w:spacing w:val="-2"/>
                <w:sz w:val="21"/>
              </w:rPr>
              <w:t>（4）</w:t>
            </w:r>
            <w:r>
              <w:rPr>
                <w:spacing w:val="-4"/>
                <w:sz w:val="21"/>
              </w:rPr>
              <w:t>已经应用强心剂；</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50" w:lineRule="exact" w:before="2"/>
              <w:ind w:left="109"/>
              <w:rPr>
                <w:sz w:val="21"/>
              </w:rPr>
            </w:pPr>
            <w:r>
              <w:rPr>
                <w:spacing w:val="-2"/>
                <w:sz w:val="21"/>
              </w:rPr>
              <w:t>（5）格拉斯哥昏迷评分（GCS）≤9；</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51" w:lineRule="exact" w:before="1"/>
              <w:ind w:left="109"/>
              <w:rPr>
                <w:sz w:val="21"/>
              </w:rPr>
            </w:pPr>
            <w:r>
              <w:rPr>
                <w:spacing w:val="-2"/>
                <w:sz w:val="21"/>
              </w:rPr>
              <w:t>（6）肾功能衰竭，血清肌酐&gt;300μmol/L</w:t>
            </w:r>
            <w:r>
              <w:rPr>
                <w:spacing w:val="-15"/>
                <w:sz w:val="21"/>
              </w:rPr>
              <w:t> 或&gt;</w:t>
            </w:r>
            <w:r>
              <w:rPr>
                <w:spacing w:val="-2"/>
                <w:sz w:val="21"/>
              </w:rPr>
              <w:t>3.5mg/dl</w:t>
            </w:r>
            <w:r>
              <w:rPr>
                <w:spacing w:val="-10"/>
                <w:sz w:val="21"/>
              </w:rPr>
              <w:t> 或尿量&lt;</w:t>
            </w:r>
            <w:r>
              <w:rPr>
                <w:spacing w:val="-2"/>
                <w:sz w:val="21"/>
              </w:rPr>
              <w:t>500ml/d；</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50" w:lineRule="exact" w:before="2"/>
              <w:ind w:left="109"/>
              <w:rPr>
                <w:sz w:val="21"/>
              </w:rPr>
            </w:pPr>
            <w:r>
              <w:rPr>
                <w:spacing w:val="-2"/>
                <w:sz w:val="21"/>
              </w:rPr>
              <w:t>（7）</w:t>
            </w:r>
            <w:r>
              <w:rPr>
                <w:spacing w:val="-7"/>
                <w:sz w:val="21"/>
              </w:rPr>
              <w:t>住院重症监护病房最低 </w:t>
            </w:r>
            <w:r>
              <w:rPr>
                <w:spacing w:val="-2"/>
                <w:sz w:val="21"/>
              </w:rPr>
              <w:t>96</w:t>
            </w:r>
            <w:r>
              <w:rPr>
                <w:spacing w:val="-16"/>
                <w:sz w:val="21"/>
              </w:rPr>
              <w:t> 小时；</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51" w:lineRule="exact" w:before="1"/>
              <w:ind w:left="109"/>
              <w:rPr>
                <w:sz w:val="21"/>
              </w:rPr>
            </w:pPr>
            <w:r>
              <w:rPr>
                <w:spacing w:val="-2"/>
                <w:sz w:val="21"/>
              </w:rPr>
              <w:t>（8）</w:t>
            </w:r>
            <w:r>
              <w:rPr>
                <w:spacing w:val="-7"/>
                <w:sz w:val="21"/>
              </w:rPr>
              <w:t>器官功能障碍维持至少 </w:t>
            </w:r>
            <w:r>
              <w:rPr>
                <w:spacing w:val="-2"/>
                <w:sz w:val="21"/>
              </w:rPr>
              <w:t>15</w:t>
            </w:r>
            <w:r>
              <w:rPr>
                <w:spacing w:val="-20"/>
                <w:sz w:val="21"/>
              </w:rPr>
              <w:t> 天。</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50" w:lineRule="exact" w:before="2"/>
              <w:ind w:left="109"/>
              <w:rPr>
                <w:sz w:val="21"/>
              </w:rPr>
            </w:pPr>
            <w:r>
              <w:rPr>
                <w:spacing w:val="-3"/>
                <w:sz w:val="21"/>
              </w:rPr>
              <w:t>败血症引起的多器官功能障碍综合症的诊断应由我们认可医院的专科医生</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51" w:lineRule="exact" w:before="1"/>
              <w:ind w:left="109"/>
              <w:rPr>
                <w:sz w:val="21"/>
              </w:rPr>
            </w:pPr>
            <w:r>
              <w:rPr>
                <w:spacing w:val="-4"/>
                <w:sz w:val="21"/>
              </w:rPr>
              <w:t>证实。</w:t>
            </w:r>
          </w:p>
        </w:tc>
      </w:tr>
      <w:tr>
        <w:trPr>
          <w:trHeight w:val="409"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323" w:lineRule="exact"/>
              <w:ind w:left="109"/>
              <w:rPr>
                <w:rFonts w:ascii="微软雅黑" w:eastAsia="微软雅黑"/>
                <w:b/>
                <w:sz w:val="21"/>
              </w:rPr>
            </w:pPr>
            <w:r>
              <w:rPr>
                <w:rFonts w:ascii="微软雅黑" w:eastAsia="微软雅黑"/>
                <w:b/>
                <w:spacing w:val="-3"/>
                <w:sz w:val="21"/>
              </w:rPr>
              <w:t>非败血症引起的多器官功能障碍综合症不在保障范围内。</w:t>
            </w:r>
          </w:p>
        </w:tc>
      </w:tr>
      <w:tr>
        <w:trPr>
          <w:trHeight w:val="407" w:hRule="atLeast"/>
        </w:trPr>
        <w:tc>
          <w:tcPr>
            <w:tcW w:w="634" w:type="dxa"/>
          </w:tcPr>
          <w:p>
            <w:pPr>
              <w:pStyle w:val="TableParagraph"/>
              <w:spacing w:line="317" w:lineRule="exact" w:before="71"/>
              <w:ind w:left="50"/>
              <w:rPr>
                <w:rFonts w:ascii="微软雅黑"/>
                <w:b/>
                <w:sz w:val="21"/>
              </w:rPr>
            </w:pPr>
            <w:r>
              <w:rPr>
                <w:rFonts w:ascii="微软雅黑"/>
                <w:b/>
                <w:spacing w:val="-5"/>
                <w:w w:val="90"/>
                <w:sz w:val="21"/>
              </w:rPr>
              <w:t>81</w:t>
            </w:r>
          </w:p>
        </w:tc>
        <w:tc>
          <w:tcPr>
            <w:tcW w:w="1858" w:type="dxa"/>
          </w:tcPr>
          <w:p>
            <w:pPr>
              <w:pStyle w:val="TableParagraph"/>
              <w:spacing w:line="317" w:lineRule="exact" w:before="71"/>
              <w:ind w:left="373"/>
              <w:rPr>
                <w:rFonts w:ascii="微软雅黑" w:eastAsia="微软雅黑"/>
                <w:b/>
                <w:sz w:val="21"/>
              </w:rPr>
            </w:pPr>
            <w:r>
              <w:rPr>
                <w:rFonts w:ascii="微软雅黑" w:eastAsia="微软雅黑"/>
                <w:b/>
                <w:spacing w:val="-2"/>
                <w:sz w:val="21"/>
              </w:rPr>
              <w:t>严重气性坏疽</w:t>
            </w:r>
          </w:p>
        </w:tc>
        <w:tc>
          <w:tcPr>
            <w:tcW w:w="6894" w:type="dxa"/>
          </w:tcPr>
          <w:p>
            <w:pPr>
              <w:pStyle w:val="TableParagraph"/>
              <w:spacing w:line="250" w:lineRule="exact" w:before="138"/>
              <w:ind w:left="109"/>
              <w:rPr>
                <w:sz w:val="21"/>
              </w:rPr>
            </w:pPr>
            <w:r>
              <w:rPr>
                <w:spacing w:val="-3"/>
                <w:sz w:val="21"/>
              </w:rPr>
              <w:t>指由梭状芽胞杆菌所致的肌坏死或肌炎。须经我们认可医院的专科医生明</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51" w:lineRule="exact" w:before="1"/>
              <w:ind w:left="109"/>
              <w:rPr>
                <w:sz w:val="21"/>
              </w:rPr>
            </w:pPr>
            <w:r>
              <w:rPr>
                <w:spacing w:val="-3"/>
                <w:sz w:val="21"/>
              </w:rPr>
              <w:t>确诊断，且须满足下列全部条件：</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50" w:lineRule="exact" w:before="2"/>
              <w:ind w:left="109"/>
              <w:rPr>
                <w:sz w:val="21"/>
              </w:rPr>
            </w:pPr>
            <w:r>
              <w:rPr>
                <w:spacing w:val="-2"/>
                <w:sz w:val="21"/>
              </w:rPr>
              <w:t>（1）</w:t>
            </w:r>
            <w:r>
              <w:rPr>
                <w:spacing w:val="-3"/>
                <w:sz w:val="21"/>
              </w:rPr>
              <w:t>符合气性坏疽的一般临床表现；</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51" w:lineRule="exact" w:before="1"/>
              <w:ind w:left="109"/>
              <w:rPr>
                <w:sz w:val="21"/>
              </w:rPr>
            </w:pPr>
            <w:r>
              <w:rPr>
                <w:spacing w:val="-2"/>
                <w:sz w:val="21"/>
              </w:rPr>
              <w:t>（2）</w:t>
            </w:r>
            <w:r>
              <w:rPr>
                <w:spacing w:val="-3"/>
                <w:sz w:val="21"/>
              </w:rPr>
              <w:t>细菌培养检出致病菌；</w:t>
            </w:r>
          </w:p>
        </w:tc>
      </w:tr>
      <w:tr>
        <w:trPr>
          <w:trHeight w:val="242" w:hRule="atLeast"/>
        </w:trPr>
        <w:tc>
          <w:tcPr>
            <w:tcW w:w="634" w:type="dxa"/>
          </w:tcPr>
          <w:p>
            <w:pPr>
              <w:pStyle w:val="TableParagraph"/>
              <w:rPr>
                <w:rFonts w:ascii="Times New Roman"/>
                <w:sz w:val="16"/>
              </w:rPr>
            </w:pPr>
          </w:p>
        </w:tc>
        <w:tc>
          <w:tcPr>
            <w:tcW w:w="1858" w:type="dxa"/>
          </w:tcPr>
          <w:p>
            <w:pPr>
              <w:pStyle w:val="TableParagraph"/>
              <w:rPr>
                <w:rFonts w:ascii="Times New Roman"/>
                <w:sz w:val="16"/>
              </w:rPr>
            </w:pPr>
          </w:p>
        </w:tc>
        <w:tc>
          <w:tcPr>
            <w:tcW w:w="6894" w:type="dxa"/>
          </w:tcPr>
          <w:p>
            <w:pPr>
              <w:pStyle w:val="TableParagraph"/>
              <w:spacing w:line="220" w:lineRule="exact" w:before="2"/>
              <w:ind w:left="109"/>
              <w:rPr>
                <w:sz w:val="21"/>
              </w:rPr>
            </w:pPr>
            <w:r>
              <w:rPr>
                <w:spacing w:val="-6"/>
                <w:sz w:val="21"/>
              </w:rPr>
              <w:t>（3）</w:t>
            </w:r>
            <w:r>
              <w:rPr>
                <w:spacing w:val="-7"/>
                <w:sz w:val="21"/>
              </w:rPr>
              <w:t>出现广泛性肌肉及组织坏死，并已经实施了坏死组织和筋膜以及肌肉</w:t>
            </w:r>
          </w:p>
        </w:tc>
      </w:tr>
      <w:tr>
        <w:trPr>
          <w:trHeight w:val="271"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20" w:lineRule="exact" w:before="31"/>
              <w:ind w:left="635"/>
              <w:rPr>
                <w:sz w:val="21"/>
              </w:rPr>
            </w:pPr>
            <w:r>
              <w:rPr>
                <w:spacing w:val="-4"/>
                <w:sz w:val="21"/>
              </w:rPr>
              <w:t>的切除手术。</w:t>
            </w:r>
          </w:p>
        </w:tc>
      </w:tr>
      <w:tr>
        <w:trPr>
          <w:trHeight w:val="439"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354" w:lineRule="exact"/>
              <w:ind w:left="109"/>
              <w:rPr>
                <w:rFonts w:ascii="微软雅黑" w:eastAsia="微软雅黑"/>
                <w:b/>
                <w:sz w:val="21"/>
              </w:rPr>
            </w:pPr>
            <w:r>
              <w:rPr>
                <w:rFonts w:ascii="微软雅黑" w:eastAsia="微软雅黑"/>
                <w:b/>
                <w:spacing w:val="-3"/>
                <w:sz w:val="21"/>
              </w:rPr>
              <w:t>单纯清创术不在保障范围内。</w:t>
            </w:r>
          </w:p>
        </w:tc>
      </w:tr>
      <w:tr>
        <w:trPr>
          <w:trHeight w:val="408" w:hRule="atLeast"/>
        </w:trPr>
        <w:tc>
          <w:tcPr>
            <w:tcW w:w="634" w:type="dxa"/>
          </w:tcPr>
          <w:p>
            <w:pPr>
              <w:pStyle w:val="TableParagraph"/>
              <w:spacing w:line="318" w:lineRule="exact" w:before="70"/>
              <w:ind w:left="50"/>
              <w:rPr>
                <w:rFonts w:ascii="微软雅黑"/>
                <w:b/>
                <w:sz w:val="21"/>
              </w:rPr>
            </w:pPr>
            <w:r>
              <w:rPr>
                <w:rFonts w:ascii="微软雅黑"/>
                <w:b/>
                <w:spacing w:val="-5"/>
                <w:w w:val="90"/>
                <w:sz w:val="21"/>
              </w:rPr>
              <w:t>82</w:t>
            </w:r>
          </w:p>
        </w:tc>
        <w:tc>
          <w:tcPr>
            <w:tcW w:w="1858" w:type="dxa"/>
          </w:tcPr>
          <w:p>
            <w:pPr>
              <w:pStyle w:val="TableParagraph"/>
              <w:spacing w:line="318" w:lineRule="exact" w:before="70"/>
              <w:ind w:left="373"/>
              <w:rPr>
                <w:rFonts w:ascii="微软雅黑" w:eastAsia="微软雅黑"/>
                <w:b/>
                <w:sz w:val="21"/>
              </w:rPr>
            </w:pPr>
            <w:r>
              <w:rPr>
                <w:rFonts w:ascii="微软雅黑" w:eastAsia="微软雅黑"/>
                <w:b/>
                <w:spacing w:val="15"/>
                <w:sz w:val="21"/>
              </w:rPr>
              <w:t>脊髓小脑变性</w:t>
            </w:r>
          </w:p>
        </w:tc>
        <w:tc>
          <w:tcPr>
            <w:tcW w:w="6894" w:type="dxa"/>
          </w:tcPr>
          <w:p>
            <w:pPr>
              <w:pStyle w:val="TableParagraph"/>
              <w:spacing w:line="251" w:lineRule="exact" w:before="137"/>
              <w:ind w:left="109"/>
              <w:rPr>
                <w:sz w:val="21"/>
              </w:rPr>
            </w:pPr>
            <w:r>
              <w:rPr>
                <w:spacing w:val="-3"/>
                <w:sz w:val="21"/>
              </w:rPr>
              <w:t>脊髓小脑变性症为一组以小脑萎缩和共济失调为主要临床特点的疾病。必</w:t>
            </w:r>
          </w:p>
        </w:tc>
      </w:tr>
      <w:tr>
        <w:trPr>
          <w:trHeight w:val="272" w:hRule="atLeast"/>
        </w:trPr>
        <w:tc>
          <w:tcPr>
            <w:tcW w:w="634" w:type="dxa"/>
          </w:tcPr>
          <w:p>
            <w:pPr>
              <w:pStyle w:val="TableParagraph"/>
              <w:rPr>
                <w:rFonts w:ascii="Times New Roman"/>
                <w:sz w:val="20"/>
              </w:rPr>
            </w:pPr>
          </w:p>
        </w:tc>
        <w:tc>
          <w:tcPr>
            <w:tcW w:w="1858" w:type="dxa"/>
          </w:tcPr>
          <w:p>
            <w:pPr>
              <w:pStyle w:val="TableParagraph"/>
              <w:spacing w:line="252" w:lineRule="exact"/>
              <w:ind w:left="373"/>
              <w:rPr>
                <w:rFonts w:ascii="微软雅黑" w:eastAsia="微软雅黑"/>
                <w:b/>
                <w:sz w:val="21"/>
              </w:rPr>
            </w:pPr>
            <w:r>
              <w:rPr>
                <w:rFonts w:ascii="微软雅黑" w:eastAsia="微软雅黑"/>
                <w:b/>
                <w:w w:val="100"/>
                <w:sz w:val="21"/>
              </w:rPr>
              <w:t>症</w:t>
            </w:r>
          </w:p>
        </w:tc>
        <w:tc>
          <w:tcPr>
            <w:tcW w:w="6894" w:type="dxa"/>
          </w:tcPr>
          <w:p>
            <w:pPr>
              <w:pStyle w:val="TableParagraph"/>
              <w:spacing w:line="250" w:lineRule="exact" w:before="2"/>
              <w:ind w:left="109"/>
              <w:rPr>
                <w:sz w:val="21"/>
              </w:rPr>
            </w:pPr>
            <w:r>
              <w:rPr>
                <w:spacing w:val="-3"/>
                <w:sz w:val="21"/>
              </w:rPr>
              <w:t>须符合所有以下条件：</w:t>
            </w:r>
          </w:p>
        </w:tc>
      </w:tr>
      <w:tr>
        <w:trPr>
          <w:trHeight w:val="241" w:hRule="atLeast"/>
        </w:trPr>
        <w:tc>
          <w:tcPr>
            <w:tcW w:w="634" w:type="dxa"/>
          </w:tcPr>
          <w:p>
            <w:pPr>
              <w:pStyle w:val="TableParagraph"/>
              <w:rPr>
                <w:rFonts w:ascii="Times New Roman"/>
                <w:sz w:val="16"/>
              </w:rPr>
            </w:pPr>
          </w:p>
        </w:tc>
        <w:tc>
          <w:tcPr>
            <w:tcW w:w="1858" w:type="dxa"/>
          </w:tcPr>
          <w:p>
            <w:pPr>
              <w:pStyle w:val="TableParagraph"/>
              <w:rPr>
                <w:rFonts w:ascii="Times New Roman"/>
                <w:sz w:val="16"/>
              </w:rPr>
            </w:pPr>
          </w:p>
        </w:tc>
        <w:tc>
          <w:tcPr>
            <w:tcW w:w="6894" w:type="dxa"/>
          </w:tcPr>
          <w:p>
            <w:pPr>
              <w:pStyle w:val="TableParagraph"/>
              <w:spacing w:line="220" w:lineRule="exact" w:before="1"/>
              <w:ind w:left="109"/>
              <w:rPr>
                <w:sz w:val="21"/>
              </w:rPr>
            </w:pPr>
            <w:r>
              <w:rPr>
                <w:spacing w:val="-2"/>
                <w:sz w:val="21"/>
              </w:rPr>
              <w:t>（1）</w:t>
            </w:r>
            <w:r>
              <w:rPr>
                <w:spacing w:val="-3"/>
                <w:sz w:val="21"/>
              </w:rPr>
              <w:t>脊髓小脑变性症必须由我们认可医院诊断，并有以下证据支持：</w:t>
            </w:r>
          </w:p>
        </w:tc>
      </w:tr>
      <w:tr>
        <w:trPr>
          <w:trHeight w:val="273"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4" w:type="dxa"/>
          </w:tcPr>
          <w:p>
            <w:pPr>
              <w:pStyle w:val="TableParagraph"/>
              <w:spacing w:line="220" w:lineRule="exact" w:before="34"/>
              <w:ind w:left="529"/>
              <w:rPr>
                <w:sz w:val="21"/>
              </w:rPr>
            </w:pPr>
            <w:r>
              <w:rPr>
                <w:spacing w:val="-3"/>
                <w:sz w:val="21"/>
              </w:rPr>
              <w:t>①影像学检查证实存在小脑萎缩；</w:t>
            </w:r>
          </w:p>
        </w:tc>
      </w:tr>
    </w:tbl>
    <w:p>
      <w:pPr>
        <w:pStyle w:val="BodyText"/>
        <w:spacing w:before="46"/>
        <w:ind w:left="3225"/>
      </w:pPr>
      <w:r>
        <w:rPr>
          <w:spacing w:val="-3"/>
        </w:rPr>
        <w:t>②临床表现存在共济失调、语言障碍和肌张力异常。</w:t>
      </w:r>
    </w:p>
    <w:p>
      <w:pPr>
        <w:pStyle w:val="BodyText"/>
        <w:spacing w:line="242" w:lineRule="auto" w:before="4"/>
        <w:ind w:left="3330" w:right="326" w:hanging="526"/>
      </w:pPr>
      <w:r>
        <w:rPr>
          <w:spacing w:val="-4"/>
        </w:rPr>
        <w:t>（2）被保险人运动功能严重障碍，自主生活能力完全丧失，无法独立完成</w:t>
      </w:r>
      <w:r>
        <w:rPr>
          <w:spacing w:val="-2"/>
        </w:rPr>
        <w:t>六项基本日常生活活动中的三项或三项以上。</w:t>
      </w:r>
    </w:p>
    <w:p>
      <w:pPr>
        <w:pStyle w:val="BodyText"/>
        <w:spacing w:before="9"/>
        <w:rPr>
          <w:sz w:val="15"/>
        </w:rPr>
      </w:pPr>
    </w:p>
    <w:p>
      <w:pPr>
        <w:spacing w:after="0"/>
        <w:rPr>
          <w:sz w:val="15"/>
        </w:rPr>
        <w:sectPr>
          <w:type w:val="continuous"/>
          <w:pgSz w:w="11910" w:h="16840"/>
          <w:pgMar w:header="877" w:footer="0" w:top="1100" w:bottom="280" w:left="1060" w:right="980"/>
        </w:sectPr>
      </w:pPr>
    </w:p>
    <w:p>
      <w:pPr>
        <w:pStyle w:val="ListParagraph"/>
        <w:numPr>
          <w:ilvl w:val="0"/>
          <w:numId w:val="71"/>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进行性多灶性</w:t>
      </w:r>
      <w:r>
        <w:rPr>
          <w:rFonts w:ascii="微软雅黑" w:eastAsia="微软雅黑"/>
          <w:b/>
          <w:spacing w:val="-4"/>
          <w:sz w:val="21"/>
        </w:rPr>
        <w:t>白质脑病</w:t>
      </w:r>
    </w:p>
    <w:p>
      <w:pPr>
        <w:pStyle w:val="BodyText"/>
        <w:spacing w:line="244" w:lineRule="auto" w:before="72"/>
        <w:ind w:left="177" w:right="333"/>
      </w:pPr>
      <w:r>
        <w:rPr/>
        <w:br w:type="column"/>
      </w:r>
      <w:r>
        <w:rPr>
          <w:spacing w:val="-2"/>
        </w:rPr>
        <w:t>是一种亚急性脱髓鞘性脑病，常常发现于免疫缺陷的病人。此症必须由我</w:t>
      </w:r>
      <w:r>
        <w:rPr>
          <w:spacing w:val="-2"/>
        </w:rPr>
        <w:t>们认可医院的神经科专科医生根据脑组织活检确诊。</w:t>
      </w:r>
    </w:p>
    <w:p>
      <w:pPr>
        <w:spacing w:after="0" w:line="244" w:lineRule="auto"/>
        <w:sectPr>
          <w:type w:val="continuous"/>
          <w:pgSz w:w="11910" w:h="16840"/>
          <w:pgMar w:header="877" w:footer="0" w:top="1100" w:bottom="280" w:left="1060" w:right="980"/>
          <w:cols w:num="2" w:equalWidth="0">
            <w:col w:w="2588" w:space="40"/>
            <w:col w:w="7242"/>
          </w:cols>
        </w:sectPr>
      </w:pPr>
    </w:p>
    <w:p>
      <w:pPr>
        <w:pStyle w:val="BodyText"/>
        <w:spacing w:before="1"/>
        <w:rPr>
          <w:sz w:val="22"/>
        </w:rPr>
      </w:pPr>
    </w:p>
    <w:p>
      <w:pPr>
        <w:pStyle w:val="ListParagraph"/>
        <w:numPr>
          <w:ilvl w:val="0"/>
          <w:numId w:val="71"/>
        </w:numPr>
        <w:tabs>
          <w:tab w:pos="1210" w:val="left" w:leader="none"/>
          <w:tab w:pos="1211" w:val="left" w:leader="none"/>
          <w:tab w:pos="2804" w:val="left" w:leader="none"/>
        </w:tabs>
        <w:spacing w:line="220" w:lineRule="auto" w:before="26" w:after="0"/>
        <w:ind w:left="2805" w:right="326" w:hanging="2552"/>
        <w:jc w:val="both"/>
        <w:rPr>
          <w:sz w:val="21"/>
        </w:rPr>
      </w:pPr>
      <w:r>
        <w:rPr>
          <w:rFonts w:ascii="微软雅黑" w:eastAsia="微软雅黑"/>
          <w:b/>
          <w:spacing w:val="-4"/>
          <w:sz w:val="21"/>
        </w:rPr>
        <w:t>脑</w:t>
      </w:r>
      <w:r>
        <w:rPr>
          <w:rFonts w:ascii="微软雅黑" w:eastAsia="微软雅黑"/>
          <w:b/>
          <w:spacing w:val="-4"/>
          <w:sz w:val="21"/>
        </w:rPr>
        <w:t>型</w:t>
      </w:r>
      <w:r>
        <w:rPr>
          <w:rFonts w:ascii="微软雅黑" w:eastAsia="微软雅黑"/>
          <w:b/>
          <w:spacing w:val="-4"/>
          <w:sz w:val="21"/>
        </w:rPr>
        <w:t>疟</w:t>
      </w:r>
      <w:r>
        <w:rPr>
          <w:rFonts w:ascii="微软雅黑" w:eastAsia="微软雅黑"/>
          <w:b/>
          <w:spacing w:val="-4"/>
          <w:sz w:val="21"/>
        </w:rPr>
        <w:t>疾</w:t>
      </w:r>
      <w:r>
        <w:rPr>
          <w:rFonts w:ascii="微软雅黑" w:eastAsia="微软雅黑"/>
          <w:b/>
          <w:sz w:val="21"/>
        </w:rPr>
        <w:tab/>
      </w:r>
      <w:r>
        <w:rPr>
          <w:spacing w:val="-2"/>
          <w:sz w:val="21"/>
        </w:rPr>
        <w:t>恶</w:t>
      </w:r>
      <w:r>
        <w:rPr>
          <w:spacing w:val="-2"/>
          <w:sz w:val="21"/>
        </w:rPr>
        <w:t>性</w:t>
      </w:r>
      <w:r>
        <w:rPr>
          <w:spacing w:val="-2"/>
          <w:sz w:val="21"/>
        </w:rPr>
        <w:t>疟</w:t>
      </w:r>
      <w:r>
        <w:rPr>
          <w:spacing w:val="-2"/>
          <w:sz w:val="21"/>
        </w:rPr>
        <w:t>原虫严</w:t>
      </w:r>
      <w:r>
        <w:rPr>
          <w:spacing w:val="-2"/>
          <w:sz w:val="21"/>
        </w:rPr>
        <w:t>重</w:t>
      </w:r>
      <w:r>
        <w:rPr>
          <w:spacing w:val="-2"/>
          <w:sz w:val="21"/>
        </w:rPr>
        <w:t>感</w:t>
      </w:r>
      <w:r>
        <w:rPr>
          <w:spacing w:val="-2"/>
          <w:sz w:val="21"/>
        </w:rPr>
        <w:t>染导致</w:t>
      </w:r>
      <w:r>
        <w:rPr>
          <w:spacing w:val="-2"/>
          <w:sz w:val="21"/>
        </w:rPr>
        <w:t>的</w:t>
      </w:r>
      <w:r>
        <w:rPr>
          <w:spacing w:val="-2"/>
          <w:sz w:val="21"/>
        </w:rPr>
        <w:t>脑</w:t>
      </w:r>
      <w:r>
        <w:rPr>
          <w:spacing w:val="-2"/>
          <w:sz w:val="21"/>
        </w:rPr>
        <w:t>病</w:t>
      </w:r>
      <w:r>
        <w:rPr>
          <w:spacing w:val="-2"/>
          <w:sz w:val="21"/>
        </w:rPr>
        <w:t>或脑型</w:t>
      </w:r>
      <w:r>
        <w:rPr>
          <w:spacing w:val="-2"/>
          <w:sz w:val="21"/>
        </w:rPr>
        <w:t>疟</w:t>
      </w:r>
      <w:r>
        <w:rPr>
          <w:spacing w:val="-2"/>
          <w:sz w:val="21"/>
        </w:rPr>
        <w:t>疾</w:t>
      </w:r>
      <w:r>
        <w:rPr>
          <w:spacing w:val="-2"/>
          <w:sz w:val="21"/>
        </w:rPr>
        <w:t>，以昏</w:t>
      </w:r>
      <w:r>
        <w:rPr>
          <w:spacing w:val="-2"/>
          <w:sz w:val="21"/>
        </w:rPr>
        <w:t>迷</w:t>
      </w:r>
      <w:r>
        <w:rPr>
          <w:spacing w:val="-2"/>
          <w:sz w:val="21"/>
        </w:rPr>
        <w:t>为</w:t>
      </w:r>
      <w:r>
        <w:rPr>
          <w:spacing w:val="-2"/>
          <w:sz w:val="21"/>
        </w:rPr>
        <w:t>主</w:t>
      </w:r>
      <w:r>
        <w:rPr>
          <w:spacing w:val="-2"/>
          <w:sz w:val="21"/>
        </w:rPr>
        <w:t>要特征</w:t>
      </w:r>
      <w:r>
        <w:rPr>
          <w:spacing w:val="-2"/>
          <w:sz w:val="21"/>
        </w:rPr>
        <w:t>。</w:t>
      </w:r>
      <w:r>
        <w:rPr>
          <w:spacing w:val="-2"/>
          <w:sz w:val="21"/>
        </w:rPr>
        <w:t>脑</w:t>
      </w:r>
      <w:r>
        <w:rPr>
          <w:spacing w:val="-2"/>
          <w:sz w:val="21"/>
        </w:rPr>
        <w:t>型疟</w:t>
      </w:r>
      <w:r>
        <w:rPr>
          <w:spacing w:val="-2"/>
          <w:sz w:val="21"/>
        </w:rPr>
        <w:t>疾</w:t>
      </w:r>
      <w:r>
        <w:rPr>
          <w:spacing w:val="-2"/>
          <w:sz w:val="21"/>
        </w:rPr>
        <w:t>的</w:t>
      </w:r>
      <w:r>
        <w:rPr>
          <w:spacing w:val="-2"/>
          <w:sz w:val="21"/>
        </w:rPr>
        <w:t>诊</w:t>
      </w:r>
      <w:r>
        <w:rPr>
          <w:spacing w:val="-2"/>
          <w:sz w:val="21"/>
        </w:rPr>
        <w:t>断须由</w:t>
      </w:r>
      <w:r>
        <w:rPr>
          <w:spacing w:val="-2"/>
          <w:sz w:val="21"/>
        </w:rPr>
        <w:t>我</w:t>
      </w:r>
      <w:r>
        <w:rPr>
          <w:spacing w:val="-2"/>
          <w:sz w:val="21"/>
        </w:rPr>
        <w:t>们</w:t>
      </w:r>
      <w:r>
        <w:rPr>
          <w:spacing w:val="-2"/>
          <w:sz w:val="21"/>
        </w:rPr>
        <w:t>认可医</w:t>
      </w:r>
      <w:r>
        <w:rPr>
          <w:spacing w:val="-2"/>
          <w:sz w:val="21"/>
        </w:rPr>
        <w:t>院</w:t>
      </w:r>
      <w:r>
        <w:rPr>
          <w:spacing w:val="-2"/>
          <w:sz w:val="21"/>
        </w:rPr>
        <w:t>的</w:t>
      </w:r>
      <w:r>
        <w:rPr>
          <w:spacing w:val="-2"/>
          <w:sz w:val="21"/>
        </w:rPr>
        <w:t>专</w:t>
      </w:r>
      <w:r>
        <w:rPr>
          <w:spacing w:val="-2"/>
          <w:sz w:val="21"/>
        </w:rPr>
        <w:t>科医生</w:t>
      </w:r>
      <w:r>
        <w:rPr>
          <w:spacing w:val="-2"/>
          <w:sz w:val="21"/>
        </w:rPr>
        <w:t>确</w:t>
      </w:r>
      <w:r>
        <w:rPr>
          <w:spacing w:val="-2"/>
          <w:sz w:val="21"/>
        </w:rPr>
        <w:t>诊</w:t>
      </w:r>
      <w:r>
        <w:rPr>
          <w:spacing w:val="-2"/>
          <w:sz w:val="21"/>
        </w:rPr>
        <w:t>，且外</w:t>
      </w:r>
      <w:r>
        <w:rPr>
          <w:spacing w:val="-2"/>
          <w:sz w:val="21"/>
        </w:rPr>
        <w:t>周</w:t>
      </w:r>
      <w:r>
        <w:rPr>
          <w:spacing w:val="-2"/>
          <w:sz w:val="21"/>
        </w:rPr>
        <w:t>血</w:t>
      </w:r>
      <w:r>
        <w:rPr>
          <w:spacing w:val="-2"/>
          <w:sz w:val="21"/>
        </w:rPr>
        <w:t>涂</w:t>
      </w:r>
      <w:r>
        <w:rPr>
          <w:spacing w:val="-2"/>
          <w:sz w:val="21"/>
        </w:rPr>
        <w:t>片存在</w:t>
      </w:r>
      <w:r>
        <w:rPr>
          <w:spacing w:val="-2"/>
          <w:sz w:val="21"/>
        </w:rPr>
        <w:t>恶</w:t>
      </w:r>
      <w:r>
        <w:rPr>
          <w:spacing w:val="-2"/>
          <w:sz w:val="21"/>
        </w:rPr>
        <w:t>性</w:t>
      </w:r>
      <w:r>
        <w:rPr>
          <w:spacing w:val="-2"/>
          <w:sz w:val="21"/>
        </w:rPr>
        <w:t>疟原</w:t>
      </w:r>
      <w:r>
        <w:rPr>
          <w:spacing w:val="-6"/>
          <w:sz w:val="21"/>
        </w:rPr>
        <w:t>虫</w:t>
      </w:r>
      <w:r>
        <w:rPr>
          <w:spacing w:val="-6"/>
          <w:sz w:val="21"/>
        </w:rPr>
        <w:t>。</w:t>
      </w:r>
    </w:p>
    <w:p>
      <w:pPr>
        <w:spacing w:line="332" w:lineRule="exact" w:before="0"/>
        <w:ind w:left="1290" w:right="1536" w:firstLine="0"/>
        <w:jc w:val="center"/>
        <w:rPr>
          <w:rFonts w:ascii="微软雅黑" w:eastAsia="微软雅黑"/>
          <w:b/>
          <w:sz w:val="21"/>
        </w:rPr>
      </w:pPr>
      <w:r>
        <w:rPr>
          <w:rFonts w:ascii="微软雅黑" w:eastAsia="微软雅黑"/>
          <w:b/>
          <w:spacing w:val="-3"/>
          <w:sz w:val="21"/>
        </w:rPr>
        <w:t>其他明确病因导致的脑病不在保障范围内。</w:t>
      </w:r>
    </w:p>
    <w:p>
      <w:pPr>
        <w:pStyle w:val="BodyText"/>
        <w:spacing w:before="6"/>
        <w:rPr>
          <w:rFonts w:ascii="微软雅黑"/>
          <w:b/>
          <w:sz w:val="8"/>
        </w:rPr>
      </w:pPr>
    </w:p>
    <w:p>
      <w:pPr>
        <w:spacing w:after="0"/>
        <w:rPr>
          <w:rFonts w:ascii="微软雅黑"/>
          <w:sz w:val="8"/>
        </w:rPr>
        <w:sectPr>
          <w:pgSz w:w="11910" w:h="16840"/>
          <w:pgMar w:header="877" w:footer="0" w:top="1100" w:bottom="280" w:left="1060" w:right="980"/>
        </w:sectPr>
      </w:pPr>
    </w:p>
    <w:p>
      <w:pPr>
        <w:pStyle w:val="ListParagraph"/>
        <w:numPr>
          <w:ilvl w:val="0"/>
          <w:numId w:val="71"/>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5"/>
          <w:sz w:val="21"/>
        </w:rPr>
        <w:t>多处臂丛神经</w:t>
      </w:r>
      <w:r>
        <w:rPr>
          <w:rFonts w:ascii="微软雅黑" w:eastAsia="微软雅黑"/>
          <w:b/>
          <w:spacing w:val="-4"/>
          <w:sz w:val="21"/>
        </w:rPr>
        <w:t>根性撕脱</w:t>
      </w:r>
    </w:p>
    <w:p>
      <w:pPr>
        <w:pStyle w:val="BodyText"/>
        <w:spacing w:line="242" w:lineRule="auto" w:before="72"/>
        <w:ind w:left="177" w:right="220"/>
      </w:pPr>
      <w:r>
        <w:rPr/>
        <w:br w:type="column"/>
      </w:r>
      <w:r>
        <w:rPr>
          <w:spacing w:val="-2"/>
        </w:rPr>
        <w:t>由于疾病或意外导致至少两根臂丛神经根性撕脱，所造成的手臂感觉功能</w:t>
      </w:r>
      <w:r>
        <w:rPr>
          <w:spacing w:val="-10"/>
        </w:rPr>
        <w:t>与运动功能完全永久性丧失。该病须由我们认可医院的专科医生明确诊断，</w:t>
      </w:r>
      <w:r>
        <w:rPr>
          <w:spacing w:val="-2"/>
        </w:rPr>
        <w:t>并且有电生理检查结果证实。</w:t>
      </w:r>
    </w:p>
    <w:p>
      <w:pPr>
        <w:spacing w:after="0" w:line="242" w:lineRule="auto"/>
        <w:sectPr>
          <w:type w:val="continuous"/>
          <w:pgSz w:w="11910" w:h="16840"/>
          <w:pgMar w:header="877" w:footer="0" w:top="1100" w:bottom="280" w:left="1060" w:right="980"/>
          <w:cols w:num="2" w:equalWidth="0">
            <w:col w:w="2588" w:space="40"/>
            <w:col w:w="7242"/>
          </w:cols>
        </w:sectPr>
      </w:pPr>
    </w:p>
    <w:p>
      <w:pPr>
        <w:pStyle w:val="BodyText"/>
        <w:spacing w:before="10"/>
        <w:rPr>
          <w:sz w:val="15"/>
        </w:rPr>
      </w:pPr>
    </w:p>
    <w:p>
      <w:pPr>
        <w:spacing w:after="0"/>
        <w:rPr>
          <w:sz w:val="15"/>
        </w:rPr>
        <w:sectPr>
          <w:type w:val="continuous"/>
          <w:pgSz w:w="11910" w:h="16840"/>
          <w:pgMar w:header="877" w:footer="0" w:top="1100" w:bottom="280" w:left="1060" w:right="980"/>
        </w:sectPr>
      </w:pPr>
    </w:p>
    <w:p>
      <w:pPr>
        <w:pStyle w:val="ListParagraph"/>
        <w:numPr>
          <w:ilvl w:val="0"/>
          <w:numId w:val="71"/>
        </w:numPr>
        <w:tabs>
          <w:tab w:pos="1210" w:val="left" w:leader="none"/>
          <w:tab w:pos="1211" w:val="left" w:leader="none"/>
        </w:tabs>
        <w:spacing w:line="168" w:lineRule="auto" w:before="88" w:after="0"/>
        <w:ind w:left="1210" w:right="0" w:hanging="958"/>
        <w:jc w:val="both"/>
        <w:rPr>
          <w:rFonts w:ascii="微软雅黑" w:eastAsia="微软雅黑"/>
          <w:b/>
          <w:sz w:val="21"/>
        </w:rPr>
      </w:pPr>
      <w:r>
        <w:rPr>
          <w:rFonts w:ascii="微软雅黑" w:eastAsia="微软雅黑"/>
          <w:b/>
          <w:spacing w:val="15"/>
          <w:sz w:val="21"/>
        </w:rPr>
        <w:t>严重获得性或</w:t>
      </w:r>
      <w:r>
        <w:rPr>
          <w:rFonts w:ascii="微软雅黑" w:eastAsia="微软雅黑"/>
          <w:b/>
          <w:spacing w:val="15"/>
          <w:sz w:val="21"/>
        </w:rPr>
        <w:t>继发性肺泡蛋</w:t>
      </w:r>
      <w:r>
        <w:rPr>
          <w:rFonts w:ascii="微软雅黑" w:eastAsia="微软雅黑"/>
          <w:b/>
          <w:spacing w:val="-2"/>
          <w:sz w:val="21"/>
        </w:rPr>
        <w:t>白质沉积症</w:t>
      </w:r>
    </w:p>
    <w:p>
      <w:pPr>
        <w:pStyle w:val="BodyText"/>
        <w:spacing w:line="242" w:lineRule="auto" w:before="72"/>
        <w:ind w:left="278" w:right="332"/>
      </w:pPr>
      <w:r>
        <w:rPr/>
        <w:br w:type="column"/>
      </w:r>
      <w:r>
        <w:rPr>
          <w:spacing w:val="-2"/>
        </w:rPr>
        <w:t>因获得性或继发性原因导致双肺肺泡和细支气管腔内充满不可溶性富磷</w:t>
      </w:r>
      <w:r>
        <w:rPr>
          <w:spacing w:val="-2"/>
        </w:rPr>
        <w:t>脂蛋白的疾病。理赔时须满足下列所有条件：</w:t>
      </w:r>
    </w:p>
    <w:p>
      <w:pPr>
        <w:pStyle w:val="ListParagraph"/>
        <w:numPr>
          <w:ilvl w:val="0"/>
          <w:numId w:val="72"/>
        </w:numPr>
        <w:tabs>
          <w:tab w:pos="707" w:val="left" w:leader="none"/>
        </w:tabs>
        <w:spacing w:line="240" w:lineRule="auto" w:before="1" w:after="0"/>
        <w:ind w:left="706" w:right="0" w:hanging="530"/>
        <w:jc w:val="left"/>
        <w:rPr>
          <w:sz w:val="21"/>
        </w:rPr>
      </w:pPr>
      <w:r>
        <w:rPr>
          <w:spacing w:val="-3"/>
          <w:sz w:val="21"/>
        </w:rPr>
        <w:t>支气管镜活检或开胸肺活检病理检查证实肺泡内充满有过碘酸雪夫</w:t>
      </w:r>
    </w:p>
    <w:p>
      <w:pPr>
        <w:pStyle w:val="BodyText"/>
        <w:spacing w:before="3"/>
        <w:ind w:left="703"/>
      </w:pPr>
      <w:r>
        <w:rPr>
          <w:spacing w:val="-2"/>
        </w:rPr>
        <w:t>（PAS）</w:t>
      </w:r>
      <w:r>
        <w:rPr>
          <w:spacing w:val="-3"/>
        </w:rPr>
        <w:t>染色阳性的蛋白样物质；</w:t>
      </w:r>
    </w:p>
    <w:p>
      <w:pPr>
        <w:pStyle w:val="ListParagraph"/>
        <w:numPr>
          <w:ilvl w:val="0"/>
          <w:numId w:val="72"/>
        </w:numPr>
        <w:tabs>
          <w:tab w:pos="707" w:val="left" w:leader="none"/>
        </w:tabs>
        <w:spacing w:line="242" w:lineRule="auto" w:before="4" w:after="0"/>
        <w:ind w:left="703" w:right="436" w:hanging="526"/>
        <w:jc w:val="left"/>
        <w:rPr>
          <w:sz w:val="21"/>
        </w:rPr>
      </w:pPr>
      <w:r>
        <w:rPr>
          <w:spacing w:val="-2"/>
          <w:sz w:val="21"/>
        </w:rPr>
        <w:t>被保险人因中重度呼吸困难或低氧血症而实际已行全身麻醉下的全</w:t>
      </w:r>
      <w:r>
        <w:rPr>
          <w:spacing w:val="-2"/>
          <w:sz w:val="21"/>
        </w:rPr>
        <w:t>肺灌洗治疗。</w:t>
      </w:r>
    </w:p>
    <w:p>
      <w:pPr>
        <w:spacing w:after="0" w:line="242" w:lineRule="auto"/>
        <w:jc w:val="left"/>
        <w:rPr>
          <w:sz w:val="21"/>
        </w:rPr>
        <w:sectPr>
          <w:type w:val="continuous"/>
          <w:pgSz w:w="11910" w:h="16840"/>
          <w:pgMar w:header="877" w:footer="0" w:top="1100" w:bottom="280" w:left="1060" w:right="980"/>
          <w:cols w:num="2" w:equalWidth="0">
            <w:col w:w="2588" w:space="40"/>
            <w:col w:w="7242"/>
          </w:cols>
        </w:sectPr>
      </w:pPr>
    </w:p>
    <w:p>
      <w:pPr>
        <w:pStyle w:val="BodyText"/>
        <w:spacing w:before="9"/>
        <w:rPr>
          <w:sz w:val="15"/>
        </w:rPr>
      </w:pPr>
    </w:p>
    <w:p>
      <w:pPr>
        <w:spacing w:after="0"/>
        <w:rPr>
          <w:sz w:val="15"/>
        </w:rPr>
        <w:sectPr>
          <w:type w:val="continuous"/>
          <w:pgSz w:w="11910" w:h="16840"/>
          <w:pgMar w:header="877" w:footer="0" w:top="1100" w:bottom="280" w:left="1060" w:right="980"/>
        </w:sectPr>
      </w:pPr>
    </w:p>
    <w:p>
      <w:pPr>
        <w:pStyle w:val="ListParagraph"/>
        <w:numPr>
          <w:ilvl w:val="0"/>
          <w:numId w:val="71"/>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溶血性尿毒综</w:t>
      </w:r>
      <w:r>
        <w:rPr>
          <w:rFonts w:ascii="微软雅黑" w:eastAsia="微软雅黑"/>
          <w:b/>
          <w:spacing w:val="-6"/>
          <w:sz w:val="21"/>
        </w:rPr>
        <w:t>合征</w:t>
      </w:r>
    </w:p>
    <w:p>
      <w:pPr>
        <w:spacing w:line="180" w:lineRule="auto" w:before="124"/>
        <w:ind w:left="177" w:right="220" w:firstLine="0"/>
        <w:jc w:val="left"/>
        <w:rPr>
          <w:sz w:val="21"/>
        </w:rPr>
      </w:pPr>
      <w:r>
        <w:rPr/>
        <w:br w:type="column"/>
      </w:r>
      <w:r>
        <w:rPr>
          <w:spacing w:val="-5"/>
          <w:sz w:val="21"/>
        </w:rPr>
        <w:t>一种由于感染导致的急性综合征，引起红细胞溶血，肾功能衰竭及尿毒症。</w:t>
      </w:r>
      <w:r>
        <w:rPr>
          <w:spacing w:val="-2"/>
          <w:sz w:val="21"/>
        </w:rPr>
        <w:t>溶血尿毒综合征必须由血液和肾脏专科医生诊断，</w:t>
      </w:r>
      <w:r>
        <w:rPr>
          <w:rFonts w:ascii="微软雅黑" w:eastAsia="微软雅黑"/>
          <w:b/>
          <w:spacing w:val="-2"/>
          <w:sz w:val="21"/>
        </w:rPr>
        <w:t>被保险人理赔时年龄在</w:t>
      </w:r>
      <w:r>
        <w:rPr>
          <w:rFonts w:ascii="微软雅黑" w:eastAsia="微软雅黑"/>
          <w:b/>
          <w:spacing w:val="-2"/>
          <w:sz w:val="21"/>
        </w:rPr>
        <w:t> </w:t>
      </w:r>
      <w:r>
        <w:rPr>
          <w:rFonts w:ascii="微软雅黑" w:eastAsia="微软雅黑"/>
          <w:b/>
          <w:sz w:val="21"/>
        </w:rPr>
        <w:t>25 周岁以下</w:t>
      </w:r>
      <w:r>
        <w:rPr>
          <w:sz w:val="21"/>
        </w:rPr>
        <w:t>，并且满足下列所有条件：</w:t>
      </w:r>
    </w:p>
    <w:p>
      <w:pPr>
        <w:pStyle w:val="ListParagraph"/>
        <w:numPr>
          <w:ilvl w:val="0"/>
          <w:numId w:val="73"/>
        </w:numPr>
        <w:tabs>
          <w:tab w:pos="707" w:val="left" w:leader="none"/>
        </w:tabs>
        <w:spacing w:line="253" w:lineRule="exact" w:before="0" w:after="0"/>
        <w:ind w:left="706" w:right="0" w:hanging="530"/>
        <w:jc w:val="left"/>
        <w:rPr>
          <w:sz w:val="21"/>
        </w:rPr>
      </w:pPr>
      <w:r>
        <w:rPr>
          <w:spacing w:val="-3"/>
          <w:sz w:val="21"/>
        </w:rPr>
        <w:t>实验室检查确认有溶血性贫血、血尿、尿毒症、血小板减少性紫癜；</w:t>
      </w:r>
    </w:p>
    <w:p>
      <w:pPr>
        <w:pStyle w:val="ListParagraph"/>
        <w:numPr>
          <w:ilvl w:val="0"/>
          <w:numId w:val="73"/>
        </w:numPr>
        <w:tabs>
          <w:tab w:pos="707" w:val="left" w:leader="none"/>
        </w:tabs>
        <w:spacing w:line="237" w:lineRule="exact" w:before="2" w:after="0"/>
        <w:ind w:left="706" w:right="0" w:hanging="530"/>
        <w:jc w:val="left"/>
        <w:rPr>
          <w:sz w:val="21"/>
        </w:rPr>
      </w:pPr>
      <w:r>
        <w:rPr>
          <w:spacing w:val="-3"/>
          <w:sz w:val="21"/>
        </w:rPr>
        <w:t>因肾脏功能衰竭实施了肾脏透析治疗。</w:t>
      </w:r>
    </w:p>
    <w:p>
      <w:pPr>
        <w:spacing w:line="170" w:lineRule="auto" w:before="48"/>
        <w:ind w:left="177" w:right="220" w:firstLine="0"/>
        <w:jc w:val="left"/>
        <w:rPr>
          <w:rFonts w:ascii="微软雅黑" w:eastAsia="微软雅黑"/>
          <w:b/>
          <w:sz w:val="21"/>
        </w:rPr>
      </w:pPr>
      <w:r>
        <w:rPr>
          <w:rFonts w:ascii="微软雅黑" w:eastAsia="微软雅黑"/>
          <w:b/>
          <w:spacing w:val="-2"/>
          <w:sz w:val="21"/>
        </w:rPr>
        <w:t>任何非因感染导致的溶血性贫血，如：自身免疫性溶血性贫血、与红细胞</w:t>
      </w:r>
      <w:r>
        <w:rPr>
          <w:rFonts w:ascii="微软雅黑" w:eastAsia="微软雅黑"/>
          <w:b/>
          <w:spacing w:val="-7"/>
          <w:sz w:val="21"/>
        </w:rPr>
        <w:t>膜缺陷有关的溶血性贫血、红细胞酶病、血红蛋白病等，不在保障范围内。</w:t>
      </w:r>
    </w:p>
    <w:p>
      <w:pPr>
        <w:spacing w:after="0" w:line="170" w:lineRule="auto"/>
        <w:jc w:val="left"/>
        <w:rPr>
          <w:rFonts w:asci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rPr>
          <w:rFonts w:ascii="微软雅黑"/>
          <w:b/>
          <w:sz w:val="10"/>
        </w:rPr>
      </w:pPr>
    </w:p>
    <w:p>
      <w:pPr>
        <w:pStyle w:val="ListParagraph"/>
        <w:numPr>
          <w:ilvl w:val="0"/>
          <w:numId w:val="71"/>
        </w:numPr>
        <w:tabs>
          <w:tab w:pos="1210" w:val="left" w:leader="none"/>
          <w:tab w:pos="1211" w:val="left" w:leader="none"/>
        </w:tabs>
        <w:spacing w:line="204" w:lineRule="auto" w:before="46" w:after="0"/>
        <w:ind w:left="2805" w:right="326" w:hanging="2552"/>
        <w:jc w:val="both"/>
        <w:rPr>
          <w:sz w:val="21"/>
        </w:rPr>
      </w:pPr>
      <w:r>
        <w:rPr>
          <w:rFonts w:ascii="微软雅黑" w:eastAsia="微软雅黑"/>
          <w:b/>
          <w:spacing w:val="35"/>
          <w:sz w:val="21"/>
        </w:rPr>
        <w:t>严重大动脉炎 </w:t>
      </w:r>
      <w:r>
        <w:rPr>
          <w:sz w:val="21"/>
        </w:rPr>
        <w:t>指经我们认可医院的心脏或血管外科专科医生确诊的大动脉炎，须满足下</w:t>
      </w:r>
      <w:r>
        <w:rPr>
          <w:spacing w:val="-2"/>
          <w:sz w:val="21"/>
        </w:rPr>
        <w:t>列全部条件：</w:t>
      </w:r>
    </w:p>
    <w:p>
      <w:pPr>
        <w:pStyle w:val="ListParagraph"/>
        <w:numPr>
          <w:ilvl w:val="1"/>
          <w:numId w:val="71"/>
        </w:numPr>
        <w:tabs>
          <w:tab w:pos="3334" w:val="left" w:leader="none"/>
        </w:tabs>
        <w:spacing w:line="240" w:lineRule="auto" w:before="13" w:after="0"/>
        <w:ind w:left="3334" w:right="0" w:hanging="529"/>
        <w:jc w:val="both"/>
        <w:rPr>
          <w:sz w:val="21"/>
        </w:rPr>
      </w:pPr>
      <w:r>
        <w:rPr>
          <w:spacing w:val="4"/>
          <w:sz w:val="21"/>
        </w:rPr>
        <w:t>红细胞沉降率及</w:t>
      </w:r>
      <w:r>
        <w:rPr>
          <w:sz w:val="21"/>
        </w:rPr>
        <w:t>C</w:t>
      </w:r>
      <w:r>
        <w:rPr>
          <w:spacing w:val="-9"/>
          <w:sz w:val="21"/>
        </w:rPr>
        <w:t> 反应蛋白高于正常值；</w:t>
      </w:r>
    </w:p>
    <w:p>
      <w:pPr>
        <w:pStyle w:val="ListParagraph"/>
        <w:numPr>
          <w:ilvl w:val="1"/>
          <w:numId w:val="71"/>
        </w:numPr>
        <w:tabs>
          <w:tab w:pos="3334" w:val="left" w:leader="none"/>
        </w:tabs>
        <w:spacing w:line="242" w:lineRule="auto" w:before="2" w:after="0"/>
        <w:ind w:left="3330" w:right="324" w:hanging="526"/>
        <w:jc w:val="both"/>
        <w:rPr>
          <w:sz w:val="21"/>
        </w:rPr>
      </w:pPr>
      <w:r>
        <w:rPr>
          <w:sz w:val="21"/>
        </w:rPr>
        <w:t>超声检查、CTA 检查或血管造影检查证实主动脉及其主要分支存在</w:t>
      </w:r>
      <w:r>
        <w:rPr>
          <w:spacing w:val="-4"/>
          <w:sz w:val="21"/>
        </w:rPr>
        <w:t>狭窄。这里的“主动脉及其主要分支”指：升主动脉、主动脉弓及其分支（头臂干、左颈总动脉、左锁骨下动脉）、胸主动脉、腹主动脉</w:t>
      </w:r>
      <w:r>
        <w:rPr>
          <w:spacing w:val="-2"/>
          <w:sz w:val="21"/>
        </w:rPr>
        <w:t>及其主要分支（腹腔干、肠系膜上动脉、肠系膜下动脉、肾动脉）</w:t>
      </w:r>
      <w:r>
        <w:rPr>
          <w:spacing w:val="-10"/>
          <w:sz w:val="21"/>
        </w:rPr>
        <w:t>。</w:t>
      </w:r>
    </w:p>
    <w:p>
      <w:pPr>
        <w:pStyle w:val="BodyText"/>
        <w:rPr>
          <w:sz w:val="18"/>
        </w:rPr>
      </w:pPr>
    </w:p>
    <w:p>
      <w:pPr>
        <w:pStyle w:val="ListParagraph"/>
        <w:numPr>
          <w:ilvl w:val="0"/>
          <w:numId w:val="71"/>
        </w:numPr>
        <w:tabs>
          <w:tab w:pos="1210" w:val="left" w:leader="none"/>
          <w:tab w:pos="1211" w:val="left" w:leader="none"/>
          <w:tab w:pos="2804" w:val="left" w:leader="none"/>
        </w:tabs>
        <w:spacing w:line="220" w:lineRule="auto" w:before="1" w:after="0"/>
        <w:ind w:left="2805" w:right="220" w:hanging="2552"/>
        <w:jc w:val="left"/>
        <w:rPr>
          <w:sz w:val="21"/>
        </w:rPr>
      </w:pPr>
      <w:r>
        <w:rPr>
          <w:rFonts w:ascii="微软雅黑" w:eastAsia="微软雅黑"/>
          <w:b/>
          <w:spacing w:val="-4"/>
          <w:sz w:val="21"/>
        </w:rPr>
        <w:t>库</w:t>
      </w:r>
      <w:r>
        <w:rPr>
          <w:rFonts w:ascii="微软雅黑" w:eastAsia="微软雅黑"/>
          <w:b/>
          <w:spacing w:val="-4"/>
          <w:sz w:val="21"/>
        </w:rPr>
        <w:t>鲁</w:t>
      </w:r>
      <w:r>
        <w:rPr>
          <w:rFonts w:ascii="微软雅黑" w:eastAsia="微软雅黑"/>
          <w:b/>
          <w:spacing w:val="-4"/>
          <w:sz w:val="21"/>
        </w:rPr>
        <w:t>病</w:t>
      </w:r>
      <w:r>
        <w:rPr>
          <w:rFonts w:ascii="微软雅黑" w:eastAsia="微软雅黑"/>
          <w:b/>
          <w:sz w:val="21"/>
        </w:rPr>
        <w:tab/>
      </w:r>
      <w:r>
        <w:rPr>
          <w:spacing w:val="-4"/>
          <w:sz w:val="21"/>
        </w:rPr>
        <w:t>指</w:t>
      </w:r>
      <w:r>
        <w:rPr>
          <w:spacing w:val="-4"/>
          <w:sz w:val="21"/>
        </w:rPr>
        <w:t>一</w:t>
      </w:r>
      <w:r>
        <w:rPr>
          <w:spacing w:val="-4"/>
          <w:sz w:val="21"/>
        </w:rPr>
        <w:t>种亚急性传染性朊蛋白病。临床表现为共济失调、震颤、不自主运动，</w:t>
      </w:r>
      <w:r>
        <w:rPr>
          <w:spacing w:val="-2"/>
          <w:sz w:val="21"/>
        </w:rPr>
        <w:t>在</w:t>
      </w:r>
      <w:r>
        <w:rPr>
          <w:spacing w:val="-2"/>
          <w:sz w:val="21"/>
        </w:rPr>
        <w:t>病</w:t>
      </w:r>
      <w:r>
        <w:rPr>
          <w:spacing w:val="-2"/>
          <w:sz w:val="21"/>
        </w:rPr>
        <w:t>程</w:t>
      </w:r>
      <w:r>
        <w:rPr>
          <w:spacing w:val="-2"/>
          <w:sz w:val="21"/>
        </w:rPr>
        <w:t>晚期出</w:t>
      </w:r>
      <w:r>
        <w:rPr>
          <w:spacing w:val="-2"/>
          <w:sz w:val="21"/>
        </w:rPr>
        <w:t>现</w:t>
      </w:r>
      <w:r>
        <w:rPr>
          <w:spacing w:val="-2"/>
          <w:sz w:val="21"/>
        </w:rPr>
        <w:t>进</w:t>
      </w:r>
      <w:r>
        <w:rPr>
          <w:spacing w:val="-2"/>
          <w:sz w:val="21"/>
        </w:rPr>
        <w:t>行性加</w:t>
      </w:r>
      <w:r>
        <w:rPr>
          <w:spacing w:val="-2"/>
          <w:sz w:val="21"/>
        </w:rPr>
        <w:t>重</w:t>
      </w:r>
      <w:r>
        <w:rPr>
          <w:spacing w:val="-2"/>
          <w:sz w:val="21"/>
        </w:rPr>
        <w:t>的</w:t>
      </w:r>
      <w:r>
        <w:rPr>
          <w:spacing w:val="-2"/>
          <w:sz w:val="21"/>
        </w:rPr>
        <w:t>痴</w:t>
      </w:r>
      <w:r>
        <w:rPr>
          <w:spacing w:val="-2"/>
          <w:sz w:val="21"/>
        </w:rPr>
        <w:t>呆，神</w:t>
      </w:r>
      <w:r>
        <w:rPr>
          <w:spacing w:val="-2"/>
          <w:sz w:val="21"/>
        </w:rPr>
        <w:t>经</w:t>
      </w:r>
      <w:r>
        <w:rPr>
          <w:spacing w:val="-2"/>
          <w:sz w:val="21"/>
        </w:rPr>
        <w:t>异</w:t>
      </w:r>
      <w:r>
        <w:rPr>
          <w:spacing w:val="-2"/>
          <w:sz w:val="21"/>
        </w:rPr>
        <w:t>常。该</w:t>
      </w:r>
      <w:r>
        <w:rPr>
          <w:spacing w:val="-2"/>
          <w:sz w:val="21"/>
        </w:rPr>
        <w:t>病</w:t>
      </w:r>
      <w:r>
        <w:rPr>
          <w:spacing w:val="-2"/>
          <w:sz w:val="21"/>
        </w:rPr>
        <w:t>必</w:t>
      </w:r>
      <w:r>
        <w:rPr>
          <w:spacing w:val="-2"/>
          <w:sz w:val="21"/>
        </w:rPr>
        <w:t>须</w:t>
      </w:r>
      <w:r>
        <w:rPr>
          <w:spacing w:val="-2"/>
          <w:sz w:val="21"/>
        </w:rPr>
        <w:t>由我们</w:t>
      </w:r>
      <w:r>
        <w:rPr>
          <w:spacing w:val="-2"/>
          <w:sz w:val="21"/>
        </w:rPr>
        <w:t>认</w:t>
      </w:r>
      <w:r>
        <w:rPr>
          <w:spacing w:val="-2"/>
          <w:sz w:val="21"/>
        </w:rPr>
        <w:t>可</w:t>
      </w:r>
      <w:r>
        <w:rPr>
          <w:spacing w:val="-2"/>
          <w:sz w:val="21"/>
        </w:rPr>
        <w:t>医院</w:t>
      </w:r>
      <w:r>
        <w:rPr>
          <w:spacing w:val="-2"/>
          <w:sz w:val="21"/>
        </w:rPr>
        <w:t>的</w:t>
      </w:r>
      <w:r>
        <w:rPr>
          <w:spacing w:val="-2"/>
          <w:sz w:val="21"/>
        </w:rPr>
        <w:t>专</w:t>
      </w:r>
      <w:r>
        <w:rPr>
          <w:spacing w:val="-2"/>
          <w:sz w:val="21"/>
        </w:rPr>
        <w:t>科医生根据检测出的</w:t>
      </w:r>
      <w:r>
        <w:rPr>
          <w:spacing w:val="-2"/>
          <w:sz w:val="21"/>
        </w:rPr>
        <w:t>脑</w:t>
      </w:r>
      <w:r>
        <w:rPr>
          <w:spacing w:val="-2"/>
          <w:sz w:val="21"/>
        </w:rPr>
        <w:t>组</w:t>
      </w:r>
      <w:r>
        <w:rPr>
          <w:spacing w:val="-2"/>
          <w:sz w:val="21"/>
        </w:rPr>
        <w:t>织中的致病蛋白而明</w:t>
      </w:r>
      <w:r>
        <w:rPr>
          <w:spacing w:val="-2"/>
          <w:sz w:val="21"/>
        </w:rPr>
        <w:t>确</w:t>
      </w:r>
      <w:r>
        <w:rPr>
          <w:spacing w:val="-2"/>
          <w:sz w:val="21"/>
        </w:rPr>
        <w:t>诊</w:t>
      </w:r>
      <w:r>
        <w:rPr>
          <w:spacing w:val="-2"/>
          <w:sz w:val="21"/>
        </w:rPr>
        <w:t>断。</w:t>
      </w:r>
    </w:p>
    <w:p>
      <w:pPr>
        <w:pStyle w:val="BodyText"/>
        <w:spacing w:before="6"/>
        <w:rPr>
          <w:sz w:val="16"/>
        </w:rPr>
      </w:pPr>
    </w:p>
    <w:p>
      <w:pPr>
        <w:spacing w:after="0"/>
        <w:rPr>
          <w:sz w:val="16"/>
        </w:rPr>
        <w:sectPr>
          <w:type w:val="continuous"/>
          <w:pgSz w:w="11910" w:h="16840"/>
          <w:pgMar w:header="877" w:footer="0" w:top="1100" w:bottom="280" w:left="1060" w:right="980"/>
        </w:sectPr>
      </w:pPr>
    </w:p>
    <w:p>
      <w:pPr>
        <w:pStyle w:val="ListParagraph"/>
        <w:numPr>
          <w:ilvl w:val="0"/>
          <w:numId w:val="71"/>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5"/>
          <w:sz w:val="21"/>
        </w:rPr>
        <w:t>皮质基底节变</w:t>
      </w:r>
      <w:r>
        <w:rPr>
          <w:rFonts w:ascii="微软雅黑" w:eastAsia="微软雅黑"/>
          <w:b/>
          <w:spacing w:val="-10"/>
          <w:sz w:val="21"/>
        </w:rPr>
        <w:t>性</w:t>
      </w:r>
    </w:p>
    <w:p>
      <w:pPr>
        <w:pStyle w:val="BodyText"/>
        <w:spacing w:line="242" w:lineRule="auto" w:before="72"/>
        <w:ind w:left="177" w:right="218"/>
      </w:pPr>
      <w:r>
        <w:rPr/>
        <w:br w:type="column"/>
      </w:r>
      <w:r>
        <w:rPr>
          <w:spacing w:val="-6"/>
        </w:rPr>
        <w:t>一种慢性进展性神经变性疾病，以不对称发作的无动性强直综合征、失用、</w:t>
      </w:r>
      <w:r>
        <w:rPr>
          <w:spacing w:val="-2"/>
        </w:rPr>
        <w:t>肌张力障碍及姿势异常为其临床特征。须经我们认可医院的专科医生明确</w:t>
      </w:r>
      <w:r>
        <w:rPr>
          <w:spacing w:val="-2"/>
        </w:rPr>
        <w:t>诊断，被保险人自主生活能力完全丧失，无法独立完成六项基本日常生活</w:t>
      </w:r>
      <w:r>
        <w:rPr>
          <w:spacing w:val="-2"/>
        </w:rPr>
        <w:t>活动中的三项或三项以上，日常生活必须持续受到他人监护。</w:t>
      </w:r>
    </w:p>
    <w:p>
      <w:pPr>
        <w:spacing w:after="0" w:line="242" w:lineRule="auto"/>
        <w:sectPr>
          <w:type w:val="continuous"/>
          <w:pgSz w:w="11910" w:h="16840"/>
          <w:pgMar w:header="877" w:footer="0" w:top="1100" w:bottom="280" w:left="1060" w:right="980"/>
          <w:cols w:num="2" w:equalWidth="0">
            <w:col w:w="2588" w:space="40"/>
            <w:col w:w="7242"/>
          </w:cols>
        </w:sectPr>
      </w:pPr>
    </w:p>
    <w:p>
      <w:pPr>
        <w:pStyle w:val="BodyText"/>
        <w:spacing w:before="10"/>
        <w:rPr>
          <w:sz w:val="15"/>
        </w:rPr>
      </w:pPr>
    </w:p>
    <w:p>
      <w:pPr>
        <w:pStyle w:val="ListParagraph"/>
        <w:numPr>
          <w:ilvl w:val="0"/>
          <w:numId w:val="71"/>
        </w:numPr>
        <w:tabs>
          <w:tab w:pos="1210" w:val="left" w:leader="none"/>
          <w:tab w:pos="1211" w:val="left" w:leader="none"/>
          <w:tab w:pos="2804" w:val="left" w:leader="none"/>
        </w:tabs>
        <w:spacing w:line="220" w:lineRule="auto" w:before="27" w:after="0"/>
        <w:ind w:left="2805" w:right="326" w:hanging="2552"/>
        <w:jc w:val="both"/>
        <w:rPr>
          <w:sz w:val="21"/>
        </w:rPr>
      </w:pPr>
      <w:r>
        <w:rPr>
          <w:rFonts w:ascii="微软雅黑" w:eastAsia="微软雅黑"/>
          <w:b/>
          <w:spacing w:val="-4"/>
          <w:sz w:val="21"/>
        </w:rPr>
        <w:t>严</w:t>
      </w:r>
      <w:r>
        <w:rPr>
          <w:rFonts w:ascii="微软雅黑" w:eastAsia="微软雅黑"/>
          <w:b/>
          <w:spacing w:val="-4"/>
          <w:sz w:val="21"/>
        </w:rPr>
        <w:t>重</w:t>
      </w:r>
      <w:r>
        <w:rPr>
          <w:rFonts w:ascii="微软雅黑" w:eastAsia="微软雅黑"/>
          <w:b/>
          <w:spacing w:val="-4"/>
          <w:sz w:val="21"/>
        </w:rPr>
        <w:t>癫</w:t>
      </w:r>
      <w:r>
        <w:rPr>
          <w:rFonts w:ascii="微软雅黑" w:eastAsia="微软雅黑"/>
          <w:b/>
          <w:spacing w:val="-4"/>
          <w:sz w:val="21"/>
        </w:rPr>
        <w:t>痫</w:t>
      </w:r>
      <w:r>
        <w:rPr>
          <w:rFonts w:ascii="微软雅黑" w:eastAsia="微软雅黑"/>
          <w:b/>
          <w:sz w:val="21"/>
        </w:rPr>
        <w:tab/>
      </w:r>
      <w:r>
        <w:rPr>
          <w:spacing w:val="-2"/>
          <w:sz w:val="21"/>
        </w:rPr>
        <w:t>本</w:t>
      </w:r>
      <w:r>
        <w:rPr>
          <w:spacing w:val="-2"/>
          <w:sz w:val="21"/>
        </w:rPr>
        <w:t>病</w:t>
      </w:r>
      <w:r>
        <w:rPr>
          <w:spacing w:val="-2"/>
          <w:sz w:val="21"/>
        </w:rPr>
        <w:t>的</w:t>
      </w:r>
      <w:r>
        <w:rPr>
          <w:spacing w:val="-2"/>
          <w:sz w:val="21"/>
        </w:rPr>
        <w:t>诊断须</w:t>
      </w:r>
      <w:r>
        <w:rPr>
          <w:spacing w:val="-2"/>
          <w:sz w:val="21"/>
        </w:rPr>
        <w:t>由</w:t>
      </w:r>
      <w:r>
        <w:rPr>
          <w:spacing w:val="-2"/>
          <w:sz w:val="21"/>
        </w:rPr>
        <w:t>我</w:t>
      </w:r>
      <w:r>
        <w:rPr>
          <w:spacing w:val="-2"/>
          <w:sz w:val="21"/>
        </w:rPr>
        <w:t>们认可</w:t>
      </w:r>
      <w:r>
        <w:rPr>
          <w:spacing w:val="-2"/>
          <w:sz w:val="21"/>
        </w:rPr>
        <w:t>医</w:t>
      </w:r>
      <w:r>
        <w:rPr>
          <w:spacing w:val="-2"/>
          <w:sz w:val="21"/>
        </w:rPr>
        <w:t>院</w:t>
      </w:r>
      <w:r>
        <w:rPr>
          <w:spacing w:val="-2"/>
          <w:sz w:val="21"/>
        </w:rPr>
        <w:t>的</w:t>
      </w:r>
      <w:r>
        <w:rPr>
          <w:spacing w:val="-2"/>
          <w:sz w:val="21"/>
        </w:rPr>
        <w:t>神经科</w:t>
      </w:r>
      <w:r>
        <w:rPr>
          <w:spacing w:val="-2"/>
          <w:sz w:val="21"/>
        </w:rPr>
        <w:t>或</w:t>
      </w:r>
      <w:r>
        <w:rPr>
          <w:spacing w:val="-2"/>
          <w:sz w:val="21"/>
        </w:rPr>
        <w:t>儿</w:t>
      </w:r>
      <w:r>
        <w:rPr>
          <w:spacing w:val="-2"/>
          <w:sz w:val="21"/>
        </w:rPr>
        <w:t>科专科</w:t>
      </w:r>
      <w:r>
        <w:rPr>
          <w:spacing w:val="-2"/>
          <w:sz w:val="21"/>
        </w:rPr>
        <w:t>医</w:t>
      </w:r>
      <w:r>
        <w:rPr>
          <w:spacing w:val="-2"/>
          <w:sz w:val="21"/>
        </w:rPr>
        <w:t>生</w:t>
      </w:r>
      <w:r>
        <w:rPr>
          <w:spacing w:val="-2"/>
          <w:sz w:val="21"/>
        </w:rPr>
        <w:t>根</w:t>
      </w:r>
      <w:r>
        <w:rPr>
          <w:spacing w:val="-2"/>
          <w:sz w:val="21"/>
        </w:rPr>
        <w:t>据典型</w:t>
      </w:r>
      <w:r>
        <w:rPr>
          <w:spacing w:val="-2"/>
          <w:sz w:val="21"/>
        </w:rPr>
        <w:t>临</w:t>
      </w:r>
      <w:r>
        <w:rPr>
          <w:spacing w:val="-2"/>
          <w:sz w:val="21"/>
        </w:rPr>
        <w:t>床</w:t>
      </w:r>
      <w:r>
        <w:rPr>
          <w:spacing w:val="-2"/>
          <w:sz w:val="21"/>
        </w:rPr>
        <w:t>症状</w:t>
      </w:r>
      <w:r>
        <w:rPr>
          <w:w w:val="95"/>
          <w:sz w:val="21"/>
        </w:rPr>
        <w:t>和</w:t>
      </w:r>
      <w:r>
        <w:rPr>
          <w:w w:val="95"/>
          <w:sz w:val="21"/>
        </w:rPr>
        <w:t>脑</w:t>
      </w:r>
      <w:r>
        <w:rPr>
          <w:w w:val="95"/>
          <w:sz w:val="21"/>
        </w:rPr>
        <w:t>电图及 MRI、PET、CT </w:t>
      </w:r>
      <w:r>
        <w:rPr>
          <w:w w:val="95"/>
          <w:sz w:val="21"/>
        </w:rPr>
        <w:t>等</w:t>
      </w:r>
      <w:r>
        <w:rPr>
          <w:w w:val="95"/>
          <w:sz w:val="21"/>
        </w:rPr>
        <w:t>影</w:t>
      </w:r>
      <w:r>
        <w:rPr>
          <w:w w:val="95"/>
          <w:sz w:val="21"/>
        </w:rPr>
        <w:t>像学检查做出。理赔</w:t>
      </w:r>
      <w:r>
        <w:rPr>
          <w:w w:val="95"/>
          <w:sz w:val="21"/>
        </w:rPr>
        <w:t>时</w:t>
      </w:r>
      <w:r>
        <w:rPr>
          <w:w w:val="95"/>
          <w:sz w:val="21"/>
        </w:rPr>
        <w:t>必</w:t>
      </w:r>
      <w:r>
        <w:rPr>
          <w:w w:val="95"/>
          <w:sz w:val="21"/>
        </w:rPr>
        <w:t>须提供 6 个月以上</w:t>
      </w:r>
      <w:r>
        <w:rPr>
          <w:spacing w:val="-2"/>
          <w:sz w:val="21"/>
        </w:rPr>
        <w:t>的</w:t>
      </w:r>
      <w:r>
        <w:rPr>
          <w:spacing w:val="-2"/>
          <w:sz w:val="21"/>
        </w:rPr>
        <w:t>相</w:t>
      </w:r>
      <w:r>
        <w:rPr>
          <w:spacing w:val="-2"/>
          <w:sz w:val="21"/>
        </w:rPr>
        <w:t>关</w:t>
      </w:r>
      <w:r>
        <w:rPr>
          <w:spacing w:val="-2"/>
          <w:sz w:val="21"/>
        </w:rPr>
        <w:t>病历记</w:t>
      </w:r>
      <w:r>
        <w:rPr>
          <w:spacing w:val="-2"/>
          <w:sz w:val="21"/>
        </w:rPr>
        <w:t>录</w:t>
      </w:r>
      <w:r>
        <w:rPr>
          <w:spacing w:val="-2"/>
          <w:sz w:val="21"/>
        </w:rPr>
        <w:t>证</w:t>
      </w:r>
      <w:r>
        <w:rPr>
          <w:spacing w:val="-2"/>
          <w:sz w:val="21"/>
        </w:rPr>
        <w:t>明被保</w:t>
      </w:r>
      <w:r>
        <w:rPr>
          <w:spacing w:val="-2"/>
          <w:sz w:val="21"/>
        </w:rPr>
        <w:t>险</w:t>
      </w:r>
      <w:r>
        <w:rPr>
          <w:spacing w:val="-2"/>
          <w:sz w:val="21"/>
        </w:rPr>
        <w:t>人</w:t>
      </w:r>
      <w:r>
        <w:rPr>
          <w:spacing w:val="-2"/>
          <w:sz w:val="21"/>
        </w:rPr>
        <w:t>存</w:t>
      </w:r>
      <w:r>
        <w:rPr>
          <w:spacing w:val="-2"/>
          <w:sz w:val="21"/>
        </w:rPr>
        <w:t>在经抗</w:t>
      </w:r>
      <w:r>
        <w:rPr>
          <w:spacing w:val="-2"/>
          <w:sz w:val="21"/>
        </w:rPr>
        <w:t>癫</w:t>
      </w:r>
      <w:r>
        <w:rPr>
          <w:spacing w:val="-2"/>
          <w:sz w:val="21"/>
        </w:rPr>
        <w:t>痫</w:t>
      </w:r>
      <w:r>
        <w:rPr>
          <w:spacing w:val="-2"/>
          <w:sz w:val="21"/>
        </w:rPr>
        <w:t>药物治</w:t>
      </w:r>
      <w:r>
        <w:rPr>
          <w:spacing w:val="-2"/>
          <w:sz w:val="21"/>
        </w:rPr>
        <w:t>疗</w:t>
      </w:r>
      <w:r>
        <w:rPr>
          <w:spacing w:val="-2"/>
          <w:sz w:val="21"/>
        </w:rPr>
        <w:t>无</w:t>
      </w:r>
      <w:r>
        <w:rPr>
          <w:spacing w:val="-2"/>
          <w:sz w:val="21"/>
        </w:rPr>
        <w:t>效</w:t>
      </w:r>
      <w:r>
        <w:rPr>
          <w:spacing w:val="-2"/>
          <w:sz w:val="21"/>
        </w:rPr>
        <w:t>而反复</w:t>
      </w:r>
      <w:r>
        <w:rPr>
          <w:spacing w:val="-2"/>
          <w:sz w:val="21"/>
        </w:rPr>
        <w:t>发</w:t>
      </w:r>
      <w:r>
        <w:rPr>
          <w:spacing w:val="-2"/>
          <w:sz w:val="21"/>
        </w:rPr>
        <w:t>作</w:t>
      </w:r>
      <w:r>
        <w:rPr>
          <w:spacing w:val="-2"/>
          <w:sz w:val="21"/>
        </w:rPr>
        <w:t>的强</w:t>
      </w:r>
    </w:p>
    <w:p>
      <w:pPr>
        <w:spacing w:line="180" w:lineRule="auto" w:before="62"/>
        <w:ind w:left="2805" w:right="220" w:firstLine="0"/>
        <w:jc w:val="left"/>
        <w:rPr>
          <w:rFonts w:ascii="微软雅黑" w:eastAsia="微软雅黑"/>
          <w:b/>
          <w:sz w:val="21"/>
        </w:rPr>
      </w:pPr>
      <w:r>
        <w:rPr>
          <w:spacing w:val="-10"/>
          <w:sz w:val="21"/>
        </w:rPr>
        <w:t>直阵挛性发作或癫痫大发作，且已行神经外科手术以治疗反复发作的癫痫。</w:t>
      </w:r>
      <w:r>
        <w:rPr>
          <w:rFonts w:ascii="微软雅黑" w:eastAsia="微软雅黑"/>
          <w:b/>
          <w:spacing w:val="-2"/>
          <w:sz w:val="21"/>
        </w:rPr>
        <w:t>发热性惊厥以及没有全身性发作的失神发作（癫痫小发作）不在保障范围</w:t>
      </w:r>
      <w:r>
        <w:rPr>
          <w:rFonts w:ascii="微软雅黑" w:eastAsia="微软雅黑"/>
          <w:b/>
          <w:spacing w:val="-6"/>
          <w:sz w:val="21"/>
        </w:rPr>
        <w:t>内。</w:t>
      </w:r>
    </w:p>
    <w:p>
      <w:pPr>
        <w:spacing w:line="168" w:lineRule="auto" w:before="0"/>
        <w:ind w:left="2805" w:right="325" w:firstLine="0"/>
        <w:jc w:val="both"/>
        <w:rPr>
          <w:rFonts w:ascii="微软雅黑" w:hAnsi="微软雅黑" w:eastAsia="微软雅黑"/>
          <w:b/>
          <w:sz w:val="21"/>
        </w:rPr>
      </w:pPr>
      <w:r>
        <w:rPr>
          <w:rFonts w:ascii="微软雅黑" w:hAnsi="微软雅黑" w:eastAsia="微软雅黑"/>
          <w:b/>
          <w:spacing w:val="-2"/>
          <w:sz w:val="21"/>
        </w:rPr>
        <w:t>若我们对“严重脑中风后遗症”、“严重非恶性颅内肿瘤”和“严重脑损</w:t>
      </w:r>
      <w:r>
        <w:rPr>
          <w:rFonts w:ascii="微软雅黑" w:hAnsi="微软雅黑" w:eastAsia="微软雅黑"/>
          <w:b/>
          <w:spacing w:val="-2"/>
          <w:sz w:val="21"/>
        </w:rPr>
        <w:t>伤”三项中的任意一项承担保险责任后，我们对“严重癫痫”的责任同时</w:t>
      </w:r>
      <w:r>
        <w:rPr>
          <w:rFonts w:ascii="微软雅黑" w:hAnsi="微软雅黑" w:eastAsia="微软雅黑"/>
          <w:b/>
          <w:spacing w:val="-4"/>
          <w:sz w:val="21"/>
        </w:rPr>
        <w:t>终止。</w:t>
      </w:r>
    </w:p>
    <w:p>
      <w:pPr>
        <w:pStyle w:val="BodyText"/>
        <w:spacing w:before="9"/>
        <w:rPr>
          <w:rFonts w:ascii="微软雅黑"/>
          <w:b/>
          <w:sz w:val="10"/>
        </w:rPr>
      </w:pPr>
    </w:p>
    <w:p>
      <w:pPr>
        <w:pStyle w:val="ListParagraph"/>
        <w:numPr>
          <w:ilvl w:val="0"/>
          <w:numId w:val="71"/>
        </w:numPr>
        <w:tabs>
          <w:tab w:pos="1210" w:val="left" w:leader="none"/>
          <w:tab w:pos="1211" w:val="left" w:leader="none"/>
          <w:tab w:pos="2804" w:val="left" w:leader="none"/>
        </w:tabs>
        <w:spacing w:line="240" w:lineRule="auto" w:before="1" w:after="0"/>
        <w:ind w:left="1210" w:right="0" w:hanging="958"/>
        <w:jc w:val="left"/>
        <w:rPr>
          <w:sz w:val="21"/>
        </w:rPr>
      </w:pPr>
      <w:r>
        <w:rPr>
          <w:rFonts w:ascii="微软雅黑" w:eastAsia="微软雅黑"/>
          <w:b/>
          <w:spacing w:val="21"/>
          <w:sz w:val="21"/>
        </w:rPr>
        <w:t>肾</w:t>
      </w:r>
      <w:r>
        <w:rPr>
          <w:rFonts w:ascii="微软雅黑" w:eastAsia="微软雅黑"/>
          <w:b/>
          <w:spacing w:val="23"/>
          <w:sz w:val="21"/>
        </w:rPr>
        <w:t>上</w:t>
      </w:r>
      <w:r>
        <w:rPr>
          <w:rFonts w:ascii="微软雅黑" w:eastAsia="微软雅黑"/>
          <w:b/>
          <w:spacing w:val="21"/>
          <w:sz w:val="21"/>
        </w:rPr>
        <w:t>腺脑白</w:t>
      </w:r>
      <w:r>
        <w:rPr>
          <w:rFonts w:ascii="微软雅黑" w:eastAsia="微软雅黑"/>
          <w:b/>
          <w:spacing w:val="-10"/>
          <w:sz w:val="21"/>
        </w:rPr>
        <w:t>质</w:t>
      </w:r>
      <w:r>
        <w:rPr>
          <w:rFonts w:ascii="微软雅黑" w:eastAsia="微软雅黑"/>
          <w:b/>
          <w:sz w:val="21"/>
        </w:rPr>
        <w:tab/>
      </w:r>
      <w:r>
        <w:rPr>
          <w:spacing w:val="-2"/>
          <w:sz w:val="21"/>
        </w:rPr>
        <w:t>指</w:t>
      </w:r>
      <w:r>
        <w:rPr>
          <w:spacing w:val="-2"/>
          <w:sz w:val="21"/>
        </w:rPr>
        <w:t>一</w:t>
      </w:r>
      <w:r>
        <w:rPr>
          <w:spacing w:val="-2"/>
          <w:sz w:val="21"/>
        </w:rPr>
        <w:t>种</w:t>
      </w:r>
      <w:r>
        <w:rPr>
          <w:spacing w:val="-2"/>
          <w:sz w:val="21"/>
        </w:rPr>
        <w:t>最常见</w:t>
      </w:r>
      <w:r>
        <w:rPr>
          <w:spacing w:val="-2"/>
          <w:sz w:val="21"/>
        </w:rPr>
        <w:t>的</w:t>
      </w:r>
      <w:r>
        <w:rPr>
          <w:spacing w:val="-2"/>
          <w:sz w:val="21"/>
        </w:rPr>
        <w:t>过</w:t>
      </w:r>
      <w:r>
        <w:rPr>
          <w:spacing w:val="-2"/>
          <w:sz w:val="21"/>
        </w:rPr>
        <w:t>氧化物</w:t>
      </w:r>
      <w:r>
        <w:rPr>
          <w:spacing w:val="-2"/>
          <w:sz w:val="21"/>
        </w:rPr>
        <w:t>酶</w:t>
      </w:r>
      <w:r>
        <w:rPr>
          <w:spacing w:val="-2"/>
          <w:sz w:val="21"/>
        </w:rPr>
        <w:t>体</w:t>
      </w:r>
      <w:r>
        <w:rPr>
          <w:spacing w:val="-2"/>
          <w:sz w:val="21"/>
        </w:rPr>
        <w:t>病</w:t>
      </w:r>
      <w:r>
        <w:rPr>
          <w:spacing w:val="-2"/>
          <w:sz w:val="21"/>
        </w:rPr>
        <w:t>，主要</w:t>
      </w:r>
      <w:r>
        <w:rPr>
          <w:spacing w:val="-2"/>
          <w:sz w:val="21"/>
        </w:rPr>
        <w:t>累</w:t>
      </w:r>
      <w:r>
        <w:rPr>
          <w:spacing w:val="-2"/>
          <w:sz w:val="21"/>
        </w:rPr>
        <w:t>及</w:t>
      </w:r>
      <w:r>
        <w:rPr>
          <w:spacing w:val="-2"/>
          <w:sz w:val="21"/>
        </w:rPr>
        <w:t>肾上腺</w:t>
      </w:r>
      <w:r>
        <w:rPr>
          <w:spacing w:val="-2"/>
          <w:sz w:val="21"/>
        </w:rPr>
        <w:t>和</w:t>
      </w:r>
      <w:r>
        <w:rPr>
          <w:spacing w:val="-2"/>
          <w:sz w:val="21"/>
        </w:rPr>
        <w:t>脑</w:t>
      </w:r>
      <w:r>
        <w:rPr>
          <w:spacing w:val="-2"/>
          <w:sz w:val="21"/>
        </w:rPr>
        <w:t>白</w:t>
      </w:r>
      <w:r>
        <w:rPr>
          <w:spacing w:val="-2"/>
          <w:sz w:val="21"/>
        </w:rPr>
        <w:t>质，主</w:t>
      </w:r>
      <w:r>
        <w:rPr>
          <w:spacing w:val="-2"/>
          <w:sz w:val="21"/>
        </w:rPr>
        <w:t>要</w:t>
      </w:r>
      <w:r>
        <w:rPr>
          <w:spacing w:val="-2"/>
          <w:sz w:val="21"/>
        </w:rPr>
        <w:t>表</w:t>
      </w:r>
      <w:r>
        <w:rPr>
          <w:spacing w:val="-2"/>
          <w:sz w:val="21"/>
        </w:rPr>
        <w:t>现</w:t>
      </w:r>
      <w:r>
        <w:rPr>
          <w:spacing w:val="-10"/>
          <w:sz w:val="21"/>
        </w:rPr>
        <w:t>为</w:t>
      </w:r>
    </w:p>
    <w:p>
      <w:pPr>
        <w:spacing w:after="0" w:line="240" w:lineRule="auto"/>
        <w:jc w:val="left"/>
        <w:rPr>
          <w:sz w:val="21"/>
        </w:rPr>
        <w:sectPr>
          <w:type w:val="continuous"/>
          <w:pgSz w:w="11910" w:h="16840"/>
          <w:pgMar w:header="877" w:footer="0" w:top="1100" w:bottom="280" w:left="1060" w:right="980"/>
        </w:sectPr>
      </w:pPr>
    </w:p>
    <w:p>
      <w:pPr>
        <w:pStyle w:val="BodyText"/>
        <w:spacing w:before="8"/>
        <w:rPr>
          <w:sz w:val="8"/>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6999"/>
      </w:tblGrid>
      <w:tr>
        <w:trPr>
          <w:trHeight w:val="923" w:hRule="atLeast"/>
        </w:trPr>
        <w:tc>
          <w:tcPr>
            <w:tcW w:w="634" w:type="dxa"/>
          </w:tcPr>
          <w:p>
            <w:pPr>
              <w:pStyle w:val="TableParagraph"/>
              <w:rPr>
                <w:rFonts w:ascii="Times New Roman"/>
                <w:sz w:val="20"/>
              </w:rPr>
            </w:pPr>
          </w:p>
        </w:tc>
        <w:tc>
          <w:tcPr>
            <w:tcW w:w="1858" w:type="dxa"/>
          </w:tcPr>
          <w:p>
            <w:pPr>
              <w:pStyle w:val="TableParagraph"/>
              <w:spacing w:line="291" w:lineRule="exact"/>
              <w:ind w:left="373"/>
              <w:rPr>
                <w:rFonts w:ascii="微软雅黑" w:eastAsia="微软雅黑"/>
                <w:b/>
                <w:sz w:val="21"/>
              </w:rPr>
            </w:pPr>
            <w:r>
              <w:rPr>
                <w:rFonts w:ascii="微软雅黑" w:eastAsia="微软雅黑"/>
                <w:b/>
                <w:spacing w:val="-3"/>
                <w:sz w:val="21"/>
              </w:rPr>
              <w:t>营养不良</w:t>
            </w:r>
          </w:p>
        </w:tc>
        <w:tc>
          <w:tcPr>
            <w:tcW w:w="6999" w:type="dxa"/>
          </w:tcPr>
          <w:p>
            <w:pPr>
              <w:pStyle w:val="TableParagraph"/>
              <w:spacing w:line="241" w:lineRule="exact"/>
              <w:ind w:left="109"/>
              <w:rPr>
                <w:sz w:val="21"/>
              </w:rPr>
            </w:pPr>
            <w:r>
              <w:rPr>
                <w:spacing w:val="-3"/>
                <w:sz w:val="21"/>
              </w:rPr>
              <w:t>进行性的精神运动障碍，视力及听力下降或肾上腺皮质功能低下等。须由</w:t>
            </w:r>
          </w:p>
          <w:p>
            <w:pPr>
              <w:pStyle w:val="TableParagraph"/>
              <w:spacing w:line="244" w:lineRule="auto" w:before="2"/>
              <w:ind w:left="109" w:right="154"/>
              <w:rPr>
                <w:sz w:val="21"/>
              </w:rPr>
            </w:pPr>
            <w:r>
              <w:rPr>
                <w:spacing w:val="-2"/>
                <w:sz w:val="21"/>
              </w:rPr>
              <w:t>专科医生诊断，且已经造成自主生活能力完全丧失，无法独立完成六项基</w:t>
            </w:r>
            <w:r>
              <w:rPr>
                <w:spacing w:val="-1"/>
                <w:sz w:val="21"/>
              </w:rPr>
              <w:t>本日常生活活动中的三项或三项以上，持续至少 </w:t>
            </w:r>
            <w:r>
              <w:rPr>
                <w:sz w:val="21"/>
              </w:rPr>
              <w:t>180</w:t>
            </w:r>
            <w:r>
              <w:rPr>
                <w:spacing w:val="-7"/>
                <w:sz w:val="21"/>
              </w:rPr>
              <w:t> 天。</w:t>
            </w:r>
          </w:p>
        </w:tc>
      </w:tr>
      <w:tr>
        <w:trPr>
          <w:trHeight w:val="408" w:hRule="atLeast"/>
        </w:trPr>
        <w:tc>
          <w:tcPr>
            <w:tcW w:w="634" w:type="dxa"/>
          </w:tcPr>
          <w:p>
            <w:pPr>
              <w:pStyle w:val="TableParagraph"/>
              <w:spacing w:line="317" w:lineRule="exact" w:before="71"/>
              <w:ind w:left="50"/>
              <w:rPr>
                <w:rFonts w:ascii="微软雅黑"/>
                <w:b/>
                <w:sz w:val="21"/>
              </w:rPr>
            </w:pPr>
            <w:r>
              <w:rPr>
                <w:rFonts w:ascii="微软雅黑"/>
                <w:b/>
                <w:spacing w:val="-5"/>
                <w:w w:val="90"/>
                <w:sz w:val="21"/>
              </w:rPr>
              <w:t>93</w:t>
            </w:r>
          </w:p>
        </w:tc>
        <w:tc>
          <w:tcPr>
            <w:tcW w:w="1858" w:type="dxa"/>
          </w:tcPr>
          <w:p>
            <w:pPr>
              <w:pStyle w:val="TableParagraph"/>
              <w:spacing w:line="317" w:lineRule="exact" w:before="71"/>
              <w:ind w:left="373"/>
              <w:rPr>
                <w:rFonts w:ascii="微软雅黑" w:eastAsia="微软雅黑"/>
                <w:b/>
                <w:sz w:val="21"/>
              </w:rPr>
            </w:pPr>
            <w:r>
              <w:rPr>
                <w:rFonts w:ascii="微软雅黑" w:eastAsia="微软雅黑"/>
                <w:b/>
                <w:spacing w:val="15"/>
                <w:sz w:val="21"/>
              </w:rPr>
              <w:t>弥漫性血管内</w:t>
            </w:r>
          </w:p>
        </w:tc>
        <w:tc>
          <w:tcPr>
            <w:tcW w:w="6999" w:type="dxa"/>
          </w:tcPr>
          <w:p>
            <w:pPr>
              <w:pStyle w:val="TableParagraph"/>
              <w:spacing w:line="250" w:lineRule="exact" w:before="138"/>
              <w:ind w:left="109"/>
              <w:rPr>
                <w:sz w:val="21"/>
              </w:rPr>
            </w:pPr>
            <w:r>
              <w:rPr>
                <w:spacing w:val="-3"/>
                <w:sz w:val="21"/>
              </w:rPr>
              <w:t>指血液凝固系统和纤溶系统的过度活动导致微血管血栓形成、血小板及凝</w:t>
            </w:r>
          </w:p>
        </w:tc>
      </w:tr>
      <w:tr>
        <w:trPr>
          <w:trHeight w:val="272" w:hRule="atLeast"/>
        </w:trPr>
        <w:tc>
          <w:tcPr>
            <w:tcW w:w="634" w:type="dxa"/>
          </w:tcPr>
          <w:p>
            <w:pPr>
              <w:pStyle w:val="TableParagraph"/>
              <w:rPr>
                <w:rFonts w:ascii="Times New Roman"/>
                <w:sz w:val="20"/>
              </w:rPr>
            </w:pPr>
          </w:p>
        </w:tc>
        <w:tc>
          <w:tcPr>
            <w:tcW w:w="1858" w:type="dxa"/>
          </w:tcPr>
          <w:p>
            <w:pPr>
              <w:pStyle w:val="TableParagraph"/>
              <w:spacing w:line="252" w:lineRule="exact"/>
              <w:ind w:left="373"/>
              <w:rPr>
                <w:rFonts w:ascii="微软雅黑" w:eastAsia="微软雅黑"/>
                <w:b/>
                <w:sz w:val="21"/>
              </w:rPr>
            </w:pPr>
            <w:r>
              <w:rPr>
                <w:rFonts w:ascii="微软雅黑" w:eastAsia="微软雅黑"/>
                <w:b/>
                <w:spacing w:val="-5"/>
                <w:sz w:val="21"/>
              </w:rPr>
              <w:t>凝血</w:t>
            </w:r>
          </w:p>
        </w:tc>
        <w:tc>
          <w:tcPr>
            <w:tcW w:w="6999" w:type="dxa"/>
          </w:tcPr>
          <w:p>
            <w:pPr>
              <w:pStyle w:val="TableParagraph"/>
              <w:spacing w:line="251" w:lineRule="exact" w:before="1"/>
              <w:ind w:left="109"/>
              <w:rPr>
                <w:sz w:val="21"/>
              </w:rPr>
            </w:pPr>
            <w:r>
              <w:rPr>
                <w:spacing w:val="-3"/>
                <w:sz w:val="21"/>
              </w:rPr>
              <w:t>血因子耗竭和严重出血，需要输注血浆和浓缩血小板进行治疗。须提供同</w:t>
            </w:r>
          </w:p>
        </w:tc>
      </w:tr>
      <w:tr>
        <w:trPr>
          <w:trHeight w:val="544"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65" w:lineRule="exact" w:before="2"/>
              <w:ind w:left="109"/>
              <w:rPr>
                <w:sz w:val="21"/>
              </w:rPr>
            </w:pPr>
            <w:r>
              <w:rPr>
                <w:spacing w:val="-3"/>
                <w:sz w:val="21"/>
              </w:rPr>
              <w:t>时具有下列条件中的至少三项的检验报告：</w:t>
            </w:r>
          </w:p>
          <w:p>
            <w:pPr>
              <w:pStyle w:val="TableParagraph"/>
              <w:spacing w:line="257" w:lineRule="exact"/>
              <w:ind w:left="109"/>
              <w:rPr>
                <w:sz w:val="21"/>
              </w:rPr>
            </w:pPr>
            <w:r>
              <w:rPr>
                <w:spacing w:val="-2"/>
                <w:sz w:val="21"/>
              </w:rPr>
              <w:t>（1）血小板计数&lt;100×10</w:t>
            </w:r>
            <w:r>
              <w:rPr>
                <w:spacing w:val="-2"/>
                <w:position w:val="11"/>
                <w:sz w:val="11"/>
              </w:rPr>
              <w:t>9</w:t>
            </w:r>
            <w:r>
              <w:rPr>
                <w:spacing w:val="-2"/>
                <w:sz w:val="21"/>
              </w:rPr>
              <w:t>/L</w:t>
            </w:r>
            <w:r>
              <w:rPr>
                <w:spacing w:val="-9"/>
                <w:sz w:val="21"/>
              </w:rPr>
              <w:t> 或者呈进行性下降；</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0" w:lineRule="exact" w:before="2"/>
              <w:ind w:left="109"/>
              <w:rPr>
                <w:sz w:val="21"/>
              </w:rPr>
            </w:pPr>
            <w:r>
              <w:rPr>
                <w:spacing w:val="-2"/>
                <w:sz w:val="21"/>
              </w:rPr>
              <w:t>（2）血浆纤维蛋白原含量&lt;1.5g/L</w:t>
            </w:r>
            <w:r>
              <w:rPr>
                <w:spacing w:val="-12"/>
                <w:sz w:val="21"/>
              </w:rPr>
              <w:t> 或者&gt;</w:t>
            </w:r>
            <w:r>
              <w:rPr>
                <w:spacing w:val="-2"/>
                <w:sz w:val="21"/>
              </w:rPr>
              <w:t>4g/L</w:t>
            </w:r>
            <w:r>
              <w:rPr>
                <w:spacing w:val="-9"/>
                <w:sz w:val="21"/>
              </w:rPr>
              <w:t> 或者呈进行性下降；</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1" w:lineRule="exact" w:before="1"/>
              <w:ind w:left="109"/>
              <w:rPr>
                <w:sz w:val="21"/>
              </w:rPr>
            </w:pPr>
            <w:r>
              <w:rPr>
                <w:spacing w:val="-2"/>
                <w:sz w:val="21"/>
              </w:rPr>
              <w:t>（3）3P</w:t>
            </w:r>
            <w:r>
              <w:rPr>
                <w:spacing w:val="-13"/>
                <w:sz w:val="21"/>
              </w:rPr>
              <w:t> 试验阳性或者血浆 </w:t>
            </w:r>
            <w:r>
              <w:rPr>
                <w:spacing w:val="-2"/>
                <w:sz w:val="21"/>
              </w:rPr>
              <w:t>FDP&gt;20mg/L；</w:t>
            </w:r>
          </w:p>
        </w:tc>
      </w:tr>
      <w:tr>
        <w:trPr>
          <w:trHeight w:val="409"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before="2"/>
              <w:ind w:left="109"/>
              <w:rPr>
                <w:sz w:val="21"/>
              </w:rPr>
            </w:pPr>
            <w:r>
              <w:rPr>
                <w:spacing w:val="-2"/>
                <w:sz w:val="21"/>
              </w:rPr>
              <w:t>（4）凝血酶原时间&gt;15</w:t>
            </w:r>
            <w:r>
              <w:rPr>
                <w:spacing w:val="-14"/>
                <w:sz w:val="21"/>
              </w:rPr>
              <w:t> 秒或者超过对照组 </w:t>
            </w:r>
            <w:r>
              <w:rPr>
                <w:spacing w:val="-2"/>
                <w:sz w:val="21"/>
              </w:rPr>
              <w:t>3</w:t>
            </w:r>
            <w:r>
              <w:rPr>
                <w:spacing w:val="-14"/>
                <w:sz w:val="21"/>
              </w:rPr>
              <w:t> 秒以上。</w:t>
            </w:r>
          </w:p>
        </w:tc>
      </w:tr>
      <w:tr>
        <w:trPr>
          <w:trHeight w:val="408" w:hRule="atLeast"/>
        </w:trPr>
        <w:tc>
          <w:tcPr>
            <w:tcW w:w="634" w:type="dxa"/>
          </w:tcPr>
          <w:p>
            <w:pPr>
              <w:pStyle w:val="TableParagraph"/>
              <w:spacing w:line="317" w:lineRule="exact" w:before="71"/>
              <w:ind w:left="50"/>
              <w:rPr>
                <w:rFonts w:ascii="微软雅黑"/>
                <w:b/>
                <w:sz w:val="21"/>
              </w:rPr>
            </w:pPr>
            <w:r>
              <w:rPr>
                <w:rFonts w:ascii="微软雅黑"/>
                <w:b/>
                <w:spacing w:val="-5"/>
                <w:w w:val="90"/>
                <w:sz w:val="21"/>
              </w:rPr>
              <w:t>94</w:t>
            </w:r>
          </w:p>
        </w:tc>
        <w:tc>
          <w:tcPr>
            <w:tcW w:w="1858" w:type="dxa"/>
          </w:tcPr>
          <w:p>
            <w:pPr>
              <w:pStyle w:val="TableParagraph"/>
              <w:spacing w:line="317" w:lineRule="exact" w:before="71"/>
              <w:ind w:left="373"/>
              <w:rPr>
                <w:rFonts w:ascii="微软雅黑" w:eastAsia="微软雅黑"/>
                <w:b/>
                <w:sz w:val="21"/>
              </w:rPr>
            </w:pPr>
            <w:r>
              <w:rPr>
                <w:rFonts w:ascii="微软雅黑" w:eastAsia="微软雅黑"/>
                <w:b/>
                <w:w w:val="85"/>
                <w:sz w:val="21"/>
              </w:rPr>
              <w:t>Brugada</w:t>
            </w:r>
            <w:r>
              <w:rPr>
                <w:rFonts w:ascii="微软雅黑" w:eastAsia="微软雅黑"/>
                <w:b/>
                <w:spacing w:val="-3"/>
                <w:sz w:val="21"/>
              </w:rPr>
              <w:t> </w:t>
            </w:r>
            <w:r>
              <w:rPr>
                <w:rFonts w:ascii="微软雅黑" w:eastAsia="微软雅黑"/>
                <w:b/>
                <w:w w:val="85"/>
                <w:sz w:val="21"/>
              </w:rPr>
              <w:t>综</w:t>
            </w:r>
            <w:r>
              <w:rPr>
                <w:rFonts w:ascii="微软雅黑" w:eastAsia="微软雅黑"/>
                <w:b/>
                <w:spacing w:val="-10"/>
                <w:w w:val="85"/>
                <w:sz w:val="21"/>
              </w:rPr>
              <w:t>合</w:t>
            </w:r>
          </w:p>
        </w:tc>
        <w:tc>
          <w:tcPr>
            <w:tcW w:w="6999" w:type="dxa"/>
          </w:tcPr>
          <w:p>
            <w:pPr>
              <w:pStyle w:val="TableParagraph"/>
              <w:spacing w:line="250" w:lineRule="exact" w:before="138"/>
              <w:ind w:left="109"/>
              <w:rPr>
                <w:sz w:val="21"/>
              </w:rPr>
            </w:pPr>
            <w:r>
              <w:rPr>
                <w:spacing w:val="-10"/>
                <w:sz w:val="21"/>
              </w:rPr>
              <w:t>指由我们认可医院的心脏专科医生诊断为夜间呼吸骤停</w:t>
            </w:r>
            <w:r>
              <w:rPr>
                <w:spacing w:val="6"/>
                <w:sz w:val="21"/>
              </w:rPr>
              <w:t>（</w:t>
            </w:r>
            <w:r>
              <w:rPr>
                <w:spacing w:val="3"/>
                <w:sz w:val="21"/>
              </w:rPr>
              <w:t>B</w:t>
            </w:r>
            <w:r>
              <w:rPr>
                <w:spacing w:val="6"/>
                <w:sz w:val="21"/>
              </w:rPr>
              <w:t>rug</w:t>
            </w:r>
            <w:r>
              <w:rPr>
                <w:spacing w:val="3"/>
                <w:sz w:val="21"/>
              </w:rPr>
              <w:t>a</w:t>
            </w:r>
            <w:r>
              <w:rPr>
                <w:spacing w:val="6"/>
                <w:sz w:val="21"/>
              </w:rPr>
              <w:t>d</w:t>
            </w:r>
            <w:r>
              <w:rPr>
                <w:spacing w:val="5"/>
                <w:sz w:val="21"/>
              </w:rPr>
              <w:t>a</w:t>
            </w:r>
            <w:r>
              <w:rPr>
                <w:spacing w:val="-98"/>
                <w:sz w:val="21"/>
              </w:rPr>
              <w:t>）</w:t>
            </w:r>
            <w:r>
              <w:rPr>
                <w:spacing w:val="-7"/>
                <w:sz w:val="21"/>
              </w:rPr>
              <w:t>综合征，</w:t>
            </w:r>
          </w:p>
        </w:tc>
      </w:tr>
      <w:tr>
        <w:trPr>
          <w:trHeight w:val="272" w:hRule="atLeast"/>
        </w:trPr>
        <w:tc>
          <w:tcPr>
            <w:tcW w:w="634" w:type="dxa"/>
          </w:tcPr>
          <w:p>
            <w:pPr>
              <w:pStyle w:val="TableParagraph"/>
              <w:rPr>
                <w:rFonts w:ascii="Times New Roman"/>
                <w:sz w:val="20"/>
              </w:rPr>
            </w:pPr>
          </w:p>
        </w:tc>
        <w:tc>
          <w:tcPr>
            <w:tcW w:w="1858" w:type="dxa"/>
          </w:tcPr>
          <w:p>
            <w:pPr>
              <w:pStyle w:val="TableParagraph"/>
              <w:spacing w:line="253" w:lineRule="exact"/>
              <w:ind w:left="373"/>
              <w:rPr>
                <w:rFonts w:ascii="微软雅黑" w:eastAsia="微软雅黑"/>
                <w:b/>
                <w:sz w:val="21"/>
              </w:rPr>
            </w:pPr>
            <w:r>
              <w:rPr>
                <w:rFonts w:ascii="微软雅黑" w:eastAsia="微软雅黑"/>
                <w:b/>
                <w:w w:val="100"/>
                <w:sz w:val="21"/>
              </w:rPr>
              <w:t>征</w:t>
            </w:r>
          </w:p>
        </w:tc>
        <w:tc>
          <w:tcPr>
            <w:tcW w:w="6999" w:type="dxa"/>
          </w:tcPr>
          <w:p>
            <w:pPr>
              <w:pStyle w:val="TableParagraph"/>
              <w:spacing w:line="251" w:lineRule="exact" w:before="2"/>
              <w:ind w:left="109"/>
              <w:rPr>
                <w:sz w:val="21"/>
              </w:rPr>
            </w:pPr>
            <w:r>
              <w:rPr>
                <w:spacing w:val="-3"/>
                <w:sz w:val="21"/>
              </w:rPr>
              <w:t>且满足下列全部条件：</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0" w:lineRule="exact" w:before="2"/>
              <w:ind w:left="109"/>
              <w:rPr>
                <w:sz w:val="21"/>
              </w:rPr>
            </w:pPr>
            <w:r>
              <w:rPr>
                <w:spacing w:val="-2"/>
                <w:sz w:val="21"/>
              </w:rPr>
              <w:t>（1）</w:t>
            </w:r>
            <w:r>
              <w:rPr>
                <w:spacing w:val="-3"/>
                <w:sz w:val="21"/>
              </w:rPr>
              <w:t>有晕厥或心脏骤停病史，并提供完整的诊疗记录；</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1" w:lineRule="exact" w:before="1"/>
              <w:ind w:left="109"/>
              <w:rPr>
                <w:sz w:val="21"/>
              </w:rPr>
            </w:pPr>
            <w:r>
              <w:rPr>
                <w:spacing w:val="-2"/>
                <w:sz w:val="21"/>
              </w:rPr>
              <w:t>（2）</w:t>
            </w:r>
            <w:r>
              <w:rPr>
                <w:spacing w:val="-7"/>
                <w:sz w:val="21"/>
              </w:rPr>
              <w:t>心电图有典型的Ⅰ型 </w:t>
            </w:r>
            <w:r>
              <w:rPr>
                <w:spacing w:val="-2"/>
                <w:sz w:val="21"/>
              </w:rPr>
              <w:t>Brugada</w:t>
            </w:r>
            <w:r>
              <w:rPr>
                <w:spacing w:val="-19"/>
                <w:sz w:val="21"/>
              </w:rPr>
              <w:t> 波；</w:t>
            </w:r>
          </w:p>
        </w:tc>
      </w:tr>
      <w:tr>
        <w:trPr>
          <w:trHeight w:val="409"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before="2"/>
              <w:ind w:left="109"/>
              <w:rPr>
                <w:sz w:val="21"/>
              </w:rPr>
            </w:pPr>
            <w:r>
              <w:rPr>
                <w:spacing w:val="-2"/>
                <w:sz w:val="21"/>
              </w:rPr>
              <w:t>（3）</w:t>
            </w:r>
            <w:r>
              <w:rPr>
                <w:spacing w:val="-3"/>
                <w:sz w:val="21"/>
              </w:rPr>
              <w:t>已经安装了永久性心脏除颤器。</w:t>
            </w:r>
          </w:p>
        </w:tc>
      </w:tr>
      <w:tr>
        <w:trPr>
          <w:trHeight w:val="408" w:hRule="atLeast"/>
        </w:trPr>
        <w:tc>
          <w:tcPr>
            <w:tcW w:w="634" w:type="dxa"/>
          </w:tcPr>
          <w:p>
            <w:pPr>
              <w:pStyle w:val="TableParagraph"/>
              <w:spacing w:line="317" w:lineRule="exact" w:before="71"/>
              <w:ind w:left="50"/>
              <w:rPr>
                <w:rFonts w:ascii="微软雅黑"/>
                <w:b/>
                <w:sz w:val="21"/>
              </w:rPr>
            </w:pPr>
            <w:r>
              <w:rPr>
                <w:rFonts w:ascii="微软雅黑"/>
                <w:b/>
                <w:spacing w:val="-5"/>
                <w:w w:val="90"/>
                <w:sz w:val="21"/>
              </w:rPr>
              <w:t>95</w:t>
            </w:r>
          </w:p>
        </w:tc>
        <w:tc>
          <w:tcPr>
            <w:tcW w:w="1858" w:type="dxa"/>
          </w:tcPr>
          <w:p>
            <w:pPr>
              <w:pStyle w:val="TableParagraph"/>
              <w:spacing w:line="317" w:lineRule="exact" w:before="71"/>
              <w:ind w:left="373"/>
              <w:rPr>
                <w:rFonts w:ascii="微软雅黑" w:eastAsia="微软雅黑"/>
                <w:b/>
                <w:sz w:val="21"/>
              </w:rPr>
            </w:pPr>
            <w:r>
              <w:rPr>
                <w:rFonts w:ascii="微软雅黑" w:eastAsia="微软雅黑"/>
                <w:b/>
                <w:spacing w:val="-2"/>
                <w:sz w:val="21"/>
              </w:rPr>
              <w:t>范可尼综合征</w:t>
            </w:r>
          </w:p>
        </w:tc>
        <w:tc>
          <w:tcPr>
            <w:tcW w:w="6999" w:type="dxa"/>
          </w:tcPr>
          <w:p>
            <w:pPr>
              <w:pStyle w:val="TableParagraph"/>
              <w:spacing w:line="250" w:lineRule="exact" w:before="138"/>
              <w:ind w:left="109"/>
              <w:rPr>
                <w:sz w:val="21"/>
              </w:rPr>
            </w:pPr>
            <w:r>
              <w:rPr>
                <w:spacing w:val="-3"/>
                <w:sz w:val="21"/>
              </w:rPr>
              <w:t>指近端肾小管的功能异常引起的一组症候群。须满足下列至少三个条件：</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1" w:lineRule="exact" w:before="1"/>
              <w:ind w:left="109"/>
              <w:rPr>
                <w:sz w:val="21"/>
              </w:rPr>
            </w:pPr>
            <w:r>
              <w:rPr>
                <w:spacing w:val="-2"/>
                <w:sz w:val="21"/>
              </w:rPr>
              <w:t>（1）</w:t>
            </w:r>
            <w:r>
              <w:rPr>
                <w:spacing w:val="-10"/>
                <w:sz w:val="21"/>
              </w:rPr>
              <w:t> 尿液检查出现肾性糖尿、全氨基酸糖尿或磷酸盐尿；</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0" w:lineRule="exact" w:before="2"/>
              <w:ind w:left="109"/>
              <w:rPr>
                <w:sz w:val="21"/>
              </w:rPr>
            </w:pPr>
            <w:r>
              <w:rPr>
                <w:spacing w:val="-2"/>
                <w:sz w:val="21"/>
              </w:rPr>
              <w:t>（2）</w:t>
            </w:r>
            <w:r>
              <w:rPr>
                <w:spacing w:val="-10"/>
                <w:sz w:val="21"/>
              </w:rPr>
              <w:t> 血液检查出现低磷血症、低尿酸血症或近端肾小管酸中毒；</w:t>
            </w:r>
          </w:p>
        </w:tc>
      </w:tr>
      <w:tr>
        <w:trPr>
          <w:trHeight w:val="271"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0" w:lineRule="exact" w:before="1"/>
              <w:ind w:left="109"/>
              <w:rPr>
                <w:sz w:val="21"/>
              </w:rPr>
            </w:pPr>
            <w:r>
              <w:rPr>
                <w:spacing w:val="-2"/>
                <w:sz w:val="21"/>
              </w:rPr>
              <w:t>（3）</w:t>
            </w:r>
            <w:r>
              <w:rPr>
                <w:spacing w:val="-10"/>
                <w:sz w:val="21"/>
              </w:rPr>
              <w:t> 出现骨质疏松、骨骼畸形或尿路结石；</w:t>
            </w:r>
          </w:p>
        </w:tc>
      </w:tr>
      <w:tr>
        <w:trPr>
          <w:trHeight w:val="241" w:hRule="atLeast"/>
        </w:trPr>
        <w:tc>
          <w:tcPr>
            <w:tcW w:w="634" w:type="dxa"/>
          </w:tcPr>
          <w:p>
            <w:pPr>
              <w:pStyle w:val="TableParagraph"/>
              <w:rPr>
                <w:rFonts w:ascii="Times New Roman"/>
                <w:sz w:val="16"/>
              </w:rPr>
            </w:pPr>
          </w:p>
        </w:tc>
        <w:tc>
          <w:tcPr>
            <w:tcW w:w="1858" w:type="dxa"/>
          </w:tcPr>
          <w:p>
            <w:pPr>
              <w:pStyle w:val="TableParagraph"/>
              <w:rPr>
                <w:rFonts w:ascii="Times New Roman"/>
                <w:sz w:val="16"/>
              </w:rPr>
            </w:pPr>
          </w:p>
        </w:tc>
        <w:tc>
          <w:tcPr>
            <w:tcW w:w="6999" w:type="dxa"/>
          </w:tcPr>
          <w:p>
            <w:pPr>
              <w:pStyle w:val="TableParagraph"/>
              <w:spacing w:line="220" w:lineRule="exact" w:before="1"/>
              <w:ind w:left="109"/>
              <w:rPr>
                <w:sz w:val="21"/>
              </w:rPr>
            </w:pPr>
            <w:r>
              <w:rPr>
                <w:sz w:val="21"/>
              </w:rPr>
              <w:t>（4）</w:t>
            </w:r>
            <w:r>
              <w:rPr>
                <w:spacing w:val="-7"/>
                <w:sz w:val="21"/>
              </w:rPr>
              <w:t> 通过骨髓片、白细胞、直肠黏膜中的结晶分析或裂隙灯检查角膜有</w:t>
            </w:r>
          </w:p>
        </w:tc>
      </w:tr>
      <w:tr>
        <w:trPr>
          <w:trHeight w:val="273"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20" w:lineRule="exact" w:before="34"/>
              <w:ind w:left="676"/>
              <w:rPr>
                <w:sz w:val="21"/>
              </w:rPr>
            </w:pPr>
            <w:r>
              <w:rPr>
                <w:spacing w:val="-4"/>
                <w:sz w:val="21"/>
              </w:rPr>
              <w:t>胱氨酸结晶。</w:t>
            </w:r>
          </w:p>
        </w:tc>
      </w:tr>
      <w:tr>
        <w:trPr>
          <w:trHeight w:val="30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83" w:lineRule="exact"/>
              <w:ind w:left="109"/>
              <w:rPr>
                <w:rFonts w:ascii="微软雅黑" w:eastAsia="微软雅黑"/>
                <w:b/>
                <w:sz w:val="21"/>
              </w:rPr>
            </w:pPr>
            <w:r>
              <w:rPr>
                <w:rFonts w:ascii="微软雅黑" w:eastAsia="微软雅黑"/>
                <w:b/>
                <w:w w:val="95"/>
                <w:sz w:val="21"/>
              </w:rPr>
              <w:t>被</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人</w:t>
            </w:r>
            <w:r>
              <w:rPr>
                <w:rFonts w:ascii="微软雅黑" w:eastAsia="微软雅黑"/>
                <w:b/>
                <w:w w:val="95"/>
                <w:sz w:val="21"/>
              </w:rPr>
              <w:t>在</w:t>
            </w:r>
            <w:r>
              <w:rPr>
                <w:rFonts w:ascii="微软雅黑" w:eastAsia="微软雅黑"/>
                <w:b/>
                <w:spacing w:val="44"/>
                <w:sz w:val="21"/>
              </w:rPr>
              <w:t> </w:t>
            </w:r>
            <w:r>
              <w:rPr>
                <w:rFonts w:ascii="微软雅黑" w:eastAsia="微软雅黑"/>
                <w:b/>
                <w:w w:val="95"/>
                <w:sz w:val="21"/>
              </w:rPr>
              <w:t>0</w:t>
            </w:r>
            <w:r>
              <w:rPr>
                <w:rFonts w:ascii="微软雅黑" w:eastAsia="微软雅黑"/>
                <w:b/>
                <w:spacing w:val="44"/>
                <w:sz w:val="21"/>
              </w:rPr>
              <w:t> </w:t>
            </w:r>
            <w:r>
              <w:rPr>
                <w:rFonts w:ascii="微软雅黑" w:eastAsia="微软雅黑"/>
                <w:b/>
                <w:w w:val="95"/>
                <w:sz w:val="21"/>
              </w:rPr>
              <w:t>至</w:t>
            </w:r>
            <w:r>
              <w:rPr>
                <w:rFonts w:ascii="微软雅黑" w:eastAsia="微软雅黑"/>
                <w:b/>
                <w:spacing w:val="44"/>
                <w:sz w:val="21"/>
              </w:rPr>
              <w:t> </w:t>
            </w:r>
            <w:r>
              <w:rPr>
                <w:rFonts w:ascii="微软雅黑" w:eastAsia="微软雅黑"/>
                <w:b/>
                <w:w w:val="95"/>
                <w:sz w:val="21"/>
              </w:rPr>
              <w:t>3</w:t>
            </w:r>
            <w:r>
              <w:rPr>
                <w:rFonts w:ascii="微软雅黑" w:eastAsia="微软雅黑"/>
                <w:b/>
                <w:spacing w:val="45"/>
                <w:sz w:val="21"/>
              </w:rPr>
              <w:t> </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期</w:t>
            </w:r>
            <w:r>
              <w:rPr>
                <w:rFonts w:ascii="微软雅黑" w:eastAsia="微软雅黑"/>
                <w:b/>
                <w:w w:val="95"/>
                <w:sz w:val="21"/>
              </w:rPr>
              <w:t>间</w:t>
            </w:r>
            <w:r>
              <w:rPr>
                <w:rFonts w:ascii="微软雅黑" w:eastAsia="微软雅黑"/>
                <w:b/>
                <w:w w:val="95"/>
                <w:sz w:val="21"/>
              </w:rPr>
              <w:t>罹</w:t>
            </w:r>
            <w:r>
              <w:rPr>
                <w:rFonts w:ascii="微软雅黑" w:eastAsia="微软雅黑"/>
                <w:b/>
                <w:w w:val="95"/>
                <w:sz w:val="21"/>
              </w:rPr>
              <w:t>患</w:t>
            </w:r>
            <w:r>
              <w:rPr>
                <w:rFonts w:ascii="微软雅黑" w:eastAsia="微软雅黑"/>
                <w:b/>
                <w:w w:val="95"/>
                <w:sz w:val="21"/>
              </w:rPr>
              <w:t>该</w:t>
            </w:r>
            <w:r>
              <w:rPr>
                <w:rFonts w:ascii="微软雅黑" w:eastAsia="微软雅黑"/>
                <w:b/>
                <w:w w:val="95"/>
                <w:sz w:val="21"/>
              </w:rPr>
              <w:t>疾</w:t>
            </w:r>
            <w:r>
              <w:rPr>
                <w:rFonts w:ascii="微软雅黑" w:eastAsia="微软雅黑"/>
                <w:b/>
                <w:w w:val="95"/>
                <w:sz w:val="21"/>
              </w:rPr>
              <w:t>病</w:t>
            </w:r>
            <w:r>
              <w:rPr>
                <w:rFonts w:ascii="微软雅黑" w:eastAsia="微软雅黑"/>
                <w:b/>
                <w:w w:val="95"/>
                <w:sz w:val="21"/>
              </w:rPr>
              <w:t>，</w:t>
            </w:r>
            <w:r>
              <w:rPr>
                <w:rFonts w:ascii="微软雅黑" w:eastAsia="微软雅黑"/>
                <w:b/>
                <w:w w:val="95"/>
                <w:sz w:val="21"/>
              </w:rPr>
              <w:t>我</w:t>
            </w:r>
            <w:r>
              <w:rPr>
                <w:rFonts w:ascii="微软雅黑" w:eastAsia="微软雅黑"/>
                <w:b/>
                <w:w w:val="95"/>
                <w:sz w:val="21"/>
              </w:rPr>
              <w:t>们不承</w:t>
            </w:r>
            <w:r>
              <w:rPr>
                <w:rFonts w:ascii="微软雅黑" w:eastAsia="微软雅黑"/>
                <w:b/>
                <w:w w:val="95"/>
                <w:sz w:val="21"/>
              </w:rPr>
              <w:t>担</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责</w:t>
            </w:r>
            <w:r>
              <w:rPr>
                <w:rFonts w:ascii="微软雅黑" w:eastAsia="微软雅黑"/>
                <w:b/>
                <w:w w:val="95"/>
                <w:sz w:val="21"/>
              </w:rPr>
              <w:t>任</w:t>
            </w:r>
            <w:r>
              <w:rPr>
                <w:rFonts w:ascii="微软雅黑" w:eastAsia="微软雅黑"/>
                <w:b/>
                <w:spacing w:val="-10"/>
                <w:w w:val="95"/>
                <w:sz w:val="21"/>
              </w:rPr>
              <w:t>。</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0" w:lineRule="exact" w:before="3"/>
              <w:ind w:left="109"/>
              <w:rPr>
                <w:sz w:val="21"/>
              </w:rPr>
            </w:pPr>
            <w:r>
              <w:rPr>
                <w:spacing w:val="-3"/>
                <w:sz w:val="21"/>
              </w:rPr>
              <w:t>本项疾病责任不受合同“责任免除”中“遗传性疾病，先天性畸形、变形</w:t>
            </w:r>
          </w:p>
        </w:tc>
      </w:tr>
      <w:tr>
        <w:trPr>
          <w:trHeight w:val="407"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before="1"/>
              <w:ind w:left="109"/>
              <w:rPr>
                <w:sz w:val="21"/>
              </w:rPr>
            </w:pPr>
            <w:r>
              <w:rPr>
                <w:spacing w:val="-3"/>
                <w:sz w:val="21"/>
              </w:rPr>
              <w:t>或染色体异常”的限制。</w:t>
            </w:r>
          </w:p>
        </w:tc>
      </w:tr>
      <w:tr>
        <w:trPr>
          <w:trHeight w:val="409" w:hRule="atLeast"/>
        </w:trPr>
        <w:tc>
          <w:tcPr>
            <w:tcW w:w="634" w:type="dxa"/>
          </w:tcPr>
          <w:p>
            <w:pPr>
              <w:pStyle w:val="TableParagraph"/>
              <w:spacing w:line="318" w:lineRule="exact" w:before="71"/>
              <w:ind w:left="50"/>
              <w:rPr>
                <w:rFonts w:ascii="微软雅黑"/>
                <w:b/>
                <w:sz w:val="21"/>
              </w:rPr>
            </w:pPr>
            <w:r>
              <w:rPr>
                <w:rFonts w:ascii="微软雅黑"/>
                <w:b/>
                <w:spacing w:val="-5"/>
                <w:w w:val="90"/>
                <w:sz w:val="21"/>
              </w:rPr>
              <w:t>96</w:t>
            </w:r>
          </w:p>
        </w:tc>
        <w:tc>
          <w:tcPr>
            <w:tcW w:w="1858" w:type="dxa"/>
          </w:tcPr>
          <w:p>
            <w:pPr>
              <w:pStyle w:val="TableParagraph"/>
              <w:spacing w:line="318" w:lineRule="exact" w:before="71"/>
              <w:ind w:left="373"/>
              <w:rPr>
                <w:rFonts w:ascii="微软雅黑" w:eastAsia="微软雅黑"/>
                <w:b/>
                <w:sz w:val="21"/>
              </w:rPr>
            </w:pPr>
            <w:r>
              <w:rPr>
                <w:rFonts w:ascii="微软雅黑" w:eastAsia="微软雅黑"/>
                <w:b/>
                <w:spacing w:val="15"/>
                <w:sz w:val="21"/>
              </w:rPr>
              <w:t>严重出血性登</w:t>
            </w:r>
          </w:p>
        </w:tc>
        <w:tc>
          <w:tcPr>
            <w:tcW w:w="6999" w:type="dxa"/>
          </w:tcPr>
          <w:p>
            <w:pPr>
              <w:pStyle w:val="TableParagraph"/>
              <w:spacing w:line="251" w:lineRule="exact" w:before="138"/>
              <w:ind w:left="109"/>
              <w:rPr>
                <w:sz w:val="21"/>
              </w:rPr>
            </w:pPr>
            <w:r>
              <w:rPr>
                <w:spacing w:val="-3"/>
                <w:sz w:val="21"/>
              </w:rPr>
              <w:t>登革热是由登革热病毒引起的急性传染病，为一种自限性疾病，通常预后</w:t>
            </w:r>
          </w:p>
        </w:tc>
      </w:tr>
      <w:tr>
        <w:trPr>
          <w:trHeight w:val="272" w:hRule="atLeast"/>
        </w:trPr>
        <w:tc>
          <w:tcPr>
            <w:tcW w:w="634" w:type="dxa"/>
          </w:tcPr>
          <w:p>
            <w:pPr>
              <w:pStyle w:val="TableParagraph"/>
              <w:rPr>
                <w:rFonts w:ascii="Times New Roman"/>
                <w:sz w:val="20"/>
              </w:rPr>
            </w:pPr>
          </w:p>
        </w:tc>
        <w:tc>
          <w:tcPr>
            <w:tcW w:w="1858" w:type="dxa"/>
          </w:tcPr>
          <w:p>
            <w:pPr>
              <w:pStyle w:val="TableParagraph"/>
              <w:spacing w:line="252" w:lineRule="exact"/>
              <w:ind w:left="373"/>
              <w:rPr>
                <w:rFonts w:ascii="微软雅黑" w:eastAsia="微软雅黑"/>
                <w:b/>
                <w:sz w:val="21"/>
              </w:rPr>
            </w:pPr>
            <w:r>
              <w:rPr>
                <w:rFonts w:ascii="微软雅黑" w:eastAsia="微软雅黑"/>
                <w:b/>
                <w:spacing w:val="-5"/>
                <w:sz w:val="21"/>
              </w:rPr>
              <w:t>革热</w:t>
            </w:r>
          </w:p>
        </w:tc>
        <w:tc>
          <w:tcPr>
            <w:tcW w:w="6999" w:type="dxa"/>
          </w:tcPr>
          <w:p>
            <w:pPr>
              <w:pStyle w:val="TableParagraph"/>
              <w:spacing w:line="250" w:lineRule="exact" w:before="2"/>
              <w:ind w:left="109"/>
              <w:rPr>
                <w:sz w:val="21"/>
              </w:rPr>
            </w:pPr>
            <w:r>
              <w:rPr>
                <w:spacing w:val="-3"/>
                <w:sz w:val="21"/>
              </w:rPr>
              <w:t>良好。严重出血性登革热须经我们认可医院的专科医生明确诊断，并须出</w:t>
            </w:r>
          </w:p>
        </w:tc>
      </w:tr>
      <w:tr>
        <w:trPr>
          <w:trHeight w:val="265" w:hRule="atLeast"/>
        </w:trPr>
        <w:tc>
          <w:tcPr>
            <w:tcW w:w="634" w:type="dxa"/>
          </w:tcPr>
          <w:p>
            <w:pPr>
              <w:pStyle w:val="TableParagraph"/>
              <w:rPr>
                <w:rFonts w:ascii="Times New Roman"/>
                <w:sz w:val="18"/>
              </w:rPr>
            </w:pPr>
          </w:p>
        </w:tc>
        <w:tc>
          <w:tcPr>
            <w:tcW w:w="1858" w:type="dxa"/>
          </w:tcPr>
          <w:p>
            <w:pPr>
              <w:pStyle w:val="TableParagraph"/>
              <w:rPr>
                <w:rFonts w:ascii="Times New Roman"/>
                <w:sz w:val="18"/>
              </w:rPr>
            </w:pPr>
          </w:p>
        </w:tc>
        <w:tc>
          <w:tcPr>
            <w:tcW w:w="6999" w:type="dxa"/>
          </w:tcPr>
          <w:p>
            <w:pPr>
              <w:pStyle w:val="TableParagraph"/>
              <w:spacing w:line="244" w:lineRule="exact" w:before="1"/>
              <w:ind w:left="109"/>
              <w:rPr>
                <w:sz w:val="21"/>
              </w:rPr>
            </w:pPr>
            <w:r>
              <w:rPr>
                <w:spacing w:val="-3"/>
                <w:sz w:val="21"/>
              </w:rPr>
              <w:t>现下列一种或多种严重登革热的临床表现：</w:t>
            </w:r>
          </w:p>
        </w:tc>
      </w:tr>
      <w:tr>
        <w:trPr>
          <w:trHeight w:val="529"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numPr>
                <w:ilvl w:val="0"/>
                <w:numId w:val="74"/>
              </w:numPr>
              <w:tabs>
                <w:tab w:pos="639" w:val="left" w:leader="none"/>
              </w:tabs>
              <w:spacing w:line="240" w:lineRule="auto" w:before="9" w:after="0"/>
              <w:ind w:left="638" w:right="0" w:hanging="530"/>
              <w:jc w:val="left"/>
              <w:rPr>
                <w:sz w:val="21"/>
              </w:rPr>
            </w:pPr>
            <w:r>
              <w:rPr>
                <w:spacing w:val="-3"/>
                <w:sz w:val="21"/>
              </w:rPr>
              <w:t>血浆渗漏致休克或胸腔积液伴呼吸困难；</w:t>
            </w:r>
          </w:p>
          <w:p>
            <w:pPr>
              <w:pStyle w:val="TableParagraph"/>
              <w:numPr>
                <w:ilvl w:val="0"/>
                <w:numId w:val="74"/>
              </w:numPr>
              <w:tabs>
                <w:tab w:pos="639" w:val="left" w:leader="none"/>
              </w:tabs>
              <w:spacing w:line="228" w:lineRule="exact" w:before="2" w:after="0"/>
              <w:ind w:left="638" w:right="0" w:hanging="530"/>
              <w:jc w:val="left"/>
              <w:rPr>
                <w:sz w:val="21"/>
              </w:rPr>
            </w:pPr>
            <w:r>
              <w:rPr>
                <w:spacing w:val="-7"/>
                <w:sz w:val="21"/>
              </w:rPr>
              <w:t>严重出血：消化道出血、阴道大出血、颅内出血、肉眼血尿或皮下血</w:t>
            </w:r>
          </w:p>
        </w:tc>
      </w:tr>
    </w:tbl>
    <w:p>
      <w:pPr>
        <w:pStyle w:val="BodyText"/>
        <w:spacing w:before="35"/>
        <w:ind w:left="827" w:right="1536"/>
        <w:jc w:val="center"/>
      </w:pPr>
      <w:r>
        <w:rPr>
          <w:spacing w:val="-2"/>
        </w:rPr>
        <w:t>肿（不包括皮下出血点</w:t>
      </w:r>
      <w:r>
        <w:rPr>
          <w:spacing w:val="-5"/>
        </w:rPr>
        <w:t>）；</w:t>
      </w:r>
    </w:p>
    <w:p>
      <w:pPr>
        <w:pStyle w:val="ListParagraph"/>
        <w:numPr>
          <w:ilvl w:val="0"/>
          <w:numId w:val="73"/>
        </w:numPr>
        <w:tabs>
          <w:tab w:pos="3334" w:val="left" w:leader="none"/>
        </w:tabs>
        <w:spacing w:line="244" w:lineRule="auto" w:before="2" w:after="0"/>
        <w:ind w:left="3316" w:right="324" w:hanging="512"/>
        <w:jc w:val="left"/>
        <w:rPr>
          <w:sz w:val="21"/>
        </w:rPr>
      </w:pPr>
      <w:r>
        <w:rPr>
          <w:spacing w:val="-2"/>
          <w:sz w:val="21"/>
        </w:rPr>
        <w:t>严重器官损害或衰竭：肝脏损伤（ALT</w:t>
      </w:r>
      <w:r>
        <w:rPr>
          <w:spacing w:val="-37"/>
          <w:sz w:val="21"/>
        </w:rPr>
        <w:t> 或 </w:t>
      </w:r>
      <w:r>
        <w:rPr>
          <w:spacing w:val="-2"/>
          <w:sz w:val="21"/>
        </w:rPr>
        <w:t>AST&gt;1000IU/L）、ARDS（急</w:t>
      </w:r>
      <w:r>
        <w:rPr>
          <w:spacing w:val="-2"/>
          <w:sz w:val="21"/>
        </w:rPr>
        <w:t>性呼吸窘迫综合征）、急性心功能衰竭、急性肾功能衰竭、脑病。</w:t>
      </w:r>
    </w:p>
    <w:p>
      <w:pPr>
        <w:spacing w:line="316" w:lineRule="exact" w:before="0"/>
        <w:ind w:left="2805" w:right="0" w:firstLine="0"/>
        <w:jc w:val="left"/>
        <w:rPr>
          <w:rFonts w:ascii="微软雅黑" w:eastAsia="微软雅黑"/>
          <w:b/>
          <w:sz w:val="21"/>
        </w:rPr>
      </w:pPr>
      <w:r>
        <w:rPr>
          <w:rFonts w:ascii="微软雅黑" w:eastAsia="微软雅黑"/>
          <w:b/>
          <w:spacing w:val="-3"/>
          <w:sz w:val="21"/>
        </w:rPr>
        <w:t>非出血性登革热不在保障范围内。</w:t>
      </w:r>
    </w:p>
    <w:p>
      <w:pPr>
        <w:pStyle w:val="BodyText"/>
        <w:spacing w:before="6"/>
        <w:rPr>
          <w:rFonts w:ascii="微软雅黑"/>
          <w:b/>
          <w:sz w:val="8"/>
        </w:rPr>
      </w:pPr>
    </w:p>
    <w:p>
      <w:pPr>
        <w:spacing w:after="0"/>
        <w:rPr>
          <w:rFonts w:ascii="微软雅黑"/>
          <w:sz w:val="8"/>
        </w:rPr>
        <w:sectPr>
          <w:pgSz w:w="11910" w:h="16840"/>
          <w:pgMar w:header="877" w:footer="0" w:top="1100" w:bottom="280" w:left="1060" w:right="980"/>
        </w:sectPr>
      </w:pPr>
    </w:p>
    <w:p>
      <w:pPr>
        <w:tabs>
          <w:tab w:pos="1210" w:val="left" w:leader="none"/>
        </w:tabs>
        <w:spacing w:line="168" w:lineRule="auto" w:before="88"/>
        <w:ind w:left="1210" w:right="0" w:hanging="958"/>
        <w:jc w:val="both"/>
        <w:rPr>
          <w:rFonts w:ascii="微软雅黑" w:eastAsia="微软雅黑"/>
          <w:b/>
          <w:sz w:val="21"/>
        </w:rPr>
      </w:pPr>
      <w:r>
        <w:rPr>
          <w:rFonts w:ascii="微软雅黑" w:eastAsia="微软雅黑"/>
          <w:b/>
          <w:spacing w:val="-6"/>
          <w:sz w:val="21"/>
        </w:rPr>
        <w:t>97</w:t>
      </w:r>
      <w:r>
        <w:rPr>
          <w:rFonts w:ascii="微软雅黑" w:eastAsia="微软雅黑"/>
          <w:b/>
          <w:sz w:val="21"/>
        </w:rPr>
        <w:tab/>
      </w:r>
      <w:r>
        <w:rPr>
          <w:rFonts w:ascii="微软雅黑" w:eastAsia="微软雅黑"/>
          <w:b/>
          <w:spacing w:val="15"/>
          <w:sz w:val="21"/>
        </w:rPr>
        <w:t>经输血导致的</w:t>
      </w:r>
      <w:r>
        <w:rPr>
          <w:rFonts w:ascii="微软雅黑" w:eastAsia="微软雅黑"/>
          <w:b/>
          <w:spacing w:val="15"/>
          <w:sz w:val="21"/>
        </w:rPr>
        <w:t>艾滋病病毒感</w:t>
      </w:r>
      <w:r>
        <w:rPr>
          <w:rFonts w:ascii="微软雅黑" w:eastAsia="微软雅黑"/>
          <w:b/>
          <w:spacing w:val="-2"/>
          <w:sz w:val="21"/>
        </w:rPr>
        <w:t>染或患艾滋病</w:t>
      </w:r>
    </w:p>
    <w:p>
      <w:pPr>
        <w:pStyle w:val="BodyText"/>
        <w:spacing w:before="72"/>
        <w:ind w:left="177"/>
      </w:pPr>
      <w:r>
        <w:rPr/>
        <w:br w:type="column"/>
      </w:r>
      <w:r>
        <w:rPr>
          <w:spacing w:val="-2"/>
        </w:rPr>
        <w:t>是指被保险人感染上人类免疫缺陷病毒（HIV）</w:t>
      </w:r>
      <w:r>
        <w:rPr>
          <w:spacing w:val="-3"/>
        </w:rPr>
        <w:t>并且符合下列所有条件：</w:t>
      </w:r>
    </w:p>
    <w:p>
      <w:pPr>
        <w:pStyle w:val="ListParagraph"/>
        <w:numPr>
          <w:ilvl w:val="0"/>
          <w:numId w:val="75"/>
        </w:numPr>
        <w:tabs>
          <w:tab w:pos="745" w:val="left" w:leader="none"/>
        </w:tabs>
        <w:spacing w:line="242" w:lineRule="auto" w:before="4" w:after="0"/>
        <w:ind w:left="744" w:right="330" w:hanging="567"/>
        <w:jc w:val="left"/>
        <w:rPr>
          <w:sz w:val="21"/>
        </w:rPr>
      </w:pPr>
      <w:r>
        <w:rPr>
          <w:spacing w:val="-2"/>
          <w:sz w:val="21"/>
        </w:rPr>
        <w:t>被保险人因治疗必需而接受输血，并且因输血而感染人类免疫缺陷</w:t>
      </w:r>
      <w:r>
        <w:rPr>
          <w:spacing w:val="-2"/>
          <w:sz w:val="21"/>
        </w:rPr>
        <w:t>病毒（HIV）；</w:t>
      </w:r>
    </w:p>
    <w:p>
      <w:pPr>
        <w:pStyle w:val="ListParagraph"/>
        <w:numPr>
          <w:ilvl w:val="0"/>
          <w:numId w:val="75"/>
        </w:numPr>
        <w:tabs>
          <w:tab w:pos="745" w:val="left" w:leader="none"/>
        </w:tabs>
        <w:spacing w:line="242" w:lineRule="auto" w:before="2" w:after="0"/>
        <w:ind w:left="744" w:right="330" w:hanging="567"/>
        <w:jc w:val="left"/>
        <w:rPr>
          <w:sz w:val="21"/>
        </w:rPr>
      </w:pPr>
      <w:r>
        <w:rPr>
          <w:spacing w:val="-2"/>
          <w:sz w:val="21"/>
        </w:rPr>
        <w:t>提供输血治疗的输血中心或医院出具该项输血感染属医疗责任事故</w:t>
      </w:r>
      <w:r>
        <w:rPr>
          <w:spacing w:val="-2"/>
          <w:sz w:val="21"/>
        </w:rPr>
        <w:t>的报告，或者法院终审裁定为医疗责任并且不准上诉；</w:t>
      </w:r>
    </w:p>
    <w:p>
      <w:pPr>
        <w:pStyle w:val="ListParagraph"/>
        <w:numPr>
          <w:ilvl w:val="0"/>
          <w:numId w:val="75"/>
        </w:numPr>
        <w:tabs>
          <w:tab w:pos="745" w:val="left" w:leader="none"/>
        </w:tabs>
        <w:spacing w:line="268" w:lineRule="exact" w:before="0" w:after="0"/>
        <w:ind w:left="744" w:right="0" w:hanging="568"/>
        <w:jc w:val="left"/>
        <w:rPr>
          <w:sz w:val="21"/>
        </w:rPr>
      </w:pPr>
      <w:r>
        <w:rPr>
          <w:spacing w:val="-3"/>
          <w:sz w:val="21"/>
        </w:rPr>
        <w:t>提供输血治疗的输血中心或医院必须拥有合法经营执照；</w:t>
      </w:r>
    </w:p>
    <w:p>
      <w:pPr>
        <w:pStyle w:val="ListParagraph"/>
        <w:numPr>
          <w:ilvl w:val="0"/>
          <w:numId w:val="75"/>
        </w:numPr>
        <w:tabs>
          <w:tab w:pos="745" w:val="left" w:leader="none"/>
        </w:tabs>
        <w:spacing w:line="237" w:lineRule="exact" w:before="4" w:after="0"/>
        <w:ind w:left="744" w:right="0" w:hanging="568"/>
        <w:jc w:val="left"/>
        <w:rPr>
          <w:sz w:val="21"/>
        </w:rPr>
      </w:pPr>
      <w:r>
        <w:rPr>
          <w:spacing w:val="-3"/>
          <w:sz w:val="21"/>
        </w:rPr>
        <w:t>受感染的被保险人不是血友病患者。</w:t>
      </w:r>
    </w:p>
    <w:p>
      <w:pPr>
        <w:spacing w:line="168" w:lineRule="auto" w:before="51"/>
        <w:ind w:left="177" w:right="326" w:firstLine="0"/>
        <w:jc w:val="both"/>
        <w:rPr>
          <w:rFonts w:ascii="微软雅黑" w:eastAsia="微软雅黑"/>
          <w:b/>
          <w:sz w:val="21"/>
        </w:rPr>
      </w:pPr>
      <w:r>
        <w:rPr>
          <w:rFonts w:ascii="微软雅黑" w:eastAsia="微软雅黑"/>
          <w:b/>
          <w:spacing w:val="2"/>
          <w:w w:val="100"/>
          <w:sz w:val="21"/>
        </w:rPr>
        <w:t>在任何治愈艾滋病或阻止人类免疫缺陷病毒</w:t>
      </w:r>
      <w:r>
        <w:rPr>
          <w:rFonts w:ascii="微软雅黑" w:eastAsia="微软雅黑"/>
          <w:b/>
          <w:spacing w:val="8"/>
          <w:w w:val="100"/>
          <w:sz w:val="21"/>
        </w:rPr>
        <w:t>（</w:t>
      </w:r>
      <w:r>
        <w:rPr>
          <w:rFonts w:ascii="微软雅黑" w:eastAsia="微软雅黑"/>
          <w:b/>
          <w:w w:val="80"/>
          <w:sz w:val="21"/>
        </w:rPr>
        <w:t>HI</w:t>
      </w:r>
      <w:r>
        <w:rPr>
          <w:rFonts w:ascii="微软雅黑" w:eastAsia="微软雅黑"/>
          <w:b/>
          <w:spacing w:val="3"/>
          <w:w w:val="80"/>
          <w:sz w:val="21"/>
        </w:rPr>
        <w:t>V</w:t>
      </w:r>
      <w:r>
        <w:rPr>
          <w:rFonts w:ascii="微软雅黑" w:eastAsia="微软雅黑"/>
          <w:b/>
          <w:spacing w:val="2"/>
          <w:w w:val="100"/>
          <w:sz w:val="21"/>
        </w:rPr>
        <w:t>）</w:t>
      </w:r>
      <w:r>
        <w:rPr>
          <w:rFonts w:ascii="微软雅黑" w:eastAsia="微软雅黑"/>
          <w:b/>
          <w:spacing w:val="1"/>
          <w:w w:val="100"/>
          <w:sz w:val="21"/>
        </w:rPr>
        <w:t>病毒作用的疗法被发</w:t>
      </w:r>
      <w:r>
        <w:rPr>
          <w:rFonts w:ascii="微软雅黑" w:eastAsia="微软雅黑"/>
          <w:b/>
          <w:spacing w:val="-5"/>
          <w:w w:val="100"/>
          <w:sz w:val="21"/>
        </w:rPr>
        <w:t>现以后，或能防止艾滋病发生的医疗方法被研究出来以后，本保障将不再</w:t>
      </w:r>
      <w:r>
        <w:rPr>
          <w:rFonts w:ascii="微软雅黑" w:eastAsia="微软雅黑"/>
          <w:b/>
          <w:w w:val="100"/>
          <w:sz w:val="21"/>
        </w:rPr>
        <w:t>予以赔付。</w:t>
      </w:r>
    </w:p>
    <w:p>
      <w:pPr>
        <w:spacing w:line="168" w:lineRule="auto" w:before="5"/>
        <w:ind w:left="177" w:right="332" w:firstLine="0"/>
        <w:jc w:val="left"/>
        <w:rPr>
          <w:rFonts w:ascii="微软雅黑" w:eastAsia="微软雅黑"/>
          <w:b/>
          <w:sz w:val="21"/>
        </w:rPr>
      </w:pPr>
      <w:r>
        <w:rPr>
          <w:rFonts w:ascii="微软雅黑" w:eastAsia="微软雅黑"/>
          <w:b/>
          <w:spacing w:val="3"/>
          <w:w w:val="100"/>
          <w:sz w:val="21"/>
        </w:rPr>
        <w:t>我们拥有获得使用被保险人的所有血液样本的权利和能够对这些样本进行独立检验的权利。</w:t>
      </w:r>
    </w:p>
    <w:p>
      <w:pPr>
        <w:spacing w:line="168" w:lineRule="auto" w:before="4"/>
        <w:ind w:left="177" w:right="324" w:firstLine="0"/>
        <w:jc w:val="left"/>
        <w:rPr>
          <w:rFonts w:ascii="微软雅黑" w:eastAsia="微软雅黑"/>
          <w:b/>
          <w:sz w:val="21"/>
        </w:rPr>
      </w:pPr>
      <w:r>
        <w:rPr>
          <w:rFonts w:ascii="微软雅黑" w:eastAsia="微软雅黑"/>
          <w:b/>
          <w:spacing w:val="-1"/>
          <w:w w:val="100"/>
          <w:sz w:val="21"/>
        </w:rPr>
        <w:t>任何因其他传播方式</w:t>
      </w:r>
      <w:r>
        <w:rPr>
          <w:rFonts w:ascii="微软雅黑" w:eastAsia="微软雅黑"/>
          <w:b/>
          <w:w w:val="100"/>
          <w:sz w:val="21"/>
        </w:rPr>
        <w:t>（</w:t>
      </w:r>
      <w:r>
        <w:rPr>
          <w:rFonts w:ascii="微软雅黑" w:eastAsia="微软雅黑"/>
          <w:b/>
          <w:spacing w:val="-3"/>
          <w:w w:val="100"/>
          <w:sz w:val="21"/>
        </w:rPr>
        <w:t>包括：性传播或静脉注射毒品</w:t>
      </w:r>
      <w:r>
        <w:rPr>
          <w:rFonts w:ascii="微软雅黑" w:eastAsia="微软雅黑"/>
          <w:b/>
          <w:spacing w:val="-5"/>
          <w:w w:val="100"/>
          <w:sz w:val="21"/>
        </w:rPr>
        <w:t>）</w:t>
      </w:r>
      <w:r>
        <w:rPr>
          <w:rFonts w:ascii="微软雅黑" w:eastAsia="微软雅黑"/>
          <w:b/>
          <w:w w:val="100"/>
          <w:sz w:val="21"/>
        </w:rPr>
        <w:t>导致的</w:t>
      </w:r>
      <w:r>
        <w:rPr>
          <w:rFonts w:ascii="微软雅黑" w:eastAsia="微软雅黑"/>
          <w:b/>
          <w:spacing w:val="-9"/>
          <w:sz w:val="21"/>
        </w:rPr>
        <w:t> </w:t>
      </w:r>
      <w:r>
        <w:rPr>
          <w:rFonts w:ascii="微软雅黑" w:eastAsia="微软雅黑"/>
          <w:b/>
          <w:w w:val="80"/>
          <w:sz w:val="21"/>
        </w:rPr>
        <w:t>HIV</w:t>
      </w:r>
      <w:r>
        <w:rPr>
          <w:rFonts w:ascii="微软雅黑" w:eastAsia="微软雅黑"/>
          <w:b/>
          <w:spacing w:val="-10"/>
          <w:sz w:val="21"/>
        </w:rPr>
        <w:t> </w:t>
      </w:r>
      <w:r>
        <w:rPr>
          <w:rFonts w:ascii="微软雅黑" w:eastAsia="微软雅黑"/>
          <w:b/>
          <w:spacing w:val="-5"/>
          <w:w w:val="100"/>
          <w:sz w:val="21"/>
        </w:rPr>
        <w:t>感染不</w:t>
      </w:r>
      <w:r>
        <w:rPr>
          <w:rFonts w:ascii="微软雅黑" w:eastAsia="微软雅黑"/>
          <w:b/>
          <w:w w:val="100"/>
          <w:sz w:val="21"/>
        </w:rPr>
        <w:t>在保障范围内。</w:t>
      </w:r>
    </w:p>
    <w:p>
      <w:pPr>
        <w:spacing w:after="0" w:line="168" w:lineRule="auto"/>
        <w:jc w:val="left"/>
        <w:rPr>
          <w:rFonts w:asci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18"/>
        <w:rPr>
          <w:rFonts w:ascii="微软雅黑"/>
          <w:b/>
          <w:sz w:val="5"/>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7"/>
        <w:gridCol w:w="1805"/>
        <w:gridCol w:w="6997"/>
      </w:tblGrid>
      <w:tr>
        <w:trPr>
          <w:trHeight w:val="675" w:hRule="atLeast"/>
        </w:trPr>
        <w:tc>
          <w:tcPr>
            <w:tcW w:w="687" w:type="dxa"/>
          </w:tcPr>
          <w:p>
            <w:pPr>
              <w:pStyle w:val="TableParagraph"/>
              <w:rPr>
                <w:rFonts w:ascii="Times New Roman"/>
                <w:sz w:val="20"/>
              </w:rPr>
            </w:pPr>
          </w:p>
        </w:tc>
        <w:tc>
          <w:tcPr>
            <w:tcW w:w="1805" w:type="dxa"/>
          </w:tcPr>
          <w:p>
            <w:pPr>
              <w:pStyle w:val="TableParagraph"/>
              <w:rPr>
                <w:rFonts w:ascii="Times New Roman"/>
                <w:sz w:val="20"/>
              </w:rPr>
            </w:pPr>
          </w:p>
        </w:tc>
        <w:tc>
          <w:tcPr>
            <w:tcW w:w="6997" w:type="dxa"/>
          </w:tcPr>
          <w:p>
            <w:pPr>
              <w:pStyle w:val="TableParagraph"/>
              <w:spacing w:line="252" w:lineRule="exact"/>
              <w:ind w:left="109"/>
              <w:rPr>
                <w:sz w:val="22"/>
              </w:rPr>
            </w:pPr>
            <w:r>
              <w:rPr>
                <w:spacing w:val="-1"/>
                <w:sz w:val="22"/>
              </w:rPr>
              <w:t>我们承担本项疾病责任不受本合同“责任免除”中“被保险人感染艾</w:t>
            </w:r>
          </w:p>
          <w:p>
            <w:pPr>
              <w:pStyle w:val="TableParagraph"/>
              <w:spacing w:before="4"/>
              <w:ind w:left="109"/>
              <w:rPr>
                <w:sz w:val="22"/>
              </w:rPr>
            </w:pPr>
            <w:r>
              <w:rPr>
                <w:spacing w:val="-3"/>
                <w:sz w:val="22"/>
              </w:rPr>
              <w:t>滋病病毒或患艾滋病”的限制。</w:t>
            </w:r>
          </w:p>
        </w:tc>
      </w:tr>
      <w:tr>
        <w:trPr>
          <w:trHeight w:val="1364" w:hRule="atLeast"/>
        </w:trPr>
        <w:tc>
          <w:tcPr>
            <w:tcW w:w="687" w:type="dxa"/>
          </w:tcPr>
          <w:p>
            <w:pPr>
              <w:pStyle w:val="TableParagraph"/>
              <w:spacing w:before="73"/>
              <w:ind w:left="50"/>
              <w:rPr>
                <w:rFonts w:ascii="微软雅黑"/>
                <w:b/>
                <w:sz w:val="21"/>
              </w:rPr>
            </w:pPr>
            <w:r>
              <w:rPr>
                <w:rFonts w:ascii="微软雅黑"/>
                <w:b/>
                <w:spacing w:val="-5"/>
                <w:w w:val="90"/>
                <w:sz w:val="21"/>
              </w:rPr>
              <w:t>98</w:t>
            </w:r>
          </w:p>
        </w:tc>
        <w:tc>
          <w:tcPr>
            <w:tcW w:w="1805" w:type="dxa"/>
          </w:tcPr>
          <w:p>
            <w:pPr>
              <w:pStyle w:val="TableParagraph"/>
              <w:spacing w:line="170" w:lineRule="auto" w:before="153"/>
              <w:ind w:left="320" w:right="106"/>
              <w:rPr>
                <w:rFonts w:ascii="微软雅黑" w:eastAsia="微软雅黑"/>
                <w:b/>
                <w:sz w:val="21"/>
              </w:rPr>
            </w:pPr>
            <w:r>
              <w:rPr>
                <w:rFonts w:ascii="微软雅黑" w:eastAsia="微软雅黑"/>
                <w:b/>
                <w:spacing w:val="15"/>
                <w:sz w:val="21"/>
              </w:rPr>
              <w:t>溶血性链球菌</w:t>
            </w:r>
            <w:r>
              <w:rPr>
                <w:rFonts w:ascii="微软雅黑" w:eastAsia="微软雅黑"/>
                <w:b/>
                <w:spacing w:val="-2"/>
                <w:sz w:val="21"/>
              </w:rPr>
              <w:t>引起的坏疽</w:t>
            </w:r>
          </w:p>
        </w:tc>
        <w:tc>
          <w:tcPr>
            <w:tcW w:w="6997" w:type="dxa"/>
          </w:tcPr>
          <w:p>
            <w:pPr>
              <w:pStyle w:val="TableParagraph"/>
              <w:spacing w:line="244" w:lineRule="auto" w:before="140"/>
              <w:ind w:left="109" w:right="46"/>
              <w:rPr>
                <w:sz w:val="21"/>
              </w:rPr>
            </w:pPr>
            <w:r>
              <w:rPr>
                <w:spacing w:val="-7"/>
                <w:sz w:val="21"/>
              </w:rPr>
              <w:t>由于急性溶血性链球菌感染导致广泛的皮肤、皮下组织和深层组织的坏死。</w:t>
            </w:r>
            <w:r>
              <w:rPr>
                <w:spacing w:val="-2"/>
                <w:sz w:val="21"/>
              </w:rPr>
              <w:t>必须满足下列所有条件：</w:t>
            </w:r>
          </w:p>
          <w:p>
            <w:pPr>
              <w:pStyle w:val="TableParagraph"/>
              <w:numPr>
                <w:ilvl w:val="0"/>
                <w:numId w:val="76"/>
              </w:numPr>
              <w:tabs>
                <w:tab w:pos="639" w:val="left" w:leader="none"/>
              </w:tabs>
              <w:spacing w:line="265" w:lineRule="exact" w:before="0" w:after="0"/>
              <w:ind w:left="638" w:right="0" w:hanging="530"/>
              <w:jc w:val="left"/>
              <w:rPr>
                <w:sz w:val="21"/>
              </w:rPr>
            </w:pPr>
            <w:r>
              <w:rPr>
                <w:spacing w:val="-3"/>
                <w:sz w:val="21"/>
              </w:rPr>
              <w:t>细菌培养证实致病菌为溶血性链球菌；</w:t>
            </w:r>
          </w:p>
          <w:p>
            <w:pPr>
              <w:pStyle w:val="TableParagraph"/>
              <w:numPr>
                <w:ilvl w:val="0"/>
                <w:numId w:val="76"/>
              </w:numPr>
              <w:tabs>
                <w:tab w:pos="639" w:val="left" w:leader="none"/>
              </w:tabs>
              <w:spacing w:line="240" w:lineRule="auto" w:before="4" w:after="0"/>
              <w:ind w:left="638" w:right="0" w:hanging="530"/>
              <w:jc w:val="left"/>
              <w:rPr>
                <w:sz w:val="21"/>
              </w:rPr>
            </w:pPr>
            <w:r>
              <w:rPr>
                <w:spacing w:val="-2"/>
                <w:sz w:val="21"/>
              </w:rPr>
              <w:t>受感染肢体被截肢（自腕关节或踝关节近端）</w:t>
            </w:r>
            <w:r>
              <w:rPr>
                <w:spacing w:val="-10"/>
                <w:sz w:val="21"/>
              </w:rPr>
              <w:t>。</w:t>
            </w:r>
          </w:p>
        </w:tc>
      </w:tr>
      <w:tr>
        <w:trPr>
          <w:trHeight w:val="1089" w:hRule="atLeast"/>
        </w:trPr>
        <w:tc>
          <w:tcPr>
            <w:tcW w:w="687" w:type="dxa"/>
          </w:tcPr>
          <w:p>
            <w:pPr>
              <w:pStyle w:val="TableParagraph"/>
              <w:spacing w:before="71"/>
              <w:ind w:left="50"/>
              <w:rPr>
                <w:rFonts w:ascii="微软雅黑"/>
                <w:b/>
                <w:sz w:val="21"/>
              </w:rPr>
            </w:pPr>
            <w:r>
              <w:rPr>
                <w:rFonts w:ascii="微软雅黑"/>
                <w:b/>
                <w:spacing w:val="-5"/>
                <w:w w:val="90"/>
                <w:sz w:val="21"/>
              </w:rPr>
              <w:t>99</w:t>
            </w:r>
          </w:p>
        </w:tc>
        <w:tc>
          <w:tcPr>
            <w:tcW w:w="1805" w:type="dxa"/>
          </w:tcPr>
          <w:p>
            <w:pPr>
              <w:pStyle w:val="TableParagraph"/>
              <w:spacing w:before="71"/>
              <w:ind w:left="320"/>
              <w:rPr>
                <w:rFonts w:ascii="微软雅黑" w:eastAsia="微软雅黑"/>
                <w:b/>
                <w:sz w:val="21"/>
              </w:rPr>
            </w:pPr>
            <w:r>
              <w:rPr>
                <w:rFonts w:ascii="微软雅黑" w:eastAsia="微软雅黑"/>
                <w:b/>
                <w:spacing w:val="-2"/>
                <w:sz w:val="21"/>
              </w:rPr>
              <w:t>胆道重建手术</w:t>
            </w:r>
          </w:p>
        </w:tc>
        <w:tc>
          <w:tcPr>
            <w:tcW w:w="6997" w:type="dxa"/>
          </w:tcPr>
          <w:p>
            <w:pPr>
              <w:pStyle w:val="TableParagraph"/>
              <w:spacing w:line="242" w:lineRule="auto" w:before="138"/>
              <w:ind w:left="109" w:right="152"/>
              <w:rPr>
                <w:sz w:val="21"/>
              </w:rPr>
            </w:pPr>
            <w:r>
              <w:rPr>
                <w:spacing w:val="-2"/>
                <w:sz w:val="21"/>
              </w:rPr>
              <w:t>指因胆道创伤导致接受涉及胆总管小肠吻合术的胆道重建手术。手术必须</w:t>
            </w:r>
            <w:r>
              <w:rPr>
                <w:spacing w:val="-2"/>
                <w:sz w:val="21"/>
              </w:rPr>
              <w:t>在我们认可医院的专科医生认为是医疗必须的情况下进行。</w:t>
            </w:r>
          </w:p>
          <w:p>
            <w:pPr>
              <w:pStyle w:val="TableParagraph"/>
              <w:spacing w:line="321" w:lineRule="exact"/>
              <w:ind w:left="109"/>
              <w:rPr>
                <w:rFonts w:ascii="微软雅黑" w:eastAsia="微软雅黑"/>
                <w:b/>
                <w:sz w:val="21"/>
              </w:rPr>
            </w:pPr>
            <w:r>
              <w:rPr>
                <w:rFonts w:ascii="微软雅黑" w:eastAsia="微软雅黑"/>
                <w:b/>
                <w:spacing w:val="-3"/>
                <w:sz w:val="21"/>
              </w:rPr>
              <w:t>胆道闭锁不在保障范围内。</w:t>
            </w:r>
          </w:p>
        </w:tc>
      </w:tr>
      <w:tr>
        <w:trPr>
          <w:trHeight w:val="921" w:hRule="atLeast"/>
        </w:trPr>
        <w:tc>
          <w:tcPr>
            <w:tcW w:w="687" w:type="dxa"/>
          </w:tcPr>
          <w:p>
            <w:pPr>
              <w:pStyle w:val="TableParagraph"/>
              <w:spacing w:before="71"/>
              <w:ind w:left="50"/>
              <w:rPr>
                <w:rFonts w:ascii="微软雅黑"/>
                <w:b/>
                <w:sz w:val="21"/>
              </w:rPr>
            </w:pPr>
            <w:r>
              <w:rPr>
                <w:rFonts w:ascii="微软雅黑"/>
                <w:b/>
                <w:spacing w:val="-5"/>
                <w:w w:val="90"/>
                <w:sz w:val="21"/>
              </w:rPr>
              <w:t>100</w:t>
            </w:r>
          </w:p>
        </w:tc>
        <w:tc>
          <w:tcPr>
            <w:tcW w:w="1805" w:type="dxa"/>
          </w:tcPr>
          <w:p>
            <w:pPr>
              <w:pStyle w:val="TableParagraph"/>
              <w:spacing w:line="168" w:lineRule="auto" w:before="154"/>
              <w:ind w:left="320" w:right="106"/>
              <w:rPr>
                <w:rFonts w:ascii="微软雅黑" w:eastAsia="微软雅黑"/>
                <w:b/>
                <w:sz w:val="21"/>
              </w:rPr>
            </w:pPr>
            <w:r>
              <w:rPr>
                <w:rFonts w:ascii="微软雅黑" w:eastAsia="微软雅黑"/>
                <w:b/>
                <w:spacing w:val="15"/>
                <w:sz w:val="21"/>
              </w:rPr>
              <w:t>严重骨髓增生</w:t>
            </w:r>
            <w:r>
              <w:rPr>
                <w:rFonts w:ascii="微软雅黑" w:eastAsia="微软雅黑"/>
                <w:b/>
                <w:spacing w:val="-2"/>
                <w:sz w:val="21"/>
              </w:rPr>
              <w:t>异常综合征</w:t>
            </w:r>
          </w:p>
        </w:tc>
        <w:tc>
          <w:tcPr>
            <w:tcW w:w="6997" w:type="dxa"/>
          </w:tcPr>
          <w:p>
            <w:pPr>
              <w:pStyle w:val="TableParagraph"/>
              <w:spacing w:line="242" w:lineRule="auto" w:before="138"/>
              <w:ind w:left="109" w:right="46"/>
              <w:rPr>
                <w:sz w:val="21"/>
              </w:rPr>
            </w:pPr>
            <w:r>
              <w:rPr>
                <w:spacing w:val="-2"/>
                <w:sz w:val="21"/>
              </w:rPr>
              <w:t>指起源于造血干细胞的一组异质性髓系克隆性疾病，特点是髓系细胞发育</w:t>
            </w:r>
            <w:r>
              <w:rPr>
                <w:spacing w:val="-4"/>
                <w:sz w:val="21"/>
              </w:rPr>
              <w:t>异常，表现为无效造血、难治性血细胞减少，本合同需满足下列所有条件：</w:t>
            </w:r>
          </w:p>
          <w:p>
            <w:pPr>
              <w:pStyle w:val="TableParagraph"/>
              <w:spacing w:line="219" w:lineRule="exact"/>
              <w:ind w:left="109"/>
              <w:rPr>
                <w:sz w:val="21"/>
              </w:rPr>
            </w:pPr>
            <w:r>
              <w:rPr>
                <w:spacing w:val="-6"/>
                <w:sz w:val="21"/>
              </w:rPr>
              <w:t>（1）</w:t>
            </w:r>
            <w:r>
              <w:rPr>
                <w:spacing w:val="-7"/>
                <w:sz w:val="21"/>
              </w:rPr>
              <w:t>由设有专门血液病专科的公立三级甲等医疗机构血液病专科的主治级</w:t>
            </w:r>
          </w:p>
        </w:tc>
      </w:tr>
    </w:tbl>
    <w:p>
      <w:pPr>
        <w:pStyle w:val="BodyText"/>
        <w:spacing w:before="35"/>
        <w:ind w:left="227" w:right="1536"/>
        <w:jc w:val="center"/>
      </w:pPr>
      <w:r>
        <w:rPr>
          <w:spacing w:val="-3"/>
        </w:rPr>
        <w:t>别以上的医师确诊；</w:t>
      </w:r>
    </w:p>
    <w:p>
      <w:pPr>
        <w:pStyle w:val="BodyText"/>
        <w:spacing w:before="3"/>
        <w:ind w:left="2849" w:right="371"/>
        <w:jc w:val="center"/>
      </w:pPr>
      <w:r>
        <w:rPr>
          <w:spacing w:val="-6"/>
        </w:rPr>
        <w:t>（2）骨髓涂片检查同时符合发育异常细胞比例＞10%、原始细胞比例＞15%</w:t>
      </w:r>
    </w:p>
    <w:p>
      <w:pPr>
        <w:spacing w:before="4" w:after="31"/>
        <w:ind w:left="0" w:right="2992" w:firstLine="0"/>
        <w:jc w:val="center"/>
        <w:rPr>
          <w:sz w:val="21"/>
        </w:rPr>
      </w:pPr>
      <w:r>
        <w:rPr>
          <w:w w:val="100"/>
          <w:sz w:val="21"/>
        </w:rPr>
        <w:t>；</w:t>
      </w: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7"/>
        <w:gridCol w:w="1805"/>
        <w:gridCol w:w="6997"/>
      </w:tblGrid>
      <w:tr>
        <w:trPr>
          <w:trHeight w:val="514" w:hRule="atLeast"/>
        </w:trPr>
        <w:tc>
          <w:tcPr>
            <w:tcW w:w="2492" w:type="dxa"/>
            <w:gridSpan w:val="2"/>
            <w:vMerge w:val="restart"/>
          </w:tcPr>
          <w:p>
            <w:pPr>
              <w:pStyle w:val="TableParagraph"/>
              <w:rPr>
                <w:rFonts w:ascii="Times New Roman"/>
                <w:sz w:val="20"/>
              </w:rPr>
            </w:pPr>
          </w:p>
        </w:tc>
        <w:tc>
          <w:tcPr>
            <w:tcW w:w="6997" w:type="dxa"/>
          </w:tcPr>
          <w:p>
            <w:pPr>
              <w:pStyle w:val="TableParagraph"/>
              <w:spacing w:line="241" w:lineRule="exact"/>
              <w:ind w:left="109"/>
              <w:rPr>
                <w:sz w:val="21"/>
              </w:rPr>
            </w:pPr>
            <w:r>
              <w:rPr>
                <w:spacing w:val="-2"/>
                <w:sz w:val="21"/>
              </w:rPr>
              <w:t>（3）</w:t>
            </w:r>
            <w:r>
              <w:rPr>
                <w:spacing w:val="-3"/>
                <w:sz w:val="21"/>
              </w:rPr>
              <w:t>已接受至少累计三十日的化疗或已接受骨髓移植治疗。</w:t>
            </w:r>
          </w:p>
          <w:p>
            <w:pPr>
              <w:pStyle w:val="TableParagraph"/>
              <w:spacing w:line="250" w:lineRule="exact" w:before="4"/>
              <w:ind w:left="109"/>
              <w:rPr>
                <w:sz w:val="21"/>
              </w:rPr>
            </w:pPr>
            <w:r>
              <w:rPr>
                <w:spacing w:val="-3"/>
                <w:sz w:val="21"/>
              </w:rPr>
              <w:t>化疗日数的计算以被保险人实际服用、注射化疗药物的天数为准。</w:t>
            </w:r>
          </w:p>
        </w:tc>
      </w:tr>
      <w:tr>
        <w:trPr>
          <w:trHeight w:val="407" w:hRule="atLeast"/>
        </w:trPr>
        <w:tc>
          <w:tcPr>
            <w:tcW w:w="2492" w:type="dxa"/>
            <w:gridSpan w:val="2"/>
            <w:vMerge/>
            <w:tcBorders>
              <w:top w:val="nil"/>
            </w:tcBorders>
          </w:tcPr>
          <w:p>
            <w:pPr>
              <w:rPr>
                <w:sz w:val="2"/>
                <w:szCs w:val="2"/>
              </w:rPr>
            </w:pPr>
          </w:p>
        </w:tc>
        <w:tc>
          <w:tcPr>
            <w:tcW w:w="6997" w:type="dxa"/>
          </w:tcPr>
          <w:p>
            <w:pPr>
              <w:pStyle w:val="TableParagraph"/>
              <w:spacing w:line="321" w:lineRule="exact"/>
              <w:ind w:left="109"/>
              <w:rPr>
                <w:rFonts w:ascii="微软雅黑" w:eastAsia="微软雅黑"/>
                <w:b/>
                <w:sz w:val="21"/>
              </w:rPr>
            </w:pPr>
            <w:r>
              <w:rPr>
                <w:rFonts w:ascii="微软雅黑" w:eastAsia="微软雅黑"/>
                <w:b/>
                <w:spacing w:val="-3"/>
                <w:sz w:val="21"/>
              </w:rPr>
              <w:t>疑似病例不在保障范围内。</w:t>
            </w:r>
          </w:p>
        </w:tc>
      </w:tr>
      <w:tr>
        <w:trPr>
          <w:trHeight w:val="2453" w:hRule="atLeast"/>
        </w:trPr>
        <w:tc>
          <w:tcPr>
            <w:tcW w:w="687" w:type="dxa"/>
          </w:tcPr>
          <w:p>
            <w:pPr>
              <w:pStyle w:val="TableParagraph"/>
              <w:spacing w:before="71"/>
              <w:ind w:left="50"/>
              <w:rPr>
                <w:rFonts w:ascii="微软雅黑"/>
                <w:b/>
                <w:sz w:val="21"/>
              </w:rPr>
            </w:pPr>
            <w:r>
              <w:rPr>
                <w:rFonts w:ascii="微软雅黑"/>
                <w:b/>
                <w:spacing w:val="-5"/>
                <w:w w:val="90"/>
                <w:sz w:val="21"/>
              </w:rPr>
              <w:t>101</w:t>
            </w:r>
          </w:p>
        </w:tc>
        <w:tc>
          <w:tcPr>
            <w:tcW w:w="1805" w:type="dxa"/>
          </w:tcPr>
          <w:p>
            <w:pPr>
              <w:pStyle w:val="TableParagraph"/>
              <w:spacing w:line="170" w:lineRule="auto" w:before="151"/>
              <w:ind w:left="320" w:right="106"/>
              <w:rPr>
                <w:rFonts w:ascii="微软雅黑" w:eastAsia="微软雅黑"/>
                <w:b/>
                <w:sz w:val="21"/>
              </w:rPr>
            </w:pPr>
            <w:r>
              <w:rPr>
                <w:rFonts w:ascii="微软雅黑" w:eastAsia="微软雅黑"/>
                <w:b/>
                <w:spacing w:val="15"/>
                <w:sz w:val="21"/>
              </w:rPr>
              <w:t>严重巨细胞动</w:t>
            </w:r>
            <w:r>
              <w:rPr>
                <w:rFonts w:ascii="微软雅黑" w:eastAsia="微软雅黑"/>
                <w:b/>
                <w:spacing w:val="-6"/>
                <w:sz w:val="21"/>
              </w:rPr>
              <w:t>脉炎</w:t>
            </w:r>
          </w:p>
        </w:tc>
        <w:tc>
          <w:tcPr>
            <w:tcW w:w="6997" w:type="dxa"/>
          </w:tcPr>
          <w:p>
            <w:pPr>
              <w:pStyle w:val="TableParagraph"/>
              <w:spacing w:line="242" w:lineRule="auto" w:before="138"/>
              <w:ind w:left="109" w:right="152"/>
              <w:jc w:val="both"/>
              <w:rPr>
                <w:sz w:val="21"/>
              </w:rPr>
            </w:pPr>
            <w:r>
              <w:rPr>
                <w:spacing w:val="-2"/>
                <w:sz w:val="21"/>
              </w:rPr>
              <w:t>巨细胞动脉炎又称颅动脉炎、颞动脉炎、肉芽肿性动脉炎。须经我们认可</w:t>
            </w:r>
            <w:r>
              <w:rPr>
                <w:spacing w:val="-2"/>
                <w:sz w:val="21"/>
              </w:rPr>
              <w:t>医院的专科医生明确诊断，并造成永久不可逆性的一肢（含）以上肢体肌</w:t>
            </w:r>
            <w:r>
              <w:rPr>
                <w:spacing w:val="-11"/>
                <w:sz w:val="21"/>
              </w:rPr>
              <w:t>力 </w:t>
            </w:r>
            <w:r>
              <w:rPr>
                <w:sz w:val="21"/>
              </w:rPr>
              <w:t>2</w:t>
            </w:r>
            <w:r>
              <w:rPr>
                <w:spacing w:val="-11"/>
                <w:sz w:val="21"/>
              </w:rPr>
              <w:t> 级</w:t>
            </w:r>
            <w:r>
              <w:rPr>
                <w:sz w:val="21"/>
              </w:rPr>
              <w:t>（含）以下或单眼失明。</w:t>
            </w:r>
          </w:p>
          <w:p>
            <w:pPr>
              <w:pStyle w:val="TableParagraph"/>
              <w:spacing w:before="4"/>
              <w:ind w:left="109"/>
              <w:rPr>
                <w:sz w:val="21"/>
              </w:rPr>
            </w:pPr>
            <w:r>
              <w:rPr>
                <w:spacing w:val="-3"/>
                <w:sz w:val="21"/>
              </w:rPr>
              <w:t>单眼失明指单眼视力永久不可逆性丧失，患眼须满足下列至少一项条件：</w:t>
            </w:r>
          </w:p>
          <w:p>
            <w:pPr>
              <w:pStyle w:val="TableParagraph"/>
              <w:numPr>
                <w:ilvl w:val="0"/>
                <w:numId w:val="77"/>
              </w:numPr>
              <w:tabs>
                <w:tab w:pos="639" w:val="left" w:leader="none"/>
              </w:tabs>
              <w:spacing w:line="240" w:lineRule="auto" w:before="2" w:after="0"/>
              <w:ind w:left="638" w:right="0" w:hanging="530"/>
              <w:jc w:val="left"/>
              <w:rPr>
                <w:sz w:val="21"/>
              </w:rPr>
            </w:pPr>
            <w:r>
              <w:rPr>
                <w:spacing w:val="-3"/>
                <w:sz w:val="21"/>
              </w:rPr>
              <w:t>眼球缺失或者摘除；</w:t>
            </w:r>
          </w:p>
          <w:p>
            <w:pPr>
              <w:pStyle w:val="TableParagraph"/>
              <w:numPr>
                <w:ilvl w:val="0"/>
                <w:numId w:val="77"/>
              </w:numPr>
              <w:tabs>
                <w:tab w:pos="639" w:val="left" w:leader="none"/>
              </w:tabs>
              <w:spacing w:line="242" w:lineRule="auto" w:before="4" w:after="0"/>
              <w:ind w:left="635" w:right="152" w:hanging="526"/>
              <w:jc w:val="left"/>
              <w:rPr>
                <w:sz w:val="21"/>
              </w:rPr>
            </w:pPr>
            <w:r>
              <w:rPr>
                <w:spacing w:val="-4"/>
                <w:sz w:val="21"/>
              </w:rPr>
              <w:t>矫正视力低于 </w:t>
            </w:r>
            <w:r>
              <w:rPr>
                <w:sz w:val="21"/>
              </w:rPr>
              <w:t>0.02（采用国际标准视力表，如果使用其他视力表应</w:t>
            </w:r>
            <w:r>
              <w:rPr>
                <w:spacing w:val="-2"/>
                <w:sz w:val="21"/>
              </w:rPr>
              <w:t>进行换算）；</w:t>
            </w:r>
          </w:p>
          <w:p>
            <w:pPr>
              <w:pStyle w:val="TableParagraph"/>
              <w:numPr>
                <w:ilvl w:val="0"/>
                <w:numId w:val="77"/>
              </w:numPr>
              <w:tabs>
                <w:tab w:pos="639" w:val="left" w:leader="none"/>
              </w:tabs>
              <w:spacing w:line="240" w:lineRule="auto" w:before="2" w:after="0"/>
              <w:ind w:left="638" w:right="0" w:hanging="530"/>
              <w:jc w:val="left"/>
              <w:rPr>
                <w:sz w:val="21"/>
              </w:rPr>
            </w:pPr>
            <w:r>
              <w:rPr>
                <w:spacing w:val="-10"/>
                <w:sz w:val="21"/>
              </w:rPr>
              <w:t>视野半径小于 </w:t>
            </w:r>
            <w:r>
              <w:rPr>
                <w:spacing w:val="-2"/>
                <w:sz w:val="21"/>
              </w:rPr>
              <w:t>5</w:t>
            </w:r>
            <w:r>
              <w:rPr>
                <w:spacing w:val="-21"/>
                <w:sz w:val="21"/>
              </w:rPr>
              <w:t> 度。</w:t>
            </w:r>
          </w:p>
        </w:tc>
      </w:tr>
      <w:tr>
        <w:trPr>
          <w:trHeight w:val="1905" w:hRule="atLeast"/>
        </w:trPr>
        <w:tc>
          <w:tcPr>
            <w:tcW w:w="687" w:type="dxa"/>
          </w:tcPr>
          <w:p>
            <w:pPr>
              <w:pStyle w:val="TableParagraph"/>
              <w:spacing w:before="71"/>
              <w:ind w:left="50"/>
              <w:rPr>
                <w:rFonts w:ascii="微软雅黑"/>
                <w:b/>
                <w:sz w:val="21"/>
              </w:rPr>
            </w:pPr>
            <w:r>
              <w:rPr>
                <w:rFonts w:ascii="微软雅黑"/>
                <w:b/>
                <w:spacing w:val="-5"/>
                <w:w w:val="90"/>
                <w:sz w:val="21"/>
              </w:rPr>
              <w:t>102</w:t>
            </w:r>
          </w:p>
        </w:tc>
        <w:tc>
          <w:tcPr>
            <w:tcW w:w="1805" w:type="dxa"/>
          </w:tcPr>
          <w:p>
            <w:pPr>
              <w:pStyle w:val="TableParagraph"/>
              <w:spacing w:before="71"/>
              <w:ind w:left="320"/>
              <w:rPr>
                <w:rFonts w:ascii="微软雅黑" w:eastAsia="微软雅黑"/>
                <w:b/>
                <w:sz w:val="21"/>
              </w:rPr>
            </w:pPr>
            <w:r>
              <w:rPr>
                <w:rFonts w:ascii="微软雅黑" w:eastAsia="微软雅黑"/>
                <w:b/>
                <w:spacing w:val="-4"/>
                <w:sz w:val="21"/>
              </w:rPr>
              <w:t>脊柱裂</w:t>
            </w:r>
          </w:p>
        </w:tc>
        <w:tc>
          <w:tcPr>
            <w:tcW w:w="6997" w:type="dxa"/>
          </w:tcPr>
          <w:p>
            <w:pPr>
              <w:pStyle w:val="TableParagraph"/>
              <w:spacing w:before="2"/>
              <w:rPr>
                <w:sz w:val="15"/>
              </w:rPr>
            </w:pPr>
          </w:p>
          <w:p>
            <w:pPr>
              <w:pStyle w:val="TableParagraph"/>
              <w:spacing w:line="175" w:lineRule="auto" w:before="1"/>
              <w:ind w:left="109" w:right="46"/>
              <w:rPr>
                <w:rFonts w:ascii="微软雅黑" w:eastAsia="微软雅黑"/>
                <w:b/>
                <w:sz w:val="21"/>
              </w:rPr>
            </w:pPr>
            <w:r>
              <w:rPr>
                <w:spacing w:val="-4"/>
                <w:sz w:val="21"/>
              </w:rPr>
              <w:t>指脊椎或颅骨不完全闭合，导致脊髓脊膜突出，脑（脊）膜突出或脑膨出，</w:t>
            </w:r>
            <w:r>
              <w:rPr>
                <w:spacing w:val="-2"/>
                <w:sz w:val="21"/>
              </w:rPr>
              <w:t>合并大小便失禁，部分或完全性下肢瘫痪或畸形等神经学上的异常，</w:t>
            </w:r>
            <w:r>
              <w:rPr>
                <w:rFonts w:ascii="微软雅黑" w:eastAsia="微软雅黑"/>
                <w:b/>
                <w:spacing w:val="-2"/>
                <w:sz w:val="21"/>
              </w:rPr>
              <w:t>但不</w:t>
            </w:r>
            <w:r>
              <w:rPr>
                <w:rFonts w:ascii="微软雅黑" w:eastAsia="微软雅黑"/>
                <w:b/>
                <w:sz w:val="21"/>
              </w:rPr>
              <w:t>包括由 X 线摄片发现的没有合并脊椎脊膜突出或脑（脊）膜突出的隐形脊</w:t>
            </w:r>
            <w:r>
              <w:rPr>
                <w:rFonts w:ascii="微软雅黑" w:eastAsia="微软雅黑"/>
                <w:b/>
                <w:spacing w:val="-4"/>
                <w:sz w:val="21"/>
              </w:rPr>
              <w:t>椎裂。</w:t>
            </w:r>
          </w:p>
          <w:p>
            <w:pPr>
              <w:pStyle w:val="TableParagraph"/>
              <w:spacing w:line="255" w:lineRule="exact"/>
              <w:ind w:left="109"/>
              <w:rPr>
                <w:sz w:val="21"/>
              </w:rPr>
            </w:pPr>
            <w:r>
              <w:rPr>
                <w:spacing w:val="-3"/>
                <w:sz w:val="21"/>
              </w:rPr>
              <w:t>我们承担本项疾病责任不受本合同“责任免除”中“遗传性疾病、先天性</w:t>
            </w:r>
          </w:p>
          <w:p>
            <w:pPr>
              <w:pStyle w:val="TableParagraph"/>
              <w:spacing w:before="4"/>
              <w:ind w:left="109"/>
              <w:rPr>
                <w:sz w:val="21"/>
              </w:rPr>
            </w:pPr>
            <w:r>
              <w:rPr>
                <w:spacing w:val="-3"/>
                <w:sz w:val="21"/>
              </w:rPr>
              <w:t>畸形、变形或染色体异常”的限制。</w:t>
            </w:r>
          </w:p>
        </w:tc>
      </w:tr>
      <w:tr>
        <w:trPr>
          <w:trHeight w:val="1089" w:hRule="atLeast"/>
        </w:trPr>
        <w:tc>
          <w:tcPr>
            <w:tcW w:w="687" w:type="dxa"/>
          </w:tcPr>
          <w:p>
            <w:pPr>
              <w:pStyle w:val="TableParagraph"/>
              <w:spacing w:before="71"/>
              <w:ind w:left="50"/>
              <w:rPr>
                <w:rFonts w:ascii="微软雅黑"/>
                <w:b/>
                <w:sz w:val="21"/>
              </w:rPr>
            </w:pPr>
            <w:r>
              <w:rPr>
                <w:rFonts w:ascii="微软雅黑"/>
                <w:b/>
                <w:spacing w:val="-5"/>
                <w:w w:val="90"/>
                <w:sz w:val="21"/>
              </w:rPr>
              <w:t>103</w:t>
            </w:r>
          </w:p>
        </w:tc>
        <w:tc>
          <w:tcPr>
            <w:tcW w:w="1805" w:type="dxa"/>
          </w:tcPr>
          <w:p>
            <w:pPr>
              <w:pStyle w:val="TableParagraph"/>
              <w:spacing w:line="168" w:lineRule="auto" w:before="154"/>
              <w:ind w:left="320" w:right="106"/>
              <w:rPr>
                <w:rFonts w:ascii="微软雅黑" w:eastAsia="微软雅黑"/>
                <w:b/>
                <w:sz w:val="21"/>
              </w:rPr>
            </w:pPr>
            <w:r>
              <w:rPr>
                <w:rFonts w:ascii="微软雅黑" w:eastAsia="微软雅黑"/>
                <w:b/>
                <w:spacing w:val="15"/>
                <w:sz w:val="21"/>
              </w:rPr>
              <w:t>原发性脊柱侧</w:t>
            </w:r>
            <w:r>
              <w:rPr>
                <w:rFonts w:ascii="微软雅黑" w:eastAsia="微软雅黑"/>
                <w:b/>
                <w:spacing w:val="-2"/>
                <w:sz w:val="21"/>
              </w:rPr>
              <w:t>弯的矫正手术</w:t>
            </w:r>
          </w:p>
        </w:tc>
        <w:tc>
          <w:tcPr>
            <w:tcW w:w="6997" w:type="dxa"/>
          </w:tcPr>
          <w:p>
            <w:pPr>
              <w:pStyle w:val="TableParagraph"/>
              <w:spacing w:line="237" w:lineRule="exact" w:before="138"/>
              <w:ind w:left="109"/>
              <w:rPr>
                <w:sz w:val="21"/>
              </w:rPr>
            </w:pPr>
            <w:r>
              <w:rPr>
                <w:spacing w:val="-3"/>
                <w:sz w:val="21"/>
              </w:rPr>
              <w:t>指被保险人因原发性脊柱侧弯，实际实施了对该病的矫正外科手术。</w:t>
            </w:r>
          </w:p>
          <w:p>
            <w:pPr>
              <w:pStyle w:val="TableParagraph"/>
              <w:spacing w:line="170" w:lineRule="auto" w:before="48"/>
              <w:ind w:left="109" w:right="159"/>
              <w:rPr>
                <w:rFonts w:ascii="微软雅黑" w:eastAsia="微软雅黑"/>
                <w:b/>
                <w:sz w:val="21"/>
              </w:rPr>
            </w:pPr>
            <w:r>
              <w:rPr>
                <w:rFonts w:ascii="微软雅黑" w:eastAsia="微软雅黑"/>
                <w:b/>
                <w:spacing w:val="3"/>
                <w:w w:val="100"/>
                <w:sz w:val="21"/>
              </w:rPr>
              <w:t>但由于先天性脊柱侧弯以及其他疾病或意外导致的继发性脊柱侧弯而进</w:t>
            </w:r>
            <w:r>
              <w:rPr>
                <w:rFonts w:ascii="微软雅黑" w:eastAsia="微软雅黑"/>
                <w:b/>
                <w:w w:val="100"/>
                <w:sz w:val="21"/>
              </w:rPr>
              <w:t>行的手术治疗不在保障范围内。</w:t>
            </w:r>
          </w:p>
        </w:tc>
      </w:tr>
      <w:tr>
        <w:trPr>
          <w:trHeight w:val="2012" w:hRule="atLeast"/>
        </w:trPr>
        <w:tc>
          <w:tcPr>
            <w:tcW w:w="687" w:type="dxa"/>
          </w:tcPr>
          <w:p>
            <w:pPr>
              <w:pStyle w:val="TableParagraph"/>
              <w:spacing w:before="71"/>
              <w:ind w:left="50"/>
              <w:rPr>
                <w:rFonts w:ascii="微软雅黑"/>
                <w:b/>
                <w:sz w:val="21"/>
              </w:rPr>
            </w:pPr>
            <w:r>
              <w:rPr>
                <w:rFonts w:ascii="微软雅黑"/>
                <w:b/>
                <w:spacing w:val="-5"/>
                <w:w w:val="90"/>
                <w:sz w:val="21"/>
              </w:rPr>
              <w:t>104</w:t>
            </w:r>
          </w:p>
        </w:tc>
        <w:tc>
          <w:tcPr>
            <w:tcW w:w="1805" w:type="dxa"/>
          </w:tcPr>
          <w:p>
            <w:pPr>
              <w:pStyle w:val="TableParagraph"/>
              <w:spacing w:line="168" w:lineRule="auto" w:before="154"/>
              <w:ind w:left="320" w:right="106"/>
              <w:rPr>
                <w:rFonts w:ascii="微软雅黑" w:eastAsia="微软雅黑"/>
                <w:b/>
                <w:sz w:val="21"/>
              </w:rPr>
            </w:pPr>
            <w:r>
              <w:rPr>
                <w:rFonts w:ascii="微软雅黑" w:eastAsia="微软雅黑"/>
                <w:b/>
                <w:spacing w:val="15"/>
                <w:sz w:val="21"/>
              </w:rPr>
              <w:t>疾病或外伤所</w:t>
            </w:r>
            <w:r>
              <w:rPr>
                <w:rFonts w:ascii="微软雅黑" w:eastAsia="微软雅黑"/>
                <w:b/>
                <w:spacing w:val="-2"/>
                <w:sz w:val="21"/>
              </w:rPr>
              <w:t>致智力障碍</w:t>
            </w:r>
          </w:p>
        </w:tc>
        <w:tc>
          <w:tcPr>
            <w:tcW w:w="6997" w:type="dxa"/>
          </w:tcPr>
          <w:p>
            <w:pPr>
              <w:pStyle w:val="TableParagraph"/>
              <w:spacing w:line="242" w:lineRule="auto" w:before="138"/>
              <w:ind w:left="109" w:right="46"/>
              <w:rPr>
                <w:sz w:val="21"/>
              </w:rPr>
            </w:pPr>
            <w:r>
              <w:rPr>
                <w:spacing w:val="-3"/>
                <w:w w:val="100"/>
                <w:sz w:val="21"/>
              </w:rPr>
              <w:t>因严重头部创伤或疾病造成被保险人智力低常</w:t>
            </w:r>
            <w:r>
              <w:rPr>
                <w:w w:val="100"/>
                <w:sz w:val="21"/>
              </w:rPr>
              <w:t>（</w:t>
            </w:r>
            <w:r>
              <w:rPr>
                <w:spacing w:val="-3"/>
                <w:w w:val="100"/>
                <w:sz w:val="21"/>
              </w:rPr>
              <w:t>智力低于常态）</w:t>
            </w:r>
            <w:r>
              <w:rPr>
                <w:spacing w:val="-1"/>
                <w:w w:val="100"/>
                <w:sz w:val="21"/>
              </w:rPr>
              <w:t>。根据智</w:t>
            </w:r>
            <w:r>
              <w:rPr>
                <w:spacing w:val="-84"/>
                <w:w w:val="100"/>
                <w:sz w:val="21"/>
              </w:rPr>
              <w:t>商</w:t>
            </w:r>
            <w:r>
              <w:rPr>
                <w:w w:val="100"/>
                <w:sz w:val="21"/>
              </w:rPr>
              <w:t>（IQ</w:t>
            </w:r>
            <w:r>
              <w:rPr>
                <w:spacing w:val="-84"/>
                <w:w w:val="100"/>
                <w:sz w:val="21"/>
              </w:rPr>
              <w:t>）</w:t>
            </w:r>
            <w:r>
              <w:rPr>
                <w:spacing w:val="-22"/>
                <w:w w:val="100"/>
                <w:sz w:val="21"/>
              </w:rPr>
              <w:t>，智力低常分为中度</w:t>
            </w:r>
            <w:r>
              <w:rPr>
                <w:w w:val="100"/>
                <w:sz w:val="21"/>
              </w:rPr>
              <w:t>（IQ</w:t>
            </w:r>
            <w:r>
              <w:rPr>
                <w:spacing w:val="-3"/>
                <w:w w:val="100"/>
                <w:sz w:val="21"/>
              </w:rPr>
              <w:t>3</w:t>
            </w:r>
            <w:r>
              <w:rPr>
                <w:spacing w:val="-1"/>
                <w:w w:val="100"/>
                <w:sz w:val="21"/>
              </w:rPr>
              <w:t>5</w:t>
            </w:r>
            <w:r>
              <w:rPr>
                <w:w w:val="100"/>
                <w:sz w:val="21"/>
              </w:rPr>
              <w:t>-50</w:t>
            </w:r>
            <w:r>
              <w:rPr>
                <w:spacing w:val="-84"/>
                <w:w w:val="100"/>
                <w:sz w:val="21"/>
              </w:rPr>
              <w:t>）</w:t>
            </w:r>
            <w:r>
              <w:rPr>
                <w:spacing w:val="-59"/>
                <w:w w:val="100"/>
                <w:sz w:val="21"/>
              </w:rPr>
              <w:t>、重度</w:t>
            </w:r>
            <w:r>
              <w:rPr>
                <w:w w:val="100"/>
                <w:sz w:val="21"/>
              </w:rPr>
              <w:t>（IQ</w:t>
            </w:r>
            <w:r>
              <w:rPr>
                <w:spacing w:val="-3"/>
                <w:w w:val="100"/>
                <w:sz w:val="21"/>
              </w:rPr>
              <w:t>2</w:t>
            </w:r>
            <w:r>
              <w:rPr>
                <w:w w:val="100"/>
                <w:sz w:val="21"/>
              </w:rPr>
              <w:t>0</w:t>
            </w:r>
            <w:r>
              <w:rPr>
                <w:spacing w:val="-3"/>
                <w:w w:val="100"/>
                <w:sz w:val="21"/>
              </w:rPr>
              <w:t>-</w:t>
            </w:r>
            <w:r>
              <w:rPr>
                <w:w w:val="100"/>
                <w:sz w:val="21"/>
              </w:rPr>
              <w:t>35</w:t>
            </w:r>
            <w:r>
              <w:rPr>
                <w:spacing w:val="-84"/>
                <w:w w:val="100"/>
                <w:sz w:val="21"/>
              </w:rPr>
              <w:t>）</w:t>
            </w:r>
            <w:r>
              <w:rPr>
                <w:spacing w:val="-24"/>
                <w:w w:val="100"/>
                <w:sz w:val="21"/>
              </w:rPr>
              <w:t>和极重度</w:t>
            </w:r>
            <w:r>
              <w:rPr>
                <w:w w:val="100"/>
                <w:sz w:val="21"/>
              </w:rPr>
              <w:t>（IQ</w:t>
            </w:r>
            <w:r>
              <w:rPr>
                <w:spacing w:val="-3"/>
                <w:w w:val="100"/>
                <w:sz w:val="21"/>
              </w:rPr>
              <w:t>&lt;</w:t>
            </w:r>
            <w:r>
              <w:rPr>
                <w:w w:val="100"/>
                <w:sz w:val="21"/>
              </w:rPr>
              <w:t>2</w:t>
            </w:r>
            <w:r>
              <w:rPr>
                <w:spacing w:val="-1"/>
                <w:w w:val="100"/>
                <w:sz w:val="21"/>
              </w:rPr>
              <w:t>0</w:t>
            </w:r>
            <w:r>
              <w:rPr>
                <w:spacing w:val="-84"/>
                <w:w w:val="100"/>
                <w:sz w:val="21"/>
              </w:rPr>
              <w:t>）</w:t>
            </w:r>
            <w:r>
              <w:rPr>
                <w:w w:val="100"/>
                <w:sz w:val="21"/>
              </w:rPr>
              <w:t>。</w:t>
            </w:r>
            <w:r>
              <w:rPr>
                <w:spacing w:val="-3"/>
                <w:w w:val="100"/>
                <w:sz w:val="21"/>
              </w:rPr>
              <w:t>智商的检测必须由我们认可的专职心理测验工作者进行，心理测验工作者必须持有心理测量专业委员会资格认定书。根据被保险人年龄采用对应的智力量表如韦克斯勒智力量表</w:t>
            </w:r>
            <w:r>
              <w:rPr>
                <w:w w:val="100"/>
                <w:sz w:val="21"/>
              </w:rPr>
              <w:t>（</w:t>
            </w:r>
            <w:r>
              <w:rPr>
                <w:spacing w:val="-3"/>
                <w:w w:val="100"/>
                <w:sz w:val="21"/>
              </w:rPr>
              <w:t>儿童智力量表或成人智力量表）</w:t>
            </w:r>
            <w:r>
              <w:rPr>
                <w:spacing w:val="-1"/>
                <w:w w:val="100"/>
                <w:sz w:val="21"/>
              </w:rPr>
              <w:t>。必须满</w:t>
            </w:r>
            <w:r>
              <w:rPr>
                <w:spacing w:val="-3"/>
                <w:w w:val="100"/>
                <w:sz w:val="21"/>
              </w:rPr>
              <w:t>足下列全部条件：</w:t>
            </w:r>
          </w:p>
          <w:p>
            <w:pPr>
              <w:pStyle w:val="TableParagraph"/>
              <w:spacing w:line="220" w:lineRule="exact" w:before="4"/>
              <w:ind w:left="4"/>
              <w:rPr>
                <w:sz w:val="21"/>
              </w:rPr>
            </w:pPr>
            <w:r>
              <w:rPr>
                <w:spacing w:val="-2"/>
                <w:sz w:val="21"/>
              </w:rPr>
              <w:t>（1）造成被保险人智力低常（智力低于常态）的严重头部创伤或疾病（</w:t>
            </w:r>
            <w:r>
              <w:rPr>
                <w:spacing w:val="-10"/>
                <w:sz w:val="21"/>
              </w:rPr>
              <w:t>以</w:t>
            </w:r>
          </w:p>
        </w:tc>
      </w:tr>
    </w:tbl>
    <w:p>
      <w:pPr>
        <w:pStyle w:val="BodyText"/>
        <w:spacing w:before="35"/>
        <w:ind w:left="3225"/>
      </w:pPr>
      <w:r>
        <w:rPr>
          <w:spacing w:val="-2"/>
        </w:rPr>
        <w:t>入院日期为准）</w:t>
      </w:r>
      <w:r>
        <w:rPr>
          <w:spacing w:val="-8"/>
        </w:rPr>
        <w:t>发生在被保险人 </w:t>
      </w:r>
      <w:r>
        <w:rPr>
          <w:spacing w:val="-2"/>
        </w:rPr>
        <w:t>6</w:t>
      </w:r>
      <w:r>
        <w:rPr>
          <w:spacing w:val="-12"/>
        </w:rPr>
        <w:t> 周岁以后；</w:t>
      </w:r>
    </w:p>
    <w:p>
      <w:pPr>
        <w:pStyle w:val="ListParagraph"/>
        <w:numPr>
          <w:ilvl w:val="1"/>
          <w:numId w:val="75"/>
        </w:numPr>
        <w:tabs>
          <w:tab w:pos="3229" w:val="left" w:leader="none"/>
        </w:tabs>
        <w:spacing w:line="242" w:lineRule="auto" w:before="5" w:after="0"/>
        <w:ind w:left="3225" w:right="333" w:hanging="526"/>
        <w:jc w:val="left"/>
        <w:rPr>
          <w:sz w:val="21"/>
        </w:rPr>
      </w:pPr>
      <w:r>
        <w:rPr>
          <w:spacing w:val="-2"/>
          <w:sz w:val="21"/>
        </w:rPr>
        <w:t>经我们认可医院的专科医生确诊被保险人由于严重头部创伤或疾病造</w:t>
      </w:r>
      <w:r>
        <w:rPr>
          <w:spacing w:val="-2"/>
          <w:sz w:val="21"/>
        </w:rPr>
        <w:t>成智力低常；</w:t>
      </w:r>
    </w:p>
    <w:p>
      <w:pPr>
        <w:spacing w:after="0" w:line="242" w:lineRule="auto"/>
        <w:jc w:val="left"/>
        <w:rPr>
          <w:sz w:val="21"/>
        </w:rPr>
        <w:sectPr>
          <w:pgSz w:w="11910" w:h="16840"/>
          <w:pgMar w:header="877" w:footer="0" w:top="1100" w:bottom="280" w:left="1060" w:right="980"/>
        </w:sectPr>
      </w:pPr>
    </w:p>
    <w:p>
      <w:pPr>
        <w:pStyle w:val="ListParagraph"/>
        <w:numPr>
          <w:ilvl w:val="1"/>
          <w:numId w:val="75"/>
        </w:numPr>
        <w:tabs>
          <w:tab w:pos="3229" w:val="left" w:leader="none"/>
        </w:tabs>
        <w:spacing w:line="242" w:lineRule="auto" w:before="83" w:after="0"/>
        <w:ind w:left="3225" w:right="326" w:hanging="526"/>
        <w:jc w:val="left"/>
        <w:rPr>
          <w:sz w:val="21"/>
        </w:rPr>
      </w:pPr>
      <w:r>
        <w:rPr>
          <w:spacing w:val="-6"/>
          <w:sz w:val="21"/>
        </w:rPr>
        <w:t>专职合格心理检测工作者适时做的心理检测证实被保险人智力低常</w:t>
      </w:r>
      <w:r>
        <w:rPr>
          <w:spacing w:val="-2"/>
          <w:sz w:val="21"/>
        </w:rPr>
        <w:t>（中度、重度或极重度）；</w:t>
      </w:r>
    </w:p>
    <w:p>
      <w:pPr>
        <w:pStyle w:val="ListParagraph"/>
        <w:numPr>
          <w:ilvl w:val="1"/>
          <w:numId w:val="75"/>
        </w:numPr>
        <w:tabs>
          <w:tab w:pos="3229" w:val="left" w:leader="none"/>
        </w:tabs>
        <w:spacing w:line="240" w:lineRule="auto" w:before="1" w:after="0"/>
        <w:ind w:left="3228" w:right="0" w:hanging="530"/>
        <w:jc w:val="left"/>
        <w:rPr>
          <w:sz w:val="21"/>
        </w:rPr>
      </w:pPr>
      <w:r>
        <w:rPr>
          <w:spacing w:val="-5"/>
          <w:sz w:val="21"/>
        </w:rPr>
        <w:t>被保险人的智力低常自确认日起持续 </w:t>
      </w:r>
      <w:r>
        <w:rPr>
          <w:spacing w:val="-2"/>
          <w:sz w:val="21"/>
        </w:rPr>
        <w:t>180</w:t>
      </w:r>
      <w:r>
        <w:rPr>
          <w:spacing w:val="-14"/>
          <w:sz w:val="21"/>
        </w:rPr>
        <w:t> 天以上。</w:t>
      </w:r>
    </w:p>
    <w:p>
      <w:pPr>
        <w:pStyle w:val="BodyText"/>
        <w:spacing w:before="10"/>
        <w:rPr>
          <w:sz w:val="23"/>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7"/>
        <w:gridCol w:w="1805"/>
        <w:gridCol w:w="6932"/>
      </w:tblGrid>
      <w:tr>
        <w:trPr>
          <w:trHeight w:val="1467" w:hRule="atLeast"/>
        </w:trPr>
        <w:tc>
          <w:tcPr>
            <w:tcW w:w="687" w:type="dxa"/>
          </w:tcPr>
          <w:p>
            <w:pPr>
              <w:pStyle w:val="TableParagraph"/>
              <w:spacing w:line="291" w:lineRule="exact"/>
              <w:ind w:left="50"/>
              <w:rPr>
                <w:rFonts w:ascii="微软雅黑"/>
                <w:b/>
                <w:sz w:val="21"/>
              </w:rPr>
            </w:pPr>
            <w:r>
              <w:rPr>
                <w:rFonts w:ascii="微软雅黑"/>
                <w:b/>
                <w:spacing w:val="-5"/>
                <w:w w:val="90"/>
                <w:sz w:val="21"/>
              </w:rPr>
              <w:t>105</w:t>
            </w:r>
          </w:p>
        </w:tc>
        <w:tc>
          <w:tcPr>
            <w:tcW w:w="1805" w:type="dxa"/>
          </w:tcPr>
          <w:p>
            <w:pPr>
              <w:pStyle w:val="TableParagraph"/>
              <w:spacing w:line="168" w:lineRule="auto"/>
              <w:ind w:left="320" w:right="106"/>
              <w:rPr>
                <w:rFonts w:ascii="微软雅黑" w:eastAsia="微软雅黑"/>
                <w:b/>
                <w:sz w:val="21"/>
              </w:rPr>
            </w:pPr>
            <w:r>
              <w:rPr>
                <w:rFonts w:ascii="微软雅黑" w:eastAsia="微软雅黑"/>
                <w:b/>
                <w:spacing w:val="15"/>
                <w:sz w:val="21"/>
              </w:rPr>
              <w:t>主动脉夹层血</w:t>
            </w:r>
            <w:r>
              <w:rPr>
                <w:rFonts w:ascii="微软雅黑" w:eastAsia="微软雅黑"/>
                <w:b/>
                <w:spacing w:val="-10"/>
                <w:sz w:val="21"/>
              </w:rPr>
              <w:t>肿</w:t>
            </w:r>
          </w:p>
        </w:tc>
        <w:tc>
          <w:tcPr>
            <w:tcW w:w="6932" w:type="dxa"/>
          </w:tcPr>
          <w:p>
            <w:pPr>
              <w:pStyle w:val="TableParagraph"/>
              <w:spacing w:line="241" w:lineRule="exact"/>
              <w:ind w:left="109"/>
              <w:rPr>
                <w:sz w:val="21"/>
              </w:rPr>
            </w:pPr>
            <w:r>
              <w:rPr>
                <w:spacing w:val="-3"/>
                <w:sz w:val="21"/>
              </w:rPr>
              <w:t>是指主动脉壁在受到某些病理因素的破坏后，高速、高压的主动脉血流将</w:t>
            </w:r>
          </w:p>
          <w:p>
            <w:pPr>
              <w:pStyle w:val="TableParagraph"/>
              <w:spacing w:line="242" w:lineRule="auto" w:before="2"/>
              <w:ind w:left="109" w:right="46"/>
              <w:jc w:val="both"/>
              <w:rPr>
                <w:sz w:val="21"/>
              </w:rPr>
            </w:pPr>
            <w:r>
              <w:rPr>
                <w:spacing w:val="-2"/>
                <w:sz w:val="21"/>
              </w:rPr>
              <w:t>其内膜撕裂，以致主动脉腔内的血流通过主动脉内膜的破裂口进入主动脉</w:t>
            </w:r>
            <w:r>
              <w:rPr>
                <w:spacing w:val="-16"/>
                <w:sz w:val="21"/>
              </w:rPr>
              <w:t>内壁而形成血肿。被保险人需通过 </w:t>
            </w:r>
            <w:r>
              <w:rPr>
                <w:spacing w:val="-8"/>
                <w:sz w:val="21"/>
              </w:rPr>
              <w:t>X</w:t>
            </w:r>
            <w:r>
              <w:rPr>
                <w:spacing w:val="-19"/>
                <w:sz w:val="21"/>
              </w:rPr>
              <w:t> 线断层扫描</w:t>
            </w:r>
            <w:r>
              <w:rPr>
                <w:spacing w:val="-8"/>
                <w:sz w:val="21"/>
              </w:rPr>
              <w:t>（CT）</w:t>
            </w:r>
            <w:r>
              <w:rPr>
                <w:spacing w:val="-29"/>
                <w:sz w:val="21"/>
              </w:rPr>
              <w:t>、磁共振扫描</w:t>
            </w:r>
            <w:r>
              <w:rPr>
                <w:spacing w:val="-8"/>
                <w:sz w:val="21"/>
              </w:rPr>
              <w:t>（MRI）</w:t>
            </w:r>
            <w:r>
              <w:rPr>
                <w:spacing w:val="-68"/>
                <w:sz w:val="21"/>
              </w:rPr>
              <w:t>、</w:t>
            </w:r>
            <w:r>
              <w:rPr>
                <w:spacing w:val="-2"/>
                <w:sz w:val="21"/>
              </w:rPr>
              <w:t>磁共振血管检验法（MRA）或血管扫描等检查，并且实施了胸腹切开的直视</w:t>
            </w:r>
            <w:r>
              <w:rPr>
                <w:spacing w:val="-2"/>
                <w:sz w:val="21"/>
              </w:rPr>
              <w:t>主动脉手术。</w:t>
            </w:r>
          </w:p>
        </w:tc>
      </w:tr>
      <w:tr>
        <w:trPr>
          <w:trHeight w:val="1361" w:hRule="atLeast"/>
        </w:trPr>
        <w:tc>
          <w:tcPr>
            <w:tcW w:w="687" w:type="dxa"/>
          </w:tcPr>
          <w:p>
            <w:pPr>
              <w:pStyle w:val="TableParagraph"/>
              <w:spacing w:before="71"/>
              <w:ind w:left="50"/>
              <w:rPr>
                <w:rFonts w:ascii="微软雅黑"/>
                <w:b/>
                <w:sz w:val="21"/>
              </w:rPr>
            </w:pPr>
            <w:r>
              <w:rPr>
                <w:rFonts w:ascii="微软雅黑"/>
                <w:b/>
                <w:spacing w:val="-5"/>
                <w:w w:val="90"/>
                <w:sz w:val="21"/>
              </w:rPr>
              <w:t>106</w:t>
            </w:r>
          </w:p>
        </w:tc>
        <w:tc>
          <w:tcPr>
            <w:tcW w:w="1805" w:type="dxa"/>
          </w:tcPr>
          <w:p>
            <w:pPr>
              <w:pStyle w:val="TableParagraph"/>
              <w:spacing w:line="168" w:lineRule="auto" w:before="154"/>
              <w:ind w:left="320" w:right="106"/>
              <w:rPr>
                <w:rFonts w:ascii="微软雅黑" w:eastAsia="微软雅黑"/>
                <w:b/>
                <w:sz w:val="21"/>
              </w:rPr>
            </w:pPr>
            <w:r>
              <w:rPr>
                <w:rFonts w:ascii="微软雅黑" w:eastAsia="微软雅黑"/>
                <w:b/>
                <w:spacing w:val="15"/>
                <w:sz w:val="21"/>
              </w:rPr>
              <w:t>破裂脑动脉瘤</w:t>
            </w:r>
            <w:r>
              <w:rPr>
                <w:rFonts w:ascii="微软雅黑" w:eastAsia="微软雅黑"/>
                <w:b/>
                <w:spacing w:val="-4"/>
                <w:sz w:val="21"/>
              </w:rPr>
              <w:t>夹闭手术</w:t>
            </w:r>
          </w:p>
        </w:tc>
        <w:tc>
          <w:tcPr>
            <w:tcW w:w="6932" w:type="dxa"/>
          </w:tcPr>
          <w:p>
            <w:pPr>
              <w:pStyle w:val="TableParagraph"/>
              <w:spacing w:line="242" w:lineRule="auto" w:before="138"/>
              <w:ind w:left="109" w:right="87"/>
              <w:rPr>
                <w:sz w:val="21"/>
              </w:rPr>
            </w:pPr>
            <w:r>
              <w:rPr>
                <w:spacing w:val="-2"/>
                <w:sz w:val="21"/>
              </w:rPr>
              <w:t>指因脑动脉瘤破裂造成蛛网膜下腔出血，被保险人实际接受了在全麻下进</w:t>
            </w:r>
            <w:r>
              <w:rPr>
                <w:spacing w:val="-2"/>
                <w:sz w:val="21"/>
              </w:rPr>
              <w:t>行的开颅动脉夹闭手术。</w:t>
            </w:r>
          </w:p>
          <w:p>
            <w:pPr>
              <w:pStyle w:val="TableParagraph"/>
              <w:spacing w:line="168" w:lineRule="auto" w:before="17"/>
              <w:ind w:left="109" w:right="85"/>
              <w:rPr>
                <w:rFonts w:ascii="微软雅黑" w:eastAsia="微软雅黑"/>
                <w:b/>
                <w:sz w:val="21"/>
              </w:rPr>
            </w:pPr>
            <w:r>
              <w:rPr>
                <w:rFonts w:ascii="微软雅黑" w:eastAsia="微软雅黑"/>
                <w:b/>
                <w:spacing w:val="-2"/>
                <w:sz w:val="21"/>
              </w:rPr>
              <w:t>脑动脉瘤（未破裂）预防性手术、颅骨打孔手术、动脉瘤栓塞手术、血管</w:t>
            </w:r>
            <w:r>
              <w:rPr>
                <w:rFonts w:ascii="微软雅黑" w:eastAsia="微软雅黑"/>
                <w:b/>
                <w:spacing w:val="-2"/>
                <w:sz w:val="21"/>
              </w:rPr>
              <w:t>内手术及其他颅脑手术不在保障范围内。</w:t>
            </w:r>
          </w:p>
        </w:tc>
      </w:tr>
      <w:tr>
        <w:trPr>
          <w:trHeight w:val="922" w:hRule="atLeast"/>
        </w:trPr>
        <w:tc>
          <w:tcPr>
            <w:tcW w:w="687" w:type="dxa"/>
          </w:tcPr>
          <w:p>
            <w:pPr>
              <w:pStyle w:val="TableParagraph"/>
              <w:spacing w:before="71"/>
              <w:ind w:left="50"/>
              <w:rPr>
                <w:rFonts w:ascii="微软雅黑"/>
                <w:b/>
                <w:sz w:val="21"/>
              </w:rPr>
            </w:pPr>
            <w:r>
              <w:rPr>
                <w:rFonts w:ascii="微软雅黑"/>
                <w:b/>
                <w:spacing w:val="-5"/>
                <w:w w:val="90"/>
                <w:sz w:val="21"/>
              </w:rPr>
              <w:t>107</w:t>
            </w:r>
          </w:p>
        </w:tc>
        <w:tc>
          <w:tcPr>
            <w:tcW w:w="1805" w:type="dxa"/>
          </w:tcPr>
          <w:p>
            <w:pPr>
              <w:pStyle w:val="TableParagraph"/>
              <w:spacing w:line="170" w:lineRule="auto" w:before="151"/>
              <w:ind w:left="320" w:right="106"/>
              <w:rPr>
                <w:rFonts w:ascii="微软雅黑" w:eastAsia="微软雅黑"/>
                <w:b/>
                <w:sz w:val="21"/>
              </w:rPr>
            </w:pPr>
            <w:r>
              <w:rPr>
                <w:rFonts w:ascii="微软雅黑" w:eastAsia="微软雅黑"/>
                <w:b/>
                <w:spacing w:val="15"/>
                <w:sz w:val="21"/>
              </w:rPr>
              <w:t>严重冠状动脉</w:t>
            </w:r>
            <w:r>
              <w:rPr>
                <w:rFonts w:ascii="微软雅黑" w:eastAsia="微软雅黑"/>
                <w:b/>
                <w:spacing w:val="15"/>
                <w:sz w:val="21"/>
              </w:rPr>
              <w:t>粥样硬化性心</w:t>
            </w:r>
          </w:p>
          <w:p>
            <w:pPr>
              <w:pStyle w:val="TableParagraph"/>
              <w:spacing w:line="202" w:lineRule="exact"/>
              <w:ind w:left="320"/>
              <w:rPr>
                <w:rFonts w:ascii="微软雅黑" w:eastAsia="微软雅黑"/>
                <w:b/>
                <w:sz w:val="21"/>
              </w:rPr>
            </w:pPr>
            <w:r>
              <w:rPr>
                <w:rFonts w:ascii="微软雅黑" w:eastAsia="微软雅黑"/>
                <w:b/>
                <w:spacing w:val="-5"/>
                <w:sz w:val="21"/>
              </w:rPr>
              <w:t>脏病</w:t>
            </w:r>
          </w:p>
        </w:tc>
        <w:tc>
          <w:tcPr>
            <w:tcW w:w="6932" w:type="dxa"/>
          </w:tcPr>
          <w:p>
            <w:pPr>
              <w:pStyle w:val="TableParagraph"/>
              <w:spacing w:line="244" w:lineRule="auto" w:before="138"/>
              <w:ind w:left="109" w:right="87"/>
              <w:rPr>
                <w:sz w:val="21"/>
              </w:rPr>
            </w:pPr>
            <w:r>
              <w:rPr>
                <w:spacing w:val="-2"/>
                <w:sz w:val="21"/>
              </w:rPr>
              <w:t>指经冠状动脉造影检查明确诊断为主要血管严重狭窄性病变，须满足下列</w:t>
            </w:r>
            <w:r>
              <w:rPr>
                <w:spacing w:val="-2"/>
                <w:sz w:val="21"/>
              </w:rPr>
              <w:t>至少一项条件：</w:t>
            </w:r>
          </w:p>
          <w:p>
            <w:pPr>
              <w:pStyle w:val="TableParagraph"/>
              <w:spacing w:line="216" w:lineRule="exact"/>
              <w:ind w:left="109"/>
              <w:rPr>
                <w:sz w:val="21"/>
              </w:rPr>
            </w:pPr>
            <w:r>
              <w:rPr>
                <w:spacing w:val="-4"/>
                <w:sz w:val="21"/>
              </w:rPr>
              <w:t>（1）</w:t>
            </w:r>
            <w:r>
              <w:rPr>
                <w:spacing w:val="-5"/>
                <w:sz w:val="21"/>
              </w:rPr>
              <w:t>左冠状动脉主干和右冠状动脉中，一支血管管腔堵塞 </w:t>
            </w:r>
            <w:r>
              <w:rPr>
                <w:spacing w:val="-4"/>
                <w:sz w:val="21"/>
              </w:rPr>
              <w:t>75</w:t>
            </w:r>
            <w:r>
              <w:rPr>
                <w:spacing w:val="-5"/>
                <w:sz w:val="21"/>
              </w:rPr>
              <w:t>%以上，另一</w:t>
            </w:r>
          </w:p>
        </w:tc>
      </w:tr>
    </w:tbl>
    <w:p>
      <w:pPr>
        <w:pStyle w:val="BodyText"/>
        <w:spacing w:before="35"/>
        <w:ind w:left="3330"/>
      </w:pPr>
      <w:r>
        <w:rPr>
          <w:spacing w:val="-8"/>
        </w:rPr>
        <w:t>支血管管腔堵塞 </w:t>
      </w:r>
      <w:r>
        <w:rPr>
          <w:spacing w:val="-2"/>
        </w:rPr>
        <w:t>60</w:t>
      </w:r>
      <w:r>
        <w:rPr>
          <w:spacing w:val="-4"/>
        </w:rPr>
        <w:t>%以上；</w:t>
      </w:r>
    </w:p>
    <w:p>
      <w:pPr>
        <w:pStyle w:val="BodyText"/>
        <w:spacing w:line="244" w:lineRule="auto" w:before="3" w:after="24"/>
        <w:ind w:left="3330" w:right="220" w:hanging="526"/>
      </w:pPr>
      <w:r>
        <w:rPr>
          <w:spacing w:val="-6"/>
        </w:rPr>
        <w:t>（2）</w:t>
      </w:r>
      <w:r>
        <w:rPr>
          <w:spacing w:val="-8"/>
        </w:rPr>
        <w:t>左前降支、左旋支和右冠状动脉中，至少一支血管管腔堵塞 </w:t>
      </w:r>
      <w:r>
        <w:rPr>
          <w:spacing w:val="-6"/>
        </w:rPr>
        <w:t>75%以上，</w:t>
      </w:r>
      <w:r>
        <w:rPr>
          <w:spacing w:val="-4"/>
        </w:rPr>
        <w:t>其他两支血管管腔堵塞 </w:t>
      </w:r>
      <w:r>
        <w:rPr/>
        <w:t>60%以上。</w:t>
      </w: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7"/>
        <w:gridCol w:w="1805"/>
        <w:gridCol w:w="6894"/>
      </w:tblGrid>
      <w:tr>
        <w:trPr>
          <w:trHeight w:val="649" w:hRule="atLeast"/>
        </w:trPr>
        <w:tc>
          <w:tcPr>
            <w:tcW w:w="2492" w:type="dxa"/>
            <w:gridSpan w:val="2"/>
          </w:tcPr>
          <w:p>
            <w:pPr>
              <w:pStyle w:val="TableParagraph"/>
              <w:rPr>
                <w:rFonts w:ascii="Times New Roman"/>
                <w:sz w:val="20"/>
              </w:rPr>
            </w:pPr>
          </w:p>
        </w:tc>
        <w:tc>
          <w:tcPr>
            <w:tcW w:w="6894" w:type="dxa"/>
          </w:tcPr>
          <w:p>
            <w:pPr>
              <w:pStyle w:val="TableParagraph"/>
              <w:spacing w:line="168" w:lineRule="auto"/>
              <w:ind w:left="109" w:right="50"/>
              <w:rPr>
                <w:rFonts w:ascii="微软雅黑" w:eastAsia="微软雅黑"/>
                <w:b/>
                <w:sz w:val="21"/>
              </w:rPr>
            </w:pPr>
            <w:r>
              <w:rPr>
                <w:rFonts w:ascii="微软雅黑" w:eastAsia="微软雅黑"/>
                <w:b/>
                <w:spacing w:val="-2"/>
                <w:sz w:val="21"/>
              </w:rPr>
              <w:t>左前降支的分支血管、左旋支的分支血管及右冠状动脉的分支血管的狭窄</w:t>
            </w:r>
            <w:r>
              <w:rPr>
                <w:rFonts w:ascii="微软雅黑" w:eastAsia="微软雅黑"/>
                <w:b/>
                <w:spacing w:val="-2"/>
                <w:sz w:val="21"/>
              </w:rPr>
              <w:t>不作为本保障的衡量指标。</w:t>
            </w:r>
          </w:p>
        </w:tc>
      </w:tr>
      <w:tr>
        <w:trPr>
          <w:trHeight w:val="1090" w:hRule="atLeast"/>
        </w:trPr>
        <w:tc>
          <w:tcPr>
            <w:tcW w:w="687" w:type="dxa"/>
          </w:tcPr>
          <w:p>
            <w:pPr>
              <w:pStyle w:val="TableParagraph"/>
              <w:spacing w:before="71"/>
              <w:ind w:left="50"/>
              <w:rPr>
                <w:rFonts w:ascii="微软雅黑"/>
                <w:b/>
                <w:sz w:val="21"/>
              </w:rPr>
            </w:pPr>
            <w:r>
              <w:rPr>
                <w:rFonts w:ascii="微软雅黑"/>
                <w:b/>
                <w:spacing w:val="-5"/>
                <w:w w:val="90"/>
                <w:sz w:val="21"/>
              </w:rPr>
              <w:t>108</w:t>
            </w:r>
          </w:p>
        </w:tc>
        <w:tc>
          <w:tcPr>
            <w:tcW w:w="1805" w:type="dxa"/>
          </w:tcPr>
          <w:p>
            <w:pPr>
              <w:pStyle w:val="TableParagraph"/>
              <w:spacing w:line="331" w:lineRule="exact" w:before="71"/>
              <w:ind w:left="320"/>
              <w:rPr>
                <w:rFonts w:ascii="微软雅黑" w:eastAsia="微软雅黑"/>
                <w:b/>
                <w:sz w:val="21"/>
              </w:rPr>
            </w:pPr>
            <w:r>
              <w:rPr>
                <w:rFonts w:ascii="微软雅黑" w:eastAsia="微软雅黑"/>
                <w:b/>
                <w:spacing w:val="15"/>
                <w:sz w:val="21"/>
              </w:rPr>
              <w:t>侵蚀性葡萄胎</w:t>
            </w:r>
          </w:p>
          <w:p>
            <w:pPr>
              <w:pStyle w:val="TableParagraph"/>
              <w:spacing w:line="168" w:lineRule="auto" w:before="26"/>
              <w:ind w:left="320" w:right="106"/>
              <w:rPr>
                <w:rFonts w:ascii="微软雅黑" w:eastAsia="微软雅黑"/>
                <w:b/>
                <w:sz w:val="21"/>
              </w:rPr>
            </w:pPr>
            <w:r>
              <w:rPr>
                <w:rFonts w:ascii="微软雅黑" w:eastAsia="微软雅黑"/>
                <w:b/>
                <w:sz w:val="21"/>
              </w:rPr>
              <w:t>（</w:t>
            </w:r>
            <w:r>
              <w:rPr>
                <w:rFonts w:ascii="微软雅黑" w:eastAsia="微软雅黑"/>
                <w:b/>
                <w:spacing w:val="6"/>
                <w:sz w:val="21"/>
              </w:rPr>
              <w:t> 或称恶性葡</w:t>
            </w:r>
            <w:r>
              <w:rPr>
                <w:rFonts w:ascii="微软雅黑" w:eastAsia="微软雅黑"/>
                <w:b/>
                <w:spacing w:val="-4"/>
                <w:sz w:val="21"/>
              </w:rPr>
              <w:t>萄胎）</w:t>
            </w:r>
          </w:p>
        </w:tc>
        <w:tc>
          <w:tcPr>
            <w:tcW w:w="6894" w:type="dxa"/>
          </w:tcPr>
          <w:p>
            <w:pPr>
              <w:pStyle w:val="TableParagraph"/>
              <w:spacing w:line="244" w:lineRule="auto" w:before="138"/>
              <w:ind w:left="109" w:right="49"/>
              <w:rPr>
                <w:sz w:val="21"/>
              </w:rPr>
            </w:pPr>
            <w:r>
              <w:rPr>
                <w:spacing w:val="-2"/>
                <w:sz w:val="21"/>
              </w:rPr>
              <w:t>该类疾病是指异常增生的绒毛组织浸润性生长浸入子宫肌层或转移至其他</w:t>
            </w:r>
            <w:r>
              <w:rPr>
                <w:spacing w:val="-2"/>
                <w:sz w:val="21"/>
              </w:rPr>
              <w:t>器官或组织的葡萄胎，并已经进行化疗或手术治疗的。</w:t>
            </w:r>
          </w:p>
        </w:tc>
      </w:tr>
      <w:tr>
        <w:trPr>
          <w:trHeight w:val="818" w:hRule="atLeast"/>
        </w:trPr>
        <w:tc>
          <w:tcPr>
            <w:tcW w:w="687" w:type="dxa"/>
          </w:tcPr>
          <w:p>
            <w:pPr>
              <w:pStyle w:val="TableParagraph"/>
              <w:spacing w:before="71"/>
              <w:ind w:left="50"/>
              <w:rPr>
                <w:rFonts w:ascii="微软雅黑"/>
                <w:b/>
                <w:sz w:val="21"/>
              </w:rPr>
            </w:pPr>
            <w:r>
              <w:rPr>
                <w:rFonts w:ascii="微软雅黑"/>
                <w:b/>
                <w:spacing w:val="-5"/>
                <w:w w:val="90"/>
                <w:sz w:val="21"/>
              </w:rPr>
              <w:t>109</w:t>
            </w:r>
          </w:p>
        </w:tc>
        <w:tc>
          <w:tcPr>
            <w:tcW w:w="1805" w:type="dxa"/>
          </w:tcPr>
          <w:p>
            <w:pPr>
              <w:pStyle w:val="TableParagraph"/>
              <w:spacing w:before="71"/>
              <w:ind w:left="320"/>
              <w:rPr>
                <w:rFonts w:ascii="微软雅黑" w:eastAsia="微软雅黑"/>
                <w:b/>
                <w:sz w:val="21"/>
              </w:rPr>
            </w:pPr>
            <w:r>
              <w:rPr>
                <w:rFonts w:ascii="微软雅黑" w:eastAsia="微软雅黑"/>
                <w:b/>
                <w:spacing w:val="-2"/>
                <w:sz w:val="21"/>
              </w:rPr>
              <w:t>心脏粘液瘤</w:t>
            </w:r>
          </w:p>
        </w:tc>
        <w:tc>
          <w:tcPr>
            <w:tcW w:w="6894" w:type="dxa"/>
          </w:tcPr>
          <w:p>
            <w:pPr>
              <w:pStyle w:val="TableParagraph"/>
              <w:spacing w:line="194" w:lineRule="auto" w:before="178"/>
              <w:ind w:left="109" w:right="685"/>
              <w:rPr>
                <w:rFonts w:ascii="微软雅黑" w:eastAsia="微软雅黑"/>
                <w:b/>
                <w:sz w:val="21"/>
              </w:rPr>
            </w:pPr>
            <w:r>
              <w:rPr>
                <w:spacing w:val="-2"/>
                <w:sz w:val="21"/>
              </w:rPr>
              <w:t>为了治疗心脏粘液瘤，实际实施了开胸开心心脏粘液瘤切除手术。</w:t>
            </w:r>
            <w:r>
              <w:rPr>
                <w:rFonts w:ascii="微软雅黑" w:eastAsia="微软雅黑"/>
                <w:b/>
                <w:spacing w:val="-2"/>
                <w:sz w:val="21"/>
              </w:rPr>
              <w:t>经导管介入手术治疗不在保障范围内。</w:t>
            </w:r>
          </w:p>
        </w:tc>
      </w:tr>
      <w:tr>
        <w:trPr>
          <w:trHeight w:val="1634" w:hRule="atLeast"/>
        </w:trPr>
        <w:tc>
          <w:tcPr>
            <w:tcW w:w="687" w:type="dxa"/>
          </w:tcPr>
          <w:p>
            <w:pPr>
              <w:pStyle w:val="TableParagraph"/>
              <w:spacing w:before="71"/>
              <w:ind w:left="50"/>
              <w:rPr>
                <w:rFonts w:ascii="微软雅黑"/>
                <w:b/>
                <w:sz w:val="21"/>
              </w:rPr>
            </w:pPr>
            <w:r>
              <w:rPr>
                <w:rFonts w:ascii="微软雅黑"/>
                <w:b/>
                <w:spacing w:val="-5"/>
                <w:w w:val="90"/>
                <w:sz w:val="21"/>
              </w:rPr>
              <w:t>110</w:t>
            </w:r>
          </w:p>
        </w:tc>
        <w:tc>
          <w:tcPr>
            <w:tcW w:w="1805" w:type="dxa"/>
          </w:tcPr>
          <w:p>
            <w:pPr>
              <w:pStyle w:val="TableParagraph"/>
              <w:spacing w:line="168" w:lineRule="auto" w:before="154"/>
              <w:ind w:left="320" w:right="106"/>
              <w:rPr>
                <w:rFonts w:ascii="微软雅黑" w:eastAsia="微软雅黑"/>
                <w:b/>
                <w:sz w:val="21"/>
              </w:rPr>
            </w:pPr>
            <w:r>
              <w:rPr>
                <w:rFonts w:ascii="微软雅黑" w:eastAsia="微软雅黑"/>
                <w:b/>
                <w:spacing w:val="15"/>
                <w:sz w:val="21"/>
              </w:rPr>
              <w:t>严重继发性肺</w:t>
            </w:r>
            <w:r>
              <w:rPr>
                <w:rFonts w:ascii="微软雅黑" w:eastAsia="微软雅黑"/>
                <w:b/>
                <w:spacing w:val="-4"/>
                <w:sz w:val="21"/>
              </w:rPr>
              <w:t>动脉高压</w:t>
            </w:r>
          </w:p>
        </w:tc>
        <w:tc>
          <w:tcPr>
            <w:tcW w:w="6894" w:type="dxa"/>
          </w:tcPr>
          <w:p>
            <w:pPr>
              <w:pStyle w:val="TableParagraph"/>
              <w:spacing w:line="242" w:lineRule="auto" w:before="138"/>
              <w:ind w:left="109" w:right="46"/>
              <w:jc w:val="both"/>
              <w:rPr>
                <w:sz w:val="21"/>
              </w:rPr>
            </w:pPr>
            <w:r>
              <w:rPr>
                <w:spacing w:val="-2"/>
                <w:sz w:val="21"/>
              </w:rPr>
              <w:t>继发性肺动脉压力持续增高，导致右心室肥厚，已经造成永久不可逆性的</w:t>
            </w:r>
            <w:r>
              <w:rPr>
                <w:w w:val="95"/>
                <w:sz w:val="21"/>
              </w:rPr>
              <w:t>体</w:t>
            </w:r>
            <w:r>
              <w:rPr>
                <w:w w:val="95"/>
                <w:sz w:val="21"/>
              </w:rPr>
              <w:t>力</w:t>
            </w:r>
            <w:r>
              <w:rPr>
                <w:spacing w:val="-7"/>
                <w:w w:val="95"/>
                <w:sz w:val="21"/>
              </w:rPr>
              <w:t>活动能力受限，达到</w:t>
            </w:r>
            <w:r>
              <w:rPr>
                <w:w w:val="95"/>
                <w:sz w:val="21"/>
              </w:rPr>
              <w:t>美</w:t>
            </w:r>
            <w:r>
              <w:rPr>
                <w:w w:val="95"/>
                <w:sz w:val="21"/>
              </w:rPr>
              <w:t>国</w:t>
            </w:r>
            <w:r>
              <w:rPr>
                <w:w w:val="95"/>
                <w:sz w:val="21"/>
              </w:rPr>
              <w:t>纽约心脏病学会心功</w:t>
            </w:r>
            <w:r>
              <w:rPr>
                <w:w w:val="95"/>
                <w:sz w:val="21"/>
              </w:rPr>
              <w:t>能</w:t>
            </w:r>
            <w:r>
              <w:rPr>
                <w:w w:val="95"/>
                <w:sz w:val="21"/>
              </w:rPr>
              <w:t>状</w:t>
            </w:r>
            <w:r>
              <w:rPr>
                <w:w w:val="95"/>
                <w:sz w:val="21"/>
              </w:rPr>
              <w:t>态</w:t>
            </w:r>
            <w:r>
              <w:rPr>
                <w:w w:val="95"/>
                <w:sz w:val="21"/>
              </w:rPr>
              <w:t>分</w:t>
            </w:r>
            <w:r>
              <w:rPr>
                <w:w w:val="95"/>
                <w:sz w:val="21"/>
              </w:rPr>
              <w:t>级</w:t>
            </w:r>
            <w:r>
              <w:rPr>
                <w:sz w:val="21"/>
              </w:rPr>
              <w:t> </w:t>
            </w:r>
            <w:r>
              <w:rPr>
                <w:w w:val="95"/>
                <w:sz w:val="21"/>
              </w:rPr>
              <w:t>IV 级。诊</w:t>
            </w:r>
            <w:r>
              <w:rPr>
                <w:w w:val="95"/>
                <w:sz w:val="21"/>
              </w:rPr>
              <w:t>断</w:t>
            </w:r>
            <w:r>
              <w:rPr>
                <w:spacing w:val="-2"/>
                <w:sz w:val="21"/>
              </w:rPr>
              <w:t>需要由心脏科专家确诊，并且心导管检查报告显示静息状态下肺动脉平均</w:t>
            </w:r>
            <w:r>
              <w:rPr>
                <w:spacing w:val="-11"/>
                <w:sz w:val="21"/>
              </w:rPr>
              <w:t>压超过 </w:t>
            </w:r>
            <w:r>
              <w:rPr>
                <w:sz w:val="21"/>
              </w:rPr>
              <w:t>36mmHg（含）。</w:t>
            </w:r>
          </w:p>
          <w:p>
            <w:pPr>
              <w:pStyle w:val="TableParagraph"/>
              <w:spacing w:line="323" w:lineRule="exact"/>
              <w:ind w:left="109"/>
              <w:rPr>
                <w:rFonts w:ascii="微软雅黑" w:eastAsia="微软雅黑"/>
                <w:b/>
                <w:sz w:val="21"/>
              </w:rPr>
            </w:pPr>
            <w:r>
              <w:rPr>
                <w:rFonts w:ascii="微软雅黑" w:eastAsia="微软雅黑"/>
                <w:b/>
                <w:spacing w:val="-3"/>
                <w:sz w:val="21"/>
              </w:rPr>
              <w:t>所有先天性心脏疾病直接或间接引起的肺动脉高压不在保障范围内。</w:t>
            </w:r>
          </w:p>
        </w:tc>
      </w:tr>
      <w:tr>
        <w:trPr>
          <w:trHeight w:val="1361" w:hRule="atLeast"/>
        </w:trPr>
        <w:tc>
          <w:tcPr>
            <w:tcW w:w="687" w:type="dxa"/>
          </w:tcPr>
          <w:p>
            <w:pPr>
              <w:pStyle w:val="TableParagraph"/>
              <w:spacing w:before="71"/>
              <w:ind w:left="50"/>
              <w:rPr>
                <w:rFonts w:ascii="微软雅黑"/>
                <w:b/>
                <w:sz w:val="21"/>
              </w:rPr>
            </w:pPr>
            <w:r>
              <w:rPr>
                <w:rFonts w:ascii="微软雅黑"/>
                <w:b/>
                <w:spacing w:val="-5"/>
                <w:w w:val="90"/>
                <w:sz w:val="21"/>
              </w:rPr>
              <w:t>111</w:t>
            </w:r>
          </w:p>
        </w:tc>
        <w:tc>
          <w:tcPr>
            <w:tcW w:w="1805" w:type="dxa"/>
          </w:tcPr>
          <w:p>
            <w:pPr>
              <w:pStyle w:val="TableParagraph"/>
              <w:spacing w:before="71"/>
              <w:ind w:left="320"/>
              <w:rPr>
                <w:rFonts w:ascii="微软雅黑" w:eastAsia="微软雅黑"/>
                <w:b/>
                <w:sz w:val="21"/>
              </w:rPr>
            </w:pPr>
            <w:r>
              <w:rPr>
                <w:rFonts w:ascii="微软雅黑" w:eastAsia="微软雅黑"/>
                <w:b/>
                <w:spacing w:val="-2"/>
                <w:sz w:val="21"/>
              </w:rPr>
              <w:t>主动脉夹层瘤</w:t>
            </w:r>
          </w:p>
        </w:tc>
        <w:tc>
          <w:tcPr>
            <w:tcW w:w="6894" w:type="dxa"/>
          </w:tcPr>
          <w:p>
            <w:pPr>
              <w:pStyle w:val="TableParagraph"/>
              <w:spacing w:line="242" w:lineRule="auto" w:before="138"/>
              <w:ind w:left="109" w:right="49"/>
              <w:jc w:val="both"/>
              <w:rPr>
                <w:sz w:val="21"/>
              </w:rPr>
            </w:pPr>
            <w:r>
              <w:rPr>
                <w:spacing w:val="-2"/>
                <w:sz w:val="21"/>
              </w:rPr>
              <w:t>指主动脉的内膜破裂导致血液流入主动脉壁中形成夹层动脉瘤。在本定义</w:t>
            </w:r>
            <w:r>
              <w:rPr>
                <w:spacing w:val="-2"/>
                <w:sz w:val="21"/>
              </w:rPr>
              <w:t>中，主动脉指胸主动脉及腹主动脉而非其旁支。诊断必须由我们认可医院</w:t>
            </w:r>
            <w:r>
              <w:rPr>
                <w:spacing w:val="-2"/>
                <w:sz w:val="21"/>
              </w:rPr>
              <w:t>的专科医生及检验结果证实，检验包括电脑扫描，磁共振扫描及磁共振血</w:t>
            </w:r>
            <w:r>
              <w:rPr>
                <w:spacing w:val="-2"/>
                <w:sz w:val="21"/>
              </w:rPr>
              <w:t>管造影或心导管检查的证明，并有必要进行紧急修补手术。</w:t>
            </w:r>
          </w:p>
        </w:tc>
      </w:tr>
      <w:tr>
        <w:trPr>
          <w:trHeight w:val="1905" w:hRule="atLeast"/>
        </w:trPr>
        <w:tc>
          <w:tcPr>
            <w:tcW w:w="687" w:type="dxa"/>
          </w:tcPr>
          <w:p>
            <w:pPr>
              <w:pStyle w:val="TableParagraph"/>
              <w:spacing w:before="71"/>
              <w:ind w:left="50"/>
              <w:rPr>
                <w:rFonts w:ascii="微软雅黑"/>
                <w:b/>
                <w:sz w:val="21"/>
              </w:rPr>
            </w:pPr>
            <w:r>
              <w:rPr>
                <w:rFonts w:ascii="微软雅黑"/>
                <w:b/>
                <w:spacing w:val="-5"/>
                <w:w w:val="90"/>
                <w:sz w:val="21"/>
              </w:rPr>
              <w:t>112</w:t>
            </w:r>
          </w:p>
        </w:tc>
        <w:tc>
          <w:tcPr>
            <w:tcW w:w="1805" w:type="dxa"/>
          </w:tcPr>
          <w:p>
            <w:pPr>
              <w:pStyle w:val="TableParagraph"/>
              <w:spacing w:line="168" w:lineRule="auto" w:before="154"/>
              <w:ind w:left="320" w:right="106"/>
              <w:rPr>
                <w:rFonts w:ascii="微软雅黑" w:eastAsia="微软雅黑"/>
                <w:b/>
                <w:sz w:val="21"/>
              </w:rPr>
            </w:pPr>
            <w:r>
              <w:rPr>
                <w:rFonts w:ascii="微软雅黑" w:eastAsia="微软雅黑"/>
                <w:b/>
                <w:spacing w:val="15"/>
                <w:sz w:val="21"/>
              </w:rPr>
              <w:t>肌萎缩脊髓侧</w:t>
            </w:r>
            <w:r>
              <w:rPr>
                <w:rFonts w:ascii="微软雅黑" w:eastAsia="微软雅黑"/>
                <w:b/>
                <w:spacing w:val="-2"/>
                <w:sz w:val="21"/>
              </w:rPr>
              <w:t>索硬化后遗症</w:t>
            </w:r>
          </w:p>
        </w:tc>
        <w:tc>
          <w:tcPr>
            <w:tcW w:w="6894" w:type="dxa"/>
          </w:tcPr>
          <w:p>
            <w:pPr>
              <w:pStyle w:val="TableParagraph"/>
              <w:spacing w:line="242" w:lineRule="auto" w:before="138"/>
              <w:ind w:left="109" w:right="47"/>
              <w:jc w:val="both"/>
              <w:rPr>
                <w:sz w:val="21"/>
              </w:rPr>
            </w:pPr>
            <w:r>
              <w:rPr>
                <w:spacing w:val="-2"/>
                <w:sz w:val="21"/>
              </w:rPr>
              <w:t>以肌肉无力及萎缩为特征，并有以下情况作为证明：脊髓前角细胞功能失</w:t>
            </w:r>
            <w:r>
              <w:rPr>
                <w:spacing w:val="-2"/>
                <w:sz w:val="21"/>
              </w:rPr>
              <w:t>调、可见的肌肉颤动、痉挛、过度活跃之深层肌腱反射和外部足底反射、</w:t>
            </w:r>
            <w:r>
              <w:rPr>
                <w:spacing w:val="-2"/>
                <w:sz w:val="21"/>
              </w:rPr>
              <w:t>影响皮质脊髓束、构音障碍及吞咽困难。必须由我们认可医院的专科医生</w:t>
            </w:r>
            <w:r>
              <w:rPr>
                <w:spacing w:val="-4"/>
                <w:sz w:val="21"/>
              </w:rPr>
              <w:t>以适当的神经肌肉检查如肌电图（EMG）证实。本疾病必须导致严重的生理</w:t>
            </w:r>
            <w:r>
              <w:rPr>
                <w:spacing w:val="-2"/>
                <w:sz w:val="21"/>
              </w:rPr>
              <w:t>功能损坏（由被保险人永久性无法独立完成最少三项基本日常生活活动作</w:t>
            </w:r>
            <w:r>
              <w:rPr>
                <w:spacing w:val="-2"/>
                <w:sz w:val="21"/>
              </w:rPr>
              <w:t>为证明）。</w:t>
            </w:r>
          </w:p>
        </w:tc>
      </w:tr>
      <w:tr>
        <w:trPr>
          <w:trHeight w:val="1196" w:hRule="atLeast"/>
        </w:trPr>
        <w:tc>
          <w:tcPr>
            <w:tcW w:w="687" w:type="dxa"/>
          </w:tcPr>
          <w:p>
            <w:pPr>
              <w:pStyle w:val="TableParagraph"/>
              <w:spacing w:before="71"/>
              <w:ind w:left="50"/>
              <w:rPr>
                <w:rFonts w:ascii="微软雅黑"/>
                <w:b/>
                <w:sz w:val="21"/>
              </w:rPr>
            </w:pPr>
            <w:r>
              <w:rPr>
                <w:rFonts w:ascii="微软雅黑"/>
                <w:b/>
                <w:spacing w:val="-5"/>
                <w:w w:val="90"/>
                <w:sz w:val="21"/>
              </w:rPr>
              <w:t>113</w:t>
            </w:r>
          </w:p>
        </w:tc>
        <w:tc>
          <w:tcPr>
            <w:tcW w:w="1805" w:type="dxa"/>
          </w:tcPr>
          <w:p>
            <w:pPr>
              <w:pStyle w:val="TableParagraph"/>
              <w:spacing w:line="170" w:lineRule="auto" w:before="151"/>
              <w:ind w:left="320" w:right="106"/>
              <w:rPr>
                <w:rFonts w:ascii="微软雅黑" w:eastAsia="微软雅黑"/>
                <w:b/>
                <w:sz w:val="21"/>
              </w:rPr>
            </w:pPr>
            <w:r>
              <w:rPr>
                <w:rFonts w:ascii="微软雅黑" w:eastAsia="微软雅黑"/>
                <w:b/>
                <w:spacing w:val="15"/>
                <w:sz w:val="21"/>
              </w:rPr>
              <w:t>严重结核性脑</w:t>
            </w:r>
            <w:r>
              <w:rPr>
                <w:rFonts w:ascii="微软雅黑" w:eastAsia="微软雅黑"/>
                <w:b/>
                <w:spacing w:val="-6"/>
                <w:sz w:val="21"/>
              </w:rPr>
              <w:t>膜炎</w:t>
            </w:r>
          </w:p>
        </w:tc>
        <w:tc>
          <w:tcPr>
            <w:tcW w:w="6894" w:type="dxa"/>
          </w:tcPr>
          <w:p>
            <w:pPr>
              <w:pStyle w:val="TableParagraph"/>
              <w:spacing w:line="244" w:lineRule="auto" w:before="138"/>
              <w:ind w:left="109" w:right="49"/>
              <w:rPr>
                <w:sz w:val="21"/>
              </w:rPr>
            </w:pPr>
            <w:r>
              <w:rPr>
                <w:spacing w:val="-2"/>
                <w:sz w:val="21"/>
              </w:rPr>
              <w:t>由结核杆菌引起的脑膜和脊膜的非化脓性炎症性疾病。需满足以下全部条</w:t>
            </w:r>
            <w:r>
              <w:rPr>
                <w:spacing w:val="-6"/>
                <w:sz w:val="21"/>
              </w:rPr>
              <w:t>件：</w:t>
            </w:r>
          </w:p>
          <w:p>
            <w:pPr>
              <w:pStyle w:val="TableParagraph"/>
              <w:numPr>
                <w:ilvl w:val="0"/>
                <w:numId w:val="78"/>
              </w:numPr>
              <w:tabs>
                <w:tab w:pos="639" w:val="left" w:leader="none"/>
              </w:tabs>
              <w:spacing w:line="265" w:lineRule="exact" w:before="0" w:after="0"/>
              <w:ind w:left="638" w:right="0" w:hanging="530"/>
              <w:jc w:val="left"/>
              <w:rPr>
                <w:sz w:val="21"/>
              </w:rPr>
            </w:pPr>
            <w:r>
              <w:rPr>
                <w:spacing w:val="-3"/>
                <w:sz w:val="21"/>
              </w:rPr>
              <w:t>出现颅内压明显增高，表现头痛、呕吐和视乳头水肿；</w:t>
            </w:r>
          </w:p>
          <w:p>
            <w:pPr>
              <w:pStyle w:val="TableParagraph"/>
              <w:numPr>
                <w:ilvl w:val="0"/>
                <w:numId w:val="78"/>
              </w:numPr>
              <w:tabs>
                <w:tab w:pos="639" w:val="left" w:leader="none"/>
              </w:tabs>
              <w:spacing w:line="220" w:lineRule="exact" w:before="5" w:after="0"/>
              <w:ind w:left="638" w:right="0" w:hanging="530"/>
              <w:jc w:val="left"/>
              <w:rPr>
                <w:sz w:val="21"/>
              </w:rPr>
            </w:pPr>
            <w:r>
              <w:rPr>
                <w:spacing w:val="-3"/>
                <w:sz w:val="21"/>
              </w:rPr>
              <w:t>出现部分性、全身性癫痫发作或癫痫持续状态；</w:t>
            </w:r>
          </w:p>
        </w:tc>
      </w:tr>
    </w:tbl>
    <w:p>
      <w:pPr>
        <w:spacing w:after="0" w:line="220" w:lineRule="exact"/>
        <w:jc w:val="left"/>
        <w:rPr>
          <w:sz w:val="21"/>
        </w:rPr>
        <w:sectPr>
          <w:pgSz w:w="11910" w:h="16840"/>
          <w:pgMar w:header="877" w:footer="0" w:top="1100" w:bottom="280" w:left="1060" w:right="980"/>
        </w:sectPr>
      </w:pPr>
    </w:p>
    <w:p>
      <w:pPr>
        <w:pStyle w:val="BodyText"/>
        <w:spacing w:before="8"/>
        <w:rPr>
          <w:sz w:val="8"/>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6"/>
        <w:gridCol w:w="1648"/>
        <w:gridCol w:w="6998"/>
      </w:tblGrid>
      <w:tr>
        <w:trPr>
          <w:trHeight w:val="649" w:hRule="atLeast"/>
        </w:trPr>
        <w:tc>
          <w:tcPr>
            <w:tcW w:w="846" w:type="dxa"/>
          </w:tcPr>
          <w:p>
            <w:pPr>
              <w:pStyle w:val="TableParagraph"/>
              <w:rPr>
                <w:rFonts w:ascii="Times New Roman"/>
                <w:sz w:val="20"/>
              </w:rPr>
            </w:pPr>
          </w:p>
        </w:tc>
        <w:tc>
          <w:tcPr>
            <w:tcW w:w="1648" w:type="dxa"/>
          </w:tcPr>
          <w:p>
            <w:pPr>
              <w:pStyle w:val="TableParagraph"/>
              <w:rPr>
                <w:rFonts w:ascii="Times New Roman"/>
                <w:sz w:val="20"/>
              </w:rPr>
            </w:pPr>
          </w:p>
        </w:tc>
        <w:tc>
          <w:tcPr>
            <w:tcW w:w="6998" w:type="dxa"/>
          </w:tcPr>
          <w:p>
            <w:pPr>
              <w:pStyle w:val="TableParagraph"/>
              <w:numPr>
                <w:ilvl w:val="0"/>
                <w:numId w:val="79"/>
              </w:numPr>
              <w:tabs>
                <w:tab w:pos="637" w:val="left" w:leader="none"/>
              </w:tabs>
              <w:spacing w:line="241" w:lineRule="exact" w:before="0" w:after="0"/>
              <w:ind w:left="636" w:right="0" w:hanging="530"/>
              <w:jc w:val="left"/>
              <w:rPr>
                <w:sz w:val="21"/>
              </w:rPr>
            </w:pPr>
            <w:r>
              <w:rPr>
                <w:spacing w:val="-4"/>
                <w:sz w:val="21"/>
              </w:rPr>
              <w:t>昏睡或意识模糊；</w:t>
            </w:r>
          </w:p>
          <w:p>
            <w:pPr>
              <w:pStyle w:val="TableParagraph"/>
              <w:numPr>
                <w:ilvl w:val="0"/>
                <w:numId w:val="79"/>
              </w:numPr>
              <w:tabs>
                <w:tab w:pos="637" w:val="left" w:leader="none"/>
              </w:tabs>
              <w:spacing w:line="240" w:lineRule="auto" w:before="2" w:after="0"/>
              <w:ind w:left="636" w:right="0" w:hanging="530"/>
              <w:jc w:val="left"/>
              <w:rPr>
                <w:sz w:val="21"/>
              </w:rPr>
            </w:pPr>
            <w:r>
              <w:rPr>
                <w:spacing w:val="-3"/>
                <w:sz w:val="21"/>
              </w:rPr>
              <w:t>视力减退、复视和面神经麻痹。</w:t>
            </w:r>
          </w:p>
        </w:tc>
      </w:tr>
      <w:tr>
        <w:trPr>
          <w:trHeight w:val="1089" w:hRule="atLeast"/>
        </w:trPr>
        <w:tc>
          <w:tcPr>
            <w:tcW w:w="846" w:type="dxa"/>
          </w:tcPr>
          <w:p>
            <w:pPr>
              <w:pStyle w:val="TableParagraph"/>
              <w:spacing w:before="71"/>
              <w:ind w:left="50"/>
              <w:rPr>
                <w:rFonts w:ascii="微软雅黑"/>
                <w:b/>
                <w:sz w:val="21"/>
              </w:rPr>
            </w:pPr>
            <w:r>
              <w:rPr>
                <w:rFonts w:ascii="微软雅黑"/>
                <w:b/>
                <w:spacing w:val="-5"/>
                <w:w w:val="90"/>
                <w:sz w:val="21"/>
              </w:rPr>
              <w:t>114</w:t>
            </w:r>
          </w:p>
        </w:tc>
        <w:tc>
          <w:tcPr>
            <w:tcW w:w="1648" w:type="dxa"/>
          </w:tcPr>
          <w:p>
            <w:pPr>
              <w:pStyle w:val="TableParagraph"/>
              <w:spacing w:before="71"/>
              <w:ind w:left="161"/>
              <w:rPr>
                <w:rFonts w:ascii="微软雅黑" w:eastAsia="微软雅黑"/>
                <w:b/>
                <w:sz w:val="21"/>
              </w:rPr>
            </w:pPr>
            <w:r>
              <w:rPr>
                <w:rFonts w:ascii="微软雅黑" w:eastAsia="微软雅黑"/>
                <w:b/>
                <w:spacing w:val="-2"/>
                <w:sz w:val="21"/>
              </w:rPr>
              <w:t>严重面部烧伤</w:t>
            </w:r>
          </w:p>
        </w:tc>
        <w:tc>
          <w:tcPr>
            <w:tcW w:w="6998" w:type="dxa"/>
          </w:tcPr>
          <w:p>
            <w:pPr>
              <w:pStyle w:val="TableParagraph"/>
              <w:spacing w:line="242" w:lineRule="auto" w:before="138"/>
              <w:ind w:left="107" w:right="50"/>
              <w:rPr>
                <w:sz w:val="21"/>
              </w:rPr>
            </w:pPr>
            <w:r>
              <w:rPr>
                <w:spacing w:val="-3"/>
                <w:sz w:val="21"/>
              </w:rPr>
              <w:t>指烧伤程度为Ⅲ度，且Ⅲ度烧伤的面积达到面部表面积的 </w:t>
            </w:r>
            <w:r>
              <w:rPr>
                <w:sz w:val="21"/>
              </w:rPr>
              <w:t>80</w:t>
            </w:r>
            <w:r>
              <w:rPr>
                <w:spacing w:val="-18"/>
                <w:sz w:val="21"/>
              </w:rPr>
              <w:t>%或 </w:t>
            </w:r>
            <w:r>
              <w:rPr>
                <w:sz w:val="21"/>
              </w:rPr>
              <w:t>80%以上。</w:t>
            </w:r>
            <w:r>
              <w:rPr>
                <w:spacing w:val="-2"/>
                <w:sz w:val="21"/>
              </w:rPr>
              <w:t>面部的范围指上至发际、下至下颌下缘、两侧至下颌支后缘之间的区域，</w:t>
            </w:r>
            <w:r>
              <w:rPr>
                <w:spacing w:val="-4"/>
                <w:sz w:val="21"/>
              </w:rPr>
              <w:t>包括额部、眼部、眶部、鼻部、口唇部、颏部、颧部、颊部和腮腺咬肌部。</w:t>
            </w:r>
          </w:p>
        </w:tc>
      </w:tr>
      <w:tr>
        <w:trPr>
          <w:trHeight w:val="1634" w:hRule="atLeast"/>
        </w:trPr>
        <w:tc>
          <w:tcPr>
            <w:tcW w:w="846" w:type="dxa"/>
          </w:tcPr>
          <w:p>
            <w:pPr>
              <w:pStyle w:val="TableParagraph"/>
              <w:spacing w:before="71"/>
              <w:ind w:left="50"/>
              <w:rPr>
                <w:rFonts w:ascii="微软雅黑"/>
                <w:b/>
                <w:sz w:val="21"/>
              </w:rPr>
            </w:pPr>
            <w:r>
              <w:rPr>
                <w:rFonts w:ascii="微软雅黑"/>
                <w:b/>
                <w:spacing w:val="-5"/>
                <w:w w:val="90"/>
                <w:sz w:val="21"/>
              </w:rPr>
              <w:t>115</w:t>
            </w:r>
          </w:p>
        </w:tc>
        <w:tc>
          <w:tcPr>
            <w:tcW w:w="1648" w:type="dxa"/>
          </w:tcPr>
          <w:p>
            <w:pPr>
              <w:pStyle w:val="TableParagraph"/>
              <w:spacing w:line="170" w:lineRule="auto" w:before="151"/>
              <w:ind w:left="161" w:right="108"/>
              <w:rPr>
                <w:rFonts w:ascii="微软雅黑" w:eastAsia="微软雅黑"/>
                <w:b/>
                <w:sz w:val="21"/>
              </w:rPr>
            </w:pPr>
            <w:r>
              <w:rPr>
                <w:rFonts w:ascii="微软雅黑" w:eastAsia="微软雅黑"/>
                <w:b/>
                <w:spacing w:val="15"/>
                <w:sz w:val="21"/>
              </w:rPr>
              <w:t>婴儿进行性脊</w:t>
            </w:r>
            <w:r>
              <w:rPr>
                <w:rFonts w:ascii="微软雅黑" w:eastAsia="微软雅黑"/>
                <w:b/>
                <w:spacing w:val="-4"/>
                <w:sz w:val="21"/>
              </w:rPr>
              <w:t>肌萎缩症</w:t>
            </w:r>
          </w:p>
        </w:tc>
        <w:tc>
          <w:tcPr>
            <w:tcW w:w="6998" w:type="dxa"/>
          </w:tcPr>
          <w:p>
            <w:pPr>
              <w:pStyle w:val="TableParagraph"/>
              <w:spacing w:line="242" w:lineRule="auto" w:before="138"/>
              <w:ind w:left="107" w:right="155"/>
              <w:jc w:val="both"/>
              <w:rPr>
                <w:sz w:val="21"/>
              </w:rPr>
            </w:pPr>
            <w:r>
              <w:rPr>
                <w:spacing w:val="-2"/>
                <w:sz w:val="21"/>
              </w:rPr>
              <w:t>该病是累及脊髓前角细胞及延髓运动核的神经元退行性变性病。在出生后</w:t>
            </w:r>
            <w:r>
              <w:rPr>
                <w:spacing w:val="-2"/>
                <w:sz w:val="21"/>
              </w:rPr>
              <w:t>两年内出现的脊髓和脑干颅神经前角细胞进行性机能障碍，伴随肌肉无力</w:t>
            </w:r>
            <w:r>
              <w:rPr>
                <w:spacing w:val="-2"/>
                <w:sz w:val="21"/>
              </w:rPr>
              <w:t>和延髓机能障碍。</w:t>
            </w:r>
          </w:p>
          <w:p>
            <w:pPr>
              <w:pStyle w:val="TableParagraph"/>
              <w:spacing w:line="242" w:lineRule="auto" w:before="3"/>
              <w:ind w:left="107" w:right="155"/>
              <w:rPr>
                <w:sz w:val="21"/>
              </w:rPr>
            </w:pPr>
            <w:r>
              <w:rPr>
                <w:spacing w:val="-2"/>
                <w:sz w:val="21"/>
              </w:rPr>
              <w:t>我们承担本项疾病责任不受本合同“责任免除”中“遗传性疾病、先天性</w:t>
            </w:r>
            <w:r>
              <w:rPr>
                <w:spacing w:val="-2"/>
                <w:sz w:val="21"/>
              </w:rPr>
              <w:t>畸形、变形或染色体异常”的限制。</w:t>
            </w:r>
          </w:p>
        </w:tc>
      </w:tr>
      <w:tr>
        <w:trPr>
          <w:trHeight w:val="1634" w:hRule="atLeast"/>
        </w:trPr>
        <w:tc>
          <w:tcPr>
            <w:tcW w:w="846" w:type="dxa"/>
          </w:tcPr>
          <w:p>
            <w:pPr>
              <w:pStyle w:val="TableParagraph"/>
              <w:spacing w:before="71"/>
              <w:ind w:left="50"/>
              <w:rPr>
                <w:rFonts w:ascii="微软雅黑"/>
                <w:b/>
                <w:sz w:val="21"/>
              </w:rPr>
            </w:pPr>
            <w:r>
              <w:rPr>
                <w:rFonts w:ascii="微软雅黑"/>
                <w:b/>
                <w:spacing w:val="-5"/>
                <w:w w:val="90"/>
                <w:sz w:val="21"/>
              </w:rPr>
              <w:t>116</w:t>
            </w:r>
          </w:p>
        </w:tc>
        <w:tc>
          <w:tcPr>
            <w:tcW w:w="1648" w:type="dxa"/>
          </w:tcPr>
          <w:p>
            <w:pPr>
              <w:pStyle w:val="TableParagraph"/>
              <w:spacing w:line="170" w:lineRule="auto" w:before="152"/>
              <w:ind w:left="161" w:right="108"/>
              <w:rPr>
                <w:rFonts w:ascii="微软雅黑" w:eastAsia="微软雅黑"/>
                <w:b/>
                <w:sz w:val="21"/>
              </w:rPr>
            </w:pPr>
            <w:r>
              <w:rPr>
                <w:rFonts w:ascii="微软雅黑" w:eastAsia="微软雅黑"/>
                <w:b/>
                <w:spacing w:val="15"/>
                <w:sz w:val="21"/>
              </w:rPr>
              <w:t>细菌性脑脊髓</w:t>
            </w:r>
            <w:r>
              <w:rPr>
                <w:rFonts w:ascii="微软雅黑" w:eastAsia="微软雅黑"/>
                <w:b/>
                <w:spacing w:val="-6"/>
                <w:sz w:val="21"/>
              </w:rPr>
              <w:t>膜炎</w:t>
            </w:r>
          </w:p>
        </w:tc>
        <w:tc>
          <w:tcPr>
            <w:tcW w:w="6998" w:type="dxa"/>
          </w:tcPr>
          <w:p>
            <w:pPr>
              <w:pStyle w:val="TableParagraph"/>
              <w:spacing w:line="244" w:lineRule="auto" w:before="138"/>
              <w:ind w:left="107" w:right="49"/>
              <w:jc w:val="both"/>
              <w:rPr>
                <w:sz w:val="21"/>
              </w:rPr>
            </w:pPr>
            <w:r>
              <w:rPr>
                <w:spacing w:val="-7"/>
                <w:sz w:val="21"/>
              </w:rPr>
              <w:t>指因脑膜炎双球菌感染引起脑脊髓膜化脓性病变，且导致永久性神经损害，</w:t>
            </w:r>
            <w:r>
              <w:rPr>
                <w:spacing w:val="-8"/>
                <w:sz w:val="21"/>
              </w:rPr>
              <w:t>持续 </w:t>
            </w:r>
            <w:r>
              <w:rPr>
                <w:sz w:val="21"/>
              </w:rPr>
              <w:t>180</w:t>
            </w:r>
            <w:r>
              <w:rPr>
                <w:spacing w:val="-5"/>
                <w:sz w:val="21"/>
              </w:rPr>
              <w:t> 天以上，并且脑脊液检查显示脑膜炎双球菌阳性。</w:t>
            </w:r>
          </w:p>
          <w:p>
            <w:pPr>
              <w:pStyle w:val="TableParagraph"/>
              <w:spacing w:line="242" w:lineRule="auto"/>
              <w:ind w:left="107" w:right="152"/>
              <w:jc w:val="both"/>
              <w:rPr>
                <w:sz w:val="21"/>
              </w:rPr>
            </w:pPr>
            <w:r>
              <w:rPr>
                <w:spacing w:val="-2"/>
                <w:sz w:val="21"/>
              </w:rPr>
              <w:t>永久性神经损害是指由细菌性脑脊髓膜炎引起的耳聋、失明、动眼神经麻</w:t>
            </w:r>
            <w:r>
              <w:rPr>
                <w:spacing w:val="-3"/>
                <w:sz w:val="21"/>
              </w:rPr>
              <w:t>痹、瘫痪、脑积水、智力或性情中度以上的损害，且上述症状持续 </w:t>
            </w:r>
            <w:r>
              <w:rPr>
                <w:spacing w:val="-2"/>
                <w:sz w:val="21"/>
              </w:rPr>
              <w:t>180</w:t>
            </w:r>
            <w:r>
              <w:rPr>
                <w:spacing w:val="-13"/>
                <w:sz w:val="21"/>
              </w:rPr>
              <w:t> 天</w:t>
            </w:r>
            <w:r>
              <w:rPr>
                <w:spacing w:val="-2"/>
                <w:sz w:val="21"/>
              </w:rPr>
              <w:t>以上仍无改善迹象。</w:t>
            </w:r>
          </w:p>
        </w:tc>
      </w:tr>
      <w:tr>
        <w:trPr>
          <w:trHeight w:val="1360" w:hRule="atLeast"/>
        </w:trPr>
        <w:tc>
          <w:tcPr>
            <w:tcW w:w="846" w:type="dxa"/>
          </w:tcPr>
          <w:p>
            <w:pPr>
              <w:pStyle w:val="TableParagraph"/>
              <w:spacing w:before="71"/>
              <w:ind w:left="50"/>
              <w:rPr>
                <w:rFonts w:ascii="微软雅黑"/>
                <w:b/>
                <w:sz w:val="21"/>
              </w:rPr>
            </w:pPr>
            <w:r>
              <w:rPr>
                <w:rFonts w:ascii="微软雅黑"/>
                <w:b/>
                <w:spacing w:val="-5"/>
                <w:w w:val="90"/>
                <w:sz w:val="21"/>
              </w:rPr>
              <w:t>117</w:t>
            </w:r>
          </w:p>
        </w:tc>
        <w:tc>
          <w:tcPr>
            <w:tcW w:w="1648" w:type="dxa"/>
          </w:tcPr>
          <w:p>
            <w:pPr>
              <w:pStyle w:val="TableParagraph"/>
              <w:spacing w:line="170" w:lineRule="auto" w:before="151"/>
              <w:ind w:left="161" w:right="108"/>
              <w:rPr>
                <w:rFonts w:ascii="微软雅黑" w:eastAsia="微软雅黑"/>
                <w:b/>
                <w:sz w:val="21"/>
              </w:rPr>
            </w:pPr>
            <w:r>
              <w:rPr>
                <w:rFonts w:ascii="微软雅黑" w:eastAsia="微软雅黑"/>
                <w:b/>
                <w:spacing w:val="15"/>
                <w:sz w:val="21"/>
              </w:rPr>
              <w:t>严重幼年型类</w:t>
            </w:r>
            <w:r>
              <w:rPr>
                <w:rFonts w:ascii="微软雅黑" w:eastAsia="微软雅黑"/>
                <w:b/>
                <w:spacing w:val="-2"/>
                <w:sz w:val="21"/>
              </w:rPr>
              <w:t>风湿性关节炎</w:t>
            </w:r>
          </w:p>
        </w:tc>
        <w:tc>
          <w:tcPr>
            <w:tcW w:w="6998" w:type="dxa"/>
          </w:tcPr>
          <w:p>
            <w:pPr>
              <w:pStyle w:val="TableParagraph"/>
              <w:spacing w:line="242" w:lineRule="auto" w:before="138"/>
              <w:ind w:left="107" w:right="155"/>
              <w:jc w:val="both"/>
              <w:rPr>
                <w:sz w:val="21"/>
              </w:rPr>
            </w:pPr>
            <w:r>
              <w:rPr>
                <w:spacing w:val="-2"/>
                <w:sz w:val="21"/>
              </w:rPr>
              <w:t>指一种少儿的结缔组织病，以慢性关节炎为其主要特点，并伴有全身多个</w:t>
            </w:r>
            <w:r>
              <w:rPr>
                <w:spacing w:val="-2"/>
                <w:sz w:val="21"/>
              </w:rPr>
              <w:t>系统的受累，包括关节、肌肉、肝、脾、淋巴结等。本病须经专科医生明</w:t>
            </w:r>
            <w:r>
              <w:rPr>
                <w:spacing w:val="-2"/>
                <w:sz w:val="21"/>
              </w:rPr>
              <w:t>确诊断，同时须已经实施膝关节或髋关节置换手术。</w:t>
            </w:r>
          </w:p>
          <w:p>
            <w:pPr>
              <w:pStyle w:val="TableParagraph"/>
              <w:spacing w:line="321" w:lineRule="exact"/>
              <w:ind w:left="107"/>
              <w:jc w:val="both"/>
              <w:rPr>
                <w:rFonts w:ascii="微软雅黑" w:eastAsia="微软雅黑"/>
                <w:b/>
                <w:sz w:val="21"/>
              </w:rPr>
            </w:pPr>
            <w:r>
              <w:rPr>
                <w:rFonts w:ascii="微软雅黑" w:eastAsia="微软雅黑"/>
                <w:b/>
                <w:w w:val="95"/>
                <w:sz w:val="21"/>
              </w:rPr>
              <w:t>被</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人</w:t>
            </w:r>
            <w:r>
              <w:rPr>
                <w:rFonts w:ascii="微软雅黑" w:eastAsia="微软雅黑"/>
                <w:b/>
                <w:w w:val="95"/>
                <w:sz w:val="21"/>
              </w:rPr>
              <w:t>在</w:t>
            </w:r>
            <w:r>
              <w:rPr>
                <w:rFonts w:ascii="微软雅黑" w:eastAsia="微软雅黑"/>
                <w:b/>
                <w:w w:val="95"/>
                <w:sz w:val="21"/>
              </w:rPr>
              <w:t>年</w:t>
            </w:r>
            <w:r>
              <w:rPr>
                <w:rFonts w:ascii="微软雅黑" w:eastAsia="微软雅黑"/>
                <w:b/>
                <w:w w:val="95"/>
                <w:sz w:val="21"/>
              </w:rPr>
              <w:t>满</w:t>
            </w:r>
            <w:r>
              <w:rPr>
                <w:rFonts w:ascii="微软雅黑" w:eastAsia="微软雅黑"/>
                <w:b/>
                <w:spacing w:val="57"/>
                <w:w w:val="150"/>
                <w:sz w:val="21"/>
              </w:rPr>
              <w:t> </w:t>
            </w:r>
            <w:r>
              <w:rPr>
                <w:rFonts w:ascii="微软雅黑" w:eastAsia="微软雅黑"/>
                <w:b/>
                <w:w w:val="95"/>
                <w:sz w:val="21"/>
              </w:rPr>
              <w:t>18</w:t>
            </w:r>
            <w:r>
              <w:rPr>
                <w:rFonts w:ascii="微软雅黑" w:eastAsia="微软雅黑"/>
                <w:b/>
                <w:spacing w:val="57"/>
                <w:w w:val="150"/>
                <w:sz w:val="21"/>
              </w:rPr>
              <w:t> </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之</w:t>
            </w:r>
            <w:r>
              <w:rPr>
                <w:rFonts w:ascii="微软雅黑" w:eastAsia="微软雅黑"/>
                <w:b/>
                <w:w w:val="95"/>
                <w:sz w:val="21"/>
              </w:rPr>
              <w:t>后</w:t>
            </w:r>
            <w:r>
              <w:rPr>
                <w:rFonts w:ascii="微软雅黑" w:eastAsia="微软雅黑"/>
                <w:b/>
                <w:w w:val="95"/>
                <w:sz w:val="21"/>
              </w:rPr>
              <w:t>罹</w:t>
            </w:r>
            <w:r>
              <w:rPr>
                <w:rFonts w:ascii="微软雅黑" w:eastAsia="微软雅黑"/>
                <w:b/>
                <w:w w:val="95"/>
                <w:sz w:val="21"/>
              </w:rPr>
              <w:t>患</w:t>
            </w:r>
            <w:r>
              <w:rPr>
                <w:rFonts w:ascii="微软雅黑" w:eastAsia="微软雅黑"/>
                <w:b/>
                <w:w w:val="95"/>
                <w:sz w:val="21"/>
              </w:rPr>
              <w:t>本</w:t>
            </w:r>
            <w:r>
              <w:rPr>
                <w:rFonts w:ascii="微软雅黑" w:eastAsia="微软雅黑"/>
                <w:b/>
                <w:w w:val="95"/>
                <w:sz w:val="21"/>
              </w:rPr>
              <w:t>疾</w:t>
            </w:r>
            <w:r>
              <w:rPr>
                <w:rFonts w:ascii="微软雅黑" w:eastAsia="微软雅黑"/>
                <w:b/>
                <w:w w:val="95"/>
                <w:sz w:val="21"/>
              </w:rPr>
              <w:t>病</w:t>
            </w:r>
            <w:r>
              <w:rPr>
                <w:rFonts w:ascii="微软雅黑" w:eastAsia="微软雅黑"/>
                <w:b/>
                <w:w w:val="95"/>
                <w:sz w:val="21"/>
              </w:rPr>
              <w:t>不</w:t>
            </w:r>
            <w:r>
              <w:rPr>
                <w:rFonts w:ascii="微软雅黑" w:eastAsia="微软雅黑"/>
                <w:b/>
                <w:w w:val="95"/>
                <w:sz w:val="21"/>
              </w:rPr>
              <w:t>在</w:t>
            </w:r>
            <w:r>
              <w:rPr>
                <w:rFonts w:ascii="微软雅黑" w:eastAsia="微软雅黑"/>
                <w:b/>
                <w:w w:val="95"/>
                <w:sz w:val="21"/>
              </w:rPr>
              <w:t>保障范</w:t>
            </w:r>
            <w:r>
              <w:rPr>
                <w:rFonts w:ascii="微软雅黑" w:eastAsia="微软雅黑"/>
                <w:b/>
                <w:w w:val="95"/>
                <w:sz w:val="21"/>
              </w:rPr>
              <w:t>围</w:t>
            </w:r>
            <w:r>
              <w:rPr>
                <w:rFonts w:ascii="微软雅黑" w:eastAsia="微软雅黑"/>
                <w:b/>
                <w:w w:val="95"/>
                <w:sz w:val="21"/>
              </w:rPr>
              <w:t>内</w:t>
            </w:r>
            <w:r>
              <w:rPr>
                <w:rFonts w:ascii="微软雅黑" w:eastAsia="微软雅黑"/>
                <w:b/>
                <w:spacing w:val="-10"/>
                <w:w w:val="95"/>
                <w:sz w:val="21"/>
              </w:rPr>
              <w:t>。</w:t>
            </w:r>
          </w:p>
        </w:tc>
      </w:tr>
      <w:tr>
        <w:trPr>
          <w:trHeight w:val="1908" w:hRule="atLeast"/>
        </w:trPr>
        <w:tc>
          <w:tcPr>
            <w:tcW w:w="846" w:type="dxa"/>
          </w:tcPr>
          <w:p>
            <w:pPr>
              <w:pStyle w:val="TableParagraph"/>
              <w:spacing w:before="71"/>
              <w:ind w:left="50"/>
              <w:rPr>
                <w:rFonts w:ascii="微软雅黑"/>
                <w:b/>
                <w:sz w:val="21"/>
              </w:rPr>
            </w:pPr>
            <w:r>
              <w:rPr>
                <w:rFonts w:ascii="微软雅黑"/>
                <w:b/>
                <w:spacing w:val="-5"/>
                <w:w w:val="90"/>
                <w:sz w:val="21"/>
              </w:rPr>
              <w:t>118</w:t>
            </w:r>
          </w:p>
        </w:tc>
        <w:tc>
          <w:tcPr>
            <w:tcW w:w="1648" w:type="dxa"/>
          </w:tcPr>
          <w:p>
            <w:pPr>
              <w:pStyle w:val="TableParagraph"/>
              <w:spacing w:before="71"/>
              <w:ind w:left="161"/>
              <w:rPr>
                <w:rFonts w:ascii="微软雅黑" w:eastAsia="微软雅黑"/>
                <w:b/>
                <w:sz w:val="21"/>
              </w:rPr>
            </w:pPr>
            <w:r>
              <w:rPr>
                <w:rFonts w:ascii="微软雅黑" w:eastAsia="微软雅黑"/>
                <w:b/>
                <w:spacing w:val="-2"/>
                <w:sz w:val="21"/>
              </w:rPr>
              <w:t>血管性痴呆</w:t>
            </w:r>
          </w:p>
        </w:tc>
        <w:tc>
          <w:tcPr>
            <w:tcW w:w="6998" w:type="dxa"/>
          </w:tcPr>
          <w:p>
            <w:pPr>
              <w:pStyle w:val="TableParagraph"/>
              <w:spacing w:line="242" w:lineRule="auto" w:before="138"/>
              <w:ind w:left="107" w:right="155"/>
              <w:jc w:val="both"/>
              <w:rPr>
                <w:sz w:val="21"/>
              </w:rPr>
            </w:pPr>
            <w:r>
              <w:rPr>
                <w:spacing w:val="-2"/>
                <w:sz w:val="21"/>
              </w:rPr>
              <w:t>指由缺血性卒中、出血性卒中和造成记忆、认知和行为等脑区低灌注的脑</w:t>
            </w:r>
            <w:r>
              <w:rPr>
                <w:spacing w:val="-2"/>
                <w:sz w:val="21"/>
              </w:rPr>
              <w:t>血管疾病所致的严重认知功能障碍综合征。被保险人自主生活能力完全丧</w:t>
            </w:r>
            <w:r>
              <w:rPr>
                <w:spacing w:val="-2"/>
                <w:sz w:val="21"/>
              </w:rPr>
              <w:t>失，无法独立完成六项基本日常生活活动中的三项或三项以上，日常生活</w:t>
            </w:r>
            <w:r>
              <w:rPr>
                <w:spacing w:val="-2"/>
                <w:sz w:val="21"/>
              </w:rPr>
              <w:t>必须持续受到他人监护。导致痴呆的疾病必须明确诊断，并且有完整的临</w:t>
            </w:r>
            <w:r>
              <w:rPr>
                <w:spacing w:val="-2"/>
                <w:sz w:val="21"/>
              </w:rPr>
              <w:t>床、实验室和影像学检查结果证实。</w:t>
            </w:r>
          </w:p>
          <w:p>
            <w:pPr>
              <w:pStyle w:val="TableParagraph"/>
              <w:spacing w:line="325" w:lineRule="exact"/>
              <w:ind w:left="107"/>
              <w:rPr>
                <w:rFonts w:ascii="微软雅黑" w:eastAsia="微软雅黑"/>
                <w:b/>
                <w:sz w:val="21"/>
              </w:rPr>
            </w:pPr>
            <w:r>
              <w:rPr>
                <w:rFonts w:ascii="微软雅黑" w:eastAsia="微软雅黑"/>
                <w:b/>
                <w:spacing w:val="-3"/>
                <w:sz w:val="21"/>
              </w:rPr>
              <w:t>神经官能症，精神疾病及酒精中毒所致脑损害不在保障范围内。</w:t>
            </w:r>
          </w:p>
        </w:tc>
      </w:tr>
      <w:tr>
        <w:trPr>
          <w:trHeight w:val="1905" w:hRule="atLeast"/>
        </w:trPr>
        <w:tc>
          <w:tcPr>
            <w:tcW w:w="846" w:type="dxa"/>
          </w:tcPr>
          <w:p>
            <w:pPr>
              <w:pStyle w:val="TableParagraph"/>
              <w:spacing w:before="71"/>
              <w:ind w:left="50"/>
              <w:rPr>
                <w:rFonts w:ascii="微软雅黑"/>
                <w:b/>
                <w:sz w:val="21"/>
              </w:rPr>
            </w:pPr>
            <w:r>
              <w:rPr>
                <w:rFonts w:ascii="微软雅黑"/>
                <w:b/>
                <w:spacing w:val="-5"/>
                <w:w w:val="90"/>
                <w:sz w:val="21"/>
              </w:rPr>
              <w:t>119</w:t>
            </w:r>
          </w:p>
        </w:tc>
        <w:tc>
          <w:tcPr>
            <w:tcW w:w="1648" w:type="dxa"/>
          </w:tcPr>
          <w:p>
            <w:pPr>
              <w:pStyle w:val="TableParagraph"/>
              <w:spacing w:before="71"/>
              <w:ind w:left="161"/>
              <w:rPr>
                <w:rFonts w:ascii="微软雅黑" w:eastAsia="微软雅黑"/>
                <w:b/>
                <w:sz w:val="21"/>
              </w:rPr>
            </w:pPr>
            <w:r>
              <w:rPr>
                <w:rFonts w:ascii="微软雅黑" w:eastAsia="微软雅黑"/>
                <w:b/>
                <w:spacing w:val="-2"/>
                <w:sz w:val="21"/>
              </w:rPr>
              <w:t>额颞叶痴呆</w:t>
            </w:r>
          </w:p>
        </w:tc>
        <w:tc>
          <w:tcPr>
            <w:tcW w:w="6998" w:type="dxa"/>
          </w:tcPr>
          <w:p>
            <w:pPr>
              <w:pStyle w:val="TableParagraph"/>
              <w:spacing w:line="242" w:lineRule="auto" w:before="138"/>
              <w:ind w:left="107" w:right="49"/>
              <w:rPr>
                <w:sz w:val="21"/>
              </w:rPr>
            </w:pPr>
            <w:r>
              <w:rPr>
                <w:spacing w:val="-2"/>
                <w:sz w:val="21"/>
              </w:rPr>
              <w:t>指一组以额颞叶萎缩为特征的痴呆综合征，临床以明显的人格、行为改变</w:t>
            </w:r>
            <w:r>
              <w:rPr>
                <w:spacing w:val="-2"/>
                <w:sz w:val="21"/>
              </w:rPr>
              <w:t>和认知障碍为特征。被保险人自主生活能力完全丧失，无法独立完成六项</w:t>
            </w:r>
            <w:r>
              <w:rPr>
                <w:spacing w:val="-8"/>
                <w:sz w:val="21"/>
              </w:rPr>
              <w:t>基本日常生活活动中的三项或三项以上，日常生活必须持续受到他人监护。</w:t>
            </w:r>
            <w:r>
              <w:rPr>
                <w:spacing w:val="-2"/>
                <w:sz w:val="21"/>
              </w:rPr>
              <w:t>导致痴呆的疾病必须明确诊断，并且有完整的临床、实验室和影像学检查</w:t>
            </w:r>
            <w:r>
              <w:rPr>
                <w:spacing w:val="-2"/>
                <w:sz w:val="21"/>
              </w:rPr>
              <w:t>结果证实。</w:t>
            </w:r>
          </w:p>
          <w:p>
            <w:pPr>
              <w:pStyle w:val="TableParagraph"/>
              <w:spacing w:line="322" w:lineRule="exact"/>
              <w:ind w:left="107"/>
              <w:rPr>
                <w:sz w:val="21"/>
              </w:rPr>
            </w:pPr>
            <w:r>
              <w:rPr>
                <w:rFonts w:ascii="微软雅黑" w:eastAsia="微软雅黑"/>
                <w:b/>
                <w:spacing w:val="-2"/>
                <w:sz w:val="21"/>
              </w:rPr>
              <w:t>神经官能症，精神疾病及酒精中毒所致脑损害不在保障范围内</w:t>
            </w:r>
            <w:r>
              <w:rPr>
                <w:spacing w:val="-10"/>
                <w:sz w:val="21"/>
              </w:rPr>
              <w:t>。</w:t>
            </w:r>
          </w:p>
        </w:tc>
      </w:tr>
      <w:tr>
        <w:trPr>
          <w:trHeight w:val="1905" w:hRule="atLeast"/>
        </w:trPr>
        <w:tc>
          <w:tcPr>
            <w:tcW w:w="846" w:type="dxa"/>
          </w:tcPr>
          <w:p>
            <w:pPr>
              <w:pStyle w:val="TableParagraph"/>
              <w:spacing w:before="71"/>
              <w:ind w:left="50"/>
              <w:rPr>
                <w:rFonts w:ascii="微软雅黑"/>
                <w:b/>
                <w:sz w:val="21"/>
              </w:rPr>
            </w:pPr>
            <w:r>
              <w:rPr>
                <w:rFonts w:ascii="微软雅黑"/>
                <w:b/>
                <w:spacing w:val="-5"/>
                <w:w w:val="90"/>
                <w:sz w:val="21"/>
              </w:rPr>
              <w:t>120</w:t>
            </w:r>
          </w:p>
        </w:tc>
        <w:tc>
          <w:tcPr>
            <w:tcW w:w="1648" w:type="dxa"/>
          </w:tcPr>
          <w:p>
            <w:pPr>
              <w:pStyle w:val="TableParagraph"/>
              <w:spacing w:before="71"/>
              <w:ind w:left="161"/>
              <w:rPr>
                <w:rFonts w:ascii="微软雅黑" w:eastAsia="微软雅黑"/>
                <w:b/>
                <w:sz w:val="21"/>
              </w:rPr>
            </w:pPr>
            <w:r>
              <w:rPr>
                <w:rFonts w:ascii="微软雅黑" w:eastAsia="微软雅黑"/>
                <w:b/>
                <w:spacing w:val="-2"/>
                <w:sz w:val="21"/>
              </w:rPr>
              <w:t>路易体痴呆</w:t>
            </w:r>
          </w:p>
        </w:tc>
        <w:tc>
          <w:tcPr>
            <w:tcW w:w="6998" w:type="dxa"/>
          </w:tcPr>
          <w:p>
            <w:pPr>
              <w:pStyle w:val="TableParagraph"/>
              <w:spacing w:line="242" w:lineRule="auto" w:before="138"/>
              <w:ind w:left="107" w:right="49"/>
              <w:rPr>
                <w:sz w:val="21"/>
              </w:rPr>
            </w:pPr>
            <w:r>
              <w:rPr>
                <w:spacing w:val="-2"/>
                <w:sz w:val="21"/>
              </w:rPr>
              <w:t>指一组在临床和病理表现上以波动性认知功能障碍、视幻觉和帕金森综合</w:t>
            </w:r>
            <w:r>
              <w:rPr>
                <w:spacing w:val="-2"/>
                <w:sz w:val="21"/>
              </w:rPr>
              <w:t>征为临床特点，以路易体为病理特征的神经变性疾病。被保险人自主生活</w:t>
            </w:r>
            <w:r>
              <w:rPr>
                <w:spacing w:val="-12"/>
                <w:sz w:val="21"/>
              </w:rPr>
              <w:t>能力完全丧失，无法独立完成六项基本日常生活活动中的三项或三项以上，</w:t>
            </w:r>
            <w:r>
              <w:rPr>
                <w:spacing w:val="-2"/>
                <w:sz w:val="21"/>
              </w:rPr>
              <w:t>日常生活必须持续受到他人监护。导致痴呆的疾病必须明确诊断，并且有</w:t>
            </w:r>
            <w:r>
              <w:rPr>
                <w:spacing w:val="-2"/>
                <w:sz w:val="21"/>
              </w:rPr>
              <w:t>完整的临床、实验室和影像学检查结果证实。</w:t>
            </w:r>
          </w:p>
          <w:p>
            <w:pPr>
              <w:pStyle w:val="TableParagraph"/>
              <w:spacing w:line="322" w:lineRule="exact"/>
              <w:ind w:left="107"/>
              <w:rPr>
                <w:rFonts w:ascii="微软雅黑" w:eastAsia="微软雅黑"/>
                <w:b/>
                <w:sz w:val="21"/>
              </w:rPr>
            </w:pPr>
            <w:r>
              <w:rPr>
                <w:rFonts w:ascii="微软雅黑" w:eastAsia="微软雅黑"/>
                <w:b/>
                <w:spacing w:val="-3"/>
                <w:sz w:val="21"/>
              </w:rPr>
              <w:t>神经官能症，精神疾病及酒精中毒所致脑损害不在保障范围内。</w:t>
            </w:r>
          </w:p>
        </w:tc>
      </w:tr>
      <w:tr>
        <w:trPr>
          <w:trHeight w:val="922" w:hRule="atLeast"/>
        </w:trPr>
        <w:tc>
          <w:tcPr>
            <w:tcW w:w="846" w:type="dxa"/>
          </w:tcPr>
          <w:p>
            <w:pPr>
              <w:pStyle w:val="TableParagraph"/>
              <w:spacing w:before="71"/>
              <w:ind w:left="50"/>
              <w:rPr>
                <w:rFonts w:ascii="微软雅黑" w:eastAsia="微软雅黑"/>
                <w:b/>
                <w:sz w:val="21"/>
              </w:rPr>
            </w:pPr>
            <w:r>
              <w:rPr>
                <w:rFonts w:ascii="微软雅黑" w:eastAsia="微软雅黑"/>
                <w:b/>
                <w:spacing w:val="-4"/>
                <w:sz w:val="21"/>
              </w:rPr>
              <w:t>附表二</w:t>
            </w:r>
          </w:p>
        </w:tc>
        <w:tc>
          <w:tcPr>
            <w:tcW w:w="1648" w:type="dxa"/>
          </w:tcPr>
          <w:p>
            <w:pPr>
              <w:pStyle w:val="TableParagraph"/>
              <w:spacing w:before="71"/>
              <w:ind w:left="161"/>
              <w:rPr>
                <w:rFonts w:ascii="微软雅黑" w:eastAsia="微软雅黑"/>
                <w:b/>
                <w:sz w:val="21"/>
              </w:rPr>
            </w:pPr>
            <w:r>
              <w:rPr>
                <w:rFonts w:ascii="微软雅黑" w:eastAsia="微软雅黑"/>
                <w:b/>
                <w:spacing w:val="-3"/>
                <w:sz w:val="21"/>
              </w:rPr>
              <w:t>中症疾病</w:t>
            </w:r>
          </w:p>
        </w:tc>
        <w:tc>
          <w:tcPr>
            <w:tcW w:w="6998" w:type="dxa"/>
          </w:tcPr>
          <w:p>
            <w:pPr>
              <w:pStyle w:val="TableParagraph"/>
              <w:spacing w:before="138"/>
              <w:ind w:left="107"/>
              <w:rPr>
                <w:sz w:val="21"/>
              </w:rPr>
            </w:pPr>
            <w:r>
              <w:rPr>
                <w:spacing w:val="-6"/>
                <w:sz w:val="21"/>
              </w:rPr>
              <w:t>本合同约定的中症疾病共 </w:t>
            </w:r>
            <w:r>
              <w:rPr>
                <w:spacing w:val="-2"/>
                <w:sz w:val="21"/>
              </w:rPr>
              <w:t>28</w:t>
            </w:r>
            <w:r>
              <w:rPr>
                <w:spacing w:val="-15"/>
                <w:sz w:val="21"/>
              </w:rPr>
              <w:t> 种，被保险人发生符合以下中症疾病定义所述</w:t>
            </w:r>
          </w:p>
          <w:p>
            <w:pPr>
              <w:pStyle w:val="TableParagraph"/>
              <w:spacing w:line="270" w:lineRule="atLeast"/>
              <w:ind w:left="107" w:right="155"/>
              <w:rPr>
                <w:sz w:val="21"/>
              </w:rPr>
            </w:pPr>
            <w:r>
              <w:rPr>
                <w:spacing w:val="-2"/>
                <w:sz w:val="21"/>
              </w:rPr>
              <w:t>条件的疾病，应当由专科医生明确诊断。中症疾病的疾病种类和疾病定义</w:t>
            </w:r>
            <w:r>
              <w:rPr>
                <w:spacing w:val="-2"/>
                <w:sz w:val="21"/>
              </w:rPr>
              <w:t>具体如下所示：</w:t>
            </w:r>
          </w:p>
        </w:tc>
      </w:tr>
    </w:tbl>
    <w:p>
      <w:pPr>
        <w:pStyle w:val="BodyText"/>
        <w:spacing w:before="9"/>
        <w:rPr>
          <w:sz w:val="18"/>
        </w:rPr>
      </w:pPr>
    </w:p>
    <w:p>
      <w:pPr>
        <w:pStyle w:val="ListParagraph"/>
        <w:numPr>
          <w:ilvl w:val="0"/>
          <w:numId w:val="80"/>
        </w:numPr>
        <w:tabs>
          <w:tab w:pos="3017" w:val="left" w:leader="none"/>
          <w:tab w:pos="6206" w:val="left" w:leader="none"/>
        </w:tabs>
        <w:spacing w:line="240" w:lineRule="auto" w:before="72" w:after="0"/>
        <w:ind w:left="3016" w:right="0" w:hanging="212"/>
        <w:jc w:val="left"/>
        <w:rPr>
          <w:sz w:val="21"/>
        </w:rPr>
      </w:pPr>
      <w:r>
        <w:rPr>
          <w:spacing w:val="-2"/>
          <w:sz w:val="21"/>
        </w:rPr>
        <w:t>中度严重克罗</w:t>
      </w:r>
      <w:r>
        <w:rPr>
          <w:spacing w:val="-2"/>
          <w:sz w:val="21"/>
        </w:rPr>
        <w:t>恩</w:t>
      </w:r>
      <w:r>
        <w:rPr>
          <w:spacing w:val="-10"/>
          <w:sz w:val="21"/>
        </w:rPr>
        <w:t>病</w:t>
      </w:r>
      <w:r>
        <w:rPr>
          <w:sz w:val="21"/>
        </w:rPr>
        <w:tab/>
        <w:t>15</w:t>
      </w:r>
      <w:r>
        <w:rPr>
          <w:spacing w:val="-14"/>
          <w:sz w:val="21"/>
        </w:rPr>
        <w:t> </w:t>
      </w:r>
      <w:r>
        <w:rPr>
          <w:sz w:val="21"/>
        </w:rPr>
        <w:t>早期系统性硬皮</w:t>
      </w:r>
      <w:r>
        <w:rPr>
          <w:spacing w:val="-10"/>
          <w:sz w:val="21"/>
        </w:rPr>
        <w:t>病</w:t>
      </w:r>
    </w:p>
    <w:p>
      <w:pPr>
        <w:pStyle w:val="ListParagraph"/>
        <w:numPr>
          <w:ilvl w:val="0"/>
          <w:numId w:val="80"/>
        </w:numPr>
        <w:tabs>
          <w:tab w:pos="3017" w:val="left" w:leader="none"/>
          <w:tab w:pos="6206" w:val="left" w:leader="none"/>
        </w:tabs>
        <w:spacing w:line="240" w:lineRule="auto" w:before="5" w:after="0"/>
        <w:ind w:left="3016" w:right="0" w:hanging="212"/>
        <w:jc w:val="left"/>
        <w:rPr>
          <w:sz w:val="21"/>
        </w:rPr>
      </w:pPr>
      <w:r>
        <w:rPr>
          <w:spacing w:val="-2"/>
          <w:sz w:val="21"/>
        </w:rPr>
        <w:t>慢性肾功能衰</w:t>
      </w:r>
      <w:r>
        <w:rPr>
          <w:spacing w:val="-10"/>
          <w:sz w:val="21"/>
        </w:rPr>
        <w:t>竭</w:t>
      </w:r>
      <w:r>
        <w:rPr>
          <w:sz w:val="21"/>
        </w:rPr>
        <w:tab/>
        <w:t>16</w:t>
      </w:r>
      <w:r>
        <w:rPr>
          <w:spacing w:val="-14"/>
          <w:sz w:val="21"/>
        </w:rPr>
        <w:t> </w:t>
      </w:r>
      <w:r>
        <w:rPr>
          <w:sz w:val="21"/>
        </w:rPr>
        <w:t>早期原发性心肌</w:t>
      </w:r>
      <w:r>
        <w:rPr>
          <w:spacing w:val="-10"/>
          <w:sz w:val="21"/>
        </w:rPr>
        <w:t>病</w:t>
      </w:r>
    </w:p>
    <w:p>
      <w:pPr>
        <w:pStyle w:val="ListParagraph"/>
        <w:numPr>
          <w:ilvl w:val="0"/>
          <w:numId w:val="80"/>
        </w:numPr>
        <w:tabs>
          <w:tab w:pos="3017" w:val="left" w:leader="none"/>
          <w:tab w:pos="6206" w:val="left" w:leader="none"/>
        </w:tabs>
        <w:spacing w:line="240" w:lineRule="auto" w:before="2" w:after="0"/>
        <w:ind w:left="3016" w:right="0" w:hanging="212"/>
        <w:jc w:val="left"/>
        <w:rPr>
          <w:sz w:val="21"/>
        </w:rPr>
      </w:pPr>
      <w:r>
        <w:rPr>
          <w:spacing w:val="-2"/>
          <w:sz w:val="21"/>
        </w:rPr>
        <w:t>中度面积Ⅲ度</w:t>
      </w:r>
      <w:r>
        <w:rPr>
          <w:spacing w:val="-2"/>
          <w:sz w:val="21"/>
        </w:rPr>
        <w:t>烧</w:t>
      </w:r>
      <w:r>
        <w:rPr>
          <w:spacing w:val="-10"/>
          <w:sz w:val="21"/>
        </w:rPr>
        <w:t>伤</w:t>
      </w:r>
      <w:r>
        <w:rPr>
          <w:sz w:val="21"/>
        </w:rPr>
        <w:tab/>
        <w:t>17</w:t>
      </w:r>
      <w:r>
        <w:rPr>
          <w:spacing w:val="-14"/>
          <w:sz w:val="21"/>
        </w:rPr>
        <w:t> </w:t>
      </w:r>
      <w:r>
        <w:rPr>
          <w:sz w:val="21"/>
        </w:rPr>
        <w:t>中度感染性心内</w:t>
      </w:r>
      <w:r>
        <w:rPr>
          <w:sz w:val="21"/>
        </w:rPr>
        <w:t>膜</w:t>
      </w:r>
      <w:r>
        <w:rPr>
          <w:spacing w:val="-10"/>
          <w:sz w:val="21"/>
        </w:rPr>
        <w:t>炎</w:t>
      </w:r>
    </w:p>
    <w:p>
      <w:pPr>
        <w:pStyle w:val="ListParagraph"/>
        <w:numPr>
          <w:ilvl w:val="0"/>
          <w:numId w:val="80"/>
        </w:numPr>
        <w:tabs>
          <w:tab w:pos="3017" w:val="left" w:leader="none"/>
          <w:tab w:pos="6206" w:val="left" w:leader="none"/>
        </w:tabs>
        <w:spacing w:line="240" w:lineRule="auto" w:before="4" w:after="0"/>
        <w:ind w:left="3016" w:right="0" w:hanging="212"/>
        <w:jc w:val="left"/>
        <w:rPr>
          <w:sz w:val="21"/>
        </w:rPr>
      </w:pPr>
      <w:r>
        <w:rPr>
          <w:spacing w:val="-2"/>
          <w:sz w:val="21"/>
        </w:rPr>
        <w:t>中度类风湿性关节</w:t>
      </w:r>
      <w:r>
        <w:rPr>
          <w:spacing w:val="-10"/>
          <w:sz w:val="21"/>
        </w:rPr>
        <w:t>炎</w:t>
      </w:r>
      <w:r>
        <w:rPr>
          <w:sz w:val="21"/>
        </w:rPr>
        <w:tab/>
        <w:t>18</w:t>
      </w:r>
      <w:r>
        <w:rPr>
          <w:spacing w:val="-21"/>
          <w:sz w:val="21"/>
        </w:rPr>
        <w:t> </w:t>
      </w:r>
      <w:r>
        <w:rPr>
          <w:sz w:val="21"/>
        </w:rPr>
        <w:t>于颈动脉进行血管成形</w:t>
      </w:r>
      <w:r>
        <w:rPr>
          <w:sz w:val="21"/>
        </w:rPr>
        <w:t>术或内</w:t>
      </w:r>
      <w:r>
        <w:rPr>
          <w:spacing w:val="-10"/>
          <w:sz w:val="21"/>
        </w:rPr>
        <w:t>膜</w:t>
      </w:r>
    </w:p>
    <w:p>
      <w:pPr>
        <w:spacing w:after="0" w:line="240" w:lineRule="auto"/>
        <w:jc w:val="left"/>
        <w:rPr>
          <w:sz w:val="21"/>
        </w:rPr>
        <w:sectPr>
          <w:pgSz w:w="11910" w:h="16840"/>
          <w:pgMar w:header="877" w:footer="0" w:top="1100" w:bottom="280" w:left="1060" w:right="980"/>
        </w:sectPr>
      </w:pPr>
    </w:p>
    <w:p>
      <w:pPr>
        <w:pStyle w:val="BodyText"/>
        <w:spacing w:before="83"/>
        <w:ind w:left="6520"/>
      </w:pPr>
      <w:r>
        <w:rPr>
          <w:spacing w:val="-4"/>
        </w:rPr>
        <w:t>切除术</w:t>
      </w:r>
    </w:p>
    <w:p>
      <w:pPr>
        <w:pStyle w:val="ListParagraph"/>
        <w:numPr>
          <w:ilvl w:val="0"/>
          <w:numId w:val="80"/>
        </w:numPr>
        <w:tabs>
          <w:tab w:pos="3017" w:val="left" w:leader="none"/>
          <w:tab w:pos="6206" w:val="left" w:leader="none"/>
        </w:tabs>
        <w:spacing w:line="240" w:lineRule="auto" w:before="2" w:after="0"/>
        <w:ind w:left="3016" w:right="0" w:hanging="212"/>
        <w:jc w:val="left"/>
        <w:rPr>
          <w:sz w:val="21"/>
        </w:rPr>
      </w:pPr>
      <w:r>
        <w:rPr>
          <w:spacing w:val="-2"/>
          <w:sz w:val="21"/>
        </w:rPr>
        <w:t>中度肌营养不</w:t>
      </w:r>
      <w:r>
        <w:rPr>
          <w:spacing w:val="-2"/>
          <w:sz w:val="21"/>
        </w:rPr>
        <w:t>良</w:t>
      </w:r>
      <w:r>
        <w:rPr>
          <w:spacing w:val="-10"/>
          <w:sz w:val="21"/>
        </w:rPr>
        <w:t>症</w:t>
      </w:r>
      <w:r>
        <w:rPr>
          <w:sz w:val="21"/>
        </w:rPr>
        <w:tab/>
        <w:t>19</w:t>
      </w:r>
      <w:r>
        <w:rPr>
          <w:spacing w:val="-14"/>
          <w:sz w:val="21"/>
        </w:rPr>
        <w:t> </w:t>
      </w:r>
      <w:r>
        <w:rPr>
          <w:sz w:val="21"/>
        </w:rPr>
        <w:t>腔静脉过滤器植</w:t>
      </w:r>
      <w:r>
        <w:rPr>
          <w:sz w:val="21"/>
        </w:rPr>
        <w:t>入</w:t>
      </w:r>
      <w:r>
        <w:rPr>
          <w:spacing w:val="-10"/>
          <w:sz w:val="21"/>
        </w:rPr>
        <w:t>术</w:t>
      </w:r>
    </w:p>
    <w:p>
      <w:pPr>
        <w:pStyle w:val="ListParagraph"/>
        <w:numPr>
          <w:ilvl w:val="0"/>
          <w:numId w:val="80"/>
        </w:numPr>
        <w:tabs>
          <w:tab w:pos="3017" w:val="left" w:leader="none"/>
          <w:tab w:pos="6206" w:val="left" w:leader="none"/>
        </w:tabs>
        <w:spacing w:line="240" w:lineRule="auto" w:before="5" w:after="0"/>
        <w:ind w:left="3016" w:right="0" w:hanging="212"/>
        <w:jc w:val="left"/>
        <w:rPr>
          <w:sz w:val="21"/>
        </w:rPr>
      </w:pPr>
      <w:r>
        <w:rPr>
          <w:spacing w:val="-2"/>
          <w:sz w:val="21"/>
        </w:rPr>
        <w:t>中度脊髓灰质</w:t>
      </w:r>
      <w:r>
        <w:rPr>
          <w:spacing w:val="-10"/>
          <w:sz w:val="21"/>
        </w:rPr>
        <w:t>炎</w:t>
      </w:r>
      <w:r>
        <w:rPr>
          <w:sz w:val="21"/>
        </w:rPr>
        <w:tab/>
        <w:t>20</w:t>
      </w:r>
      <w:r>
        <w:rPr>
          <w:spacing w:val="-11"/>
          <w:sz w:val="21"/>
        </w:rPr>
        <w:t> </w:t>
      </w:r>
      <w:r>
        <w:rPr>
          <w:sz w:val="21"/>
        </w:rPr>
        <w:t>心包膜切除</w:t>
      </w:r>
      <w:r>
        <w:rPr>
          <w:spacing w:val="-10"/>
          <w:sz w:val="21"/>
        </w:rPr>
        <w:t>术</w:t>
      </w:r>
    </w:p>
    <w:p>
      <w:pPr>
        <w:pStyle w:val="ListParagraph"/>
        <w:numPr>
          <w:ilvl w:val="0"/>
          <w:numId w:val="80"/>
        </w:numPr>
        <w:tabs>
          <w:tab w:pos="3017" w:val="left" w:leader="none"/>
          <w:tab w:pos="6206" w:val="left" w:leader="none"/>
        </w:tabs>
        <w:spacing w:line="240" w:lineRule="auto" w:before="2" w:after="0"/>
        <w:ind w:left="3016" w:right="0" w:hanging="212"/>
        <w:jc w:val="left"/>
        <w:rPr>
          <w:sz w:val="21"/>
        </w:rPr>
      </w:pPr>
      <w:r>
        <w:rPr>
          <w:spacing w:val="-2"/>
          <w:sz w:val="21"/>
        </w:rPr>
        <w:t>中度脑炎或脑膜炎后遗</w:t>
      </w:r>
      <w:r>
        <w:rPr>
          <w:spacing w:val="-10"/>
          <w:sz w:val="21"/>
        </w:rPr>
        <w:t>症</w:t>
      </w:r>
      <w:r>
        <w:rPr>
          <w:sz w:val="21"/>
        </w:rPr>
        <w:tab/>
        <w:t>21</w:t>
      </w:r>
      <w:r>
        <w:rPr>
          <w:spacing w:val="-8"/>
          <w:sz w:val="21"/>
        </w:rPr>
        <w:t> </w:t>
      </w:r>
      <w:r>
        <w:rPr>
          <w:sz w:val="21"/>
        </w:rPr>
        <w:t>肾脏切</w:t>
      </w:r>
      <w:r>
        <w:rPr>
          <w:spacing w:val="-10"/>
          <w:sz w:val="21"/>
        </w:rPr>
        <w:t>除</w:t>
      </w:r>
    </w:p>
    <w:p>
      <w:pPr>
        <w:pStyle w:val="ListParagraph"/>
        <w:numPr>
          <w:ilvl w:val="0"/>
          <w:numId w:val="80"/>
        </w:numPr>
        <w:tabs>
          <w:tab w:pos="3017" w:val="left" w:leader="none"/>
          <w:tab w:pos="6206" w:val="left" w:leader="none"/>
        </w:tabs>
        <w:spacing w:line="240" w:lineRule="auto" w:before="4" w:after="0"/>
        <w:ind w:left="3016" w:right="0" w:hanging="212"/>
        <w:jc w:val="left"/>
        <w:rPr>
          <w:sz w:val="21"/>
        </w:rPr>
      </w:pPr>
      <w:r>
        <w:rPr>
          <w:spacing w:val="-2"/>
          <w:sz w:val="21"/>
        </w:rPr>
        <w:t>慢性阻塞性肺</w:t>
      </w:r>
      <w:r>
        <w:rPr>
          <w:spacing w:val="-10"/>
          <w:sz w:val="21"/>
        </w:rPr>
        <w:t>病</w:t>
      </w:r>
      <w:r>
        <w:rPr>
          <w:sz w:val="21"/>
        </w:rPr>
        <w:tab/>
        <w:t>22</w:t>
      </w:r>
      <w:r>
        <w:rPr>
          <w:spacing w:val="-8"/>
          <w:sz w:val="21"/>
        </w:rPr>
        <w:t> </w:t>
      </w:r>
      <w:r>
        <w:rPr>
          <w:sz w:val="21"/>
        </w:rPr>
        <w:t>早期象</w:t>
      </w:r>
      <w:r>
        <w:rPr>
          <w:sz w:val="21"/>
        </w:rPr>
        <w:t>皮</w:t>
      </w:r>
      <w:r>
        <w:rPr>
          <w:spacing w:val="-10"/>
          <w:sz w:val="21"/>
        </w:rPr>
        <w:t>病</w:t>
      </w:r>
    </w:p>
    <w:p>
      <w:pPr>
        <w:pStyle w:val="ListParagraph"/>
        <w:numPr>
          <w:ilvl w:val="0"/>
          <w:numId w:val="80"/>
        </w:numPr>
        <w:tabs>
          <w:tab w:pos="3017" w:val="left" w:leader="none"/>
          <w:tab w:pos="6206" w:val="left" w:leader="none"/>
        </w:tabs>
        <w:spacing w:line="240" w:lineRule="auto" w:before="2" w:after="0"/>
        <w:ind w:left="3016" w:right="0" w:hanging="212"/>
        <w:jc w:val="left"/>
        <w:rPr>
          <w:sz w:val="21"/>
        </w:rPr>
      </w:pPr>
      <w:r>
        <w:rPr>
          <w:spacing w:val="-2"/>
          <w:sz w:val="21"/>
        </w:rPr>
        <w:t>早期运动神经</w:t>
      </w:r>
      <w:r>
        <w:rPr>
          <w:spacing w:val="-2"/>
          <w:sz w:val="21"/>
        </w:rPr>
        <w:t>元</w:t>
      </w:r>
      <w:r>
        <w:rPr>
          <w:spacing w:val="-10"/>
          <w:sz w:val="21"/>
        </w:rPr>
        <w:t>病</w:t>
      </w:r>
      <w:r>
        <w:rPr>
          <w:sz w:val="21"/>
        </w:rPr>
        <w:tab/>
        <w:t>23</w:t>
      </w:r>
      <w:r>
        <w:rPr>
          <w:spacing w:val="-14"/>
          <w:sz w:val="21"/>
        </w:rPr>
        <w:t> </w:t>
      </w:r>
      <w:r>
        <w:rPr>
          <w:sz w:val="21"/>
        </w:rPr>
        <w:t>原发性肺动脉高</w:t>
      </w:r>
      <w:r>
        <w:rPr>
          <w:spacing w:val="-10"/>
          <w:sz w:val="21"/>
        </w:rPr>
        <w:t>压</w:t>
      </w:r>
    </w:p>
    <w:p>
      <w:pPr>
        <w:pStyle w:val="ListParagraph"/>
        <w:numPr>
          <w:ilvl w:val="0"/>
          <w:numId w:val="80"/>
        </w:numPr>
        <w:tabs>
          <w:tab w:pos="3122" w:val="left" w:leader="none"/>
          <w:tab w:pos="6206" w:val="left" w:leader="none"/>
        </w:tabs>
        <w:spacing w:line="240" w:lineRule="auto" w:before="5" w:after="0"/>
        <w:ind w:left="3121" w:right="0" w:hanging="317"/>
        <w:jc w:val="left"/>
        <w:rPr>
          <w:sz w:val="21"/>
        </w:rPr>
      </w:pPr>
      <w:r>
        <w:rPr>
          <w:spacing w:val="-2"/>
          <w:sz w:val="21"/>
        </w:rPr>
        <w:t>中度多发性</w:t>
      </w:r>
      <w:r>
        <w:rPr>
          <w:spacing w:val="-2"/>
          <w:sz w:val="21"/>
        </w:rPr>
        <w:t>硬</w:t>
      </w:r>
      <w:r>
        <w:rPr>
          <w:spacing w:val="-10"/>
          <w:sz w:val="21"/>
        </w:rPr>
        <w:t>化</w:t>
      </w:r>
      <w:r>
        <w:rPr>
          <w:sz w:val="21"/>
        </w:rPr>
        <w:tab/>
        <w:t>24</w:t>
      </w:r>
      <w:r>
        <w:rPr>
          <w:spacing w:val="-15"/>
          <w:sz w:val="21"/>
        </w:rPr>
        <w:t> </w:t>
      </w:r>
      <w:r>
        <w:rPr>
          <w:sz w:val="21"/>
        </w:rPr>
        <w:t>中度慢性呼吸功能衰</w:t>
      </w:r>
      <w:r>
        <w:rPr>
          <w:spacing w:val="-10"/>
          <w:sz w:val="21"/>
        </w:rPr>
        <w:t>竭</w:t>
      </w:r>
    </w:p>
    <w:p>
      <w:pPr>
        <w:pStyle w:val="ListParagraph"/>
        <w:numPr>
          <w:ilvl w:val="0"/>
          <w:numId w:val="80"/>
        </w:numPr>
        <w:tabs>
          <w:tab w:pos="3122" w:val="left" w:leader="none"/>
          <w:tab w:pos="6206" w:val="left" w:leader="none"/>
        </w:tabs>
        <w:spacing w:line="244" w:lineRule="auto" w:before="2" w:after="0"/>
        <w:ind w:left="6520" w:right="400" w:hanging="3716"/>
        <w:jc w:val="left"/>
        <w:rPr>
          <w:sz w:val="21"/>
        </w:rPr>
      </w:pPr>
      <w:r>
        <w:rPr>
          <w:spacing w:val="-2"/>
          <w:sz w:val="21"/>
        </w:rPr>
        <w:t>中度脑</w:t>
      </w:r>
      <w:r>
        <w:rPr>
          <w:spacing w:val="-2"/>
          <w:sz w:val="21"/>
        </w:rPr>
        <w:t>损</w:t>
      </w:r>
      <w:r>
        <w:rPr>
          <w:spacing w:val="-2"/>
          <w:sz w:val="21"/>
        </w:rPr>
        <w:t>伤</w:t>
      </w:r>
      <w:r>
        <w:rPr>
          <w:sz w:val="21"/>
        </w:rPr>
        <w:tab/>
        <w:t>25</w:t>
      </w:r>
      <w:r>
        <w:rPr>
          <w:spacing w:val="-27"/>
          <w:sz w:val="21"/>
        </w:rPr>
        <w:t> </w:t>
      </w:r>
      <w:r>
        <w:rPr>
          <w:sz w:val="21"/>
        </w:rPr>
        <w:t>特定周围动脉疾病的血</w:t>
      </w:r>
      <w:r>
        <w:rPr>
          <w:sz w:val="21"/>
        </w:rPr>
        <w:t>管介入</w:t>
      </w:r>
      <w:r>
        <w:rPr>
          <w:sz w:val="21"/>
        </w:rPr>
        <w:t>治</w:t>
      </w:r>
      <w:r>
        <w:rPr>
          <w:spacing w:val="-10"/>
          <w:sz w:val="21"/>
        </w:rPr>
        <w:t>疗</w:t>
      </w:r>
    </w:p>
    <w:p>
      <w:pPr>
        <w:pStyle w:val="ListParagraph"/>
        <w:numPr>
          <w:ilvl w:val="0"/>
          <w:numId w:val="80"/>
        </w:numPr>
        <w:tabs>
          <w:tab w:pos="3122" w:val="left" w:leader="none"/>
          <w:tab w:pos="6206" w:val="left" w:leader="none"/>
        </w:tabs>
        <w:spacing w:line="265" w:lineRule="exact" w:before="0" w:after="0"/>
        <w:ind w:left="3121" w:right="0" w:hanging="317"/>
        <w:jc w:val="left"/>
        <w:rPr>
          <w:sz w:val="21"/>
        </w:rPr>
      </w:pPr>
      <w:r>
        <w:rPr>
          <w:spacing w:val="-2"/>
          <w:sz w:val="21"/>
        </w:rPr>
        <w:t>单侧肺脏切</w:t>
      </w:r>
      <w:r>
        <w:rPr>
          <w:spacing w:val="-2"/>
          <w:sz w:val="21"/>
        </w:rPr>
        <w:t>除</w:t>
      </w:r>
      <w:r>
        <w:rPr>
          <w:spacing w:val="-10"/>
          <w:sz w:val="21"/>
        </w:rPr>
        <w:t>术</w:t>
      </w:r>
      <w:r>
        <w:rPr>
          <w:sz w:val="21"/>
        </w:rPr>
        <w:tab/>
        <w:t>26</w:t>
      </w:r>
      <w:r>
        <w:rPr>
          <w:spacing w:val="-11"/>
          <w:sz w:val="21"/>
        </w:rPr>
        <w:t> </w:t>
      </w:r>
      <w:r>
        <w:rPr>
          <w:sz w:val="21"/>
        </w:rPr>
        <w:t>中度克雅氏</w:t>
      </w:r>
      <w:r>
        <w:rPr>
          <w:spacing w:val="-10"/>
          <w:sz w:val="21"/>
        </w:rPr>
        <w:t>病</w:t>
      </w:r>
    </w:p>
    <w:p>
      <w:pPr>
        <w:pStyle w:val="ListParagraph"/>
        <w:numPr>
          <w:ilvl w:val="0"/>
          <w:numId w:val="80"/>
        </w:numPr>
        <w:tabs>
          <w:tab w:pos="3122" w:val="left" w:leader="none"/>
          <w:tab w:pos="6206" w:val="left" w:leader="none"/>
        </w:tabs>
        <w:spacing w:line="240" w:lineRule="auto" w:before="5" w:after="0"/>
        <w:ind w:left="3121" w:right="0" w:hanging="317"/>
        <w:jc w:val="left"/>
        <w:rPr>
          <w:sz w:val="21"/>
        </w:rPr>
      </w:pPr>
      <w:r>
        <w:rPr>
          <w:spacing w:val="-2"/>
          <w:sz w:val="21"/>
        </w:rPr>
        <w:t>中度重症肌</w:t>
      </w:r>
      <w:r>
        <w:rPr>
          <w:spacing w:val="-2"/>
          <w:sz w:val="21"/>
        </w:rPr>
        <w:t>无</w:t>
      </w:r>
      <w:r>
        <w:rPr>
          <w:spacing w:val="-12"/>
          <w:sz w:val="21"/>
        </w:rPr>
        <w:t>力</w:t>
      </w:r>
      <w:r>
        <w:rPr>
          <w:sz w:val="21"/>
        </w:rPr>
        <w:tab/>
        <w:t>27</w:t>
      </w:r>
      <w:r>
        <w:rPr>
          <w:spacing w:val="-8"/>
          <w:sz w:val="21"/>
        </w:rPr>
        <w:t> </w:t>
      </w:r>
      <w:r>
        <w:rPr>
          <w:sz w:val="21"/>
        </w:rPr>
        <w:t>中度瘫</w:t>
      </w:r>
      <w:r>
        <w:rPr>
          <w:spacing w:val="-10"/>
          <w:sz w:val="21"/>
        </w:rPr>
        <w:t>痪</w:t>
      </w:r>
    </w:p>
    <w:p>
      <w:pPr>
        <w:pStyle w:val="ListParagraph"/>
        <w:numPr>
          <w:ilvl w:val="0"/>
          <w:numId w:val="80"/>
        </w:numPr>
        <w:tabs>
          <w:tab w:pos="3122" w:val="left" w:leader="none"/>
          <w:tab w:pos="6206" w:val="left" w:leader="none"/>
        </w:tabs>
        <w:spacing w:line="240" w:lineRule="auto" w:before="2" w:after="0"/>
        <w:ind w:left="3121" w:right="0" w:hanging="317"/>
        <w:jc w:val="left"/>
        <w:rPr>
          <w:sz w:val="21"/>
        </w:rPr>
      </w:pPr>
      <w:r>
        <w:rPr>
          <w:spacing w:val="-2"/>
          <w:sz w:val="21"/>
        </w:rPr>
        <w:t>心脏瓣膜介入手</w:t>
      </w:r>
      <w:r>
        <w:rPr>
          <w:spacing w:val="-10"/>
          <w:sz w:val="21"/>
        </w:rPr>
        <w:t>术</w:t>
      </w:r>
      <w:r>
        <w:rPr>
          <w:sz w:val="21"/>
        </w:rPr>
        <w:tab/>
        <w:t>28</w:t>
      </w:r>
      <w:r>
        <w:rPr>
          <w:spacing w:val="-11"/>
          <w:sz w:val="21"/>
        </w:rPr>
        <w:t> </w:t>
      </w:r>
      <w:r>
        <w:rPr>
          <w:sz w:val="21"/>
        </w:rPr>
        <w:t>中度面部烧</w:t>
      </w:r>
      <w:r>
        <w:rPr>
          <w:spacing w:val="-10"/>
          <w:sz w:val="21"/>
        </w:rPr>
        <w:t>伤</w:t>
      </w:r>
    </w:p>
    <w:p>
      <w:pPr>
        <w:pStyle w:val="BodyText"/>
        <w:spacing w:before="12"/>
        <w:rPr>
          <w:sz w:val="15"/>
        </w:rPr>
      </w:pPr>
    </w:p>
    <w:p>
      <w:pPr>
        <w:spacing w:after="0"/>
        <w:rPr>
          <w:sz w:val="15"/>
        </w:rPr>
        <w:sectPr>
          <w:pgSz w:w="11910" w:h="16840"/>
          <w:pgMar w:header="877" w:footer="0" w:top="1100" w:bottom="280" w:left="1060" w:right="980"/>
        </w:sectPr>
      </w:pPr>
    </w:p>
    <w:p>
      <w:pPr>
        <w:pStyle w:val="ListParagraph"/>
        <w:numPr>
          <w:ilvl w:val="0"/>
          <w:numId w:val="81"/>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2"/>
          <w:sz w:val="21"/>
        </w:rPr>
        <w:t>中度严重克罗</w:t>
      </w:r>
      <w:r>
        <w:rPr>
          <w:rFonts w:ascii="微软雅黑" w:eastAsia="微软雅黑"/>
          <w:b/>
          <w:spacing w:val="-6"/>
          <w:sz w:val="21"/>
        </w:rPr>
        <w:t>恩病</w:t>
      </w:r>
    </w:p>
    <w:p>
      <w:pPr>
        <w:pStyle w:val="BodyText"/>
        <w:spacing w:line="242" w:lineRule="auto" w:before="72"/>
        <w:ind w:left="253" w:right="333"/>
        <w:jc w:val="both"/>
      </w:pPr>
      <w:r>
        <w:rPr/>
        <w:br w:type="column"/>
      </w:r>
      <w:r>
        <w:rPr>
          <w:spacing w:val="-2"/>
        </w:rPr>
        <w:t>克罗恩病是一种慢性肉芽肿性肠炎，具有特征性的克罗恩病病理组织学变</w:t>
      </w:r>
      <w:r>
        <w:rPr>
          <w:spacing w:val="-2"/>
        </w:rPr>
        <w:t>化。诊断必须由病理检查结果证实。被保险人所患的克罗恩病必须已经造</w:t>
      </w:r>
      <w:r>
        <w:rPr>
          <w:spacing w:val="-3"/>
        </w:rPr>
        <w:t>成瘘管形成，同时经我们认可医院的专科医生以类固醇或免疫抑制剂连续</w:t>
      </w:r>
    </w:p>
    <w:p>
      <w:pPr>
        <w:spacing w:line="168" w:lineRule="auto" w:before="19"/>
        <w:ind w:left="253" w:right="420" w:firstLine="0"/>
        <w:jc w:val="left"/>
        <w:rPr>
          <w:rFonts w:ascii="微软雅黑" w:hAnsi="微软雅黑" w:eastAsia="微软雅黑"/>
          <w:b/>
          <w:sz w:val="21"/>
        </w:rPr>
      </w:pPr>
      <w:r>
        <w:rPr>
          <w:spacing w:val="-2"/>
          <w:sz w:val="21"/>
        </w:rPr>
        <w:t>治疗6个月以上，</w:t>
      </w:r>
      <w:r>
        <w:rPr>
          <w:rFonts w:ascii="微软雅黑" w:hAnsi="微软雅黑" w:eastAsia="微软雅黑"/>
          <w:b/>
          <w:spacing w:val="-2"/>
          <w:sz w:val="21"/>
        </w:rPr>
        <w:t>且未达到本合同所指重大疾病“严重克罗恩病”的给付</w:t>
      </w:r>
      <w:r>
        <w:rPr>
          <w:rFonts w:ascii="微软雅黑" w:hAnsi="微软雅黑" w:eastAsia="微软雅黑"/>
          <w:b/>
          <w:spacing w:val="-4"/>
          <w:sz w:val="21"/>
        </w:rPr>
        <w:t>标准。</w:t>
      </w:r>
    </w:p>
    <w:p>
      <w:pPr>
        <w:spacing w:after="0" w:line="168" w:lineRule="auto"/>
        <w:jc w:val="left"/>
        <w:rPr>
          <w:rFonts w:ascii="微软雅黑" w:hAnsi="微软雅黑" w:eastAsia="微软雅黑"/>
          <w:sz w:val="21"/>
        </w:rPr>
        <w:sectPr>
          <w:type w:val="continuous"/>
          <w:pgSz w:w="11910" w:h="16840"/>
          <w:pgMar w:header="877" w:footer="0" w:top="1100" w:bottom="280" w:left="1060" w:right="980"/>
          <w:cols w:num="2" w:equalWidth="0">
            <w:col w:w="2479" w:space="73"/>
            <w:col w:w="7318"/>
          </w:cols>
        </w:sectPr>
      </w:pPr>
    </w:p>
    <w:p>
      <w:pPr>
        <w:pStyle w:val="BodyText"/>
        <w:spacing w:before="2"/>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81"/>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2"/>
          <w:sz w:val="21"/>
        </w:rPr>
        <w:t>慢性肾功能衰</w:t>
      </w:r>
      <w:r>
        <w:rPr>
          <w:rFonts w:ascii="微软雅黑" w:eastAsia="微软雅黑"/>
          <w:b/>
          <w:spacing w:val="-10"/>
          <w:sz w:val="21"/>
        </w:rPr>
        <w:t>竭</w:t>
      </w:r>
    </w:p>
    <w:p>
      <w:pPr>
        <w:pStyle w:val="BodyText"/>
        <w:spacing w:before="72"/>
        <w:ind w:left="253"/>
      </w:pPr>
      <w:r>
        <w:rPr/>
        <w:br w:type="column"/>
      </w:r>
      <w:r>
        <w:rPr>
          <w:spacing w:val="-3"/>
        </w:rPr>
        <w:t>指双肾慢性肾功能衰竭，须满足下列全部条件：</w:t>
      </w:r>
    </w:p>
    <w:p>
      <w:pPr>
        <w:pStyle w:val="ListParagraph"/>
        <w:numPr>
          <w:ilvl w:val="0"/>
          <w:numId w:val="82"/>
        </w:numPr>
        <w:tabs>
          <w:tab w:pos="783" w:val="left" w:leader="none"/>
        </w:tabs>
        <w:spacing w:line="240" w:lineRule="auto" w:before="4" w:after="0"/>
        <w:ind w:left="782" w:right="0" w:hanging="530"/>
        <w:jc w:val="left"/>
        <w:rPr>
          <w:sz w:val="21"/>
        </w:rPr>
      </w:pPr>
      <w:r>
        <w:rPr>
          <w:spacing w:val="-2"/>
          <w:sz w:val="21"/>
        </w:rPr>
        <w:t>肌酐清除率（Ccr）低于30ml/min，持续超过90</w:t>
      </w:r>
      <w:r>
        <w:rPr>
          <w:spacing w:val="-6"/>
          <w:sz w:val="21"/>
        </w:rPr>
        <w:t>日；</w:t>
      </w:r>
    </w:p>
    <w:p>
      <w:pPr>
        <w:pStyle w:val="ListParagraph"/>
        <w:numPr>
          <w:ilvl w:val="0"/>
          <w:numId w:val="82"/>
        </w:numPr>
        <w:tabs>
          <w:tab w:pos="783" w:val="left" w:leader="none"/>
        </w:tabs>
        <w:spacing w:line="194" w:lineRule="auto" w:before="42" w:after="0"/>
        <w:ind w:left="253" w:right="969" w:firstLine="0"/>
        <w:jc w:val="left"/>
        <w:rPr>
          <w:rFonts w:ascii="微软雅黑" w:hAnsi="微软雅黑" w:eastAsia="微软雅黑"/>
          <w:b/>
          <w:sz w:val="21"/>
        </w:rPr>
      </w:pPr>
      <w:r>
        <w:rPr>
          <w:spacing w:val="-2"/>
          <w:sz w:val="21"/>
        </w:rPr>
        <w:t>血肌酐(Scr)高于5mg/dl或高于442μmol/L，持续超过90日。</w:t>
      </w:r>
      <w:r>
        <w:rPr>
          <w:rFonts w:ascii="微软雅黑" w:hAnsi="微软雅黑" w:eastAsia="微软雅黑"/>
          <w:b/>
          <w:spacing w:val="-2"/>
          <w:sz w:val="21"/>
        </w:rPr>
        <w:t>因系统性红斑狼疮所致慢性肾功能衰竭不在保障范围内。</w:t>
      </w:r>
    </w:p>
    <w:p>
      <w:pPr>
        <w:spacing w:line="168" w:lineRule="auto" w:before="0"/>
        <w:ind w:left="286" w:right="382" w:firstLine="0"/>
        <w:jc w:val="left"/>
        <w:rPr>
          <w:rFonts w:ascii="微软雅黑" w:hAnsi="微软雅黑" w:eastAsia="微软雅黑"/>
          <w:b/>
          <w:sz w:val="21"/>
        </w:rPr>
      </w:pPr>
      <w:r>
        <w:rPr>
          <w:rFonts w:ascii="微软雅黑" w:hAnsi="微软雅黑" w:eastAsia="微软雅黑"/>
          <w:b/>
          <w:sz w:val="21"/>
        </w:rPr>
        <w:t>我们对 “慢性肾功能衰竭”、“肾脏切除”两项中的其中一项承担保险</w:t>
      </w:r>
      <w:r>
        <w:rPr>
          <w:rFonts w:ascii="微软雅黑" w:hAnsi="微软雅黑" w:eastAsia="微软雅黑"/>
          <w:b/>
          <w:spacing w:val="-2"/>
          <w:sz w:val="21"/>
        </w:rPr>
        <w:t>责任，给付其中一项保险金后，对另外一项疾病保险责任同时终止。</w:t>
      </w:r>
    </w:p>
    <w:p>
      <w:pPr>
        <w:spacing w:after="0" w:line="168" w:lineRule="auto"/>
        <w:jc w:val="left"/>
        <w:rPr>
          <w:rFonts w:ascii="微软雅黑" w:hAnsi="微软雅黑" w:eastAsia="微软雅黑"/>
          <w:sz w:val="21"/>
        </w:rPr>
        <w:sectPr>
          <w:type w:val="continuous"/>
          <w:pgSz w:w="11910" w:h="16840"/>
          <w:pgMar w:header="877" w:footer="0" w:top="1100" w:bottom="280" w:left="1060" w:right="980"/>
          <w:cols w:num="2" w:equalWidth="0">
            <w:col w:w="2479" w:space="73"/>
            <w:col w:w="7318"/>
          </w:cols>
        </w:sectPr>
      </w:pPr>
    </w:p>
    <w:p>
      <w:pPr>
        <w:pStyle w:val="BodyText"/>
        <w:spacing w:before="11"/>
        <w:rPr>
          <w:rFonts w:ascii="微软雅黑"/>
          <w:b/>
          <w:sz w:val="9"/>
        </w:rPr>
      </w:pPr>
    </w:p>
    <w:p>
      <w:pPr>
        <w:spacing w:after="0"/>
        <w:rPr>
          <w:rFonts w:ascii="微软雅黑"/>
          <w:sz w:val="9"/>
        </w:rPr>
        <w:sectPr>
          <w:type w:val="continuous"/>
          <w:pgSz w:w="11910" w:h="16840"/>
          <w:pgMar w:header="877" w:footer="0" w:top="1100" w:bottom="280" w:left="1060" w:right="980"/>
        </w:sectPr>
      </w:pPr>
    </w:p>
    <w:p>
      <w:pPr>
        <w:pStyle w:val="ListParagraph"/>
        <w:numPr>
          <w:ilvl w:val="0"/>
          <w:numId w:val="81"/>
        </w:numPr>
        <w:tabs>
          <w:tab w:pos="1210" w:val="left" w:leader="none"/>
          <w:tab w:pos="1211" w:val="left" w:leader="none"/>
        </w:tabs>
        <w:spacing w:line="170" w:lineRule="auto" w:before="85" w:after="0"/>
        <w:ind w:left="1210" w:right="0" w:hanging="958"/>
        <w:jc w:val="left"/>
        <w:rPr>
          <w:rFonts w:ascii="微软雅黑" w:hAnsi="微软雅黑" w:eastAsia="微软雅黑"/>
          <w:b/>
          <w:sz w:val="21"/>
        </w:rPr>
      </w:pPr>
      <w:r>
        <w:rPr>
          <w:rFonts w:ascii="微软雅黑" w:hAnsi="微软雅黑" w:eastAsia="微软雅黑"/>
          <w:b/>
          <w:spacing w:val="-2"/>
          <w:sz w:val="21"/>
        </w:rPr>
        <w:t>中度面积Ⅲ度</w:t>
      </w:r>
      <w:r>
        <w:rPr>
          <w:rFonts w:ascii="微软雅黑" w:hAnsi="微软雅黑" w:eastAsia="微软雅黑"/>
          <w:b/>
          <w:spacing w:val="-6"/>
          <w:sz w:val="21"/>
        </w:rPr>
        <w:t>烧伤</w:t>
      </w:r>
    </w:p>
    <w:p>
      <w:pPr>
        <w:spacing w:line="187" w:lineRule="auto" w:before="118"/>
        <w:ind w:left="253" w:right="323" w:firstLine="0"/>
        <w:jc w:val="both"/>
        <w:rPr>
          <w:sz w:val="21"/>
        </w:rPr>
      </w:pPr>
      <w:r>
        <w:rPr/>
        <w:br w:type="column"/>
      </w:r>
      <w:r>
        <w:rPr>
          <w:spacing w:val="-2"/>
          <w:sz w:val="21"/>
        </w:rPr>
        <w:t>指烧伤程度为Ⅲ度，即全层皮肤烧伤，包括表皮、真皮和皮下组织，且Ⅲ</w:t>
      </w:r>
      <w:r>
        <w:rPr>
          <w:spacing w:val="-2"/>
          <w:sz w:val="21"/>
        </w:rPr>
        <w:t>度烧伤的面积达到全身体表面积的15%或15%以上，</w:t>
      </w:r>
      <w:r>
        <w:rPr>
          <w:rFonts w:ascii="微软雅黑" w:hAnsi="微软雅黑" w:eastAsia="微软雅黑"/>
          <w:b/>
          <w:spacing w:val="-2"/>
          <w:sz w:val="21"/>
        </w:rPr>
        <w:t>但未达到本合同所指重</w:t>
      </w:r>
      <w:r>
        <w:rPr>
          <w:rFonts w:ascii="微软雅黑" w:hAnsi="微软雅黑" w:eastAsia="微软雅黑"/>
          <w:b/>
          <w:spacing w:val="-2"/>
          <w:sz w:val="21"/>
        </w:rPr>
        <w:t>大疾病“严重Ⅲ度烧伤”的给付标准。</w:t>
      </w:r>
      <w:r>
        <w:rPr>
          <w:spacing w:val="-2"/>
          <w:sz w:val="21"/>
        </w:rPr>
        <w:t>体表面积根据《中国新九分法》计</w:t>
      </w:r>
      <w:r>
        <w:rPr>
          <w:spacing w:val="-6"/>
          <w:sz w:val="21"/>
        </w:rPr>
        <w:t>算。</w:t>
      </w:r>
    </w:p>
    <w:p>
      <w:pPr>
        <w:spacing w:line="170" w:lineRule="auto" w:before="33"/>
        <w:ind w:left="253" w:right="310" w:firstLine="0"/>
        <w:jc w:val="left"/>
        <w:rPr>
          <w:rFonts w:ascii="微软雅黑" w:hAnsi="微软雅黑" w:eastAsia="微软雅黑"/>
          <w:b/>
          <w:sz w:val="21"/>
        </w:rPr>
      </w:pPr>
      <w:r>
        <w:rPr>
          <w:rFonts w:ascii="微软雅黑" w:hAnsi="微软雅黑" w:eastAsia="微软雅黑"/>
          <w:b/>
          <w:spacing w:val="-2"/>
          <w:sz w:val="21"/>
        </w:rPr>
        <w:t>我们对“中度面积Ⅲ度烧伤”、“中度面部烧伤”两项中的其中一项承担</w:t>
      </w:r>
      <w:r>
        <w:rPr>
          <w:rFonts w:ascii="微软雅黑" w:hAnsi="微软雅黑" w:eastAsia="微软雅黑"/>
          <w:b/>
          <w:spacing w:val="-3"/>
          <w:sz w:val="21"/>
        </w:rPr>
        <w:t>保险责任，给付其中一项保险金后，对另外一项疾病保险责任同时终止。</w:t>
      </w:r>
    </w:p>
    <w:p>
      <w:pPr>
        <w:spacing w:after="0" w:line="170" w:lineRule="auto"/>
        <w:jc w:val="left"/>
        <w:rPr>
          <w:rFonts w:ascii="微软雅黑" w:hAnsi="微软雅黑" w:eastAsia="微软雅黑"/>
          <w:sz w:val="21"/>
        </w:rPr>
        <w:sectPr>
          <w:type w:val="continuous"/>
          <w:pgSz w:w="11910" w:h="16840"/>
          <w:pgMar w:header="877" w:footer="0" w:top="1100" w:bottom="280" w:left="1060" w:right="980"/>
          <w:cols w:num="2" w:equalWidth="0">
            <w:col w:w="2479" w:space="73"/>
            <w:col w:w="7318"/>
          </w:cols>
        </w:sectPr>
      </w:pPr>
    </w:p>
    <w:p>
      <w:pPr>
        <w:pStyle w:val="BodyText"/>
        <w:spacing w:before="18"/>
        <w:rPr>
          <w:rFonts w:ascii="微软雅黑"/>
          <w:b/>
          <w:sz w:val="9"/>
        </w:rPr>
      </w:pPr>
    </w:p>
    <w:p>
      <w:pPr>
        <w:spacing w:after="0"/>
        <w:rPr>
          <w:rFonts w:ascii="微软雅黑"/>
          <w:sz w:val="9"/>
        </w:rPr>
        <w:sectPr>
          <w:type w:val="continuous"/>
          <w:pgSz w:w="11910" w:h="16840"/>
          <w:pgMar w:header="877" w:footer="0" w:top="1100" w:bottom="280" w:left="1060" w:right="980"/>
        </w:sectPr>
      </w:pPr>
    </w:p>
    <w:p>
      <w:pPr>
        <w:pStyle w:val="ListParagraph"/>
        <w:numPr>
          <w:ilvl w:val="0"/>
          <w:numId w:val="81"/>
        </w:numPr>
        <w:tabs>
          <w:tab w:pos="1210" w:val="left" w:leader="none"/>
          <w:tab w:pos="1211" w:val="left" w:leader="none"/>
        </w:tabs>
        <w:spacing w:line="168" w:lineRule="auto" w:before="87" w:after="0"/>
        <w:ind w:left="1210" w:right="0" w:hanging="958"/>
        <w:jc w:val="left"/>
        <w:rPr>
          <w:rFonts w:ascii="微软雅黑" w:eastAsia="微软雅黑"/>
          <w:b/>
          <w:sz w:val="21"/>
        </w:rPr>
      </w:pPr>
      <w:r>
        <w:rPr>
          <w:rFonts w:ascii="微软雅黑" w:eastAsia="微软雅黑"/>
          <w:b/>
          <w:spacing w:val="-2"/>
          <w:sz w:val="21"/>
        </w:rPr>
        <w:t>中度类风湿性</w:t>
      </w:r>
      <w:r>
        <w:rPr>
          <w:rFonts w:ascii="微软雅黑" w:eastAsia="微软雅黑"/>
          <w:b/>
          <w:spacing w:val="-4"/>
          <w:sz w:val="21"/>
        </w:rPr>
        <w:t>关节炎</w:t>
      </w:r>
    </w:p>
    <w:p>
      <w:pPr>
        <w:spacing w:line="180" w:lineRule="auto" w:before="124"/>
        <w:ind w:left="253" w:right="326" w:firstLine="0"/>
        <w:jc w:val="both"/>
        <w:rPr>
          <w:rFonts w:ascii="微软雅黑" w:hAnsi="微软雅黑" w:eastAsia="微软雅黑"/>
          <w:b/>
          <w:sz w:val="21"/>
        </w:rPr>
      </w:pPr>
      <w:r>
        <w:rPr/>
        <w:br w:type="column"/>
      </w:r>
      <w:r>
        <w:rPr>
          <w:spacing w:val="-2"/>
          <w:sz w:val="21"/>
        </w:rPr>
        <w:t>根据美国风湿病学院的诊断标准，经我们认可医院的风湿科专科医生明确</w:t>
      </w:r>
      <w:r>
        <w:rPr>
          <w:spacing w:val="-2"/>
          <w:sz w:val="21"/>
        </w:rPr>
        <w:t>诊断并符合下列所有理赔条件，</w:t>
      </w:r>
      <w:r>
        <w:rPr>
          <w:rFonts w:ascii="微软雅黑" w:hAnsi="微软雅黑" w:eastAsia="微软雅黑"/>
          <w:b/>
          <w:spacing w:val="-2"/>
          <w:sz w:val="21"/>
        </w:rPr>
        <w:t>但未达到本合同所指重大疾病“严重类风</w:t>
      </w:r>
      <w:r>
        <w:rPr>
          <w:rFonts w:ascii="微软雅黑" w:hAnsi="微软雅黑" w:eastAsia="微软雅黑"/>
          <w:b/>
          <w:spacing w:val="-2"/>
          <w:sz w:val="21"/>
        </w:rPr>
        <w:t>湿性关节炎”的给付标准：</w:t>
      </w:r>
    </w:p>
    <w:p>
      <w:pPr>
        <w:pStyle w:val="ListParagraph"/>
        <w:numPr>
          <w:ilvl w:val="0"/>
          <w:numId w:val="83"/>
        </w:numPr>
        <w:tabs>
          <w:tab w:pos="783" w:val="left" w:leader="none"/>
        </w:tabs>
        <w:spacing w:line="250" w:lineRule="exact" w:before="0" w:after="0"/>
        <w:ind w:left="782" w:right="0" w:hanging="530"/>
        <w:jc w:val="left"/>
        <w:rPr>
          <w:sz w:val="21"/>
        </w:rPr>
      </w:pPr>
      <w:r>
        <w:rPr>
          <w:spacing w:val="-14"/>
          <w:sz w:val="21"/>
        </w:rPr>
        <w:t>表现为关节严重变形，侵犯至少两个主要关节或关节组[如：双手</w:t>
      </w:r>
      <w:r>
        <w:rPr>
          <w:spacing w:val="-2"/>
          <w:sz w:val="21"/>
        </w:rPr>
        <w:t>（</w:t>
      </w:r>
      <w:r>
        <w:rPr>
          <w:spacing w:val="-10"/>
          <w:sz w:val="21"/>
        </w:rPr>
        <w:t>多</w:t>
      </w:r>
    </w:p>
    <w:p>
      <w:pPr>
        <w:pStyle w:val="BodyText"/>
        <w:spacing w:before="4"/>
        <w:ind w:left="778"/>
      </w:pPr>
      <w:r>
        <w:rPr>
          <w:spacing w:val="-2"/>
        </w:rPr>
        <w:t>手指</w:t>
      </w:r>
      <w:r>
        <w:rPr>
          <w:spacing w:val="-51"/>
        </w:rPr>
        <w:t>）</w:t>
      </w:r>
      <w:r>
        <w:rPr>
          <w:spacing w:val="-24"/>
        </w:rPr>
        <w:t>关节、双足</w:t>
      </w:r>
      <w:r>
        <w:rPr>
          <w:spacing w:val="-2"/>
        </w:rPr>
        <w:t>（多足趾</w:t>
      </w:r>
      <w:r>
        <w:rPr>
          <w:spacing w:val="-51"/>
        </w:rPr>
        <w:t>）</w:t>
      </w:r>
      <w:r>
        <w:rPr>
          <w:spacing w:val="-13"/>
        </w:rPr>
        <w:t>关节、双腕关节、双膝关节和双髋关节]。</w:t>
      </w:r>
    </w:p>
    <w:p>
      <w:pPr>
        <w:pStyle w:val="ListParagraph"/>
        <w:numPr>
          <w:ilvl w:val="0"/>
          <w:numId w:val="83"/>
        </w:numPr>
        <w:tabs>
          <w:tab w:pos="783" w:val="left" w:leader="none"/>
        </w:tabs>
        <w:spacing w:line="244" w:lineRule="auto" w:before="3" w:after="0"/>
        <w:ind w:left="778" w:right="436" w:hanging="526"/>
        <w:jc w:val="left"/>
        <w:rPr>
          <w:sz w:val="21"/>
        </w:rPr>
      </w:pPr>
      <w:r>
        <w:rPr>
          <w:spacing w:val="-2"/>
          <w:sz w:val="21"/>
        </w:rPr>
        <w:t>类风湿性关节炎必须明确诊断并且已经达到类风湿性关节炎功能分</w:t>
      </w:r>
      <w:r>
        <w:rPr>
          <w:spacing w:val="-2"/>
          <w:sz w:val="21"/>
        </w:rPr>
        <w:t>级Ⅲ级以上的功能障碍。</w:t>
      </w:r>
    </w:p>
    <w:p>
      <w:pPr>
        <w:pStyle w:val="ListParagraph"/>
        <w:numPr>
          <w:ilvl w:val="0"/>
          <w:numId w:val="83"/>
        </w:numPr>
        <w:tabs>
          <w:tab w:pos="783" w:val="left" w:leader="none"/>
        </w:tabs>
        <w:spacing w:line="244" w:lineRule="auto" w:before="0" w:after="0"/>
        <w:ind w:left="778" w:right="228" w:hanging="526"/>
        <w:jc w:val="left"/>
        <w:rPr>
          <w:sz w:val="21"/>
        </w:rPr>
      </w:pPr>
      <w:r>
        <w:rPr>
          <w:spacing w:val="-3"/>
          <w:sz w:val="21"/>
        </w:rPr>
        <w:t>关节广泛受损，并经临床证实出现最少 </w:t>
      </w:r>
      <w:r>
        <w:rPr>
          <w:sz w:val="21"/>
        </w:rPr>
        <w:t>2</w:t>
      </w:r>
      <w:r>
        <w:rPr>
          <w:spacing w:val="-8"/>
          <w:sz w:val="21"/>
        </w:rPr>
        <w:t> 个下列关节位置严重变形：</w:t>
      </w:r>
      <w:r>
        <w:rPr>
          <w:spacing w:val="-2"/>
          <w:sz w:val="21"/>
        </w:rPr>
        <w:t>手部、手腕、肘部、膝部、髋部、踝部、颈椎或脚部；</w:t>
      </w:r>
    </w:p>
    <w:p>
      <w:pPr>
        <w:pStyle w:val="ListParagraph"/>
        <w:numPr>
          <w:ilvl w:val="0"/>
          <w:numId w:val="83"/>
        </w:numPr>
        <w:tabs>
          <w:tab w:pos="783" w:val="left" w:leader="none"/>
        </w:tabs>
        <w:spacing w:line="242" w:lineRule="auto" w:before="0" w:after="0"/>
        <w:ind w:left="778" w:right="436" w:hanging="526"/>
        <w:jc w:val="left"/>
        <w:rPr>
          <w:sz w:val="21"/>
        </w:rPr>
      </w:pPr>
      <w:r>
        <w:rPr>
          <w:spacing w:val="-7"/>
          <w:sz w:val="21"/>
        </w:rPr>
        <w:t>经鉴定至少持续 </w:t>
      </w:r>
      <w:r>
        <w:rPr>
          <w:sz w:val="21"/>
        </w:rPr>
        <w:t>180</w:t>
      </w:r>
      <w:r>
        <w:rPr>
          <w:spacing w:val="-8"/>
          <w:sz w:val="21"/>
        </w:rPr>
        <w:t> 天无法独立完成六项基本日常生活活动中的两</w:t>
      </w:r>
      <w:r>
        <w:rPr>
          <w:spacing w:val="-2"/>
          <w:sz w:val="21"/>
        </w:rPr>
        <w:t>项或两项以上。</w:t>
      </w:r>
    </w:p>
    <w:p>
      <w:pPr>
        <w:pStyle w:val="BodyText"/>
        <w:ind w:left="253"/>
      </w:pPr>
      <w:r>
        <w:rPr>
          <w:spacing w:val="-3"/>
        </w:rPr>
        <w:t>类风湿性关节炎功能分级标准：</w:t>
      </w:r>
    </w:p>
    <w:p>
      <w:pPr>
        <w:pStyle w:val="BodyText"/>
        <w:spacing w:line="244" w:lineRule="auto"/>
        <w:ind w:left="426" w:right="464"/>
      </w:pPr>
      <w:r>
        <w:rPr>
          <w:spacing w:val="-2"/>
        </w:rPr>
        <w:t>Ⅰ级胜任日常生活各项活动（包括生活自理，职业和非职业活动）； Ⅱ级生活自理和工作，非职业活动受限；</w:t>
      </w:r>
    </w:p>
    <w:p>
      <w:pPr>
        <w:pStyle w:val="BodyText"/>
        <w:spacing w:line="244" w:lineRule="auto"/>
        <w:ind w:left="426" w:right="2472"/>
      </w:pPr>
      <w:r>
        <w:rPr>
          <w:spacing w:val="-2"/>
        </w:rPr>
        <w:t>Ⅲ级生活自理和工作，职业和非职业活动受限； Ⅳ级生活不能自理，且丧失工作能力。</w:t>
      </w:r>
    </w:p>
    <w:p>
      <w:pPr>
        <w:spacing w:after="0" w:line="244" w:lineRule="auto"/>
        <w:sectPr>
          <w:type w:val="continuous"/>
          <w:pgSz w:w="11910" w:h="16840"/>
          <w:pgMar w:header="877" w:footer="0" w:top="1100" w:bottom="280" w:left="1060" w:right="980"/>
          <w:cols w:num="2" w:equalWidth="0">
            <w:col w:w="2479" w:space="73"/>
            <w:col w:w="7318"/>
          </w:cols>
        </w:sectPr>
      </w:pPr>
    </w:p>
    <w:p>
      <w:pPr>
        <w:pStyle w:val="BodyText"/>
        <w:spacing w:before="10"/>
        <w:rPr>
          <w:sz w:val="14"/>
        </w:rPr>
      </w:pPr>
    </w:p>
    <w:p>
      <w:pPr>
        <w:spacing w:after="0"/>
        <w:rPr>
          <w:sz w:val="14"/>
        </w:rPr>
        <w:sectPr>
          <w:type w:val="continuous"/>
          <w:pgSz w:w="11910" w:h="16840"/>
          <w:pgMar w:header="877" w:footer="0" w:top="1100" w:bottom="280" w:left="1060" w:right="980"/>
        </w:sectPr>
      </w:pPr>
    </w:p>
    <w:p>
      <w:pPr>
        <w:pStyle w:val="ListParagraph"/>
        <w:numPr>
          <w:ilvl w:val="0"/>
          <w:numId w:val="81"/>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2"/>
          <w:sz w:val="21"/>
        </w:rPr>
        <w:t>中度肌营养不</w:t>
      </w:r>
      <w:r>
        <w:rPr>
          <w:rFonts w:ascii="微软雅黑" w:eastAsia="微软雅黑"/>
          <w:b/>
          <w:spacing w:val="-6"/>
          <w:sz w:val="21"/>
        </w:rPr>
        <w:t>良症</w:t>
      </w:r>
    </w:p>
    <w:p>
      <w:pPr>
        <w:spacing w:line="180" w:lineRule="auto" w:before="124"/>
        <w:ind w:left="253" w:right="326" w:firstLine="0"/>
        <w:jc w:val="both"/>
        <w:rPr>
          <w:sz w:val="21"/>
        </w:rPr>
      </w:pPr>
      <w:r>
        <w:rPr/>
        <w:br w:type="column"/>
      </w:r>
      <w:r>
        <w:rPr>
          <w:spacing w:val="-2"/>
          <w:sz w:val="21"/>
        </w:rPr>
        <w:t>指一组原发于肌肉的遗传性疾病，临床表现为与神经系统无关的肌肉无力</w:t>
      </w:r>
      <w:r>
        <w:rPr>
          <w:spacing w:val="-2"/>
          <w:sz w:val="21"/>
        </w:rPr>
        <w:t>和肌肉萎缩。</w:t>
      </w:r>
      <w:r>
        <w:rPr>
          <w:rFonts w:ascii="微软雅黑" w:hAnsi="微软雅黑" w:eastAsia="微软雅黑"/>
          <w:b/>
          <w:spacing w:val="-2"/>
          <w:sz w:val="21"/>
        </w:rPr>
        <w:t>但未达到本合同所指重大疾病“严重肌营养不良症”或“瘫</w:t>
      </w:r>
      <w:r>
        <w:rPr>
          <w:rFonts w:ascii="微软雅黑" w:hAnsi="微软雅黑" w:eastAsia="微软雅黑"/>
          <w:b/>
          <w:spacing w:val="-2"/>
          <w:sz w:val="21"/>
        </w:rPr>
        <w:t>痪”的给付标准</w:t>
      </w:r>
      <w:r>
        <w:rPr>
          <w:spacing w:val="-2"/>
          <w:sz w:val="21"/>
        </w:rPr>
        <w:t>。须满足下列全部条件：</w:t>
      </w:r>
    </w:p>
    <w:p>
      <w:pPr>
        <w:spacing w:after="0" w:line="180" w:lineRule="auto"/>
        <w:jc w:val="both"/>
        <w:rPr>
          <w:sz w:val="21"/>
        </w:rPr>
        <w:sectPr>
          <w:type w:val="continuous"/>
          <w:pgSz w:w="11910" w:h="16840"/>
          <w:pgMar w:header="877" w:footer="0" w:top="1100" w:bottom="280" w:left="1060" w:right="980"/>
          <w:cols w:num="2" w:equalWidth="0">
            <w:col w:w="2479" w:space="73"/>
            <w:col w:w="7318"/>
          </w:cols>
        </w:sectPr>
      </w:pPr>
    </w:p>
    <w:p>
      <w:pPr>
        <w:pStyle w:val="ListParagraph"/>
        <w:numPr>
          <w:ilvl w:val="1"/>
          <w:numId w:val="81"/>
        </w:numPr>
        <w:tabs>
          <w:tab w:pos="3334" w:val="left" w:leader="none"/>
        </w:tabs>
        <w:spacing w:line="242" w:lineRule="auto" w:before="83" w:after="0"/>
        <w:ind w:left="3316" w:right="324" w:hanging="512"/>
        <w:jc w:val="left"/>
        <w:rPr>
          <w:sz w:val="21"/>
        </w:rPr>
      </w:pPr>
      <w:r>
        <w:rPr>
          <w:spacing w:val="-6"/>
          <w:sz w:val="21"/>
        </w:rPr>
        <w:t>肌肉组织活检结果满足肌营养不良症的肌肉细胞变性、坏死等阳性改</w:t>
      </w:r>
      <w:r>
        <w:rPr>
          <w:spacing w:val="-6"/>
          <w:sz w:val="21"/>
        </w:rPr>
        <w:t>变；</w:t>
      </w:r>
    </w:p>
    <w:p>
      <w:pPr>
        <w:pStyle w:val="ListParagraph"/>
        <w:numPr>
          <w:ilvl w:val="1"/>
          <w:numId w:val="81"/>
        </w:numPr>
        <w:tabs>
          <w:tab w:pos="3334" w:val="left" w:leader="none"/>
        </w:tabs>
        <w:spacing w:line="242" w:lineRule="auto" w:before="1" w:after="0"/>
        <w:ind w:left="3316" w:right="324" w:hanging="512"/>
        <w:jc w:val="left"/>
        <w:rPr>
          <w:sz w:val="21"/>
        </w:rPr>
      </w:pPr>
      <w:r>
        <w:rPr>
          <w:spacing w:val="-11"/>
          <w:sz w:val="21"/>
        </w:rPr>
        <w:t>自主生活能力严重丧失，经鉴定无法独立完成六项基本日常生活活动</w:t>
      </w:r>
      <w:r>
        <w:rPr>
          <w:spacing w:val="-2"/>
          <w:sz w:val="21"/>
        </w:rPr>
        <w:t>中的两项或两项以上。</w:t>
      </w:r>
    </w:p>
    <w:p>
      <w:pPr>
        <w:pStyle w:val="BodyText"/>
        <w:spacing w:line="242" w:lineRule="auto" w:before="1"/>
        <w:ind w:left="2805" w:right="333"/>
      </w:pPr>
      <w:r>
        <w:rPr>
          <w:spacing w:val="-2"/>
        </w:rPr>
        <w:t>我们承担本项疾病责任不受本合同“责任免除”中“遗传性疾病、先天性</w:t>
      </w:r>
      <w:r>
        <w:rPr>
          <w:spacing w:val="-2"/>
        </w:rPr>
        <w:t>畸形、变形或染色体异常”的限制。</w:t>
      </w:r>
    </w:p>
    <w:p>
      <w:pPr>
        <w:pStyle w:val="BodyText"/>
        <w:spacing w:before="9"/>
        <w:rPr>
          <w:sz w:val="15"/>
        </w:rPr>
      </w:pPr>
    </w:p>
    <w:p>
      <w:pPr>
        <w:spacing w:after="0"/>
        <w:rPr>
          <w:sz w:val="15"/>
        </w:rPr>
        <w:sectPr>
          <w:pgSz w:w="11910" w:h="16840"/>
          <w:pgMar w:header="877" w:footer="0" w:top="1100" w:bottom="280" w:left="1060" w:right="980"/>
        </w:sectPr>
      </w:pPr>
    </w:p>
    <w:p>
      <w:pPr>
        <w:pStyle w:val="ListParagraph"/>
        <w:numPr>
          <w:ilvl w:val="0"/>
          <w:numId w:val="81"/>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2"/>
          <w:sz w:val="21"/>
        </w:rPr>
        <w:t>中度脊髓灰质</w:t>
      </w:r>
      <w:r>
        <w:rPr>
          <w:rFonts w:ascii="微软雅黑" w:eastAsia="微软雅黑"/>
          <w:b/>
          <w:spacing w:val="-10"/>
          <w:sz w:val="21"/>
        </w:rPr>
        <w:t>炎</w:t>
      </w:r>
    </w:p>
    <w:p>
      <w:pPr>
        <w:spacing w:line="187" w:lineRule="auto" w:before="118"/>
        <w:ind w:left="253" w:right="220" w:firstLine="0"/>
        <w:jc w:val="left"/>
        <w:rPr>
          <w:sz w:val="21"/>
        </w:rPr>
      </w:pPr>
      <w:r>
        <w:rPr/>
        <w:br w:type="column"/>
      </w:r>
      <w:r>
        <w:rPr>
          <w:spacing w:val="-2"/>
          <w:sz w:val="21"/>
        </w:rPr>
        <w:t>脊髓灰质炎是由于脊髓灰质炎病毒感染所致的瘫痪性疾病，临床表现为运</w:t>
      </w:r>
      <w:r>
        <w:rPr>
          <w:spacing w:val="-8"/>
          <w:sz w:val="21"/>
        </w:rPr>
        <w:t>动功能损害或呼吸无力，</w:t>
      </w:r>
      <w:r>
        <w:rPr>
          <w:rFonts w:ascii="微软雅黑" w:hAnsi="微软雅黑" w:eastAsia="微软雅黑"/>
          <w:b/>
          <w:spacing w:val="-7"/>
          <w:sz w:val="21"/>
        </w:rPr>
        <w:t>但未达到本合同所指重大疾病“严重脊髓灰质炎”</w:t>
      </w:r>
      <w:r>
        <w:rPr>
          <w:rFonts w:ascii="微软雅黑" w:hAnsi="微软雅黑" w:eastAsia="微软雅黑"/>
          <w:b/>
          <w:spacing w:val="-2"/>
          <w:sz w:val="21"/>
        </w:rPr>
        <w:t>的给付标准。</w:t>
      </w:r>
      <w:r>
        <w:rPr>
          <w:spacing w:val="-2"/>
          <w:sz w:val="21"/>
        </w:rPr>
        <w:t>脊髓灰质炎必须明确诊断。本保险合同仅对脊髓灰质炎造成</w:t>
      </w:r>
      <w:r>
        <w:rPr>
          <w:spacing w:val="-2"/>
          <w:sz w:val="21"/>
        </w:rPr>
        <w:t>的神经系统功能损害导致被保险人一肢肢体机能永久完全丧失的情况予以</w:t>
      </w:r>
    </w:p>
    <w:p>
      <w:pPr>
        <w:pStyle w:val="BodyText"/>
        <w:spacing w:line="242" w:lineRule="auto" w:before="20"/>
        <w:ind w:left="253" w:right="227"/>
      </w:pPr>
      <w:r>
        <w:rPr>
          <w:spacing w:val="-2"/>
        </w:rPr>
        <w:t>理赔。肢体机能永久完全丧失，指疾病确诊180天后，该肢三大关节中的至</w:t>
      </w:r>
      <w:r>
        <w:rPr>
          <w:spacing w:val="-2"/>
        </w:rPr>
        <w:t>少一个大关节仍然完全僵硬，或不能随意识活动，或肢体肌力在2级（含）</w:t>
      </w:r>
      <w:r>
        <w:rPr>
          <w:spacing w:val="-4"/>
        </w:rPr>
        <w:t>以下。</w:t>
      </w:r>
    </w:p>
    <w:p>
      <w:pPr>
        <w:spacing w:after="0" w:line="242" w:lineRule="auto"/>
        <w:sectPr>
          <w:type w:val="continuous"/>
          <w:pgSz w:w="11910" w:h="16840"/>
          <w:pgMar w:header="877" w:footer="0" w:top="1100" w:bottom="280" w:left="1060" w:right="980"/>
          <w:cols w:num="2" w:equalWidth="0">
            <w:col w:w="2479" w:space="73"/>
            <w:col w:w="7318"/>
          </w:cols>
        </w:sectPr>
      </w:pPr>
    </w:p>
    <w:p>
      <w:pPr>
        <w:pStyle w:val="BodyText"/>
        <w:spacing w:before="11"/>
        <w:rPr>
          <w:sz w:val="15"/>
        </w:rPr>
      </w:pPr>
    </w:p>
    <w:p>
      <w:pPr>
        <w:spacing w:after="0"/>
        <w:rPr>
          <w:sz w:val="15"/>
        </w:rPr>
        <w:sectPr>
          <w:type w:val="continuous"/>
          <w:pgSz w:w="11910" w:h="16840"/>
          <w:pgMar w:header="877" w:footer="0" w:top="1100" w:bottom="280" w:left="1060" w:right="980"/>
        </w:sectPr>
      </w:pPr>
    </w:p>
    <w:p>
      <w:pPr>
        <w:pStyle w:val="ListParagraph"/>
        <w:numPr>
          <w:ilvl w:val="0"/>
          <w:numId w:val="81"/>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2"/>
          <w:sz w:val="21"/>
        </w:rPr>
        <w:t>中度脑炎或脑</w:t>
      </w:r>
      <w:r>
        <w:rPr>
          <w:rFonts w:ascii="微软雅黑" w:eastAsia="微软雅黑"/>
          <w:b/>
          <w:spacing w:val="-2"/>
          <w:sz w:val="21"/>
        </w:rPr>
        <w:t>膜炎后遗症</w:t>
      </w:r>
    </w:p>
    <w:p>
      <w:pPr>
        <w:pStyle w:val="BodyText"/>
        <w:spacing w:before="72"/>
        <w:ind w:left="253"/>
      </w:pPr>
      <w:r>
        <w:rPr/>
        <w:br w:type="column"/>
      </w:r>
      <w:r>
        <w:rPr>
          <w:spacing w:val="-3"/>
        </w:rPr>
        <w:t>指因患脑炎或脑膜炎导致的神经系统的功能障碍。神经系统的功能障碍，</w:t>
      </w:r>
    </w:p>
    <w:p>
      <w:pPr>
        <w:spacing w:line="180" w:lineRule="auto" w:before="57"/>
        <w:ind w:left="253" w:right="324" w:firstLine="0"/>
        <w:jc w:val="both"/>
        <w:rPr>
          <w:rFonts w:ascii="微软雅黑" w:hAnsi="微软雅黑" w:eastAsia="微软雅黑"/>
          <w:b/>
          <w:sz w:val="21"/>
        </w:rPr>
      </w:pPr>
      <w:r>
        <w:rPr>
          <w:spacing w:val="-2"/>
          <w:sz w:val="21"/>
        </w:rPr>
        <w:t>指疾病确诊180</w:t>
      </w:r>
      <w:r>
        <w:rPr>
          <w:spacing w:val="-10"/>
          <w:sz w:val="21"/>
        </w:rPr>
        <w:t>天后，仍存在自主生活能力完全丧失，经鉴定无法独立完成</w:t>
      </w:r>
      <w:r>
        <w:rPr>
          <w:spacing w:val="-2"/>
          <w:sz w:val="21"/>
        </w:rPr>
        <w:t>六项基本日常生活活动中的两项或两项以上，</w:t>
      </w:r>
      <w:r>
        <w:rPr>
          <w:rFonts w:ascii="微软雅黑" w:hAnsi="微软雅黑" w:eastAsia="微软雅黑"/>
          <w:b/>
          <w:spacing w:val="-2"/>
          <w:sz w:val="21"/>
        </w:rPr>
        <w:t>但未达到本合同所指重大疾</w:t>
      </w:r>
      <w:r>
        <w:rPr>
          <w:rFonts w:ascii="微软雅黑" w:hAnsi="微软雅黑" w:eastAsia="微软雅黑"/>
          <w:b/>
          <w:spacing w:val="-2"/>
          <w:sz w:val="21"/>
        </w:rPr>
        <w:t>病“严重脑炎后遗症或严重脑膜炎后遗症”或“瘫痪”的给付标准。</w:t>
      </w:r>
    </w:p>
    <w:p>
      <w:pPr>
        <w:spacing w:after="0" w:line="180" w:lineRule="auto"/>
        <w:jc w:val="both"/>
        <w:rPr>
          <w:rFonts w:ascii="微软雅黑" w:hAnsi="微软雅黑" w:eastAsia="微软雅黑"/>
          <w:sz w:val="21"/>
        </w:rPr>
        <w:sectPr>
          <w:type w:val="continuous"/>
          <w:pgSz w:w="11910" w:h="16840"/>
          <w:pgMar w:header="877" w:footer="0" w:top="1100" w:bottom="280" w:left="1060" w:right="980"/>
          <w:cols w:num="2" w:equalWidth="0">
            <w:col w:w="2479" w:space="73"/>
            <w:col w:w="7318"/>
          </w:cols>
        </w:sectPr>
      </w:pPr>
    </w:p>
    <w:p>
      <w:pPr>
        <w:pStyle w:val="BodyText"/>
        <w:spacing w:before="17"/>
        <w:rPr>
          <w:rFonts w:ascii="微软雅黑"/>
          <w:b/>
          <w:sz w:val="9"/>
        </w:rPr>
      </w:pPr>
    </w:p>
    <w:p>
      <w:pPr>
        <w:spacing w:after="0"/>
        <w:rPr>
          <w:rFonts w:ascii="微软雅黑"/>
          <w:sz w:val="9"/>
        </w:rPr>
        <w:sectPr>
          <w:type w:val="continuous"/>
          <w:pgSz w:w="11910" w:h="16840"/>
          <w:pgMar w:header="877" w:footer="0" w:top="1100" w:bottom="280" w:left="1060" w:right="980"/>
        </w:sectPr>
      </w:pPr>
    </w:p>
    <w:p>
      <w:pPr>
        <w:pStyle w:val="ListParagraph"/>
        <w:numPr>
          <w:ilvl w:val="0"/>
          <w:numId w:val="81"/>
        </w:numPr>
        <w:tabs>
          <w:tab w:pos="1210" w:val="left" w:leader="none"/>
          <w:tab w:pos="1211" w:val="left" w:leader="none"/>
        </w:tabs>
        <w:spacing w:line="168" w:lineRule="auto" w:before="87" w:after="0"/>
        <w:ind w:left="1210" w:right="0" w:hanging="958"/>
        <w:jc w:val="left"/>
        <w:rPr>
          <w:rFonts w:ascii="微软雅黑" w:eastAsia="微软雅黑"/>
          <w:b/>
          <w:sz w:val="21"/>
        </w:rPr>
      </w:pPr>
      <w:r>
        <w:rPr>
          <w:rFonts w:ascii="微软雅黑" w:eastAsia="微软雅黑"/>
          <w:b/>
          <w:spacing w:val="-2"/>
          <w:sz w:val="21"/>
        </w:rPr>
        <w:t>慢性阻塞性肺</w:t>
      </w:r>
      <w:r>
        <w:rPr>
          <w:rFonts w:ascii="微软雅黑" w:eastAsia="微软雅黑"/>
          <w:b/>
          <w:spacing w:val="-10"/>
          <w:sz w:val="21"/>
        </w:rPr>
        <w:t>病</w:t>
      </w:r>
    </w:p>
    <w:p>
      <w:pPr>
        <w:pStyle w:val="BodyText"/>
        <w:spacing w:line="242" w:lineRule="auto" w:before="71"/>
        <w:ind w:left="253" w:right="333"/>
        <w:jc w:val="both"/>
      </w:pPr>
      <w:r>
        <w:rPr/>
        <w:br w:type="column"/>
      </w:r>
      <w:r>
        <w:rPr>
          <w:spacing w:val="-2"/>
        </w:rPr>
        <w:t>指因一种具有气流阻塞特征的慢性支气管炎和（或）肺气肿，该病必须在</w:t>
      </w:r>
      <w:r>
        <w:rPr>
          <w:spacing w:val="-2"/>
        </w:rPr>
        <w:t>我们认可的医疗机构内由呼吸系统科的医生确诊，且诊断必须满足以下所</w:t>
      </w:r>
      <w:r>
        <w:rPr>
          <w:spacing w:val="-4"/>
        </w:rPr>
        <w:t>有条件：</w:t>
      </w:r>
    </w:p>
    <w:p>
      <w:pPr>
        <w:pStyle w:val="ListParagraph"/>
        <w:numPr>
          <w:ilvl w:val="0"/>
          <w:numId w:val="84"/>
        </w:numPr>
        <w:tabs>
          <w:tab w:pos="783" w:val="left" w:leader="none"/>
        </w:tabs>
        <w:spacing w:line="240" w:lineRule="auto" w:before="1" w:after="0"/>
        <w:ind w:left="782" w:right="0" w:hanging="530"/>
        <w:jc w:val="left"/>
        <w:rPr>
          <w:sz w:val="21"/>
        </w:rPr>
      </w:pPr>
      <w:r>
        <w:rPr>
          <w:spacing w:val="-2"/>
          <w:position w:val="1"/>
          <w:sz w:val="21"/>
        </w:rPr>
        <w:t>第一秒末用力呼吸量（FEV</w:t>
      </w:r>
      <w:r>
        <w:rPr>
          <w:spacing w:val="-2"/>
          <w:sz w:val="11"/>
        </w:rPr>
        <w:t>1</w:t>
      </w:r>
      <w:r>
        <w:rPr>
          <w:spacing w:val="-2"/>
          <w:position w:val="1"/>
          <w:sz w:val="21"/>
        </w:rPr>
        <w:t>）</w:t>
      </w:r>
      <w:r>
        <w:rPr>
          <w:spacing w:val="-18"/>
          <w:position w:val="1"/>
          <w:sz w:val="21"/>
        </w:rPr>
        <w:t>小于 </w:t>
      </w:r>
      <w:r>
        <w:rPr>
          <w:spacing w:val="-2"/>
          <w:position w:val="1"/>
          <w:sz w:val="21"/>
        </w:rPr>
        <w:t>1</w:t>
      </w:r>
      <w:r>
        <w:rPr>
          <w:spacing w:val="-20"/>
          <w:position w:val="1"/>
          <w:sz w:val="21"/>
        </w:rPr>
        <w:t> 升；</w:t>
      </w:r>
    </w:p>
    <w:p>
      <w:pPr>
        <w:pStyle w:val="ListParagraph"/>
        <w:numPr>
          <w:ilvl w:val="0"/>
          <w:numId w:val="84"/>
        </w:numPr>
        <w:tabs>
          <w:tab w:pos="783" w:val="left" w:leader="none"/>
        </w:tabs>
        <w:spacing w:line="240" w:lineRule="auto" w:before="2" w:after="0"/>
        <w:ind w:left="782" w:right="0" w:hanging="530"/>
        <w:jc w:val="left"/>
        <w:rPr>
          <w:sz w:val="21"/>
        </w:rPr>
      </w:pPr>
      <w:r>
        <w:rPr>
          <w:position w:val="1"/>
          <w:sz w:val="21"/>
        </w:rPr>
        <w:t>COPD</w:t>
      </w:r>
      <w:r>
        <w:rPr>
          <w:spacing w:val="-3"/>
          <w:position w:val="1"/>
          <w:sz w:val="21"/>
        </w:rPr>
        <w:t> 肺功能分级Ⅲ级，即 </w:t>
      </w:r>
      <w:r>
        <w:rPr>
          <w:position w:val="1"/>
          <w:sz w:val="21"/>
        </w:rPr>
        <w:t>30%</w:t>
      </w:r>
      <w:r>
        <w:rPr>
          <w:spacing w:val="-6"/>
          <w:position w:val="1"/>
          <w:sz w:val="21"/>
        </w:rPr>
        <w:t> </w:t>
      </w:r>
      <w:r>
        <w:rPr>
          <w:position w:val="1"/>
          <w:sz w:val="21"/>
        </w:rPr>
        <w:t>＜EFV</w:t>
      </w:r>
      <w:r>
        <w:rPr>
          <w:sz w:val="11"/>
        </w:rPr>
        <w:t>1</w:t>
      </w:r>
      <w:r>
        <w:rPr>
          <w:spacing w:val="47"/>
          <w:sz w:val="11"/>
        </w:rPr>
        <w:t> </w:t>
      </w:r>
      <w:r>
        <w:rPr>
          <w:spacing w:val="-4"/>
          <w:position w:val="1"/>
          <w:sz w:val="21"/>
        </w:rPr>
        <w:t>＜50%；</w:t>
      </w:r>
    </w:p>
    <w:p>
      <w:pPr>
        <w:pStyle w:val="ListParagraph"/>
        <w:numPr>
          <w:ilvl w:val="0"/>
          <w:numId w:val="84"/>
        </w:numPr>
        <w:tabs>
          <w:tab w:pos="783" w:val="left" w:leader="none"/>
        </w:tabs>
        <w:spacing w:line="240" w:lineRule="auto" w:before="5" w:after="0"/>
        <w:ind w:left="782" w:right="0" w:hanging="530"/>
        <w:jc w:val="left"/>
        <w:rPr>
          <w:sz w:val="21"/>
        </w:rPr>
      </w:pPr>
      <w:r>
        <w:rPr>
          <w:sz w:val="21"/>
        </w:rPr>
        <w:t>残气容积占肺总量（TLC）</w:t>
      </w:r>
      <w:r>
        <w:rPr>
          <w:spacing w:val="-13"/>
          <w:sz w:val="21"/>
        </w:rPr>
        <w:t>的 </w:t>
      </w:r>
      <w:r>
        <w:rPr>
          <w:sz w:val="21"/>
        </w:rPr>
        <w:t>50</w:t>
      </w:r>
      <w:r>
        <w:rPr>
          <w:spacing w:val="-3"/>
          <w:sz w:val="21"/>
        </w:rPr>
        <w:t>%以上；</w:t>
      </w:r>
    </w:p>
    <w:p>
      <w:pPr>
        <w:pStyle w:val="ListParagraph"/>
        <w:numPr>
          <w:ilvl w:val="0"/>
          <w:numId w:val="84"/>
        </w:numPr>
        <w:tabs>
          <w:tab w:pos="783" w:val="left" w:leader="none"/>
        </w:tabs>
        <w:spacing w:line="240" w:lineRule="auto" w:before="2" w:after="0"/>
        <w:ind w:left="782" w:right="0" w:hanging="530"/>
        <w:jc w:val="left"/>
        <w:rPr>
          <w:sz w:val="21"/>
        </w:rPr>
      </w:pPr>
      <w:r>
        <w:rPr>
          <w:position w:val="1"/>
          <w:sz w:val="21"/>
        </w:rPr>
        <w:t>PaO</w:t>
      </w:r>
      <w:r>
        <w:rPr>
          <w:sz w:val="11"/>
        </w:rPr>
        <w:t>2</w:t>
      </w:r>
      <w:r>
        <w:rPr>
          <w:position w:val="1"/>
          <w:sz w:val="21"/>
        </w:rPr>
        <w:t>＜60mmHg,</w:t>
      </w:r>
      <w:r>
        <w:rPr>
          <w:spacing w:val="-20"/>
          <w:position w:val="1"/>
          <w:sz w:val="21"/>
        </w:rPr>
        <w:t> </w:t>
      </w:r>
      <w:r>
        <w:rPr>
          <w:position w:val="1"/>
          <w:sz w:val="21"/>
        </w:rPr>
        <w:t>PaCO</w:t>
      </w:r>
      <w:r>
        <w:rPr>
          <w:sz w:val="11"/>
        </w:rPr>
        <w:t>2</w:t>
      </w:r>
      <w:r>
        <w:rPr>
          <w:position w:val="1"/>
          <w:sz w:val="21"/>
        </w:rPr>
        <w:t>＞50mmHg</w:t>
      </w:r>
      <w:r>
        <w:rPr>
          <w:spacing w:val="-10"/>
          <w:position w:val="1"/>
          <w:sz w:val="21"/>
        </w:rPr>
        <w:t>。</w:t>
      </w:r>
    </w:p>
    <w:p>
      <w:pPr>
        <w:spacing w:after="0" w:line="240" w:lineRule="auto"/>
        <w:jc w:val="left"/>
        <w:rPr>
          <w:sz w:val="21"/>
        </w:rPr>
        <w:sectPr>
          <w:type w:val="continuous"/>
          <w:pgSz w:w="11910" w:h="16840"/>
          <w:pgMar w:header="877" w:footer="0" w:top="1100" w:bottom="280" w:left="1060" w:right="980"/>
          <w:cols w:num="2" w:equalWidth="0">
            <w:col w:w="2479" w:space="73"/>
            <w:col w:w="7318"/>
          </w:cols>
        </w:sectPr>
      </w:pPr>
    </w:p>
    <w:p>
      <w:pPr>
        <w:pStyle w:val="BodyText"/>
        <w:spacing w:before="12"/>
        <w:rPr>
          <w:sz w:val="15"/>
        </w:rPr>
      </w:pPr>
    </w:p>
    <w:p>
      <w:pPr>
        <w:spacing w:after="0"/>
        <w:rPr>
          <w:sz w:val="15"/>
        </w:rPr>
        <w:sectPr>
          <w:type w:val="continuous"/>
          <w:pgSz w:w="11910" w:h="16840"/>
          <w:pgMar w:header="877" w:footer="0" w:top="1100" w:bottom="280" w:left="1060" w:right="980"/>
        </w:sectPr>
      </w:pPr>
    </w:p>
    <w:p>
      <w:pPr>
        <w:pStyle w:val="ListParagraph"/>
        <w:numPr>
          <w:ilvl w:val="0"/>
          <w:numId w:val="81"/>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2"/>
          <w:sz w:val="21"/>
        </w:rPr>
        <w:t>早期运动神经</w:t>
      </w:r>
      <w:r>
        <w:rPr>
          <w:rFonts w:ascii="微软雅黑" w:eastAsia="微软雅黑"/>
          <w:b/>
          <w:spacing w:val="-6"/>
          <w:sz w:val="21"/>
        </w:rPr>
        <w:t>元病</w:t>
      </w:r>
    </w:p>
    <w:p>
      <w:pPr>
        <w:pStyle w:val="BodyText"/>
        <w:spacing w:line="242" w:lineRule="auto" w:before="72"/>
        <w:ind w:left="253" w:right="333"/>
        <w:jc w:val="both"/>
      </w:pPr>
      <w:r>
        <w:rPr/>
        <w:br w:type="column"/>
      </w:r>
      <w:r>
        <w:rPr>
          <w:spacing w:val="-2"/>
        </w:rPr>
        <w:t>是一组中枢神经系统运动神经元的进行性变性疾病，包括进行性脊肌萎缩</w:t>
      </w:r>
      <w:r>
        <w:rPr>
          <w:spacing w:val="-2"/>
        </w:rPr>
        <w:t>症、进行性延髓麻痹症、原发性侧索硬化症、肌萎缩性侧索硬化症。须满</w:t>
      </w:r>
      <w:r>
        <w:rPr>
          <w:spacing w:val="-3"/>
        </w:rPr>
        <w:t>足自主生活能力严重丧失，无法独立完成六项基本日常生活活动中的二项</w:t>
      </w:r>
    </w:p>
    <w:p>
      <w:pPr>
        <w:spacing w:line="168" w:lineRule="auto" w:before="19"/>
        <w:ind w:left="253" w:right="327" w:firstLine="0"/>
        <w:jc w:val="left"/>
        <w:rPr>
          <w:rFonts w:ascii="微软雅黑" w:hAnsi="微软雅黑" w:eastAsia="微软雅黑"/>
          <w:b/>
          <w:sz w:val="21"/>
        </w:rPr>
      </w:pPr>
      <w:r>
        <w:rPr>
          <w:spacing w:val="-2"/>
          <w:sz w:val="21"/>
        </w:rPr>
        <w:t>或二项以上。</w:t>
      </w:r>
      <w:r>
        <w:rPr>
          <w:rFonts w:ascii="微软雅黑" w:hAnsi="微软雅黑" w:eastAsia="微软雅黑"/>
          <w:b/>
          <w:spacing w:val="-2"/>
          <w:sz w:val="21"/>
        </w:rPr>
        <w:t>但未达到本合同所指重大疾病“严重运动神经元病”或“瘫</w:t>
      </w:r>
      <w:r>
        <w:rPr>
          <w:rFonts w:ascii="微软雅黑" w:hAnsi="微软雅黑" w:eastAsia="微软雅黑"/>
          <w:b/>
          <w:spacing w:val="-2"/>
          <w:sz w:val="21"/>
        </w:rPr>
        <w:t>痪”的标准。</w:t>
      </w:r>
    </w:p>
    <w:p>
      <w:pPr>
        <w:spacing w:after="0" w:line="168" w:lineRule="auto"/>
        <w:jc w:val="left"/>
        <w:rPr>
          <w:rFonts w:ascii="微软雅黑" w:hAnsi="微软雅黑" w:eastAsia="微软雅黑"/>
          <w:sz w:val="21"/>
        </w:rPr>
        <w:sectPr>
          <w:type w:val="continuous"/>
          <w:pgSz w:w="11910" w:h="16840"/>
          <w:pgMar w:header="877" w:footer="0" w:top="1100" w:bottom="280" w:left="1060" w:right="980"/>
          <w:cols w:num="2" w:equalWidth="0">
            <w:col w:w="2479" w:space="73"/>
            <w:col w:w="7318"/>
          </w:cols>
        </w:sectPr>
      </w:pPr>
    </w:p>
    <w:p>
      <w:pPr>
        <w:pStyle w:val="BodyText"/>
        <w:spacing w:before="2"/>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81"/>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2"/>
          <w:sz w:val="21"/>
        </w:rPr>
        <w:t>中度多发性硬</w:t>
      </w:r>
      <w:r>
        <w:rPr>
          <w:rFonts w:ascii="微软雅黑" w:eastAsia="微软雅黑"/>
          <w:b/>
          <w:spacing w:val="-10"/>
          <w:sz w:val="21"/>
        </w:rPr>
        <w:t>化</w:t>
      </w:r>
    </w:p>
    <w:p>
      <w:pPr>
        <w:pStyle w:val="BodyText"/>
        <w:spacing w:line="242" w:lineRule="auto" w:before="72"/>
        <w:ind w:left="253" w:right="218"/>
        <w:jc w:val="both"/>
      </w:pPr>
      <w:r>
        <w:rPr/>
        <w:br w:type="column"/>
      </w:r>
      <w:r>
        <w:rPr>
          <w:spacing w:val="-2"/>
        </w:rPr>
        <w:t>指被保险人因脑及脊髓内的脱髓鞘病变而出现神经系统多灶性（多发性）</w:t>
      </w:r>
      <w:r>
        <w:rPr>
          <w:spacing w:val="-2"/>
        </w:rPr>
        <w:t>多时相（至少6个月以内有一次以上（不包含一次）的发作）的病变，须由</w:t>
      </w:r>
      <w:r>
        <w:rPr>
          <w:spacing w:val="-11"/>
        </w:rPr>
        <w:t>计算机断层扫描</w:t>
      </w:r>
      <w:r>
        <w:rPr>
          <w:spacing w:val="-4"/>
        </w:rPr>
        <w:t>（CT）</w:t>
      </w:r>
      <w:r>
        <w:rPr>
          <w:spacing w:val="-19"/>
        </w:rPr>
        <w:t>、核磁共振检查</w:t>
      </w:r>
      <w:r>
        <w:rPr>
          <w:spacing w:val="-4"/>
        </w:rPr>
        <w:t>（MRI）</w:t>
      </w:r>
      <w:r>
        <w:rPr>
          <w:spacing w:val="-9"/>
        </w:rPr>
        <w:t>或正电子发射断层扫描</w:t>
      </w:r>
      <w:r>
        <w:rPr>
          <w:spacing w:val="-4"/>
        </w:rPr>
        <w:t>（PET）</w:t>
      </w:r>
    </w:p>
    <w:p>
      <w:pPr>
        <w:spacing w:line="180" w:lineRule="auto" w:before="55"/>
        <w:ind w:left="253" w:right="326" w:firstLine="0"/>
        <w:jc w:val="both"/>
        <w:rPr>
          <w:rFonts w:ascii="微软雅黑" w:hAnsi="微软雅黑" w:eastAsia="微软雅黑"/>
          <w:b/>
          <w:sz w:val="21"/>
        </w:rPr>
      </w:pPr>
      <w:r>
        <w:rPr>
          <w:spacing w:val="-2"/>
          <w:sz w:val="21"/>
        </w:rPr>
        <w:t>等影像学检查证实，且已经造成自主生活能力严重丧失，无法独立完成六</w:t>
      </w:r>
      <w:r>
        <w:rPr>
          <w:spacing w:val="-6"/>
          <w:sz w:val="21"/>
        </w:rPr>
        <w:t>项基本日常生活活动中的两项，持续至少</w:t>
      </w:r>
      <w:r>
        <w:rPr>
          <w:spacing w:val="-2"/>
          <w:sz w:val="21"/>
        </w:rPr>
        <w:t>180</w:t>
      </w:r>
      <w:r>
        <w:rPr>
          <w:spacing w:val="-29"/>
          <w:sz w:val="21"/>
        </w:rPr>
        <w:t>天。</w:t>
      </w:r>
      <w:r>
        <w:rPr>
          <w:rFonts w:ascii="微软雅黑" w:hAnsi="微软雅黑" w:eastAsia="微软雅黑"/>
          <w:b/>
          <w:spacing w:val="-2"/>
          <w:sz w:val="21"/>
        </w:rPr>
        <w:t>但未达到本合同所指重大</w:t>
      </w:r>
      <w:r>
        <w:rPr>
          <w:rFonts w:ascii="微软雅黑" w:hAnsi="微软雅黑" w:eastAsia="微软雅黑"/>
          <w:b/>
          <w:spacing w:val="-2"/>
          <w:sz w:val="21"/>
        </w:rPr>
        <w:t>疾病“严重多发性硬化”的给付标准。</w:t>
      </w:r>
    </w:p>
    <w:p>
      <w:pPr>
        <w:spacing w:after="0" w:line="180" w:lineRule="auto"/>
        <w:jc w:val="both"/>
        <w:rPr>
          <w:rFonts w:ascii="微软雅黑" w:hAnsi="微软雅黑" w:eastAsia="微软雅黑"/>
          <w:sz w:val="21"/>
        </w:rPr>
        <w:sectPr>
          <w:type w:val="continuous"/>
          <w:pgSz w:w="11910" w:h="16840"/>
          <w:pgMar w:header="877" w:footer="0" w:top="1100" w:bottom="280" w:left="1060" w:right="980"/>
          <w:cols w:num="2" w:equalWidth="0">
            <w:col w:w="2479" w:space="73"/>
            <w:col w:w="7318"/>
          </w:cols>
        </w:sectPr>
      </w:pPr>
    </w:p>
    <w:p>
      <w:pPr>
        <w:pStyle w:val="BodyText"/>
        <w:rPr>
          <w:rFonts w:ascii="微软雅黑"/>
          <w:b/>
          <w:sz w:val="10"/>
        </w:rPr>
      </w:pPr>
    </w:p>
    <w:p>
      <w:pPr>
        <w:pStyle w:val="ListParagraph"/>
        <w:numPr>
          <w:ilvl w:val="0"/>
          <w:numId w:val="81"/>
        </w:numPr>
        <w:tabs>
          <w:tab w:pos="1210" w:val="left" w:leader="none"/>
          <w:tab w:pos="1211" w:val="left" w:leader="none"/>
        </w:tabs>
        <w:spacing w:line="220" w:lineRule="auto" w:before="26" w:after="0"/>
        <w:ind w:left="2805" w:right="323" w:hanging="2552"/>
        <w:jc w:val="both"/>
        <w:rPr>
          <w:sz w:val="21"/>
        </w:rPr>
      </w:pPr>
      <w:r>
        <w:rPr>
          <w:rFonts w:ascii="微软雅黑" w:eastAsia="微软雅黑"/>
          <w:b/>
          <w:spacing w:val="77"/>
          <w:sz w:val="21"/>
        </w:rPr>
        <w:t>中度脑损伤 </w:t>
      </w:r>
      <w:r>
        <w:rPr>
          <w:sz w:val="21"/>
        </w:rPr>
        <w:t>指因头部遭受机械性外力，引起脑重要部位损伤，导致神经系统永久性的</w:t>
      </w:r>
      <w:r>
        <w:rPr>
          <w:spacing w:val="-4"/>
          <w:sz w:val="21"/>
        </w:rPr>
        <w:t>功能障碍。须由头颅断层扫描（CT）、核磁共振检查（MRI）或正电子发射</w:t>
      </w:r>
      <w:r>
        <w:rPr>
          <w:spacing w:val="-4"/>
          <w:sz w:val="21"/>
        </w:rPr>
        <w:t>断层扫描（PET）等影像学检查证实。神经系统永久性的功能障碍，指脑损</w:t>
      </w:r>
    </w:p>
    <w:p>
      <w:pPr>
        <w:spacing w:line="180" w:lineRule="auto" w:before="63"/>
        <w:ind w:left="2805" w:right="317" w:firstLine="0"/>
        <w:jc w:val="both"/>
        <w:rPr>
          <w:rFonts w:ascii="微软雅黑" w:hAnsi="微软雅黑" w:eastAsia="微软雅黑"/>
          <w:b/>
          <w:sz w:val="21"/>
        </w:rPr>
      </w:pPr>
      <w:r>
        <w:rPr>
          <w:spacing w:val="-4"/>
          <w:sz w:val="21"/>
        </w:rPr>
        <w:t>伤180天后，仍完全丧失自主生活能力，经鉴定无法独立完成六项基本日常</w:t>
      </w:r>
      <w:r>
        <w:rPr>
          <w:spacing w:val="-2"/>
          <w:sz w:val="21"/>
        </w:rPr>
        <w:t>生活活动中的两项或以上，</w:t>
      </w:r>
      <w:r>
        <w:rPr>
          <w:rFonts w:ascii="微软雅黑" w:hAnsi="微软雅黑" w:eastAsia="微软雅黑"/>
          <w:b/>
          <w:spacing w:val="-2"/>
          <w:sz w:val="21"/>
        </w:rPr>
        <w:t>但未达到本合同所指重大疾病“严重脑损伤”</w:t>
      </w:r>
      <w:r>
        <w:rPr>
          <w:rFonts w:ascii="微软雅黑" w:hAnsi="微软雅黑" w:eastAsia="微软雅黑"/>
          <w:b/>
          <w:spacing w:val="-2"/>
          <w:sz w:val="21"/>
        </w:rPr>
        <w:t>或“瘫痪”的给付标准。</w:t>
      </w:r>
    </w:p>
    <w:p>
      <w:pPr>
        <w:pStyle w:val="BodyText"/>
        <w:spacing w:before="17"/>
        <w:rPr>
          <w:rFonts w:ascii="微软雅黑"/>
          <w:b/>
          <w:sz w:val="9"/>
        </w:rPr>
      </w:pPr>
    </w:p>
    <w:p>
      <w:pPr>
        <w:spacing w:after="0"/>
        <w:rPr>
          <w:rFonts w:ascii="微软雅黑"/>
          <w:sz w:val="9"/>
        </w:rPr>
        <w:sectPr>
          <w:type w:val="continuous"/>
          <w:pgSz w:w="11910" w:h="16840"/>
          <w:pgMar w:header="877" w:footer="0" w:top="1100" w:bottom="280" w:left="1060" w:right="980"/>
        </w:sectPr>
      </w:pPr>
    </w:p>
    <w:p>
      <w:pPr>
        <w:pStyle w:val="ListParagraph"/>
        <w:numPr>
          <w:ilvl w:val="0"/>
          <w:numId w:val="81"/>
        </w:numPr>
        <w:tabs>
          <w:tab w:pos="1210" w:val="left" w:leader="none"/>
          <w:tab w:pos="1211" w:val="left" w:leader="none"/>
        </w:tabs>
        <w:spacing w:line="168" w:lineRule="auto" w:before="87" w:after="0"/>
        <w:ind w:left="1210" w:right="0" w:hanging="958"/>
        <w:jc w:val="left"/>
        <w:rPr>
          <w:rFonts w:ascii="微软雅黑" w:eastAsia="微软雅黑"/>
          <w:b/>
          <w:sz w:val="21"/>
        </w:rPr>
      </w:pPr>
      <w:r>
        <w:rPr>
          <w:rFonts w:ascii="微软雅黑" w:eastAsia="微软雅黑"/>
          <w:b/>
          <w:spacing w:val="-2"/>
          <w:sz w:val="21"/>
        </w:rPr>
        <w:t>单侧肺脏切除</w:t>
      </w:r>
      <w:r>
        <w:rPr>
          <w:rFonts w:ascii="微软雅黑" w:eastAsia="微软雅黑"/>
          <w:b/>
          <w:spacing w:val="-10"/>
          <w:sz w:val="21"/>
        </w:rPr>
        <w:t>术</w:t>
      </w:r>
    </w:p>
    <w:p>
      <w:pPr>
        <w:spacing w:line="194" w:lineRule="auto" w:before="111"/>
        <w:ind w:left="253" w:right="333" w:firstLine="0"/>
        <w:jc w:val="left"/>
        <w:rPr>
          <w:rFonts w:ascii="微软雅黑" w:eastAsia="微软雅黑"/>
          <w:b/>
          <w:sz w:val="21"/>
        </w:rPr>
      </w:pPr>
      <w:r>
        <w:rPr/>
        <w:br w:type="column"/>
      </w:r>
      <w:r>
        <w:rPr>
          <w:spacing w:val="-2"/>
          <w:sz w:val="21"/>
        </w:rPr>
        <w:t>指因疾病或意外伤害导致肺部严重损害，已经实施了单侧全肺切除手术。</w:t>
      </w:r>
      <w:r>
        <w:rPr>
          <w:rFonts w:ascii="微软雅黑" w:eastAsia="微软雅黑"/>
          <w:b/>
          <w:spacing w:val="-2"/>
          <w:sz w:val="21"/>
        </w:rPr>
        <w:t>下列情况不在保障范围内：</w:t>
      </w:r>
    </w:p>
    <w:p>
      <w:pPr>
        <w:pStyle w:val="ListParagraph"/>
        <w:numPr>
          <w:ilvl w:val="0"/>
          <w:numId w:val="85"/>
        </w:numPr>
        <w:tabs>
          <w:tab w:pos="783" w:val="left" w:leader="none"/>
        </w:tabs>
        <w:spacing w:line="236" w:lineRule="exact" w:before="0" w:after="0"/>
        <w:ind w:left="782" w:right="0" w:hanging="530"/>
        <w:jc w:val="left"/>
        <w:rPr>
          <w:rFonts w:ascii="微软雅黑" w:eastAsia="微软雅黑"/>
          <w:b/>
          <w:sz w:val="21"/>
        </w:rPr>
      </w:pPr>
      <w:r>
        <w:rPr>
          <w:rFonts w:ascii="微软雅黑" w:eastAsia="微软雅黑"/>
          <w:b/>
          <w:spacing w:val="-3"/>
          <w:sz w:val="21"/>
        </w:rPr>
        <w:t>肺叶切除、肺段切除手术；</w:t>
      </w:r>
    </w:p>
    <w:p>
      <w:pPr>
        <w:pStyle w:val="ListParagraph"/>
        <w:numPr>
          <w:ilvl w:val="0"/>
          <w:numId w:val="85"/>
        </w:numPr>
        <w:tabs>
          <w:tab w:pos="783" w:val="left" w:leader="none"/>
        </w:tabs>
        <w:spacing w:line="272" w:lineRule="exact" w:before="0" w:after="0"/>
        <w:ind w:left="782" w:right="0" w:hanging="530"/>
        <w:jc w:val="left"/>
        <w:rPr>
          <w:rFonts w:ascii="微软雅黑" w:eastAsia="微软雅黑"/>
          <w:b/>
          <w:sz w:val="21"/>
        </w:rPr>
      </w:pPr>
      <w:r>
        <w:rPr>
          <w:rFonts w:ascii="微软雅黑" w:eastAsia="微软雅黑"/>
          <w:b/>
          <w:spacing w:val="-3"/>
          <w:sz w:val="21"/>
        </w:rPr>
        <w:t>因恶性肿瘤进行的肺切除手术；</w:t>
      </w:r>
    </w:p>
    <w:p>
      <w:pPr>
        <w:pStyle w:val="ListParagraph"/>
        <w:numPr>
          <w:ilvl w:val="0"/>
          <w:numId w:val="85"/>
        </w:numPr>
        <w:tabs>
          <w:tab w:pos="783" w:val="left" w:leader="none"/>
        </w:tabs>
        <w:spacing w:line="330" w:lineRule="exact" w:before="0" w:after="0"/>
        <w:ind w:left="782" w:right="0" w:hanging="530"/>
        <w:jc w:val="left"/>
        <w:rPr>
          <w:rFonts w:ascii="微软雅黑" w:eastAsia="微软雅黑"/>
          <w:b/>
          <w:sz w:val="21"/>
        </w:rPr>
      </w:pPr>
      <w:r>
        <w:rPr>
          <w:rFonts w:ascii="微软雅黑" w:eastAsia="微软雅黑"/>
          <w:b/>
          <w:spacing w:val="-3"/>
          <w:sz w:val="21"/>
        </w:rPr>
        <w:t>作为器官捐献者而实施的肺切除手术。</w:t>
      </w:r>
    </w:p>
    <w:p>
      <w:pPr>
        <w:spacing w:after="0" w:line="330" w:lineRule="exact"/>
        <w:jc w:val="left"/>
        <w:rPr>
          <w:rFonts w:ascii="微软雅黑" w:eastAsia="微软雅黑"/>
          <w:sz w:val="21"/>
        </w:rPr>
        <w:sectPr>
          <w:type w:val="continuous"/>
          <w:pgSz w:w="11910" w:h="16840"/>
          <w:pgMar w:header="877" w:footer="0" w:top="1100" w:bottom="280" w:left="1060" w:right="980"/>
          <w:cols w:num="2" w:equalWidth="0">
            <w:col w:w="2479" w:space="73"/>
            <w:col w:w="7318"/>
          </w:cols>
        </w:sectPr>
      </w:pPr>
    </w:p>
    <w:p>
      <w:pPr>
        <w:pStyle w:val="BodyText"/>
        <w:spacing w:before="6"/>
        <w:rPr>
          <w:rFonts w:ascii="微软雅黑"/>
          <w:b/>
          <w:sz w:val="15"/>
        </w:rPr>
      </w:pPr>
    </w:p>
    <w:p>
      <w:pPr>
        <w:spacing w:after="0"/>
        <w:rPr>
          <w:rFonts w:ascii="微软雅黑"/>
          <w:sz w:val="15"/>
        </w:rPr>
        <w:sectPr>
          <w:pgSz w:w="11910" w:h="16840"/>
          <w:pgMar w:header="877" w:footer="0" w:top="1100" w:bottom="280" w:left="1060" w:right="980"/>
        </w:sectPr>
      </w:pPr>
    </w:p>
    <w:p>
      <w:pPr>
        <w:pStyle w:val="ListParagraph"/>
        <w:numPr>
          <w:ilvl w:val="0"/>
          <w:numId w:val="81"/>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2"/>
          <w:sz w:val="21"/>
        </w:rPr>
        <w:t>中度重症肌无</w:t>
      </w:r>
      <w:r>
        <w:rPr>
          <w:rFonts w:ascii="微软雅黑" w:eastAsia="微软雅黑"/>
          <w:b/>
          <w:spacing w:val="-10"/>
          <w:sz w:val="21"/>
        </w:rPr>
        <w:t>力</w:t>
      </w:r>
    </w:p>
    <w:p>
      <w:pPr>
        <w:pStyle w:val="BodyText"/>
        <w:spacing w:line="242" w:lineRule="auto" w:before="72"/>
        <w:ind w:left="253" w:right="333"/>
        <w:jc w:val="both"/>
      </w:pPr>
      <w:r>
        <w:rPr/>
        <w:br w:type="column"/>
      </w:r>
      <w:r>
        <w:rPr>
          <w:spacing w:val="-2"/>
        </w:rPr>
        <w:t>是一种神经与肌肉接头部位传递障碍的自身免疫性疾病，临床特征是局部</w:t>
      </w:r>
      <w:r>
        <w:rPr>
          <w:spacing w:val="-2"/>
        </w:rPr>
        <w:t>或全身横纹肌于活动时易于疲劳无力，颅神经眼外肌最易累及，也可涉及</w:t>
      </w:r>
      <w:r>
        <w:rPr>
          <w:spacing w:val="-2"/>
        </w:rPr>
        <w:t>呼吸肌、下肢近端肌群以至全身肌肉。</w:t>
      </w:r>
    </w:p>
    <w:p>
      <w:pPr>
        <w:spacing w:line="216" w:lineRule="auto" w:before="24"/>
        <w:ind w:left="253" w:right="221" w:firstLine="0"/>
        <w:jc w:val="both"/>
        <w:rPr>
          <w:rFonts w:ascii="微软雅黑" w:hAnsi="微软雅黑" w:eastAsia="微软雅黑"/>
          <w:b/>
          <w:sz w:val="21"/>
        </w:rPr>
      </w:pPr>
      <w:r>
        <w:rPr>
          <w:spacing w:val="-2"/>
          <w:sz w:val="21"/>
        </w:rPr>
        <w:t>该病必须由我们认可医院的专科医生明确诊断，且疾病确诊180天后，仍然</w:t>
      </w:r>
      <w:r>
        <w:rPr>
          <w:spacing w:val="-2"/>
          <w:sz w:val="21"/>
        </w:rPr>
        <w:t>存在自主生活能力部分丧失，无法独立完成六项基本日常生活活动中的两</w:t>
      </w:r>
      <w:r>
        <w:rPr>
          <w:spacing w:val="-6"/>
          <w:sz w:val="21"/>
        </w:rPr>
        <w:t>项，</w:t>
      </w:r>
      <w:r>
        <w:rPr>
          <w:rFonts w:ascii="微软雅黑" w:hAnsi="微软雅黑" w:eastAsia="微软雅黑"/>
          <w:b/>
          <w:spacing w:val="-6"/>
          <w:sz w:val="21"/>
        </w:rPr>
        <w:t>但未达到本合同所指重大疾病“全身性（型）</w:t>
      </w:r>
      <w:r>
        <w:rPr>
          <w:rFonts w:ascii="微软雅黑" w:hAnsi="微软雅黑" w:eastAsia="微软雅黑"/>
          <w:b/>
          <w:spacing w:val="-7"/>
          <w:sz w:val="21"/>
        </w:rPr>
        <w:t>重症肌无力”或“瘫痪”</w:t>
      </w:r>
    </w:p>
    <w:p>
      <w:pPr>
        <w:spacing w:line="282" w:lineRule="exact" w:before="0"/>
        <w:ind w:left="253" w:right="0" w:firstLine="0"/>
        <w:jc w:val="left"/>
        <w:rPr>
          <w:rFonts w:ascii="微软雅黑" w:eastAsia="微软雅黑"/>
          <w:b/>
          <w:sz w:val="21"/>
        </w:rPr>
      </w:pPr>
      <w:r>
        <w:rPr>
          <w:rFonts w:ascii="微软雅黑" w:eastAsia="微软雅黑"/>
          <w:b/>
          <w:spacing w:val="-2"/>
          <w:sz w:val="21"/>
        </w:rPr>
        <w:t>的给付标准。</w:t>
      </w:r>
    </w:p>
    <w:p>
      <w:pPr>
        <w:spacing w:after="0" w:line="282" w:lineRule="exact"/>
        <w:jc w:val="left"/>
        <w:rPr>
          <w:rFonts w:ascii="微软雅黑" w:eastAsia="微软雅黑"/>
          <w:sz w:val="21"/>
        </w:rPr>
        <w:sectPr>
          <w:type w:val="continuous"/>
          <w:pgSz w:w="11910" w:h="16840"/>
          <w:pgMar w:header="877" w:footer="0" w:top="1100" w:bottom="280" w:left="1060" w:right="980"/>
          <w:cols w:num="2" w:equalWidth="0">
            <w:col w:w="2479" w:space="73"/>
            <w:col w:w="7318"/>
          </w:cols>
        </w:sectPr>
      </w:pPr>
    </w:p>
    <w:p>
      <w:pPr>
        <w:pStyle w:val="BodyText"/>
        <w:spacing w:before="5"/>
        <w:rPr>
          <w:rFonts w:ascii="微软雅黑"/>
          <w:b/>
          <w:sz w:val="8"/>
        </w:rPr>
      </w:pPr>
    </w:p>
    <w:p>
      <w:pPr>
        <w:spacing w:after="0"/>
        <w:rPr>
          <w:rFonts w:ascii="微软雅黑"/>
          <w:sz w:val="8"/>
        </w:rPr>
        <w:sectPr>
          <w:type w:val="continuous"/>
          <w:pgSz w:w="11910" w:h="16840"/>
          <w:pgMar w:header="877" w:footer="0" w:top="1100" w:bottom="280" w:left="1060" w:right="980"/>
        </w:sectPr>
      </w:pPr>
    </w:p>
    <w:p>
      <w:pPr>
        <w:pStyle w:val="ListParagraph"/>
        <w:numPr>
          <w:ilvl w:val="0"/>
          <w:numId w:val="81"/>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2"/>
          <w:sz w:val="21"/>
        </w:rPr>
        <w:t>心脏瓣膜介入</w:t>
      </w:r>
      <w:r>
        <w:rPr>
          <w:rFonts w:ascii="微软雅黑" w:eastAsia="微软雅黑"/>
          <w:b/>
          <w:spacing w:val="-6"/>
          <w:sz w:val="21"/>
        </w:rPr>
        <w:t>手术</w:t>
      </w:r>
    </w:p>
    <w:p>
      <w:pPr>
        <w:pStyle w:val="BodyText"/>
        <w:spacing w:line="244" w:lineRule="auto" w:before="72"/>
        <w:ind w:left="253" w:right="333"/>
      </w:pPr>
      <w:r>
        <w:rPr/>
        <w:br w:type="column"/>
      </w:r>
      <w:r>
        <w:rPr>
          <w:spacing w:val="-2"/>
        </w:rPr>
        <w:t>为了治疗心脏瓣膜疾病，实际实施了经皮经导管介入手术进行的心脏瓣膜</w:t>
      </w:r>
      <w:r>
        <w:rPr>
          <w:spacing w:val="-2"/>
        </w:rPr>
        <w:t>置换或者修复手术。</w:t>
      </w:r>
    </w:p>
    <w:p>
      <w:pPr>
        <w:spacing w:line="168" w:lineRule="auto" w:before="12"/>
        <w:ind w:left="253" w:right="324" w:firstLine="0"/>
        <w:jc w:val="both"/>
        <w:rPr>
          <w:rFonts w:ascii="微软雅黑" w:hAnsi="微软雅黑" w:eastAsia="微软雅黑"/>
          <w:b/>
          <w:sz w:val="21"/>
        </w:rPr>
      </w:pPr>
      <w:r>
        <w:rPr>
          <w:rFonts w:ascii="微软雅黑" w:hAnsi="微软雅黑" w:eastAsia="微软雅黑"/>
          <w:b/>
          <w:spacing w:val="-2"/>
          <w:sz w:val="21"/>
        </w:rPr>
        <w:t>我们对“中度感染性心内膜炎”和“心脏瓣膜介入手术”两项中的其中一</w:t>
      </w:r>
      <w:r>
        <w:rPr>
          <w:rFonts w:ascii="微软雅黑" w:hAnsi="微软雅黑" w:eastAsia="微软雅黑"/>
          <w:b/>
          <w:spacing w:val="-2"/>
          <w:sz w:val="21"/>
        </w:rPr>
        <w:t>项承担保险责任，给付其中一项保险金后，对另外一项疾病保险责任同时</w:t>
      </w:r>
      <w:r>
        <w:rPr>
          <w:rFonts w:ascii="微软雅黑" w:hAnsi="微软雅黑" w:eastAsia="微软雅黑"/>
          <w:b/>
          <w:spacing w:val="-4"/>
          <w:sz w:val="21"/>
        </w:rPr>
        <w:t>终止。</w:t>
      </w:r>
    </w:p>
    <w:p>
      <w:pPr>
        <w:spacing w:after="0" w:line="168" w:lineRule="auto"/>
        <w:jc w:val="both"/>
        <w:rPr>
          <w:rFonts w:ascii="微软雅黑" w:hAnsi="微软雅黑" w:eastAsia="微软雅黑"/>
          <w:sz w:val="21"/>
        </w:rPr>
        <w:sectPr>
          <w:type w:val="continuous"/>
          <w:pgSz w:w="11910" w:h="16840"/>
          <w:pgMar w:header="877" w:footer="0" w:top="1100" w:bottom="280" w:left="1060" w:right="980"/>
          <w:cols w:num="2" w:equalWidth="0">
            <w:col w:w="2479" w:space="73"/>
            <w:col w:w="7318"/>
          </w:cols>
        </w:sectPr>
      </w:pPr>
    </w:p>
    <w:p>
      <w:pPr>
        <w:pStyle w:val="BodyText"/>
        <w:spacing w:before="5"/>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81"/>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2"/>
          <w:sz w:val="21"/>
        </w:rPr>
        <w:t>早期系统性硬</w:t>
      </w:r>
      <w:r>
        <w:rPr>
          <w:rFonts w:ascii="微软雅黑" w:eastAsia="微软雅黑"/>
          <w:b/>
          <w:spacing w:val="-6"/>
          <w:sz w:val="21"/>
        </w:rPr>
        <w:t>皮病</w:t>
      </w:r>
    </w:p>
    <w:p>
      <w:pPr>
        <w:spacing w:line="187" w:lineRule="auto" w:before="118"/>
        <w:ind w:left="253" w:right="326" w:firstLine="0"/>
        <w:jc w:val="both"/>
        <w:rPr>
          <w:sz w:val="21"/>
        </w:rPr>
      </w:pPr>
      <w:r>
        <w:rPr/>
        <w:br w:type="column"/>
      </w:r>
      <w:r>
        <w:rPr>
          <w:spacing w:val="-2"/>
          <w:sz w:val="21"/>
        </w:rPr>
        <w:t>指一种以局限性或弥漫性皮肤增厚和皮肤、血管、内脏器官异常纤维化为</w:t>
      </w:r>
      <w:r>
        <w:rPr>
          <w:spacing w:val="-2"/>
          <w:sz w:val="21"/>
        </w:rPr>
        <w:t>特征的结缔组织病。本病须经我们认可医院的专科医生明确诊断，</w:t>
      </w:r>
      <w:r>
        <w:rPr>
          <w:rFonts w:ascii="微软雅黑" w:hAnsi="微软雅黑" w:eastAsia="微软雅黑"/>
          <w:b/>
          <w:spacing w:val="-2"/>
          <w:sz w:val="21"/>
        </w:rPr>
        <w:t>但未达</w:t>
      </w:r>
      <w:r>
        <w:rPr>
          <w:rFonts w:ascii="微软雅黑" w:hAnsi="微软雅黑" w:eastAsia="微软雅黑"/>
          <w:b/>
          <w:spacing w:val="-2"/>
          <w:sz w:val="21"/>
        </w:rPr>
        <w:t>到本合同所指重大疾病“系统性硬皮病”的给付标准</w:t>
      </w:r>
      <w:r>
        <w:rPr>
          <w:spacing w:val="-2"/>
          <w:sz w:val="21"/>
        </w:rPr>
        <w:t>，并须满足下列所有</w:t>
      </w:r>
      <w:r>
        <w:rPr>
          <w:spacing w:val="-4"/>
          <w:sz w:val="21"/>
        </w:rPr>
        <w:t>条件：</w:t>
      </w:r>
    </w:p>
    <w:p>
      <w:pPr>
        <w:pStyle w:val="ListParagraph"/>
        <w:numPr>
          <w:ilvl w:val="0"/>
          <w:numId w:val="86"/>
        </w:numPr>
        <w:tabs>
          <w:tab w:pos="783" w:val="left" w:leader="none"/>
        </w:tabs>
        <w:spacing w:line="240" w:lineRule="auto" w:before="20" w:after="0"/>
        <w:ind w:left="782" w:right="0" w:hanging="530"/>
        <w:jc w:val="left"/>
        <w:rPr>
          <w:sz w:val="21"/>
        </w:rPr>
      </w:pPr>
      <w:r>
        <w:rPr>
          <w:spacing w:val="-3"/>
          <w:sz w:val="21"/>
        </w:rPr>
        <w:t>必须是经由我们认可医院的风湿学专科医生根据美国风湿病学会</w:t>
      </w:r>
    </w:p>
    <w:p>
      <w:pPr>
        <w:pStyle w:val="BodyText"/>
        <w:spacing w:line="242" w:lineRule="auto" w:before="5"/>
        <w:ind w:left="778" w:right="323"/>
        <w:jc w:val="both"/>
      </w:pPr>
      <w:r>
        <w:rPr>
          <w:spacing w:val="-4"/>
        </w:rPr>
        <w:t>（ACR）及欧洲抗风湿病联盟（EULAR）在2013年发布的系统性硬皮病</w:t>
      </w:r>
      <w:r>
        <w:rPr>
          <w:spacing w:val="-4"/>
        </w:rPr>
        <w:t>诊断标准确认达到确诊标准（总分值由每一个分类中的最高比重（分</w:t>
      </w:r>
      <w:r>
        <w:rPr>
          <w:spacing w:val="-2"/>
        </w:rPr>
        <w:t>值）相加而成，总分≥9分的患者被分类为系统性硬皮病）；</w:t>
      </w:r>
    </w:p>
    <w:p>
      <w:pPr>
        <w:pStyle w:val="ListParagraph"/>
        <w:numPr>
          <w:ilvl w:val="0"/>
          <w:numId w:val="86"/>
        </w:numPr>
        <w:tabs>
          <w:tab w:pos="783" w:val="left" w:leader="none"/>
        </w:tabs>
        <w:spacing w:line="194" w:lineRule="auto" w:before="40" w:after="0"/>
        <w:ind w:left="253" w:right="1279" w:firstLine="0"/>
        <w:jc w:val="left"/>
        <w:rPr>
          <w:rFonts w:ascii="微软雅黑" w:eastAsia="微软雅黑"/>
          <w:b/>
          <w:sz w:val="21"/>
        </w:rPr>
      </w:pPr>
      <w:r>
        <w:rPr>
          <w:spacing w:val="-2"/>
          <w:sz w:val="21"/>
        </w:rPr>
        <w:t>须提供明确的病理活检及自身抗体免疫血清学证据支持。</w:t>
      </w:r>
      <w:r>
        <w:rPr>
          <w:rFonts w:ascii="微软雅黑" w:eastAsia="微软雅黑"/>
          <w:b/>
          <w:spacing w:val="-2"/>
          <w:sz w:val="21"/>
        </w:rPr>
        <w:t>以下情况不在保障范围内：</w:t>
      </w:r>
    </w:p>
    <w:p>
      <w:pPr>
        <w:pStyle w:val="ListParagraph"/>
        <w:numPr>
          <w:ilvl w:val="0"/>
          <w:numId w:val="87"/>
        </w:numPr>
        <w:tabs>
          <w:tab w:pos="783" w:val="left" w:leader="none"/>
        </w:tabs>
        <w:spacing w:line="236" w:lineRule="exact" w:before="0" w:after="0"/>
        <w:ind w:left="782" w:right="0" w:hanging="530"/>
        <w:jc w:val="left"/>
        <w:rPr>
          <w:rFonts w:ascii="微软雅黑" w:eastAsia="微软雅黑"/>
          <w:b/>
          <w:sz w:val="21"/>
        </w:rPr>
      </w:pPr>
      <w:r>
        <w:rPr>
          <w:rFonts w:ascii="微软雅黑" w:eastAsia="微软雅黑"/>
          <w:b/>
          <w:spacing w:val="-2"/>
          <w:sz w:val="21"/>
        </w:rPr>
        <w:t>局限性硬皮病（如带状硬皮病或斑状损害</w:t>
      </w:r>
      <w:r>
        <w:rPr>
          <w:rFonts w:ascii="微软雅黑" w:eastAsia="微软雅黑"/>
          <w:b/>
          <w:spacing w:val="-5"/>
          <w:sz w:val="21"/>
        </w:rPr>
        <w:t>）；</w:t>
      </w:r>
    </w:p>
    <w:p>
      <w:pPr>
        <w:pStyle w:val="ListParagraph"/>
        <w:numPr>
          <w:ilvl w:val="0"/>
          <w:numId w:val="87"/>
        </w:numPr>
        <w:tabs>
          <w:tab w:pos="783" w:val="left" w:leader="none"/>
        </w:tabs>
        <w:spacing w:line="272" w:lineRule="exact" w:before="0" w:after="0"/>
        <w:ind w:left="782" w:right="0" w:hanging="530"/>
        <w:jc w:val="left"/>
        <w:rPr>
          <w:rFonts w:ascii="微软雅黑" w:eastAsia="微软雅黑"/>
          <w:b/>
          <w:sz w:val="21"/>
        </w:rPr>
      </w:pPr>
      <w:r>
        <w:rPr>
          <w:rFonts w:ascii="微软雅黑" w:eastAsia="微软雅黑"/>
          <w:b/>
          <w:spacing w:val="-2"/>
          <w:sz w:val="21"/>
        </w:rPr>
        <w:t>嗜酸性筋膜炎；</w:t>
      </w:r>
    </w:p>
    <w:p>
      <w:pPr>
        <w:pStyle w:val="ListParagraph"/>
        <w:numPr>
          <w:ilvl w:val="0"/>
          <w:numId w:val="87"/>
        </w:numPr>
        <w:tabs>
          <w:tab w:pos="783" w:val="left" w:leader="none"/>
        </w:tabs>
        <w:spacing w:line="330" w:lineRule="exact" w:before="0" w:after="0"/>
        <w:ind w:left="782" w:right="0" w:hanging="530"/>
        <w:jc w:val="left"/>
        <w:rPr>
          <w:rFonts w:ascii="微软雅黑" w:eastAsia="微软雅黑"/>
          <w:b/>
          <w:sz w:val="21"/>
        </w:rPr>
      </w:pPr>
      <w:r>
        <w:rPr>
          <w:rFonts w:ascii="微软雅黑" w:eastAsia="微软雅黑"/>
          <w:b/>
          <w:w w:val="85"/>
          <w:sz w:val="21"/>
        </w:rPr>
        <w:t>CREST</w:t>
      </w:r>
      <w:r>
        <w:rPr>
          <w:rFonts w:ascii="微软雅黑" w:eastAsia="微软雅黑"/>
          <w:b/>
          <w:spacing w:val="44"/>
          <w:sz w:val="21"/>
        </w:rPr>
        <w:t> </w:t>
      </w:r>
      <w:r>
        <w:rPr>
          <w:rFonts w:ascii="微软雅黑" w:eastAsia="微软雅黑"/>
          <w:b/>
          <w:w w:val="85"/>
          <w:sz w:val="21"/>
        </w:rPr>
        <w:t>综</w:t>
      </w:r>
      <w:r>
        <w:rPr>
          <w:rFonts w:ascii="微软雅黑" w:eastAsia="微软雅黑"/>
          <w:b/>
          <w:w w:val="85"/>
          <w:sz w:val="21"/>
        </w:rPr>
        <w:t>合</w:t>
      </w:r>
      <w:r>
        <w:rPr>
          <w:rFonts w:ascii="微软雅黑" w:eastAsia="微软雅黑"/>
          <w:b/>
          <w:w w:val="85"/>
          <w:sz w:val="21"/>
        </w:rPr>
        <w:t>征</w:t>
      </w:r>
      <w:r>
        <w:rPr>
          <w:rFonts w:ascii="微软雅黑" w:eastAsia="微软雅黑"/>
          <w:b/>
          <w:spacing w:val="-10"/>
          <w:w w:val="85"/>
          <w:sz w:val="21"/>
        </w:rPr>
        <w:t>。</w:t>
      </w:r>
    </w:p>
    <w:p>
      <w:pPr>
        <w:spacing w:after="0" w:line="330" w:lineRule="exact"/>
        <w:jc w:val="left"/>
        <w:rPr>
          <w:rFonts w:ascii="微软雅黑" w:eastAsia="微软雅黑"/>
          <w:sz w:val="21"/>
        </w:rPr>
        <w:sectPr>
          <w:type w:val="continuous"/>
          <w:pgSz w:w="11910" w:h="16840"/>
          <w:pgMar w:header="877" w:footer="0" w:top="1100" w:bottom="280" w:left="1060" w:right="980"/>
          <w:cols w:num="2" w:equalWidth="0">
            <w:col w:w="2479" w:space="73"/>
            <w:col w:w="7318"/>
          </w:cols>
        </w:sectPr>
      </w:pPr>
    </w:p>
    <w:p>
      <w:pPr>
        <w:pStyle w:val="BodyText"/>
        <w:spacing w:before="6"/>
        <w:rPr>
          <w:rFonts w:ascii="微软雅黑"/>
          <w:b/>
          <w:sz w:val="8"/>
        </w:rPr>
      </w:pPr>
    </w:p>
    <w:p>
      <w:pPr>
        <w:spacing w:after="0"/>
        <w:rPr>
          <w:rFonts w:ascii="微软雅黑"/>
          <w:sz w:val="8"/>
        </w:rPr>
        <w:sectPr>
          <w:type w:val="continuous"/>
          <w:pgSz w:w="11910" w:h="16840"/>
          <w:pgMar w:header="877" w:footer="0" w:top="1100" w:bottom="280" w:left="1060" w:right="980"/>
        </w:sectPr>
      </w:pPr>
    </w:p>
    <w:p>
      <w:pPr>
        <w:pStyle w:val="ListParagraph"/>
        <w:numPr>
          <w:ilvl w:val="0"/>
          <w:numId w:val="81"/>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2"/>
          <w:sz w:val="21"/>
        </w:rPr>
        <w:t>早期原发性心</w:t>
      </w:r>
      <w:r>
        <w:rPr>
          <w:rFonts w:ascii="微软雅黑" w:eastAsia="微软雅黑"/>
          <w:b/>
          <w:spacing w:val="-6"/>
          <w:sz w:val="21"/>
        </w:rPr>
        <w:t>肌病</w:t>
      </w:r>
    </w:p>
    <w:p>
      <w:pPr>
        <w:spacing w:line="168" w:lineRule="auto" w:before="88"/>
        <w:ind w:left="253" w:right="326" w:firstLine="0"/>
        <w:jc w:val="left"/>
        <w:rPr>
          <w:sz w:val="21"/>
        </w:rPr>
      </w:pPr>
      <w:r>
        <w:rPr/>
        <w:br w:type="column"/>
      </w:r>
      <w:r>
        <w:rPr>
          <w:spacing w:val="-2"/>
          <w:sz w:val="21"/>
        </w:rPr>
        <w:t>被诊断为原发性心肌病，并符合下列所有条件，</w:t>
      </w:r>
      <w:r>
        <w:rPr>
          <w:rFonts w:ascii="微软雅黑" w:hAnsi="微软雅黑" w:eastAsia="微软雅黑"/>
          <w:b/>
          <w:spacing w:val="-2"/>
          <w:sz w:val="21"/>
        </w:rPr>
        <w:t>但未达到本合同所指重大</w:t>
      </w:r>
      <w:r>
        <w:rPr>
          <w:rFonts w:ascii="微软雅黑" w:hAnsi="微软雅黑" w:eastAsia="微软雅黑"/>
          <w:b/>
          <w:spacing w:val="-2"/>
          <w:sz w:val="21"/>
        </w:rPr>
        <w:t>疾病“严重原发性心肌病”的给付标准</w:t>
      </w:r>
      <w:r>
        <w:rPr>
          <w:spacing w:val="-2"/>
          <w:sz w:val="21"/>
        </w:rPr>
        <w:t>：</w:t>
      </w:r>
    </w:p>
    <w:p>
      <w:pPr>
        <w:pStyle w:val="ListParagraph"/>
        <w:numPr>
          <w:ilvl w:val="0"/>
          <w:numId w:val="88"/>
        </w:numPr>
        <w:tabs>
          <w:tab w:pos="783" w:val="left" w:leader="none"/>
        </w:tabs>
        <w:spacing w:line="256" w:lineRule="exact" w:before="0" w:after="0"/>
        <w:ind w:left="782" w:right="0" w:hanging="530"/>
        <w:jc w:val="left"/>
        <w:rPr>
          <w:sz w:val="21"/>
        </w:rPr>
      </w:pPr>
      <w:r>
        <w:rPr>
          <w:spacing w:val="-12"/>
          <w:sz w:val="21"/>
        </w:rPr>
        <w:t>导致心室功能受损，其受损程度达到美国纽约心脏病学会心功能状态</w:t>
      </w:r>
    </w:p>
    <w:p>
      <w:pPr>
        <w:pStyle w:val="BodyText"/>
        <w:spacing w:before="2"/>
        <w:ind w:left="778"/>
      </w:pPr>
      <w:r>
        <w:rPr>
          <w:spacing w:val="-3"/>
        </w:rPr>
        <w:t>分级Ⅲ级，或其同等级别；</w:t>
      </w:r>
    </w:p>
    <w:p>
      <w:pPr>
        <w:pStyle w:val="ListParagraph"/>
        <w:numPr>
          <w:ilvl w:val="0"/>
          <w:numId w:val="88"/>
        </w:numPr>
        <w:tabs>
          <w:tab w:pos="783" w:val="left" w:leader="none"/>
        </w:tabs>
        <w:spacing w:line="240" w:lineRule="auto" w:before="4" w:after="0"/>
        <w:ind w:left="782" w:right="0" w:hanging="530"/>
        <w:jc w:val="left"/>
        <w:rPr>
          <w:sz w:val="21"/>
        </w:rPr>
      </w:pPr>
      <w:r>
        <w:rPr>
          <w:spacing w:val="-9"/>
          <w:sz w:val="21"/>
        </w:rPr>
        <w:t>左室射血分数 </w:t>
      </w:r>
      <w:r>
        <w:rPr>
          <w:spacing w:val="-2"/>
          <w:sz w:val="21"/>
        </w:rPr>
        <w:t>LVEF&lt;35%；</w:t>
      </w:r>
    </w:p>
    <w:p>
      <w:pPr>
        <w:pStyle w:val="ListParagraph"/>
        <w:numPr>
          <w:ilvl w:val="0"/>
          <w:numId w:val="88"/>
        </w:numPr>
        <w:tabs>
          <w:tab w:pos="783" w:val="left" w:leader="none"/>
        </w:tabs>
        <w:spacing w:line="244" w:lineRule="auto" w:before="2" w:after="0"/>
        <w:ind w:left="778" w:right="324" w:hanging="526"/>
        <w:jc w:val="left"/>
        <w:rPr>
          <w:sz w:val="21"/>
        </w:rPr>
      </w:pPr>
      <w:r>
        <w:rPr>
          <w:spacing w:val="-6"/>
          <w:sz w:val="21"/>
        </w:rPr>
        <w:t>原发性心肌病的诊断必须由我们认可医院的心脏专科医生确认，并提</w:t>
      </w:r>
      <w:r>
        <w:rPr>
          <w:spacing w:val="-2"/>
          <w:sz w:val="21"/>
        </w:rPr>
        <w:t>供心脏超声检查结果报告。</w:t>
      </w:r>
    </w:p>
    <w:p>
      <w:pPr>
        <w:spacing w:line="168" w:lineRule="auto" w:before="12"/>
        <w:ind w:left="253" w:right="327" w:firstLine="0"/>
        <w:jc w:val="both"/>
        <w:rPr>
          <w:rFonts w:ascii="微软雅黑" w:eastAsia="微软雅黑"/>
          <w:b/>
          <w:sz w:val="21"/>
        </w:rPr>
      </w:pPr>
      <w:r>
        <w:rPr>
          <w:rFonts w:ascii="微软雅黑" w:eastAsia="微软雅黑"/>
          <w:b/>
          <w:spacing w:val="-2"/>
          <w:sz w:val="21"/>
        </w:rPr>
        <w:t>本保障范围内的心肌病仅包括扩张型心肌病、肥厚型心肌病及限制型心肌病。继发于全身性疾病或其他器官系统疾病及酒精滥用造成的心肌病变不</w:t>
      </w:r>
      <w:r>
        <w:rPr>
          <w:rFonts w:ascii="微软雅黑" w:eastAsia="微软雅黑"/>
          <w:b/>
          <w:spacing w:val="-2"/>
          <w:sz w:val="21"/>
        </w:rPr>
        <w:t>在保障范围内。</w:t>
      </w:r>
    </w:p>
    <w:p>
      <w:pPr>
        <w:spacing w:after="0" w:line="168" w:lineRule="auto"/>
        <w:jc w:val="both"/>
        <w:rPr>
          <w:rFonts w:ascii="微软雅黑" w:eastAsia="微软雅黑"/>
          <w:sz w:val="21"/>
        </w:rPr>
        <w:sectPr>
          <w:type w:val="continuous"/>
          <w:pgSz w:w="11910" w:h="16840"/>
          <w:pgMar w:header="877" w:footer="0" w:top="1100" w:bottom="280" w:left="1060" w:right="980"/>
          <w:cols w:num="2" w:equalWidth="0">
            <w:col w:w="2479" w:space="73"/>
            <w:col w:w="7318"/>
          </w:cols>
        </w:sectPr>
      </w:pPr>
    </w:p>
    <w:p>
      <w:pPr>
        <w:pStyle w:val="BodyText"/>
        <w:spacing w:before="6"/>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81"/>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2"/>
          <w:sz w:val="21"/>
        </w:rPr>
        <w:t>中度感染性心</w:t>
      </w:r>
      <w:r>
        <w:rPr>
          <w:rFonts w:ascii="微软雅黑" w:eastAsia="微软雅黑"/>
          <w:b/>
          <w:spacing w:val="-4"/>
          <w:sz w:val="21"/>
        </w:rPr>
        <w:t>内膜炎</w:t>
      </w:r>
    </w:p>
    <w:p>
      <w:pPr>
        <w:spacing w:line="180" w:lineRule="auto" w:before="124"/>
        <w:ind w:left="253" w:right="324" w:firstLine="0"/>
        <w:jc w:val="both"/>
        <w:rPr>
          <w:sz w:val="21"/>
        </w:rPr>
      </w:pPr>
      <w:r>
        <w:rPr/>
        <w:br w:type="column"/>
      </w:r>
      <w:r>
        <w:rPr>
          <w:spacing w:val="-2"/>
          <w:sz w:val="21"/>
        </w:rPr>
        <w:t>指因感染性微生物造成心脏内膜炎症，并且累及心脏瓣膜，导致心脏瓣膜</w:t>
      </w:r>
      <w:r>
        <w:rPr>
          <w:spacing w:val="-2"/>
          <w:sz w:val="21"/>
        </w:rPr>
        <w:t>病变，</w:t>
      </w:r>
      <w:r>
        <w:rPr>
          <w:rFonts w:ascii="微软雅黑" w:hAnsi="微软雅黑" w:eastAsia="微软雅黑"/>
          <w:b/>
          <w:spacing w:val="-2"/>
          <w:sz w:val="21"/>
        </w:rPr>
        <w:t>且未达到本合同所指重大疾病“严重感染性心内膜炎”或“心脏瓣</w:t>
      </w:r>
      <w:r>
        <w:rPr>
          <w:rFonts w:ascii="微软雅黑" w:hAnsi="微软雅黑" w:eastAsia="微软雅黑"/>
          <w:b/>
          <w:spacing w:val="-2"/>
          <w:sz w:val="21"/>
        </w:rPr>
        <w:t>膜手术”的给付标准</w:t>
      </w:r>
      <w:r>
        <w:rPr>
          <w:spacing w:val="-2"/>
          <w:sz w:val="21"/>
        </w:rPr>
        <w:t>。必须满足下列条件：</w:t>
      </w:r>
    </w:p>
    <w:p>
      <w:pPr>
        <w:pStyle w:val="ListParagraph"/>
        <w:numPr>
          <w:ilvl w:val="0"/>
          <w:numId w:val="89"/>
        </w:numPr>
        <w:tabs>
          <w:tab w:pos="783" w:val="left" w:leader="none"/>
        </w:tabs>
        <w:spacing w:line="250" w:lineRule="exact" w:before="0" w:after="0"/>
        <w:ind w:left="782" w:right="0" w:hanging="530"/>
        <w:jc w:val="left"/>
        <w:rPr>
          <w:sz w:val="21"/>
        </w:rPr>
      </w:pPr>
      <w:r>
        <w:rPr>
          <w:spacing w:val="-8"/>
          <w:sz w:val="21"/>
        </w:rPr>
        <w:t>急性或亚急性感染性心内膜炎的临床表现，合心内膜炎引起轻度心瓣</w:t>
      </w:r>
    </w:p>
    <w:p>
      <w:pPr>
        <w:pStyle w:val="BodyText"/>
        <w:spacing w:before="4"/>
        <w:ind w:left="778"/>
      </w:pPr>
      <w:r>
        <w:rPr>
          <w:spacing w:val="-3"/>
        </w:rPr>
        <w:t>膜关闭不全或轻度心瓣膜狭窄；</w:t>
      </w:r>
    </w:p>
    <w:p>
      <w:pPr>
        <w:pStyle w:val="ListParagraph"/>
        <w:numPr>
          <w:ilvl w:val="0"/>
          <w:numId w:val="89"/>
        </w:numPr>
        <w:tabs>
          <w:tab w:pos="783" w:val="left" w:leader="none"/>
        </w:tabs>
        <w:spacing w:line="238" w:lineRule="exact" w:before="3" w:after="0"/>
        <w:ind w:left="782" w:right="0" w:hanging="530"/>
        <w:jc w:val="left"/>
        <w:rPr>
          <w:sz w:val="21"/>
        </w:rPr>
      </w:pPr>
      <w:r>
        <w:rPr>
          <w:spacing w:val="-3"/>
          <w:sz w:val="21"/>
        </w:rPr>
        <w:t>血液培养测试结果为阳性，证实存在感染性微生物。</w:t>
      </w:r>
    </w:p>
    <w:p>
      <w:pPr>
        <w:spacing w:line="168" w:lineRule="auto" w:before="51"/>
        <w:ind w:left="253" w:right="325" w:firstLine="0"/>
        <w:jc w:val="both"/>
        <w:rPr>
          <w:rFonts w:ascii="微软雅黑" w:hAnsi="微软雅黑" w:eastAsia="微软雅黑"/>
          <w:b/>
          <w:sz w:val="21"/>
        </w:rPr>
      </w:pPr>
      <w:r>
        <w:rPr>
          <w:rFonts w:ascii="微软雅黑" w:hAnsi="微软雅黑" w:eastAsia="微软雅黑"/>
          <w:b/>
          <w:spacing w:val="-2"/>
          <w:sz w:val="21"/>
        </w:rPr>
        <w:t>我们对“中度感染性心内膜炎”和“心脏瓣膜介入手术”两项中的其中一</w:t>
      </w:r>
      <w:r>
        <w:rPr>
          <w:rFonts w:ascii="微软雅黑" w:hAnsi="微软雅黑" w:eastAsia="微软雅黑"/>
          <w:b/>
          <w:spacing w:val="-2"/>
          <w:sz w:val="21"/>
        </w:rPr>
        <w:t>项承担保险责任，给付其中一项保险金后，对另外一项疾病保险责任同时</w:t>
      </w:r>
      <w:r>
        <w:rPr>
          <w:rFonts w:ascii="微软雅黑" w:hAnsi="微软雅黑" w:eastAsia="微软雅黑"/>
          <w:b/>
          <w:spacing w:val="-4"/>
          <w:sz w:val="21"/>
        </w:rPr>
        <w:t>终止。</w:t>
      </w:r>
    </w:p>
    <w:p>
      <w:pPr>
        <w:spacing w:after="0" w:line="168" w:lineRule="auto"/>
        <w:jc w:val="both"/>
        <w:rPr>
          <w:rFonts w:ascii="微软雅黑" w:hAnsi="微软雅黑" w:eastAsia="微软雅黑"/>
          <w:sz w:val="21"/>
        </w:rPr>
        <w:sectPr>
          <w:type w:val="continuous"/>
          <w:pgSz w:w="11910" w:h="16840"/>
          <w:pgMar w:header="877" w:footer="0" w:top="1100" w:bottom="280" w:left="1060" w:right="980"/>
          <w:cols w:num="2" w:equalWidth="0">
            <w:col w:w="2479" w:space="73"/>
            <w:col w:w="7318"/>
          </w:cols>
        </w:sectPr>
      </w:pPr>
    </w:p>
    <w:p>
      <w:pPr>
        <w:pStyle w:val="BodyText"/>
        <w:spacing w:before="6"/>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81"/>
        </w:numPr>
        <w:tabs>
          <w:tab w:pos="1210" w:val="left" w:leader="none"/>
          <w:tab w:pos="1211" w:val="left" w:leader="none"/>
        </w:tabs>
        <w:spacing w:line="168" w:lineRule="auto" w:before="87" w:after="0"/>
        <w:ind w:left="1210" w:right="0" w:hanging="958"/>
        <w:jc w:val="both"/>
        <w:rPr>
          <w:rFonts w:ascii="微软雅黑" w:eastAsia="微软雅黑"/>
          <w:b/>
          <w:sz w:val="21"/>
        </w:rPr>
      </w:pPr>
      <w:r>
        <w:rPr>
          <w:rFonts w:ascii="微软雅黑" w:eastAsia="微软雅黑"/>
          <w:b/>
          <w:spacing w:val="-2"/>
          <w:sz w:val="21"/>
        </w:rPr>
        <w:t>于颈动脉进行</w:t>
      </w:r>
      <w:r>
        <w:rPr>
          <w:rFonts w:ascii="微软雅黑" w:eastAsia="微软雅黑"/>
          <w:b/>
          <w:spacing w:val="-2"/>
          <w:sz w:val="21"/>
        </w:rPr>
        <w:t>血管成形术或</w:t>
      </w:r>
      <w:r>
        <w:rPr>
          <w:rFonts w:ascii="微软雅黑" w:eastAsia="微软雅黑"/>
          <w:b/>
          <w:spacing w:val="-2"/>
          <w:sz w:val="21"/>
        </w:rPr>
        <w:t>内膜切除术</w:t>
      </w:r>
    </w:p>
    <w:p>
      <w:pPr>
        <w:pStyle w:val="BodyText"/>
        <w:spacing w:before="71"/>
        <w:ind w:left="253"/>
      </w:pPr>
      <w:r>
        <w:rPr/>
        <w:br w:type="column"/>
      </w:r>
      <w:r>
        <w:rPr>
          <w:spacing w:val="-3"/>
        </w:rPr>
        <w:t>指根据颈动脉造影检查结果，确诊一条或以上颈动脉存在严重狭窄性病变</w:t>
      </w:r>
    </w:p>
    <w:p>
      <w:pPr>
        <w:pStyle w:val="BodyText"/>
        <w:spacing w:line="244" w:lineRule="auto" w:before="2"/>
        <w:ind w:left="253" w:right="324"/>
      </w:pPr>
      <w:r>
        <w:rPr>
          <w:spacing w:val="-2"/>
        </w:rPr>
        <w:t>（</w:t>
      </w:r>
      <w:r>
        <w:rPr>
          <w:spacing w:val="-6"/>
        </w:rPr>
        <w:t>至少一支血管管腔直径减少 </w:t>
      </w:r>
      <w:r>
        <w:rPr>
          <w:spacing w:val="-2"/>
        </w:rPr>
        <w:t>50％以上）。本病须经我们认可医院的专科</w:t>
      </w:r>
      <w:r>
        <w:rPr>
          <w:spacing w:val="-2"/>
        </w:rPr>
        <w:t>医生明确诊断，同时必须已经采取以下任一手术以减轻症状：</w:t>
      </w:r>
    </w:p>
    <w:p>
      <w:pPr>
        <w:spacing w:after="0" w:line="244" w:lineRule="auto"/>
        <w:sectPr>
          <w:type w:val="continuous"/>
          <w:pgSz w:w="11910" w:h="16840"/>
          <w:pgMar w:header="877" w:footer="0" w:top="1100" w:bottom="280" w:left="1060" w:right="980"/>
          <w:cols w:num="2" w:equalWidth="0">
            <w:col w:w="2479" w:space="73"/>
            <w:col w:w="7318"/>
          </w:cols>
        </w:sectPr>
      </w:pPr>
    </w:p>
    <w:p>
      <w:pPr>
        <w:pStyle w:val="BodyText"/>
        <w:spacing w:before="8"/>
        <w:rPr>
          <w:sz w:val="8"/>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04"/>
        <w:gridCol w:w="7052"/>
      </w:tblGrid>
      <w:tr>
        <w:trPr>
          <w:trHeight w:val="649" w:hRule="atLeast"/>
        </w:trPr>
        <w:tc>
          <w:tcPr>
            <w:tcW w:w="2438" w:type="dxa"/>
            <w:gridSpan w:val="2"/>
          </w:tcPr>
          <w:p>
            <w:pPr>
              <w:pStyle w:val="TableParagraph"/>
              <w:rPr>
                <w:rFonts w:ascii="Times New Roman"/>
                <w:sz w:val="20"/>
              </w:rPr>
            </w:pPr>
          </w:p>
        </w:tc>
        <w:tc>
          <w:tcPr>
            <w:tcW w:w="7052" w:type="dxa"/>
          </w:tcPr>
          <w:p>
            <w:pPr>
              <w:pStyle w:val="TableParagraph"/>
              <w:numPr>
                <w:ilvl w:val="0"/>
                <w:numId w:val="90"/>
              </w:numPr>
              <w:tabs>
                <w:tab w:pos="693" w:val="left" w:leader="none"/>
              </w:tabs>
              <w:spacing w:line="241" w:lineRule="exact" w:before="0" w:after="0"/>
              <w:ind w:left="692" w:right="0" w:hanging="530"/>
              <w:jc w:val="left"/>
              <w:rPr>
                <w:sz w:val="21"/>
              </w:rPr>
            </w:pPr>
            <w:r>
              <w:rPr>
                <w:spacing w:val="-3"/>
                <w:sz w:val="21"/>
              </w:rPr>
              <w:t>确实进行动脉内膜切除术；</w:t>
            </w:r>
          </w:p>
          <w:p>
            <w:pPr>
              <w:pStyle w:val="TableParagraph"/>
              <w:numPr>
                <w:ilvl w:val="0"/>
                <w:numId w:val="90"/>
              </w:numPr>
              <w:tabs>
                <w:tab w:pos="693" w:val="left" w:leader="none"/>
              </w:tabs>
              <w:spacing w:line="240" w:lineRule="auto" w:before="2" w:after="0"/>
              <w:ind w:left="692" w:right="0" w:hanging="530"/>
              <w:jc w:val="left"/>
              <w:rPr>
                <w:sz w:val="21"/>
              </w:rPr>
            </w:pPr>
            <w:r>
              <w:rPr>
                <w:spacing w:val="-3"/>
                <w:sz w:val="21"/>
              </w:rPr>
              <w:t>确实进行血管介入治疗，例如血管成形术及／或进行植入支架手术。</w:t>
            </w:r>
          </w:p>
        </w:tc>
      </w:tr>
      <w:tr>
        <w:trPr>
          <w:trHeight w:val="1089" w:hRule="atLeast"/>
        </w:trPr>
        <w:tc>
          <w:tcPr>
            <w:tcW w:w="634" w:type="dxa"/>
          </w:tcPr>
          <w:p>
            <w:pPr>
              <w:pStyle w:val="TableParagraph"/>
              <w:spacing w:before="71"/>
              <w:ind w:left="50"/>
              <w:rPr>
                <w:rFonts w:ascii="微软雅黑"/>
                <w:b/>
                <w:sz w:val="21"/>
              </w:rPr>
            </w:pPr>
            <w:r>
              <w:rPr>
                <w:rFonts w:ascii="微软雅黑"/>
                <w:b/>
                <w:spacing w:val="-5"/>
                <w:w w:val="90"/>
                <w:sz w:val="21"/>
              </w:rPr>
              <w:t>19</w:t>
            </w:r>
          </w:p>
        </w:tc>
        <w:tc>
          <w:tcPr>
            <w:tcW w:w="1804" w:type="dxa"/>
          </w:tcPr>
          <w:p>
            <w:pPr>
              <w:pStyle w:val="TableParagraph"/>
              <w:spacing w:line="170" w:lineRule="auto" w:before="151"/>
              <w:ind w:left="373" w:right="161"/>
              <w:rPr>
                <w:rFonts w:ascii="微软雅黑" w:eastAsia="微软雅黑"/>
                <w:b/>
                <w:sz w:val="21"/>
              </w:rPr>
            </w:pPr>
            <w:r>
              <w:rPr>
                <w:rFonts w:ascii="微软雅黑" w:eastAsia="微软雅黑"/>
                <w:b/>
                <w:spacing w:val="-2"/>
                <w:sz w:val="21"/>
              </w:rPr>
              <w:t>腔静脉过滤器</w:t>
            </w:r>
            <w:r>
              <w:rPr>
                <w:rFonts w:ascii="微软雅黑" w:eastAsia="微软雅黑"/>
                <w:b/>
                <w:spacing w:val="-4"/>
                <w:sz w:val="21"/>
              </w:rPr>
              <w:t>植入术</w:t>
            </w:r>
          </w:p>
        </w:tc>
        <w:tc>
          <w:tcPr>
            <w:tcW w:w="7052" w:type="dxa"/>
          </w:tcPr>
          <w:p>
            <w:pPr>
              <w:pStyle w:val="TableParagraph"/>
              <w:spacing w:line="242" w:lineRule="auto" w:before="138"/>
              <w:ind w:left="163" w:right="160"/>
              <w:jc w:val="both"/>
              <w:rPr>
                <w:sz w:val="21"/>
              </w:rPr>
            </w:pPr>
            <w:r>
              <w:rPr>
                <w:spacing w:val="-2"/>
                <w:sz w:val="21"/>
              </w:rPr>
              <w:t>指为治疗反复肺栓塞发作，抗凝血疗法无效，已经实施了腔静脉过滤器植</w:t>
            </w:r>
            <w:r>
              <w:rPr>
                <w:spacing w:val="-2"/>
                <w:sz w:val="21"/>
              </w:rPr>
              <w:t>入术。手术必须在我们认可医院的专科医生认为是医学上必须的情况下进</w:t>
            </w:r>
            <w:r>
              <w:rPr>
                <w:spacing w:val="-6"/>
                <w:sz w:val="21"/>
              </w:rPr>
              <w:t>行。</w:t>
            </w:r>
          </w:p>
        </w:tc>
      </w:tr>
      <w:tr>
        <w:trPr>
          <w:trHeight w:val="1089" w:hRule="atLeast"/>
        </w:trPr>
        <w:tc>
          <w:tcPr>
            <w:tcW w:w="634" w:type="dxa"/>
          </w:tcPr>
          <w:p>
            <w:pPr>
              <w:pStyle w:val="TableParagraph"/>
              <w:spacing w:before="71"/>
              <w:ind w:left="50"/>
              <w:rPr>
                <w:rFonts w:ascii="微软雅黑"/>
                <w:b/>
                <w:sz w:val="21"/>
              </w:rPr>
            </w:pPr>
            <w:r>
              <w:rPr>
                <w:rFonts w:ascii="微软雅黑"/>
                <w:b/>
                <w:spacing w:val="-5"/>
                <w:w w:val="90"/>
                <w:sz w:val="21"/>
              </w:rPr>
              <w:t>20</w:t>
            </w:r>
          </w:p>
        </w:tc>
        <w:tc>
          <w:tcPr>
            <w:tcW w:w="1804" w:type="dxa"/>
          </w:tcPr>
          <w:p>
            <w:pPr>
              <w:pStyle w:val="TableParagraph"/>
              <w:spacing w:before="71"/>
              <w:ind w:left="373"/>
              <w:rPr>
                <w:rFonts w:ascii="微软雅黑" w:eastAsia="微软雅黑"/>
                <w:b/>
                <w:sz w:val="21"/>
              </w:rPr>
            </w:pPr>
            <w:r>
              <w:rPr>
                <w:rFonts w:ascii="微软雅黑" w:eastAsia="微软雅黑"/>
                <w:b/>
                <w:spacing w:val="-2"/>
                <w:sz w:val="21"/>
              </w:rPr>
              <w:t>心包膜切除术</w:t>
            </w:r>
          </w:p>
        </w:tc>
        <w:tc>
          <w:tcPr>
            <w:tcW w:w="7052" w:type="dxa"/>
          </w:tcPr>
          <w:p>
            <w:pPr>
              <w:pStyle w:val="TableParagraph"/>
              <w:spacing w:line="184" w:lineRule="auto" w:before="135"/>
              <w:ind w:left="163" w:right="153"/>
              <w:jc w:val="both"/>
              <w:rPr>
                <w:sz w:val="21"/>
              </w:rPr>
            </w:pPr>
            <w:r>
              <w:rPr>
                <w:spacing w:val="-2"/>
                <w:sz w:val="21"/>
              </w:rPr>
              <w:t>指为治疗心包膜疾病，已经实施了心包膜切除术，</w:t>
            </w:r>
            <w:r>
              <w:rPr>
                <w:rFonts w:ascii="微软雅黑" w:hAnsi="微软雅黑" w:eastAsia="微软雅黑"/>
                <w:b/>
                <w:spacing w:val="-2"/>
                <w:sz w:val="21"/>
              </w:rPr>
              <w:t>但未达到本合同所指重</w:t>
            </w:r>
            <w:r>
              <w:rPr>
                <w:rFonts w:ascii="微软雅黑" w:hAnsi="微软雅黑" w:eastAsia="微软雅黑"/>
                <w:b/>
                <w:spacing w:val="-2"/>
                <w:sz w:val="21"/>
              </w:rPr>
              <w:t>大疾病“严重慢性缩窄型心包炎”的给付标准</w:t>
            </w:r>
            <w:r>
              <w:rPr>
                <w:spacing w:val="-2"/>
                <w:sz w:val="21"/>
              </w:rPr>
              <w:t>。手术必须在我们认可医院</w:t>
            </w:r>
            <w:r>
              <w:rPr>
                <w:spacing w:val="-2"/>
                <w:sz w:val="21"/>
              </w:rPr>
              <w:t>的心脏科专科医生认为是医学上必须的情况下进行。</w:t>
            </w:r>
          </w:p>
        </w:tc>
      </w:tr>
      <w:tr>
        <w:trPr>
          <w:trHeight w:val="2179" w:hRule="atLeast"/>
        </w:trPr>
        <w:tc>
          <w:tcPr>
            <w:tcW w:w="634" w:type="dxa"/>
          </w:tcPr>
          <w:p>
            <w:pPr>
              <w:pStyle w:val="TableParagraph"/>
              <w:spacing w:before="71"/>
              <w:ind w:left="50"/>
              <w:rPr>
                <w:rFonts w:ascii="微软雅黑"/>
                <w:b/>
                <w:sz w:val="21"/>
              </w:rPr>
            </w:pPr>
            <w:r>
              <w:rPr>
                <w:rFonts w:ascii="微软雅黑"/>
                <w:b/>
                <w:spacing w:val="-5"/>
                <w:w w:val="90"/>
                <w:sz w:val="21"/>
              </w:rPr>
              <w:t>21</w:t>
            </w:r>
          </w:p>
        </w:tc>
        <w:tc>
          <w:tcPr>
            <w:tcW w:w="1804" w:type="dxa"/>
          </w:tcPr>
          <w:p>
            <w:pPr>
              <w:pStyle w:val="TableParagraph"/>
              <w:spacing w:before="71"/>
              <w:ind w:left="373"/>
              <w:rPr>
                <w:rFonts w:ascii="微软雅黑" w:eastAsia="微软雅黑"/>
                <w:b/>
                <w:sz w:val="21"/>
              </w:rPr>
            </w:pPr>
            <w:r>
              <w:rPr>
                <w:rFonts w:ascii="微软雅黑" w:eastAsia="微软雅黑"/>
                <w:b/>
                <w:spacing w:val="-3"/>
                <w:sz w:val="21"/>
              </w:rPr>
              <w:t>肾脏切除</w:t>
            </w:r>
          </w:p>
        </w:tc>
        <w:tc>
          <w:tcPr>
            <w:tcW w:w="7052" w:type="dxa"/>
          </w:tcPr>
          <w:p>
            <w:pPr>
              <w:pStyle w:val="TableParagraph"/>
              <w:spacing w:line="194" w:lineRule="auto" w:before="178"/>
              <w:ind w:left="163" w:right="160"/>
              <w:rPr>
                <w:rFonts w:ascii="微软雅黑" w:eastAsia="微软雅黑"/>
                <w:b/>
                <w:sz w:val="21"/>
              </w:rPr>
            </w:pPr>
            <w:r>
              <w:rPr>
                <w:spacing w:val="-2"/>
                <w:sz w:val="21"/>
              </w:rPr>
              <w:t>指因疾病或意外伤害导致肾脏严重损害，已经实施了至少单侧全肾的切除</w:t>
            </w:r>
            <w:r>
              <w:rPr>
                <w:spacing w:val="-2"/>
                <w:sz w:val="21"/>
              </w:rPr>
              <w:t>手术。</w:t>
            </w:r>
            <w:r>
              <w:rPr>
                <w:rFonts w:ascii="微软雅黑" w:eastAsia="微软雅黑"/>
                <w:b/>
                <w:spacing w:val="-2"/>
                <w:sz w:val="21"/>
              </w:rPr>
              <w:t>下列情况不在保障范围内：</w:t>
            </w:r>
          </w:p>
          <w:p>
            <w:pPr>
              <w:pStyle w:val="TableParagraph"/>
              <w:numPr>
                <w:ilvl w:val="0"/>
                <w:numId w:val="91"/>
              </w:numPr>
              <w:tabs>
                <w:tab w:pos="693" w:val="left" w:leader="none"/>
              </w:tabs>
              <w:spacing w:line="237" w:lineRule="exact" w:before="0" w:after="0"/>
              <w:ind w:left="692" w:right="0" w:hanging="530"/>
              <w:jc w:val="left"/>
              <w:rPr>
                <w:rFonts w:ascii="微软雅黑" w:eastAsia="微软雅黑"/>
                <w:b/>
                <w:sz w:val="21"/>
              </w:rPr>
            </w:pPr>
            <w:r>
              <w:rPr>
                <w:rFonts w:ascii="微软雅黑" w:eastAsia="微软雅黑"/>
                <w:b/>
                <w:spacing w:val="-2"/>
                <w:sz w:val="21"/>
              </w:rPr>
              <w:t>部分肾切除手术；</w:t>
            </w:r>
          </w:p>
          <w:p>
            <w:pPr>
              <w:pStyle w:val="TableParagraph"/>
              <w:numPr>
                <w:ilvl w:val="0"/>
                <w:numId w:val="91"/>
              </w:numPr>
              <w:tabs>
                <w:tab w:pos="693" w:val="left" w:leader="none"/>
              </w:tabs>
              <w:spacing w:line="272" w:lineRule="exact" w:before="0" w:after="0"/>
              <w:ind w:left="692" w:right="0" w:hanging="530"/>
              <w:jc w:val="left"/>
              <w:rPr>
                <w:rFonts w:ascii="微软雅黑" w:eastAsia="微软雅黑"/>
                <w:b/>
                <w:sz w:val="21"/>
              </w:rPr>
            </w:pPr>
            <w:r>
              <w:rPr>
                <w:rFonts w:ascii="微软雅黑" w:eastAsia="微软雅黑"/>
                <w:b/>
                <w:spacing w:val="-3"/>
                <w:sz w:val="21"/>
              </w:rPr>
              <w:t>因恶性肿瘤进行的肾切除手术；</w:t>
            </w:r>
          </w:p>
          <w:p>
            <w:pPr>
              <w:pStyle w:val="TableParagraph"/>
              <w:numPr>
                <w:ilvl w:val="0"/>
                <w:numId w:val="91"/>
              </w:numPr>
              <w:tabs>
                <w:tab w:pos="693" w:val="left" w:leader="none"/>
              </w:tabs>
              <w:spacing w:line="272" w:lineRule="exact" w:before="0" w:after="0"/>
              <w:ind w:left="692" w:right="0" w:hanging="530"/>
              <w:jc w:val="left"/>
              <w:rPr>
                <w:rFonts w:ascii="微软雅黑" w:eastAsia="微软雅黑"/>
                <w:b/>
                <w:sz w:val="21"/>
              </w:rPr>
            </w:pPr>
            <w:r>
              <w:rPr>
                <w:rFonts w:ascii="微软雅黑" w:eastAsia="微软雅黑"/>
                <w:b/>
                <w:spacing w:val="-3"/>
                <w:sz w:val="21"/>
              </w:rPr>
              <w:t>作为器官捐献者而实施的肾切除手术。</w:t>
            </w:r>
          </w:p>
          <w:p>
            <w:pPr>
              <w:pStyle w:val="TableParagraph"/>
              <w:spacing w:line="168" w:lineRule="auto" w:before="26"/>
              <w:ind w:left="163" w:right="153"/>
              <w:rPr>
                <w:rFonts w:ascii="微软雅黑" w:hAnsi="微软雅黑" w:eastAsia="微软雅黑"/>
                <w:b/>
                <w:sz w:val="21"/>
              </w:rPr>
            </w:pPr>
            <w:r>
              <w:rPr>
                <w:rFonts w:ascii="微软雅黑" w:hAnsi="微软雅黑" w:eastAsia="微软雅黑"/>
                <w:b/>
                <w:spacing w:val="-2"/>
                <w:sz w:val="21"/>
              </w:rPr>
              <w:t>我们对“慢性肾功能衰竭”、“肾脏切除”两项中的其中一项承担保险责</w:t>
            </w:r>
            <w:r>
              <w:rPr>
                <w:rFonts w:ascii="微软雅黑" w:hAnsi="微软雅黑" w:eastAsia="微软雅黑"/>
                <w:b/>
                <w:spacing w:val="-2"/>
                <w:sz w:val="21"/>
              </w:rPr>
              <w:t>任，给付其中一项保险金后，对另外一项疾病保险责任同时终止。</w:t>
            </w:r>
          </w:p>
        </w:tc>
      </w:tr>
      <w:tr>
        <w:trPr>
          <w:trHeight w:val="1905" w:hRule="atLeast"/>
        </w:trPr>
        <w:tc>
          <w:tcPr>
            <w:tcW w:w="634" w:type="dxa"/>
          </w:tcPr>
          <w:p>
            <w:pPr>
              <w:pStyle w:val="TableParagraph"/>
              <w:spacing w:before="71"/>
              <w:ind w:left="50"/>
              <w:rPr>
                <w:rFonts w:ascii="微软雅黑"/>
                <w:b/>
                <w:sz w:val="21"/>
              </w:rPr>
            </w:pPr>
            <w:r>
              <w:rPr>
                <w:rFonts w:ascii="微软雅黑"/>
                <w:b/>
                <w:spacing w:val="-5"/>
                <w:w w:val="90"/>
                <w:sz w:val="21"/>
              </w:rPr>
              <w:t>22</w:t>
            </w:r>
          </w:p>
        </w:tc>
        <w:tc>
          <w:tcPr>
            <w:tcW w:w="1804" w:type="dxa"/>
          </w:tcPr>
          <w:p>
            <w:pPr>
              <w:pStyle w:val="TableParagraph"/>
              <w:spacing w:before="71"/>
              <w:ind w:left="373"/>
              <w:rPr>
                <w:rFonts w:ascii="微软雅黑" w:eastAsia="微软雅黑"/>
                <w:b/>
                <w:sz w:val="21"/>
              </w:rPr>
            </w:pPr>
            <w:r>
              <w:rPr>
                <w:rFonts w:ascii="微软雅黑" w:eastAsia="微软雅黑"/>
                <w:b/>
                <w:spacing w:val="-2"/>
                <w:sz w:val="21"/>
              </w:rPr>
              <w:t>早期象皮病</w:t>
            </w:r>
          </w:p>
        </w:tc>
        <w:tc>
          <w:tcPr>
            <w:tcW w:w="7052" w:type="dxa"/>
          </w:tcPr>
          <w:p>
            <w:pPr>
              <w:pStyle w:val="TableParagraph"/>
              <w:spacing w:line="184" w:lineRule="auto" w:before="135"/>
              <w:ind w:left="163" w:right="150"/>
              <w:jc w:val="both"/>
              <w:rPr>
                <w:sz w:val="21"/>
              </w:rPr>
            </w:pPr>
            <w:r>
              <w:rPr>
                <w:spacing w:val="-2"/>
                <w:sz w:val="21"/>
              </w:rPr>
              <w:t>指因丝虫感染导致淋巴管阻塞而造成身体组织出现严重淋巴水肿，</w:t>
            </w:r>
            <w:r>
              <w:rPr>
                <w:rFonts w:ascii="微软雅黑" w:hAnsi="微软雅黑" w:eastAsia="微软雅黑"/>
                <w:b/>
                <w:spacing w:val="-2"/>
                <w:sz w:val="21"/>
              </w:rPr>
              <w:t>但未达</w:t>
            </w:r>
            <w:r>
              <w:rPr>
                <w:rFonts w:ascii="微软雅黑" w:hAnsi="微软雅黑" w:eastAsia="微软雅黑"/>
                <w:b/>
                <w:spacing w:val="-2"/>
                <w:sz w:val="21"/>
              </w:rPr>
              <w:t>到本合同所指重大疾病“丝虫病所致象皮肿”的给付标准</w:t>
            </w:r>
            <w:r>
              <w:rPr>
                <w:spacing w:val="-2"/>
                <w:sz w:val="21"/>
              </w:rPr>
              <w:t>。此病症须经我</w:t>
            </w:r>
            <w:r>
              <w:rPr>
                <w:spacing w:val="-2"/>
                <w:sz w:val="21"/>
              </w:rPr>
              <w:t>们认可医院的专科医生根据临床表现和微丝蚴的化验结果确诊。</w:t>
            </w:r>
          </w:p>
          <w:p>
            <w:pPr>
              <w:pStyle w:val="TableParagraph"/>
              <w:spacing w:line="168" w:lineRule="auto" w:before="32"/>
              <w:ind w:left="163" w:right="154"/>
              <w:jc w:val="both"/>
              <w:rPr>
                <w:rFonts w:ascii="微软雅黑" w:eastAsia="微软雅黑"/>
                <w:b/>
                <w:sz w:val="21"/>
              </w:rPr>
            </w:pPr>
            <w:r>
              <w:rPr>
                <w:rFonts w:ascii="微软雅黑" w:eastAsia="微软雅黑"/>
                <w:b/>
                <w:spacing w:val="-2"/>
                <w:sz w:val="21"/>
              </w:rPr>
              <w:t>由性接触传染的疾病、创伤、手术后疤痕、充血性心力衰竭或先天性淋巴</w:t>
            </w:r>
            <w:r>
              <w:rPr>
                <w:rFonts w:ascii="微软雅黑" w:eastAsia="微软雅黑"/>
                <w:b/>
                <w:spacing w:val="-2"/>
                <w:sz w:val="21"/>
              </w:rPr>
              <w:t>系统异常引起的淋巴水肿，以及急性淋巴管炎或其他原因引起的淋巴水肿</w:t>
            </w:r>
            <w:r>
              <w:rPr>
                <w:rFonts w:ascii="微软雅黑" w:eastAsia="微软雅黑"/>
                <w:b/>
                <w:spacing w:val="-2"/>
                <w:sz w:val="21"/>
              </w:rPr>
              <w:t>不在保障范围内。</w:t>
            </w:r>
          </w:p>
        </w:tc>
      </w:tr>
      <w:tr>
        <w:trPr>
          <w:trHeight w:val="1089" w:hRule="atLeast"/>
        </w:trPr>
        <w:tc>
          <w:tcPr>
            <w:tcW w:w="634" w:type="dxa"/>
          </w:tcPr>
          <w:p>
            <w:pPr>
              <w:pStyle w:val="TableParagraph"/>
              <w:spacing w:before="71"/>
              <w:ind w:left="50"/>
              <w:rPr>
                <w:rFonts w:ascii="微软雅黑"/>
                <w:b/>
                <w:sz w:val="21"/>
              </w:rPr>
            </w:pPr>
            <w:r>
              <w:rPr>
                <w:rFonts w:ascii="微软雅黑"/>
                <w:b/>
                <w:spacing w:val="-5"/>
                <w:w w:val="90"/>
                <w:sz w:val="21"/>
              </w:rPr>
              <w:t>23</w:t>
            </w:r>
          </w:p>
        </w:tc>
        <w:tc>
          <w:tcPr>
            <w:tcW w:w="1804" w:type="dxa"/>
          </w:tcPr>
          <w:p>
            <w:pPr>
              <w:pStyle w:val="TableParagraph"/>
              <w:spacing w:line="170" w:lineRule="auto" w:before="151"/>
              <w:ind w:left="373" w:right="161"/>
              <w:rPr>
                <w:rFonts w:ascii="微软雅黑" w:eastAsia="微软雅黑"/>
                <w:b/>
                <w:sz w:val="21"/>
              </w:rPr>
            </w:pPr>
            <w:r>
              <w:rPr>
                <w:rFonts w:ascii="微软雅黑" w:eastAsia="微软雅黑"/>
                <w:b/>
                <w:spacing w:val="-2"/>
                <w:sz w:val="21"/>
              </w:rPr>
              <w:t>原发性肺动脉</w:t>
            </w:r>
            <w:r>
              <w:rPr>
                <w:rFonts w:ascii="微软雅黑" w:eastAsia="微软雅黑"/>
                <w:b/>
                <w:spacing w:val="-6"/>
                <w:sz w:val="21"/>
              </w:rPr>
              <w:t>高压</w:t>
            </w:r>
          </w:p>
        </w:tc>
        <w:tc>
          <w:tcPr>
            <w:tcW w:w="7052" w:type="dxa"/>
          </w:tcPr>
          <w:p>
            <w:pPr>
              <w:pStyle w:val="TableParagraph"/>
              <w:spacing w:line="242" w:lineRule="auto" w:before="138"/>
              <w:ind w:left="163" w:right="47"/>
              <w:jc w:val="both"/>
              <w:rPr>
                <w:sz w:val="21"/>
              </w:rPr>
            </w:pPr>
            <w:r>
              <w:rPr>
                <w:spacing w:val="-2"/>
                <w:sz w:val="21"/>
              </w:rPr>
              <w:t>指由于原发性肺动脉高压进行性发展，已经造成永久不可逆性的体力活动</w:t>
            </w:r>
            <w:r>
              <w:rPr>
                <w:spacing w:val="-1"/>
                <w:sz w:val="21"/>
              </w:rPr>
              <w:t>能力受限，达到美国纽约心脏病学会心功能状态分级 </w:t>
            </w:r>
            <w:r>
              <w:rPr>
                <w:sz w:val="21"/>
              </w:rPr>
              <w:t>III</w:t>
            </w:r>
            <w:r>
              <w:rPr>
                <w:spacing w:val="-4"/>
                <w:sz w:val="21"/>
              </w:rPr>
              <w:t> 级及以上，但尚</w:t>
            </w:r>
            <w:r>
              <w:rPr>
                <w:spacing w:val="-2"/>
                <w:sz w:val="21"/>
              </w:rPr>
              <w:t>未达到IV</w:t>
            </w:r>
            <w:r>
              <w:rPr>
                <w:spacing w:val="-16"/>
                <w:sz w:val="21"/>
              </w:rPr>
              <w:t> 级，且静息状态下肺动脉平均压超过</w:t>
            </w:r>
            <w:r>
              <w:rPr>
                <w:spacing w:val="14"/>
                <w:sz w:val="21"/>
              </w:rPr>
              <w:t>25m</w:t>
            </w:r>
            <w:r>
              <w:rPr>
                <w:spacing w:val="11"/>
                <w:sz w:val="21"/>
              </w:rPr>
              <w:t>mH</w:t>
            </w:r>
            <w:r>
              <w:rPr>
                <w:spacing w:val="14"/>
                <w:sz w:val="21"/>
              </w:rPr>
              <w:t>g</w:t>
            </w:r>
            <w:r>
              <w:rPr>
                <w:spacing w:val="-18"/>
                <w:sz w:val="21"/>
              </w:rPr>
              <w:t>，但尚未超过</w:t>
            </w:r>
            <w:r>
              <w:rPr>
                <w:spacing w:val="-2"/>
                <w:sz w:val="21"/>
              </w:rPr>
              <w:t>36mmHg</w:t>
            </w:r>
            <w:r>
              <w:rPr>
                <w:spacing w:val="-10"/>
                <w:sz w:val="21"/>
              </w:rPr>
              <w:t>。</w:t>
            </w:r>
          </w:p>
        </w:tc>
      </w:tr>
      <w:tr>
        <w:trPr>
          <w:trHeight w:val="1908" w:hRule="atLeast"/>
        </w:trPr>
        <w:tc>
          <w:tcPr>
            <w:tcW w:w="634" w:type="dxa"/>
          </w:tcPr>
          <w:p>
            <w:pPr>
              <w:pStyle w:val="TableParagraph"/>
              <w:spacing w:before="71"/>
              <w:ind w:left="50"/>
              <w:rPr>
                <w:rFonts w:ascii="微软雅黑"/>
                <w:b/>
                <w:sz w:val="21"/>
              </w:rPr>
            </w:pPr>
            <w:r>
              <w:rPr>
                <w:rFonts w:ascii="微软雅黑"/>
                <w:b/>
                <w:spacing w:val="-5"/>
                <w:w w:val="90"/>
                <w:sz w:val="21"/>
              </w:rPr>
              <w:t>24</w:t>
            </w:r>
          </w:p>
        </w:tc>
        <w:tc>
          <w:tcPr>
            <w:tcW w:w="1804" w:type="dxa"/>
          </w:tcPr>
          <w:p>
            <w:pPr>
              <w:pStyle w:val="TableParagraph"/>
              <w:spacing w:line="170" w:lineRule="auto" w:before="151"/>
              <w:ind w:left="373" w:right="161"/>
              <w:rPr>
                <w:rFonts w:ascii="微软雅黑" w:eastAsia="微软雅黑"/>
                <w:b/>
                <w:sz w:val="21"/>
              </w:rPr>
            </w:pPr>
            <w:r>
              <w:rPr>
                <w:rFonts w:ascii="微软雅黑" w:eastAsia="微软雅黑"/>
                <w:b/>
                <w:spacing w:val="-2"/>
                <w:sz w:val="21"/>
              </w:rPr>
              <w:t>中度慢性呼吸</w:t>
            </w:r>
            <w:r>
              <w:rPr>
                <w:rFonts w:ascii="微软雅黑" w:eastAsia="微软雅黑"/>
                <w:b/>
                <w:spacing w:val="-4"/>
                <w:sz w:val="21"/>
              </w:rPr>
              <w:t>功能衰竭</w:t>
            </w:r>
          </w:p>
        </w:tc>
        <w:tc>
          <w:tcPr>
            <w:tcW w:w="7052" w:type="dxa"/>
          </w:tcPr>
          <w:p>
            <w:pPr>
              <w:pStyle w:val="TableParagraph"/>
              <w:spacing w:line="168" w:lineRule="auto" w:before="154"/>
              <w:ind w:left="163" w:right="151"/>
              <w:jc w:val="both"/>
              <w:rPr>
                <w:sz w:val="21"/>
              </w:rPr>
            </w:pPr>
            <w:r>
              <w:rPr>
                <w:spacing w:val="-2"/>
                <w:sz w:val="21"/>
              </w:rPr>
              <w:t>指因慢性呼吸系统疾病导致永久不可逆的呼吸功能衰竭，</w:t>
            </w:r>
            <w:r>
              <w:rPr>
                <w:rFonts w:ascii="微软雅黑" w:hAnsi="微软雅黑" w:eastAsia="微软雅黑"/>
                <w:b/>
                <w:spacing w:val="-2"/>
                <w:sz w:val="21"/>
              </w:rPr>
              <w:t>但未达到本合同</w:t>
            </w:r>
            <w:r>
              <w:rPr>
                <w:rFonts w:ascii="微软雅黑" w:hAnsi="微软雅黑" w:eastAsia="微软雅黑"/>
                <w:b/>
                <w:spacing w:val="-2"/>
                <w:sz w:val="21"/>
              </w:rPr>
              <w:t>所指重大疾病“严重慢性呼吸衰竭”或“严重继发性肺动脉高压”的给付</w:t>
            </w:r>
            <w:r>
              <w:rPr>
                <w:rFonts w:ascii="微软雅黑" w:hAnsi="微软雅黑" w:eastAsia="微软雅黑"/>
                <w:b/>
                <w:spacing w:val="-2"/>
                <w:sz w:val="21"/>
              </w:rPr>
              <w:t>标准，</w:t>
            </w:r>
            <w:r>
              <w:rPr>
                <w:spacing w:val="-2"/>
                <w:sz w:val="21"/>
              </w:rPr>
              <w:t>且诊断必须满足以下所有条件：</w:t>
            </w:r>
          </w:p>
          <w:p>
            <w:pPr>
              <w:pStyle w:val="TableParagraph"/>
              <w:numPr>
                <w:ilvl w:val="0"/>
                <w:numId w:val="92"/>
              </w:numPr>
              <w:tabs>
                <w:tab w:pos="693" w:val="left" w:leader="none"/>
              </w:tabs>
              <w:spacing w:line="258" w:lineRule="exact" w:before="0" w:after="0"/>
              <w:ind w:left="692" w:right="0" w:hanging="530"/>
              <w:jc w:val="left"/>
              <w:rPr>
                <w:sz w:val="21"/>
              </w:rPr>
            </w:pPr>
            <w:r>
              <w:rPr>
                <w:spacing w:val="-2"/>
                <w:position w:val="1"/>
                <w:sz w:val="21"/>
              </w:rPr>
              <w:t>第一秒末用力呼吸量（FEV</w:t>
            </w:r>
            <w:r>
              <w:rPr>
                <w:spacing w:val="-2"/>
                <w:sz w:val="11"/>
              </w:rPr>
              <w:t>1</w:t>
            </w:r>
            <w:r>
              <w:rPr>
                <w:spacing w:val="-2"/>
                <w:position w:val="1"/>
                <w:sz w:val="21"/>
              </w:rPr>
              <w:t>）</w:t>
            </w:r>
            <w:r>
              <w:rPr>
                <w:spacing w:val="-18"/>
                <w:position w:val="1"/>
                <w:sz w:val="21"/>
              </w:rPr>
              <w:t>小于 </w:t>
            </w:r>
            <w:r>
              <w:rPr>
                <w:spacing w:val="-2"/>
                <w:position w:val="1"/>
                <w:sz w:val="21"/>
              </w:rPr>
              <w:t>1</w:t>
            </w:r>
            <w:r>
              <w:rPr>
                <w:spacing w:val="-20"/>
                <w:position w:val="1"/>
                <w:sz w:val="21"/>
              </w:rPr>
              <w:t> 升；</w:t>
            </w:r>
          </w:p>
          <w:p>
            <w:pPr>
              <w:pStyle w:val="TableParagraph"/>
              <w:numPr>
                <w:ilvl w:val="0"/>
                <w:numId w:val="92"/>
              </w:numPr>
              <w:tabs>
                <w:tab w:pos="693" w:val="left" w:leader="none"/>
              </w:tabs>
              <w:spacing w:line="240" w:lineRule="auto" w:before="3" w:after="0"/>
              <w:ind w:left="692" w:right="0" w:hanging="530"/>
              <w:jc w:val="left"/>
              <w:rPr>
                <w:sz w:val="21"/>
              </w:rPr>
            </w:pPr>
            <w:r>
              <w:rPr>
                <w:spacing w:val="-2"/>
                <w:sz w:val="21"/>
              </w:rPr>
              <w:t>残气容积占肺总量（TLC）</w:t>
            </w:r>
            <w:r>
              <w:rPr>
                <w:spacing w:val="-22"/>
                <w:sz w:val="21"/>
              </w:rPr>
              <w:t>的 </w:t>
            </w:r>
            <w:r>
              <w:rPr>
                <w:spacing w:val="-2"/>
                <w:sz w:val="21"/>
              </w:rPr>
              <w:t>50</w:t>
            </w:r>
            <w:r>
              <w:rPr>
                <w:spacing w:val="-4"/>
                <w:sz w:val="21"/>
              </w:rPr>
              <w:t>%以上；</w:t>
            </w:r>
          </w:p>
          <w:p>
            <w:pPr>
              <w:pStyle w:val="TableParagraph"/>
              <w:numPr>
                <w:ilvl w:val="0"/>
                <w:numId w:val="92"/>
              </w:numPr>
              <w:tabs>
                <w:tab w:pos="693" w:val="left" w:leader="none"/>
              </w:tabs>
              <w:spacing w:line="240" w:lineRule="auto" w:before="4" w:after="0"/>
              <w:ind w:left="692" w:right="0" w:hanging="530"/>
              <w:jc w:val="left"/>
              <w:rPr>
                <w:sz w:val="21"/>
              </w:rPr>
            </w:pPr>
            <w:r>
              <w:rPr>
                <w:spacing w:val="-2"/>
                <w:position w:val="1"/>
                <w:sz w:val="21"/>
              </w:rPr>
              <w:t>PaO</w:t>
            </w:r>
            <w:r>
              <w:rPr>
                <w:spacing w:val="-2"/>
                <w:sz w:val="11"/>
              </w:rPr>
              <w:t>2</w:t>
            </w:r>
            <w:r>
              <w:rPr>
                <w:spacing w:val="-2"/>
                <w:position w:val="1"/>
                <w:sz w:val="21"/>
              </w:rPr>
              <w:t>&lt;60mmHg，但≥50mmHg</w:t>
            </w:r>
            <w:r>
              <w:rPr>
                <w:spacing w:val="-10"/>
                <w:position w:val="1"/>
                <w:sz w:val="21"/>
              </w:rPr>
              <w:t>。</w:t>
            </w:r>
          </w:p>
        </w:tc>
      </w:tr>
      <w:tr>
        <w:trPr>
          <w:trHeight w:val="1739" w:hRule="atLeast"/>
        </w:trPr>
        <w:tc>
          <w:tcPr>
            <w:tcW w:w="634" w:type="dxa"/>
          </w:tcPr>
          <w:p>
            <w:pPr>
              <w:pStyle w:val="TableParagraph"/>
              <w:spacing w:before="71"/>
              <w:ind w:left="50"/>
              <w:rPr>
                <w:rFonts w:ascii="微软雅黑"/>
                <w:b/>
                <w:sz w:val="21"/>
              </w:rPr>
            </w:pPr>
            <w:r>
              <w:rPr>
                <w:rFonts w:ascii="微软雅黑"/>
                <w:b/>
                <w:spacing w:val="-5"/>
                <w:w w:val="90"/>
                <w:sz w:val="21"/>
              </w:rPr>
              <w:t>25</w:t>
            </w:r>
          </w:p>
        </w:tc>
        <w:tc>
          <w:tcPr>
            <w:tcW w:w="1804" w:type="dxa"/>
          </w:tcPr>
          <w:p>
            <w:pPr>
              <w:pStyle w:val="TableParagraph"/>
              <w:spacing w:line="168" w:lineRule="auto" w:before="154"/>
              <w:ind w:left="373" w:right="161"/>
              <w:jc w:val="both"/>
              <w:rPr>
                <w:rFonts w:ascii="微软雅黑" w:eastAsia="微软雅黑"/>
                <w:b/>
                <w:sz w:val="21"/>
              </w:rPr>
            </w:pPr>
            <w:r>
              <w:rPr>
                <w:rFonts w:ascii="微软雅黑" w:eastAsia="微软雅黑"/>
                <w:b/>
                <w:spacing w:val="-2"/>
                <w:sz w:val="21"/>
              </w:rPr>
              <w:t>特定周围动脉</w:t>
            </w:r>
            <w:r>
              <w:rPr>
                <w:rFonts w:ascii="微软雅黑" w:eastAsia="微软雅黑"/>
                <w:b/>
                <w:spacing w:val="-2"/>
                <w:sz w:val="21"/>
              </w:rPr>
              <w:t>疾病的血管介</w:t>
            </w:r>
            <w:r>
              <w:rPr>
                <w:rFonts w:ascii="微软雅黑" w:eastAsia="微软雅黑"/>
                <w:b/>
                <w:spacing w:val="-4"/>
                <w:sz w:val="21"/>
              </w:rPr>
              <w:t>入治疗</w:t>
            </w:r>
          </w:p>
        </w:tc>
        <w:tc>
          <w:tcPr>
            <w:tcW w:w="7052" w:type="dxa"/>
          </w:tcPr>
          <w:p>
            <w:pPr>
              <w:pStyle w:val="TableParagraph"/>
              <w:spacing w:before="138"/>
              <w:ind w:left="163"/>
              <w:rPr>
                <w:sz w:val="21"/>
              </w:rPr>
            </w:pPr>
            <w:r>
              <w:rPr>
                <w:spacing w:val="-3"/>
                <w:sz w:val="21"/>
              </w:rPr>
              <w:t>指为治疗一条或者一条以上的下列动脉狭窄而实施的血管介入治疗：</w:t>
            </w:r>
          </w:p>
          <w:p>
            <w:pPr>
              <w:pStyle w:val="TableParagraph"/>
              <w:numPr>
                <w:ilvl w:val="0"/>
                <w:numId w:val="93"/>
              </w:numPr>
              <w:tabs>
                <w:tab w:pos="693" w:val="left" w:leader="none"/>
              </w:tabs>
              <w:spacing w:line="240" w:lineRule="auto" w:before="3" w:after="0"/>
              <w:ind w:left="692" w:right="0" w:hanging="530"/>
              <w:jc w:val="left"/>
              <w:rPr>
                <w:sz w:val="21"/>
              </w:rPr>
            </w:pPr>
            <w:r>
              <w:rPr>
                <w:spacing w:val="-3"/>
                <w:sz w:val="21"/>
              </w:rPr>
              <w:t>为下肢或者上肢供血的动脉；</w:t>
            </w:r>
          </w:p>
          <w:p>
            <w:pPr>
              <w:pStyle w:val="TableParagraph"/>
              <w:numPr>
                <w:ilvl w:val="0"/>
                <w:numId w:val="93"/>
              </w:numPr>
              <w:tabs>
                <w:tab w:pos="693" w:val="left" w:leader="none"/>
              </w:tabs>
              <w:spacing w:line="240" w:lineRule="auto" w:before="4" w:after="0"/>
              <w:ind w:left="692" w:right="0" w:hanging="530"/>
              <w:jc w:val="left"/>
              <w:rPr>
                <w:sz w:val="21"/>
              </w:rPr>
            </w:pPr>
            <w:r>
              <w:rPr>
                <w:spacing w:val="-4"/>
                <w:sz w:val="21"/>
              </w:rPr>
              <w:t>肾动脉；</w:t>
            </w:r>
          </w:p>
          <w:p>
            <w:pPr>
              <w:pStyle w:val="TableParagraph"/>
              <w:numPr>
                <w:ilvl w:val="0"/>
                <w:numId w:val="93"/>
              </w:numPr>
              <w:tabs>
                <w:tab w:pos="693" w:val="left" w:leader="none"/>
              </w:tabs>
              <w:spacing w:line="244" w:lineRule="auto" w:before="2" w:after="0"/>
              <w:ind w:left="163" w:right="4783" w:firstLine="0"/>
              <w:jc w:val="left"/>
              <w:rPr>
                <w:sz w:val="21"/>
              </w:rPr>
            </w:pPr>
            <w:r>
              <w:rPr>
                <w:spacing w:val="-2"/>
                <w:sz w:val="21"/>
              </w:rPr>
              <w:t>肠系膜动脉。</w:t>
            </w:r>
            <w:r>
              <w:rPr>
                <w:spacing w:val="105"/>
                <w:sz w:val="21"/>
              </w:rPr>
              <w:t> </w:t>
            </w:r>
            <w:r>
              <w:rPr>
                <w:spacing w:val="-2"/>
                <w:sz w:val="21"/>
              </w:rPr>
              <w:t>须满足下列全部条件：</w:t>
            </w:r>
          </w:p>
          <w:p>
            <w:pPr>
              <w:pStyle w:val="TableParagraph"/>
              <w:spacing w:line="216" w:lineRule="exact"/>
              <w:ind w:left="163"/>
              <w:rPr>
                <w:sz w:val="21"/>
              </w:rPr>
            </w:pPr>
            <w:r>
              <w:rPr>
                <w:spacing w:val="-2"/>
                <w:sz w:val="21"/>
              </w:rPr>
              <w:t>（1）</w:t>
            </w:r>
            <w:r>
              <w:rPr>
                <w:spacing w:val="-11"/>
                <w:sz w:val="21"/>
              </w:rPr>
              <w:t> 经血管造影术证实一条或者一条以上的上述动脉狭窄达到 </w:t>
            </w:r>
            <w:r>
              <w:rPr>
                <w:spacing w:val="-2"/>
                <w:sz w:val="21"/>
              </w:rPr>
              <w:t>50</w:t>
            </w:r>
            <w:r>
              <w:rPr>
                <w:spacing w:val="-5"/>
                <w:sz w:val="21"/>
              </w:rPr>
              <w:t>%或者</w:t>
            </w:r>
          </w:p>
        </w:tc>
      </w:tr>
    </w:tbl>
    <w:p>
      <w:pPr>
        <w:pStyle w:val="BodyText"/>
        <w:spacing w:before="36"/>
        <w:ind w:left="3371"/>
      </w:pPr>
      <w:r>
        <w:rPr>
          <w:spacing w:val="-4"/>
        </w:rPr>
        <w:t>以上；</w:t>
      </w:r>
    </w:p>
    <w:p>
      <w:pPr>
        <w:pStyle w:val="BodyText"/>
        <w:spacing w:line="242" w:lineRule="auto" w:before="4"/>
        <w:ind w:left="3371" w:right="396" w:hanging="567"/>
      </w:pPr>
      <w:r>
        <w:rPr/>
        <w:t>（2）</w:t>
      </w:r>
      <w:r>
        <w:rPr>
          <w:spacing w:val="-9"/>
        </w:rPr>
        <w:t> 对一条或者一条以上的上述动脉施行了血管介入治疗，如血管成形</w:t>
      </w:r>
      <w:r>
        <w:rPr>
          <w:spacing w:val="-2"/>
        </w:rPr>
        <w:t>术及/或者进行植入支架或者动脉粥样瘤清除手术。</w:t>
      </w:r>
    </w:p>
    <w:p>
      <w:pPr>
        <w:pStyle w:val="BodyText"/>
        <w:spacing w:line="242" w:lineRule="auto" w:before="2"/>
        <w:ind w:left="2805" w:right="333"/>
      </w:pPr>
      <w:r>
        <w:rPr>
          <w:spacing w:val="-2"/>
        </w:rPr>
        <w:t>此诊断及治疗均须在我们认可医院内由血管疾病的专科医生认为是医疗必</w:t>
      </w:r>
      <w:r>
        <w:rPr>
          <w:spacing w:val="-2"/>
        </w:rPr>
        <w:t>须的情况下进行。</w:t>
      </w:r>
    </w:p>
    <w:p>
      <w:pPr>
        <w:pStyle w:val="BodyText"/>
        <w:spacing w:before="12"/>
        <w:rPr>
          <w:sz w:val="20"/>
        </w:rPr>
      </w:pPr>
    </w:p>
    <w:p>
      <w:pPr>
        <w:tabs>
          <w:tab w:pos="1210" w:val="left" w:leader="none"/>
          <w:tab w:pos="2804" w:val="left" w:leader="none"/>
        </w:tabs>
        <w:spacing w:line="184" w:lineRule="auto" w:before="0"/>
        <w:ind w:left="2805" w:right="221" w:hanging="2552"/>
        <w:jc w:val="left"/>
        <w:rPr>
          <w:sz w:val="21"/>
        </w:rPr>
      </w:pPr>
      <w:r>
        <w:rPr>
          <w:rFonts w:ascii="微软雅黑" w:hAnsi="微软雅黑" w:eastAsia="微软雅黑"/>
          <w:b/>
          <w:spacing w:val="-6"/>
          <w:sz w:val="21"/>
        </w:rPr>
        <w:t>26</w:t>
      </w:r>
      <w:r>
        <w:rPr>
          <w:rFonts w:ascii="微软雅黑" w:hAnsi="微软雅黑" w:eastAsia="微软雅黑"/>
          <w:b/>
          <w:sz w:val="21"/>
        </w:rPr>
        <w:tab/>
      </w:r>
      <w:r>
        <w:rPr>
          <w:rFonts w:ascii="微软雅黑" w:hAnsi="微软雅黑" w:eastAsia="微软雅黑"/>
          <w:b/>
          <w:spacing w:val="-2"/>
          <w:sz w:val="21"/>
        </w:rPr>
        <w:t>中</w:t>
      </w:r>
      <w:r>
        <w:rPr>
          <w:rFonts w:ascii="微软雅黑" w:hAnsi="微软雅黑" w:eastAsia="微软雅黑"/>
          <w:b/>
          <w:spacing w:val="-2"/>
          <w:sz w:val="21"/>
        </w:rPr>
        <w:t>度</w:t>
      </w:r>
      <w:r>
        <w:rPr>
          <w:rFonts w:ascii="微软雅黑" w:hAnsi="微软雅黑" w:eastAsia="微软雅黑"/>
          <w:b/>
          <w:spacing w:val="-2"/>
          <w:sz w:val="21"/>
        </w:rPr>
        <w:t>克</w:t>
      </w:r>
      <w:r>
        <w:rPr>
          <w:rFonts w:ascii="微软雅黑" w:hAnsi="微软雅黑" w:eastAsia="微软雅黑"/>
          <w:b/>
          <w:spacing w:val="-2"/>
          <w:sz w:val="21"/>
        </w:rPr>
        <w:t>雅</w:t>
      </w:r>
      <w:r>
        <w:rPr>
          <w:rFonts w:ascii="微软雅黑" w:hAnsi="微软雅黑" w:eastAsia="微软雅黑"/>
          <w:b/>
          <w:spacing w:val="-2"/>
          <w:sz w:val="21"/>
        </w:rPr>
        <w:t>氏</w:t>
      </w:r>
      <w:r>
        <w:rPr>
          <w:rFonts w:ascii="微软雅黑" w:hAnsi="微软雅黑" w:eastAsia="微软雅黑"/>
          <w:b/>
          <w:spacing w:val="-2"/>
          <w:sz w:val="21"/>
        </w:rPr>
        <w:t>病</w:t>
      </w:r>
      <w:r>
        <w:rPr>
          <w:rFonts w:ascii="微软雅黑" w:hAnsi="微软雅黑" w:eastAsia="微软雅黑"/>
          <w:b/>
          <w:sz w:val="21"/>
        </w:rPr>
        <w:tab/>
      </w:r>
      <w:r>
        <w:rPr>
          <w:spacing w:val="-2"/>
          <w:sz w:val="21"/>
        </w:rPr>
        <w:t>是</w:t>
      </w:r>
      <w:r>
        <w:rPr>
          <w:spacing w:val="-2"/>
          <w:sz w:val="21"/>
        </w:rPr>
        <w:t>一</w:t>
      </w:r>
      <w:r>
        <w:rPr>
          <w:spacing w:val="-2"/>
          <w:sz w:val="21"/>
        </w:rPr>
        <w:t>种传染性海绵状脑病，</w:t>
      </w:r>
      <w:r>
        <w:rPr>
          <w:spacing w:val="-2"/>
          <w:sz w:val="21"/>
        </w:rPr>
        <w:t>临</w:t>
      </w:r>
      <w:r>
        <w:rPr>
          <w:spacing w:val="-2"/>
          <w:sz w:val="21"/>
        </w:rPr>
        <w:t>床表现为快速进行性</w:t>
      </w:r>
      <w:r>
        <w:rPr>
          <w:spacing w:val="-2"/>
          <w:sz w:val="21"/>
        </w:rPr>
        <w:t>痴</w:t>
      </w:r>
      <w:r>
        <w:rPr>
          <w:spacing w:val="-2"/>
          <w:sz w:val="21"/>
        </w:rPr>
        <w:t>呆</w:t>
      </w:r>
      <w:r>
        <w:rPr>
          <w:spacing w:val="-2"/>
          <w:sz w:val="21"/>
        </w:rPr>
        <w:t>、肌阵挛和特征性</w:t>
      </w:r>
      <w:r>
        <w:rPr>
          <w:spacing w:val="-4"/>
          <w:sz w:val="21"/>
        </w:rPr>
        <w:t>脑</w:t>
      </w:r>
      <w:r>
        <w:rPr>
          <w:spacing w:val="-4"/>
          <w:sz w:val="21"/>
        </w:rPr>
        <w:t>电</w:t>
      </w:r>
      <w:r>
        <w:rPr>
          <w:spacing w:val="-4"/>
          <w:sz w:val="21"/>
        </w:rPr>
        <w:t>图变化，</w:t>
      </w:r>
      <w:r>
        <w:rPr>
          <w:rFonts w:ascii="微软雅黑" w:hAnsi="微软雅黑" w:eastAsia="微软雅黑"/>
          <w:b/>
          <w:spacing w:val="-4"/>
          <w:sz w:val="21"/>
        </w:rPr>
        <w:t>但</w:t>
      </w:r>
      <w:r>
        <w:rPr>
          <w:rFonts w:ascii="微软雅黑" w:hAnsi="微软雅黑" w:eastAsia="微软雅黑"/>
          <w:b/>
          <w:spacing w:val="-4"/>
          <w:sz w:val="21"/>
        </w:rPr>
        <w:t>未</w:t>
      </w:r>
      <w:r>
        <w:rPr>
          <w:rFonts w:ascii="微软雅黑" w:hAnsi="微软雅黑" w:eastAsia="微软雅黑"/>
          <w:b/>
          <w:spacing w:val="-4"/>
          <w:sz w:val="21"/>
        </w:rPr>
        <w:t>达</w:t>
      </w:r>
      <w:r>
        <w:rPr>
          <w:rFonts w:ascii="微软雅黑" w:hAnsi="微软雅黑" w:eastAsia="微软雅黑"/>
          <w:b/>
          <w:spacing w:val="-4"/>
          <w:sz w:val="21"/>
        </w:rPr>
        <w:t>到</w:t>
      </w:r>
      <w:r>
        <w:rPr>
          <w:rFonts w:ascii="微软雅黑" w:hAnsi="微软雅黑" w:eastAsia="微软雅黑"/>
          <w:b/>
          <w:spacing w:val="-4"/>
          <w:sz w:val="21"/>
        </w:rPr>
        <w:t>本</w:t>
      </w:r>
      <w:r>
        <w:rPr>
          <w:rFonts w:ascii="微软雅黑" w:hAnsi="微软雅黑" w:eastAsia="微软雅黑"/>
          <w:b/>
          <w:spacing w:val="-4"/>
          <w:sz w:val="21"/>
        </w:rPr>
        <w:t>合</w:t>
      </w:r>
      <w:r>
        <w:rPr>
          <w:rFonts w:ascii="微软雅黑" w:hAnsi="微软雅黑" w:eastAsia="微软雅黑"/>
          <w:b/>
          <w:spacing w:val="-4"/>
          <w:sz w:val="21"/>
        </w:rPr>
        <w:t>同</w:t>
      </w:r>
      <w:r>
        <w:rPr>
          <w:rFonts w:ascii="微软雅黑" w:hAnsi="微软雅黑" w:eastAsia="微软雅黑"/>
          <w:b/>
          <w:spacing w:val="-4"/>
          <w:sz w:val="21"/>
        </w:rPr>
        <w:t>所</w:t>
      </w:r>
      <w:r>
        <w:rPr>
          <w:rFonts w:ascii="微软雅黑" w:hAnsi="微软雅黑" w:eastAsia="微软雅黑"/>
          <w:b/>
          <w:spacing w:val="-4"/>
          <w:sz w:val="21"/>
        </w:rPr>
        <w:t>指</w:t>
      </w:r>
      <w:r>
        <w:rPr>
          <w:rFonts w:ascii="微软雅黑" w:hAnsi="微软雅黑" w:eastAsia="微软雅黑"/>
          <w:b/>
          <w:spacing w:val="-4"/>
          <w:sz w:val="21"/>
        </w:rPr>
        <w:t>重</w:t>
      </w:r>
      <w:r>
        <w:rPr>
          <w:rFonts w:ascii="微软雅黑" w:hAnsi="微软雅黑" w:eastAsia="微软雅黑"/>
          <w:b/>
          <w:spacing w:val="-4"/>
          <w:sz w:val="21"/>
        </w:rPr>
        <w:t>大</w:t>
      </w:r>
      <w:r>
        <w:rPr>
          <w:rFonts w:ascii="微软雅黑" w:hAnsi="微软雅黑" w:eastAsia="微软雅黑"/>
          <w:b/>
          <w:spacing w:val="-4"/>
          <w:sz w:val="21"/>
        </w:rPr>
        <w:t>疾</w:t>
      </w:r>
      <w:r>
        <w:rPr>
          <w:rFonts w:ascii="微软雅黑" w:hAnsi="微软雅黑" w:eastAsia="微软雅黑"/>
          <w:b/>
          <w:spacing w:val="-4"/>
          <w:sz w:val="21"/>
        </w:rPr>
        <w:t>病“</w:t>
      </w:r>
      <w:r>
        <w:rPr>
          <w:rFonts w:ascii="微软雅黑" w:hAnsi="微软雅黑" w:eastAsia="微软雅黑"/>
          <w:b/>
          <w:spacing w:val="-4"/>
          <w:sz w:val="21"/>
        </w:rPr>
        <w:t>严</w:t>
      </w:r>
      <w:r>
        <w:rPr>
          <w:rFonts w:ascii="微软雅黑" w:hAnsi="微软雅黑" w:eastAsia="微软雅黑"/>
          <w:b/>
          <w:spacing w:val="-4"/>
          <w:sz w:val="21"/>
        </w:rPr>
        <w:t>重</w:t>
      </w:r>
      <w:r>
        <w:rPr>
          <w:rFonts w:ascii="微软雅黑" w:hAnsi="微软雅黑" w:eastAsia="微软雅黑"/>
          <w:b/>
          <w:spacing w:val="-4"/>
          <w:sz w:val="21"/>
        </w:rPr>
        <w:t>克</w:t>
      </w:r>
      <w:r>
        <w:rPr>
          <w:rFonts w:ascii="微软雅黑" w:hAnsi="微软雅黑" w:eastAsia="微软雅黑"/>
          <w:b/>
          <w:spacing w:val="-4"/>
          <w:sz w:val="21"/>
        </w:rPr>
        <w:t>雅</w:t>
      </w:r>
      <w:r>
        <w:rPr>
          <w:rFonts w:ascii="微软雅黑" w:hAnsi="微软雅黑" w:eastAsia="微软雅黑"/>
          <w:b/>
          <w:spacing w:val="-4"/>
          <w:sz w:val="21"/>
        </w:rPr>
        <w:t>氏</w:t>
      </w:r>
      <w:r>
        <w:rPr>
          <w:rFonts w:ascii="微软雅黑" w:hAnsi="微软雅黑" w:eastAsia="微软雅黑"/>
          <w:b/>
          <w:spacing w:val="-4"/>
          <w:sz w:val="21"/>
        </w:rPr>
        <w:t>病</w:t>
      </w:r>
      <w:r>
        <w:rPr>
          <w:rFonts w:ascii="微软雅黑" w:hAnsi="微软雅黑" w:eastAsia="微软雅黑"/>
          <w:b/>
          <w:spacing w:val="-4"/>
          <w:sz w:val="21"/>
        </w:rPr>
        <w:t>”</w:t>
      </w:r>
      <w:r>
        <w:rPr>
          <w:rFonts w:ascii="微软雅黑" w:hAnsi="微软雅黑" w:eastAsia="微软雅黑"/>
          <w:b/>
          <w:spacing w:val="-4"/>
          <w:sz w:val="21"/>
        </w:rPr>
        <w:t>的</w:t>
      </w:r>
      <w:r>
        <w:rPr>
          <w:rFonts w:ascii="微软雅黑" w:hAnsi="微软雅黑" w:eastAsia="微软雅黑"/>
          <w:b/>
          <w:spacing w:val="-4"/>
          <w:sz w:val="21"/>
        </w:rPr>
        <w:t>给</w:t>
      </w:r>
      <w:r>
        <w:rPr>
          <w:rFonts w:ascii="微软雅黑" w:hAnsi="微软雅黑" w:eastAsia="微软雅黑"/>
          <w:b/>
          <w:spacing w:val="-4"/>
          <w:sz w:val="21"/>
        </w:rPr>
        <w:t>付</w:t>
      </w:r>
      <w:r>
        <w:rPr>
          <w:rFonts w:ascii="微软雅黑" w:hAnsi="微软雅黑" w:eastAsia="微软雅黑"/>
          <w:b/>
          <w:spacing w:val="-4"/>
          <w:sz w:val="21"/>
        </w:rPr>
        <w:t>标</w:t>
      </w:r>
      <w:r>
        <w:rPr>
          <w:rFonts w:ascii="微软雅黑" w:hAnsi="微软雅黑" w:eastAsia="微软雅黑"/>
          <w:b/>
          <w:spacing w:val="-4"/>
          <w:sz w:val="21"/>
        </w:rPr>
        <w:t>准</w:t>
      </w:r>
      <w:r>
        <w:rPr>
          <w:rFonts w:ascii="微软雅黑" w:hAnsi="微软雅黑" w:eastAsia="微软雅黑"/>
          <w:b/>
          <w:spacing w:val="-4"/>
          <w:sz w:val="21"/>
        </w:rPr>
        <w:t>。</w:t>
      </w:r>
      <w:r>
        <w:rPr>
          <w:spacing w:val="-2"/>
          <w:sz w:val="21"/>
        </w:rPr>
        <w:t>须</w:t>
      </w:r>
      <w:r>
        <w:rPr>
          <w:spacing w:val="-2"/>
          <w:sz w:val="21"/>
        </w:rPr>
        <w:t>由</w:t>
      </w:r>
      <w:r>
        <w:rPr>
          <w:spacing w:val="-2"/>
          <w:sz w:val="21"/>
        </w:rPr>
        <w:t>我们认可医院的专科</w:t>
      </w:r>
      <w:r>
        <w:rPr>
          <w:spacing w:val="-2"/>
          <w:sz w:val="21"/>
        </w:rPr>
        <w:t>医</w:t>
      </w:r>
      <w:r>
        <w:rPr>
          <w:spacing w:val="-2"/>
          <w:sz w:val="21"/>
        </w:rPr>
        <w:t>生</w:t>
      </w:r>
      <w:r>
        <w:rPr>
          <w:spacing w:val="-2"/>
          <w:sz w:val="21"/>
        </w:rPr>
        <w:t>根据WHO诊断标准明确</w:t>
      </w:r>
      <w:r>
        <w:rPr>
          <w:spacing w:val="-2"/>
          <w:sz w:val="21"/>
        </w:rPr>
        <w:t>诊</w:t>
      </w:r>
      <w:r>
        <w:rPr>
          <w:spacing w:val="-2"/>
          <w:sz w:val="21"/>
        </w:rPr>
        <w:t>断</w:t>
      </w:r>
      <w:r>
        <w:rPr>
          <w:spacing w:val="-99"/>
          <w:sz w:val="21"/>
        </w:rPr>
        <w:t>，</w:t>
      </w:r>
      <w:r>
        <w:rPr>
          <w:spacing w:val="-2"/>
          <w:sz w:val="21"/>
        </w:rPr>
        <w:t>并且自主生活能</w:t>
      </w:r>
    </w:p>
    <w:p>
      <w:pPr>
        <w:pStyle w:val="BodyText"/>
        <w:spacing w:before="19"/>
        <w:ind w:left="2805"/>
      </w:pPr>
      <w:r>
        <w:rPr>
          <w:spacing w:val="-3"/>
        </w:rPr>
        <w:t>力部分丧失，无法独立完成六项基本日常生活活动中的两项。</w:t>
      </w:r>
    </w:p>
    <w:p>
      <w:pPr>
        <w:spacing w:after="0"/>
        <w:sectPr>
          <w:pgSz w:w="11910" w:h="16840"/>
          <w:pgMar w:header="877" w:footer="0" w:top="1100" w:bottom="280" w:left="1060" w:right="980"/>
        </w:sectPr>
      </w:pPr>
    </w:p>
    <w:p>
      <w:pPr>
        <w:pStyle w:val="BodyText"/>
        <w:spacing w:before="11"/>
        <w:rPr>
          <w:sz w:val="29"/>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6"/>
        <w:gridCol w:w="1593"/>
        <w:gridCol w:w="427"/>
        <w:gridCol w:w="3139"/>
        <w:gridCol w:w="407"/>
        <w:gridCol w:w="3081"/>
      </w:tblGrid>
      <w:tr>
        <w:trPr>
          <w:trHeight w:val="1741" w:hRule="atLeast"/>
        </w:trPr>
        <w:tc>
          <w:tcPr>
            <w:tcW w:w="846" w:type="dxa"/>
          </w:tcPr>
          <w:p>
            <w:pPr>
              <w:pStyle w:val="TableParagraph"/>
              <w:spacing w:line="291" w:lineRule="exact"/>
              <w:ind w:left="50"/>
              <w:rPr>
                <w:rFonts w:ascii="微软雅黑"/>
                <w:b/>
                <w:sz w:val="21"/>
              </w:rPr>
            </w:pPr>
            <w:r>
              <w:rPr>
                <w:rFonts w:ascii="微软雅黑"/>
                <w:b/>
                <w:spacing w:val="-5"/>
                <w:w w:val="90"/>
                <w:sz w:val="21"/>
              </w:rPr>
              <w:t>27</w:t>
            </w:r>
          </w:p>
        </w:tc>
        <w:tc>
          <w:tcPr>
            <w:tcW w:w="1593" w:type="dxa"/>
          </w:tcPr>
          <w:p>
            <w:pPr>
              <w:pStyle w:val="TableParagraph"/>
              <w:spacing w:line="291" w:lineRule="exact"/>
              <w:ind w:left="161"/>
              <w:rPr>
                <w:rFonts w:ascii="微软雅黑" w:eastAsia="微软雅黑"/>
                <w:b/>
                <w:sz w:val="21"/>
              </w:rPr>
            </w:pPr>
            <w:r>
              <w:rPr>
                <w:rFonts w:ascii="微软雅黑" w:eastAsia="微软雅黑"/>
                <w:b/>
                <w:spacing w:val="-3"/>
                <w:sz w:val="21"/>
              </w:rPr>
              <w:t>中度瘫痪</w:t>
            </w:r>
          </w:p>
        </w:tc>
        <w:tc>
          <w:tcPr>
            <w:tcW w:w="7054" w:type="dxa"/>
            <w:gridSpan w:val="4"/>
          </w:tcPr>
          <w:p>
            <w:pPr>
              <w:pStyle w:val="TableParagraph"/>
              <w:spacing w:line="241" w:lineRule="exact"/>
              <w:ind w:left="162"/>
              <w:rPr>
                <w:sz w:val="21"/>
              </w:rPr>
            </w:pPr>
            <w:r>
              <w:rPr>
                <w:spacing w:val="-3"/>
                <w:sz w:val="21"/>
              </w:rPr>
              <w:t>指因疾病或者意外伤害导致一肢肢体机能永久完全丧失。肢体机能永久完</w:t>
            </w:r>
          </w:p>
          <w:p>
            <w:pPr>
              <w:pStyle w:val="TableParagraph"/>
              <w:spacing w:line="242" w:lineRule="auto" w:before="4"/>
              <w:ind w:left="162" w:right="163"/>
              <w:jc w:val="both"/>
              <w:rPr>
                <w:sz w:val="21"/>
              </w:rPr>
            </w:pPr>
            <w:r>
              <w:rPr>
                <w:spacing w:val="-2"/>
                <w:sz w:val="21"/>
              </w:rPr>
              <w:t>全丧失，指疾病确诊180天后或意外伤害发生180天后，该肢三大关节中的</w:t>
            </w:r>
            <w:r>
              <w:rPr>
                <w:spacing w:val="-2"/>
                <w:sz w:val="21"/>
              </w:rPr>
              <w:t>两大关节仍然完全僵硬，或不能随意识活动。肢体是指包括肩关节的整个</w:t>
            </w:r>
            <w:r>
              <w:rPr>
                <w:spacing w:val="-2"/>
                <w:sz w:val="21"/>
              </w:rPr>
              <w:t>上肢或包括髋关节的整个下肢。</w:t>
            </w:r>
          </w:p>
          <w:p>
            <w:pPr>
              <w:pStyle w:val="TableParagraph"/>
              <w:spacing w:line="170" w:lineRule="auto" w:before="14"/>
              <w:ind w:left="162" w:right="157"/>
              <w:rPr>
                <w:rFonts w:ascii="微软雅黑" w:eastAsia="微软雅黑"/>
                <w:b/>
                <w:sz w:val="21"/>
              </w:rPr>
            </w:pPr>
            <w:r>
              <w:rPr>
                <w:rFonts w:ascii="微软雅黑" w:eastAsia="微软雅黑"/>
                <w:b/>
                <w:spacing w:val="-2"/>
                <w:sz w:val="21"/>
              </w:rPr>
              <w:t>自我伤害，病毒感染后的临时瘫痪或由于心理疾病造成的机能丧失不在保</w:t>
            </w:r>
            <w:r>
              <w:rPr>
                <w:rFonts w:ascii="微软雅黑" w:eastAsia="微软雅黑"/>
                <w:b/>
                <w:spacing w:val="-2"/>
                <w:sz w:val="21"/>
              </w:rPr>
              <w:t>障范围内。</w:t>
            </w:r>
          </w:p>
        </w:tc>
      </w:tr>
      <w:tr>
        <w:trPr>
          <w:trHeight w:val="1906" w:hRule="atLeast"/>
        </w:trPr>
        <w:tc>
          <w:tcPr>
            <w:tcW w:w="846" w:type="dxa"/>
          </w:tcPr>
          <w:p>
            <w:pPr>
              <w:pStyle w:val="TableParagraph"/>
              <w:spacing w:before="71"/>
              <w:ind w:left="50"/>
              <w:rPr>
                <w:rFonts w:ascii="微软雅黑"/>
                <w:b/>
                <w:sz w:val="21"/>
              </w:rPr>
            </w:pPr>
            <w:r>
              <w:rPr>
                <w:rFonts w:ascii="微软雅黑"/>
                <w:b/>
                <w:spacing w:val="-5"/>
                <w:w w:val="90"/>
                <w:sz w:val="21"/>
              </w:rPr>
              <w:t>28</w:t>
            </w:r>
          </w:p>
        </w:tc>
        <w:tc>
          <w:tcPr>
            <w:tcW w:w="1593" w:type="dxa"/>
          </w:tcPr>
          <w:p>
            <w:pPr>
              <w:pStyle w:val="TableParagraph"/>
              <w:spacing w:before="71"/>
              <w:ind w:left="161"/>
              <w:rPr>
                <w:rFonts w:ascii="微软雅黑" w:eastAsia="微软雅黑"/>
                <w:b/>
                <w:sz w:val="21"/>
              </w:rPr>
            </w:pPr>
            <w:r>
              <w:rPr>
                <w:rFonts w:ascii="微软雅黑" w:eastAsia="微软雅黑"/>
                <w:b/>
                <w:spacing w:val="-2"/>
                <w:sz w:val="21"/>
              </w:rPr>
              <w:t>中度面部烧伤</w:t>
            </w:r>
          </w:p>
        </w:tc>
        <w:tc>
          <w:tcPr>
            <w:tcW w:w="7054" w:type="dxa"/>
            <w:gridSpan w:val="4"/>
          </w:tcPr>
          <w:p>
            <w:pPr>
              <w:pStyle w:val="TableParagraph"/>
              <w:spacing w:line="199" w:lineRule="auto" w:before="174"/>
              <w:ind w:left="162" w:right="153"/>
              <w:jc w:val="both"/>
              <w:rPr>
                <w:sz w:val="21"/>
              </w:rPr>
            </w:pPr>
            <w:r>
              <w:rPr>
                <w:spacing w:val="-11"/>
                <w:sz w:val="21"/>
              </w:rPr>
              <w:t>指面部烧伤程度为Ⅲ度，且面部Ⅲ度烧伤的面积达到面部表面积的</w:t>
            </w:r>
            <w:r>
              <w:rPr>
                <w:spacing w:val="-2"/>
                <w:sz w:val="21"/>
              </w:rPr>
              <w:t>60%及以</w:t>
            </w:r>
            <w:r>
              <w:rPr>
                <w:spacing w:val="-2"/>
                <w:sz w:val="21"/>
              </w:rPr>
              <w:t>上，</w:t>
            </w:r>
            <w:r>
              <w:rPr>
                <w:rFonts w:ascii="微软雅黑" w:hAnsi="微软雅黑" w:eastAsia="微软雅黑"/>
                <w:b/>
                <w:spacing w:val="-2"/>
                <w:sz w:val="21"/>
              </w:rPr>
              <w:t>但未达到本合同所指重大疾病“严重面部烧伤”的给付标准。</w:t>
            </w:r>
            <w:r>
              <w:rPr>
                <w:spacing w:val="-2"/>
                <w:sz w:val="21"/>
              </w:rPr>
              <w:t>面部的</w:t>
            </w:r>
            <w:r>
              <w:rPr>
                <w:spacing w:val="-3"/>
                <w:sz w:val="21"/>
              </w:rPr>
              <w:t>范围指上至发际、下至下颌下缘、两侧至下颌支后缘之间的区域，包括额</w:t>
            </w:r>
          </w:p>
          <w:p>
            <w:pPr>
              <w:pStyle w:val="TableParagraph"/>
              <w:spacing w:line="238" w:lineRule="exact" w:before="12"/>
              <w:ind w:left="162"/>
              <w:rPr>
                <w:sz w:val="21"/>
              </w:rPr>
            </w:pPr>
            <w:r>
              <w:rPr>
                <w:spacing w:val="-3"/>
                <w:sz w:val="21"/>
              </w:rPr>
              <w:t>部、眼部、眶部、鼻部、口唇部、颏部、颧部、颊部和腮腺咬肌部。</w:t>
            </w:r>
          </w:p>
          <w:p>
            <w:pPr>
              <w:pStyle w:val="TableParagraph"/>
              <w:spacing w:line="168" w:lineRule="auto" w:before="52"/>
              <w:ind w:left="162" w:right="140"/>
              <w:rPr>
                <w:rFonts w:ascii="微软雅黑" w:hAnsi="微软雅黑" w:eastAsia="微软雅黑"/>
                <w:b/>
                <w:sz w:val="21"/>
              </w:rPr>
            </w:pPr>
            <w:r>
              <w:rPr>
                <w:rFonts w:ascii="微软雅黑" w:hAnsi="微软雅黑" w:eastAsia="微软雅黑"/>
                <w:b/>
                <w:spacing w:val="-2"/>
                <w:sz w:val="21"/>
              </w:rPr>
              <w:t>我们对“中度面积Ⅲ度烧伤”、“中度面部烧伤”两项中的其中一项承担</w:t>
            </w:r>
            <w:r>
              <w:rPr>
                <w:rFonts w:ascii="微软雅黑" w:hAnsi="微软雅黑" w:eastAsia="微软雅黑"/>
                <w:b/>
                <w:spacing w:val="-3"/>
                <w:sz w:val="21"/>
              </w:rPr>
              <w:t>保险责任，给付其中一项保险金后，对另外一项疾病保险责任同时终止。</w:t>
            </w:r>
          </w:p>
        </w:tc>
      </w:tr>
      <w:tr>
        <w:trPr>
          <w:trHeight w:val="1196" w:hRule="atLeast"/>
        </w:trPr>
        <w:tc>
          <w:tcPr>
            <w:tcW w:w="846" w:type="dxa"/>
          </w:tcPr>
          <w:p>
            <w:pPr>
              <w:pStyle w:val="TableParagraph"/>
              <w:spacing w:before="71"/>
              <w:ind w:left="50"/>
              <w:rPr>
                <w:rFonts w:ascii="微软雅黑" w:eastAsia="微软雅黑"/>
                <w:b/>
                <w:sz w:val="21"/>
              </w:rPr>
            </w:pPr>
            <w:r>
              <w:rPr>
                <w:rFonts w:ascii="微软雅黑" w:eastAsia="微软雅黑"/>
                <w:b/>
                <w:spacing w:val="-4"/>
                <w:sz w:val="21"/>
              </w:rPr>
              <w:t>附表三</w:t>
            </w:r>
          </w:p>
        </w:tc>
        <w:tc>
          <w:tcPr>
            <w:tcW w:w="1593" w:type="dxa"/>
          </w:tcPr>
          <w:p>
            <w:pPr>
              <w:pStyle w:val="TableParagraph"/>
              <w:spacing w:before="71"/>
              <w:ind w:left="161"/>
              <w:rPr>
                <w:rFonts w:ascii="微软雅黑" w:eastAsia="微软雅黑"/>
                <w:b/>
                <w:sz w:val="21"/>
              </w:rPr>
            </w:pPr>
            <w:r>
              <w:rPr>
                <w:rFonts w:ascii="微软雅黑" w:eastAsia="微软雅黑"/>
                <w:b/>
                <w:spacing w:val="-3"/>
                <w:sz w:val="21"/>
              </w:rPr>
              <w:t>轻症疾病</w:t>
            </w:r>
          </w:p>
        </w:tc>
        <w:tc>
          <w:tcPr>
            <w:tcW w:w="7054" w:type="dxa"/>
            <w:gridSpan w:val="4"/>
          </w:tcPr>
          <w:p>
            <w:pPr>
              <w:pStyle w:val="TableParagraph"/>
              <w:spacing w:line="242" w:lineRule="auto" w:before="138"/>
              <w:ind w:left="162" w:right="50"/>
              <w:jc w:val="both"/>
              <w:rPr>
                <w:sz w:val="21"/>
              </w:rPr>
            </w:pPr>
            <w:r>
              <w:rPr>
                <w:spacing w:val="-2"/>
                <w:sz w:val="21"/>
              </w:rPr>
              <w:t>本合同约定的轻症疾病共50种，其中第1至3种轻症疾病为中国保险行业协</w:t>
            </w:r>
            <w:r>
              <w:rPr>
                <w:spacing w:val="-2"/>
                <w:sz w:val="21"/>
              </w:rPr>
              <w:t>会制定的“规范”规定的轻症疾病，第4至50种轻症疾病为“规范”规定范</w:t>
            </w:r>
            <w:r>
              <w:rPr>
                <w:spacing w:val="-12"/>
                <w:sz w:val="21"/>
              </w:rPr>
              <w:t>围之外的轻症疾病。被保险人发生符合以下轻症疾病定义所述条件的疾病，</w:t>
            </w:r>
          </w:p>
          <w:p>
            <w:pPr>
              <w:pStyle w:val="TableParagraph"/>
              <w:spacing w:line="220" w:lineRule="exact" w:before="3"/>
              <w:ind w:left="162"/>
              <w:rPr>
                <w:sz w:val="21"/>
              </w:rPr>
            </w:pPr>
            <w:r>
              <w:rPr>
                <w:spacing w:val="-11"/>
                <w:sz w:val="21"/>
              </w:rPr>
              <w:t>应当由专科医生明确诊断。轻症疾病的疾病种类和疾病定义具体如下所示：</w:t>
            </w:r>
          </w:p>
        </w:tc>
      </w:tr>
      <w:tr>
        <w:trPr>
          <w:trHeight w:val="574" w:hRule="atLeast"/>
        </w:trPr>
        <w:tc>
          <w:tcPr>
            <w:tcW w:w="6005" w:type="dxa"/>
            <w:gridSpan w:val="4"/>
          </w:tcPr>
          <w:p>
            <w:pPr>
              <w:pStyle w:val="TableParagraph"/>
              <w:spacing w:before="10"/>
              <w:rPr>
                <w:sz w:val="23"/>
              </w:rPr>
            </w:pPr>
          </w:p>
          <w:p>
            <w:pPr>
              <w:pStyle w:val="TableParagraph"/>
              <w:spacing w:line="250" w:lineRule="exact"/>
              <w:ind w:left="2601"/>
              <w:rPr>
                <w:sz w:val="21"/>
              </w:rPr>
            </w:pPr>
            <w:r>
              <w:rPr>
                <w:sz w:val="21"/>
              </w:rPr>
              <w:t>1</w:t>
            </w:r>
            <w:r>
              <w:rPr>
                <w:spacing w:val="-4"/>
                <w:sz w:val="21"/>
              </w:rPr>
              <w:t> 恶性肿瘤——轻度</w:t>
            </w:r>
          </w:p>
        </w:tc>
        <w:tc>
          <w:tcPr>
            <w:tcW w:w="407" w:type="dxa"/>
          </w:tcPr>
          <w:p>
            <w:pPr>
              <w:pStyle w:val="TableParagraph"/>
              <w:spacing w:before="10"/>
              <w:rPr>
                <w:sz w:val="23"/>
              </w:rPr>
            </w:pPr>
          </w:p>
          <w:p>
            <w:pPr>
              <w:pStyle w:val="TableParagraph"/>
              <w:spacing w:line="250" w:lineRule="exact"/>
              <w:ind w:right="51"/>
              <w:jc w:val="right"/>
              <w:rPr>
                <w:sz w:val="21"/>
              </w:rPr>
            </w:pPr>
            <w:r>
              <w:rPr>
                <w:spacing w:val="-5"/>
                <w:sz w:val="21"/>
              </w:rPr>
              <w:t>26</w:t>
            </w:r>
          </w:p>
        </w:tc>
        <w:tc>
          <w:tcPr>
            <w:tcW w:w="3081" w:type="dxa"/>
          </w:tcPr>
          <w:p>
            <w:pPr>
              <w:pStyle w:val="TableParagraph"/>
              <w:spacing w:before="10"/>
              <w:rPr>
                <w:sz w:val="23"/>
              </w:rPr>
            </w:pPr>
          </w:p>
          <w:p>
            <w:pPr>
              <w:pStyle w:val="TableParagraph"/>
              <w:spacing w:line="250" w:lineRule="exact"/>
              <w:ind w:left="51"/>
              <w:rPr>
                <w:sz w:val="21"/>
              </w:rPr>
            </w:pPr>
            <w:r>
              <w:rPr>
                <w:spacing w:val="-4"/>
                <w:sz w:val="21"/>
              </w:rPr>
              <w:t>植入心脏起搏器</w:t>
            </w:r>
          </w:p>
        </w:tc>
      </w:tr>
      <w:tr>
        <w:trPr>
          <w:trHeight w:val="271" w:hRule="atLeast"/>
        </w:trPr>
        <w:tc>
          <w:tcPr>
            <w:tcW w:w="6005" w:type="dxa"/>
            <w:gridSpan w:val="4"/>
          </w:tcPr>
          <w:p>
            <w:pPr>
              <w:pStyle w:val="TableParagraph"/>
              <w:spacing w:line="250" w:lineRule="exact" w:before="1"/>
              <w:ind w:left="2601"/>
              <w:rPr>
                <w:sz w:val="21"/>
              </w:rPr>
            </w:pPr>
            <w:r>
              <w:rPr>
                <w:sz w:val="21"/>
              </w:rPr>
              <w:t>2</w:t>
            </w:r>
            <w:r>
              <w:rPr>
                <w:spacing w:val="-4"/>
                <w:sz w:val="21"/>
              </w:rPr>
              <w:t> 较轻急性心肌梗死</w:t>
            </w:r>
          </w:p>
        </w:tc>
        <w:tc>
          <w:tcPr>
            <w:tcW w:w="407" w:type="dxa"/>
          </w:tcPr>
          <w:p>
            <w:pPr>
              <w:pStyle w:val="TableParagraph"/>
              <w:spacing w:line="250" w:lineRule="exact" w:before="1"/>
              <w:ind w:right="51"/>
              <w:jc w:val="right"/>
              <w:rPr>
                <w:sz w:val="21"/>
              </w:rPr>
            </w:pPr>
            <w:r>
              <w:rPr>
                <w:spacing w:val="-5"/>
                <w:sz w:val="21"/>
              </w:rPr>
              <w:t>27</w:t>
            </w:r>
          </w:p>
        </w:tc>
        <w:tc>
          <w:tcPr>
            <w:tcW w:w="3081" w:type="dxa"/>
          </w:tcPr>
          <w:p>
            <w:pPr>
              <w:pStyle w:val="TableParagraph"/>
              <w:spacing w:line="250" w:lineRule="exact" w:before="1"/>
              <w:ind w:left="51"/>
              <w:rPr>
                <w:sz w:val="21"/>
              </w:rPr>
            </w:pPr>
            <w:r>
              <w:rPr>
                <w:spacing w:val="-3"/>
                <w:sz w:val="21"/>
              </w:rPr>
              <w:t>肺泡蛋白沉积症肺灌流治疗</w:t>
            </w:r>
          </w:p>
        </w:tc>
      </w:tr>
      <w:tr>
        <w:trPr>
          <w:trHeight w:val="272" w:hRule="atLeast"/>
        </w:trPr>
        <w:tc>
          <w:tcPr>
            <w:tcW w:w="6005" w:type="dxa"/>
            <w:gridSpan w:val="4"/>
          </w:tcPr>
          <w:p>
            <w:pPr>
              <w:pStyle w:val="TableParagraph"/>
              <w:spacing w:line="251" w:lineRule="exact" w:before="1"/>
              <w:ind w:left="2601"/>
              <w:rPr>
                <w:sz w:val="21"/>
              </w:rPr>
            </w:pPr>
            <w:r>
              <w:rPr>
                <w:sz w:val="21"/>
              </w:rPr>
              <w:t>3</w:t>
            </w:r>
            <w:r>
              <w:rPr>
                <w:spacing w:val="-4"/>
                <w:sz w:val="21"/>
              </w:rPr>
              <w:t> 轻度脑中风后遗症</w:t>
            </w:r>
          </w:p>
        </w:tc>
        <w:tc>
          <w:tcPr>
            <w:tcW w:w="407" w:type="dxa"/>
          </w:tcPr>
          <w:p>
            <w:pPr>
              <w:pStyle w:val="TableParagraph"/>
              <w:spacing w:line="251" w:lineRule="exact" w:before="1"/>
              <w:ind w:right="51"/>
              <w:jc w:val="right"/>
              <w:rPr>
                <w:sz w:val="21"/>
              </w:rPr>
            </w:pPr>
            <w:r>
              <w:rPr>
                <w:spacing w:val="-5"/>
                <w:sz w:val="21"/>
              </w:rPr>
              <w:t>28</w:t>
            </w:r>
          </w:p>
        </w:tc>
        <w:tc>
          <w:tcPr>
            <w:tcW w:w="3081" w:type="dxa"/>
          </w:tcPr>
          <w:p>
            <w:pPr>
              <w:pStyle w:val="TableParagraph"/>
              <w:spacing w:line="251" w:lineRule="exact" w:before="1"/>
              <w:ind w:left="51"/>
              <w:rPr>
                <w:sz w:val="21"/>
              </w:rPr>
            </w:pPr>
            <w:r>
              <w:rPr>
                <w:spacing w:val="-3"/>
                <w:sz w:val="21"/>
              </w:rPr>
              <w:t>可逆性再生障碍性贫血</w:t>
            </w:r>
          </w:p>
        </w:tc>
      </w:tr>
      <w:tr>
        <w:trPr>
          <w:trHeight w:val="817" w:hRule="atLeast"/>
        </w:trPr>
        <w:tc>
          <w:tcPr>
            <w:tcW w:w="6005" w:type="dxa"/>
            <w:gridSpan w:val="4"/>
          </w:tcPr>
          <w:p>
            <w:pPr>
              <w:pStyle w:val="TableParagraph"/>
              <w:numPr>
                <w:ilvl w:val="0"/>
                <w:numId w:val="94"/>
              </w:numPr>
              <w:tabs>
                <w:tab w:pos="2813" w:val="left" w:leader="none"/>
              </w:tabs>
              <w:spacing w:line="240" w:lineRule="auto" w:before="2" w:after="0"/>
              <w:ind w:left="2812" w:right="0" w:hanging="212"/>
              <w:jc w:val="left"/>
              <w:rPr>
                <w:sz w:val="21"/>
              </w:rPr>
            </w:pPr>
            <w:r>
              <w:rPr>
                <w:spacing w:val="-5"/>
                <w:sz w:val="21"/>
              </w:rPr>
              <w:t>原位癌</w:t>
            </w:r>
          </w:p>
          <w:p>
            <w:pPr>
              <w:pStyle w:val="TableParagraph"/>
              <w:spacing w:before="7"/>
              <w:rPr>
                <w:sz w:val="21"/>
              </w:rPr>
            </w:pPr>
          </w:p>
          <w:p>
            <w:pPr>
              <w:pStyle w:val="TableParagraph"/>
              <w:numPr>
                <w:ilvl w:val="0"/>
                <w:numId w:val="94"/>
              </w:numPr>
              <w:tabs>
                <w:tab w:pos="2813" w:val="left" w:leader="none"/>
              </w:tabs>
              <w:spacing w:line="250" w:lineRule="exact" w:before="0" w:after="0"/>
              <w:ind w:left="2812" w:right="0" w:hanging="212"/>
              <w:jc w:val="left"/>
              <w:rPr>
                <w:sz w:val="21"/>
              </w:rPr>
            </w:pPr>
            <w:r>
              <w:rPr>
                <w:spacing w:val="-4"/>
                <w:sz w:val="21"/>
              </w:rPr>
              <w:t>冠状动脉介入手术</w:t>
            </w:r>
          </w:p>
        </w:tc>
        <w:tc>
          <w:tcPr>
            <w:tcW w:w="407" w:type="dxa"/>
          </w:tcPr>
          <w:p>
            <w:pPr>
              <w:pStyle w:val="TableParagraph"/>
              <w:spacing w:before="2"/>
              <w:ind w:left="141"/>
              <w:rPr>
                <w:sz w:val="21"/>
              </w:rPr>
            </w:pPr>
            <w:r>
              <w:rPr>
                <w:spacing w:val="-5"/>
                <w:sz w:val="21"/>
              </w:rPr>
              <w:t>29</w:t>
            </w:r>
          </w:p>
          <w:p>
            <w:pPr>
              <w:pStyle w:val="TableParagraph"/>
              <w:spacing w:before="7"/>
              <w:rPr>
                <w:sz w:val="21"/>
              </w:rPr>
            </w:pPr>
          </w:p>
          <w:p>
            <w:pPr>
              <w:pStyle w:val="TableParagraph"/>
              <w:spacing w:line="250" w:lineRule="exact"/>
              <w:ind w:left="141"/>
              <w:rPr>
                <w:sz w:val="21"/>
              </w:rPr>
            </w:pPr>
            <w:r>
              <w:rPr>
                <w:spacing w:val="-5"/>
                <w:sz w:val="21"/>
              </w:rPr>
              <w:t>30</w:t>
            </w:r>
          </w:p>
        </w:tc>
        <w:tc>
          <w:tcPr>
            <w:tcW w:w="3081" w:type="dxa"/>
          </w:tcPr>
          <w:p>
            <w:pPr>
              <w:pStyle w:val="TableParagraph"/>
              <w:spacing w:line="242" w:lineRule="auto" w:before="2"/>
              <w:ind w:left="49" w:right="295" w:firstLine="2"/>
              <w:rPr>
                <w:sz w:val="21"/>
              </w:rPr>
            </w:pPr>
            <w:r>
              <w:rPr>
                <w:spacing w:val="-2"/>
                <w:sz w:val="21"/>
              </w:rPr>
              <w:t>急性出血坏死性胰腺炎腹腔镜</w:t>
            </w:r>
            <w:r>
              <w:rPr>
                <w:spacing w:val="-6"/>
                <w:sz w:val="21"/>
              </w:rPr>
              <w:t>手术</w:t>
            </w:r>
          </w:p>
          <w:p>
            <w:pPr>
              <w:pStyle w:val="TableParagraph"/>
              <w:spacing w:line="250" w:lineRule="exact" w:before="2"/>
              <w:ind w:left="51"/>
              <w:rPr>
                <w:sz w:val="21"/>
              </w:rPr>
            </w:pPr>
            <w:r>
              <w:rPr>
                <w:spacing w:val="-3"/>
                <w:sz w:val="21"/>
              </w:rPr>
              <w:t>严重阻塞性睡眠窒息症</w:t>
            </w:r>
          </w:p>
        </w:tc>
      </w:tr>
      <w:tr>
        <w:trPr>
          <w:trHeight w:val="272" w:hRule="atLeast"/>
        </w:trPr>
        <w:tc>
          <w:tcPr>
            <w:tcW w:w="6005" w:type="dxa"/>
            <w:gridSpan w:val="4"/>
          </w:tcPr>
          <w:p>
            <w:pPr>
              <w:pStyle w:val="TableParagraph"/>
              <w:spacing w:line="251" w:lineRule="exact" w:before="1"/>
              <w:ind w:left="2601"/>
              <w:rPr>
                <w:sz w:val="21"/>
              </w:rPr>
            </w:pPr>
            <w:r>
              <w:rPr>
                <w:sz w:val="21"/>
              </w:rPr>
              <w:t>6</w:t>
            </w:r>
            <w:r>
              <w:rPr>
                <w:spacing w:val="-5"/>
                <w:sz w:val="21"/>
              </w:rPr>
              <w:t> 激光心肌血运重建术</w:t>
            </w:r>
          </w:p>
        </w:tc>
        <w:tc>
          <w:tcPr>
            <w:tcW w:w="407" w:type="dxa"/>
          </w:tcPr>
          <w:p>
            <w:pPr>
              <w:pStyle w:val="TableParagraph"/>
              <w:spacing w:line="251" w:lineRule="exact" w:before="1"/>
              <w:ind w:right="51"/>
              <w:jc w:val="right"/>
              <w:rPr>
                <w:sz w:val="21"/>
              </w:rPr>
            </w:pPr>
            <w:r>
              <w:rPr>
                <w:spacing w:val="-5"/>
                <w:sz w:val="21"/>
              </w:rPr>
              <w:t>31</w:t>
            </w:r>
          </w:p>
        </w:tc>
        <w:tc>
          <w:tcPr>
            <w:tcW w:w="3081" w:type="dxa"/>
          </w:tcPr>
          <w:p>
            <w:pPr>
              <w:pStyle w:val="TableParagraph"/>
              <w:spacing w:line="251" w:lineRule="exact" w:before="1"/>
              <w:ind w:left="51"/>
              <w:rPr>
                <w:sz w:val="21"/>
              </w:rPr>
            </w:pPr>
            <w:r>
              <w:rPr>
                <w:spacing w:val="-4"/>
                <w:sz w:val="21"/>
              </w:rPr>
              <w:t>硬脑膜下血肿手术</w:t>
            </w:r>
          </w:p>
        </w:tc>
      </w:tr>
      <w:tr>
        <w:trPr>
          <w:trHeight w:val="272" w:hRule="atLeast"/>
        </w:trPr>
        <w:tc>
          <w:tcPr>
            <w:tcW w:w="6005" w:type="dxa"/>
            <w:gridSpan w:val="4"/>
          </w:tcPr>
          <w:p>
            <w:pPr>
              <w:pStyle w:val="TableParagraph"/>
              <w:spacing w:line="250" w:lineRule="exact" w:before="2"/>
              <w:ind w:left="2593" w:right="2341"/>
              <w:jc w:val="center"/>
              <w:rPr>
                <w:sz w:val="21"/>
              </w:rPr>
            </w:pPr>
            <w:r>
              <w:rPr>
                <w:sz w:val="21"/>
              </w:rPr>
              <w:t>7</w:t>
            </w:r>
            <w:r>
              <w:rPr>
                <w:spacing w:val="-4"/>
                <w:sz w:val="21"/>
              </w:rPr>
              <w:t> 单耳失聪</w:t>
            </w:r>
          </w:p>
        </w:tc>
        <w:tc>
          <w:tcPr>
            <w:tcW w:w="407" w:type="dxa"/>
          </w:tcPr>
          <w:p>
            <w:pPr>
              <w:pStyle w:val="TableParagraph"/>
              <w:spacing w:line="250" w:lineRule="exact" w:before="2"/>
              <w:ind w:right="51"/>
              <w:jc w:val="right"/>
              <w:rPr>
                <w:sz w:val="21"/>
              </w:rPr>
            </w:pPr>
            <w:r>
              <w:rPr>
                <w:spacing w:val="-5"/>
                <w:sz w:val="21"/>
              </w:rPr>
              <w:t>32</w:t>
            </w:r>
          </w:p>
        </w:tc>
        <w:tc>
          <w:tcPr>
            <w:tcW w:w="3081" w:type="dxa"/>
          </w:tcPr>
          <w:p>
            <w:pPr>
              <w:pStyle w:val="TableParagraph"/>
              <w:spacing w:line="250" w:lineRule="exact" w:before="2"/>
              <w:ind w:left="51"/>
              <w:rPr>
                <w:sz w:val="21"/>
              </w:rPr>
            </w:pPr>
            <w:r>
              <w:rPr>
                <w:spacing w:val="-3"/>
                <w:sz w:val="21"/>
              </w:rPr>
              <w:t>强直性脊柱炎手术治疗</w:t>
            </w:r>
          </w:p>
        </w:tc>
      </w:tr>
      <w:tr>
        <w:trPr>
          <w:trHeight w:val="272" w:hRule="atLeast"/>
        </w:trPr>
        <w:tc>
          <w:tcPr>
            <w:tcW w:w="6005" w:type="dxa"/>
            <w:gridSpan w:val="4"/>
          </w:tcPr>
          <w:p>
            <w:pPr>
              <w:pStyle w:val="TableParagraph"/>
              <w:spacing w:line="251" w:lineRule="exact" w:before="1"/>
              <w:ind w:left="2601"/>
              <w:rPr>
                <w:sz w:val="21"/>
              </w:rPr>
            </w:pPr>
            <w:r>
              <w:rPr>
                <w:sz w:val="21"/>
              </w:rPr>
              <w:t>8</w:t>
            </w:r>
            <w:r>
              <w:rPr>
                <w:spacing w:val="-4"/>
                <w:sz w:val="21"/>
              </w:rPr>
              <w:t> 人工耳蜗植入术</w:t>
            </w:r>
          </w:p>
        </w:tc>
        <w:tc>
          <w:tcPr>
            <w:tcW w:w="407" w:type="dxa"/>
          </w:tcPr>
          <w:p>
            <w:pPr>
              <w:pStyle w:val="TableParagraph"/>
              <w:spacing w:line="251" w:lineRule="exact" w:before="1"/>
              <w:ind w:right="51"/>
              <w:jc w:val="right"/>
              <w:rPr>
                <w:sz w:val="21"/>
              </w:rPr>
            </w:pPr>
            <w:r>
              <w:rPr>
                <w:spacing w:val="-5"/>
                <w:sz w:val="21"/>
              </w:rPr>
              <w:t>33</w:t>
            </w:r>
          </w:p>
        </w:tc>
        <w:tc>
          <w:tcPr>
            <w:tcW w:w="3081" w:type="dxa"/>
          </w:tcPr>
          <w:p>
            <w:pPr>
              <w:pStyle w:val="TableParagraph"/>
              <w:spacing w:line="251" w:lineRule="exact" w:before="1"/>
              <w:ind w:left="51"/>
              <w:rPr>
                <w:sz w:val="21"/>
              </w:rPr>
            </w:pPr>
            <w:r>
              <w:rPr>
                <w:spacing w:val="-3"/>
                <w:sz w:val="21"/>
              </w:rPr>
              <w:t>糖尿病视网膜晚期增生性病变</w:t>
            </w:r>
          </w:p>
        </w:tc>
      </w:tr>
      <w:tr>
        <w:trPr>
          <w:trHeight w:val="242" w:hRule="atLeast"/>
        </w:trPr>
        <w:tc>
          <w:tcPr>
            <w:tcW w:w="6005" w:type="dxa"/>
            <w:gridSpan w:val="4"/>
          </w:tcPr>
          <w:p>
            <w:pPr>
              <w:pStyle w:val="TableParagraph"/>
              <w:spacing w:line="220" w:lineRule="exact" w:before="2"/>
              <w:ind w:left="2601"/>
              <w:rPr>
                <w:sz w:val="21"/>
              </w:rPr>
            </w:pPr>
            <w:r>
              <w:rPr>
                <w:sz w:val="21"/>
              </w:rPr>
              <w:t>9</w:t>
            </w:r>
            <w:r>
              <w:rPr>
                <w:spacing w:val="-4"/>
                <w:sz w:val="21"/>
              </w:rPr>
              <w:t> 听力严重受损</w:t>
            </w:r>
          </w:p>
        </w:tc>
        <w:tc>
          <w:tcPr>
            <w:tcW w:w="407" w:type="dxa"/>
          </w:tcPr>
          <w:p>
            <w:pPr>
              <w:pStyle w:val="TableParagraph"/>
              <w:spacing w:line="220" w:lineRule="exact" w:before="2"/>
              <w:ind w:right="51"/>
              <w:jc w:val="right"/>
              <w:rPr>
                <w:sz w:val="21"/>
              </w:rPr>
            </w:pPr>
            <w:r>
              <w:rPr>
                <w:spacing w:val="-5"/>
                <w:sz w:val="21"/>
              </w:rPr>
              <w:t>34</w:t>
            </w:r>
          </w:p>
        </w:tc>
        <w:tc>
          <w:tcPr>
            <w:tcW w:w="3081" w:type="dxa"/>
          </w:tcPr>
          <w:p>
            <w:pPr>
              <w:pStyle w:val="TableParagraph"/>
              <w:spacing w:line="220" w:lineRule="exact" w:before="2"/>
              <w:ind w:left="51"/>
              <w:rPr>
                <w:sz w:val="21"/>
              </w:rPr>
            </w:pPr>
            <w:r>
              <w:rPr>
                <w:spacing w:val="-4"/>
                <w:sz w:val="21"/>
              </w:rPr>
              <w:t>早期肝硬化</w:t>
            </w:r>
          </w:p>
        </w:tc>
      </w:tr>
      <w:tr>
        <w:trPr>
          <w:trHeight w:val="302" w:hRule="atLeast"/>
        </w:trPr>
        <w:tc>
          <w:tcPr>
            <w:tcW w:w="2866" w:type="dxa"/>
            <w:gridSpan w:val="3"/>
          </w:tcPr>
          <w:p>
            <w:pPr>
              <w:pStyle w:val="TableParagraph"/>
              <w:spacing w:line="251" w:lineRule="exact" w:before="31"/>
              <w:ind w:right="51"/>
              <w:jc w:val="right"/>
              <w:rPr>
                <w:sz w:val="21"/>
              </w:rPr>
            </w:pPr>
            <w:r>
              <w:rPr>
                <w:spacing w:val="-5"/>
                <w:sz w:val="21"/>
              </w:rPr>
              <w:t>10</w:t>
            </w:r>
          </w:p>
        </w:tc>
        <w:tc>
          <w:tcPr>
            <w:tcW w:w="3139" w:type="dxa"/>
          </w:tcPr>
          <w:p>
            <w:pPr>
              <w:pStyle w:val="TableParagraph"/>
              <w:spacing w:line="251" w:lineRule="exact" w:before="31"/>
              <w:ind w:left="52"/>
              <w:rPr>
                <w:sz w:val="21"/>
              </w:rPr>
            </w:pPr>
            <w:r>
              <w:rPr>
                <w:spacing w:val="-4"/>
                <w:sz w:val="21"/>
              </w:rPr>
              <w:t>视力严重受损</w:t>
            </w:r>
          </w:p>
        </w:tc>
        <w:tc>
          <w:tcPr>
            <w:tcW w:w="407" w:type="dxa"/>
          </w:tcPr>
          <w:p>
            <w:pPr>
              <w:pStyle w:val="TableParagraph"/>
              <w:spacing w:line="251" w:lineRule="exact" w:before="31"/>
              <w:ind w:right="51"/>
              <w:jc w:val="right"/>
              <w:rPr>
                <w:sz w:val="21"/>
              </w:rPr>
            </w:pPr>
            <w:r>
              <w:rPr>
                <w:spacing w:val="-5"/>
                <w:sz w:val="21"/>
              </w:rPr>
              <w:t>35</w:t>
            </w:r>
          </w:p>
        </w:tc>
        <w:tc>
          <w:tcPr>
            <w:tcW w:w="3081" w:type="dxa"/>
          </w:tcPr>
          <w:p>
            <w:pPr>
              <w:pStyle w:val="TableParagraph"/>
              <w:spacing w:line="251" w:lineRule="exact" w:before="31"/>
              <w:ind w:left="51"/>
              <w:rPr>
                <w:sz w:val="21"/>
              </w:rPr>
            </w:pPr>
            <w:r>
              <w:rPr>
                <w:spacing w:val="-4"/>
                <w:sz w:val="21"/>
              </w:rPr>
              <w:t>单个肢体缺失</w:t>
            </w:r>
          </w:p>
        </w:tc>
      </w:tr>
      <w:tr>
        <w:trPr>
          <w:trHeight w:val="272" w:hRule="atLeast"/>
        </w:trPr>
        <w:tc>
          <w:tcPr>
            <w:tcW w:w="2866" w:type="dxa"/>
            <w:gridSpan w:val="3"/>
          </w:tcPr>
          <w:p>
            <w:pPr>
              <w:pStyle w:val="TableParagraph"/>
              <w:spacing w:line="250" w:lineRule="exact" w:before="2"/>
              <w:ind w:right="51"/>
              <w:jc w:val="right"/>
              <w:rPr>
                <w:sz w:val="21"/>
              </w:rPr>
            </w:pPr>
            <w:r>
              <w:rPr>
                <w:spacing w:val="-5"/>
                <w:sz w:val="21"/>
              </w:rPr>
              <w:t>11</w:t>
            </w:r>
          </w:p>
        </w:tc>
        <w:tc>
          <w:tcPr>
            <w:tcW w:w="3139" w:type="dxa"/>
          </w:tcPr>
          <w:p>
            <w:pPr>
              <w:pStyle w:val="TableParagraph"/>
              <w:spacing w:line="250" w:lineRule="exact" w:before="2"/>
              <w:ind w:left="52"/>
              <w:rPr>
                <w:sz w:val="21"/>
              </w:rPr>
            </w:pPr>
            <w:r>
              <w:rPr>
                <w:spacing w:val="-4"/>
                <w:sz w:val="21"/>
              </w:rPr>
              <w:t>角膜移植</w:t>
            </w:r>
          </w:p>
        </w:tc>
        <w:tc>
          <w:tcPr>
            <w:tcW w:w="407" w:type="dxa"/>
          </w:tcPr>
          <w:p>
            <w:pPr>
              <w:pStyle w:val="TableParagraph"/>
              <w:spacing w:line="250" w:lineRule="exact" w:before="2"/>
              <w:ind w:right="51"/>
              <w:jc w:val="right"/>
              <w:rPr>
                <w:sz w:val="21"/>
              </w:rPr>
            </w:pPr>
            <w:r>
              <w:rPr>
                <w:spacing w:val="-5"/>
                <w:sz w:val="21"/>
              </w:rPr>
              <w:t>36</w:t>
            </w:r>
          </w:p>
        </w:tc>
        <w:tc>
          <w:tcPr>
            <w:tcW w:w="3081" w:type="dxa"/>
          </w:tcPr>
          <w:p>
            <w:pPr>
              <w:pStyle w:val="TableParagraph"/>
              <w:spacing w:line="250" w:lineRule="exact" w:before="2"/>
              <w:ind w:left="51"/>
              <w:rPr>
                <w:sz w:val="21"/>
              </w:rPr>
            </w:pPr>
            <w:r>
              <w:rPr>
                <w:spacing w:val="-3"/>
                <w:sz w:val="21"/>
              </w:rPr>
              <w:t>病毒性肝炎导致的肝硬化</w:t>
            </w:r>
          </w:p>
        </w:tc>
      </w:tr>
      <w:tr>
        <w:trPr>
          <w:trHeight w:val="272" w:hRule="atLeast"/>
        </w:trPr>
        <w:tc>
          <w:tcPr>
            <w:tcW w:w="2866" w:type="dxa"/>
            <w:gridSpan w:val="3"/>
          </w:tcPr>
          <w:p>
            <w:pPr>
              <w:pStyle w:val="TableParagraph"/>
              <w:spacing w:line="251" w:lineRule="exact" w:before="1"/>
              <w:ind w:right="51"/>
              <w:jc w:val="right"/>
              <w:rPr>
                <w:sz w:val="21"/>
              </w:rPr>
            </w:pPr>
            <w:r>
              <w:rPr>
                <w:spacing w:val="-5"/>
                <w:sz w:val="21"/>
              </w:rPr>
              <w:t>12</w:t>
            </w:r>
          </w:p>
        </w:tc>
        <w:tc>
          <w:tcPr>
            <w:tcW w:w="3139" w:type="dxa"/>
          </w:tcPr>
          <w:p>
            <w:pPr>
              <w:pStyle w:val="TableParagraph"/>
              <w:spacing w:line="251" w:lineRule="exact" w:before="1"/>
              <w:ind w:left="52"/>
              <w:rPr>
                <w:sz w:val="21"/>
              </w:rPr>
            </w:pPr>
            <w:r>
              <w:rPr>
                <w:spacing w:val="-4"/>
                <w:sz w:val="21"/>
              </w:rPr>
              <w:t>单目失明</w:t>
            </w:r>
          </w:p>
        </w:tc>
        <w:tc>
          <w:tcPr>
            <w:tcW w:w="407" w:type="dxa"/>
          </w:tcPr>
          <w:p>
            <w:pPr>
              <w:pStyle w:val="TableParagraph"/>
              <w:spacing w:line="251" w:lineRule="exact" w:before="1"/>
              <w:ind w:right="51"/>
              <w:jc w:val="right"/>
              <w:rPr>
                <w:sz w:val="21"/>
              </w:rPr>
            </w:pPr>
            <w:r>
              <w:rPr>
                <w:spacing w:val="-5"/>
                <w:sz w:val="21"/>
              </w:rPr>
              <w:t>37</w:t>
            </w:r>
          </w:p>
        </w:tc>
        <w:tc>
          <w:tcPr>
            <w:tcW w:w="3081" w:type="dxa"/>
          </w:tcPr>
          <w:p>
            <w:pPr>
              <w:pStyle w:val="TableParagraph"/>
              <w:spacing w:line="251" w:lineRule="exact" w:before="1"/>
              <w:ind w:left="51"/>
              <w:rPr>
                <w:sz w:val="21"/>
              </w:rPr>
            </w:pPr>
            <w:r>
              <w:rPr>
                <w:spacing w:val="-3"/>
                <w:sz w:val="21"/>
              </w:rPr>
              <w:t>中度进行性核上性麻痹</w:t>
            </w:r>
          </w:p>
        </w:tc>
      </w:tr>
      <w:tr>
        <w:trPr>
          <w:trHeight w:val="272" w:hRule="atLeast"/>
        </w:trPr>
        <w:tc>
          <w:tcPr>
            <w:tcW w:w="2866" w:type="dxa"/>
            <w:gridSpan w:val="3"/>
          </w:tcPr>
          <w:p>
            <w:pPr>
              <w:pStyle w:val="TableParagraph"/>
              <w:spacing w:line="250" w:lineRule="exact" w:before="2"/>
              <w:ind w:right="51"/>
              <w:jc w:val="right"/>
              <w:rPr>
                <w:sz w:val="21"/>
              </w:rPr>
            </w:pPr>
            <w:r>
              <w:rPr>
                <w:spacing w:val="-5"/>
                <w:sz w:val="21"/>
              </w:rPr>
              <w:t>13</w:t>
            </w:r>
          </w:p>
        </w:tc>
        <w:tc>
          <w:tcPr>
            <w:tcW w:w="3139" w:type="dxa"/>
          </w:tcPr>
          <w:p>
            <w:pPr>
              <w:pStyle w:val="TableParagraph"/>
              <w:spacing w:line="250" w:lineRule="exact" w:before="2"/>
              <w:ind w:left="52"/>
              <w:rPr>
                <w:sz w:val="21"/>
              </w:rPr>
            </w:pPr>
            <w:r>
              <w:rPr>
                <w:spacing w:val="-3"/>
                <w:sz w:val="21"/>
              </w:rPr>
              <w:t>全身较小面积Ⅲ度烧伤</w:t>
            </w:r>
          </w:p>
        </w:tc>
        <w:tc>
          <w:tcPr>
            <w:tcW w:w="407" w:type="dxa"/>
          </w:tcPr>
          <w:p>
            <w:pPr>
              <w:pStyle w:val="TableParagraph"/>
              <w:spacing w:line="250" w:lineRule="exact" w:before="2"/>
              <w:ind w:right="51"/>
              <w:jc w:val="right"/>
              <w:rPr>
                <w:sz w:val="21"/>
              </w:rPr>
            </w:pPr>
            <w:r>
              <w:rPr>
                <w:spacing w:val="-5"/>
                <w:sz w:val="21"/>
              </w:rPr>
              <w:t>38</w:t>
            </w:r>
          </w:p>
        </w:tc>
        <w:tc>
          <w:tcPr>
            <w:tcW w:w="3081" w:type="dxa"/>
          </w:tcPr>
          <w:p>
            <w:pPr>
              <w:pStyle w:val="TableParagraph"/>
              <w:spacing w:line="250" w:lineRule="exact" w:before="2"/>
              <w:ind w:left="51"/>
              <w:rPr>
                <w:sz w:val="21"/>
              </w:rPr>
            </w:pPr>
            <w:r>
              <w:rPr>
                <w:spacing w:val="-4"/>
                <w:sz w:val="21"/>
              </w:rPr>
              <w:t>轻度坏死性筋膜炎</w:t>
            </w:r>
          </w:p>
        </w:tc>
      </w:tr>
      <w:tr>
        <w:trPr>
          <w:trHeight w:val="272" w:hRule="atLeast"/>
        </w:trPr>
        <w:tc>
          <w:tcPr>
            <w:tcW w:w="2866" w:type="dxa"/>
            <w:gridSpan w:val="3"/>
          </w:tcPr>
          <w:p>
            <w:pPr>
              <w:pStyle w:val="TableParagraph"/>
              <w:spacing w:line="251" w:lineRule="exact" w:before="1"/>
              <w:ind w:right="51"/>
              <w:jc w:val="right"/>
              <w:rPr>
                <w:sz w:val="21"/>
              </w:rPr>
            </w:pPr>
            <w:r>
              <w:rPr>
                <w:spacing w:val="-5"/>
                <w:sz w:val="21"/>
              </w:rPr>
              <w:t>14</w:t>
            </w:r>
          </w:p>
        </w:tc>
        <w:tc>
          <w:tcPr>
            <w:tcW w:w="3139" w:type="dxa"/>
          </w:tcPr>
          <w:p>
            <w:pPr>
              <w:pStyle w:val="TableParagraph"/>
              <w:spacing w:line="251" w:lineRule="exact" w:before="1"/>
              <w:ind w:left="52"/>
              <w:rPr>
                <w:sz w:val="21"/>
              </w:rPr>
            </w:pPr>
            <w:r>
              <w:rPr>
                <w:spacing w:val="-4"/>
                <w:sz w:val="21"/>
              </w:rPr>
              <w:t>双侧卵巢切除术</w:t>
            </w:r>
          </w:p>
        </w:tc>
        <w:tc>
          <w:tcPr>
            <w:tcW w:w="407" w:type="dxa"/>
          </w:tcPr>
          <w:p>
            <w:pPr>
              <w:pStyle w:val="TableParagraph"/>
              <w:spacing w:line="251" w:lineRule="exact" w:before="1"/>
              <w:ind w:right="51"/>
              <w:jc w:val="right"/>
              <w:rPr>
                <w:sz w:val="21"/>
              </w:rPr>
            </w:pPr>
            <w:r>
              <w:rPr>
                <w:spacing w:val="-5"/>
                <w:sz w:val="21"/>
              </w:rPr>
              <w:t>39</w:t>
            </w:r>
          </w:p>
        </w:tc>
        <w:tc>
          <w:tcPr>
            <w:tcW w:w="3081" w:type="dxa"/>
          </w:tcPr>
          <w:p>
            <w:pPr>
              <w:pStyle w:val="TableParagraph"/>
              <w:spacing w:line="251" w:lineRule="exact" w:before="1"/>
              <w:ind w:left="51"/>
              <w:rPr>
                <w:sz w:val="21"/>
              </w:rPr>
            </w:pPr>
            <w:r>
              <w:rPr>
                <w:spacing w:val="-4"/>
                <w:sz w:val="21"/>
              </w:rPr>
              <w:t>植入大脑内分流器</w:t>
            </w:r>
          </w:p>
        </w:tc>
      </w:tr>
      <w:tr>
        <w:trPr>
          <w:trHeight w:val="272" w:hRule="atLeast"/>
        </w:trPr>
        <w:tc>
          <w:tcPr>
            <w:tcW w:w="2866" w:type="dxa"/>
            <w:gridSpan w:val="3"/>
          </w:tcPr>
          <w:p>
            <w:pPr>
              <w:pStyle w:val="TableParagraph"/>
              <w:spacing w:line="250" w:lineRule="exact" w:before="2"/>
              <w:ind w:right="51"/>
              <w:jc w:val="right"/>
              <w:rPr>
                <w:sz w:val="21"/>
              </w:rPr>
            </w:pPr>
            <w:r>
              <w:rPr>
                <w:spacing w:val="-5"/>
                <w:sz w:val="21"/>
              </w:rPr>
              <w:t>15</w:t>
            </w:r>
          </w:p>
        </w:tc>
        <w:tc>
          <w:tcPr>
            <w:tcW w:w="3139" w:type="dxa"/>
          </w:tcPr>
          <w:p>
            <w:pPr>
              <w:pStyle w:val="TableParagraph"/>
              <w:spacing w:line="250" w:lineRule="exact" w:before="2"/>
              <w:ind w:left="52"/>
              <w:rPr>
                <w:sz w:val="21"/>
              </w:rPr>
            </w:pPr>
            <w:r>
              <w:rPr>
                <w:spacing w:val="-4"/>
                <w:sz w:val="21"/>
              </w:rPr>
              <w:t>双侧睾丸切除术</w:t>
            </w:r>
          </w:p>
        </w:tc>
        <w:tc>
          <w:tcPr>
            <w:tcW w:w="407" w:type="dxa"/>
          </w:tcPr>
          <w:p>
            <w:pPr>
              <w:pStyle w:val="TableParagraph"/>
              <w:spacing w:line="250" w:lineRule="exact" w:before="2"/>
              <w:ind w:right="51"/>
              <w:jc w:val="right"/>
              <w:rPr>
                <w:sz w:val="21"/>
              </w:rPr>
            </w:pPr>
            <w:r>
              <w:rPr>
                <w:spacing w:val="-5"/>
                <w:sz w:val="21"/>
              </w:rPr>
              <w:t>40</w:t>
            </w:r>
          </w:p>
        </w:tc>
        <w:tc>
          <w:tcPr>
            <w:tcW w:w="3081" w:type="dxa"/>
          </w:tcPr>
          <w:p>
            <w:pPr>
              <w:pStyle w:val="TableParagraph"/>
              <w:spacing w:line="250" w:lineRule="exact" w:before="2"/>
              <w:ind w:left="51"/>
              <w:rPr>
                <w:sz w:val="21"/>
              </w:rPr>
            </w:pPr>
            <w:r>
              <w:rPr>
                <w:spacing w:val="-3"/>
                <w:sz w:val="21"/>
              </w:rPr>
              <w:t>糖尿病并发症引致的单足截除</w:t>
            </w:r>
          </w:p>
        </w:tc>
      </w:tr>
      <w:tr>
        <w:trPr>
          <w:trHeight w:val="272" w:hRule="atLeast"/>
        </w:trPr>
        <w:tc>
          <w:tcPr>
            <w:tcW w:w="2866" w:type="dxa"/>
            <w:gridSpan w:val="3"/>
          </w:tcPr>
          <w:p>
            <w:pPr>
              <w:pStyle w:val="TableParagraph"/>
              <w:spacing w:line="251" w:lineRule="exact" w:before="1"/>
              <w:ind w:right="51"/>
              <w:jc w:val="right"/>
              <w:rPr>
                <w:sz w:val="21"/>
              </w:rPr>
            </w:pPr>
            <w:r>
              <w:rPr>
                <w:spacing w:val="-5"/>
                <w:sz w:val="21"/>
              </w:rPr>
              <w:t>16</w:t>
            </w:r>
          </w:p>
        </w:tc>
        <w:tc>
          <w:tcPr>
            <w:tcW w:w="3139" w:type="dxa"/>
          </w:tcPr>
          <w:p>
            <w:pPr>
              <w:pStyle w:val="TableParagraph"/>
              <w:spacing w:line="251" w:lineRule="exact" w:before="1"/>
              <w:ind w:left="52"/>
              <w:rPr>
                <w:sz w:val="21"/>
              </w:rPr>
            </w:pPr>
            <w:r>
              <w:rPr>
                <w:spacing w:val="-4"/>
                <w:sz w:val="21"/>
              </w:rPr>
              <w:t>植入心脏除纤颤器</w:t>
            </w:r>
          </w:p>
        </w:tc>
        <w:tc>
          <w:tcPr>
            <w:tcW w:w="407" w:type="dxa"/>
          </w:tcPr>
          <w:p>
            <w:pPr>
              <w:pStyle w:val="TableParagraph"/>
              <w:spacing w:line="251" w:lineRule="exact" w:before="1"/>
              <w:ind w:right="51"/>
              <w:jc w:val="right"/>
              <w:rPr>
                <w:sz w:val="21"/>
              </w:rPr>
            </w:pPr>
            <w:r>
              <w:rPr>
                <w:spacing w:val="-5"/>
                <w:sz w:val="21"/>
              </w:rPr>
              <w:t>41</w:t>
            </w:r>
          </w:p>
        </w:tc>
        <w:tc>
          <w:tcPr>
            <w:tcW w:w="3081" w:type="dxa"/>
          </w:tcPr>
          <w:p>
            <w:pPr>
              <w:pStyle w:val="TableParagraph"/>
              <w:spacing w:line="251" w:lineRule="exact" w:before="1"/>
              <w:ind w:left="51"/>
              <w:rPr>
                <w:sz w:val="21"/>
              </w:rPr>
            </w:pPr>
            <w:r>
              <w:rPr>
                <w:spacing w:val="-4"/>
                <w:sz w:val="21"/>
              </w:rPr>
              <w:t>面部重建手术</w:t>
            </w:r>
          </w:p>
        </w:tc>
      </w:tr>
      <w:tr>
        <w:trPr>
          <w:trHeight w:val="272" w:hRule="atLeast"/>
        </w:trPr>
        <w:tc>
          <w:tcPr>
            <w:tcW w:w="2866" w:type="dxa"/>
            <w:gridSpan w:val="3"/>
          </w:tcPr>
          <w:p>
            <w:pPr>
              <w:pStyle w:val="TableParagraph"/>
              <w:spacing w:line="250" w:lineRule="exact" w:before="2"/>
              <w:ind w:right="51"/>
              <w:jc w:val="right"/>
              <w:rPr>
                <w:sz w:val="21"/>
              </w:rPr>
            </w:pPr>
            <w:r>
              <w:rPr>
                <w:spacing w:val="-5"/>
                <w:sz w:val="21"/>
              </w:rPr>
              <w:t>17</w:t>
            </w:r>
          </w:p>
        </w:tc>
        <w:tc>
          <w:tcPr>
            <w:tcW w:w="3139" w:type="dxa"/>
          </w:tcPr>
          <w:p>
            <w:pPr>
              <w:pStyle w:val="TableParagraph"/>
              <w:spacing w:line="250" w:lineRule="exact" w:before="2"/>
              <w:ind w:left="52"/>
              <w:rPr>
                <w:sz w:val="21"/>
              </w:rPr>
            </w:pPr>
            <w:r>
              <w:rPr>
                <w:spacing w:val="-3"/>
                <w:sz w:val="21"/>
              </w:rPr>
              <w:t>骨质疏松骨折髋关节置换手术</w:t>
            </w:r>
          </w:p>
        </w:tc>
        <w:tc>
          <w:tcPr>
            <w:tcW w:w="407" w:type="dxa"/>
          </w:tcPr>
          <w:p>
            <w:pPr>
              <w:pStyle w:val="TableParagraph"/>
              <w:spacing w:line="250" w:lineRule="exact" w:before="2"/>
              <w:ind w:right="51"/>
              <w:jc w:val="right"/>
              <w:rPr>
                <w:sz w:val="21"/>
              </w:rPr>
            </w:pPr>
            <w:r>
              <w:rPr>
                <w:spacing w:val="-5"/>
                <w:sz w:val="21"/>
              </w:rPr>
              <w:t>42</w:t>
            </w:r>
          </w:p>
        </w:tc>
        <w:tc>
          <w:tcPr>
            <w:tcW w:w="3081" w:type="dxa"/>
          </w:tcPr>
          <w:p>
            <w:pPr>
              <w:pStyle w:val="TableParagraph"/>
              <w:spacing w:line="250" w:lineRule="exact" w:before="2"/>
              <w:ind w:left="51"/>
              <w:rPr>
                <w:sz w:val="21"/>
              </w:rPr>
            </w:pPr>
            <w:r>
              <w:rPr>
                <w:spacing w:val="-3"/>
                <w:sz w:val="21"/>
              </w:rPr>
              <w:t>因肾上腺皮质腺瘤切除肾上腺</w:t>
            </w:r>
          </w:p>
        </w:tc>
      </w:tr>
      <w:tr>
        <w:trPr>
          <w:trHeight w:val="817" w:hRule="atLeast"/>
        </w:trPr>
        <w:tc>
          <w:tcPr>
            <w:tcW w:w="2866" w:type="dxa"/>
            <w:gridSpan w:val="3"/>
          </w:tcPr>
          <w:p>
            <w:pPr>
              <w:pStyle w:val="TableParagraph"/>
              <w:spacing w:before="1"/>
              <w:ind w:left="2601"/>
              <w:rPr>
                <w:sz w:val="21"/>
              </w:rPr>
            </w:pPr>
            <w:r>
              <w:rPr>
                <w:spacing w:val="-5"/>
                <w:sz w:val="21"/>
              </w:rPr>
              <w:t>18</w:t>
            </w:r>
          </w:p>
          <w:p>
            <w:pPr>
              <w:pStyle w:val="TableParagraph"/>
              <w:spacing w:before="7"/>
              <w:rPr>
                <w:sz w:val="21"/>
              </w:rPr>
            </w:pPr>
          </w:p>
          <w:p>
            <w:pPr>
              <w:pStyle w:val="TableParagraph"/>
              <w:spacing w:line="251" w:lineRule="exact"/>
              <w:ind w:left="2601"/>
              <w:rPr>
                <w:sz w:val="21"/>
              </w:rPr>
            </w:pPr>
            <w:r>
              <w:rPr>
                <w:spacing w:val="-5"/>
                <w:sz w:val="21"/>
              </w:rPr>
              <w:t>19</w:t>
            </w:r>
          </w:p>
        </w:tc>
        <w:tc>
          <w:tcPr>
            <w:tcW w:w="3139" w:type="dxa"/>
          </w:tcPr>
          <w:p>
            <w:pPr>
              <w:pStyle w:val="TableParagraph"/>
              <w:spacing w:line="244" w:lineRule="auto" w:before="1"/>
              <w:ind w:left="50" w:right="143" w:firstLine="2"/>
              <w:rPr>
                <w:sz w:val="21"/>
              </w:rPr>
            </w:pPr>
            <w:r>
              <w:rPr>
                <w:spacing w:val="-2"/>
                <w:sz w:val="21"/>
              </w:rPr>
              <w:t>主动脉内手术（非开胸或开腹手</w:t>
            </w:r>
            <w:r>
              <w:rPr>
                <w:spacing w:val="-6"/>
                <w:sz w:val="21"/>
              </w:rPr>
              <w:t>术）</w:t>
            </w:r>
          </w:p>
          <w:p>
            <w:pPr>
              <w:pStyle w:val="TableParagraph"/>
              <w:spacing w:line="247" w:lineRule="exact"/>
              <w:ind w:left="52"/>
              <w:rPr>
                <w:sz w:val="21"/>
              </w:rPr>
            </w:pPr>
            <w:r>
              <w:rPr>
                <w:spacing w:val="-4"/>
                <w:sz w:val="21"/>
              </w:rPr>
              <w:t>微创颅脑手术</w:t>
            </w:r>
          </w:p>
        </w:tc>
        <w:tc>
          <w:tcPr>
            <w:tcW w:w="407" w:type="dxa"/>
          </w:tcPr>
          <w:p>
            <w:pPr>
              <w:pStyle w:val="TableParagraph"/>
              <w:spacing w:before="1"/>
              <w:ind w:left="141"/>
              <w:rPr>
                <w:sz w:val="21"/>
              </w:rPr>
            </w:pPr>
            <w:r>
              <w:rPr>
                <w:spacing w:val="-5"/>
                <w:sz w:val="21"/>
              </w:rPr>
              <w:t>43</w:t>
            </w:r>
          </w:p>
          <w:p>
            <w:pPr>
              <w:pStyle w:val="TableParagraph"/>
              <w:spacing w:before="7"/>
              <w:rPr>
                <w:sz w:val="21"/>
              </w:rPr>
            </w:pPr>
          </w:p>
          <w:p>
            <w:pPr>
              <w:pStyle w:val="TableParagraph"/>
              <w:spacing w:line="251" w:lineRule="exact"/>
              <w:ind w:left="141"/>
              <w:rPr>
                <w:sz w:val="21"/>
              </w:rPr>
            </w:pPr>
            <w:r>
              <w:rPr>
                <w:spacing w:val="-5"/>
                <w:sz w:val="21"/>
              </w:rPr>
              <w:t>44</w:t>
            </w:r>
          </w:p>
        </w:tc>
        <w:tc>
          <w:tcPr>
            <w:tcW w:w="3081" w:type="dxa"/>
          </w:tcPr>
          <w:p>
            <w:pPr>
              <w:pStyle w:val="TableParagraph"/>
              <w:spacing w:before="1"/>
              <w:ind w:left="51"/>
              <w:rPr>
                <w:sz w:val="21"/>
              </w:rPr>
            </w:pPr>
            <w:r>
              <w:rPr>
                <w:spacing w:val="-3"/>
                <w:sz w:val="21"/>
              </w:rPr>
              <w:t>特定的系统性红斑狼疮</w:t>
            </w:r>
          </w:p>
          <w:p>
            <w:pPr>
              <w:pStyle w:val="TableParagraph"/>
              <w:spacing w:before="7"/>
              <w:rPr>
                <w:sz w:val="21"/>
              </w:rPr>
            </w:pPr>
          </w:p>
          <w:p>
            <w:pPr>
              <w:pStyle w:val="TableParagraph"/>
              <w:spacing w:line="251" w:lineRule="exact"/>
              <w:ind w:left="51"/>
              <w:rPr>
                <w:sz w:val="21"/>
              </w:rPr>
            </w:pPr>
            <w:r>
              <w:rPr>
                <w:spacing w:val="-3"/>
                <w:sz w:val="21"/>
              </w:rPr>
              <w:t>中度肠道疾病并发症</w:t>
            </w:r>
          </w:p>
        </w:tc>
      </w:tr>
      <w:tr>
        <w:trPr>
          <w:trHeight w:val="272" w:hRule="atLeast"/>
        </w:trPr>
        <w:tc>
          <w:tcPr>
            <w:tcW w:w="2866" w:type="dxa"/>
            <w:gridSpan w:val="3"/>
          </w:tcPr>
          <w:p>
            <w:pPr>
              <w:pStyle w:val="TableParagraph"/>
              <w:spacing w:line="250" w:lineRule="exact" w:before="2"/>
              <w:ind w:right="51"/>
              <w:jc w:val="right"/>
              <w:rPr>
                <w:sz w:val="21"/>
              </w:rPr>
            </w:pPr>
            <w:r>
              <w:rPr>
                <w:spacing w:val="-5"/>
                <w:sz w:val="21"/>
              </w:rPr>
              <w:t>20</w:t>
            </w:r>
          </w:p>
        </w:tc>
        <w:tc>
          <w:tcPr>
            <w:tcW w:w="3139" w:type="dxa"/>
          </w:tcPr>
          <w:p>
            <w:pPr>
              <w:pStyle w:val="TableParagraph"/>
              <w:spacing w:line="250" w:lineRule="exact" w:before="2"/>
              <w:ind w:left="52"/>
              <w:rPr>
                <w:sz w:val="21"/>
              </w:rPr>
            </w:pPr>
            <w:r>
              <w:rPr>
                <w:spacing w:val="-4"/>
                <w:sz w:val="21"/>
              </w:rPr>
              <w:t>中度溃疡性结肠炎</w:t>
            </w:r>
          </w:p>
        </w:tc>
        <w:tc>
          <w:tcPr>
            <w:tcW w:w="407" w:type="dxa"/>
          </w:tcPr>
          <w:p>
            <w:pPr>
              <w:pStyle w:val="TableParagraph"/>
              <w:spacing w:line="250" w:lineRule="exact" w:before="2"/>
              <w:ind w:right="51"/>
              <w:jc w:val="right"/>
              <w:rPr>
                <w:sz w:val="21"/>
              </w:rPr>
            </w:pPr>
            <w:r>
              <w:rPr>
                <w:spacing w:val="-5"/>
                <w:sz w:val="21"/>
              </w:rPr>
              <w:t>45</w:t>
            </w:r>
          </w:p>
        </w:tc>
        <w:tc>
          <w:tcPr>
            <w:tcW w:w="3081" w:type="dxa"/>
          </w:tcPr>
          <w:p>
            <w:pPr>
              <w:pStyle w:val="TableParagraph"/>
              <w:spacing w:line="250" w:lineRule="exact" w:before="2"/>
              <w:ind w:left="51"/>
              <w:rPr>
                <w:sz w:val="21"/>
              </w:rPr>
            </w:pPr>
            <w:r>
              <w:rPr>
                <w:spacing w:val="-4"/>
                <w:sz w:val="21"/>
              </w:rPr>
              <w:t>中度阿尔茨海默病</w:t>
            </w:r>
          </w:p>
        </w:tc>
      </w:tr>
      <w:tr>
        <w:trPr>
          <w:trHeight w:val="271" w:hRule="atLeast"/>
        </w:trPr>
        <w:tc>
          <w:tcPr>
            <w:tcW w:w="2866" w:type="dxa"/>
            <w:gridSpan w:val="3"/>
          </w:tcPr>
          <w:p>
            <w:pPr>
              <w:pStyle w:val="TableParagraph"/>
              <w:spacing w:line="250" w:lineRule="exact" w:before="1"/>
              <w:ind w:right="51"/>
              <w:jc w:val="right"/>
              <w:rPr>
                <w:sz w:val="21"/>
              </w:rPr>
            </w:pPr>
            <w:r>
              <w:rPr>
                <w:spacing w:val="-5"/>
                <w:sz w:val="21"/>
              </w:rPr>
              <w:t>21</w:t>
            </w:r>
          </w:p>
        </w:tc>
        <w:tc>
          <w:tcPr>
            <w:tcW w:w="3139" w:type="dxa"/>
          </w:tcPr>
          <w:p>
            <w:pPr>
              <w:pStyle w:val="TableParagraph"/>
              <w:spacing w:line="250" w:lineRule="exact" w:before="1"/>
              <w:ind w:left="52"/>
              <w:rPr>
                <w:sz w:val="21"/>
              </w:rPr>
            </w:pPr>
            <w:r>
              <w:rPr>
                <w:spacing w:val="-3"/>
                <w:sz w:val="21"/>
              </w:rPr>
              <w:t>脑动脉瘤及脑血管瘤</w:t>
            </w:r>
          </w:p>
        </w:tc>
        <w:tc>
          <w:tcPr>
            <w:tcW w:w="407" w:type="dxa"/>
          </w:tcPr>
          <w:p>
            <w:pPr>
              <w:pStyle w:val="TableParagraph"/>
              <w:spacing w:line="250" w:lineRule="exact" w:before="1"/>
              <w:ind w:right="51"/>
              <w:jc w:val="right"/>
              <w:rPr>
                <w:sz w:val="21"/>
              </w:rPr>
            </w:pPr>
            <w:r>
              <w:rPr>
                <w:spacing w:val="-5"/>
                <w:sz w:val="21"/>
              </w:rPr>
              <w:t>46</w:t>
            </w:r>
          </w:p>
        </w:tc>
        <w:tc>
          <w:tcPr>
            <w:tcW w:w="3081" w:type="dxa"/>
          </w:tcPr>
          <w:p>
            <w:pPr>
              <w:pStyle w:val="TableParagraph"/>
              <w:spacing w:line="250" w:lineRule="exact" w:before="1"/>
              <w:ind w:left="51"/>
              <w:rPr>
                <w:sz w:val="21"/>
              </w:rPr>
            </w:pPr>
            <w:r>
              <w:rPr>
                <w:spacing w:val="-3"/>
                <w:sz w:val="21"/>
              </w:rPr>
              <w:t>中度原发性帕金森病</w:t>
            </w:r>
          </w:p>
        </w:tc>
      </w:tr>
      <w:tr>
        <w:trPr>
          <w:trHeight w:val="272" w:hRule="atLeast"/>
        </w:trPr>
        <w:tc>
          <w:tcPr>
            <w:tcW w:w="2866" w:type="dxa"/>
            <w:gridSpan w:val="3"/>
          </w:tcPr>
          <w:p>
            <w:pPr>
              <w:pStyle w:val="TableParagraph"/>
              <w:spacing w:line="251" w:lineRule="exact" w:before="1"/>
              <w:ind w:right="51"/>
              <w:jc w:val="right"/>
              <w:rPr>
                <w:sz w:val="21"/>
              </w:rPr>
            </w:pPr>
            <w:r>
              <w:rPr>
                <w:spacing w:val="-5"/>
                <w:sz w:val="21"/>
              </w:rPr>
              <w:t>22</w:t>
            </w:r>
          </w:p>
        </w:tc>
        <w:tc>
          <w:tcPr>
            <w:tcW w:w="3139" w:type="dxa"/>
          </w:tcPr>
          <w:p>
            <w:pPr>
              <w:pStyle w:val="TableParagraph"/>
              <w:spacing w:line="251" w:lineRule="exact" w:before="1"/>
              <w:ind w:left="52"/>
              <w:rPr>
                <w:sz w:val="21"/>
              </w:rPr>
            </w:pPr>
            <w:r>
              <w:rPr>
                <w:spacing w:val="-4"/>
                <w:sz w:val="21"/>
              </w:rPr>
              <w:t>脑垂体瘤、脑囊肿</w:t>
            </w:r>
          </w:p>
        </w:tc>
        <w:tc>
          <w:tcPr>
            <w:tcW w:w="407" w:type="dxa"/>
          </w:tcPr>
          <w:p>
            <w:pPr>
              <w:pStyle w:val="TableParagraph"/>
              <w:spacing w:line="251" w:lineRule="exact" w:before="1"/>
              <w:ind w:right="51"/>
              <w:jc w:val="right"/>
              <w:rPr>
                <w:sz w:val="21"/>
              </w:rPr>
            </w:pPr>
            <w:r>
              <w:rPr>
                <w:spacing w:val="-5"/>
                <w:sz w:val="21"/>
              </w:rPr>
              <w:t>47</w:t>
            </w:r>
          </w:p>
        </w:tc>
        <w:tc>
          <w:tcPr>
            <w:tcW w:w="3081" w:type="dxa"/>
          </w:tcPr>
          <w:p>
            <w:pPr>
              <w:pStyle w:val="TableParagraph"/>
              <w:spacing w:line="251" w:lineRule="exact" w:before="1"/>
              <w:ind w:left="51"/>
              <w:rPr>
                <w:sz w:val="21"/>
              </w:rPr>
            </w:pPr>
            <w:r>
              <w:rPr>
                <w:spacing w:val="-4"/>
                <w:sz w:val="21"/>
              </w:rPr>
              <w:t>肝叶切除术</w:t>
            </w:r>
          </w:p>
        </w:tc>
      </w:tr>
      <w:tr>
        <w:trPr>
          <w:trHeight w:val="272" w:hRule="atLeast"/>
        </w:trPr>
        <w:tc>
          <w:tcPr>
            <w:tcW w:w="2866" w:type="dxa"/>
            <w:gridSpan w:val="3"/>
          </w:tcPr>
          <w:p>
            <w:pPr>
              <w:pStyle w:val="TableParagraph"/>
              <w:spacing w:line="250" w:lineRule="exact" w:before="2"/>
              <w:ind w:right="51"/>
              <w:jc w:val="right"/>
              <w:rPr>
                <w:sz w:val="21"/>
              </w:rPr>
            </w:pPr>
            <w:r>
              <w:rPr>
                <w:spacing w:val="-5"/>
                <w:sz w:val="21"/>
              </w:rPr>
              <w:t>23</w:t>
            </w:r>
          </w:p>
        </w:tc>
        <w:tc>
          <w:tcPr>
            <w:tcW w:w="3139" w:type="dxa"/>
          </w:tcPr>
          <w:p>
            <w:pPr>
              <w:pStyle w:val="TableParagraph"/>
              <w:spacing w:line="250" w:lineRule="exact" w:before="2"/>
              <w:ind w:left="52"/>
              <w:rPr>
                <w:sz w:val="21"/>
              </w:rPr>
            </w:pPr>
            <w:r>
              <w:rPr>
                <w:spacing w:val="-4"/>
                <w:sz w:val="21"/>
              </w:rPr>
              <w:t>慢性肝功能衰竭</w:t>
            </w:r>
          </w:p>
        </w:tc>
        <w:tc>
          <w:tcPr>
            <w:tcW w:w="407" w:type="dxa"/>
          </w:tcPr>
          <w:p>
            <w:pPr>
              <w:pStyle w:val="TableParagraph"/>
              <w:spacing w:line="250" w:lineRule="exact" w:before="2"/>
              <w:ind w:right="51"/>
              <w:jc w:val="right"/>
              <w:rPr>
                <w:sz w:val="21"/>
              </w:rPr>
            </w:pPr>
            <w:r>
              <w:rPr>
                <w:spacing w:val="-5"/>
                <w:sz w:val="21"/>
              </w:rPr>
              <w:t>48</w:t>
            </w:r>
          </w:p>
        </w:tc>
        <w:tc>
          <w:tcPr>
            <w:tcW w:w="3081" w:type="dxa"/>
          </w:tcPr>
          <w:p>
            <w:pPr>
              <w:pStyle w:val="TableParagraph"/>
              <w:spacing w:line="250" w:lineRule="exact" w:before="2"/>
              <w:ind w:left="51"/>
              <w:rPr>
                <w:sz w:val="21"/>
              </w:rPr>
            </w:pPr>
            <w:r>
              <w:rPr>
                <w:spacing w:val="-3"/>
                <w:sz w:val="21"/>
              </w:rPr>
              <w:t>肾动脉狭窄支架植入手术</w:t>
            </w:r>
          </w:p>
        </w:tc>
      </w:tr>
      <w:tr>
        <w:trPr>
          <w:trHeight w:val="272" w:hRule="atLeast"/>
        </w:trPr>
        <w:tc>
          <w:tcPr>
            <w:tcW w:w="2866" w:type="dxa"/>
            <w:gridSpan w:val="3"/>
          </w:tcPr>
          <w:p>
            <w:pPr>
              <w:pStyle w:val="TableParagraph"/>
              <w:spacing w:line="251" w:lineRule="exact" w:before="1"/>
              <w:ind w:right="51"/>
              <w:jc w:val="right"/>
              <w:rPr>
                <w:sz w:val="21"/>
              </w:rPr>
            </w:pPr>
            <w:r>
              <w:rPr>
                <w:spacing w:val="-5"/>
                <w:sz w:val="21"/>
              </w:rPr>
              <w:t>24</w:t>
            </w:r>
          </w:p>
        </w:tc>
        <w:tc>
          <w:tcPr>
            <w:tcW w:w="3139" w:type="dxa"/>
          </w:tcPr>
          <w:p>
            <w:pPr>
              <w:pStyle w:val="TableParagraph"/>
              <w:spacing w:line="251" w:lineRule="exact" w:before="1"/>
              <w:ind w:left="52"/>
              <w:rPr>
                <w:sz w:val="21"/>
              </w:rPr>
            </w:pPr>
            <w:r>
              <w:rPr>
                <w:spacing w:val="-4"/>
                <w:sz w:val="21"/>
              </w:rPr>
              <w:t>轻度面部烧伤</w:t>
            </w:r>
          </w:p>
        </w:tc>
        <w:tc>
          <w:tcPr>
            <w:tcW w:w="407" w:type="dxa"/>
          </w:tcPr>
          <w:p>
            <w:pPr>
              <w:pStyle w:val="TableParagraph"/>
              <w:spacing w:line="251" w:lineRule="exact" w:before="1"/>
              <w:ind w:right="51"/>
              <w:jc w:val="right"/>
              <w:rPr>
                <w:sz w:val="21"/>
              </w:rPr>
            </w:pPr>
            <w:r>
              <w:rPr>
                <w:spacing w:val="-5"/>
                <w:sz w:val="21"/>
              </w:rPr>
              <w:t>49</w:t>
            </w:r>
          </w:p>
        </w:tc>
        <w:tc>
          <w:tcPr>
            <w:tcW w:w="3081" w:type="dxa"/>
          </w:tcPr>
          <w:p>
            <w:pPr>
              <w:pStyle w:val="TableParagraph"/>
              <w:spacing w:line="251" w:lineRule="exact" w:before="1"/>
              <w:ind w:left="51"/>
              <w:rPr>
                <w:sz w:val="21"/>
              </w:rPr>
            </w:pPr>
            <w:r>
              <w:rPr>
                <w:spacing w:val="-4"/>
                <w:sz w:val="21"/>
              </w:rPr>
              <w:t>结核性脊髓炎</w:t>
            </w:r>
          </w:p>
        </w:tc>
      </w:tr>
      <w:tr>
        <w:trPr>
          <w:trHeight w:val="242" w:hRule="atLeast"/>
        </w:trPr>
        <w:tc>
          <w:tcPr>
            <w:tcW w:w="2866" w:type="dxa"/>
            <w:gridSpan w:val="3"/>
          </w:tcPr>
          <w:p>
            <w:pPr>
              <w:pStyle w:val="TableParagraph"/>
              <w:spacing w:line="220" w:lineRule="exact" w:before="2"/>
              <w:ind w:right="51"/>
              <w:jc w:val="right"/>
              <w:rPr>
                <w:sz w:val="21"/>
              </w:rPr>
            </w:pPr>
            <w:r>
              <w:rPr>
                <w:spacing w:val="-5"/>
                <w:sz w:val="21"/>
              </w:rPr>
              <w:t>25</w:t>
            </w:r>
          </w:p>
        </w:tc>
        <w:tc>
          <w:tcPr>
            <w:tcW w:w="3139" w:type="dxa"/>
          </w:tcPr>
          <w:p>
            <w:pPr>
              <w:pStyle w:val="TableParagraph"/>
              <w:spacing w:line="220" w:lineRule="exact" w:before="2"/>
              <w:ind w:left="52"/>
              <w:rPr>
                <w:sz w:val="21"/>
              </w:rPr>
            </w:pPr>
            <w:r>
              <w:rPr>
                <w:spacing w:val="-3"/>
                <w:sz w:val="21"/>
              </w:rPr>
              <w:t>严重甲型及乙型血友病</w:t>
            </w:r>
          </w:p>
        </w:tc>
        <w:tc>
          <w:tcPr>
            <w:tcW w:w="407" w:type="dxa"/>
          </w:tcPr>
          <w:p>
            <w:pPr>
              <w:pStyle w:val="TableParagraph"/>
              <w:spacing w:line="220" w:lineRule="exact" w:before="2"/>
              <w:ind w:right="51"/>
              <w:jc w:val="right"/>
              <w:rPr>
                <w:sz w:val="21"/>
              </w:rPr>
            </w:pPr>
            <w:r>
              <w:rPr>
                <w:spacing w:val="-5"/>
                <w:sz w:val="21"/>
              </w:rPr>
              <w:t>50</w:t>
            </w:r>
          </w:p>
        </w:tc>
        <w:tc>
          <w:tcPr>
            <w:tcW w:w="3081" w:type="dxa"/>
          </w:tcPr>
          <w:p>
            <w:pPr>
              <w:pStyle w:val="TableParagraph"/>
              <w:spacing w:line="220" w:lineRule="exact" w:before="2"/>
              <w:ind w:left="51"/>
              <w:rPr>
                <w:sz w:val="21"/>
              </w:rPr>
            </w:pPr>
            <w:r>
              <w:rPr>
                <w:spacing w:val="-4"/>
                <w:sz w:val="21"/>
              </w:rPr>
              <w:t>中度昏迷</w:t>
            </w:r>
          </w:p>
        </w:tc>
      </w:tr>
    </w:tbl>
    <w:p>
      <w:pPr>
        <w:pStyle w:val="BodyText"/>
        <w:rPr>
          <w:sz w:val="19"/>
        </w:rPr>
      </w:pPr>
    </w:p>
    <w:p>
      <w:pPr>
        <w:spacing w:after="0"/>
        <w:rPr>
          <w:sz w:val="19"/>
        </w:rPr>
        <w:sectPr>
          <w:pgSz w:w="11910" w:h="16840"/>
          <w:pgMar w:header="877" w:footer="0" w:top="1100" w:bottom="280" w:left="1060" w:right="980"/>
        </w:sectPr>
      </w:pPr>
    </w:p>
    <w:p>
      <w:pPr>
        <w:pStyle w:val="ListParagraph"/>
        <w:numPr>
          <w:ilvl w:val="0"/>
          <w:numId w:val="95"/>
        </w:numPr>
        <w:tabs>
          <w:tab w:pos="1210" w:val="left" w:leader="none"/>
          <w:tab w:pos="1211" w:val="left" w:leader="none"/>
        </w:tabs>
        <w:spacing w:line="168" w:lineRule="auto" w:before="88" w:after="0"/>
        <w:ind w:left="1210" w:right="0" w:hanging="958"/>
        <w:jc w:val="left"/>
        <w:rPr>
          <w:rFonts w:ascii="微软雅黑" w:hAnsi="微软雅黑" w:eastAsia="微软雅黑"/>
          <w:b/>
          <w:sz w:val="21"/>
        </w:rPr>
      </w:pPr>
      <w:r>
        <w:rPr>
          <w:rFonts w:ascii="微软雅黑" w:hAnsi="微软雅黑" w:eastAsia="微软雅黑"/>
          <w:b/>
          <w:spacing w:val="15"/>
          <w:w w:val="95"/>
          <w:sz w:val="21"/>
        </w:rPr>
        <w:t>恶性肿瘤——</w:t>
      </w:r>
      <w:r>
        <w:rPr>
          <w:rFonts w:ascii="微软雅黑" w:hAnsi="微软雅黑" w:eastAsia="微软雅黑"/>
          <w:b/>
          <w:w w:val="95"/>
          <w:sz w:val="21"/>
        </w:rPr>
        <w:t> </w:t>
      </w:r>
      <w:r>
        <w:rPr>
          <w:rFonts w:ascii="微软雅黑" w:hAnsi="微软雅黑" w:eastAsia="微软雅黑"/>
          <w:b/>
          <w:spacing w:val="-6"/>
          <w:sz w:val="21"/>
        </w:rPr>
        <w:t>轻度</w:t>
      </w:r>
    </w:p>
    <w:p>
      <w:pPr>
        <w:pStyle w:val="BodyText"/>
        <w:spacing w:line="242" w:lineRule="auto" w:before="72"/>
        <w:ind w:left="154" w:right="220"/>
      </w:pPr>
      <w:r>
        <w:rPr/>
        <w:br w:type="column"/>
      </w:r>
      <w:r>
        <w:rPr>
          <w:spacing w:val="-2"/>
        </w:rPr>
        <w:t>指恶性细胞不受控制的进行性增长和扩散，浸润和破坏周围正常组织，可</w:t>
      </w:r>
      <w:r>
        <w:rPr>
          <w:spacing w:val="-2"/>
        </w:rPr>
        <w:t>以经血管、淋巴管和体腔扩散转移到身体其他部位，病灶经组织病理学检</w:t>
      </w:r>
      <w:r>
        <w:rPr>
          <w:spacing w:val="40"/>
        </w:rPr>
        <w:t> </w:t>
      </w:r>
      <w:r>
        <w:rPr>
          <w:spacing w:val="-104"/>
        </w:rPr>
        <w:t>查</w:t>
      </w:r>
      <w:r>
        <w:rPr>
          <w:spacing w:val="-2"/>
        </w:rPr>
        <w:t>（涵盖骨髓病理学检查</w:t>
      </w:r>
      <w:r>
        <w:rPr>
          <w:spacing w:val="-106"/>
        </w:rPr>
        <w:t>）</w:t>
      </w:r>
      <w:r>
        <w:rPr>
          <w:spacing w:val="-18"/>
        </w:rPr>
        <w:t>结果明确诊断，临床诊断属于世界卫生组织</w:t>
      </w:r>
      <w:r>
        <w:rPr>
          <w:spacing w:val="-2"/>
        </w:rPr>
        <w:t>（WHO， </w:t>
      </w:r>
      <w:r>
        <w:rPr/>
        <w:t>World</w:t>
      </w:r>
      <w:r>
        <w:rPr>
          <w:spacing w:val="-15"/>
        </w:rPr>
        <w:t> </w:t>
      </w:r>
      <w:r>
        <w:rPr/>
        <w:t>Health</w:t>
      </w:r>
      <w:r>
        <w:rPr>
          <w:spacing w:val="-12"/>
        </w:rPr>
        <w:t> </w:t>
      </w:r>
      <w:r>
        <w:rPr/>
        <w:t>Organization）《疾病和有关健康问题的国际统计分类》第</w:t>
      </w:r>
      <w:r>
        <w:rPr>
          <w:spacing w:val="-2"/>
        </w:rPr>
        <w:t>十次修订版（ICD-10）的恶性肿瘤类别及《国际疾病分类肿瘤学专辑》第</w:t>
      </w:r>
    </w:p>
    <w:p>
      <w:pPr>
        <w:spacing w:after="0" w:line="242" w:lineRule="auto"/>
        <w:sectPr>
          <w:type w:val="continuous"/>
          <w:pgSz w:w="11910" w:h="16840"/>
          <w:pgMar w:header="877" w:footer="0" w:top="1100" w:bottom="280" w:left="1060" w:right="980"/>
          <w:cols w:num="2" w:equalWidth="0">
            <w:col w:w="2611" w:space="40"/>
            <w:col w:w="7219"/>
          </w:cols>
        </w:sectPr>
      </w:pPr>
    </w:p>
    <w:p>
      <w:pPr>
        <w:spacing w:line="184" w:lineRule="auto" w:before="79"/>
        <w:ind w:left="2805" w:right="323" w:firstLine="0"/>
        <w:jc w:val="both"/>
        <w:rPr>
          <w:sz w:val="21"/>
        </w:rPr>
      </w:pPr>
      <w:r>
        <w:rPr>
          <w:spacing w:val="-2"/>
          <w:sz w:val="21"/>
        </w:rPr>
        <w:t>三版（ICD-O-3）的肿瘤形态学编码属于3、6、9（恶性肿瘤）范畴，</w:t>
      </w:r>
      <w:r>
        <w:rPr>
          <w:rFonts w:ascii="微软雅黑" w:hAnsi="微软雅黑" w:eastAsia="微软雅黑"/>
          <w:b/>
          <w:spacing w:val="-2"/>
          <w:sz w:val="21"/>
        </w:rPr>
        <w:t>但不</w:t>
      </w:r>
      <w:r>
        <w:rPr>
          <w:rFonts w:ascii="微软雅黑" w:hAnsi="微软雅黑" w:eastAsia="微软雅黑"/>
          <w:b/>
          <w:spacing w:val="-2"/>
          <w:sz w:val="21"/>
        </w:rPr>
        <w:t>在本合同所指重大疾病“恶性肿瘤——</w:t>
      </w:r>
      <w:r>
        <w:rPr>
          <w:rFonts w:ascii="微软雅黑" w:hAnsi="微软雅黑" w:eastAsia="微软雅黑"/>
          <w:b/>
          <w:spacing w:val="-2"/>
          <w:sz w:val="21"/>
        </w:rPr>
        <w:t>重度”保障范围的疾病。</w:t>
      </w:r>
      <w:r>
        <w:rPr>
          <w:spacing w:val="-2"/>
          <w:sz w:val="21"/>
        </w:rPr>
        <w:t>且特指下</w:t>
      </w:r>
      <w:r>
        <w:rPr>
          <w:spacing w:val="-2"/>
          <w:sz w:val="21"/>
        </w:rPr>
        <w:t>列六项之一：</w:t>
      </w:r>
    </w:p>
    <w:p>
      <w:pPr>
        <w:pStyle w:val="ListParagraph"/>
        <w:numPr>
          <w:ilvl w:val="1"/>
          <w:numId w:val="95"/>
        </w:numPr>
        <w:tabs>
          <w:tab w:pos="3334" w:val="left" w:leader="none"/>
        </w:tabs>
        <w:spacing w:line="240" w:lineRule="auto" w:before="17" w:after="0"/>
        <w:ind w:left="3334" w:right="0" w:hanging="529"/>
        <w:jc w:val="left"/>
        <w:rPr>
          <w:sz w:val="21"/>
        </w:rPr>
      </w:pPr>
      <w:r>
        <w:rPr>
          <w:spacing w:val="-2"/>
          <w:sz w:val="21"/>
        </w:rPr>
        <w:t>TNM</w:t>
      </w:r>
      <w:r>
        <w:rPr>
          <w:spacing w:val="-3"/>
          <w:sz w:val="21"/>
        </w:rPr>
        <w:t>分期为Ⅰ期的甲状腺癌；</w:t>
      </w:r>
    </w:p>
    <w:p>
      <w:pPr>
        <w:pStyle w:val="ListParagraph"/>
        <w:numPr>
          <w:ilvl w:val="1"/>
          <w:numId w:val="95"/>
        </w:numPr>
        <w:tabs>
          <w:tab w:pos="3334" w:val="left" w:leader="none"/>
        </w:tabs>
        <w:spacing w:line="240" w:lineRule="auto" w:before="4" w:after="0"/>
        <w:ind w:left="3334" w:right="0" w:hanging="529"/>
        <w:jc w:val="left"/>
        <w:rPr>
          <w:sz w:val="21"/>
        </w:rPr>
      </w:pPr>
      <w:r>
        <w:rPr>
          <w:spacing w:val="-2"/>
          <w:position w:val="1"/>
          <w:sz w:val="21"/>
        </w:rPr>
        <w:t>TNM分期为T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4"/>
          <w:position w:val="1"/>
          <w:sz w:val="21"/>
        </w:rPr>
        <w:t>期的前列腺癌；</w:t>
      </w:r>
    </w:p>
    <w:p>
      <w:pPr>
        <w:pStyle w:val="ListParagraph"/>
        <w:numPr>
          <w:ilvl w:val="1"/>
          <w:numId w:val="95"/>
        </w:numPr>
        <w:tabs>
          <w:tab w:pos="3334" w:val="left" w:leader="none"/>
        </w:tabs>
        <w:spacing w:line="240" w:lineRule="auto" w:before="2" w:after="0"/>
        <w:ind w:left="3334" w:right="0" w:hanging="529"/>
        <w:jc w:val="left"/>
        <w:rPr>
          <w:sz w:val="21"/>
        </w:rPr>
      </w:pPr>
      <w:r>
        <w:rPr>
          <w:spacing w:val="-3"/>
          <w:sz w:val="21"/>
        </w:rPr>
        <w:t>黑色素瘤以外的未发生淋巴结和远处转移的皮肤恶性肿瘤；</w:t>
      </w:r>
    </w:p>
    <w:p>
      <w:pPr>
        <w:pStyle w:val="ListParagraph"/>
        <w:numPr>
          <w:ilvl w:val="1"/>
          <w:numId w:val="95"/>
        </w:numPr>
        <w:tabs>
          <w:tab w:pos="3334" w:val="left" w:leader="none"/>
        </w:tabs>
        <w:spacing w:line="240" w:lineRule="auto" w:before="5" w:after="0"/>
        <w:ind w:left="3334" w:right="0" w:hanging="529"/>
        <w:jc w:val="left"/>
        <w:rPr>
          <w:sz w:val="21"/>
        </w:rPr>
      </w:pPr>
      <w:r>
        <w:rPr>
          <w:spacing w:val="-2"/>
          <w:sz w:val="21"/>
        </w:rPr>
        <w:t>相当于Binet分期方案A</w:t>
      </w:r>
      <w:r>
        <w:rPr>
          <w:spacing w:val="-3"/>
          <w:sz w:val="21"/>
        </w:rPr>
        <w:t>期程度的慢性淋巴细胞白血病；</w:t>
      </w:r>
    </w:p>
    <w:p>
      <w:pPr>
        <w:pStyle w:val="ListParagraph"/>
        <w:numPr>
          <w:ilvl w:val="1"/>
          <w:numId w:val="95"/>
        </w:numPr>
        <w:tabs>
          <w:tab w:pos="3334" w:val="left" w:leader="none"/>
        </w:tabs>
        <w:spacing w:line="240" w:lineRule="auto" w:before="2" w:after="0"/>
        <w:ind w:left="3334" w:right="0" w:hanging="529"/>
        <w:jc w:val="left"/>
        <w:rPr>
          <w:sz w:val="21"/>
        </w:rPr>
      </w:pPr>
      <w:r>
        <w:rPr>
          <w:spacing w:val="-2"/>
          <w:sz w:val="21"/>
        </w:rPr>
        <w:t>相当于Ann</w:t>
      </w:r>
      <w:r>
        <w:rPr>
          <w:spacing w:val="21"/>
          <w:sz w:val="21"/>
        </w:rPr>
        <w:t> </w:t>
      </w:r>
      <w:r>
        <w:rPr>
          <w:spacing w:val="-2"/>
          <w:sz w:val="21"/>
        </w:rPr>
        <w:t>Arbor</w:t>
      </w:r>
      <w:r>
        <w:rPr>
          <w:spacing w:val="-3"/>
          <w:sz w:val="21"/>
        </w:rPr>
        <w:t>分期方案Ⅰ期程度的何杰金氏病；</w:t>
      </w:r>
    </w:p>
    <w:p>
      <w:pPr>
        <w:pStyle w:val="ListParagraph"/>
        <w:numPr>
          <w:ilvl w:val="1"/>
          <w:numId w:val="95"/>
        </w:numPr>
        <w:tabs>
          <w:tab w:pos="3343" w:val="left" w:leader="none"/>
        </w:tabs>
        <w:spacing w:line="242" w:lineRule="auto" w:before="4" w:after="0"/>
        <w:ind w:left="3330" w:right="326" w:hanging="526"/>
        <w:jc w:val="left"/>
        <w:rPr>
          <w:sz w:val="21"/>
        </w:rPr>
      </w:pPr>
      <w:r>
        <w:rPr>
          <w:spacing w:val="-2"/>
          <w:sz w:val="21"/>
        </w:rPr>
        <w:t>未发生淋巴结和远处转移且WHO分级为G1级别（核分裂像&lt;10/50HPF</w:t>
      </w:r>
      <w:r>
        <w:rPr>
          <w:spacing w:val="-2"/>
          <w:sz w:val="21"/>
        </w:rPr>
        <w:t>和ki-67≤2%）的神经内分泌肿瘤。</w:t>
      </w:r>
    </w:p>
    <w:p>
      <w:pPr>
        <w:spacing w:line="263" w:lineRule="exact" w:before="0"/>
        <w:ind w:left="2805" w:right="0" w:firstLine="0"/>
        <w:jc w:val="left"/>
        <w:rPr>
          <w:rFonts w:ascii="微软雅黑" w:hAnsi="微软雅黑" w:eastAsia="微软雅黑"/>
          <w:b/>
          <w:sz w:val="21"/>
        </w:rPr>
      </w:pPr>
      <w:r>
        <w:rPr>
          <w:rFonts w:ascii="微软雅黑" w:hAnsi="微软雅黑" w:eastAsia="微软雅黑"/>
          <w:b/>
          <w:w w:val="95"/>
          <w:sz w:val="21"/>
        </w:rPr>
        <w:t>下</w:t>
      </w:r>
      <w:r>
        <w:rPr>
          <w:rFonts w:ascii="微软雅黑" w:hAnsi="微软雅黑" w:eastAsia="微软雅黑"/>
          <w:b/>
          <w:w w:val="95"/>
          <w:sz w:val="21"/>
        </w:rPr>
        <w:t>列</w:t>
      </w:r>
      <w:r>
        <w:rPr>
          <w:rFonts w:ascii="微软雅黑" w:hAnsi="微软雅黑" w:eastAsia="微软雅黑"/>
          <w:b/>
          <w:w w:val="95"/>
          <w:sz w:val="21"/>
        </w:rPr>
        <w:t>疾</w:t>
      </w:r>
      <w:r>
        <w:rPr>
          <w:rFonts w:ascii="微软雅黑" w:hAnsi="微软雅黑" w:eastAsia="微软雅黑"/>
          <w:b/>
          <w:w w:val="95"/>
          <w:sz w:val="21"/>
        </w:rPr>
        <w:t>病</w:t>
      </w:r>
      <w:r>
        <w:rPr>
          <w:rFonts w:ascii="微软雅黑" w:hAnsi="微软雅黑" w:eastAsia="微软雅黑"/>
          <w:b/>
          <w:w w:val="95"/>
          <w:sz w:val="21"/>
        </w:rPr>
        <w:t>不</w:t>
      </w:r>
      <w:r>
        <w:rPr>
          <w:rFonts w:ascii="微软雅黑" w:hAnsi="微软雅黑" w:eastAsia="微软雅黑"/>
          <w:b/>
          <w:w w:val="95"/>
          <w:sz w:val="21"/>
        </w:rPr>
        <w:t>属</w:t>
      </w:r>
      <w:r>
        <w:rPr>
          <w:rFonts w:ascii="微软雅黑" w:hAnsi="微软雅黑" w:eastAsia="微软雅黑"/>
          <w:b/>
          <w:w w:val="95"/>
          <w:sz w:val="21"/>
        </w:rPr>
        <w:t>于</w:t>
      </w:r>
      <w:r>
        <w:rPr>
          <w:rFonts w:ascii="微软雅黑" w:hAnsi="微软雅黑" w:eastAsia="微软雅黑"/>
          <w:b/>
          <w:w w:val="95"/>
          <w:sz w:val="21"/>
        </w:rPr>
        <w:t>“恶性肿瘤——</w:t>
      </w:r>
      <w:r>
        <w:rPr>
          <w:rFonts w:ascii="微软雅黑" w:hAnsi="微软雅黑" w:eastAsia="微软雅黑"/>
          <w:b/>
          <w:w w:val="95"/>
          <w:sz w:val="21"/>
        </w:rPr>
        <w:t>轻</w:t>
      </w:r>
      <w:r>
        <w:rPr>
          <w:rFonts w:ascii="微软雅黑" w:hAnsi="微软雅黑" w:eastAsia="微软雅黑"/>
          <w:b/>
          <w:w w:val="95"/>
          <w:sz w:val="21"/>
        </w:rPr>
        <w:t>度</w:t>
      </w:r>
      <w:r>
        <w:rPr>
          <w:rFonts w:ascii="微软雅黑" w:hAnsi="微软雅黑" w:eastAsia="微软雅黑"/>
          <w:b/>
          <w:w w:val="95"/>
          <w:sz w:val="21"/>
        </w:rPr>
        <w:t>”，</w:t>
      </w:r>
      <w:r>
        <w:rPr>
          <w:rFonts w:ascii="微软雅黑" w:hAnsi="微软雅黑" w:eastAsia="微软雅黑"/>
          <w:b/>
          <w:w w:val="95"/>
          <w:sz w:val="21"/>
        </w:rPr>
        <w:t>不</w:t>
      </w:r>
      <w:r>
        <w:rPr>
          <w:rFonts w:ascii="微软雅黑" w:hAnsi="微软雅黑" w:eastAsia="微软雅黑"/>
          <w:b/>
          <w:w w:val="95"/>
          <w:sz w:val="21"/>
        </w:rPr>
        <w:t>在保障</w:t>
      </w:r>
      <w:r>
        <w:rPr>
          <w:rFonts w:ascii="微软雅黑" w:hAnsi="微软雅黑" w:eastAsia="微软雅黑"/>
          <w:b/>
          <w:w w:val="95"/>
          <w:sz w:val="21"/>
        </w:rPr>
        <w:t>范</w:t>
      </w:r>
      <w:r>
        <w:rPr>
          <w:rFonts w:ascii="微软雅黑" w:hAnsi="微软雅黑" w:eastAsia="微软雅黑"/>
          <w:b/>
          <w:w w:val="95"/>
          <w:sz w:val="21"/>
        </w:rPr>
        <w:t>围</w:t>
      </w:r>
      <w:r>
        <w:rPr>
          <w:rFonts w:ascii="微软雅黑" w:hAnsi="微软雅黑" w:eastAsia="微软雅黑"/>
          <w:b/>
          <w:w w:val="95"/>
          <w:sz w:val="21"/>
        </w:rPr>
        <w:t>内</w:t>
      </w:r>
      <w:r>
        <w:rPr>
          <w:rFonts w:ascii="微软雅黑" w:hAnsi="微软雅黑" w:eastAsia="微软雅黑"/>
          <w:b/>
          <w:spacing w:val="-10"/>
          <w:w w:val="95"/>
          <w:sz w:val="21"/>
        </w:rPr>
        <w:t>：</w:t>
      </w:r>
    </w:p>
    <w:p>
      <w:pPr>
        <w:spacing w:line="170" w:lineRule="auto" w:before="23"/>
        <w:ind w:left="2805" w:right="328" w:firstLine="0"/>
        <w:jc w:val="left"/>
        <w:rPr>
          <w:rFonts w:ascii="微软雅黑" w:eastAsia="微软雅黑"/>
          <w:b/>
          <w:sz w:val="21"/>
        </w:rPr>
      </w:pPr>
      <w:r>
        <w:rPr>
          <w:rFonts w:ascii="微软雅黑" w:eastAsia="微软雅黑"/>
          <w:b/>
          <w:spacing w:val="-2"/>
          <w:w w:val="95"/>
          <w:sz w:val="21"/>
        </w:rPr>
        <w:t>ICD-O-3</w:t>
      </w:r>
      <w:r>
        <w:rPr>
          <w:rFonts w:ascii="微软雅黑" w:eastAsia="微软雅黑"/>
          <w:b/>
          <w:spacing w:val="-2"/>
          <w:w w:val="95"/>
          <w:sz w:val="21"/>
        </w:rPr>
        <w:t>肿</w:t>
      </w:r>
      <w:r>
        <w:rPr>
          <w:rFonts w:ascii="微软雅黑" w:eastAsia="微软雅黑"/>
          <w:b/>
          <w:spacing w:val="-2"/>
          <w:w w:val="95"/>
          <w:sz w:val="21"/>
        </w:rPr>
        <w:t>瘤</w:t>
      </w:r>
      <w:r>
        <w:rPr>
          <w:rFonts w:ascii="微软雅黑" w:eastAsia="微软雅黑"/>
          <w:b/>
          <w:spacing w:val="-2"/>
          <w:w w:val="95"/>
          <w:sz w:val="21"/>
        </w:rPr>
        <w:t>形</w:t>
      </w:r>
      <w:r>
        <w:rPr>
          <w:rFonts w:ascii="微软雅黑" w:eastAsia="微软雅黑"/>
          <w:b/>
          <w:spacing w:val="-2"/>
          <w:w w:val="95"/>
          <w:sz w:val="21"/>
        </w:rPr>
        <w:t>态</w:t>
      </w:r>
      <w:r>
        <w:rPr>
          <w:rFonts w:ascii="微软雅黑" w:eastAsia="微软雅黑"/>
          <w:b/>
          <w:spacing w:val="-2"/>
          <w:w w:val="95"/>
          <w:sz w:val="21"/>
        </w:rPr>
        <w:t>学</w:t>
      </w:r>
      <w:r>
        <w:rPr>
          <w:rFonts w:ascii="微软雅黑" w:eastAsia="微软雅黑"/>
          <w:b/>
          <w:spacing w:val="-2"/>
          <w:w w:val="95"/>
          <w:sz w:val="21"/>
        </w:rPr>
        <w:t>编</w:t>
      </w:r>
      <w:r>
        <w:rPr>
          <w:rFonts w:ascii="微软雅黑" w:eastAsia="微软雅黑"/>
          <w:b/>
          <w:spacing w:val="-2"/>
          <w:w w:val="95"/>
          <w:sz w:val="21"/>
        </w:rPr>
        <w:t>码</w:t>
      </w:r>
      <w:r>
        <w:rPr>
          <w:rFonts w:ascii="微软雅黑" w:eastAsia="微软雅黑"/>
          <w:b/>
          <w:spacing w:val="-2"/>
          <w:w w:val="95"/>
          <w:sz w:val="21"/>
        </w:rPr>
        <w:t>属</w:t>
      </w:r>
      <w:r>
        <w:rPr>
          <w:rFonts w:ascii="微软雅黑" w:eastAsia="微软雅黑"/>
          <w:b/>
          <w:spacing w:val="-2"/>
          <w:w w:val="95"/>
          <w:sz w:val="21"/>
        </w:rPr>
        <w:t>于0（</w:t>
      </w:r>
      <w:r>
        <w:rPr>
          <w:rFonts w:ascii="微软雅黑" w:eastAsia="微软雅黑"/>
          <w:b/>
          <w:spacing w:val="-2"/>
          <w:w w:val="95"/>
          <w:sz w:val="21"/>
        </w:rPr>
        <w:t>良</w:t>
      </w:r>
      <w:r>
        <w:rPr>
          <w:rFonts w:ascii="微软雅黑" w:eastAsia="微软雅黑"/>
          <w:b/>
          <w:spacing w:val="-2"/>
          <w:w w:val="95"/>
          <w:sz w:val="21"/>
        </w:rPr>
        <w:t>性</w:t>
      </w:r>
      <w:r>
        <w:rPr>
          <w:rFonts w:ascii="微软雅黑" w:eastAsia="微软雅黑"/>
          <w:b/>
          <w:spacing w:val="-2"/>
          <w:w w:val="95"/>
          <w:sz w:val="21"/>
        </w:rPr>
        <w:t>肿</w:t>
      </w:r>
      <w:r>
        <w:rPr>
          <w:rFonts w:ascii="微软雅黑" w:eastAsia="微软雅黑"/>
          <w:b/>
          <w:spacing w:val="-2"/>
          <w:w w:val="95"/>
          <w:sz w:val="21"/>
        </w:rPr>
        <w:t>瘤</w:t>
      </w:r>
      <w:r>
        <w:rPr>
          <w:rFonts w:ascii="微软雅黑" w:eastAsia="微软雅黑"/>
          <w:b/>
          <w:spacing w:val="-2"/>
          <w:w w:val="95"/>
          <w:sz w:val="21"/>
        </w:rPr>
        <w:t>）</w:t>
      </w:r>
      <w:r>
        <w:rPr>
          <w:rFonts w:ascii="微软雅黑" w:eastAsia="微软雅黑"/>
          <w:b/>
          <w:spacing w:val="-2"/>
          <w:w w:val="95"/>
          <w:sz w:val="21"/>
        </w:rPr>
        <w:t>、</w:t>
      </w:r>
      <w:r>
        <w:rPr>
          <w:rFonts w:ascii="微软雅黑" w:eastAsia="微软雅黑"/>
          <w:b/>
          <w:spacing w:val="-2"/>
          <w:w w:val="95"/>
          <w:sz w:val="21"/>
        </w:rPr>
        <w:t>1（</w:t>
      </w:r>
      <w:r>
        <w:rPr>
          <w:rFonts w:ascii="微软雅黑" w:eastAsia="微软雅黑"/>
          <w:b/>
          <w:spacing w:val="-2"/>
          <w:w w:val="95"/>
          <w:sz w:val="21"/>
        </w:rPr>
        <w:t>动</w:t>
      </w:r>
      <w:r>
        <w:rPr>
          <w:rFonts w:ascii="微软雅黑" w:eastAsia="微软雅黑"/>
          <w:b/>
          <w:spacing w:val="-2"/>
          <w:w w:val="95"/>
          <w:sz w:val="21"/>
        </w:rPr>
        <w:t>态</w:t>
      </w:r>
      <w:r>
        <w:rPr>
          <w:rFonts w:ascii="微软雅黑" w:eastAsia="微软雅黑"/>
          <w:b/>
          <w:spacing w:val="-2"/>
          <w:w w:val="95"/>
          <w:sz w:val="21"/>
        </w:rPr>
        <w:t>未</w:t>
      </w:r>
      <w:r>
        <w:rPr>
          <w:rFonts w:ascii="微软雅黑" w:eastAsia="微软雅黑"/>
          <w:b/>
          <w:spacing w:val="-2"/>
          <w:w w:val="95"/>
          <w:sz w:val="21"/>
        </w:rPr>
        <w:t>定</w:t>
      </w:r>
      <w:r>
        <w:rPr>
          <w:rFonts w:ascii="微软雅黑" w:eastAsia="微软雅黑"/>
          <w:b/>
          <w:spacing w:val="-2"/>
          <w:w w:val="95"/>
          <w:sz w:val="21"/>
        </w:rPr>
        <w:t>性</w:t>
      </w:r>
      <w:r>
        <w:rPr>
          <w:rFonts w:ascii="微软雅黑" w:eastAsia="微软雅黑"/>
          <w:b/>
          <w:spacing w:val="-2"/>
          <w:w w:val="95"/>
          <w:sz w:val="21"/>
        </w:rPr>
        <w:t>肿</w:t>
      </w:r>
      <w:r>
        <w:rPr>
          <w:rFonts w:ascii="微软雅黑" w:eastAsia="微软雅黑"/>
          <w:b/>
          <w:spacing w:val="-2"/>
          <w:w w:val="95"/>
          <w:sz w:val="21"/>
        </w:rPr>
        <w:t>瘤</w:t>
      </w:r>
      <w:r>
        <w:rPr>
          <w:rFonts w:ascii="微软雅黑" w:eastAsia="微软雅黑"/>
          <w:b/>
          <w:spacing w:val="-2"/>
          <w:w w:val="95"/>
          <w:sz w:val="21"/>
        </w:rPr>
        <w:t>）</w:t>
      </w:r>
      <w:r>
        <w:rPr>
          <w:rFonts w:ascii="微软雅黑" w:eastAsia="微软雅黑"/>
          <w:b/>
          <w:spacing w:val="-2"/>
          <w:w w:val="95"/>
          <w:sz w:val="21"/>
        </w:rPr>
        <w:t>、</w:t>
      </w:r>
      <w:r>
        <w:rPr>
          <w:rFonts w:ascii="微软雅黑" w:eastAsia="微软雅黑"/>
          <w:b/>
          <w:spacing w:val="-2"/>
          <w:w w:val="95"/>
          <w:sz w:val="21"/>
        </w:rPr>
        <w:t>2（</w:t>
      </w:r>
      <w:r>
        <w:rPr>
          <w:rFonts w:ascii="微软雅黑" w:eastAsia="微软雅黑"/>
          <w:b/>
          <w:spacing w:val="-2"/>
          <w:w w:val="95"/>
          <w:sz w:val="21"/>
        </w:rPr>
        <w:t>原</w:t>
      </w:r>
      <w:r>
        <w:rPr>
          <w:rFonts w:ascii="微软雅黑" w:eastAsia="微软雅黑"/>
          <w:b/>
          <w:spacing w:val="-2"/>
          <w:sz w:val="21"/>
        </w:rPr>
        <w:t>位癌和非侵袭性癌）范畴的疾病，如：</w:t>
      </w:r>
    </w:p>
    <w:p>
      <w:pPr>
        <w:pStyle w:val="ListParagraph"/>
        <w:numPr>
          <w:ilvl w:val="2"/>
          <w:numId w:val="95"/>
        </w:numPr>
        <w:tabs>
          <w:tab w:pos="3229" w:val="left" w:leader="none"/>
        </w:tabs>
        <w:spacing w:line="170" w:lineRule="auto" w:before="0" w:after="0"/>
        <w:ind w:left="3225" w:right="325" w:hanging="209"/>
        <w:jc w:val="left"/>
        <w:rPr>
          <w:rFonts w:ascii="微软雅黑" w:eastAsia="微软雅黑"/>
          <w:b/>
          <w:sz w:val="21"/>
        </w:rPr>
      </w:pPr>
      <w:r>
        <w:rPr>
          <w:rFonts w:ascii="微软雅黑" w:eastAsia="微软雅黑"/>
          <w:b/>
          <w:spacing w:val="-2"/>
          <w:sz w:val="21"/>
        </w:rPr>
        <w:t>原位癌，癌前病变，非浸润性癌，非侵袭性癌，肿瘤细胞未侵犯基底</w:t>
      </w:r>
      <w:r>
        <w:rPr>
          <w:rFonts w:ascii="微软雅黑" w:eastAsia="微软雅黑"/>
          <w:b/>
          <w:spacing w:val="-2"/>
          <w:sz w:val="21"/>
        </w:rPr>
        <w:t>层，上皮内瘤变，细胞不典型性增生等；</w:t>
      </w:r>
    </w:p>
    <w:p>
      <w:pPr>
        <w:pStyle w:val="ListParagraph"/>
        <w:numPr>
          <w:ilvl w:val="2"/>
          <w:numId w:val="95"/>
        </w:numPr>
        <w:tabs>
          <w:tab w:pos="3229" w:val="left" w:leader="none"/>
        </w:tabs>
        <w:spacing w:line="170" w:lineRule="auto" w:before="0" w:after="0"/>
        <w:ind w:left="3225" w:right="327" w:hanging="209"/>
        <w:jc w:val="left"/>
        <w:rPr>
          <w:rFonts w:ascii="微软雅黑" w:eastAsia="微软雅黑"/>
          <w:b/>
          <w:sz w:val="21"/>
        </w:rPr>
      </w:pPr>
      <w:r>
        <w:rPr>
          <w:rFonts w:ascii="微软雅黑" w:eastAsia="微软雅黑"/>
          <w:b/>
          <w:spacing w:val="-2"/>
          <w:sz w:val="21"/>
        </w:rPr>
        <w:t>交界性肿瘤，交界恶性肿瘤，肿瘤低度恶性潜能，潜在低度恶性肿瘤</w:t>
      </w:r>
      <w:r>
        <w:rPr>
          <w:rFonts w:ascii="微软雅黑" w:eastAsia="微软雅黑"/>
          <w:b/>
          <w:spacing w:val="-6"/>
          <w:sz w:val="21"/>
        </w:rPr>
        <w:t>等。</w:t>
      </w:r>
    </w:p>
    <w:p>
      <w:pPr>
        <w:pStyle w:val="BodyText"/>
        <w:spacing w:before="9"/>
        <w:rPr>
          <w:rFonts w:ascii="微软雅黑"/>
          <w:b/>
          <w:sz w:val="9"/>
        </w:rPr>
      </w:pPr>
    </w:p>
    <w:p>
      <w:pPr>
        <w:spacing w:after="0"/>
        <w:rPr>
          <w:rFonts w:ascii="微软雅黑"/>
          <w:sz w:val="9"/>
        </w:rPr>
        <w:sectPr>
          <w:pgSz w:w="11910" w:h="16840"/>
          <w:pgMar w:header="877" w:footer="0" w:top="1100" w:bottom="280" w:left="1060" w:right="980"/>
        </w:sectPr>
      </w:pPr>
    </w:p>
    <w:p>
      <w:pPr>
        <w:pStyle w:val="ListParagraph"/>
        <w:numPr>
          <w:ilvl w:val="0"/>
          <w:numId w:val="95"/>
        </w:numPr>
        <w:tabs>
          <w:tab w:pos="1210" w:val="left" w:leader="none"/>
          <w:tab w:pos="1211" w:val="left" w:leader="none"/>
        </w:tabs>
        <w:spacing w:line="168" w:lineRule="auto" w:before="87" w:after="0"/>
        <w:ind w:left="1210" w:right="0" w:hanging="958"/>
        <w:jc w:val="left"/>
        <w:rPr>
          <w:rFonts w:ascii="微软雅黑" w:eastAsia="微软雅黑"/>
          <w:b/>
          <w:sz w:val="21"/>
        </w:rPr>
      </w:pPr>
      <w:r>
        <w:rPr>
          <w:rFonts w:ascii="微软雅黑" w:eastAsia="微软雅黑"/>
          <w:b/>
          <w:spacing w:val="15"/>
          <w:sz w:val="21"/>
        </w:rPr>
        <w:t>较轻急性心肌</w:t>
      </w:r>
      <w:r>
        <w:rPr>
          <w:rFonts w:ascii="微软雅黑" w:eastAsia="微软雅黑"/>
          <w:b/>
          <w:spacing w:val="-6"/>
          <w:sz w:val="21"/>
        </w:rPr>
        <w:t>梗死</w:t>
      </w:r>
    </w:p>
    <w:p>
      <w:pPr>
        <w:pStyle w:val="BodyText"/>
        <w:spacing w:line="242" w:lineRule="auto" w:before="71"/>
        <w:ind w:left="177" w:right="324"/>
        <w:jc w:val="both"/>
      </w:pPr>
      <w:r>
        <w:rPr/>
        <w:br w:type="column"/>
      </w:r>
      <w:r>
        <w:rPr>
          <w:spacing w:val="-2"/>
        </w:rPr>
        <w:t>急性心肌梗死指由于冠状动脉闭塞或梗阻引起部分心肌严重的持久性缺血</w:t>
      </w:r>
      <w:r>
        <w:rPr>
          <w:spacing w:val="-2"/>
        </w:rPr>
        <w:t>造成急性心肌坏死。急性心肌梗死的诊断必须依据国际国内诊断标准，符</w:t>
      </w:r>
      <w:r>
        <w:rPr>
          <w:spacing w:val="-2"/>
        </w:rPr>
        <w:t>合（1）检测到肌酸激酶同工酶（CK-MB）或肌钙蛋白（cTn）升高和/或降</w:t>
      </w:r>
      <w:r>
        <w:rPr>
          <w:spacing w:val="-4"/>
        </w:rPr>
        <w:t>低的动态变化，至少一次达到或超过心肌梗死的临床诊断标准；（2）同时</w:t>
      </w:r>
      <w:r>
        <w:rPr>
          <w:spacing w:val="-2"/>
        </w:rPr>
        <w:t>存在下列之一的证据，包括：缺血性胸痛症状、新发生的缺血性心电图改</w:t>
      </w:r>
      <w:r>
        <w:rPr>
          <w:spacing w:val="-2"/>
        </w:rPr>
        <w:t>变、新生成的病理性Q</w:t>
      </w:r>
      <w:r>
        <w:rPr>
          <w:spacing w:val="-10"/>
        </w:rPr>
        <w:t>波、影像学证据显示有新出现的心肌活性丧失或新出</w:t>
      </w:r>
      <w:r>
        <w:rPr>
          <w:spacing w:val="-2"/>
        </w:rPr>
        <w:t>现局部室壁运动异常、冠脉造影证实存在冠状动脉血栓。</w:t>
      </w:r>
    </w:p>
    <w:p>
      <w:pPr>
        <w:spacing w:line="168" w:lineRule="auto" w:before="20"/>
        <w:ind w:left="177" w:right="324" w:firstLine="0"/>
        <w:jc w:val="left"/>
        <w:rPr>
          <w:rFonts w:ascii="微软雅黑" w:hAnsi="微软雅黑" w:eastAsia="微软雅黑"/>
          <w:b/>
          <w:sz w:val="21"/>
        </w:rPr>
      </w:pPr>
      <w:r>
        <w:rPr>
          <w:spacing w:val="-2"/>
          <w:sz w:val="21"/>
        </w:rPr>
        <w:t>较轻急性心肌梗死指依照上述标准被明确诊断为急性心肌梗死，</w:t>
      </w:r>
      <w:r>
        <w:rPr>
          <w:rFonts w:ascii="微软雅黑" w:hAnsi="微软雅黑" w:eastAsia="微软雅黑"/>
          <w:b/>
          <w:spacing w:val="-2"/>
          <w:sz w:val="21"/>
        </w:rPr>
        <w:t>但未达到</w:t>
      </w:r>
      <w:r>
        <w:rPr>
          <w:rFonts w:ascii="微软雅黑" w:hAnsi="微软雅黑" w:eastAsia="微软雅黑"/>
          <w:b/>
          <w:spacing w:val="-2"/>
          <w:sz w:val="21"/>
        </w:rPr>
        <w:t>本合同所指重大疾病“较重急性心肌梗死”的给付标准。</w:t>
      </w:r>
    </w:p>
    <w:p>
      <w:pPr>
        <w:spacing w:line="307" w:lineRule="exact" w:before="0"/>
        <w:ind w:left="177" w:right="0" w:firstLine="0"/>
        <w:jc w:val="left"/>
        <w:rPr>
          <w:rFonts w:ascii="微软雅黑" w:eastAsia="微软雅黑"/>
          <w:b/>
          <w:sz w:val="21"/>
        </w:rPr>
      </w:pPr>
      <w:r>
        <w:rPr>
          <w:rFonts w:ascii="微软雅黑" w:eastAsia="微软雅黑"/>
          <w:b/>
          <w:w w:val="95"/>
          <w:sz w:val="21"/>
        </w:rPr>
        <w:t>其</w:t>
      </w:r>
      <w:r>
        <w:rPr>
          <w:rFonts w:ascii="微软雅黑" w:eastAsia="微软雅黑"/>
          <w:b/>
          <w:w w:val="95"/>
          <w:sz w:val="21"/>
        </w:rPr>
        <w:t>他</w:t>
      </w:r>
      <w:r>
        <w:rPr>
          <w:rFonts w:ascii="微软雅黑" w:eastAsia="微软雅黑"/>
          <w:b/>
          <w:w w:val="95"/>
          <w:sz w:val="21"/>
        </w:rPr>
        <w:t>非</w:t>
      </w:r>
      <w:r>
        <w:rPr>
          <w:rFonts w:ascii="微软雅黑" w:eastAsia="微软雅黑"/>
          <w:b/>
          <w:w w:val="95"/>
          <w:sz w:val="21"/>
        </w:rPr>
        <w:t>冠</w:t>
      </w:r>
      <w:r>
        <w:rPr>
          <w:rFonts w:ascii="微软雅黑" w:eastAsia="微软雅黑"/>
          <w:b/>
          <w:w w:val="95"/>
          <w:sz w:val="21"/>
        </w:rPr>
        <w:t>状</w:t>
      </w:r>
      <w:r>
        <w:rPr>
          <w:rFonts w:ascii="微软雅黑" w:eastAsia="微软雅黑"/>
          <w:b/>
          <w:w w:val="95"/>
          <w:sz w:val="21"/>
        </w:rPr>
        <w:t>动</w:t>
      </w:r>
      <w:r>
        <w:rPr>
          <w:rFonts w:ascii="微软雅黑" w:eastAsia="微软雅黑"/>
          <w:b/>
          <w:w w:val="95"/>
          <w:sz w:val="21"/>
        </w:rPr>
        <w:t>脉</w:t>
      </w:r>
      <w:r>
        <w:rPr>
          <w:rFonts w:ascii="微软雅黑" w:eastAsia="微软雅黑"/>
          <w:b/>
          <w:w w:val="95"/>
          <w:sz w:val="21"/>
        </w:rPr>
        <w:t>阻</w:t>
      </w:r>
      <w:r>
        <w:rPr>
          <w:rFonts w:ascii="微软雅黑" w:eastAsia="微软雅黑"/>
          <w:b/>
          <w:w w:val="95"/>
          <w:sz w:val="21"/>
        </w:rPr>
        <w:t>塞性疾</w:t>
      </w:r>
      <w:r>
        <w:rPr>
          <w:rFonts w:ascii="微软雅黑" w:eastAsia="微软雅黑"/>
          <w:b/>
          <w:w w:val="95"/>
          <w:sz w:val="21"/>
        </w:rPr>
        <w:t>病</w:t>
      </w:r>
      <w:r>
        <w:rPr>
          <w:rFonts w:ascii="微软雅黑" w:eastAsia="微软雅黑"/>
          <w:b/>
          <w:w w:val="95"/>
          <w:sz w:val="21"/>
        </w:rPr>
        <w:t>引</w:t>
      </w:r>
      <w:r>
        <w:rPr>
          <w:rFonts w:ascii="微软雅黑" w:eastAsia="微软雅黑"/>
          <w:b/>
          <w:w w:val="95"/>
          <w:sz w:val="21"/>
        </w:rPr>
        <w:t>起</w:t>
      </w:r>
      <w:r>
        <w:rPr>
          <w:rFonts w:ascii="微软雅黑" w:eastAsia="微软雅黑"/>
          <w:b/>
          <w:w w:val="95"/>
          <w:sz w:val="21"/>
        </w:rPr>
        <w:t>的</w:t>
      </w:r>
      <w:r>
        <w:rPr>
          <w:rFonts w:ascii="微软雅黑" w:eastAsia="微软雅黑"/>
          <w:b/>
          <w:w w:val="95"/>
          <w:sz w:val="21"/>
        </w:rPr>
        <w:t>肌</w:t>
      </w:r>
      <w:r>
        <w:rPr>
          <w:rFonts w:ascii="微软雅黑" w:eastAsia="微软雅黑"/>
          <w:b/>
          <w:w w:val="95"/>
          <w:sz w:val="21"/>
        </w:rPr>
        <w:t>钙</w:t>
      </w:r>
      <w:r>
        <w:rPr>
          <w:rFonts w:ascii="微软雅黑" w:eastAsia="微软雅黑"/>
          <w:b/>
          <w:w w:val="95"/>
          <w:sz w:val="21"/>
        </w:rPr>
        <w:t>蛋</w:t>
      </w:r>
      <w:r>
        <w:rPr>
          <w:rFonts w:ascii="微软雅黑" w:eastAsia="微软雅黑"/>
          <w:b/>
          <w:w w:val="95"/>
          <w:sz w:val="21"/>
        </w:rPr>
        <w:t>白（cTn）</w:t>
      </w:r>
      <w:r>
        <w:rPr>
          <w:rFonts w:ascii="微软雅黑" w:eastAsia="微软雅黑"/>
          <w:b/>
          <w:w w:val="95"/>
          <w:sz w:val="21"/>
        </w:rPr>
        <w:t>升</w:t>
      </w:r>
      <w:r>
        <w:rPr>
          <w:rFonts w:ascii="微软雅黑" w:eastAsia="微软雅黑"/>
          <w:b/>
          <w:w w:val="95"/>
          <w:sz w:val="21"/>
        </w:rPr>
        <w:t>高</w:t>
      </w:r>
      <w:r>
        <w:rPr>
          <w:rFonts w:ascii="微软雅黑" w:eastAsia="微软雅黑"/>
          <w:b/>
          <w:w w:val="95"/>
          <w:sz w:val="21"/>
        </w:rPr>
        <w:t>不</w:t>
      </w:r>
      <w:r>
        <w:rPr>
          <w:rFonts w:ascii="微软雅黑" w:eastAsia="微软雅黑"/>
          <w:b/>
          <w:w w:val="95"/>
          <w:sz w:val="21"/>
        </w:rPr>
        <w:t>在</w:t>
      </w:r>
      <w:r>
        <w:rPr>
          <w:rFonts w:ascii="微软雅黑" w:eastAsia="微软雅黑"/>
          <w:b/>
          <w:w w:val="95"/>
          <w:sz w:val="21"/>
        </w:rPr>
        <w:t>保</w:t>
      </w:r>
      <w:r>
        <w:rPr>
          <w:rFonts w:ascii="微软雅黑" w:eastAsia="微软雅黑"/>
          <w:b/>
          <w:w w:val="95"/>
          <w:sz w:val="21"/>
        </w:rPr>
        <w:t>障</w:t>
      </w:r>
      <w:r>
        <w:rPr>
          <w:rFonts w:ascii="微软雅黑" w:eastAsia="微软雅黑"/>
          <w:b/>
          <w:w w:val="95"/>
          <w:sz w:val="21"/>
        </w:rPr>
        <w:t>范</w:t>
      </w:r>
      <w:r>
        <w:rPr>
          <w:rFonts w:ascii="微软雅黑" w:eastAsia="微软雅黑"/>
          <w:b/>
          <w:w w:val="95"/>
          <w:sz w:val="21"/>
        </w:rPr>
        <w:t>围</w:t>
      </w:r>
      <w:r>
        <w:rPr>
          <w:rFonts w:ascii="微软雅黑" w:eastAsia="微软雅黑"/>
          <w:b/>
          <w:w w:val="95"/>
          <w:sz w:val="21"/>
        </w:rPr>
        <w:t>内</w:t>
      </w:r>
      <w:r>
        <w:rPr>
          <w:rFonts w:ascii="微软雅黑" w:eastAsia="微软雅黑"/>
          <w:b/>
          <w:spacing w:val="-10"/>
          <w:w w:val="95"/>
          <w:sz w:val="21"/>
        </w:rPr>
        <w:t>。</w:t>
      </w:r>
    </w:p>
    <w:p>
      <w:pPr>
        <w:spacing w:after="0" w:line="307" w:lineRule="exact"/>
        <w:jc w:val="left"/>
        <w:rPr>
          <w:rFonts w:asci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6"/>
        <w:rPr>
          <w:rFonts w:ascii="微软雅黑"/>
          <w:b/>
          <w:sz w:val="8"/>
        </w:rPr>
      </w:pPr>
    </w:p>
    <w:p>
      <w:pPr>
        <w:spacing w:after="0"/>
        <w:rPr>
          <w:rFonts w:ascii="微软雅黑"/>
          <w:sz w:val="8"/>
        </w:rPr>
        <w:sectPr>
          <w:type w:val="continuous"/>
          <w:pgSz w:w="11910" w:h="16840"/>
          <w:pgMar w:header="877" w:footer="0" w:top="1100" w:bottom="280" w:left="1060" w:right="980"/>
        </w:sectPr>
      </w:pPr>
    </w:p>
    <w:p>
      <w:pPr>
        <w:pStyle w:val="ListParagraph"/>
        <w:numPr>
          <w:ilvl w:val="0"/>
          <w:numId w:val="95"/>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5"/>
          <w:sz w:val="21"/>
        </w:rPr>
        <w:t>轻度脑中风后</w:t>
      </w:r>
      <w:r>
        <w:rPr>
          <w:rFonts w:ascii="微软雅黑" w:eastAsia="微软雅黑"/>
          <w:b/>
          <w:spacing w:val="-6"/>
          <w:sz w:val="21"/>
        </w:rPr>
        <w:t>遗症</w:t>
      </w:r>
    </w:p>
    <w:p>
      <w:pPr>
        <w:pStyle w:val="BodyText"/>
        <w:spacing w:before="72"/>
        <w:ind w:left="177"/>
      </w:pPr>
      <w:r>
        <w:rPr/>
        <w:br w:type="column"/>
      </w:r>
      <w:r>
        <w:rPr>
          <w:spacing w:val="-3"/>
        </w:rPr>
        <w:t>指因脑血管的突发病变引起脑血管出血、栓塞或梗塞，须由头颅断层扫描</w:t>
      </w:r>
    </w:p>
    <w:p>
      <w:pPr>
        <w:spacing w:line="180" w:lineRule="auto" w:before="54"/>
        <w:ind w:left="177" w:right="323" w:firstLine="0"/>
        <w:jc w:val="both"/>
        <w:rPr>
          <w:sz w:val="21"/>
        </w:rPr>
      </w:pPr>
      <w:r>
        <w:rPr>
          <w:spacing w:val="-4"/>
          <w:sz w:val="21"/>
        </w:rPr>
        <w:t>（CT）、核磁共振检查（MRI）等影像学检查证实，并导致神经系统永久性</w:t>
      </w:r>
      <w:r>
        <w:rPr>
          <w:spacing w:val="-2"/>
          <w:sz w:val="21"/>
        </w:rPr>
        <w:t>的功能障碍，</w:t>
      </w:r>
      <w:r>
        <w:rPr>
          <w:rFonts w:ascii="微软雅黑" w:hAnsi="微软雅黑" w:eastAsia="微软雅黑"/>
          <w:b/>
          <w:spacing w:val="-2"/>
          <w:sz w:val="21"/>
        </w:rPr>
        <w:t>但未达到本合同所指重大疾病“严重脑中风后遗症”的给付</w:t>
      </w:r>
      <w:r>
        <w:rPr>
          <w:rFonts w:ascii="微软雅黑" w:hAnsi="微软雅黑" w:eastAsia="微软雅黑"/>
          <w:b/>
          <w:sz w:val="21"/>
        </w:rPr>
        <w:t>标准</w:t>
      </w:r>
      <w:r>
        <w:rPr>
          <w:spacing w:val="-4"/>
          <w:sz w:val="21"/>
        </w:rPr>
        <w:t>，在疾病确诊 </w:t>
      </w:r>
      <w:r>
        <w:rPr>
          <w:sz w:val="21"/>
        </w:rPr>
        <w:t>180</w:t>
      </w:r>
      <w:r>
        <w:rPr>
          <w:spacing w:val="-5"/>
          <w:sz w:val="21"/>
        </w:rPr>
        <w:t> 天后，仍遗留下列至少一种障碍：</w:t>
      </w:r>
    </w:p>
    <w:p>
      <w:pPr>
        <w:pStyle w:val="ListParagraph"/>
        <w:numPr>
          <w:ilvl w:val="0"/>
          <w:numId w:val="96"/>
        </w:numPr>
        <w:tabs>
          <w:tab w:pos="707" w:val="left" w:leader="none"/>
        </w:tabs>
        <w:spacing w:line="253" w:lineRule="exact" w:before="0" w:after="0"/>
        <w:ind w:left="706" w:right="0" w:hanging="530"/>
        <w:jc w:val="left"/>
        <w:rPr>
          <w:sz w:val="21"/>
        </w:rPr>
      </w:pPr>
      <w:r>
        <w:rPr>
          <w:spacing w:val="-2"/>
          <w:sz w:val="21"/>
        </w:rPr>
        <w:t>一肢（含）</w:t>
      </w:r>
      <w:r>
        <w:rPr>
          <w:spacing w:val="-9"/>
          <w:sz w:val="21"/>
        </w:rPr>
        <w:t>以上肢体肌力为 </w:t>
      </w:r>
      <w:r>
        <w:rPr>
          <w:spacing w:val="-2"/>
          <w:sz w:val="21"/>
        </w:rPr>
        <w:t>3</w:t>
      </w:r>
      <w:r>
        <w:rPr>
          <w:spacing w:val="-21"/>
          <w:sz w:val="21"/>
        </w:rPr>
        <w:t> 级；</w:t>
      </w:r>
    </w:p>
    <w:p>
      <w:pPr>
        <w:pStyle w:val="ListParagraph"/>
        <w:numPr>
          <w:ilvl w:val="0"/>
          <w:numId w:val="96"/>
        </w:numPr>
        <w:tabs>
          <w:tab w:pos="707" w:val="left" w:leader="none"/>
        </w:tabs>
        <w:spacing w:line="244" w:lineRule="auto" w:before="2" w:after="0"/>
        <w:ind w:left="703" w:right="324" w:hanging="526"/>
        <w:jc w:val="left"/>
        <w:rPr>
          <w:sz w:val="21"/>
        </w:rPr>
      </w:pPr>
      <w:r>
        <w:rPr>
          <w:spacing w:val="-2"/>
          <w:sz w:val="21"/>
        </w:rPr>
        <w:t>自主生活能力部分丧失，无法独立完成六项基本日常生活活动中的</w:t>
      </w:r>
      <w:r>
        <w:rPr>
          <w:spacing w:val="-4"/>
          <w:sz w:val="21"/>
        </w:rPr>
        <w:t>两项。</w:t>
      </w:r>
    </w:p>
    <w:p>
      <w:pPr>
        <w:spacing w:after="0" w:line="244" w:lineRule="auto"/>
        <w:jc w:val="left"/>
        <w:rPr>
          <w:sz w:val="21"/>
        </w:rPr>
        <w:sectPr>
          <w:type w:val="continuous"/>
          <w:pgSz w:w="11910" w:h="16840"/>
          <w:pgMar w:header="877" w:footer="0" w:top="1100" w:bottom="280" w:left="1060" w:right="980"/>
          <w:cols w:num="2" w:equalWidth="0">
            <w:col w:w="2588" w:space="40"/>
            <w:col w:w="7242"/>
          </w:cols>
        </w:sectPr>
      </w:pPr>
    </w:p>
    <w:p>
      <w:pPr>
        <w:pStyle w:val="BodyText"/>
        <w:spacing w:before="6"/>
        <w:rPr>
          <w:sz w:val="15"/>
        </w:rPr>
      </w:pPr>
    </w:p>
    <w:p>
      <w:pPr>
        <w:pStyle w:val="ListParagraph"/>
        <w:numPr>
          <w:ilvl w:val="0"/>
          <w:numId w:val="95"/>
        </w:numPr>
        <w:tabs>
          <w:tab w:pos="1210" w:val="left" w:leader="none"/>
          <w:tab w:pos="1211" w:val="left" w:leader="none"/>
          <w:tab w:pos="2804" w:val="left" w:leader="none"/>
        </w:tabs>
        <w:spacing w:line="204" w:lineRule="auto" w:before="46" w:after="0"/>
        <w:ind w:left="2805" w:right="333" w:hanging="2552"/>
        <w:jc w:val="left"/>
        <w:rPr>
          <w:sz w:val="21"/>
        </w:rPr>
      </w:pPr>
      <w:r>
        <w:rPr>
          <w:rFonts w:ascii="微软雅黑" w:eastAsia="微软雅黑"/>
          <w:b/>
          <w:w w:val="100"/>
          <w:sz w:val="21"/>
        </w:rPr>
        <w:t>原位癌</w:t>
      </w:r>
      <w:r>
        <w:rPr>
          <w:rFonts w:ascii="微软雅黑" w:eastAsia="微软雅黑"/>
          <w:b/>
          <w:sz w:val="21"/>
        </w:rPr>
        <w:tab/>
      </w:r>
      <w:r>
        <w:rPr>
          <w:spacing w:val="6"/>
          <w:w w:val="100"/>
          <w:sz w:val="21"/>
        </w:rPr>
        <w:t>恶性</w:t>
      </w:r>
      <w:r>
        <w:rPr>
          <w:spacing w:val="4"/>
          <w:w w:val="100"/>
          <w:sz w:val="21"/>
        </w:rPr>
        <w:t>细</w:t>
      </w:r>
      <w:r>
        <w:rPr>
          <w:spacing w:val="6"/>
          <w:w w:val="100"/>
          <w:sz w:val="21"/>
        </w:rPr>
        <w:t>胞</w:t>
      </w:r>
      <w:r>
        <w:rPr>
          <w:spacing w:val="4"/>
          <w:w w:val="100"/>
          <w:sz w:val="21"/>
        </w:rPr>
        <w:t>局</w:t>
      </w:r>
      <w:r>
        <w:rPr>
          <w:spacing w:val="6"/>
          <w:w w:val="100"/>
          <w:sz w:val="21"/>
        </w:rPr>
        <w:t>限于</w:t>
      </w:r>
      <w:r>
        <w:rPr>
          <w:spacing w:val="4"/>
          <w:w w:val="100"/>
          <w:sz w:val="21"/>
        </w:rPr>
        <w:t>上</w:t>
      </w:r>
      <w:r>
        <w:rPr>
          <w:spacing w:val="6"/>
          <w:w w:val="100"/>
          <w:sz w:val="21"/>
        </w:rPr>
        <w:t>皮</w:t>
      </w:r>
      <w:r>
        <w:rPr>
          <w:spacing w:val="4"/>
          <w:w w:val="100"/>
          <w:sz w:val="21"/>
        </w:rPr>
        <w:t>内尚</w:t>
      </w:r>
      <w:r>
        <w:rPr>
          <w:spacing w:val="6"/>
          <w:w w:val="100"/>
          <w:sz w:val="21"/>
        </w:rPr>
        <w:t>未穿</w:t>
      </w:r>
      <w:r>
        <w:rPr>
          <w:spacing w:val="4"/>
          <w:w w:val="100"/>
          <w:sz w:val="21"/>
        </w:rPr>
        <w:t>破</w:t>
      </w:r>
      <w:r>
        <w:rPr>
          <w:spacing w:val="6"/>
          <w:w w:val="100"/>
          <w:sz w:val="21"/>
        </w:rPr>
        <w:t>基</w:t>
      </w:r>
      <w:r>
        <w:rPr>
          <w:spacing w:val="4"/>
          <w:w w:val="100"/>
          <w:sz w:val="21"/>
        </w:rPr>
        <w:t>底</w:t>
      </w:r>
      <w:r>
        <w:rPr>
          <w:spacing w:val="6"/>
          <w:w w:val="100"/>
          <w:sz w:val="21"/>
        </w:rPr>
        <w:t>膜浸</w:t>
      </w:r>
      <w:r>
        <w:rPr>
          <w:spacing w:val="4"/>
          <w:w w:val="100"/>
          <w:sz w:val="21"/>
        </w:rPr>
        <w:t>润</w:t>
      </w:r>
      <w:r>
        <w:rPr>
          <w:spacing w:val="6"/>
          <w:w w:val="100"/>
          <w:sz w:val="21"/>
        </w:rPr>
        <w:t>周</w:t>
      </w:r>
      <w:r>
        <w:rPr>
          <w:spacing w:val="4"/>
          <w:w w:val="100"/>
          <w:sz w:val="21"/>
        </w:rPr>
        <w:t>围正</w:t>
      </w:r>
      <w:r>
        <w:rPr>
          <w:spacing w:val="6"/>
          <w:w w:val="100"/>
          <w:sz w:val="21"/>
        </w:rPr>
        <w:t>常组</w:t>
      </w:r>
      <w:r>
        <w:rPr>
          <w:spacing w:val="4"/>
          <w:w w:val="100"/>
          <w:sz w:val="21"/>
        </w:rPr>
        <w:t>织</w:t>
      </w:r>
      <w:r>
        <w:rPr>
          <w:spacing w:val="6"/>
          <w:w w:val="100"/>
          <w:sz w:val="21"/>
        </w:rPr>
        <w:t>的</w:t>
      </w:r>
      <w:r>
        <w:rPr>
          <w:spacing w:val="4"/>
          <w:w w:val="100"/>
          <w:sz w:val="21"/>
        </w:rPr>
        <w:t>癌</w:t>
      </w:r>
      <w:r>
        <w:rPr>
          <w:spacing w:val="6"/>
          <w:w w:val="100"/>
          <w:sz w:val="21"/>
        </w:rPr>
        <w:t>细</w:t>
      </w:r>
      <w:r>
        <w:rPr>
          <w:spacing w:val="4"/>
          <w:w w:val="100"/>
          <w:sz w:val="21"/>
        </w:rPr>
        <w:t>胞</w:t>
      </w:r>
      <w:r>
        <w:rPr>
          <w:spacing w:val="6"/>
          <w:w w:val="100"/>
          <w:sz w:val="21"/>
        </w:rPr>
        <w:t>新</w:t>
      </w:r>
      <w:r>
        <w:rPr>
          <w:w w:val="100"/>
          <w:sz w:val="21"/>
        </w:rPr>
        <w:t>生物，</w:t>
      </w:r>
      <w:r>
        <w:rPr>
          <w:spacing w:val="-3"/>
          <w:w w:val="100"/>
          <w:sz w:val="21"/>
        </w:rPr>
        <w:t>且</w:t>
      </w:r>
      <w:r>
        <w:rPr>
          <w:w w:val="100"/>
          <w:sz w:val="21"/>
        </w:rPr>
        <w:t>须</w:t>
      </w:r>
      <w:r>
        <w:rPr>
          <w:spacing w:val="-3"/>
          <w:w w:val="100"/>
          <w:sz w:val="21"/>
        </w:rPr>
        <w:t>满</w:t>
      </w:r>
      <w:r>
        <w:rPr>
          <w:w w:val="100"/>
          <w:sz w:val="21"/>
        </w:rPr>
        <w:t>足</w:t>
      </w:r>
      <w:r>
        <w:rPr>
          <w:spacing w:val="-3"/>
          <w:w w:val="100"/>
          <w:sz w:val="21"/>
        </w:rPr>
        <w:t>以</w:t>
      </w:r>
      <w:r>
        <w:rPr>
          <w:w w:val="100"/>
          <w:sz w:val="21"/>
        </w:rPr>
        <w:t>下</w:t>
      </w:r>
      <w:r>
        <w:rPr>
          <w:spacing w:val="-3"/>
          <w:w w:val="100"/>
          <w:sz w:val="21"/>
        </w:rPr>
        <w:t>两</w:t>
      </w:r>
      <w:r>
        <w:rPr>
          <w:w w:val="100"/>
          <w:sz w:val="21"/>
        </w:rPr>
        <w:t>个</w:t>
      </w:r>
      <w:r>
        <w:rPr>
          <w:spacing w:val="-3"/>
          <w:w w:val="100"/>
          <w:sz w:val="21"/>
        </w:rPr>
        <w:t>条</w:t>
      </w:r>
      <w:r>
        <w:rPr>
          <w:w w:val="100"/>
          <w:sz w:val="21"/>
        </w:rPr>
        <w:t>件：</w:t>
      </w:r>
    </w:p>
    <w:p>
      <w:pPr>
        <w:pStyle w:val="ListParagraph"/>
        <w:numPr>
          <w:ilvl w:val="0"/>
          <w:numId w:val="97"/>
        </w:numPr>
        <w:tabs>
          <w:tab w:pos="3334" w:val="left" w:leader="none"/>
        </w:tabs>
        <w:spacing w:line="242" w:lineRule="auto" w:before="13" w:after="0"/>
        <w:ind w:left="3330" w:right="228" w:hanging="526"/>
        <w:jc w:val="left"/>
        <w:rPr>
          <w:sz w:val="21"/>
        </w:rPr>
      </w:pPr>
      <w:r>
        <w:rPr>
          <w:spacing w:val="-2"/>
          <w:sz w:val="21"/>
        </w:rPr>
        <w:t>必须经对固定活组织的组织病理学检查（涵盖骨髓病理学检查）结果</w:t>
      </w:r>
      <w:r>
        <w:rPr>
          <w:sz w:val="21"/>
        </w:rPr>
        <w:t>明确诊断，属于世界卫生组织（WHO，World</w:t>
      </w:r>
      <w:r>
        <w:rPr>
          <w:spacing w:val="-14"/>
          <w:sz w:val="21"/>
        </w:rPr>
        <w:t> </w:t>
      </w:r>
      <w:r>
        <w:rPr>
          <w:sz w:val="21"/>
        </w:rPr>
        <w:t>Health</w:t>
      </w:r>
      <w:r>
        <w:rPr>
          <w:spacing w:val="-15"/>
          <w:sz w:val="21"/>
        </w:rPr>
        <w:t> </w:t>
      </w:r>
      <w:r>
        <w:rPr>
          <w:sz w:val="21"/>
        </w:rPr>
        <w:t>Organization）</w:t>
      </w:r>
    </w:p>
    <w:p>
      <w:pPr>
        <w:pStyle w:val="BodyText"/>
        <w:spacing w:line="242" w:lineRule="auto" w:before="2"/>
        <w:ind w:left="3330" w:right="355"/>
      </w:pPr>
      <w:r>
        <w:rPr>
          <w:spacing w:val="-4"/>
        </w:rPr>
        <w:t>《疾病和有关健康问题的国际统计分类》第十次修订版（ICD-10）的</w:t>
      </w:r>
      <w:r>
        <w:rPr>
          <w:spacing w:val="-2"/>
        </w:rPr>
        <w:t>原位癌范畴（D00-D09）；</w:t>
      </w:r>
    </w:p>
    <w:p>
      <w:pPr>
        <w:pStyle w:val="ListParagraph"/>
        <w:numPr>
          <w:ilvl w:val="0"/>
          <w:numId w:val="97"/>
        </w:numPr>
        <w:tabs>
          <w:tab w:pos="3334" w:val="left" w:leader="none"/>
        </w:tabs>
        <w:spacing w:line="237" w:lineRule="exact" w:before="0" w:after="0"/>
        <w:ind w:left="3334" w:right="0" w:hanging="529"/>
        <w:jc w:val="left"/>
        <w:rPr>
          <w:sz w:val="21"/>
        </w:rPr>
      </w:pPr>
      <w:r>
        <w:rPr>
          <w:spacing w:val="-3"/>
          <w:sz w:val="21"/>
        </w:rPr>
        <w:t>被保险人必须已经接受了针对原位癌病灶的手术治疗。</w:t>
      </w:r>
    </w:p>
    <w:p>
      <w:pPr>
        <w:spacing w:line="168" w:lineRule="auto" w:before="51"/>
        <w:ind w:left="2805" w:right="327" w:firstLine="0"/>
        <w:jc w:val="left"/>
        <w:rPr>
          <w:rFonts w:ascii="微软雅黑" w:eastAsia="微软雅黑"/>
          <w:b/>
          <w:sz w:val="21"/>
        </w:rPr>
      </w:pPr>
      <w:r>
        <w:rPr>
          <w:rFonts w:ascii="微软雅黑" w:eastAsia="微软雅黑"/>
          <w:b/>
          <w:spacing w:val="-3"/>
          <w:w w:val="100"/>
          <w:sz w:val="21"/>
        </w:rPr>
        <w:t>感染人类免疫缺陷病毒或者患艾滋病期间所患原位癌不在保障范围内。</w:t>
      </w:r>
      <w:r>
        <w:rPr>
          <w:rFonts w:ascii="微软雅黑" w:eastAsia="微软雅黑"/>
          <w:b/>
          <w:spacing w:val="2"/>
          <w:w w:val="100"/>
          <w:sz w:val="21"/>
        </w:rPr>
        <w:t>任何诊断为</w:t>
      </w:r>
      <w:r>
        <w:rPr>
          <w:rFonts w:ascii="微软雅黑" w:eastAsia="微软雅黑"/>
          <w:b/>
          <w:w w:val="81"/>
          <w:sz w:val="21"/>
        </w:rPr>
        <w:t>CIN</w:t>
      </w:r>
      <w:r>
        <w:rPr>
          <w:rFonts w:ascii="微软雅黑" w:eastAsia="微软雅黑"/>
          <w:b/>
          <w:spacing w:val="4"/>
          <w:w w:val="81"/>
          <w:sz w:val="21"/>
        </w:rPr>
        <w:t>1</w:t>
      </w:r>
      <w:r>
        <w:rPr>
          <w:rFonts w:ascii="微软雅黑" w:eastAsia="微软雅黑"/>
          <w:b/>
          <w:spacing w:val="2"/>
          <w:w w:val="100"/>
          <w:sz w:val="21"/>
        </w:rPr>
        <w:t>、</w:t>
      </w:r>
      <w:r>
        <w:rPr>
          <w:rFonts w:ascii="微软雅黑" w:eastAsia="微软雅黑"/>
          <w:b/>
          <w:w w:val="81"/>
          <w:sz w:val="21"/>
        </w:rPr>
        <w:t>CIN</w:t>
      </w:r>
      <w:r>
        <w:rPr>
          <w:rFonts w:ascii="微软雅黑" w:eastAsia="微软雅黑"/>
          <w:b/>
          <w:spacing w:val="2"/>
          <w:w w:val="81"/>
          <w:sz w:val="21"/>
        </w:rPr>
        <w:t>2</w:t>
      </w:r>
      <w:r>
        <w:rPr>
          <w:rFonts w:ascii="微软雅黑" w:eastAsia="微软雅黑"/>
          <w:b/>
          <w:spacing w:val="2"/>
          <w:w w:val="100"/>
          <w:sz w:val="21"/>
        </w:rPr>
        <w:t>、</w:t>
      </w:r>
      <w:r>
        <w:rPr>
          <w:rFonts w:ascii="微软雅黑" w:eastAsia="微软雅黑"/>
          <w:b/>
          <w:w w:val="81"/>
          <w:sz w:val="21"/>
        </w:rPr>
        <w:t>CI</w:t>
      </w:r>
      <w:r>
        <w:rPr>
          <w:rFonts w:ascii="微软雅黑" w:eastAsia="微软雅黑"/>
          <w:b/>
          <w:spacing w:val="2"/>
          <w:w w:val="81"/>
          <w:sz w:val="21"/>
        </w:rPr>
        <w:t>N</w:t>
      </w:r>
      <w:r>
        <w:rPr>
          <w:rFonts w:ascii="微软雅黑" w:eastAsia="微软雅黑"/>
          <w:b/>
          <w:spacing w:val="2"/>
          <w:w w:val="81"/>
          <w:sz w:val="21"/>
        </w:rPr>
        <w:t>3</w:t>
      </w:r>
      <w:r>
        <w:rPr>
          <w:rFonts w:ascii="微软雅黑" w:eastAsia="微软雅黑"/>
          <w:b/>
          <w:spacing w:val="2"/>
          <w:w w:val="100"/>
          <w:sz w:val="21"/>
        </w:rPr>
        <w:t>、</w:t>
      </w:r>
      <w:r>
        <w:rPr>
          <w:rFonts w:ascii="微软雅黑" w:eastAsia="微软雅黑"/>
          <w:b/>
          <w:w w:val="79"/>
          <w:sz w:val="21"/>
        </w:rPr>
        <w:t>VI</w:t>
      </w:r>
      <w:r>
        <w:rPr>
          <w:rFonts w:ascii="微软雅黑" w:eastAsia="微软雅黑"/>
          <w:b/>
          <w:spacing w:val="4"/>
          <w:w w:val="79"/>
          <w:sz w:val="21"/>
        </w:rPr>
        <w:t>N</w:t>
      </w:r>
      <w:r>
        <w:rPr>
          <w:rFonts w:ascii="微软雅黑" w:eastAsia="微软雅黑"/>
          <w:b/>
          <w:spacing w:val="2"/>
          <w:w w:val="100"/>
          <w:sz w:val="21"/>
        </w:rPr>
        <w:t>、</w:t>
      </w:r>
      <w:r>
        <w:rPr>
          <w:rFonts w:ascii="微软雅黑" w:eastAsia="微软雅黑"/>
          <w:b/>
          <w:w w:val="99"/>
          <w:sz w:val="21"/>
        </w:rPr>
        <w:t>LSI</w:t>
      </w:r>
      <w:r>
        <w:rPr>
          <w:rFonts w:ascii="微软雅黑" w:eastAsia="微软雅黑"/>
          <w:b/>
          <w:spacing w:val="2"/>
          <w:w w:val="99"/>
          <w:sz w:val="21"/>
        </w:rPr>
        <w:t>L</w:t>
      </w:r>
      <w:r>
        <w:rPr>
          <w:rFonts w:ascii="微软雅黑" w:eastAsia="微软雅黑"/>
          <w:b/>
          <w:spacing w:val="4"/>
          <w:w w:val="100"/>
          <w:sz w:val="21"/>
        </w:rPr>
        <w:t>（</w:t>
      </w:r>
      <w:r>
        <w:rPr>
          <w:rFonts w:ascii="微软雅黑" w:eastAsia="微软雅黑"/>
          <w:b/>
          <w:spacing w:val="2"/>
          <w:w w:val="100"/>
          <w:sz w:val="21"/>
        </w:rPr>
        <w:t>低级别鳞状上皮内病变）</w:t>
      </w:r>
      <w:r>
        <w:rPr>
          <w:rFonts w:ascii="微软雅黑" w:eastAsia="微软雅黑"/>
          <w:b/>
          <w:w w:val="100"/>
          <w:sz w:val="21"/>
        </w:rPr>
        <w:t>、 </w:t>
      </w:r>
      <w:r>
        <w:rPr>
          <w:rFonts w:ascii="微软雅黑" w:eastAsia="微软雅黑"/>
          <w:b/>
          <w:w w:val="87"/>
          <w:sz w:val="21"/>
        </w:rPr>
        <w:t>HSI</w:t>
      </w:r>
      <w:r>
        <w:rPr>
          <w:rFonts w:ascii="微软雅黑" w:eastAsia="微软雅黑"/>
          <w:b/>
          <w:spacing w:val="-5"/>
          <w:w w:val="87"/>
          <w:sz w:val="21"/>
        </w:rPr>
        <w:t>L</w:t>
      </w:r>
      <w:r>
        <w:rPr>
          <w:rFonts w:ascii="微软雅黑" w:eastAsia="微软雅黑"/>
          <w:b/>
          <w:w w:val="100"/>
          <w:sz w:val="21"/>
        </w:rPr>
        <w:t>（</w:t>
      </w:r>
      <w:r>
        <w:rPr>
          <w:rFonts w:ascii="微软雅黑" w:eastAsia="微软雅黑"/>
          <w:b/>
          <w:spacing w:val="-1"/>
          <w:w w:val="100"/>
          <w:sz w:val="21"/>
        </w:rPr>
        <w:t>高级别鳞状上皮内病变</w:t>
      </w:r>
      <w:r>
        <w:rPr>
          <w:rFonts w:ascii="微软雅黑" w:eastAsia="微软雅黑"/>
          <w:b/>
          <w:spacing w:val="-5"/>
          <w:w w:val="100"/>
          <w:sz w:val="21"/>
        </w:rPr>
        <w:t>）的鳞状上皮内病变，任何上皮内肿瘤、上</w:t>
      </w:r>
      <w:r>
        <w:rPr>
          <w:rFonts w:ascii="微软雅黑" w:eastAsia="微软雅黑"/>
          <w:b/>
          <w:spacing w:val="-3"/>
          <w:w w:val="100"/>
          <w:sz w:val="21"/>
        </w:rPr>
        <w:t>皮内瘤变、上皮内瘤，不在本疾病保障范围内。</w:t>
      </w:r>
    </w:p>
    <w:p>
      <w:pPr>
        <w:pStyle w:val="BodyText"/>
        <w:spacing w:before="5"/>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95"/>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冠状动脉介入</w:t>
      </w:r>
      <w:r>
        <w:rPr>
          <w:rFonts w:ascii="微软雅黑" w:eastAsia="微软雅黑"/>
          <w:b/>
          <w:spacing w:val="-6"/>
          <w:sz w:val="21"/>
        </w:rPr>
        <w:t>手术</w:t>
      </w:r>
    </w:p>
    <w:p>
      <w:pPr>
        <w:pStyle w:val="BodyText"/>
        <w:spacing w:line="242" w:lineRule="auto" w:before="72"/>
        <w:ind w:left="177" w:right="326"/>
        <w:jc w:val="both"/>
      </w:pPr>
      <w:r>
        <w:rPr/>
        <w:br w:type="column"/>
      </w:r>
      <w:r>
        <w:rPr>
          <w:spacing w:val="-2"/>
        </w:rPr>
        <w:t>为了治疗明显的冠状动脉狭窄性疾病，首次实际实施了冠状动脉球囊扩张</w:t>
      </w:r>
      <w:r>
        <w:rPr>
          <w:spacing w:val="-2"/>
        </w:rPr>
        <w:t>成形术、冠状动脉支架植入术、冠状动脉粥肿斑块切除术或者激光冠状动</w:t>
      </w:r>
      <w:r>
        <w:rPr>
          <w:spacing w:val="-2"/>
        </w:rPr>
        <w:t>脉成形术。</w:t>
      </w:r>
    </w:p>
    <w:p>
      <w:pPr>
        <w:spacing w:line="323" w:lineRule="exact" w:before="0"/>
        <w:ind w:left="177" w:right="0" w:firstLine="0"/>
        <w:jc w:val="left"/>
        <w:rPr>
          <w:rFonts w:ascii="微软雅黑" w:hAnsi="微软雅黑" w:eastAsia="微软雅黑"/>
          <w:b/>
          <w:sz w:val="21"/>
        </w:rPr>
      </w:pPr>
      <w:r>
        <w:rPr>
          <w:rFonts w:ascii="微软雅黑" w:hAnsi="微软雅黑" w:eastAsia="微软雅黑"/>
          <w:b/>
          <w:spacing w:val="-3"/>
          <w:sz w:val="21"/>
        </w:rPr>
        <w:t>被保险人已达到本合同所指重大疾病“较重急性心肌梗死”或“严重冠心</w:t>
      </w:r>
    </w:p>
    <w:p>
      <w:pPr>
        <w:spacing w:after="0" w:line="323" w:lineRule="exact"/>
        <w:jc w:val="left"/>
        <w:rPr>
          <w:rFonts w:ascii="微软雅黑" w:hAnsi="微软雅黑" w:eastAsia="微软雅黑"/>
          <w:sz w:val="21"/>
        </w:rPr>
        <w:sectPr>
          <w:type w:val="continuous"/>
          <w:pgSz w:w="11910" w:h="16840"/>
          <w:pgMar w:header="877" w:footer="0" w:top="1100" w:bottom="280" w:left="1060" w:right="980"/>
          <w:cols w:num="2" w:equalWidth="0">
            <w:col w:w="2588" w:space="40"/>
            <w:col w:w="7242"/>
          </w:cols>
        </w:sectPr>
      </w:pPr>
    </w:p>
    <w:p>
      <w:pPr>
        <w:spacing w:line="329" w:lineRule="exact" w:before="15"/>
        <w:ind w:left="1463" w:right="1080" w:firstLine="0"/>
        <w:jc w:val="center"/>
        <w:rPr>
          <w:rFonts w:ascii="微软雅黑" w:hAnsi="微软雅黑" w:eastAsia="微软雅黑"/>
          <w:b/>
          <w:sz w:val="21"/>
        </w:rPr>
      </w:pPr>
      <w:r>
        <w:rPr>
          <w:rFonts w:ascii="微软雅黑" w:hAnsi="微软雅黑" w:eastAsia="微软雅黑"/>
          <w:b/>
          <w:spacing w:val="-3"/>
          <w:sz w:val="21"/>
        </w:rPr>
        <w:t>病”的给付标准，我们不承担本项手术保险责任。</w:t>
      </w:r>
    </w:p>
    <w:p>
      <w:pPr>
        <w:spacing w:line="168" w:lineRule="auto" w:before="26"/>
        <w:ind w:left="2805" w:right="326" w:firstLine="0"/>
        <w:jc w:val="both"/>
        <w:rPr>
          <w:rFonts w:ascii="微软雅黑" w:hAnsi="微软雅黑" w:eastAsia="微软雅黑"/>
          <w:b/>
          <w:sz w:val="21"/>
        </w:rPr>
      </w:pPr>
      <w:r>
        <w:rPr>
          <w:rFonts w:ascii="微软雅黑" w:hAnsi="微软雅黑" w:eastAsia="微软雅黑"/>
          <w:b/>
          <w:spacing w:val="-2"/>
          <w:sz w:val="21"/>
        </w:rPr>
        <w:t>我们对“冠状动脉介入手术”、“激光心肌血运重建术”两项中的其中一</w:t>
      </w:r>
      <w:r>
        <w:rPr>
          <w:rFonts w:ascii="微软雅黑" w:hAnsi="微软雅黑" w:eastAsia="微软雅黑"/>
          <w:b/>
          <w:spacing w:val="-2"/>
          <w:sz w:val="21"/>
        </w:rPr>
        <w:t>项承担保险责任，给付其中一项保险金后，对另外一项疾病保险责任同时</w:t>
      </w:r>
      <w:r>
        <w:rPr>
          <w:rFonts w:ascii="微软雅黑" w:hAnsi="微软雅黑" w:eastAsia="微软雅黑"/>
          <w:b/>
          <w:spacing w:val="-4"/>
          <w:sz w:val="21"/>
        </w:rPr>
        <w:t>终止。</w:t>
      </w:r>
    </w:p>
    <w:p>
      <w:pPr>
        <w:pStyle w:val="BodyText"/>
        <w:spacing w:before="4"/>
        <w:rPr>
          <w:rFonts w:ascii="微软雅黑"/>
          <w:b/>
          <w:sz w:val="10"/>
        </w:rPr>
      </w:pPr>
    </w:p>
    <w:p>
      <w:pPr>
        <w:spacing w:after="0"/>
        <w:rPr>
          <w:rFonts w:ascii="微软雅黑"/>
          <w:sz w:val="10"/>
        </w:rPr>
        <w:sectPr>
          <w:pgSz w:w="11910" w:h="16840"/>
          <w:pgMar w:header="877" w:footer="0" w:top="1100" w:bottom="280" w:left="1060" w:right="980"/>
        </w:sectPr>
      </w:pPr>
    </w:p>
    <w:p>
      <w:pPr>
        <w:pStyle w:val="ListParagraph"/>
        <w:numPr>
          <w:ilvl w:val="0"/>
          <w:numId w:val="95"/>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激光心肌血运</w:t>
      </w:r>
      <w:r>
        <w:rPr>
          <w:rFonts w:ascii="微软雅黑" w:eastAsia="微软雅黑"/>
          <w:b/>
          <w:spacing w:val="-4"/>
          <w:sz w:val="21"/>
        </w:rPr>
        <w:t>重建术</w:t>
      </w:r>
    </w:p>
    <w:p>
      <w:pPr>
        <w:pStyle w:val="BodyText"/>
        <w:spacing w:before="72"/>
        <w:ind w:left="177"/>
      </w:pPr>
      <w:r>
        <w:rPr/>
        <w:br w:type="column"/>
      </w:r>
      <w:r>
        <w:rPr>
          <w:spacing w:val="-3"/>
        </w:rPr>
        <w:t>指患有顽固性心绞痛，经持续药物治疗后无改善，冠状动脉搭桥手术及经</w:t>
      </w:r>
    </w:p>
    <w:p>
      <w:pPr>
        <w:spacing w:line="180" w:lineRule="auto" w:before="57"/>
        <w:ind w:left="177" w:right="324" w:firstLine="0"/>
        <w:jc w:val="both"/>
        <w:rPr>
          <w:rFonts w:ascii="微软雅黑" w:hAnsi="微软雅黑" w:eastAsia="微软雅黑"/>
          <w:b/>
          <w:sz w:val="21"/>
        </w:rPr>
      </w:pPr>
      <w:r>
        <w:rPr>
          <w:spacing w:val="-2"/>
          <w:sz w:val="21"/>
        </w:rPr>
        <w:t>皮血管成形手术已失败或者被认为不适合。在我们认可医院内实际进行了</w:t>
      </w:r>
      <w:r>
        <w:rPr>
          <w:spacing w:val="-2"/>
          <w:sz w:val="21"/>
        </w:rPr>
        <w:t>开胸手术下或者胸腔镜下的激光心肌血运重建术，</w:t>
      </w:r>
      <w:r>
        <w:rPr>
          <w:rFonts w:ascii="微软雅黑" w:hAnsi="微软雅黑" w:eastAsia="微软雅黑"/>
          <w:b/>
          <w:spacing w:val="-2"/>
          <w:sz w:val="21"/>
        </w:rPr>
        <w:t>并且未达到本合同所指</w:t>
      </w:r>
      <w:r>
        <w:rPr>
          <w:rFonts w:ascii="微软雅黑" w:hAnsi="微软雅黑" w:eastAsia="微软雅黑"/>
          <w:b/>
          <w:spacing w:val="-2"/>
          <w:sz w:val="21"/>
        </w:rPr>
        <w:t>重大疾病“较重急性心肌梗死”的给付标准。</w:t>
      </w:r>
    </w:p>
    <w:p>
      <w:pPr>
        <w:spacing w:line="168" w:lineRule="auto" w:before="0"/>
        <w:ind w:left="177" w:right="326" w:firstLine="0"/>
        <w:jc w:val="both"/>
        <w:rPr>
          <w:rFonts w:ascii="微软雅黑" w:hAnsi="微软雅黑" w:eastAsia="微软雅黑"/>
          <w:b/>
          <w:sz w:val="21"/>
        </w:rPr>
      </w:pPr>
      <w:r>
        <w:rPr>
          <w:rFonts w:ascii="微软雅黑" w:hAnsi="微软雅黑" w:eastAsia="微软雅黑"/>
          <w:b/>
          <w:spacing w:val="-2"/>
          <w:sz w:val="21"/>
        </w:rPr>
        <w:t>我们对“冠状动脉介入手术”、“激光心肌血运重建术”两项中的其中一</w:t>
      </w:r>
      <w:r>
        <w:rPr>
          <w:rFonts w:ascii="微软雅黑" w:hAnsi="微软雅黑" w:eastAsia="微软雅黑"/>
          <w:b/>
          <w:spacing w:val="-2"/>
          <w:sz w:val="21"/>
        </w:rPr>
        <w:t>项承担保险责任，给付其中一项保险金后，对另外一项疾病保险责任同时</w:t>
      </w:r>
      <w:r>
        <w:rPr>
          <w:rFonts w:ascii="微软雅黑" w:hAnsi="微软雅黑" w:eastAsia="微软雅黑"/>
          <w:b/>
          <w:spacing w:val="-4"/>
          <w:sz w:val="21"/>
        </w:rPr>
        <w:t>终止。</w:t>
      </w:r>
    </w:p>
    <w:p>
      <w:pPr>
        <w:spacing w:after="0" w:line="168" w:lineRule="auto"/>
        <w:jc w:val="both"/>
        <w:rPr>
          <w:rFonts w:ascii="微软雅黑" w:hAns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3"/>
        <w:rPr>
          <w:rFonts w:ascii="微软雅黑"/>
          <w:b/>
          <w:sz w:val="10"/>
        </w:rPr>
      </w:pPr>
    </w:p>
    <w:p>
      <w:pPr>
        <w:pStyle w:val="ListParagraph"/>
        <w:numPr>
          <w:ilvl w:val="0"/>
          <w:numId w:val="95"/>
        </w:numPr>
        <w:tabs>
          <w:tab w:pos="1210" w:val="left" w:leader="none"/>
          <w:tab w:pos="1211" w:val="left" w:leader="none"/>
          <w:tab w:pos="2804" w:val="left" w:leader="none"/>
        </w:tabs>
        <w:spacing w:line="220" w:lineRule="auto" w:before="26" w:after="0"/>
        <w:ind w:left="2805" w:right="323" w:hanging="2552"/>
        <w:jc w:val="both"/>
        <w:rPr>
          <w:sz w:val="21"/>
        </w:rPr>
      </w:pPr>
      <w:r>
        <w:rPr>
          <w:rFonts w:ascii="微软雅黑" w:eastAsia="微软雅黑"/>
          <w:b/>
          <w:spacing w:val="-4"/>
          <w:sz w:val="21"/>
        </w:rPr>
        <w:t>单</w:t>
      </w:r>
      <w:r>
        <w:rPr>
          <w:rFonts w:ascii="微软雅黑" w:eastAsia="微软雅黑"/>
          <w:b/>
          <w:spacing w:val="-4"/>
          <w:sz w:val="21"/>
        </w:rPr>
        <w:t>耳</w:t>
      </w:r>
      <w:r>
        <w:rPr>
          <w:rFonts w:ascii="微软雅黑" w:eastAsia="微软雅黑"/>
          <w:b/>
          <w:spacing w:val="-4"/>
          <w:sz w:val="21"/>
        </w:rPr>
        <w:t>失</w:t>
      </w:r>
      <w:r>
        <w:rPr>
          <w:rFonts w:ascii="微软雅黑" w:eastAsia="微软雅黑"/>
          <w:b/>
          <w:spacing w:val="-4"/>
          <w:sz w:val="21"/>
        </w:rPr>
        <w:t>聪</w:t>
      </w:r>
      <w:r>
        <w:rPr>
          <w:rFonts w:ascii="微软雅黑" w:eastAsia="微软雅黑"/>
          <w:b/>
          <w:sz w:val="21"/>
        </w:rPr>
        <w:tab/>
      </w:r>
      <w:r>
        <w:rPr>
          <w:spacing w:val="-2"/>
          <w:sz w:val="21"/>
        </w:rPr>
        <w:t>指</w:t>
      </w:r>
      <w:r>
        <w:rPr>
          <w:spacing w:val="-2"/>
          <w:sz w:val="21"/>
        </w:rPr>
        <w:t>因</w:t>
      </w:r>
      <w:r>
        <w:rPr>
          <w:spacing w:val="-2"/>
          <w:sz w:val="21"/>
        </w:rPr>
        <w:t>疾病或者意外伤害导</w:t>
      </w:r>
      <w:r>
        <w:rPr>
          <w:spacing w:val="-2"/>
          <w:sz w:val="21"/>
        </w:rPr>
        <w:t>致</w:t>
      </w:r>
      <w:r>
        <w:rPr>
          <w:spacing w:val="-2"/>
          <w:sz w:val="21"/>
        </w:rPr>
        <w:t>单</w:t>
      </w:r>
      <w:r>
        <w:rPr>
          <w:spacing w:val="-2"/>
          <w:sz w:val="21"/>
        </w:rPr>
        <w:t>耳听力永久不可逆性</w:t>
      </w:r>
      <w:r>
        <w:rPr>
          <w:spacing w:val="-2"/>
          <w:sz w:val="21"/>
        </w:rPr>
        <w:t>丧</w:t>
      </w:r>
      <w:r>
        <w:rPr>
          <w:spacing w:val="-2"/>
          <w:sz w:val="21"/>
        </w:rPr>
        <w:t>失</w:t>
      </w:r>
      <w:r>
        <w:rPr>
          <w:spacing w:val="-51"/>
          <w:sz w:val="21"/>
        </w:rPr>
        <w:t>，</w:t>
      </w:r>
      <w:r>
        <w:rPr>
          <w:spacing w:val="-2"/>
          <w:sz w:val="21"/>
        </w:rPr>
        <w:t>在</w:t>
      </w:r>
      <w:r>
        <w:rPr>
          <w:spacing w:val="-2"/>
          <w:sz w:val="21"/>
        </w:rPr>
        <w:t>500赫兹、1000</w:t>
      </w:r>
      <w:r>
        <w:rPr>
          <w:spacing w:val="-2"/>
          <w:sz w:val="21"/>
        </w:rPr>
        <w:t>赫</w:t>
      </w:r>
      <w:r>
        <w:rPr>
          <w:spacing w:val="-2"/>
          <w:sz w:val="21"/>
        </w:rPr>
        <w:t>兹</w:t>
      </w:r>
      <w:r>
        <w:rPr>
          <w:spacing w:val="-2"/>
          <w:sz w:val="21"/>
        </w:rPr>
        <w:t>和</w:t>
      </w:r>
      <w:r>
        <w:rPr>
          <w:spacing w:val="-2"/>
          <w:sz w:val="21"/>
        </w:rPr>
        <w:t>2000赫</w:t>
      </w:r>
      <w:r>
        <w:rPr>
          <w:spacing w:val="-2"/>
          <w:sz w:val="21"/>
        </w:rPr>
        <w:t>兹</w:t>
      </w:r>
      <w:r>
        <w:rPr>
          <w:spacing w:val="-2"/>
          <w:sz w:val="21"/>
        </w:rPr>
        <w:t>语</w:t>
      </w:r>
      <w:r>
        <w:rPr>
          <w:spacing w:val="-2"/>
          <w:sz w:val="21"/>
        </w:rPr>
        <w:t>音频率</w:t>
      </w:r>
      <w:r>
        <w:rPr>
          <w:spacing w:val="-2"/>
          <w:sz w:val="21"/>
        </w:rPr>
        <w:t>下</w:t>
      </w:r>
      <w:r>
        <w:rPr>
          <w:spacing w:val="-2"/>
          <w:sz w:val="21"/>
        </w:rPr>
        <w:t>，</w:t>
      </w:r>
      <w:r>
        <w:rPr>
          <w:spacing w:val="-2"/>
          <w:sz w:val="21"/>
        </w:rPr>
        <w:t>平</w:t>
      </w:r>
      <w:r>
        <w:rPr>
          <w:spacing w:val="-2"/>
          <w:sz w:val="21"/>
        </w:rPr>
        <w:t>均</w:t>
      </w:r>
      <w:r>
        <w:rPr>
          <w:spacing w:val="-2"/>
          <w:sz w:val="21"/>
        </w:rPr>
        <w:t>听</w:t>
      </w:r>
      <w:r>
        <w:rPr>
          <w:spacing w:val="-2"/>
          <w:sz w:val="21"/>
        </w:rPr>
        <w:t>阈</w:t>
      </w:r>
      <w:r>
        <w:rPr>
          <w:spacing w:val="-2"/>
          <w:sz w:val="21"/>
        </w:rPr>
        <w:t>大</w:t>
      </w:r>
      <w:r>
        <w:rPr>
          <w:spacing w:val="-2"/>
          <w:sz w:val="21"/>
        </w:rPr>
        <w:t>于</w:t>
      </w:r>
      <w:r>
        <w:rPr>
          <w:spacing w:val="-2"/>
          <w:sz w:val="21"/>
        </w:rPr>
        <w:t>91分贝，</w:t>
      </w:r>
      <w:r>
        <w:rPr>
          <w:spacing w:val="-2"/>
          <w:sz w:val="21"/>
        </w:rPr>
        <w:t>且</w:t>
      </w:r>
      <w:r>
        <w:rPr>
          <w:spacing w:val="-2"/>
          <w:sz w:val="21"/>
        </w:rPr>
        <w:t>经</w:t>
      </w:r>
      <w:r>
        <w:rPr>
          <w:spacing w:val="-2"/>
          <w:sz w:val="21"/>
        </w:rPr>
        <w:t>纯</w:t>
      </w:r>
      <w:r>
        <w:rPr>
          <w:spacing w:val="-2"/>
          <w:sz w:val="21"/>
        </w:rPr>
        <w:t>音</w:t>
      </w:r>
      <w:r>
        <w:rPr>
          <w:spacing w:val="-2"/>
          <w:sz w:val="21"/>
        </w:rPr>
        <w:t>听</w:t>
      </w:r>
      <w:r>
        <w:rPr>
          <w:spacing w:val="-2"/>
          <w:sz w:val="21"/>
        </w:rPr>
        <w:t>力测试、</w:t>
      </w:r>
      <w:r>
        <w:rPr>
          <w:spacing w:val="-2"/>
          <w:sz w:val="21"/>
        </w:rPr>
        <w:t>声</w:t>
      </w:r>
      <w:r>
        <w:rPr>
          <w:spacing w:val="-2"/>
          <w:sz w:val="21"/>
        </w:rPr>
        <w:t>导</w:t>
      </w:r>
      <w:r>
        <w:rPr>
          <w:spacing w:val="-2"/>
          <w:sz w:val="21"/>
        </w:rPr>
        <w:t>抗检测或者听觉诱发</w:t>
      </w:r>
      <w:r>
        <w:rPr>
          <w:spacing w:val="-2"/>
          <w:sz w:val="21"/>
        </w:rPr>
        <w:t>电</w:t>
      </w:r>
      <w:r>
        <w:rPr>
          <w:spacing w:val="-2"/>
          <w:sz w:val="21"/>
        </w:rPr>
        <w:t>位</w:t>
      </w:r>
      <w:r>
        <w:rPr>
          <w:spacing w:val="-2"/>
          <w:sz w:val="21"/>
        </w:rPr>
        <w:t>检测等证实。</w:t>
      </w:r>
    </w:p>
    <w:p>
      <w:pPr>
        <w:spacing w:line="168" w:lineRule="auto" w:before="28"/>
        <w:ind w:left="2805" w:right="326" w:firstLine="0"/>
        <w:jc w:val="left"/>
        <w:rPr>
          <w:rFonts w:ascii="微软雅黑" w:hAnsi="微软雅黑" w:eastAsia="微软雅黑"/>
          <w:b/>
          <w:sz w:val="21"/>
        </w:rPr>
      </w:pPr>
      <w:r>
        <w:rPr>
          <w:rFonts w:ascii="微软雅黑" w:hAnsi="微软雅黑" w:eastAsia="微软雅黑"/>
          <w:b/>
          <w:spacing w:val="4"/>
          <w:w w:val="100"/>
          <w:sz w:val="21"/>
        </w:rPr>
        <w:t>先天性疾病所致的单耳失聪及被保险人在</w:t>
      </w:r>
      <w:r>
        <w:rPr>
          <w:rFonts w:ascii="微软雅黑" w:hAnsi="微软雅黑" w:eastAsia="微软雅黑"/>
          <w:b/>
          <w:spacing w:val="4"/>
          <w:w w:val="81"/>
          <w:sz w:val="21"/>
        </w:rPr>
        <w:t>0</w:t>
      </w:r>
      <w:r>
        <w:rPr>
          <w:rFonts w:ascii="微软雅黑" w:hAnsi="微软雅黑" w:eastAsia="微软雅黑"/>
          <w:b/>
          <w:spacing w:val="7"/>
          <w:w w:val="100"/>
          <w:sz w:val="21"/>
        </w:rPr>
        <w:t>至</w:t>
      </w:r>
      <w:r>
        <w:rPr>
          <w:rFonts w:ascii="微软雅黑" w:hAnsi="微软雅黑" w:eastAsia="微软雅黑"/>
          <w:b/>
          <w:spacing w:val="4"/>
          <w:w w:val="81"/>
          <w:sz w:val="21"/>
        </w:rPr>
        <w:t>3</w:t>
      </w:r>
      <w:r>
        <w:rPr>
          <w:rFonts w:ascii="微软雅黑" w:hAnsi="微软雅黑" w:eastAsia="微软雅黑"/>
          <w:b/>
          <w:spacing w:val="3"/>
          <w:w w:val="100"/>
          <w:sz w:val="21"/>
        </w:rPr>
        <w:t>周岁期间因疾病所致单耳</w:t>
      </w:r>
      <w:r>
        <w:rPr>
          <w:rFonts w:ascii="微软雅黑" w:hAnsi="微软雅黑" w:eastAsia="微软雅黑"/>
          <w:b/>
          <w:spacing w:val="-2"/>
          <w:w w:val="100"/>
          <w:sz w:val="21"/>
        </w:rPr>
        <w:t>失聪不在保障范围内，且申请理赔时需提供听力丧失诊断及检查证据。</w:t>
      </w:r>
      <w:r>
        <w:rPr>
          <w:rFonts w:ascii="微软雅黑" w:hAnsi="微软雅黑" w:eastAsia="微软雅黑"/>
          <w:b/>
          <w:spacing w:val="-5"/>
          <w:w w:val="100"/>
          <w:sz w:val="21"/>
        </w:rPr>
        <w:t>我们对“单耳失聪”、“听力严重受损”和“人工耳蜗植入术”三项中的其中一项承担保险责任，给付其中一项保险金后，对其他两项疾病保险责</w:t>
      </w:r>
      <w:r>
        <w:rPr>
          <w:rFonts w:ascii="微软雅黑" w:hAnsi="微软雅黑" w:eastAsia="微软雅黑"/>
          <w:b/>
          <w:w w:val="100"/>
          <w:sz w:val="21"/>
        </w:rPr>
        <w:t>任同时终止。</w:t>
      </w:r>
    </w:p>
    <w:p>
      <w:pPr>
        <w:pStyle w:val="BodyText"/>
        <w:spacing w:before="6"/>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95"/>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人工耳蜗植入</w:t>
      </w:r>
      <w:r>
        <w:rPr>
          <w:rFonts w:ascii="微软雅黑" w:eastAsia="微软雅黑"/>
          <w:b/>
          <w:spacing w:val="-10"/>
          <w:sz w:val="21"/>
        </w:rPr>
        <w:t>术</w:t>
      </w:r>
    </w:p>
    <w:p>
      <w:pPr>
        <w:pStyle w:val="BodyText"/>
        <w:spacing w:line="242" w:lineRule="auto" w:before="71"/>
        <w:ind w:left="177" w:right="326"/>
        <w:jc w:val="both"/>
      </w:pPr>
      <w:r>
        <w:rPr/>
        <w:br w:type="column"/>
      </w:r>
      <w:r>
        <w:rPr>
          <w:spacing w:val="-2"/>
        </w:rPr>
        <w:t>指因意外或疾病导致耳蜗或听觉神经永久性损坏，被保险人实际已经在我</w:t>
      </w:r>
      <w:r>
        <w:rPr>
          <w:spacing w:val="-2"/>
        </w:rPr>
        <w:t>们认可医院内进行了医疗必须的人工耳蜗植入手术，且须经我们认可医院</w:t>
      </w:r>
      <w:r>
        <w:rPr>
          <w:spacing w:val="-2"/>
        </w:rPr>
        <w:t>的专科医生确认手术在医学上是必须的，且在植入手术之前已经符合下列</w:t>
      </w:r>
      <w:r>
        <w:rPr>
          <w:spacing w:val="-2"/>
        </w:rPr>
        <w:t>全部条件：</w:t>
      </w:r>
    </w:p>
    <w:p>
      <w:pPr>
        <w:pStyle w:val="ListParagraph"/>
        <w:numPr>
          <w:ilvl w:val="0"/>
          <w:numId w:val="98"/>
        </w:numPr>
        <w:tabs>
          <w:tab w:pos="707" w:val="left" w:leader="none"/>
        </w:tabs>
        <w:spacing w:line="240" w:lineRule="auto" w:before="3" w:after="0"/>
        <w:ind w:left="706" w:right="0" w:hanging="530"/>
        <w:jc w:val="left"/>
        <w:rPr>
          <w:sz w:val="21"/>
        </w:rPr>
      </w:pPr>
      <w:r>
        <w:rPr>
          <w:spacing w:val="-2"/>
          <w:sz w:val="21"/>
        </w:rPr>
        <w:t>双耳持续12</w:t>
      </w:r>
      <w:r>
        <w:rPr>
          <w:spacing w:val="-3"/>
          <w:sz w:val="21"/>
        </w:rPr>
        <w:t>个月以上重度感音神经性耳聋；</w:t>
      </w:r>
    </w:p>
    <w:p>
      <w:pPr>
        <w:pStyle w:val="ListParagraph"/>
        <w:numPr>
          <w:ilvl w:val="0"/>
          <w:numId w:val="98"/>
        </w:numPr>
        <w:tabs>
          <w:tab w:pos="707" w:val="left" w:leader="none"/>
        </w:tabs>
        <w:spacing w:line="237" w:lineRule="exact" w:before="5" w:after="0"/>
        <w:ind w:left="706" w:right="0" w:hanging="530"/>
        <w:jc w:val="left"/>
        <w:rPr>
          <w:sz w:val="21"/>
        </w:rPr>
      </w:pPr>
      <w:r>
        <w:rPr>
          <w:spacing w:val="-3"/>
          <w:sz w:val="21"/>
        </w:rPr>
        <w:t>使用相应的听力辅助设备效果不佳。</w:t>
      </w:r>
    </w:p>
    <w:p>
      <w:pPr>
        <w:spacing w:line="168" w:lineRule="auto" w:before="51"/>
        <w:ind w:left="177" w:right="309" w:firstLine="0"/>
        <w:jc w:val="both"/>
        <w:rPr>
          <w:rFonts w:ascii="微软雅黑" w:hAnsi="微软雅黑" w:eastAsia="微软雅黑"/>
          <w:b/>
          <w:sz w:val="21"/>
        </w:rPr>
      </w:pPr>
      <w:r>
        <w:rPr>
          <w:rFonts w:ascii="微软雅黑" w:hAnsi="微软雅黑" w:eastAsia="微软雅黑"/>
          <w:b/>
          <w:spacing w:val="4"/>
          <w:w w:val="100"/>
          <w:sz w:val="21"/>
        </w:rPr>
        <w:t>先天性疾病所致的耳蜗损害及被保险人在</w:t>
      </w:r>
      <w:r>
        <w:rPr>
          <w:rFonts w:ascii="微软雅黑" w:hAnsi="微软雅黑" w:eastAsia="微软雅黑"/>
          <w:b/>
          <w:spacing w:val="4"/>
          <w:w w:val="81"/>
          <w:sz w:val="21"/>
        </w:rPr>
        <w:t>0</w:t>
      </w:r>
      <w:r>
        <w:rPr>
          <w:rFonts w:ascii="微软雅黑" w:hAnsi="微软雅黑" w:eastAsia="微软雅黑"/>
          <w:b/>
          <w:spacing w:val="7"/>
          <w:w w:val="100"/>
          <w:sz w:val="21"/>
        </w:rPr>
        <w:t>至</w:t>
      </w:r>
      <w:r>
        <w:rPr>
          <w:rFonts w:ascii="微软雅黑" w:hAnsi="微软雅黑" w:eastAsia="微软雅黑"/>
          <w:b/>
          <w:spacing w:val="4"/>
          <w:w w:val="81"/>
          <w:sz w:val="21"/>
        </w:rPr>
        <w:t>3</w:t>
      </w:r>
      <w:r>
        <w:rPr>
          <w:rFonts w:ascii="微软雅黑" w:hAnsi="微软雅黑" w:eastAsia="微软雅黑"/>
          <w:b/>
          <w:spacing w:val="3"/>
          <w:w w:val="100"/>
          <w:sz w:val="21"/>
        </w:rPr>
        <w:t>周岁期间因疾病所致的耳</w:t>
      </w:r>
      <w:r>
        <w:rPr>
          <w:rFonts w:ascii="微软雅黑" w:hAnsi="微软雅黑" w:eastAsia="微软雅黑"/>
          <w:b/>
          <w:spacing w:val="-3"/>
          <w:w w:val="100"/>
          <w:sz w:val="21"/>
        </w:rPr>
        <w:t>蜗损害不在保障范围内，且申请理赔时需提供听力丧失诊断及检查证据。我们对“单耳失聪”、“听力严重受损”和“人工耳蜗植入术”三项中的</w:t>
      </w:r>
      <w:r>
        <w:rPr>
          <w:rFonts w:ascii="微软雅黑" w:hAnsi="微软雅黑" w:eastAsia="微软雅黑"/>
          <w:b/>
          <w:spacing w:val="-5"/>
          <w:w w:val="100"/>
          <w:sz w:val="21"/>
        </w:rPr>
        <w:t>其中一项承担保险责任，给付其中一项保险金后，对其他两项疾病保险责任同时终止。</w:t>
      </w:r>
    </w:p>
    <w:p>
      <w:pPr>
        <w:spacing w:after="0" w:line="168" w:lineRule="auto"/>
        <w:jc w:val="both"/>
        <w:rPr>
          <w:rFonts w:ascii="微软雅黑" w:hAns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7"/>
        <w:rPr>
          <w:rFonts w:ascii="微软雅黑"/>
          <w:b/>
          <w:sz w:val="10"/>
        </w:rPr>
      </w:pPr>
    </w:p>
    <w:p>
      <w:pPr>
        <w:pStyle w:val="ListParagraph"/>
        <w:numPr>
          <w:ilvl w:val="0"/>
          <w:numId w:val="95"/>
        </w:numPr>
        <w:tabs>
          <w:tab w:pos="1210" w:val="left" w:leader="none"/>
          <w:tab w:pos="1211" w:val="left" w:leader="none"/>
          <w:tab w:pos="2804" w:val="left" w:leader="none"/>
        </w:tabs>
        <w:spacing w:line="220" w:lineRule="auto" w:before="27" w:after="0"/>
        <w:ind w:left="2805" w:right="218" w:hanging="2552"/>
        <w:jc w:val="left"/>
        <w:rPr>
          <w:sz w:val="21"/>
        </w:rPr>
      </w:pPr>
      <w:r>
        <w:rPr>
          <w:rFonts w:ascii="微软雅黑" w:eastAsia="微软雅黑"/>
          <w:b/>
          <w:spacing w:val="-2"/>
          <w:sz w:val="21"/>
        </w:rPr>
        <w:t>听</w:t>
      </w:r>
      <w:r>
        <w:rPr>
          <w:rFonts w:ascii="微软雅黑" w:eastAsia="微软雅黑"/>
          <w:b/>
          <w:spacing w:val="-2"/>
          <w:sz w:val="21"/>
        </w:rPr>
        <w:t>力</w:t>
      </w:r>
      <w:r>
        <w:rPr>
          <w:rFonts w:ascii="微软雅黑" w:eastAsia="微软雅黑"/>
          <w:b/>
          <w:spacing w:val="-2"/>
          <w:sz w:val="21"/>
        </w:rPr>
        <w:t>严</w:t>
      </w:r>
      <w:r>
        <w:rPr>
          <w:rFonts w:ascii="微软雅黑" w:eastAsia="微软雅黑"/>
          <w:b/>
          <w:spacing w:val="-2"/>
          <w:sz w:val="21"/>
        </w:rPr>
        <w:t>重</w:t>
      </w:r>
      <w:r>
        <w:rPr>
          <w:rFonts w:ascii="微软雅黑" w:eastAsia="微软雅黑"/>
          <w:b/>
          <w:spacing w:val="-2"/>
          <w:sz w:val="21"/>
        </w:rPr>
        <w:t>受</w:t>
      </w:r>
      <w:r>
        <w:rPr>
          <w:rFonts w:ascii="微软雅黑" w:eastAsia="微软雅黑"/>
          <w:b/>
          <w:spacing w:val="-2"/>
          <w:sz w:val="21"/>
        </w:rPr>
        <w:t>损</w:t>
      </w:r>
      <w:r>
        <w:rPr>
          <w:rFonts w:ascii="微软雅黑" w:eastAsia="微软雅黑"/>
          <w:b/>
          <w:sz w:val="21"/>
        </w:rPr>
        <w:tab/>
      </w:r>
      <w:r>
        <w:rPr>
          <w:sz w:val="21"/>
        </w:rPr>
        <w:t>指因疾病或意外伤害导致</w:t>
      </w:r>
      <w:r>
        <w:rPr>
          <w:sz w:val="21"/>
        </w:rPr>
        <w:t>双耳听力永久不可逆性丧失，在</w:t>
      </w:r>
      <w:r>
        <w:rPr>
          <w:spacing w:val="-12"/>
          <w:sz w:val="21"/>
        </w:rPr>
        <w:t> </w:t>
      </w:r>
      <w:r>
        <w:rPr>
          <w:sz w:val="21"/>
        </w:rPr>
        <w:t>500</w:t>
      </w:r>
      <w:r>
        <w:rPr>
          <w:spacing w:val="-15"/>
          <w:sz w:val="21"/>
        </w:rPr>
        <w:t> </w:t>
      </w:r>
      <w:r>
        <w:rPr>
          <w:sz w:val="21"/>
        </w:rPr>
        <w:t>赫兹、1000</w:t>
      </w:r>
      <w:r>
        <w:rPr>
          <w:spacing w:val="-4"/>
          <w:sz w:val="21"/>
        </w:rPr>
        <w:t>赫兹和</w:t>
      </w:r>
      <w:r>
        <w:rPr>
          <w:spacing w:val="-48"/>
          <w:sz w:val="21"/>
        </w:rPr>
        <w:t> </w:t>
      </w:r>
      <w:r>
        <w:rPr>
          <w:spacing w:val="-4"/>
          <w:sz w:val="21"/>
        </w:rPr>
        <w:t>2000</w:t>
      </w:r>
      <w:r>
        <w:rPr>
          <w:spacing w:val="-48"/>
          <w:sz w:val="21"/>
        </w:rPr>
        <w:t> </w:t>
      </w:r>
      <w:r>
        <w:rPr>
          <w:spacing w:val="-4"/>
          <w:sz w:val="21"/>
        </w:rPr>
        <w:t>赫兹语音频率下，平均听阈大于</w:t>
      </w:r>
      <w:r>
        <w:rPr>
          <w:spacing w:val="-48"/>
          <w:sz w:val="21"/>
        </w:rPr>
        <w:t> </w:t>
      </w:r>
      <w:r>
        <w:rPr>
          <w:spacing w:val="-4"/>
          <w:sz w:val="21"/>
        </w:rPr>
        <w:t>70</w:t>
      </w:r>
      <w:r>
        <w:rPr>
          <w:spacing w:val="-50"/>
          <w:sz w:val="21"/>
        </w:rPr>
        <w:t> </w:t>
      </w:r>
      <w:r>
        <w:rPr>
          <w:spacing w:val="-4"/>
          <w:sz w:val="21"/>
        </w:rPr>
        <w:t>分贝，且经纯音听力</w:t>
      </w:r>
      <w:r>
        <w:rPr>
          <w:spacing w:val="-4"/>
          <w:sz w:val="21"/>
        </w:rPr>
        <w:t>测</w:t>
      </w:r>
      <w:r>
        <w:rPr>
          <w:spacing w:val="-4"/>
          <w:sz w:val="21"/>
        </w:rPr>
        <w:t>试</w:t>
      </w:r>
      <w:r>
        <w:rPr>
          <w:spacing w:val="-4"/>
          <w:sz w:val="21"/>
        </w:rPr>
        <w:t>、</w:t>
      </w:r>
      <w:r>
        <w:rPr>
          <w:spacing w:val="-2"/>
          <w:sz w:val="21"/>
        </w:rPr>
        <w:t>声</w:t>
      </w:r>
      <w:r>
        <w:rPr>
          <w:spacing w:val="-2"/>
          <w:sz w:val="21"/>
        </w:rPr>
        <w:t>导</w:t>
      </w:r>
      <w:r>
        <w:rPr>
          <w:spacing w:val="-2"/>
          <w:sz w:val="21"/>
        </w:rPr>
        <w:t>抗检测或听觉诱发电</w:t>
      </w:r>
      <w:r>
        <w:rPr>
          <w:spacing w:val="-2"/>
          <w:sz w:val="21"/>
        </w:rPr>
        <w:t>位</w:t>
      </w:r>
      <w:r>
        <w:rPr>
          <w:spacing w:val="-2"/>
          <w:sz w:val="21"/>
        </w:rPr>
        <w:t>检</w:t>
      </w:r>
      <w:r>
        <w:rPr>
          <w:spacing w:val="-2"/>
          <w:sz w:val="21"/>
        </w:rPr>
        <w:t>测等证</w:t>
      </w:r>
      <w:r>
        <w:rPr>
          <w:spacing w:val="-2"/>
          <w:sz w:val="21"/>
        </w:rPr>
        <w:t>实</w:t>
      </w:r>
      <w:r>
        <w:rPr>
          <w:spacing w:val="-2"/>
          <w:sz w:val="21"/>
        </w:rPr>
        <w:t>。</w:t>
      </w:r>
    </w:p>
    <w:p>
      <w:pPr>
        <w:spacing w:line="168" w:lineRule="auto" w:before="28"/>
        <w:ind w:left="2805" w:right="326" w:firstLine="0"/>
        <w:jc w:val="both"/>
        <w:rPr>
          <w:rFonts w:ascii="微软雅黑" w:eastAsia="微软雅黑"/>
          <w:b/>
          <w:sz w:val="21"/>
        </w:rPr>
      </w:pPr>
      <w:r>
        <w:rPr>
          <w:rFonts w:ascii="微软雅黑" w:eastAsia="微软雅黑"/>
          <w:b/>
          <w:spacing w:val="4"/>
          <w:w w:val="100"/>
          <w:sz w:val="21"/>
        </w:rPr>
        <w:t>先天性疾病所致的听力严重受损及被保险人在</w:t>
      </w:r>
      <w:r>
        <w:rPr>
          <w:rFonts w:ascii="微软雅黑" w:eastAsia="微软雅黑"/>
          <w:b/>
          <w:spacing w:val="4"/>
          <w:w w:val="81"/>
          <w:sz w:val="21"/>
        </w:rPr>
        <w:t>0</w:t>
      </w:r>
      <w:r>
        <w:rPr>
          <w:rFonts w:ascii="微软雅黑" w:eastAsia="微软雅黑"/>
          <w:b/>
          <w:spacing w:val="7"/>
          <w:w w:val="100"/>
          <w:sz w:val="21"/>
        </w:rPr>
        <w:t>至</w:t>
      </w:r>
      <w:r>
        <w:rPr>
          <w:rFonts w:ascii="微软雅黑" w:eastAsia="微软雅黑"/>
          <w:b/>
          <w:spacing w:val="4"/>
          <w:w w:val="81"/>
          <w:sz w:val="21"/>
        </w:rPr>
        <w:t>3</w:t>
      </w:r>
      <w:r>
        <w:rPr>
          <w:rFonts w:ascii="微软雅黑" w:eastAsia="微软雅黑"/>
          <w:b/>
          <w:spacing w:val="3"/>
          <w:w w:val="100"/>
          <w:sz w:val="21"/>
        </w:rPr>
        <w:t>周岁期间因疾病所致</w:t>
      </w:r>
      <w:r>
        <w:rPr>
          <w:rFonts w:ascii="微软雅黑" w:eastAsia="微软雅黑"/>
          <w:b/>
          <w:spacing w:val="-4"/>
          <w:w w:val="100"/>
          <w:sz w:val="21"/>
        </w:rPr>
        <w:t>的听力严重受损不在保障范围内，且申请理赔时需提供听力丧失诊断及检</w:t>
      </w:r>
      <w:r>
        <w:rPr>
          <w:rFonts w:ascii="微软雅黑" w:eastAsia="微软雅黑"/>
          <w:b/>
          <w:w w:val="100"/>
          <w:sz w:val="21"/>
        </w:rPr>
        <w:t>查证据。</w:t>
      </w:r>
    </w:p>
    <w:p>
      <w:pPr>
        <w:spacing w:line="168" w:lineRule="auto" w:before="4"/>
        <w:ind w:left="2805" w:right="326" w:firstLine="0"/>
        <w:jc w:val="both"/>
        <w:rPr>
          <w:rFonts w:ascii="微软雅黑" w:hAnsi="微软雅黑" w:eastAsia="微软雅黑"/>
          <w:b/>
          <w:sz w:val="21"/>
        </w:rPr>
      </w:pPr>
      <w:r>
        <w:rPr>
          <w:rFonts w:ascii="微软雅黑" w:hAnsi="微软雅黑" w:eastAsia="微软雅黑"/>
          <w:b/>
          <w:spacing w:val="-2"/>
          <w:sz w:val="21"/>
        </w:rPr>
        <w:t>我们对“单耳失聪”、“听力严重受损”和“人工耳蜗植入术”三项中的</w:t>
      </w:r>
      <w:r>
        <w:rPr>
          <w:rFonts w:ascii="微软雅黑" w:hAnsi="微软雅黑" w:eastAsia="微软雅黑"/>
          <w:b/>
          <w:spacing w:val="-2"/>
          <w:sz w:val="21"/>
        </w:rPr>
        <w:t>其中一项承担保险责任，给付其中一项保险金后，对其他两项疾病保险责</w:t>
      </w:r>
      <w:r>
        <w:rPr>
          <w:rFonts w:ascii="微软雅黑" w:hAnsi="微软雅黑" w:eastAsia="微软雅黑"/>
          <w:b/>
          <w:spacing w:val="-2"/>
          <w:sz w:val="21"/>
        </w:rPr>
        <w:t>任同时终止。</w:t>
      </w:r>
    </w:p>
    <w:p>
      <w:pPr>
        <w:pStyle w:val="BodyText"/>
        <w:rPr>
          <w:rFonts w:ascii="微软雅黑"/>
          <w:b/>
          <w:sz w:val="15"/>
        </w:rPr>
      </w:pPr>
    </w:p>
    <w:p>
      <w:pPr>
        <w:pStyle w:val="ListParagraph"/>
        <w:numPr>
          <w:ilvl w:val="0"/>
          <w:numId w:val="95"/>
        </w:numPr>
        <w:tabs>
          <w:tab w:pos="1210" w:val="left" w:leader="none"/>
          <w:tab w:pos="1211" w:val="left" w:leader="none"/>
          <w:tab w:pos="2804" w:val="left" w:leader="none"/>
        </w:tabs>
        <w:spacing w:line="168" w:lineRule="auto" w:before="0" w:after="0"/>
        <w:ind w:left="2805" w:right="326" w:hanging="2552"/>
        <w:jc w:val="left"/>
        <w:rPr>
          <w:sz w:val="21"/>
        </w:rPr>
      </w:pPr>
      <w:r>
        <w:rPr>
          <w:rFonts w:ascii="微软雅黑" w:hAnsi="微软雅黑" w:eastAsia="微软雅黑"/>
          <w:b/>
          <w:spacing w:val="-2"/>
          <w:sz w:val="21"/>
        </w:rPr>
        <w:t>视</w:t>
      </w:r>
      <w:r>
        <w:rPr>
          <w:rFonts w:ascii="微软雅黑" w:hAnsi="微软雅黑" w:eastAsia="微软雅黑"/>
          <w:b/>
          <w:spacing w:val="-2"/>
          <w:sz w:val="21"/>
        </w:rPr>
        <w:t>力</w:t>
      </w:r>
      <w:r>
        <w:rPr>
          <w:rFonts w:ascii="微软雅黑" w:hAnsi="微软雅黑" w:eastAsia="微软雅黑"/>
          <w:b/>
          <w:spacing w:val="-2"/>
          <w:sz w:val="21"/>
        </w:rPr>
        <w:t>严</w:t>
      </w:r>
      <w:r>
        <w:rPr>
          <w:rFonts w:ascii="微软雅黑" w:hAnsi="微软雅黑" w:eastAsia="微软雅黑"/>
          <w:b/>
          <w:spacing w:val="-2"/>
          <w:sz w:val="21"/>
        </w:rPr>
        <w:t>重</w:t>
      </w:r>
      <w:r>
        <w:rPr>
          <w:rFonts w:ascii="微软雅黑" w:hAnsi="微软雅黑" w:eastAsia="微软雅黑"/>
          <w:b/>
          <w:spacing w:val="-2"/>
          <w:sz w:val="21"/>
        </w:rPr>
        <w:t>受</w:t>
      </w:r>
      <w:r>
        <w:rPr>
          <w:rFonts w:ascii="微软雅黑" w:hAnsi="微软雅黑" w:eastAsia="微软雅黑"/>
          <w:b/>
          <w:spacing w:val="-2"/>
          <w:sz w:val="21"/>
        </w:rPr>
        <w:t>损</w:t>
      </w:r>
      <w:r>
        <w:rPr>
          <w:rFonts w:ascii="微软雅黑" w:hAnsi="微软雅黑" w:eastAsia="微软雅黑"/>
          <w:b/>
          <w:sz w:val="21"/>
        </w:rPr>
        <w:tab/>
      </w:r>
      <w:r>
        <w:rPr>
          <w:spacing w:val="-2"/>
          <w:sz w:val="21"/>
        </w:rPr>
        <w:t>指</w:t>
      </w:r>
      <w:r>
        <w:rPr>
          <w:spacing w:val="-2"/>
          <w:sz w:val="21"/>
        </w:rPr>
        <w:t>因</w:t>
      </w:r>
      <w:r>
        <w:rPr>
          <w:spacing w:val="-2"/>
          <w:sz w:val="21"/>
        </w:rPr>
        <w:t>疾病或</w:t>
      </w:r>
      <w:r>
        <w:rPr>
          <w:spacing w:val="-2"/>
          <w:sz w:val="21"/>
        </w:rPr>
        <w:t>者</w:t>
      </w:r>
      <w:r>
        <w:rPr>
          <w:spacing w:val="-2"/>
          <w:sz w:val="21"/>
        </w:rPr>
        <w:t>意</w:t>
      </w:r>
      <w:r>
        <w:rPr>
          <w:spacing w:val="-2"/>
          <w:sz w:val="21"/>
        </w:rPr>
        <w:t>外伤害导</w:t>
      </w:r>
      <w:r>
        <w:rPr>
          <w:spacing w:val="-2"/>
          <w:sz w:val="21"/>
        </w:rPr>
        <w:t>致</w:t>
      </w:r>
      <w:r>
        <w:rPr>
          <w:spacing w:val="-2"/>
          <w:sz w:val="21"/>
        </w:rPr>
        <w:t>双</w:t>
      </w:r>
      <w:r>
        <w:rPr>
          <w:spacing w:val="-2"/>
          <w:sz w:val="21"/>
        </w:rPr>
        <w:t>眼视力</w:t>
      </w:r>
      <w:r>
        <w:rPr>
          <w:spacing w:val="-2"/>
          <w:sz w:val="21"/>
        </w:rPr>
        <w:t>永</w:t>
      </w:r>
      <w:r>
        <w:rPr>
          <w:spacing w:val="-2"/>
          <w:sz w:val="21"/>
        </w:rPr>
        <w:t>久</w:t>
      </w:r>
      <w:r>
        <w:rPr>
          <w:spacing w:val="-2"/>
          <w:sz w:val="21"/>
        </w:rPr>
        <w:t>不可逆性</w:t>
      </w:r>
      <w:r>
        <w:rPr>
          <w:spacing w:val="-2"/>
          <w:sz w:val="21"/>
        </w:rPr>
        <w:t>丧</w:t>
      </w:r>
      <w:r>
        <w:rPr>
          <w:spacing w:val="-2"/>
          <w:sz w:val="21"/>
        </w:rPr>
        <w:t>失</w:t>
      </w:r>
      <w:r>
        <w:rPr>
          <w:spacing w:val="-2"/>
          <w:sz w:val="21"/>
        </w:rPr>
        <w:t>，</w:t>
      </w:r>
      <w:r>
        <w:rPr>
          <w:rFonts w:ascii="微软雅黑" w:hAnsi="微软雅黑" w:eastAsia="微软雅黑"/>
          <w:b/>
          <w:spacing w:val="-2"/>
          <w:sz w:val="21"/>
        </w:rPr>
        <w:t>且</w:t>
      </w:r>
      <w:r>
        <w:rPr>
          <w:rFonts w:ascii="微软雅黑" w:hAnsi="微软雅黑" w:eastAsia="微软雅黑"/>
          <w:b/>
          <w:spacing w:val="-2"/>
          <w:sz w:val="21"/>
        </w:rPr>
        <w:t>未</w:t>
      </w:r>
      <w:r>
        <w:rPr>
          <w:rFonts w:ascii="微软雅黑" w:hAnsi="微软雅黑" w:eastAsia="微软雅黑"/>
          <w:b/>
          <w:spacing w:val="-2"/>
          <w:sz w:val="21"/>
        </w:rPr>
        <w:t>达</w:t>
      </w:r>
      <w:r>
        <w:rPr>
          <w:rFonts w:ascii="微软雅黑" w:hAnsi="微软雅黑" w:eastAsia="微软雅黑"/>
          <w:b/>
          <w:spacing w:val="-2"/>
          <w:sz w:val="21"/>
        </w:rPr>
        <w:t>到</w:t>
      </w:r>
      <w:r>
        <w:rPr>
          <w:rFonts w:ascii="微软雅黑" w:hAnsi="微软雅黑" w:eastAsia="微软雅黑"/>
          <w:b/>
          <w:spacing w:val="-2"/>
          <w:sz w:val="21"/>
        </w:rPr>
        <w:t>本</w:t>
      </w:r>
      <w:r>
        <w:rPr>
          <w:rFonts w:ascii="微软雅黑" w:hAnsi="微软雅黑" w:eastAsia="微软雅黑"/>
          <w:b/>
          <w:spacing w:val="-2"/>
          <w:sz w:val="21"/>
        </w:rPr>
        <w:t>合</w:t>
      </w:r>
      <w:r>
        <w:rPr>
          <w:rFonts w:ascii="微软雅黑" w:hAnsi="微软雅黑" w:eastAsia="微软雅黑"/>
          <w:b/>
          <w:spacing w:val="-2"/>
          <w:sz w:val="21"/>
        </w:rPr>
        <w:t>同</w:t>
      </w:r>
      <w:r>
        <w:rPr>
          <w:rFonts w:ascii="微软雅黑" w:hAnsi="微软雅黑" w:eastAsia="微软雅黑"/>
          <w:b/>
          <w:spacing w:val="-2"/>
          <w:sz w:val="21"/>
        </w:rPr>
        <w:t>所</w:t>
      </w:r>
      <w:r>
        <w:rPr>
          <w:rFonts w:ascii="微软雅黑" w:hAnsi="微软雅黑" w:eastAsia="微软雅黑"/>
          <w:b/>
          <w:spacing w:val="-2"/>
          <w:sz w:val="21"/>
        </w:rPr>
        <w:t>指</w:t>
      </w:r>
      <w:r>
        <w:rPr>
          <w:rFonts w:ascii="微软雅黑" w:hAnsi="微软雅黑" w:eastAsia="微软雅黑"/>
          <w:b/>
          <w:spacing w:val="-2"/>
          <w:sz w:val="21"/>
        </w:rPr>
        <w:t>重</w:t>
      </w:r>
      <w:r>
        <w:rPr>
          <w:rFonts w:ascii="微软雅黑" w:hAnsi="微软雅黑" w:eastAsia="微软雅黑"/>
          <w:b/>
          <w:spacing w:val="-2"/>
          <w:sz w:val="21"/>
        </w:rPr>
        <w:t>大</w:t>
      </w:r>
      <w:r>
        <w:rPr>
          <w:rFonts w:ascii="微软雅黑" w:hAnsi="微软雅黑" w:eastAsia="微软雅黑"/>
          <w:b/>
          <w:spacing w:val="-2"/>
          <w:sz w:val="21"/>
        </w:rPr>
        <w:t>疾</w:t>
      </w:r>
      <w:r>
        <w:rPr>
          <w:rFonts w:ascii="微软雅黑" w:hAnsi="微软雅黑" w:eastAsia="微软雅黑"/>
          <w:b/>
          <w:spacing w:val="-2"/>
          <w:sz w:val="21"/>
        </w:rPr>
        <w:t>病</w:t>
      </w:r>
      <w:r>
        <w:rPr>
          <w:rFonts w:ascii="微软雅黑" w:hAnsi="微软雅黑" w:eastAsia="微软雅黑"/>
          <w:b/>
          <w:spacing w:val="-2"/>
          <w:sz w:val="21"/>
        </w:rPr>
        <w:t>“</w:t>
      </w:r>
      <w:r>
        <w:rPr>
          <w:rFonts w:ascii="微软雅黑" w:hAnsi="微软雅黑" w:eastAsia="微软雅黑"/>
          <w:b/>
          <w:spacing w:val="-2"/>
          <w:sz w:val="21"/>
        </w:rPr>
        <w:t>双</w:t>
      </w:r>
      <w:r>
        <w:rPr>
          <w:rFonts w:ascii="微软雅黑" w:hAnsi="微软雅黑" w:eastAsia="微软雅黑"/>
          <w:b/>
          <w:spacing w:val="-2"/>
          <w:sz w:val="21"/>
        </w:rPr>
        <w:t>目失明”</w:t>
      </w:r>
      <w:r>
        <w:rPr>
          <w:rFonts w:ascii="微软雅黑" w:hAnsi="微软雅黑" w:eastAsia="微软雅黑"/>
          <w:b/>
          <w:spacing w:val="-2"/>
          <w:sz w:val="21"/>
        </w:rPr>
        <w:t>的</w:t>
      </w:r>
      <w:r>
        <w:rPr>
          <w:rFonts w:ascii="微软雅黑" w:hAnsi="微软雅黑" w:eastAsia="微软雅黑"/>
          <w:b/>
          <w:spacing w:val="-2"/>
          <w:sz w:val="21"/>
        </w:rPr>
        <w:t>给</w:t>
      </w:r>
      <w:r>
        <w:rPr>
          <w:rFonts w:ascii="微软雅黑" w:hAnsi="微软雅黑" w:eastAsia="微软雅黑"/>
          <w:b/>
          <w:spacing w:val="-2"/>
          <w:sz w:val="21"/>
        </w:rPr>
        <w:t>付</w:t>
      </w:r>
      <w:r>
        <w:rPr>
          <w:rFonts w:ascii="微软雅黑" w:hAnsi="微软雅黑" w:eastAsia="微软雅黑"/>
          <w:b/>
          <w:spacing w:val="-2"/>
          <w:sz w:val="21"/>
        </w:rPr>
        <w:t>标</w:t>
      </w:r>
      <w:r>
        <w:rPr>
          <w:rFonts w:ascii="微软雅黑" w:hAnsi="微软雅黑" w:eastAsia="微软雅黑"/>
          <w:b/>
          <w:spacing w:val="-2"/>
          <w:sz w:val="21"/>
        </w:rPr>
        <w:t>准</w:t>
      </w:r>
      <w:r>
        <w:rPr>
          <w:spacing w:val="-2"/>
          <w:sz w:val="21"/>
        </w:rPr>
        <w:t>，但满足下</w:t>
      </w:r>
      <w:r>
        <w:rPr>
          <w:spacing w:val="-2"/>
          <w:sz w:val="21"/>
        </w:rPr>
        <w:t>列</w:t>
      </w:r>
      <w:r>
        <w:rPr>
          <w:spacing w:val="-2"/>
          <w:sz w:val="21"/>
        </w:rPr>
        <w:t>全</w:t>
      </w:r>
      <w:r>
        <w:rPr>
          <w:spacing w:val="-2"/>
          <w:sz w:val="21"/>
        </w:rPr>
        <w:t>部条件：</w:t>
      </w:r>
    </w:p>
    <w:p>
      <w:pPr>
        <w:pStyle w:val="ListParagraph"/>
        <w:numPr>
          <w:ilvl w:val="0"/>
          <w:numId w:val="99"/>
        </w:numPr>
        <w:tabs>
          <w:tab w:pos="3372" w:val="left" w:leader="none"/>
        </w:tabs>
        <w:spacing w:line="256" w:lineRule="exact" w:before="0" w:after="0"/>
        <w:ind w:left="3371" w:right="0" w:hanging="567"/>
        <w:jc w:val="left"/>
        <w:rPr>
          <w:sz w:val="21"/>
        </w:rPr>
      </w:pPr>
      <w:r>
        <w:rPr>
          <w:spacing w:val="-6"/>
          <w:sz w:val="21"/>
        </w:rPr>
        <w:t>双眼中较好眼矫正视力低于 0.1（</w:t>
      </w:r>
      <w:r>
        <w:rPr>
          <w:spacing w:val="-7"/>
          <w:sz w:val="21"/>
        </w:rPr>
        <w:t>采用国际标准视力表，如果使用其</w:t>
      </w:r>
    </w:p>
    <w:p>
      <w:pPr>
        <w:pStyle w:val="BodyText"/>
        <w:spacing w:before="2"/>
        <w:ind w:left="3371"/>
      </w:pPr>
      <w:r>
        <w:rPr>
          <w:spacing w:val="-2"/>
        </w:rPr>
        <w:t>他视力表应进行换算</w:t>
      </w:r>
      <w:r>
        <w:rPr>
          <w:spacing w:val="-5"/>
        </w:rPr>
        <w:t>）；</w:t>
      </w:r>
    </w:p>
    <w:p>
      <w:pPr>
        <w:pStyle w:val="ListParagraph"/>
        <w:numPr>
          <w:ilvl w:val="0"/>
          <w:numId w:val="99"/>
        </w:numPr>
        <w:tabs>
          <w:tab w:pos="3372" w:val="left" w:leader="none"/>
        </w:tabs>
        <w:spacing w:line="237" w:lineRule="exact" w:before="5" w:after="0"/>
        <w:ind w:left="3371" w:right="0" w:hanging="567"/>
        <w:jc w:val="left"/>
        <w:rPr>
          <w:sz w:val="21"/>
        </w:rPr>
      </w:pPr>
      <w:r>
        <w:rPr>
          <w:spacing w:val="-6"/>
          <w:sz w:val="21"/>
        </w:rPr>
        <w:t>双眼中较好眼视野半径小于 </w:t>
      </w:r>
      <w:r>
        <w:rPr>
          <w:spacing w:val="-2"/>
          <w:sz w:val="21"/>
        </w:rPr>
        <w:t>20</w:t>
      </w:r>
      <w:r>
        <w:rPr>
          <w:spacing w:val="-20"/>
          <w:sz w:val="21"/>
        </w:rPr>
        <w:t> 度。</w:t>
      </w:r>
    </w:p>
    <w:p>
      <w:pPr>
        <w:spacing w:line="168" w:lineRule="auto" w:before="50"/>
        <w:ind w:left="2805" w:right="326" w:firstLine="0"/>
        <w:jc w:val="both"/>
        <w:rPr>
          <w:rFonts w:ascii="微软雅黑" w:eastAsia="微软雅黑"/>
          <w:b/>
          <w:sz w:val="21"/>
        </w:rPr>
      </w:pPr>
      <w:r>
        <w:rPr>
          <w:rFonts w:ascii="微软雅黑" w:eastAsia="微软雅黑"/>
          <w:b/>
          <w:spacing w:val="4"/>
          <w:w w:val="100"/>
          <w:sz w:val="21"/>
        </w:rPr>
        <w:t>先天性疾病所致的视力严重受损及被保险人在</w:t>
      </w:r>
      <w:r>
        <w:rPr>
          <w:rFonts w:ascii="微软雅黑" w:eastAsia="微软雅黑"/>
          <w:b/>
          <w:spacing w:val="4"/>
          <w:w w:val="81"/>
          <w:sz w:val="21"/>
        </w:rPr>
        <w:t>0</w:t>
      </w:r>
      <w:r>
        <w:rPr>
          <w:rFonts w:ascii="微软雅黑" w:eastAsia="微软雅黑"/>
          <w:b/>
          <w:spacing w:val="7"/>
          <w:w w:val="100"/>
          <w:sz w:val="21"/>
        </w:rPr>
        <w:t>至</w:t>
      </w:r>
      <w:r>
        <w:rPr>
          <w:rFonts w:ascii="微软雅黑" w:eastAsia="微软雅黑"/>
          <w:b/>
          <w:spacing w:val="4"/>
          <w:w w:val="81"/>
          <w:sz w:val="21"/>
        </w:rPr>
        <w:t>3</w:t>
      </w:r>
      <w:r>
        <w:rPr>
          <w:rFonts w:ascii="微软雅黑" w:eastAsia="微软雅黑"/>
          <w:b/>
          <w:spacing w:val="3"/>
          <w:w w:val="100"/>
          <w:sz w:val="21"/>
        </w:rPr>
        <w:t>周岁期间因疾病所致</w:t>
      </w:r>
      <w:r>
        <w:rPr>
          <w:rFonts w:ascii="微软雅黑" w:eastAsia="微软雅黑"/>
          <w:b/>
          <w:spacing w:val="-4"/>
          <w:w w:val="100"/>
          <w:sz w:val="21"/>
        </w:rPr>
        <w:t>的视力严重受损不在保障范围内，且申请理赔时需提供视力丧失诊断及检</w:t>
      </w:r>
      <w:r>
        <w:rPr>
          <w:rFonts w:ascii="微软雅黑" w:eastAsia="微软雅黑"/>
          <w:b/>
          <w:w w:val="100"/>
          <w:sz w:val="21"/>
        </w:rPr>
        <w:t>查证据。</w:t>
      </w:r>
    </w:p>
    <w:p>
      <w:pPr>
        <w:spacing w:line="310" w:lineRule="exact" w:before="0"/>
        <w:ind w:left="2805" w:right="0" w:firstLine="0"/>
        <w:jc w:val="left"/>
        <w:rPr>
          <w:rFonts w:ascii="微软雅黑" w:hAnsi="微软雅黑" w:eastAsia="微软雅黑"/>
          <w:b/>
          <w:sz w:val="21"/>
        </w:rPr>
      </w:pPr>
      <w:r>
        <w:rPr>
          <w:rFonts w:ascii="微软雅黑" w:hAnsi="微软雅黑" w:eastAsia="微软雅黑"/>
          <w:b/>
          <w:spacing w:val="-3"/>
          <w:sz w:val="21"/>
        </w:rPr>
        <w:t>我们对“视力严重受损”、“单目失明”、“角膜移植”和“糖尿病视网</w:t>
      </w:r>
    </w:p>
    <w:p>
      <w:pPr>
        <w:spacing w:after="0" w:line="310" w:lineRule="exact"/>
        <w:jc w:val="left"/>
        <w:rPr>
          <w:rFonts w:ascii="微软雅黑" w:hAnsi="微软雅黑" w:eastAsia="微软雅黑"/>
          <w:sz w:val="21"/>
        </w:rPr>
        <w:sectPr>
          <w:type w:val="continuous"/>
          <w:pgSz w:w="11910" w:h="16840"/>
          <w:pgMar w:header="877" w:footer="0" w:top="1100" w:bottom="280" w:left="1060" w:right="980"/>
        </w:sectPr>
      </w:pPr>
    </w:p>
    <w:p>
      <w:pPr>
        <w:pStyle w:val="BodyText"/>
        <w:rPr>
          <w:rFonts w:ascii="微软雅黑"/>
          <w:b/>
          <w:sz w:val="6"/>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6999"/>
      </w:tblGrid>
      <w:tr>
        <w:trPr>
          <w:trHeight w:val="649" w:hRule="atLeast"/>
        </w:trPr>
        <w:tc>
          <w:tcPr>
            <w:tcW w:w="2492" w:type="dxa"/>
            <w:gridSpan w:val="2"/>
          </w:tcPr>
          <w:p>
            <w:pPr>
              <w:pStyle w:val="TableParagraph"/>
              <w:rPr>
                <w:rFonts w:ascii="Times New Roman"/>
                <w:sz w:val="20"/>
              </w:rPr>
            </w:pPr>
          </w:p>
        </w:tc>
        <w:tc>
          <w:tcPr>
            <w:tcW w:w="6999" w:type="dxa"/>
          </w:tcPr>
          <w:p>
            <w:pPr>
              <w:pStyle w:val="TableParagraph"/>
              <w:spacing w:line="168" w:lineRule="auto"/>
              <w:ind w:left="109" w:right="154"/>
              <w:rPr>
                <w:rFonts w:ascii="微软雅黑" w:hAnsi="微软雅黑" w:eastAsia="微软雅黑"/>
                <w:b/>
                <w:sz w:val="21"/>
              </w:rPr>
            </w:pPr>
            <w:r>
              <w:rPr>
                <w:rFonts w:ascii="微软雅黑" w:hAnsi="微软雅黑" w:eastAsia="微软雅黑"/>
                <w:b/>
                <w:spacing w:val="-2"/>
                <w:sz w:val="21"/>
              </w:rPr>
              <w:t>膜晚期增生性病变”四项中的其中一项承担保险责任，给付其中一项保险</w:t>
            </w:r>
            <w:r>
              <w:rPr>
                <w:rFonts w:ascii="微软雅黑" w:hAnsi="微软雅黑" w:eastAsia="微软雅黑"/>
                <w:b/>
                <w:spacing w:val="-2"/>
                <w:sz w:val="21"/>
              </w:rPr>
              <w:t>金后，对其他三项疾病保险责任同时终止。</w:t>
            </w:r>
          </w:p>
        </w:tc>
      </w:tr>
      <w:tr>
        <w:trPr>
          <w:trHeight w:val="2179" w:hRule="atLeast"/>
        </w:trPr>
        <w:tc>
          <w:tcPr>
            <w:tcW w:w="634" w:type="dxa"/>
          </w:tcPr>
          <w:p>
            <w:pPr>
              <w:pStyle w:val="TableParagraph"/>
              <w:spacing w:before="71"/>
              <w:ind w:left="50"/>
              <w:rPr>
                <w:rFonts w:ascii="微软雅黑"/>
                <w:b/>
                <w:sz w:val="21"/>
              </w:rPr>
            </w:pPr>
            <w:r>
              <w:rPr>
                <w:rFonts w:ascii="微软雅黑"/>
                <w:b/>
                <w:spacing w:val="-5"/>
                <w:w w:val="90"/>
                <w:sz w:val="21"/>
              </w:rPr>
              <w:t>11</w:t>
            </w:r>
          </w:p>
        </w:tc>
        <w:tc>
          <w:tcPr>
            <w:tcW w:w="1858" w:type="dxa"/>
          </w:tcPr>
          <w:p>
            <w:pPr>
              <w:pStyle w:val="TableParagraph"/>
              <w:spacing w:before="71"/>
              <w:ind w:left="373"/>
              <w:rPr>
                <w:rFonts w:ascii="微软雅黑" w:eastAsia="微软雅黑"/>
                <w:b/>
                <w:sz w:val="21"/>
              </w:rPr>
            </w:pPr>
            <w:r>
              <w:rPr>
                <w:rFonts w:ascii="微软雅黑" w:eastAsia="微软雅黑"/>
                <w:b/>
                <w:spacing w:val="-3"/>
                <w:sz w:val="21"/>
              </w:rPr>
              <w:t>角膜移植</w:t>
            </w:r>
          </w:p>
        </w:tc>
        <w:tc>
          <w:tcPr>
            <w:tcW w:w="6999" w:type="dxa"/>
          </w:tcPr>
          <w:p>
            <w:pPr>
              <w:pStyle w:val="TableParagraph"/>
              <w:spacing w:line="194" w:lineRule="auto" w:before="178"/>
              <w:ind w:left="109" w:right="370"/>
              <w:rPr>
                <w:rFonts w:ascii="微软雅黑" w:eastAsia="微软雅黑"/>
                <w:b/>
                <w:sz w:val="21"/>
              </w:rPr>
            </w:pPr>
            <w:r>
              <w:rPr>
                <w:spacing w:val="-2"/>
                <w:sz w:val="21"/>
              </w:rPr>
              <w:t>指为增进视力或治疗某些角膜疾患，已经实施了异体的角膜移植手术。</w:t>
            </w:r>
            <w:r>
              <w:rPr>
                <w:rFonts w:ascii="微软雅黑" w:eastAsia="微软雅黑"/>
                <w:b/>
                <w:spacing w:val="-2"/>
                <w:sz w:val="21"/>
              </w:rPr>
              <w:t>此手术须在我们认可医院的专科医生认为是医疗必须的情况下进行。</w:t>
            </w:r>
          </w:p>
          <w:p>
            <w:pPr>
              <w:pStyle w:val="TableParagraph"/>
              <w:spacing w:line="237" w:lineRule="exact"/>
              <w:ind w:left="109"/>
              <w:rPr>
                <w:rFonts w:ascii="微软雅黑" w:eastAsia="微软雅黑"/>
                <w:b/>
                <w:sz w:val="21"/>
              </w:rPr>
            </w:pPr>
            <w:r>
              <w:rPr>
                <w:rFonts w:ascii="微软雅黑" w:eastAsia="微软雅黑"/>
                <w:b/>
                <w:spacing w:val="-3"/>
                <w:sz w:val="21"/>
              </w:rPr>
              <w:t>单纯角膜细胞移植，自体角膜缘细胞移植，非同种来源角膜或人工角膜的</w:t>
            </w:r>
          </w:p>
          <w:p>
            <w:pPr>
              <w:pStyle w:val="TableParagraph"/>
              <w:spacing w:line="272" w:lineRule="exact"/>
              <w:ind w:left="109"/>
              <w:rPr>
                <w:rFonts w:ascii="微软雅黑" w:eastAsia="微软雅黑"/>
                <w:b/>
                <w:sz w:val="21"/>
              </w:rPr>
            </w:pPr>
            <w:r>
              <w:rPr>
                <w:rFonts w:ascii="微软雅黑" w:eastAsia="微软雅黑"/>
                <w:b/>
                <w:spacing w:val="-3"/>
                <w:sz w:val="21"/>
              </w:rPr>
              <w:t>移植不在保障范围内。</w:t>
            </w:r>
          </w:p>
          <w:p>
            <w:pPr>
              <w:pStyle w:val="TableParagraph"/>
              <w:spacing w:line="168" w:lineRule="auto" w:before="25"/>
              <w:ind w:left="109" w:right="152"/>
              <w:jc w:val="both"/>
              <w:rPr>
                <w:rFonts w:ascii="微软雅黑" w:hAnsi="微软雅黑" w:eastAsia="微软雅黑"/>
                <w:b/>
                <w:sz w:val="21"/>
              </w:rPr>
            </w:pPr>
            <w:r>
              <w:rPr>
                <w:rFonts w:ascii="微软雅黑" w:hAnsi="微软雅黑" w:eastAsia="微软雅黑"/>
                <w:b/>
                <w:spacing w:val="-2"/>
                <w:sz w:val="21"/>
              </w:rPr>
              <w:t>我们对“视力严重受损”、“单目失明”、“角膜移植”和“糖尿病视网</w:t>
            </w:r>
            <w:r>
              <w:rPr>
                <w:rFonts w:ascii="微软雅黑" w:hAnsi="微软雅黑" w:eastAsia="微软雅黑"/>
                <w:b/>
                <w:spacing w:val="-2"/>
                <w:sz w:val="21"/>
              </w:rPr>
              <w:t>膜晚期增生性病变”四项中的其中一项承担保险责任，给付其中一项保险</w:t>
            </w:r>
            <w:r>
              <w:rPr>
                <w:rFonts w:ascii="微软雅黑" w:hAnsi="微软雅黑" w:eastAsia="微软雅黑"/>
                <w:b/>
                <w:spacing w:val="-2"/>
                <w:sz w:val="21"/>
              </w:rPr>
              <w:t>金后，对其他三项疾病保险责任同时终止。</w:t>
            </w:r>
          </w:p>
        </w:tc>
      </w:tr>
      <w:tr>
        <w:trPr>
          <w:trHeight w:val="3540" w:hRule="atLeast"/>
        </w:trPr>
        <w:tc>
          <w:tcPr>
            <w:tcW w:w="634" w:type="dxa"/>
          </w:tcPr>
          <w:p>
            <w:pPr>
              <w:pStyle w:val="TableParagraph"/>
              <w:spacing w:before="71"/>
              <w:ind w:left="50"/>
              <w:rPr>
                <w:rFonts w:ascii="微软雅黑"/>
                <w:b/>
                <w:sz w:val="21"/>
              </w:rPr>
            </w:pPr>
            <w:r>
              <w:rPr>
                <w:rFonts w:ascii="微软雅黑"/>
                <w:b/>
                <w:spacing w:val="-5"/>
                <w:w w:val="90"/>
                <w:sz w:val="21"/>
              </w:rPr>
              <w:t>12</w:t>
            </w:r>
          </w:p>
        </w:tc>
        <w:tc>
          <w:tcPr>
            <w:tcW w:w="1858" w:type="dxa"/>
          </w:tcPr>
          <w:p>
            <w:pPr>
              <w:pStyle w:val="TableParagraph"/>
              <w:spacing w:before="71"/>
              <w:ind w:left="373"/>
              <w:rPr>
                <w:rFonts w:ascii="微软雅黑" w:eastAsia="微软雅黑"/>
                <w:b/>
                <w:sz w:val="21"/>
              </w:rPr>
            </w:pPr>
            <w:r>
              <w:rPr>
                <w:rFonts w:ascii="微软雅黑" w:eastAsia="微软雅黑"/>
                <w:b/>
                <w:spacing w:val="-3"/>
                <w:sz w:val="21"/>
              </w:rPr>
              <w:t>单目失明</w:t>
            </w:r>
          </w:p>
        </w:tc>
        <w:tc>
          <w:tcPr>
            <w:tcW w:w="6999" w:type="dxa"/>
          </w:tcPr>
          <w:p>
            <w:pPr>
              <w:pStyle w:val="TableParagraph"/>
              <w:spacing w:line="184" w:lineRule="auto" w:before="135"/>
              <w:ind w:left="109" w:right="154"/>
              <w:jc w:val="both"/>
              <w:rPr>
                <w:sz w:val="21"/>
              </w:rPr>
            </w:pPr>
            <w:r>
              <w:rPr>
                <w:spacing w:val="-2"/>
                <w:sz w:val="21"/>
              </w:rPr>
              <w:t>指因疾病或意外伤害导致单眼视力永久不可逆性丧失，</w:t>
            </w:r>
            <w:r>
              <w:rPr>
                <w:rFonts w:ascii="微软雅黑" w:hAnsi="微软雅黑" w:eastAsia="微软雅黑"/>
                <w:b/>
                <w:spacing w:val="-2"/>
                <w:sz w:val="21"/>
              </w:rPr>
              <w:t>但未达到本合同所</w:t>
            </w:r>
            <w:r>
              <w:rPr>
                <w:rFonts w:ascii="微软雅黑" w:hAnsi="微软雅黑" w:eastAsia="微软雅黑"/>
                <w:b/>
                <w:spacing w:val="-2"/>
                <w:sz w:val="21"/>
              </w:rPr>
              <w:t>指重大疾病“双目失明”的给付标准，</w:t>
            </w:r>
            <w:r>
              <w:rPr>
                <w:spacing w:val="-2"/>
                <w:sz w:val="21"/>
              </w:rPr>
              <w:t>诊断须经我们认可医院的眼科专科</w:t>
            </w:r>
            <w:r>
              <w:rPr>
                <w:spacing w:val="-2"/>
                <w:sz w:val="21"/>
              </w:rPr>
              <w:t>医生确认，患眼须满足下列至少一项条件：</w:t>
            </w:r>
          </w:p>
          <w:p>
            <w:pPr>
              <w:pStyle w:val="TableParagraph"/>
              <w:numPr>
                <w:ilvl w:val="0"/>
                <w:numId w:val="100"/>
              </w:numPr>
              <w:tabs>
                <w:tab w:pos="639" w:val="left" w:leader="none"/>
              </w:tabs>
              <w:spacing w:line="240" w:lineRule="auto" w:before="19" w:after="0"/>
              <w:ind w:left="638" w:right="0" w:hanging="530"/>
              <w:jc w:val="left"/>
              <w:rPr>
                <w:sz w:val="21"/>
              </w:rPr>
            </w:pPr>
            <w:r>
              <w:rPr>
                <w:spacing w:val="-4"/>
                <w:sz w:val="21"/>
              </w:rPr>
              <w:t>眼球缺失或摘除；</w:t>
            </w:r>
          </w:p>
          <w:p>
            <w:pPr>
              <w:pStyle w:val="TableParagraph"/>
              <w:numPr>
                <w:ilvl w:val="0"/>
                <w:numId w:val="100"/>
              </w:numPr>
              <w:tabs>
                <w:tab w:pos="639" w:val="left" w:leader="none"/>
              </w:tabs>
              <w:spacing w:line="244" w:lineRule="auto" w:before="2" w:after="0"/>
              <w:ind w:left="620" w:right="154" w:hanging="512"/>
              <w:jc w:val="left"/>
              <w:rPr>
                <w:sz w:val="21"/>
              </w:rPr>
            </w:pPr>
            <w:r>
              <w:rPr>
                <w:spacing w:val="-2"/>
                <w:sz w:val="21"/>
              </w:rPr>
              <w:t>矫正视力低于 </w:t>
            </w:r>
            <w:r>
              <w:rPr>
                <w:sz w:val="21"/>
              </w:rPr>
              <w:t>0.02（采用国际标准视力表，如果使用其他视力表应</w:t>
            </w:r>
            <w:r>
              <w:rPr>
                <w:spacing w:val="-2"/>
                <w:sz w:val="21"/>
              </w:rPr>
              <w:t>进行换算）；</w:t>
            </w:r>
          </w:p>
          <w:p>
            <w:pPr>
              <w:pStyle w:val="TableParagraph"/>
              <w:numPr>
                <w:ilvl w:val="0"/>
                <w:numId w:val="100"/>
              </w:numPr>
              <w:tabs>
                <w:tab w:pos="639" w:val="left" w:leader="none"/>
              </w:tabs>
              <w:spacing w:line="234" w:lineRule="exact" w:before="0" w:after="0"/>
              <w:ind w:left="638" w:right="0" w:hanging="530"/>
              <w:jc w:val="left"/>
              <w:rPr>
                <w:sz w:val="21"/>
              </w:rPr>
            </w:pPr>
            <w:r>
              <w:rPr>
                <w:spacing w:val="-9"/>
                <w:sz w:val="21"/>
              </w:rPr>
              <w:t>视野半径小于 </w:t>
            </w:r>
            <w:r>
              <w:rPr>
                <w:spacing w:val="-2"/>
                <w:sz w:val="21"/>
              </w:rPr>
              <w:t>5</w:t>
            </w:r>
            <w:r>
              <w:rPr>
                <w:spacing w:val="-21"/>
                <w:sz w:val="21"/>
              </w:rPr>
              <w:t> 度。</w:t>
            </w:r>
          </w:p>
          <w:p>
            <w:pPr>
              <w:pStyle w:val="TableParagraph"/>
              <w:spacing w:line="168" w:lineRule="auto" w:before="52"/>
              <w:ind w:left="109" w:right="137"/>
              <w:jc w:val="both"/>
              <w:rPr>
                <w:rFonts w:ascii="微软雅黑" w:hAnsi="微软雅黑" w:eastAsia="微软雅黑"/>
                <w:b/>
                <w:sz w:val="21"/>
              </w:rPr>
            </w:pPr>
            <w:r>
              <w:rPr>
                <w:rFonts w:ascii="微软雅黑" w:hAnsi="微软雅黑" w:eastAsia="微软雅黑"/>
                <w:b/>
                <w:spacing w:val="-3"/>
                <w:sz w:val="21"/>
              </w:rPr>
              <w:t>先天性疾病所致的单目失明及被保险人在 </w:t>
            </w:r>
            <w:r>
              <w:rPr>
                <w:rFonts w:ascii="微软雅黑" w:hAnsi="微软雅黑" w:eastAsia="微软雅黑"/>
                <w:b/>
                <w:spacing w:val="-2"/>
                <w:sz w:val="21"/>
              </w:rPr>
              <w:t>0</w:t>
            </w:r>
            <w:r>
              <w:rPr>
                <w:rFonts w:ascii="微软雅黑" w:hAnsi="微软雅黑" w:eastAsia="微软雅黑"/>
                <w:b/>
                <w:spacing w:val="-7"/>
                <w:sz w:val="21"/>
              </w:rPr>
              <w:t> 至 </w:t>
            </w:r>
            <w:r>
              <w:rPr>
                <w:rFonts w:ascii="微软雅黑" w:hAnsi="微软雅黑" w:eastAsia="微软雅黑"/>
                <w:b/>
                <w:spacing w:val="-2"/>
                <w:sz w:val="21"/>
              </w:rPr>
              <w:t>3</w:t>
            </w:r>
            <w:r>
              <w:rPr>
                <w:rFonts w:ascii="微软雅黑" w:hAnsi="微软雅黑" w:eastAsia="微软雅黑"/>
                <w:b/>
                <w:spacing w:val="-5"/>
                <w:sz w:val="21"/>
              </w:rPr>
              <w:t> 周岁期间因疾病所致的单</w:t>
            </w:r>
            <w:r>
              <w:rPr>
                <w:rFonts w:ascii="微软雅黑" w:hAnsi="微软雅黑" w:eastAsia="微软雅黑"/>
                <w:b/>
                <w:spacing w:val="-2"/>
                <w:sz w:val="21"/>
              </w:rPr>
              <w:t>目失明不在保障范围内，且申请理赔时需提供视力丧失诊断及检查证据。</w:t>
            </w:r>
            <w:r>
              <w:rPr>
                <w:rFonts w:ascii="微软雅黑" w:hAnsi="微软雅黑" w:eastAsia="微软雅黑"/>
                <w:b/>
                <w:spacing w:val="-2"/>
                <w:sz w:val="21"/>
              </w:rPr>
              <w:t>我们对“视力严重受损”、“单目失明”、“角膜移植”和“糖尿病视网</w:t>
            </w:r>
            <w:r>
              <w:rPr>
                <w:rFonts w:ascii="微软雅黑" w:hAnsi="微软雅黑" w:eastAsia="微软雅黑"/>
                <w:b/>
                <w:spacing w:val="-2"/>
                <w:sz w:val="21"/>
              </w:rPr>
              <w:t>膜晚期增生性病变”四项中的其中一项承担保险责任，给付其中一项保险</w:t>
            </w:r>
            <w:r>
              <w:rPr>
                <w:rFonts w:ascii="微软雅黑" w:hAnsi="微软雅黑" w:eastAsia="微软雅黑"/>
                <w:b/>
                <w:spacing w:val="-2"/>
                <w:sz w:val="21"/>
              </w:rPr>
              <w:t>金后，对其他三项疾病保险责任同时终止。</w:t>
            </w:r>
          </w:p>
        </w:tc>
      </w:tr>
      <w:tr>
        <w:trPr>
          <w:trHeight w:val="1908" w:hRule="atLeast"/>
        </w:trPr>
        <w:tc>
          <w:tcPr>
            <w:tcW w:w="634" w:type="dxa"/>
          </w:tcPr>
          <w:p>
            <w:pPr>
              <w:pStyle w:val="TableParagraph"/>
              <w:spacing w:before="71"/>
              <w:ind w:left="50"/>
              <w:rPr>
                <w:rFonts w:ascii="微软雅黑"/>
                <w:b/>
                <w:sz w:val="21"/>
              </w:rPr>
            </w:pPr>
            <w:r>
              <w:rPr>
                <w:rFonts w:ascii="微软雅黑"/>
                <w:b/>
                <w:spacing w:val="-5"/>
                <w:w w:val="90"/>
                <w:sz w:val="21"/>
              </w:rPr>
              <w:t>13</w:t>
            </w:r>
          </w:p>
        </w:tc>
        <w:tc>
          <w:tcPr>
            <w:tcW w:w="1858" w:type="dxa"/>
          </w:tcPr>
          <w:p>
            <w:pPr>
              <w:pStyle w:val="TableParagraph"/>
              <w:spacing w:line="170" w:lineRule="auto" w:before="151"/>
              <w:ind w:left="373" w:right="106"/>
              <w:rPr>
                <w:rFonts w:ascii="微软雅黑" w:hAnsi="微软雅黑" w:eastAsia="微软雅黑"/>
                <w:b/>
                <w:sz w:val="21"/>
              </w:rPr>
            </w:pPr>
            <w:r>
              <w:rPr>
                <w:rFonts w:ascii="微软雅黑" w:hAnsi="微软雅黑" w:eastAsia="微软雅黑"/>
                <w:b/>
                <w:spacing w:val="15"/>
                <w:sz w:val="21"/>
              </w:rPr>
              <w:t>全身较小面积</w:t>
            </w:r>
            <w:r>
              <w:rPr>
                <w:rFonts w:ascii="微软雅黑" w:hAnsi="微软雅黑" w:eastAsia="微软雅黑"/>
                <w:b/>
                <w:sz w:val="21"/>
              </w:rPr>
              <w:t> </w:t>
            </w:r>
            <w:r>
              <w:rPr>
                <w:rFonts w:ascii="微软雅黑" w:hAnsi="微软雅黑" w:eastAsia="微软雅黑"/>
                <w:b/>
                <w:spacing w:val="-4"/>
                <w:sz w:val="21"/>
              </w:rPr>
              <w:t>Ⅲ度烧伤</w:t>
            </w:r>
          </w:p>
        </w:tc>
        <w:tc>
          <w:tcPr>
            <w:tcW w:w="6999" w:type="dxa"/>
          </w:tcPr>
          <w:p>
            <w:pPr>
              <w:pStyle w:val="TableParagraph"/>
              <w:spacing w:line="242" w:lineRule="auto" w:before="138"/>
              <w:ind w:left="109" w:right="151"/>
              <w:jc w:val="both"/>
              <w:rPr>
                <w:sz w:val="21"/>
              </w:rPr>
            </w:pPr>
            <w:r>
              <w:rPr>
                <w:spacing w:val="-2"/>
                <w:sz w:val="21"/>
              </w:rPr>
              <w:t>指烧伤程度为Ⅲ度，即全层皮肤烧伤，包括表皮、真皮和皮下组织，且Ⅲ</w:t>
            </w:r>
            <w:r>
              <w:rPr>
                <w:spacing w:val="-4"/>
                <w:sz w:val="21"/>
              </w:rPr>
              <w:t>度烧伤面积为全身体表面积的10%或者10%以上，但尚未达到15%。体表面积</w:t>
            </w:r>
            <w:r>
              <w:rPr>
                <w:spacing w:val="-2"/>
                <w:sz w:val="21"/>
              </w:rPr>
              <w:t>根据《中国新九分法》计算。</w:t>
            </w:r>
          </w:p>
          <w:p>
            <w:pPr>
              <w:pStyle w:val="TableParagraph"/>
              <w:spacing w:line="168" w:lineRule="auto" w:before="20"/>
              <w:ind w:left="109" w:right="154"/>
              <w:jc w:val="both"/>
              <w:rPr>
                <w:rFonts w:ascii="微软雅黑" w:hAnsi="微软雅黑" w:eastAsia="微软雅黑"/>
                <w:b/>
                <w:sz w:val="21"/>
              </w:rPr>
            </w:pPr>
            <w:r>
              <w:rPr>
                <w:rFonts w:ascii="微软雅黑" w:hAnsi="微软雅黑" w:eastAsia="微软雅黑"/>
                <w:b/>
                <w:spacing w:val="-2"/>
                <w:sz w:val="21"/>
              </w:rPr>
              <w:t>我们对“全身较小面积Ⅲ度烧伤”、“轻度面部烧伤”两项中的其中一项</w:t>
            </w:r>
            <w:r>
              <w:rPr>
                <w:rFonts w:ascii="微软雅黑" w:hAnsi="微软雅黑" w:eastAsia="微软雅黑"/>
                <w:b/>
                <w:spacing w:val="-2"/>
                <w:sz w:val="21"/>
              </w:rPr>
              <w:t>承担保险责任，给付其中一项保险金后，对另外一项疾病保险责任同时终</w:t>
            </w:r>
            <w:r>
              <w:rPr>
                <w:rFonts w:ascii="微软雅黑" w:hAnsi="微软雅黑" w:eastAsia="微软雅黑"/>
                <w:b/>
                <w:spacing w:val="-6"/>
                <w:sz w:val="21"/>
              </w:rPr>
              <w:t>止。</w:t>
            </w:r>
          </w:p>
        </w:tc>
      </w:tr>
      <w:tr>
        <w:trPr>
          <w:trHeight w:val="2179" w:hRule="atLeast"/>
        </w:trPr>
        <w:tc>
          <w:tcPr>
            <w:tcW w:w="634" w:type="dxa"/>
          </w:tcPr>
          <w:p>
            <w:pPr>
              <w:pStyle w:val="TableParagraph"/>
              <w:spacing w:before="71"/>
              <w:ind w:left="50"/>
              <w:rPr>
                <w:rFonts w:ascii="微软雅黑"/>
                <w:b/>
                <w:sz w:val="21"/>
              </w:rPr>
            </w:pPr>
            <w:r>
              <w:rPr>
                <w:rFonts w:ascii="微软雅黑"/>
                <w:b/>
                <w:spacing w:val="-5"/>
                <w:w w:val="90"/>
                <w:sz w:val="21"/>
              </w:rPr>
              <w:t>14</w:t>
            </w:r>
          </w:p>
        </w:tc>
        <w:tc>
          <w:tcPr>
            <w:tcW w:w="1858" w:type="dxa"/>
          </w:tcPr>
          <w:p>
            <w:pPr>
              <w:pStyle w:val="TableParagraph"/>
              <w:spacing w:line="168" w:lineRule="auto" w:before="154"/>
              <w:ind w:left="373" w:right="106"/>
              <w:rPr>
                <w:rFonts w:ascii="微软雅黑" w:eastAsia="微软雅黑"/>
                <w:b/>
                <w:sz w:val="21"/>
              </w:rPr>
            </w:pPr>
            <w:r>
              <w:rPr>
                <w:rFonts w:ascii="微软雅黑" w:eastAsia="微软雅黑"/>
                <w:b/>
                <w:spacing w:val="15"/>
                <w:sz w:val="21"/>
              </w:rPr>
              <w:t>双侧卵巢切除</w:t>
            </w:r>
            <w:r>
              <w:rPr>
                <w:rFonts w:ascii="微软雅黑" w:eastAsia="微软雅黑"/>
                <w:b/>
                <w:spacing w:val="-10"/>
                <w:sz w:val="21"/>
              </w:rPr>
              <w:t>术</w:t>
            </w:r>
          </w:p>
        </w:tc>
        <w:tc>
          <w:tcPr>
            <w:tcW w:w="6999" w:type="dxa"/>
          </w:tcPr>
          <w:p>
            <w:pPr>
              <w:pStyle w:val="TableParagraph"/>
              <w:spacing w:line="242" w:lineRule="auto" w:before="138"/>
              <w:ind w:left="109" w:right="154"/>
              <w:rPr>
                <w:sz w:val="21"/>
              </w:rPr>
            </w:pPr>
            <w:r>
              <w:rPr>
                <w:spacing w:val="-2"/>
                <w:sz w:val="21"/>
              </w:rPr>
              <w:t>指为治疗疾病实际接受了经腹部切开或腹腔镜进行的双侧卵巢完全切除手</w:t>
            </w:r>
            <w:r>
              <w:rPr>
                <w:spacing w:val="-6"/>
                <w:sz w:val="21"/>
              </w:rPr>
              <w:t>术。</w:t>
            </w:r>
          </w:p>
          <w:p>
            <w:pPr>
              <w:pStyle w:val="TableParagraph"/>
              <w:spacing w:line="263" w:lineRule="exact"/>
              <w:ind w:left="109"/>
              <w:rPr>
                <w:rFonts w:ascii="微软雅黑" w:eastAsia="微软雅黑"/>
                <w:b/>
                <w:sz w:val="21"/>
              </w:rPr>
            </w:pPr>
            <w:r>
              <w:rPr>
                <w:rFonts w:ascii="微软雅黑" w:eastAsia="微软雅黑"/>
                <w:b/>
                <w:spacing w:val="-3"/>
                <w:sz w:val="21"/>
              </w:rPr>
              <w:t>下列情况不在保障范围内：</w:t>
            </w:r>
          </w:p>
          <w:p>
            <w:pPr>
              <w:pStyle w:val="TableParagraph"/>
              <w:numPr>
                <w:ilvl w:val="0"/>
                <w:numId w:val="101"/>
              </w:numPr>
              <w:tabs>
                <w:tab w:pos="639" w:val="left" w:leader="none"/>
              </w:tabs>
              <w:spacing w:line="272" w:lineRule="exact" w:before="0" w:after="0"/>
              <w:ind w:left="638" w:right="0" w:hanging="530"/>
              <w:jc w:val="left"/>
              <w:rPr>
                <w:rFonts w:ascii="微软雅黑" w:eastAsia="微软雅黑"/>
                <w:b/>
                <w:sz w:val="21"/>
              </w:rPr>
            </w:pPr>
            <w:r>
              <w:rPr>
                <w:rFonts w:ascii="微软雅黑" w:eastAsia="微软雅黑"/>
                <w:b/>
                <w:spacing w:val="-2"/>
                <w:sz w:val="21"/>
              </w:rPr>
              <w:t>部分卵巢切除；</w:t>
            </w:r>
          </w:p>
          <w:p>
            <w:pPr>
              <w:pStyle w:val="TableParagraph"/>
              <w:numPr>
                <w:ilvl w:val="0"/>
                <w:numId w:val="101"/>
              </w:numPr>
              <w:tabs>
                <w:tab w:pos="639" w:val="left" w:leader="none"/>
              </w:tabs>
              <w:spacing w:line="272" w:lineRule="exact" w:before="0" w:after="0"/>
              <w:ind w:left="638" w:right="0" w:hanging="530"/>
              <w:jc w:val="left"/>
              <w:rPr>
                <w:rFonts w:ascii="微软雅黑" w:eastAsia="微软雅黑"/>
                <w:b/>
                <w:sz w:val="21"/>
              </w:rPr>
            </w:pPr>
            <w:r>
              <w:rPr>
                <w:rFonts w:ascii="微软雅黑" w:eastAsia="微软雅黑"/>
                <w:b/>
                <w:spacing w:val="-3"/>
                <w:sz w:val="21"/>
              </w:rPr>
              <w:t>因恶性肿瘤进行的卵巢切除术；</w:t>
            </w:r>
          </w:p>
          <w:p>
            <w:pPr>
              <w:pStyle w:val="TableParagraph"/>
              <w:numPr>
                <w:ilvl w:val="0"/>
                <w:numId w:val="101"/>
              </w:numPr>
              <w:tabs>
                <w:tab w:pos="639" w:val="left" w:leader="none"/>
              </w:tabs>
              <w:spacing w:line="272" w:lineRule="exact" w:before="0" w:after="0"/>
              <w:ind w:left="638" w:right="0" w:hanging="530"/>
              <w:jc w:val="left"/>
              <w:rPr>
                <w:rFonts w:ascii="微软雅黑" w:eastAsia="微软雅黑"/>
                <w:b/>
                <w:sz w:val="21"/>
              </w:rPr>
            </w:pPr>
            <w:r>
              <w:rPr>
                <w:rFonts w:ascii="微软雅黑" w:eastAsia="微软雅黑"/>
                <w:b/>
                <w:spacing w:val="-2"/>
                <w:sz w:val="21"/>
              </w:rPr>
              <w:t>预防性卵巢切除；</w:t>
            </w:r>
          </w:p>
          <w:p>
            <w:pPr>
              <w:pStyle w:val="TableParagraph"/>
              <w:numPr>
                <w:ilvl w:val="0"/>
                <w:numId w:val="101"/>
              </w:numPr>
              <w:tabs>
                <w:tab w:pos="639" w:val="left" w:leader="none"/>
              </w:tabs>
              <w:spacing w:line="330" w:lineRule="exact" w:before="0" w:after="0"/>
              <w:ind w:left="638" w:right="0" w:hanging="530"/>
              <w:jc w:val="left"/>
              <w:rPr>
                <w:rFonts w:ascii="微软雅黑" w:eastAsia="微软雅黑"/>
                <w:b/>
                <w:sz w:val="21"/>
              </w:rPr>
            </w:pPr>
            <w:r>
              <w:rPr>
                <w:rFonts w:ascii="微软雅黑" w:eastAsia="微软雅黑"/>
                <w:b/>
                <w:spacing w:val="-2"/>
                <w:sz w:val="21"/>
              </w:rPr>
              <w:t>变性手术。</w:t>
            </w:r>
          </w:p>
        </w:tc>
      </w:tr>
      <w:tr>
        <w:trPr>
          <w:trHeight w:val="2177" w:hRule="atLeast"/>
        </w:trPr>
        <w:tc>
          <w:tcPr>
            <w:tcW w:w="634" w:type="dxa"/>
          </w:tcPr>
          <w:p>
            <w:pPr>
              <w:pStyle w:val="TableParagraph"/>
              <w:spacing w:before="71"/>
              <w:ind w:left="50"/>
              <w:rPr>
                <w:rFonts w:ascii="微软雅黑"/>
                <w:b/>
                <w:sz w:val="21"/>
              </w:rPr>
            </w:pPr>
            <w:r>
              <w:rPr>
                <w:rFonts w:ascii="微软雅黑"/>
                <w:b/>
                <w:spacing w:val="-5"/>
                <w:w w:val="90"/>
                <w:sz w:val="21"/>
              </w:rPr>
              <w:t>15</w:t>
            </w:r>
          </w:p>
        </w:tc>
        <w:tc>
          <w:tcPr>
            <w:tcW w:w="1858" w:type="dxa"/>
          </w:tcPr>
          <w:p>
            <w:pPr>
              <w:pStyle w:val="TableParagraph"/>
              <w:spacing w:line="168" w:lineRule="auto" w:before="154"/>
              <w:ind w:left="373" w:right="106"/>
              <w:rPr>
                <w:rFonts w:ascii="微软雅黑" w:eastAsia="微软雅黑"/>
                <w:b/>
                <w:sz w:val="21"/>
              </w:rPr>
            </w:pPr>
            <w:r>
              <w:rPr>
                <w:rFonts w:ascii="微软雅黑" w:eastAsia="微软雅黑"/>
                <w:b/>
                <w:spacing w:val="15"/>
                <w:sz w:val="21"/>
              </w:rPr>
              <w:t>双侧睾丸切除</w:t>
            </w:r>
            <w:r>
              <w:rPr>
                <w:rFonts w:ascii="微软雅黑" w:eastAsia="微软雅黑"/>
                <w:b/>
                <w:spacing w:val="-10"/>
                <w:sz w:val="21"/>
              </w:rPr>
              <w:t>术</w:t>
            </w:r>
          </w:p>
        </w:tc>
        <w:tc>
          <w:tcPr>
            <w:tcW w:w="6999" w:type="dxa"/>
          </w:tcPr>
          <w:p>
            <w:pPr>
              <w:pStyle w:val="TableParagraph"/>
              <w:spacing w:line="242" w:lineRule="auto" w:before="138"/>
              <w:ind w:left="109" w:right="154"/>
              <w:rPr>
                <w:sz w:val="21"/>
              </w:rPr>
            </w:pPr>
            <w:r>
              <w:rPr>
                <w:spacing w:val="-2"/>
                <w:sz w:val="21"/>
              </w:rPr>
              <w:t>指为治疗疾病实际接受了经腹部切开或腹腔镜进行的双侧睾丸完全切除手</w:t>
            </w:r>
            <w:r>
              <w:rPr>
                <w:spacing w:val="-6"/>
                <w:sz w:val="21"/>
              </w:rPr>
              <w:t>术。</w:t>
            </w:r>
          </w:p>
          <w:p>
            <w:pPr>
              <w:pStyle w:val="TableParagraph"/>
              <w:spacing w:line="263" w:lineRule="exact"/>
              <w:ind w:left="109"/>
              <w:rPr>
                <w:rFonts w:ascii="微软雅黑" w:eastAsia="微软雅黑"/>
                <w:b/>
                <w:sz w:val="21"/>
              </w:rPr>
            </w:pPr>
            <w:r>
              <w:rPr>
                <w:rFonts w:ascii="微软雅黑" w:eastAsia="微软雅黑"/>
                <w:b/>
                <w:spacing w:val="-3"/>
                <w:sz w:val="21"/>
              </w:rPr>
              <w:t>下列情况不在保障范围内：</w:t>
            </w:r>
          </w:p>
          <w:p>
            <w:pPr>
              <w:pStyle w:val="TableParagraph"/>
              <w:numPr>
                <w:ilvl w:val="0"/>
                <w:numId w:val="102"/>
              </w:numPr>
              <w:tabs>
                <w:tab w:pos="639" w:val="left" w:leader="none"/>
              </w:tabs>
              <w:spacing w:line="271" w:lineRule="exact" w:before="0" w:after="0"/>
              <w:ind w:left="638" w:right="0" w:hanging="530"/>
              <w:jc w:val="left"/>
              <w:rPr>
                <w:rFonts w:ascii="微软雅黑" w:eastAsia="微软雅黑"/>
                <w:b/>
                <w:sz w:val="21"/>
              </w:rPr>
            </w:pPr>
            <w:r>
              <w:rPr>
                <w:rFonts w:ascii="微软雅黑" w:eastAsia="微软雅黑"/>
                <w:b/>
                <w:spacing w:val="-2"/>
                <w:sz w:val="21"/>
              </w:rPr>
              <w:t>部分睾丸切除；</w:t>
            </w:r>
          </w:p>
          <w:p>
            <w:pPr>
              <w:pStyle w:val="TableParagraph"/>
              <w:numPr>
                <w:ilvl w:val="0"/>
                <w:numId w:val="102"/>
              </w:numPr>
              <w:tabs>
                <w:tab w:pos="639" w:val="left" w:leader="none"/>
              </w:tabs>
              <w:spacing w:line="272" w:lineRule="exact" w:before="0" w:after="0"/>
              <w:ind w:left="638" w:right="0" w:hanging="530"/>
              <w:jc w:val="left"/>
              <w:rPr>
                <w:rFonts w:ascii="微软雅黑" w:eastAsia="微软雅黑"/>
                <w:b/>
                <w:sz w:val="21"/>
              </w:rPr>
            </w:pPr>
            <w:r>
              <w:rPr>
                <w:rFonts w:ascii="微软雅黑" w:eastAsia="微软雅黑"/>
                <w:b/>
                <w:spacing w:val="-3"/>
                <w:sz w:val="21"/>
              </w:rPr>
              <w:t>因恶性肿瘤进行的睾丸切除术；</w:t>
            </w:r>
          </w:p>
          <w:p>
            <w:pPr>
              <w:pStyle w:val="TableParagraph"/>
              <w:numPr>
                <w:ilvl w:val="0"/>
                <w:numId w:val="102"/>
              </w:numPr>
              <w:tabs>
                <w:tab w:pos="639" w:val="left" w:leader="none"/>
              </w:tabs>
              <w:spacing w:line="272" w:lineRule="exact" w:before="0" w:after="0"/>
              <w:ind w:left="638" w:right="0" w:hanging="530"/>
              <w:jc w:val="left"/>
              <w:rPr>
                <w:rFonts w:ascii="微软雅黑" w:eastAsia="微软雅黑"/>
                <w:b/>
                <w:sz w:val="21"/>
              </w:rPr>
            </w:pPr>
            <w:r>
              <w:rPr>
                <w:rFonts w:ascii="微软雅黑" w:eastAsia="微软雅黑"/>
                <w:b/>
                <w:spacing w:val="-2"/>
                <w:sz w:val="21"/>
              </w:rPr>
              <w:t>预防性睾丸切除；</w:t>
            </w:r>
          </w:p>
          <w:p>
            <w:pPr>
              <w:pStyle w:val="TableParagraph"/>
              <w:numPr>
                <w:ilvl w:val="0"/>
                <w:numId w:val="102"/>
              </w:numPr>
              <w:tabs>
                <w:tab w:pos="639" w:val="left" w:leader="none"/>
              </w:tabs>
              <w:spacing w:line="329" w:lineRule="exact" w:before="0" w:after="0"/>
              <w:ind w:left="638" w:right="0" w:hanging="530"/>
              <w:jc w:val="left"/>
              <w:rPr>
                <w:rFonts w:ascii="微软雅黑" w:eastAsia="微软雅黑"/>
                <w:b/>
                <w:sz w:val="21"/>
              </w:rPr>
            </w:pPr>
            <w:r>
              <w:rPr>
                <w:rFonts w:ascii="微软雅黑" w:eastAsia="微软雅黑"/>
                <w:b/>
                <w:spacing w:val="-2"/>
                <w:sz w:val="21"/>
              </w:rPr>
              <w:t>变性手术。</w:t>
            </w:r>
          </w:p>
        </w:tc>
      </w:tr>
      <w:tr>
        <w:trPr>
          <w:trHeight w:val="1467" w:hRule="atLeast"/>
        </w:trPr>
        <w:tc>
          <w:tcPr>
            <w:tcW w:w="634" w:type="dxa"/>
          </w:tcPr>
          <w:p>
            <w:pPr>
              <w:pStyle w:val="TableParagraph"/>
              <w:spacing w:before="71"/>
              <w:ind w:left="50"/>
              <w:rPr>
                <w:rFonts w:ascii="微软雅黑"/>
                <w:b/>
                <w:sz w:val="21"/>
              </w:rPr>
            </w:pPr>
            <w:r>
              <w:rPr>
                <w:rFonts w:ascii="微软雅黑"/>
                <w:b/>
                <w:spacing w:val="-5"/>
                <w:w w:val="90"/>
                <w:sz w:val="21"/>
              </w:rPr>
              <w:t>16</w:t>
            </w:r>
          </w:p>
        </w:tc>
        <w:tc>
          <w:tcPr>
            <w:tcW w:w="1858" w:type="dxa"/>
          </w:tcPr>
          <w:p>
            <w:pPr>
              <w:pStyle w:val="TableParagraph"/>
              <w:spacing w:line="170" w:lineRule="auto" w:before="151"/>
              <w:ind w:left="373" w:right="106"/>
              <w:rPr>
                <w:rFonts w:ascii="微软雅黑" w:eastAsia="微软雅黑"/>
                <w:b/>
                <w:sz w:val="21"/>
              </w:rPr>
            </w:pPr>
            <w:r>
              <w:rPr>
                <w:rFonts w:ascii="微软雅黑" w:eastAsia="微软雅黑"/>
                <w:b/>
                <w:spacing w:val="15"/>
                <w:sz w:val="21"/>
              </w:rPr>
              <w:t>植入心脏除纤</w:t>
            </w:r>
            <w:r>
              <w:rPr>
                <w:rFonts w:ascii="微软雅黑" w:eastAsia="微软雅黑"/>
                <w:b/>
                <w:spacing w:val="-6"/>
                <w:sz w:val="21"/>
              </w:rPr>
              <w:t>颤器</w:t>
            </w:r>
          </w:p>
        </w:tc>
        <w:tc>
          <w:tcPr>
            <w:tcW w:w="6999" w:type="dxa"/>
          </w:tcPr>
          <w:p>
            <w:pPr>
              <w:pStyle w:val="TableParagraph"/>
              <w:spacing w:line="170" w:lineRule="auto" w:before="151"/>
              <w:ind w:left="109" w:right="154"/>
              <w:jc w:val="both"/>
              <w:rPr>
                <w:rFonts w:ascii="微软雅黑" w:hAnsi="微软雅黑" w:eastAsia="微软雅黑"/>
                <w:b/>
                <w:sz w:val="21"/>
              </w:rPr>
            </w:pPr>
            <w:r>
              <w:rPr>
                <w:spacing w:val="-3"/>
                <w:w w:val="100"/>
                <w:sz w:val="21"/>
              </w:rPr>
              <w:t>因严重心律失常而确实已经实施植入永久性心脏除纤颤器的手术，</w:t>
            </w:r>
            <w:r>
              <w:rPr>
                <w:rFonts w:ascii="微软雅黑" w:hAnsi="微软雅黑" w:eastAsia="微软雅黑"/>
                <w:b/>
                <w:w w:val="100"/>
                <w:sz w:val="21"/>
              </w:rPr>
              <w:t>但未达</w:t>
            </w:r>
            <w:r>
              <w:rPr>
                <w:rFonts w:ascii="微软雅黑" w:hAnsi="微软雅黑" w:eastAsia="微软雅黑"/>
                <w:b/>
                <w:spacing w:val="2"/>
                <w:w w:val="100"/>
                <w:sz w:val="21"/>
              </w:rPr>
              <w:t>到本合同所指重大疾病“</w:t>
            </w:r>
            <w:r>
              <w:rPr>
                <w:rFonts w:ascii="微软雅黑" w:hAnsi="微软雅黑" w:eastAsia="微软雅黑"/>
                <w:b/>
                <w:w w:val="83"/>
                <w:sz w:val="21"/>
              </w:rPr>
              <w:t>Brug</w:t>
            </w:r>
            <w:r>
              <w:rPr>
                <w:rFonts w:ascii="微软雅黑" w:hAnsi="微软雅黑" w:eastAsia="微软雅黑"/>
                <w:b/>
                <w:spacing w:val="2"/>
                <w:w w:val="83"/>
                <w:sz w:val="21"/>
              </w:rPr>
              <w:t>a</w:t>
            </w:r>
            <w:r>
              <w:rPr>
                <w:rFonts w:ascii="微软雅黑" w:hAnsi="微软雅黑" w:eastAsia="微软雅黑"/>
                <w:b/>
                <w:w w:val="80"/>
                <w:sz w:val="21"/>
              </w:rPr>
              <w:t>d</w:t>
            </w:r>
            <w:r>
              <w:rPr>
                <w:rFonts w:ascii="微软雅黑" w:hAnsi="微软雅黑" w:eastAsia="微软雅黑"/>
                <w:b/>
                <w:spacing w:val="2"/>
                <w:w w:val="80"/>
                <w:sz w:val="21"/>
              </w:rPr>
              <w:t>a</w:t>
            </w:r>
            <w:r>
              <w:rPr>
                <w:rFonts w:ascii="微软雅黑" w:hAnsi="微软雅黑" w:eastAsia="微软雅黑"/>
                <w:b/>
                <w:spacing w:val="1"/>
                <w:w w:val="100"/>
                <w:sz w:val="21"/>
              </w:rPr>
              <w:t>综合征”的给付标准。理赔时须提供完</w:t>
            </w:r>
            <w:r>
              <w:rPr>
                <w:rFonts w:ascii="微软雅黑" w:hAnsi="微软雅黑" w:eastAsia="微软雅黑"/>
                <w:b/>
                <w:spacing w:val="-4"/>
                <w:w w:val="100"/>
                <w:sz w:val="21"/>
              </w:rPr>
              <w:t>整病历资料及手术记录，诊断及治疗均须我们认可医院的专科医生认为是</w:t>
            </w:r>
            <w:r>
              <w:rPr>
                <w:rFonts w:ascii="微软雅黑" w:hAnsi="微软雅黑" w:eastAsia="微软雅黑"/>
                <w:b/>
                <w:spacing w:val="-1"/>
                <w:w w:val="100"/>
                <w:sz w:val="21"/>
              </w:rPr>
              <w:t>医疗必须的情况下进行。</w:t>
            </w:r>
          </w:p>
          <w:p>
            <w:pPr>
              <w:pStyle w:val="TableParagraph"/>
              <w:spacing w:line="197" w:lineRule="exact"/>
              <w:ind w:left="109"/>
              <w:rPr>
                <w:rFonts w:ascii="微软雅黑" w:eastAsia="微软雅黑"/>
                <w:b/>
                <w:sz w:val="21"/>
              </w:rPr>
            </w:pPr>
            <w:r>
              <w:rPr>
                <w:rFonts w:ascii="微软雅黑" w:eastAsia="微软雅黑"/>
                <w:b/>
                <w:spacing w:val="-2"/>
                <w:sz w:val="21"/>
              </w:rPr>
              <w:t>体外心脏电复律（</w:t>
            </w:r>
            <w:r>
              <w:rPr>
                <w:rFonts w:ascii="微软雅黑" w:eastAsia="微软雅黑"/>
                <w:b/>
                <w:spacing w:val="-3"/>
                <w:sz w:val="21"/>
              </w:rPr>
              <w:t>心脏电除颤)、临时性埋藏式心脏复律除颤器安装除外。</w:t>
            </w:r>
          </w:p>
        </w:tc>
      </w:tr>
    </w:tbl>
    <w:p>
      <w:pPr>
        <w:spacing w:after="0" w:line="197" w:lineRule="exact"/>
        <w:rPr>
          <w:rFonts w:ascii="微软雅黑" w:eastAsia="微软雅黑"/>
          <w:sz w:val="21"/>
        </w:rPr>
        <w:sectPr>
          <w:pgSz w:w="11910" w:h="16840"/>
          <w:pgMar w:header="877" w:footer="0" w:top="1100" w:bottom="280" w:left="1060" w:right="980"/>
        </w:sectPr>
      </w:pPr>
    </w:p>
    <w:p>
      <w:pPr>
        <w:pStyle w:val="ListParagraph"/>
        <w:numPr>
          <w:ilvl w:val="0"/>
          <w:numId w:val="103"/>
        </w:numPr>
        <w:tabs>
          <w:tab w:pos="1210" w:val="left" w:leader="none"/>
          <w:tab w:pos="1211" w:val="left" w:leader="none"/>
        </w:tabs>
        <w:spacing w:line="168" w:lineRule="auto" w:before="98" w:after="0"/>
        <w:ind w:left="1210" w:right="0" w:hanging="958"/>
        <w:jc w:val="both"/>
        <w:rPr>
          <w:rFonts w:ascii="微软雅黑" w:eastAsia="微软雅黑"/>
          <w:b/>
          <w:sz w:val="21"/>
        </w:rPr>
      </w:pPr>
      <w:r>
        <w:rPr>
          <w:rFonts w:ascii="微软雅黑" w:eastAsia="微软雅黑"/>
          <w:b/>
          <w:spacing w:val="15"/>
          <w:sz w:val="21"/>
        </w:rPr>
        <w:t>骨质疏松骨折</w:t>
      </w:r>
      <w:r>
        <w:rPr>
          <w:rFonts w:ascii="微软雅黑" w:eastAsia="微软雅黑"/>
          <w:b/>
          <w:spacing w:val="15"/>
          <w:sz w:val="21"/>
        </w:rPr>
        <w:t>髋关节置换手</w:t>
      </w:r>
      <w:r>
        <w:rPr>
          <w:rFonts w:ascii="微软雅黑" w:eastAsia="微软雅黑"/>
          <w:b/>
          <w:spacing w:val="-10"/>
          <w:sz w:val="21"/>
        </w:rPr>
        <w:t>术</w:t>
      </w:r>
    </w:p>
    <w:p>
      <w:pPr>
        <w:pStyle w:val="BodyText"/>
        <w:spacing w:line="242" w:lineRule="auto" w:before="83"/>
        <w:ind w:left="177" w:right="220"/>
      </w:pPr>
      <w:r>
        <w:rPr/>
        <w:br w:type="column"/>
      </w:r>
      <w:r>
        <w:rPr>
          <w:spacing w:val="-2"/>
        </w:rPr>
        <w:t>骨质疏松是一种系统性疾病。其特征为骨质量减少，骨小梁数目减少、变</w:t>
      </w:r>
      <w:r>
        <w:rPr>
          <w:spacing w:val="-25"/>
        </w:rPr>
        <w:t>细和骨皮质变薄，导致骨脆性增加，骨折危险增加。根据世界卫生组织</w:t>
      </w:r>
      <w:r>
        <w:rPr>
          <w:spacing w:val="-2"/>
        </w:rPr>
        <w:t>（WHO）</w:t>
      </w:r>
      <w:r>
        <w:rPr/>
        <w:t>建议，骨密度（BMD）</w:t>
      </w:r>
      <w:r>
        <w:rPr>
          <w:spacing w:val="-4"/>
        </w:rPr>
        <w:t>较正常成人骨密度平均值降低 </w:t>
      </w:r>
      <w:r>
        <w:rPr/>
        <w:t>2.5</w:t>
      </w:r>
      <w:r>
        <w:rPr>
          <w:spacing w:val="-8"/>
        </w:rPr>
        <w:t> 个标准差为骨质疏</w:t>
      </w:r>
      <w:r>
        <w:rPr>
          <w:spacing w:val="-2"/>
        </w:rPr>
        <w:t>松症。必须满足下列所有条件：</w:t>
      </w:r>
    </w:p>
    <w:p>
      <w:pPr>
        <w:pStyle w:val="ListParagraph"/>
        <w:numPr>
          <w:ilvl w:val="0"/>
          <w:numId w:val="104"/>
        </w:numPr>
        <w:tabs>
          <w:tab w:pos="707" w:val="left" w:leader="none"/>
        </w:tabs>
        <w:spacing w:line="240" w:lineRule="auto" w:before="2" w:after="0"/>
        <w:ind w:left="706" w:right="0" w:hanging="530"/>
        <w:jc w:val="left"/>
        <w:rPr>
          <w:sz w:val="21"/>
        </w:rPr>
      </w:pPr>
      <w:r>
        <w:rPr>
          <w:spacing w:val="-3"/>
          <w:sz w:val="21"/>
        </w:rPr>
        <w:t>依照诊断标准确诊为骨质疏松症；</w:t>
      </w:r>
    </w:p>
    <w:p>
      <w:pPr>
        <w:pStyle w:val="ListParagraph"/>
        <w:numPr>
          <w:ilvl w:val="0"/>
          <w:numId w:val="104"/>
        </w:numPr>
        <w:tabs>
          <w:tab w:pos="707" w:val="left" w:leader="none"/>
        </w:tabs>
        <w:spacing w:line="240" w:lineRule="auto" w:before="3" w:after="0"/>
        <w:ind w:left="706" w:right="0" w:hanging="530"/>
        <w:jc w:val="left"/>
        <w:rPr>
          <w:sz w:val="21"/>
        </w:rPr>
      </w:pPr>
      <w:r>
        <w:rPr>
          <w:spacing w:val="-3"/>
          <w:sz w:val="21"/>
        </w:rPr>
        <w:t>实际发生了股骨颈骨折并接受了髋关节置换手术。</w:t>
      </w:r>
    </w:p>
    <w:p>
      <w:pPr>
        <w:spacing w:after="0" w:line="240" w:lineRule="auto"/>
        <w:jc w:val="left"/>
        <w:rPr>
          <w:sz w:val="21"/>
        </w:rPr>
        <w:sectPr>
          <w:pgSz w:w="11910" w:h="16840"/>
          <w:pgMar w:header="877" w:footer="0" w:top="1100" w:bottom="280" w:left="1060" w:right="980"/>
          <w:cols w:num="2" w:equalWidth="0">
            <w:col w:w="2588" w:space="40"/>
            <w:col w:w="7242"/>
          </w:cols>
        </w:sectPr>
      </w:pPr>
    </w:p>
    <w:p>
      <w:pPr>
        <w:pStyle w:val="BodyText"/>
        <w:spacing w:before="11"/>
        <w:rPr>
          <w:sz w:val="15"/>
        </w:rPr>
      </w:pPr>
    </w:p>
    <w:p>
      <w:pPr>
        <w:spacing w:after="0"/>
        <w:rPr>
          <w:sz w:val="15"/>
        </w:rPr>
        <w:sectPr>
          <w:type w:val="continuous"/>
          <w:pgSz w:w="11910" w:h="16840"/>
          <w:pgMar w:header="877" w:footer="0" w:top="1100" w:bottom="280" w:left="1060" w:right="980"/>
        </w:sectPr>
      </w:pPr>
    </w:p>
    <w:p>
      <w:pPr>
        <w:pStyle w:val="ListParagraph"/>
        <w:numPr>
          <w:ilvl w:val="0"/>
          <w:numId w:val="103"/>
        </w:numPr>
        <w:tabs>
          <w:tab w:pos="1210" w:val="left" w:leader="none"/>
          <w:tab w:pos="1211" w:val="left" w:leader="none"/>
        </w:tabs>
        <w:spacing w:line="330" w:lineRule="exact" w:before="5" w:after="0"/>
        <w:ind w:left="1210" w:right="0" w:hanging="958"/>
        <w:jc w:val="left"/>
        <w:rPr>
          <w:rFonts w:ascii="微软雅黑" w:eastAsia="微软雅黑"/>
          <w:b/>
          <w:sz w:val="21"/>
        </w:rPr>
      </w:pPr>
      <w:r>
        <w:rPr>
          <w:rFonts w:ascii="微软雅黑" w:eastAsia="微软雅黑"/>
          <w:b/>
          <w:spacing w:val="15"/>
          <w:sz w:val="21"/>
        </w:rPr>
        <w:t>主动脉内手术</w:t>
      </w:r>
    </w:p>
    <w:p>
      <w:pPr>
        <w:spacing w:line="168" w:lineRule="auto" w:before="26"/>
        <w:ind w:left="1210" w:right="0" w:firstLine="0"/>
        <w:jc w:val="left"/>
        <w:rPr>
          <w:rFonts w:ascii="微软雅黑" w:eastAsia="微软雅黑"/>
          <w:b/>
          <w:sz w:val="21"/>
        </w:rPr>
      </w:pPr>
      <w:r>
        <w:rPr>
          <w:rFonts w:ascii="微软雅黑" w:eastAsia="微软雅黑"/>
          <w:b/>
          <w:sz w:val="21"/>
        </w:rPr>
        <w:t>（</w:t>
      </w:r>
      <w:r>
        <w:rPr>
          <w:rFonts w:ascii="微软雅黑" w:eastAsia="微软雅黑"/>
          <w:b/>
          <w:spacing w:val="6"/>
          <w:sz w:val="21"/>
        </w:rPr>
        <w:t> 非开胸或开</w:t>
      </w:r>
      <w:r>
        <w:rPr>
          <w:rFonts w:ascii="微软雅黑" w:eastAsia="微软雅黑"/>
          <w:b/>
          <w:spacing w:val="-4"/>
          <w:sz w:val="21"/>
        </w:rPr>
        <w:t>腹手术）</w:t>
      </w:r>
    </w:p>
    <w:p>
      <w:pPr>
        <w:spacing w:line="168" w:lineRule="auto" w:before="88"/>
        <w:ind w:left="177" w:right="316" w:firstLine="0"/>
        <w:jc w:val="both"/>
        <w:rPr>
          <w:rFonts w:ascii="微软雅黑" w:hAnsi="微软雅黑" w:eastAsia="微软雅黑"/>
          <w:b/>
          <w:sz w:val="21"/>
        </w:rPr>
      </w:pPr>
      <w:r>
        <w:rPr/>
        <w:br w:type="column"/>
      </w:r>
      <w:r>
        <w:rPr>
          <w:spacing w:val="-2"/>
          <w:sz w:val="21"/>
        </w:rPr>
        <w:t>为了治疗主动脉疾病实际实施了经皮经导管进行的主动脉内手术，</w:t>
      </w:r>
      <w:r>
        <w:rPr>
          <w:rFonts w:ascii="微软雅黑" w:hAnsi="微软雅黑" w:eastAsia="微软雅黑"/>
          <w:b/>
          <w:spacing w:val="-2"/>
          <w:sz w:val="21"/>
        </w:rPr>
        <w:t>且未达</w:t>
      </w:r>
      <w:r>
        <w:rPr>
          <w:rFonts w:ascii="微软雅黑" w:hAnsi="微软雅黑" w:eastAsia="微软雅黑"/>
          <w:b/>
          <w:spacing w:val="-2"/>
          <w:sz w:val="21"/>
        </w:rPr>
        <w:t>到本合同所指重大疾病“主动脉手术”的给付标准。</w:t>
      </w:r>
      <w:r>
        <w:rPr>
          <w:spacing w:val="-2"/>
          <w:sz w:val="21"/>
        </w:rPr>
        <w:t>主动脉指升主动脉、</w:t>
      </w:r>
      <w:r>
        <w:rPr>
          <w:spacing w:val="-2"/>
          <w:sz w:val="21"/>
        </w:rPr>
        <w:t>主动脉弓和降主动脉（含胸主动脉和腹主动脉），</w:t>
      </w:r>
      <w:r>
        <w:rPr>
          <w:rFonts w:ascii="微软雅黑" w:hAnsi="微软雅黑" w:eastAsia="微软雅黑"/>
          <w:b/>
          <w:spacing w:val="-2"/>
          <w:sz w:val="21"/>
        </w:rPr>
        <w:t>不包括升主动脉、主动</w:t>
      </w:r>
      <w:r>
        <w:rPr>
          <w:rFonts w:ascii="微软雅黑" w:hAnsi="微软雅黑" w:eastAsia="微软雅黑"/>
          <w:b/>
          <w:spacing w:val="-2"/>
          <w:sz w:val="21"/>
        </w:rPr>
        <w:t>脉弓和降主动脉的分支血管。</w:t>
      </w:r>
    </w:p>
    <w:p>
      <w:pPr>
        <w:spacing w:after="0" w:line="168" w:lineRule="auto"/>
        <w:jc w:val="both"/>
        <w:rPr>
          <w:rFonts w:ascii="微软雅黑" w:hAns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8"/>
        <w:rPr>
          <w:rFonts w:ascii="微软雅黑"/>
          <w:b/>
          <w:sz w:val="10"/>
        </w:rPr>
      </w:pPr>
    </w:p>
    <w:p>
      <w:pPr>
        <w:pStyle w:val="ListParagraph"/>
        <w:numPr>
          <w:ilvl w:val="0"/>
          <w:numId w:val="103"/>
        </w:numPr>
        <w:tabs>
          <w:tab w:pos="1210" w:val="left" w:leader="none"/>
          <w:tab w:pos="1211" w:val="left" w:leader="none"/>
          <w:tab w:pos="2804" w:val="left" w:leader="none"/>
        </w:tabs>
        <w:spacing w:line="168" w:lineRule="auto" w:before="87" w:after="0"/>
        <w:ind w:left="2805" w:right="333" w:hanging="2552"/>
        <w:jc w:val="left"/>
        <w:rPr>
          <w:rFonts w:ascii="微软雅黑" w:eastAsia="微软雅黑"/>
          <w:b/>
          <w:sz w:val="21"/>
        </w:rPr>
      </w:pPr>
      <w:r>
        <w:rPr>
          <w:rFonts w:ascii="微软雅黑" w:eastAsia="微软雅黑"/>
          <w:b/>
          <w:spacing w:val="-2"/>
          <w:sz w:val="21"/>
        </w:rPr>
        <w:t>微</w:t>
      </w:r>
      <w:r>
        <w:rPr>
          <w:rFonts w:ascii="微软雅黑" w:eastAsia="微软雅黑"/>
          <w:b/>
          <w:spacing w:val="-2"/>
          <w:sz w:val="21"/>
        </w:rPr>
        <w:t>创</w:t>
      </w:r>
      <w:r>
        <w:rPr>
          <w:rFonts w:ascii="微软雅黑" w:eastAsia="微软雅黑"/>
          <w:b/>
          <w:spacing w:val="-2"/>
          <w:sz w:val="21"/>
        </w:rPr>
        <w:t>颅</w:t>
      </w:r>
      <w:r>
        <w:rPr>
          <w:rFonts w:ascii="微软雅黑" w:eastAsia="微软雅黑"/>
          <w:b/>
          <w:spacing w:val="-2"/>
          <w:sz w:val="21"/>
        </w:rPr>
        <w:t>脑</w:t>
      </w:r>
      <w:r>
        <w:rPr>
          <w:rFonts w:ascii="微软雅黑" w:eastAsia="微软雅黑"/>
          <w:b/>
          <w:spacing w:val="-2"/>
          <w:sz w:val="21"/>
        </w:rPr>
        <w:t>手</w:t>
      </w:r>
      <w:r>
        <w:rPr>
          <w:rFonts w:ascii="微软雅黑" w:eastAsia="微软雅黑"/>
          <w:b/>
          <w:spacing w:val="-2"/>
          <w:sz w:val="21"/>
        </w:rPr>
        <w:t>术</w:t>
      </w:r>
      <w:r>
        <w:rPr>
          <w:rFonts w:ascii="微软雅黑" w:eastAsia="微软雅黑"/>
          <w:b/>
          <w:sz w:val="21"/>
        </w:rPr>
        <w:tab/>
      </w:r>
      <w:r>
        <w:rPr>
          <w:spacing w:val="-2"/>
          <w:sz w:val="21"/>
        </w:rPr>
        <w:t>因</w:t>
      </w:r>
      <w:r>
        <w:rPr>
          <w:spacing w:val="-2"/>
          <w:sz w:val="21"/>
        </w:rPr>
        <w:t>疾</w:t>
      </w:r>
      <w:r>
        <w:rPr>
          <w:spacing w:val="-2"/>
          <w:sz w:val="21"/>
        </w:rPr>
        <w:t>病被保险人确已实施</w:t>
      </w:r>
      <w:r>
        <w:rPr>
          <w:spacing w:val="-2"/>
          <w:sz w:val="21"/>
        </w:rPr>
        <w:t>全</w:t>
      </w:r>
      <w:r>
        <w:rPr>
          <w:spacing w:val="-2"/>
          <w:sz w:val="21"/>
        </w:rPr>
        <w:t>麻</w:t>
      </w:r>
      <w:r>
        <w:rPr>
          <w:spacing w:val="-2"/>
          <w:sz w:val="21"/>
        </w:rPr>
        <w:t>下的颅骨钻孔手术或</w:t>
      </w:r>
      <w:r>
        <w:rPr>
          <w:spacing w:val="-2"/>
          <w:sz w:val="21"/>
        </w:rPr>
        <w:t>者</w:t>
      </w:r>
      <w:r>
        <w:rPr>
          <w:spacing w:val="-2"/>
          <w:sz w:val="21"/>
        </w:rPr>
        <w:t>经</w:t>
      </w:r>
      <w:r>
        <w:rPr>
          <w:spacing w:val="-2"/>
          <w:sz w:val="21"/>
        </w:rPr>
        <w:t>鼻蝶窦入颅手术。</w:t>
      </w:r>
      <w:r>
        <w:rPr>
          <w:rFonts w:ascii="微软雅黑" w:eastAsia="微软雅黑"/>
          <w:b/>
          <w:spacing w:val="-2"/>
          <w:sz w:val="21"/>
        </w:rPr>
        <w:t>因</w:t>
      </w:r>
      <w:r>
        <w:rPr>
          <w:rFonts w:ascii="微软雅黑" w:eastAsia="微软雅黑"/>
          <w:b/>
          <w:spacing w:val="-2"/>
          <w:sz w:val="21"/>
        </w:rPr>
        <w:t>外</w:t>
      </w:r>
      <w:r>
        <w:rPr>
          <w:rFonts w:ascii="微软雅黑" w:eastAsia="微软雅黑"/>
          <w:b/>
          <w:spacing w:val="-2"/>
          <w:sz w:val="21"/>
        </w:rPr>
        <w:t>伤</w:t>
      </w:r>
      <w:r>
        <w:rPr>
          <w:rFonts w:ascii="微软雅黑" w:eastAsia="微软雅黑"/>
          <w:b/>
          <w:spacing w:val="-2"/>
          <w:sz w:val="21"/>
        </w:rPr>
        <w:t>而</w:t>
      </w:r>
      <w:r>
        <w:rPr>
          <w:rFonts w:ascii="微软雅黑" w:eastAsia="微软雅黑"/>
          <w:b/>
          <w:spacing w:val="-2"/>
          <w:sz w:val="21"/>
        </w:rPr>
        <w:t>实</w:t>
      </w:r>
      <w:r>
        <w:rPr>
          <w:rFonts w:ascii="微软雅黑" w:eastAsia="微软雅黑"/>
          <w:b/>
          <w:spacing w:val="-2"/>
          <w:sz w:val="21"/>
        </w:rPr>
        <w:t>施</w:t>
      </w:r>
      <w:r>
        <w:rPr>
          <w:rFonts w:ascii="微软雅黑" w:eastAsia="微软雅黑"/>
          <w:b/>
          <w:spacing w:val="-2"/>
          <w:sz w:val="21"/>
        </w:rPr>
        <w:t>的</w:t>
      </w:r>
      <w:r>
        <w:rPr>
          <w:rFonts w:ascii="微软雅黑" w:eastAsia="微软雅黑"/>
          <w:b/>
          <w:spacing w:val="-2"/>
          <w:sz w:val="21"/>
        </w:rPr>
        <w:t>颅</w:t>
      </w:r>
      <w:r>
        <w:rPr>
          <w:rFonts w:ascii="微软雅黑" w:eastAsia="微软雅黑"/>
          <w:b/>
          <w:spacing w:val="-2"/>
          <w:sz w:val="21"/>
        </w:rPr>
        <w:t>脑手术</w:t>
      </w:r>
      <w:r>
        <w:rPr>
          <w:rFonts w:ascii="微软雅黑" w:eastAsia="微软雅黑"/>
          <w:b/>
          <w:spacing w:val="-2"/>
          <w:sz w:val="21"/>
        </w:rPr>
        <w:t>不</w:t>
      </w:r>
      <w:r>
        <w:rPr>
          <w:rFonts w:ascii="微软雅黑" w:eastAsia="微软雅黑"/>
          <w:b/>
          <w:spacing w:val="-2"/>
          <w:sz w:val="21"/>
        </w:rPr>
        <w:t>在</w:t>
      </w:r>
      <w:r>
        <w:rPr>
          <w:rFonts w:ascii="微软雅黑" w:eastAsia="微软雅黑"/>
          <w:b/>
          <w:spacing w:val="-2"/>
          <w:sz w:val="21"/>
        </w:rPr>
        <w:t>保</w:t>
      </w:r>
      <w:r>
        <w:rPr>
          <w:rFonts w:ascii="微软雅黑" w:eastAsia="微软雅黑"/>
          <w:b/>
          <w:spacing w:val="-2"/>
          <w:sz w:val="21"/>
        </w:rPr>
        <w:t>障</w:t>
      </w:r>
      <w:r>
        <w:rPr>
          <w:rFonts w:ascii="微软雅黑" w:eastAsia="微软雅黑"/>
          <w:b/>
          <w:spacing w:val="-2"/>
          <w:sz w:val="21"/>
        </w:rPr>
        <w:t>范</w:t>
      </w:r>
      <w:r>
        <w:rPr>
          <w:rFonts w:ascii="微软雅黑" w:eastAsia="微软雅黑"/>
          <w:b/>
          <w:spacing w:val="-2"/>
          <w:sz w:val="21"/>
        </w:rPr>
        <w:t>围</w:t>
      </w:r>
      <w:r>
        <w:rPr>
          <w:rFonts w:ascii="微软雅黑" w:eastAsia="微软雅黑"/>
          <w:b/>
          <w:spacing w:val="-2"/>
          <w:sz w:val="21"/>
        </w:rPr>
        <w:t>内</w:t>
      </w:r>
      <w:r>
        <w:rPr>
          <w:rFonts w:ascii="微软雅黑" w:eastAsia="微软雅黑"/>
          <w:b/>
          <w:spacing w:val="-2"/>
          <w:sz w:val="21"/>
        </w:rPr>
        <w:t>。</w:t>
      </w:r>
    </w:p>
    <w:p>
      <w:pPr>
        <w:spacing w:line="168" w:lineRule="auto" w:before="4"/>
        <w:ind w:left="2805" w:right="310" w:firstLine="0"/>
        <w:jc w:val="both"/>
        <w:rPr>
          <w:rFonts w:ascii="微软雅黑" w:hAnsi="微软雅黑" w:eastAsia="微软雅黑"/>
          <w:b/>
          <w:sz w:val="21"/>
        </w:rPr>
      </w:pPr>
      <w:r>
        <w:rPr>
          <w:rFonts w:ascii="微软雅黑" w:hAnsi="微软雅黑" w:eastAsia="微软雅黑"/>
          <w:b/>
          <w:spacing w:val="-2"/>
          <w:sz w:val="21"/>
        </w:rPr>
        <w:t>我们对“微创颅脑手术”、“植入大脑内分流器”两项中的其中一项承担</w:t>
      </w:r>
      <w:r>
        <w:rPr>
          <w:rFonts w:ascii="微软雅黑" w:hAnsi="微软雅黑" w:eastAsia="微软雅黑"/>
          <w:b/>
          <w:spacing w:val="-2"/>
          <w:sz w:val="21"/>
        </w:rPr>
        <w:t>保险责任，给付其中一项保险金后，对另外一项疾病保险责任同时终止。</w:t>
      </w:r>
      <w:r>
        <w:rPr>
          <w:rFonts w:ascii="微软雅黑" w:hAnsi="微软雅黑" w:eastAsia="微软雅黑"/>
          <w:b/>
          <w:spacing w:val="-2"/>
          <w:sz w:val="21"/>
        </w:rPr>
        <w:t>我们对“微创颅脑手术”、“脑垂体瘤、脑囊肿”和“脑动脉瘤及脑血管</w:t>
      </w:r>
      <w:r>
        <w:rPr>
          <w:rFonts w:ascii="微软雅黑" w:hAnsi="微软雅黑" w:eastAsia="微软雅黑"/>
          <w:b/>
          <w:spacing w:val="-2"/>
          <w:sz w:val="21"/>
        </w:rPr>
        <w:t>瘤”三项中的其中一项承担保险责任，给付其中一项保险金后，对其他两</w:t>
      </w:r>
      <w:r>
        <w:rPr>
          <w:rFonts w:ascii="微软雅黑" w:hAnsi="微软雅黑" w:eastAsia="微软雅黑"/>
          <w:b/>
          <w:spacing w:val="-2"/>
          <w:sz w:val="21"/>
        </w:rPr>
        <w:t>项疾病保险责任同时终止。</w:t>
      </w:r>
    </w:p>
    <w:p>
      <w:pPr>
        <w:pStyle w:val="BodyText"/>
        <w:spacing w:before="7"/>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103"/>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5"/>
          <w:sz w:val="21"/>
        </w:rPr>
        <w:t>中度溃疡性结</w:t>
      </w:r>
      <w:r>
        <w:rPr>
          <w:rFonts w:ascii="微软雅黑" w:eastAsia="微软雅黑"/>
          <w:b/>
          <w:spacing w:val="-6"/>
          <w:sz w:val="21"/>
        </w:rPr>
        <w:t>肠炎</w:t>
      </w:r>
    </w:p>
    <w:p>
      <w:pPr>
        <w:pStyle w:val="BodyText"/>
        <w:spacing w:line="242" w:lineRule="auto" w:before="72"/>
        <w:ind w:left="177" w:right="326"/>
        <w:jc w:val="both"/>
      </w:pPr>
      <w:r>
        <w:rPr/>
        <w:br w:type="column"/>
      </w:r>
      <w:r>
        <w:rPr>
          <w:spacing w:val="-2"/>
        </w:rPr>
        <w:t>本合同所保障的溃疡性结肠炎是指伴有致命性电解质紊乱的急性暴发性溃</w:t>
      </w:r>
      <w:r>
        <w:rPr>
          <w:spacing w:val="-2"/>
        </w:rPr>
        <w:t>疡性结肠炎，病变累及全结肠，表现为严重的血便和系统性症状体征和肠</w:t>
      </w:r>
      <w:r>
        <w:rPr>
          <w:spacing w:val="-2"/>
        </w:rPr>
        <w:t>破裂的风险，本疾病的确诊必须经由内窥镜检查证实该疾病侵犯全部结肠</w:t>
      </w:r>
      <w:r>
        <w:rPr>
          <w:spacing w:val="-3"/>
        </w:rPr>
        <w:t>及直肠及活体切片检查证实为溃疡性结肠炎。且须经我们认可医院的肠胃</w:t>
      </w:r>
    </w:p>
    <w:p>
      <w:pPr>
        <w:spacing w:line="170" w:lineRule="auto" w:before="13"/>
        <w:ind w:left="177" w:right="324" w:firstLine="0"/>
        <w:jc w:val="both"/>
        <w:rPr>
          <w:rFonts w:ascii="微软雅黑" w:hAnsi="微软雅黑" w:eastAsia="微软雅黑"/>
          <w:b/>
          <w:sz w:val="21"/>
        </w:rPr>
      </w:pPr>
      <w:r>
        <w:rPr>
          <w:w w:val="95"/>
          <w:sz w:val="21"/>
        </w:rPr>
        <w:t>专</w:t>
      </w:r>
      <w:r>
        <w:rPr>
          <w:w w:val="95"/>
          <w:sz w:val="21"/>
        </w:rPr>
        <w:t>科</w:t>
      </w:r>
      <w:r>
        <w:rPr>
          <w:w w:val="95"/>
          <w:sz w:val="21"/>
        </w:rPr>
        <w:t>医生连续以系统性免</w:t>
      </w:r>
      <w:r>
        <w:rPr>
          <w:w w:val="95"/>
          <w:sz w:val="21"/>
        </w:rPr>
        <w:t>疫</w:t>
      </w:r>
      <w:r>
        <w:rPr>
          <w:w w:val="95"/>
          <w:sz w:val="21"/>
        </w:rPr>
        <w:t>抑</w:t>
      </w:r>
      <w:r>
        <w:rPr>
          <w:w w:val="95"/>
          <w:sz w:val="21"/>
        </w:rPr>
        <w:t>制剂或免疫调节剂持</w:t>
      </w:r>
      <w:r>
        <w:rPr>
          <w:w w:val="95"/>
          <w:sz w:val="21"/>
        </w:rPr>
        <w:t>续</w:t>
      </w:r>
      <w:r>
        <w:rPr>
          <w:w w:val="95"/>
          <w:sz w:val="21"/>
        </w:rPr>
        <w:t>治</w:t>
      </w:r>
      <w:r>
        <w:rPr>
          <w:w w:val="95"/>
          <w:sz w:val="21"/>
        </w:rPr>
        <w:t>疗</w:t>
      </w:r>
      <w:r>
        <w:rPr>
          <w:w w:val="95"/>
          <w:sz w:val="21"/>
        </w:rPr>
        <w:t>最</w:t>
      </w:r>
      <w:r>
        <w:rPr>
          <w:w w:val="95"/>
          <w:sz w:val="21"/>
        </w:rPr>
        <w:t>少</w:t>
      </w:r>
      <w:r>
        <w:rPr>
          <w:spacing w:val="35"/>
          <w:sz w:val="21"/>
        </w:rPr>
        <w:t> </w:t>
      </w:r>
      <w:r>
        <w:rPr>
          <w:w w:val="95"/>
          <w:sz w:val="21"/>
        </w:rPr>
        <w:t>90</w:t>
      </w:r>
      <w:r>
        <w:rPr>
          <w:spacing w:val="29"/>
          <w:sz w:val="21"/>
        </w:rPr>
        <w:t> </w:t>
      </w:r>
      <w:r>
        <w:rPr>
          <w:spacing w:val="-50"/>
          <w:w w:val="95"/>
          <w:sz w:val="21"/>
        </w:rPr>
        <w:t>天，</w:t>
      </w:r>
      <w:r>
        <w:rPr>
          <w:rFonts w:ascii="微软雅黑" w:hAnsi="微软雅黑" w:eastAsia="微软雅黑"/>
          <w:b/>
          <w:w w:val="95"/>
          <w:sz w:val="21"/>
        </w:rPr>
        <w:t>但</w:t>
      </w:r>
      <w:r>
        <w:rPr>
          <w:rFonts w:ascii="微软雅黑" w:hAnsi="微软雅黑" w:eastAsia="微软雅黑"/>
          <w:b/>
          <w:w w:val="95"/>
          <w:sz w:val="21"/>
        </w:rPr>
        <w:t>未</w:t>
      </w:r>
      <w:r>
        <w:rPr>
          <w:rFonts w:ascii="微软雅黑" w:hAnsi="微软雅黑" w:eastAsia="微软雅黑"/>
          <w:b/>
          <w:spacing w:val="-2"/>
          <w:sz w:val="21"/>
        </w:rPr>
        <w:t>达到本合同所指重大疾病“严重溃疡性结肠炎”的给付标准，才符合本保</w:t>
      </w:r>
      <w:r>
        <w:rPr>
          <w:rFonts w:ascii="微软雅黑" w:hAnsi="微软雅黑" w:eastAsia="微软雅黑"/>
          <w:b/>
          <w:spacing w:val="-2"/>
          <w:sz w:val="21"/>
        </w:rPr>
        <w:t>障范围</w:t>
      </w:r>
      <w:r>
        <w:rPr>
          <w:spacing w:val="-2"/>
          <w:sz w:val="21"/>
        </w:rPr>
        <w:t>。</w:t>
      </w:r>
      <w:r>
        <w:rPr>
          <w:rFonts w:ascii="微软雅黑" w:hAnsi="微软雅黑" w:eastAsia="微软雅黑"/>
          <w:b/>
          <w:spacing w:val="-2"/>
          <w:sz w:val="21"/>
        </w:rPr>
        <w:t>其他种类的炎性结肠炎，只发生在直肠的溃疡性结肠炎均不在保</w:t>
      </w:r>
      <w:r>
        <w:rPr>
          <w:rFonts w:ascii="微软雅黑" w:hAnsi="微软雅黑" w:eastAsia="微软雅黑"/>
          <w:b/>
          <w:spacing w:val="-2"/>
          <w:sz w:val="21"/>
        </w:rPr>
        <w:t>障范围内。</w:t>
      </w:r>
    </w:p>
    <w:p>
      <w:pPr>
        <w:spacing w:line="168" w:lineRule="auto" w:before="0"/>
        <w:ind w:left="177" w:right="324" w:firstLine="0"/>
        <w:jc w:val="both"/>
        <w:rPr>
          <w:rFonts w:ascii="微软雅黑" w:hAnsi="微软雅黑" w:eastAsia="微软雅黑"/>
          <w:b/>
          <w:sz w:val="21"/>
        </w:rPr>
      </w:pPr>
      <w:r>
        <w:rPr>
          <w:rFonts w:ascii="微软雅黑" w:hAnsi="微软雅黑" w:eastAsia="微软雅黑"/>
          <w:b/>
          <w:spacing w:val="-2"/>
          <w:sz w:val="21"/>
        </w:rPr>
        <w:t>我们对“中度肠道疾病并发症”和“中度溃疡性结肠炎”两项中的其中一</w:t>
      </w:r>
      <w:r>
        <w:rPr>
          <w:rFonts w:ascii="微软雅黑" w:hAnsi="微软雅黑" w:eastAsia="微软雅黑"/>
          <w:b/>
          <w:spacing w:val="-2"/>
          <w:sz w:val="21"/>
        </w:rPr>
        <w:t>项承担保险责任，给付其中一项保险金后，对另外一项疾病保险责任同时</w:t>
      </w:r>
      <w:r>
        <w:rPr>
          <w:rFonts w:ascii="微软雅黑" w:hAnsi="微软雅黑" w:eastAsia="微软雅黑"/>
          <w:b/>
          <w:spacing w:val="-4"/>
          <w:sz w:val="21"/>
        </w:rPr>
        <w:t>终止。</w:t>
      </w:r>
    </w:p>
    <w:p>
      <w:pPr>
        <w:spacing w:after="0" w:line="168" w:lineRule="auto"/>
        <w:jc w:val="both"/>
        <w:rPr>
          <w:rFonts w:ascii="微软雅黑" w:hAns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17"/>
        <w:rPr>
          <w:rFonts w:ascii="微软雅黑"/>
          <w:b/>
          <w:sz w:val="9"/>
        </w:rPr>
      </w:pPr>
    </w:p>
    <w:p>
      <w:pPr>
        <w:spacing w:after="0"/>
        <w:rPr>
          <w:rFonts w:ascii="微软雅黑"/>
          <w:sz w:val="9"/>
        </w:rPr>
        <w:sectPr>
          <w:type w:val="continuous"/>
          <w:pgSz w:w="11910" w:h="16840"/>
          <w:pgMar w:header="877" w:footer="0" w:top="1100" w:bottom="280" w:left="1060" w:right="980"/>
        </w:sectPr>
      </w:pPr>
    </w:p>
    <w:p>
      <w:pPr>
        <w:pStyle w:val="ListParagraph"/>
        <w:numPr>
          <w:ilvl w:val="0"/>
          <w:numId w:val="103"/>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脑动脉瘤及脑</w:t>
      </w:r>
      <w:r>
        <w:rPr>
          <w:rFonts w:ascii="微软雅黑" w:eastAsia="微软雅黑"/>
          <w:b/>
          <w:spacing w:val="-4"/>
          <w:sz w:val="21"/>
        </w:rPr>
        <w:t>血管瘤</w:t>
      </w:r>
    </w:p>
    <w:p>
      <w:pPr>
        <w:spacing w:line="180" w:lineRule="auto" w:before="124"/>
        <w:ind w:left="177" w:right="324" w:firstLine="0"/>
        <w:jc w:val="both"/>
        <w:rPr>
          <w:rFonts w:ascii="微软雅黑" w:hAnsi="微软雅黑" w:eastAsia="微软雅黑"/>
          <w:b/>
          <w:sz w:val="21"/>
        </w:rPr>
      </w:pPr>
      <w:r>
        <w:rPr/>
        <w:br w:type="column"/>
      </w:r>
      <w:r>
        <w:rPr>
          <w:spacing w:val="-4"/>
          <w:sz w:val="21"/>
        </w:rPr>
        <w:t>指经头颅断层扫描（CT）、核磁共振检查（MRI）或者其他影像学检查被确</w:t>
      </w:r>
      <w:r>
        <w:rPr>
          <w:spacing w:val="-2"/>
          <w:sz w:val="21"/>
        </w:rPr>
        <w:t>诊为脑动脉瘤、脑血管瘤，并实际接受了手术或放射治疗，</w:t>
      </w:r>
      <w:r>
        <w:rPr>
          <w:rFonts w:ascii="微软雅黑" w:hAnsi="微软雅黑" w:eastAsia="微软雅黑"/>
          <w:b/>
          <w:spacing w:val="-2"/>
          <w:sz w:val="21"/>
        </w:rPr>
        <w:t>且未达到本合</w:t>
      </w:r>
      <w:r>
        <w:rPr>
          <w:rFonts w:ascii="微软雅黑" w:hAnsi="微软雅黑" w:eastAsia="微软雅黑"/>
          <w:b/>
          <w:spacing w:val="-2"/>
          <w:sz w:val="21"/>
        </w:rPr>
        <w:t>同所指重大疾病“颅脑手术”的给付标准。</w:t>
      </w:r>
    </w:p>
    <w:p>
      <w:pPr>
        <w:spacing w:line="168" w:lineRule="auto" w:before="0"/>
        <w:ind w:left="177" w:right="327" w:firstLine="0"/>
        <w:jc w:val="both"/>
        <w:rPr>
          <w:rFonts w:ascii="微软雅黑" w:hAnsi="微软雅黑" w:eastAsia="微软雅黑"/>
          <w:b/>
          <w:sz w:val="21"/>
        </w:rPr>
      </w:pPr>
      <w:r>
        <w:rPr>
          <w:rFonts w:ascii="微软雅黑" w:hAnsi="微软雅黑" w:eastAsia="微软雅黑"/>
          <w:b/>
          <w:spacing w:val="-2"/>
          <w:sz w:val="21"/>
        </w:rPr>
        <w:t>我们对“微创颅脑手术”、“脑垂体瘤、脑囊肿”和“脑动脉瘤及脑血管瘤”三项中的其中一项承担保险责任，给付其中一项保险金后，对其他两</w:t>
      </w:r>
      <w:r>
        <w:rPr>
          <w:rFonts w:ascii="微软雅黑" w:hAnsi="微软雅黑" w:eastAsia="微软雅黑"/>
          <w:b/>
          <w:spacing w:val="-2"/>
          <w:sz w:val="21"/>
        </w:rPr>
        <w:t>项疾病保险责任同时终止。</w:t>
      </w:r>
    </w:p>
    <w:p>
      <w:pPr>
        <w:spacing w:after="0" w:line="168" w:lineRule="auto"/>
        <w:jc w:val="both"/>
        <w:rPr>
          <w:rFonts w:ascii="微软雅黑" w:hAns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5"/>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103"/>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7"/>
          <w:sz w:val="21"/>
        </w:rPr>
        <w:t>脑垂体瘤、脑囊</w:t>
      </w:r>
      <w:r>
        <w:rPr>
          <w:rFonts w:ascii="微软雅黑" w:eastAsia="微软雅黑"/>
          <w:b/>
          <w:spacing w:val="-10"/>
          <w:sz w:val="21"/>
        </w:rPr>
        <w:t>肿</w:t>
      </w:r>
    </w:p>
    <w:p>
      <w:pPr>
        <w:spacing w:line="180" w:lineRule="auto" w:before="124"/>
        <w:ind w:left="174" w:right="324" w:firstLine="0"/>
        <w:jc w:val="both"/>
        <w:rPr>
          <w:rFonts w:ascii="微软雅黑" w:hAnsi="微软雅黑" w:eastAsia="微软雅黑"/>
          <w:b/>
          <w:sz w:val="21"/>
        </w:rPr>
      </w:pPr>
      <w:r>
        <w:rPr/>
        <w:br w:type="column"/>
      </w:r>
      <w:r>
        <w:rPr>
          <w:spacing w:val="-4"/>
          <w:sz w:val="21"/>
        </w:rPr>
        <w:t>指经头颅断层扫描（CT）、核磁共振检查（MRI）或者其他影像学检查被确</w:t>
      </w:r>
      <w:r>
        <w:rPr>
          <w:spacing w:val="-2"/>
          <w:sz w:val="21"/>
        </w:rPr>
        <w:t>诊为下列病变，并实际接受了手术或者放射治疗，</w:t>
      </w:r>
      <w:r>
        <w:rPr>
          <w:rFonts w:ascii="微软雅黑" w:hAnsi="微软雅黑" w:eastAsia="微软雅黑"/>
          <w:b/>
          <w:spacing w:val="-2"/>
          <w:sz w:val="21"/>
        </w:rPr>
        <w:t>且未达到本合同所指重</w:t>
      </w:r>
      <w:r>
        <w:rPr>
          <w:rFonts w:ascii="微软雅黑" w:hAnsi="微软雅黑" w:eastAsia="微软雅黑"/>
          <w:b/>
          <w:spacing w:val="-2"/>
          <w:sz w:val="21"/>
        </w:rPr>
        <w:t>大疾病“颅脑手术”的给付标准。</w:t>
      </w:r>
    </w:p>
    <w:p>
      <w:pPr>
        <w:pStyle w:val="ListParagraph"/>
        <w:numPr>
          <w:ilvl w:val="0"/>
          <w:numId w:val="105"/>
        </w:numPr>
        <w:tabs>
          <w:tab w:pos="704" w:val="left" w:leader="none"/>
        </w:tabs>
        <w:spacing w:line="250" w:lineRule="exact" w:before="0" w:after="0"/>
        <w:ind w:left="703" w:right="0" w:hanging="530"/>
        <w:jc w:val="left"/>
        <w:rPr>
          <w:sz w:val="21"/>
        </w:rPr>
      </w:pPr>
      <w:r>
        <w:rPr>
          <w:spacing w:val="-4"/>
          <w:sz w:val="21"/>
        </w:rPr>
        <w:t>脑垂体瘤；</w:t>
      </w:r>
    </w:p>
    <w:p>
      <w:pPr>
        <w:pStyle w:val="ListParagraph"/>
        <w:numPr>
          <w:ilvl w:val="0"/>
          <w:numId w:val="105"/>
        </w:numPr>
        <w:tabs>
          <w:tab w:pos="704" w:val="left" w:leader="none"/>
        </w:tabs>
        <w:spacing w:line="238" w:lineRule="exact" w:before="2" w:after="0"/>
        <w:ind w:left="703" w:right="0" w:hanging="530"/>
        <w:jc w:val="left"/>
        <w:rPr>
          <w:sz w:val="21"/>
        </w:rPr>
      </w:pPr>
      <w:r>
        <w:rPr>
          <w:spacing w:val="-4"/>
          <w:sz w:val="21"/>
        </w:rPr>
        <w:t>脑囊肿。</w:t>
      </w:r>
    </w:p>
    <w:p>
      <w:pPr>
        <w:spacing w:line="168" w:lineRule="auto" w:before="52"/>
        <w:ind w:left="174" w:right="327" w:firstLine="0"/>
        <w:jc w:val="both"/>
        <w:rPr>
          <w:rFonts w:ascii="微软雅黑" w:hAnsi="微软雅黑" w:eastAsia="微软雅黑"/>
          <w:b/>
          <w:sz w:val="21"/>
        </w:rPr>
      </w:pPr>
      <w:r>
        <w:rPr>
          <w:rFonts w:ascii="微软雅黑" w:hAnsi="微软雅黑" w:eastAsia="微软雅黑"/>
          <w:b/>
          <w:spacing w:val="-2"/>
          <w:sz w:val="21"/>
        </w:rPr>
        <w:t>我们对“微创颅脑手术”、“脑垂体瘤、脑囊肿”和“脑动脉瘤及脑血管瘤”三项中的其中一项承担保险责任，给付其中一项保险金后，对其他两</w:t>
      </w:r>
      <w:r>
        <w:rPr>
          <w:rFonts w:ascii="微软雅黑" w:hAnsi="微软雅黑" w:eastAsia="微软雅黑"/>
          <w:b/>
          <w:spacing w:val="-2"/>
          <w:sz w:val="21"/>
        </w:rPr>
        <w:t>项疾病保险责任同时终止。</w:t>
      </w:r>
    </w:p>
    <w:p>
      <w:pPr>
        <w:spacing w:after="0" w:line="168" w:lineRule="auto"/>
        <w:jc w:val="both"/>
        <w:rPr>
          <w:rFonts w:ascii="微软雅黑" w:hAnsi="微软雅黑" w:eastAsia="微软雅黑"/>
          <w:sz w:val="21"/>
        </w:rPr>
        <w:sectPr>
          <w:type w:val="continuous"/>
          <w:pgSz w:w="11910" w:h="16840"/>
          <w:pgMar w:header="877" w:footer="0" w:top="1100" w:bottom="280" w:left="1060" w:right="980"/>
          <w:cols w:num="2" w:equalWidth="0">
            <w:col w:w="2591" w:space="40"/>
            <w:col w:w="7239"/>
          </w:cols>
        </w:sectPr>
      </w:pPr>
    </w:p>
    <w:p>
      <w:pPr>
        <w:pStyle w:val="BodyText"/>
        <w:spacing w:before="5"/>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103"/>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5"/>
          <w:sz w:val="21"/>
        </w:rPr>
        <w:t>慢性肝功能衰</w:t>
      </w:r>
      <w:r>
        <w:rPr>
          <w:rFonts w:ascii="微软雅黑" w:eastAsia="微软雅黑"/>
          <w:b/>
          <w:spacing w:val="-10"/>
          <w:sz w:val="21"/>
        </w:rPr>
        <w:t>竭</w:t>
      </w:r>
    </w:p>
    <w:p>
      <w:pPr>
        <w:spacing w:line="168" w:lineRule="auto" w:before="88"/>
        <w:ind w:left="177" w:right="323" w:firstLine="0"/>
        <w:jc w:val="left"/>
        <w:rPr>
          <w:sz w:val="21"/>
        </w:rPr>
      </w:pPr>
      <w:r>
        <w:rPr/>
        <w:br w:type="column"/>
      </w:r>
      <w:r>
        <w:rPr>
          <w:spacing w:val="-2"/>
          <w:sz w:val="21"/>
        </w:rPr>
        <w:t>指因慢性肝脏疾病导致肝功能衰竭，</w:t>
      </w:r>
      <w:r>
        <w:rPr>
          <w:rFonts w:ascii="微软雅黑" w:hAnsi="微软雅黑" w:eastAsia="微软雅黑"/>
          <w:b/>
          <w:spacing w:val="-2"/>
          <w:sz w:val="21"/>
        </w:rPr>
        <w:t>且未达到本合同所指重大疾病“严重</w:t>
      </w:r>
      <w:r>
        <w:rPr>
          <w:rFonts w:ascii="微软雅黑" w:hAnsi="微软雅黑" w:eastAsia="微软雅黑"/>
          <w:b/>
          <w:spacing w:val="-2"/>
          <w:sz w:val="21"/>
        </w:rPr>
        <w:t>慢性肝衰竭”的给付标准</w:t>
      </w:r>
      <w:r>
        <w:rPr>
          <w:spacing w:val="-2"/>
          <w:sz w:val="21"/>
        </w:rPr>
        <w:t>。须满足下列任意三个条件：</w:t>
      </w:r>
    </w:p>
    <w:p>
      <w:pPr>
        <w:pStyle w:val="BodyText"/>
        <w:spacing w:line="256" w:lineRule="exact"/>
        <w:ind w:left="177"/>
      </w:pPr>
      <w:r>
        <w:rPr>
          <w:spacing w:val="-2"/>
        </w:rPr>
        <w:t>（1）</w:t>
      </w:r>
      <w:r>
        <w:rPr>
          <w:spacing w:val="-4"/>
        </w:rPr>
        <w:t>持续性黄疸；</w:t>
      </w:r>
    </w:p>
    <w:p>
      <w:pPr>
        <w:pStyle w:val="BodyText"/>
        <w:spacing w:before="2"/>
        <w:ind w:left="177"/>
      </w:pPr>
      <w:r>
        <w:rPr>
          <w:spacing w:val="-2"/>
        </w:rPr>
        <w:t>（2）</w:t>
      </w:r>
      <w:r>
        <w:rPr>
          <w:spacing w:val="-5"/>
        </w:rPr>
        <w:t>腹水；</w:t>
      </w:r>
    </w:p>
    <w:p>
      <w:pPr>
        <w:pStyle w:val="ListParagraph"/>
        <w:numPr>
          <w:ilvl w:val="0"/>
          <w:numId w:val="106"/>
        </w:numPr>
        <w:tabs>
          <w:tab w:pos="707" w:val="left" w:leader="none"/>
        </w:tabs>
        <w:spacing w:line="240" w:lineRule="auto" w:before="4" w:after="0"/>
        <w:ind w:left="706" w:right="0" w:hanging="530"/>
        <w:jc w:val="left"/>
        <w:rPr>
          <w:sz w:val="21"/>
        </w:rPr>
      </w:pPr>
      <w:r>
        <w:rPr>
          <w:spacing w:val="-4"/>
          <w:sz w:val="21"/>
        </w:rPr>
        <w:t>肝性脑病；</w:t>
      </w:r>
    </w:p>
    <w:p>
      <w:pPr>
        <w:spacing w:after="0" w:line="240" w:lineRule="auto"/>
        <w:jc w:val="left"/>
        <w:rPr>
          <w:sz w:val="21"/>
        </w:rPr>
        <w:sectPr>
          <w:type w:val="continuous"/>
          <w:pgSz w:w="11910" w:h="16840"/>
          <w:pgMar w:header="877" w:footer="0" w:top="1100" w:bottom="280" w:left="1060" w:right="980"/>
          <w:cols w:num="2" w:equalWidth="0">
            <w:col w:w="2588" w:space="40"/>
            <w:col w:w="7242"/>
          </w:cols>
        </w:sectPr>
      </w:pPr>
    </w:p>
    <w:p>
      <w:pPr>
        <w:pStyle w:val="BodyText"/>
        <w:spacing w:before="8"/>
        <w:rPr>
          <w:sz w:val="8"/>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6988"/>
      </w:tblGrid>
      <w:tr>
        <w:trPr>
          <w:trHeight w:val="1467" w:hRule="atLeast"/>
        </w:trPr>
        <w:tc>
          <w:tcPr>
            <w:tcW w:w="2492" w:type="dxa"/>
            <w:gridSpan w:val="2"/>
          </w:tcPr>
          <w:p>
            <w:pPr>
              <w:pStyle w:val="TableParagraph"/>
              <w:rPr>
                <w:rFonts w:ascii="Times New Roman"/>
                <w:sz w:val="20"/>
              </w:rPr>
            </w:pPr>
          </w:p>
        </w:tc>
        <w:tc>
          <w:tcPr>
            <w:tcW w:w="6988" w:type="dxa"/>
          </w:tcPr>
          <w:p>
            <w:pPr>
              <w:pStyle w:val="TableParagraph"/>
              <w:spacing w:line="194" w:lineRule="auto" w:before="11"/>
              <w:ind w:left="109" w:right="1727"/>
              <w:rPr>
                <w:rFonts w:ascii="微软雅黑" w:eastAsia="微软雅黑"/>
                <w:b/>
                <w:sz w:val="21"/>
              </w:rPr>
            </w:pPr>
            <w:r>
              <w:rPr>
                <w:spacing w:val="-2"/>
                <w:sz w:val="21"/>
              </w:rPr>
              <w:t>（4）充血性脾肿大伴脾功能亢进或食管胃底静脉曲张。</w:t>
            </w:r>
            <w:r>
              <w:rPr>
                <w:rFonts w:ascii="微软雅黑" w:eastAsia="微软雅黑"/>
                <w:b/>
                <w:spacing w:val="-2"/>
                <w:sz w:val="21"/>
              </w:rPr>
              <w:t>因酗酒或药物滥用导致的肝功能衰竭不在保障范围内。</w:t>
            </w:r>
          </w:p>
          <w:p>
            <w:pPr>
              <w:pStyle w:val="TableParagraph"/>
              <w:spacing w:line="168" w:lineRule="auto"/>
              <w:ind w:left="109" w:right="143"/>
              <w:jc w:val="both"/>
              <w:rPr>
                <w:rFonts w:ascii="微软雅黑" w:hAnsi="微软雅黑" w:eastAsia="微软雅黑"/>
                <w:b/>
                <w:sz w:val="21"/>
              </w:rPr>
            </w:pPr>
            <w:r>
              <w:rPr>
                <w:rFonts w:ascii="微软雅黑" w:hAnsi="微软雅黑" w:eastAsia="微软雅黑"/>
                <w:b/>
                <w:spacing w:val="-2"/>
                <w:sz w:val="21"/>
              </w:rPr>
              <w:t>我们对“慢性肝功能衰竭”、“早期肝硬化”、“病毒性肝炎导致的肝硬化”、“肝叶切除术”四项中的其中一项承担保险责任，给付其中一项保</w:t>
            </w:r>
            <w:r>
              <w:rPr>
                <w:rFonts w:ascii="微软雅黑" w:hAnsi="微软雅黑" w:eastAsia="微软雅黑"/>
                <w:b/>
                <w:spacing w:val="-2"/>
                <w:sz w:val="21"/>
              </w:rPr>
              <w:t>险金后，对其他三项疾病保险责任同时终止。</w:t>
            </w:r>
          </w:p>
        </w:tc>
      </w:tr>
      <w:tr>
        <w:trPr>
          <w:trHeight w:val="2179" w:hRule="atLeast"/>
        </w:trPr>
        <w:tc>
          <w:tcPr>
            <w:tcW w:w="634" w:type="dxa"/>
          </w:tcPr>
          <w:p>
            <w:pPr>
              <w:pStyle w:val="TableParagraph"/>
              <w:spacing w:before="71"/>
              <w:ind w:left="50"/>
              <w:rPr>
                <w:rFonts w:ascii="微软雅黑"/>
                <w:b/>
                <w:sz w:val="21"/>
              </w:rPr>
            </w:pPr>
            <w:r>
              <w:rPr>
                <w:rFonts w:ascii="微软雅黑"/>
                <w:b/>
                <w:spacing w:val="-5"/>
                <w:w w:val="90"/>
                <w:sz w:val="21"/>
              </w:rPr>
              <w:t>24</w:t>
            </w:r>
          </w:p>
        </w:tc>
        <w:tc>
          <w:tcPr>
            <w:tcW w:w="1858" w:type="dxa"/>
          </w:tcPr>
          <w:p>
            <w:pPr>
              <w:pStyle w:val="TableParagraph"/>
              <w:spacing w:before="71"/>
              <w:ind w:left="373"/>
              <w:rPr>
                <w:rFonts w:ascii="微软雅黑" w:eastAsia="微软雅黑"/>
                <w:b/>
                <w:sz w:val="21"/>
              </w:rPr>
            </w:pPr>
            <w:r>
              <w:rPr>
                <w:rFonts w:ascii="微软雅黑" w:eastAsia="微软雅黑"/>
                <w:b/>
                <w:spacing w:val="-2"/>
                <w:sz w:val="21"/>
              </w:rPr>
              <w:t>轻度面部烧伤</w:t>
            </w:r>
          </w:p>
        </w:tc>
        <w:tc>
          <w:tcPr>
            <w:tcW w:w="6988" w:type="dxa"/>
          </w:tcPr>
          <w:p>
            <w:pPr>
              <w:pStyle w:val="TableParagraph"/>
              <w:spacing w:line="242" w:lineRule="auto" w:before="138"/>
              <w:ind w:left="109" w:right="47"/>
              <w:rPr>
                <w:sz w:val="21"/>
              </w:rPr>
            </w:pPr>
            <w:r>
              <w:rPr>
                <w:spacing w:val="-2"/>
                <w:sz w:val="21"/>
              </w:rPr>
              <w:t>指烧伤程度为Ⅲ度，且Ⅲ度烧伤的面积达到面部表面积的30％或者30％以</w:t>
            </w:r>
            <w:r>
              <w:rPr>
                <w:spacing w:val="-2"/>
                <w:sz w:val="21"/>
              </w:rPr>
              <w:t>上，但未达到面部表面积的60%。面部的范围指上至发际、下至下颌下缘、</w:t>
            </w:r>
            <w:r>
              <w:rPr>
                <w:spacing w:val="-2"/>
                <w:sz w:val="21"/>
              </w:rPr>
              <w:t>两侧至下颌支后缘之间的区域，包括额部、眼部、眶部、鼻部、口唇部、</w:t>
            </w:r>
            <w:r>
              <w:rPr>
                <w:spacing w:val="-2"/>
                <w:sz w:val="21"/>
              </w:rPr>
              <w:t>颏部、颧部、颊部和腮腺咬肌部。</w:t>
            </w:r>
          </w:p>
          <w:p>
            <w:pPr>
              <w:pStyle w:val="TableParagraph"/>
              <w:spacing w:line="168" w:lineRule="auto" w:before="19"/>
              <w:ind w:left="109" w:right="143"/>
              <w:jc w:val="both"/>
              <w:rPr>
                <w:rFonts w:ascii="微软雅黑" w:hAnsi="微软雅黑" w:eastAsia="微软雅黑"/>
                <w:b/>
                <w:sz w:val="21"/>
              </w:rPr>
            </w:pPr>
            <w:r>
              <w:rPr>
                <w:rFonts w:ascii="微软雅黑" w:hAnsi="微软雅黑" w:eastAsia="微软雅黑"/>
                <w:b/>
                <w:spacing w:val="-2"/>
                <w:sz w:val="21"/>
              </w:rPr>
              <w:t>我们对“全身较小面积Ⅲ度烧伤”、“轻度面部烧伤”两项中的其中一项</w:t>
            </w:r>
            <w:r>
              <w:rPr>
                <w:rFonts w:ascii="微软雅黑" w:hAnsi="微软雅黑" w:eastAsia="微软雅黑"/>
                <w:b/>
                <w:spacing w:val="-2"/>
                <w:sz w:val="21"/>
              </w:rPr>
              <w:t>承担保险责任，给付其中一项保险金后，对另外一项疾病保险责任同时终</w:t>
            </w:r>
            <w:r>
              <w:rPr>
                <w:rFonts w:ascii="微软雅黑" w:hAnsi="微软雅黑" w:eastAsia="微软雅黑"/>
                <w:b/>
                <w:spacing w:val="-6"/>
                <w:sz w:val="21"/>
              </w:rPr>
              <w:t>止。</w:t>
            </w:r>
          </w:p>
        </w:tc>
      </w:tr>
      <w:tr>
        <w:trPr>
          <w:trHeight w:val="1634" w:hRule="atLeast"/>
        </w:trPr>
        <w:tc>
          <w:tcPr>
            <w:tcW w:w="634" w:type="dxa"/>
          </w:tcPr>
          <w:p>
            <w:pPr>
              <w:pStyle w:val="TableParagraph"/>
              <w:spacing w:before="71"/>
              <w:ind w:left="50"/>
              <w:rPr>
                <w:rFonts w:ascii="微软雅黑"/>
                <w:b/>
                <w:sz w:val="21"/>
              </w:rPr>
            </w:pPr>
            <w:r>
              <w:rPr>
                <w:rFonts w:ascii="微软雅黑"/>
                <w:b/>
                <w:spacing w:val="-5"/>
                <w:w w:val="90"/>
                <w:sz w:val="21"/>
              </w:rPr>
              <w:t>25</w:t>
            </w:r>
          </w:p>
        </w:tc>
        <w:tc>
          <w:tcPr>
            <w:tcW w:w="1858" w:type="dxa"/>
          </w:tcPr>
          <w:p>
            <w:pPr>
              <w:pStyle w:val="TableParagraph"/>
              <w:spacing w:line="168" w:lineRule="auto" w:before="154"/>
              <w:ind w:left="373" w:right="106"/>
              <w:rPr>
                <w:rFonts w:ascii="微软雅黑" w:eastAsia="微软雅黑"/>
                <w:b/>
                <w:sz w:val="21"/>
              </w:rPr>
            </w:pPr>
            <w:r>
              <w:rPr>
                <w:rFonts w:ascii="微软雅黑" w:eastAsia="微软雅黑"/>
                <w:b/>
                <w:spacing w:val="15"/>
                <w:sz w:val="21"/>
              </w:rPr>
              <w:t>严重甲型及乙</w:t>
            </w:r>
            <w:r>
              <w:rPr>
                <w:rFonts w:ascii="微软雅黑" w:eastAsia="微软雅黑"/>
                <w:b/>
                <w:spacing w:val="-4"/>
                <w:sz w:val="21"/>
              </w:rPr>
              <w:t>型血友病</w:t>
            </w:r>
          </w:p>
        </w:tc>
        <w:tc>
          <w:tcPr>
            <w:tcW w:w="6988" w:type="dxa"/>
          </w:tcPr>
          <w:p>
            <w:pPr>
              <w:pStyle w:val="TableParagraph"/>
              <w:spacing w:line="242" w:lineRule="auto" w:before="138"/>
              <w:ind w:left="109" w:right="143"/>
              <w:jc w:val="both"/>
              <w:rPr>
                <w:sz w:val="21"/>
              </w:rPr>
            </w:pPr>
            <w:r>
              <w:rPr>
                <w:spacing w:val="-2"/>
                <w:sz w:val="21"/>
              </w:rPr>
              <w:t>被保险人必须是患上严重甲型血友病（缺乏Ⅷ凝血因子）或严重乙型血友</w:t>
            </w:r>
            <w:r>
              <w:rPr>
                <w:spacing w:val="-2"/>
                <w:sz w:val="21"/>
              </w:rPr>
              <w:t>病（缺乏Ⅸ凝血因子），而凝血因子Ⅷ或凝血因子Ⅸ的活性水平少于百分</w:t>
            </w:r>
            <w:r>
              <w:rPr>
                <w:spacing w:val="-2"/>
                <w:sz w:val="21"/>
              </w:rPr>
              <w:t>之一。诊断必须由我们认可医院的血液病专科医生确认。</w:t>
            </w:r>
          </w:p>
          <w:p>
            <w:pPr>
              <w:pStyle w:val="TableParagraph"/>
              <w:spacing w:line="244" w:lineRule="auto" w:before="1"/>
              <w:ind w:left="109" w:right="143"/>
              <w:rPr>
                <w:sz w:val="21"/>
              </w:rPr>
            </w:pPr>
            <w:r>
              <w:rPr>
                <w:spacing w:val="-2"/>
                <w:sz w:val="21"/>
              </w:rPr>
              <w:t>我们承担本项疾病责任不受本合同“责任免除”中“遗传性疾病、先天性</w:t>
            </w:r>
            <w:r>
              <w:rPr>
                <w:spacing w:val="-2"/>
                <w:sz w:val="21"/>
              </w:rPr>
              <w:t>畸形、变形或染色体异常”的限制。</w:t>
            </w:r>
          </w:p>
        </w:tc>
      </w:tr>
      <w:tr>
        <w:trPr>
          <w:trHeight w:val="1632" w:hRule="atLeast"/>
        </w:trPr>
        <w:tc>
          <w:tcPr>
            <w:tcW w:w="634" w:type="dxa"/>
          </w:tcPr>
          <w:p>
            <w:pPr>
              <w:pStyle w:val="TableParagraph"/>
              <w:spacing w:before="71"/>
              <w:ind w:left="50"/>
              <w:rPr>
                <w:rFonts w:ascii="微软雅黑"/>
                <w:b/>
                <w:sz w:val="21"/>
              </w:rPr>
            </w:pPr>
            <w:r>
              <w:rPr>
                <w:rFonts w:ascii="微软雅黑"/>
                <w:b/>
                <w:spacing w:val="-5"/>
                <w:w w:val="90"/>
                <w:sz w:val="21"/>
              </w:rPr>
              <w:t>26</w:t>
            </w:r>
          </w:p>
        </w:tc>
        <w:tc>
          <w:tcPr>
            <w:tcW w:w="1858" w:type="dxa"/>
          </w:tcPr>
          <w:p>
            <w:pPr>
              <w:pStyle w:val="TableParagraph"/>
              <w:spacing w:line="168" w:lineRule="auto" w:before="154"/>
              <w:ind w:left="373" w:right="106"/>
              <w:rPr>
                <w:rFonts w:ascii="微软雅黑" w:eastAsia="微软雅黑"/>
                <w:b/>
                <w:sz w:val="21"/>
              </w:rPr>
            </w:pPr>
            <w:r>
              <w:rPr>
                <w:rFonts w:ascii="微软雅黑" w:eastAsia="微软雅黑"/>
                <w:b/>
                <w:spacing w:val="15"/>
                <w:sz w:val="21"/>
              </w:rPr>
              <w:t>植入心脏起搏</w:t>
            </w:r>
            <w:r>
              <w:rPr>
                <w:rFonts w:ascii="微软雅黑" w:eastAsia="微软雅黑"/>
                <w:b/>
                <w:spacing w:val="-10"/>
                <w:sz w:val="21"/>
              </w:rPr>
              <w:t>器</w:t>
            </w:r>
          </w:p>
        </w:tc>
        <w:tc>
          <w:tcPr>
            <w:tcW w:w="6988" w:type="dxa"/>
          </w:tcPr>
          <w:p>
            <w:pPr>
              <w:pStyle w:val="TableParagraph"/>
              <w:spacing w:line="168" w:lineRule="auto" w:before="154"/>
              <w:ind w:left="109" w:right="140"/>
              <w:jc w:val="both"/>
              <w:rPr>
                <w:rFonts w:ascii="微软雅黑" w:hAnsi="微软雅黑" w:eastAsia="微软雅黑"/>
                <w:b/>
                <w:sz w:val="21"/>
              </w:rPr>
            </w:pPr>
            <w:r>
              <w:rPr>
                <w:spacing w:val="-2"/>
                <w:sz w:val="21"/>
              </w:rPr>
              <w:t>因严重心律失常而确实已经实施永久性心脏起搏器的植入手术。</w:t>
            </w:r>
            <w:r>
              <w:rPr>
                <w:rFonts w:ascii="微软雅黑" w:hAnsi="微软雅黑" w:eastAsia="微软雅黑"/>
                <w:b/>
                <w:spacing w:val="-2"/>
                <w:sz w:val="21"/>
              </w:rPr>
              <w:t>但未达到</w:t>
            </w:r>
            <w:r>
              <w:rPr>
                <w:rFonts w:ascii="微软雅黑" w:hAnsi="微软雅黑" w:eastAsia="微软雅黑"/>
                <w:b/>
                <w:spacing w:val="-2"/>
                <w:sz w:val="21"/>
              </w:rPr>
              <w:t>本合同所指重大疾病“严重1</w:t>
            </w:r>
            <w:r>
              <w:rPr>
                <w:rFonts w:ascii="微软雅黑" w:hAnsi="微软雅黑" w:eastAsia="微软雅黑"/>
                <w:b/>
                <w:spacing w:val="-2"/>
                <w:sz w:val="21"/>
              </w:rPr>
              <w:t>型糖尿病”的给付标准。理赔时须提供完整</w:t>
            </w:r>
            <w:r>
              <w:rPr>
                <w:rFonts w:ascii="微软雅黑" w:hAnsi="微软雅黑" w:eastAsia="微软雅黑"/>
                <w:b/>
                <w:spacing w:val="-2"/>
                <w:sz w:val="21"/>
              </w:rPr>
              <w:t>病历资料及手术记录，诊断及治疗均须在我们认可医院专科医生认为是医</w:t>
            </w:r>
            <w:r>
              <w:rPr>
                <w:rFonts w:ascii="微软雅黑" w:hAnsi="微软雅黑" w:eastAsia="微软雅黑"/>
                <w:b/>
                <w:spacing w:val="-2"/>
                <w:sz w:val="21"/>
              </w:rPr>
              <w:t>疗必须的情况下进行。</w:t>
            </w:r>
          </w:p>
          <w:p>
            <w:pPr>
              <w:pStyle w:val="TableParagraph"/>
              <w:spacing w:line="307" w:lineRule="exact"/>
              <w:ind w:left="109"/>
              <w:rPr>
                <w:rFonts w:ascii="微软雅黑" w:eastAsia="微软雅黑"/>
                <w:b/>
                <w:sz w:val="21"/>
              </w:rPr>
            </w:pPr>
            <w:r>
              <w:rPr>
                <w:rFonts w:ascii="微软雅黑" w:eastAsia="微软雅黑"/>
                <w:b/>
                <w:spacing w:val="-3"/>
                <w:sz w:val="21"/>
              </w:rPr>
              <w:t>临时心脏起搏器安装除外。</w:t>
            </w:r>
          </w:p>
        </w:tc>
      </w:tr>
      <w:tr>
        <w:trPr>
          <w:trHeight w:val="1908" w:hRule="atLeast"/>
        </w:trPr>
        <w:tc>
          <w:tcPr>
            <w:tcW w:w="634" w:type="dxa"/>
          </w:tcPr>
          <w:p>
            <w:pPr>
              <w:pStyle w:val="TableParagraph"/>
              <w:spacing w:before="71"/>
              <w:ind w:left="50"/>
              <w:rPr>
                <w:rFonts w:ascii="微软雅黑"/>
                <w:b/>
                <w:sz w:val="21"/>
              </w:rPr>
            </w:pPr>
            <w:r>
              <w:rPr>
                <w:rFonts w:ascii="微软雅黑"/>
                <w:b/>
                <w:spacing w:val="-5"/>
                <w:w w:val="90"/>
                <w:sz w:val="21"/>
              </w:rPr>
              <w:t>27</w:t>
            </w:r>
          </w:p>
        </w:tc>
        <w:tc>
          <w:tcPr>
            <w:tcW w:w="1858" w:type="dxa"/>
          </w:tcPr>
          <w:p>
            <w:pPr>
              <w:pStyle w:val="TableParagraph"/>
              <w:spacing w:line="170" w:lineRule="auto" w:before="151"/>
              <w:ind w:left="373" w:right="106"/>
              <w:rPr>
                <w:rFonts w:ascii="微软雅黑" w:eastAsia="微软雅黑"/>
                <w:b/>
                <w:sz w:val="21"/>
              </w:rPr>
            </w:pPr>
            <w:r>
              <w:rPr>
                <w:rFonts w:ascii="微软雅黑" w:eastAsia="微软雅黑"/>
                <w:b/>
                <w:spacing w:val="15"/>
                <w:sz w:val="21"/>
              </w:rPr>
              <w:t>肺泡蛋白沉积</w:t>
            </w:r>
            <w:r>
              <w:rPr>
                <w:rFonts w:ascii="微软雅黑" w:eastAsia="微软雅黑"/>
                <w:b/>
                <w:spacing w:val="-2"/>
                <w:sz w:val="21"/>
              </w:rPr>
              <w:t>症肺灌流治疗</w:t>
            </w:r>
          </w:p>
        </w:tc>
        <w:tc>
          <w:tcPr>
            <w:tcW w:w="6988" w:type="dxa"/>
          </w:tcPr>
          <w:p>
            <w:pPr>
              <w:pStyle w:val="TableParagraph"/>
              <w:spacing w:before="5"/>
              <w:rPr>
                <w:sz w:val="14"/>
              </w:rPr>
            </w:pPr>
          </w:p>
          <w:p>
            <w:pPr>
              <w:pStyle w:val="TableParagraph"/>
              <w:spacing w:line="187" w:lineRule="auto"/>
              <w:ind w:left="109" w:right="143"/>
              <w:jc w:val="both"/>
              <w:rPr>
                <w:sz w:val="21"/>
              </w:rPr>
            </w:pPr>
            <w:r>
              <w:rPr>
                <w:spacing w:val="-2"/>
                <w:sz w:val="21"/>
              </w:rPr>
              <w:t>肺泡蛋白质沉积症是一种弥漫性肺部疾病，其组织学特征为肺泡腔内及终</w:t>
            </w:r>
            <w:r>
              <w:rPr>
                <w:spacing w:val="-2"/>
                <w:sz w:val="21"/>
              </w:rPr>
              <w:t>末细支气管内堆积过量的磷脂蛋白样物质，</w:t>
            </w:r>
            <w:r>
              <w:rPr>
                <w:rFonts w:ascii="微软雅黑" w:hAnsi="微软雅黑" w:eastAsia="微软雅黑"/>
                <w:b/>
                <w:spacing w:val="-2"/>
                <w:sz w:val="21"/>
              </w:rPr>
              <w:t>但未达到本合同所指重大疾病 “严重获得性或继发性肺泡蛋白质沉积症”的给付标准。</w:t>
            </w:r>
            <w:r>
              <w:rPr>
                <w:spacing w:val="-2"/>
                <w:sz w:val="21"/>
              </w:rPr>
              <w:t>必须满足下列所</w:t>
            </w:r>
            <w:r>
              <w:rPr>
                <w:spacing w:val="-4"/>
                <w:sz w:val="21"/>
              </w:rPr>
              <w:t>有条件：</w:t>
            </w:r>
          </w:p>
          <w:p>
            <w:pPr>
              <w:pStyle w:val="TableParagraph"/>
              <w:numPr>
                <w:ilvl w:val="0"/>
                <w:numId w:val="107"/>
              </w:numPr>
              <w:tabs>
                <w:tab w:pos="639" w:val="left" w:leader="none"/>
              </w:tabs>
              <w:spacing w:line="240" w:lineRule="auto" w:before="20" w:after="0"/>
              <w:ind w:left="638" w:right="0" w:hanging="530"/>
              <w:jc w:val="left"/>
              <w:rPr>
                <w:sz w:val="21"/>
              </w:rPr>
            </w:pPr>
            <w:r>
              <w:rPr>
                <w:spacing w:val="-3"/>
                <w:sz w:val="21"/>
              </w:rPr>
              <w:t>经组织病理学检查明确诊断；</w:t>
            </w:r>
          </w:p>
          <w:p>
            <w:pPr>
              <w:pStyle w:val="TableParagraph"/>
              <w:numPr>
                <w:ilvl w:val="0"/>
                <w:numId w:val="107"/>
              </w:numPr>
              <w:tabs>
                <w:tab w:pos="639" w:val="left" w:leader="none"/>
              </w:tabs>
              <w:spacing w:line="240" w:lineRule="auto" w:before="4" w:after="0"/>
              <w:ind w:left="638" w:right="0" w:hanging="530"/>
              <w:jc w:val="left"/>
              <w:rPr>
                <w:sz w:val="21"/>
              </w:rPr>
            </w:pPr>
            <w:r>
              <w:rPr>
                <w:spacing w:val="-8"/>
                <w:sz w:val="21"/>
              </w:rPr>
              <w:t>实际接受了至少 </w:t>
            </w:r>
            <w:r>
              <w:rPr>
                <w:spacing w:val="-2"/>
                <w:sz w:val="21"/>
              </w:rPr>
              <w:t>2</w:t>
            </w:r>
            <w:r>
              <w:rPr>
                <w:spacing w:val="-10"/>
                <w:sz w:val="21"/>
              </w:rPr>
              <w:t> 次支气管肺泡灌洗治疗。</w:t>
            </w:r>
          </w:p>
        </w:tc>
      </w:tr>
      <w:tr>
        <w:trPr>
          <w:trHeight w:val="1906" w:hRule="atLeast"/>
        </w:trPr>
        <w:tc>
          <w:tcPr>
            <w:tcW w:w="634" w:type="dxa"/>
          </w:tcPr>
          <w:p>
            <w:pPr>
              <w:pStyle w:val="TableParagraph"/>
              <w:spacing w:before="71"/>
              <w:ind w:left="50"/>
              <w:rPr>
                <w:rFonts w:ascii="微软雅黑"/>
                <w:b/>
                <w:sz w:val="21"/>
              </w:rPr>
            </w:pPr>
            <w:r>
              <w:rPr>
                <w:rFonts w:ascii="微软雅黑"/>
                <w:b/>
                <w:spacing w:val="-5"/>
                <w:w w:val="90"/>
                <w:sz w:val="21"/>
              </w:rPr>
              <w:t>28</w:t>
            </w:r>
          </w:p>
        </w:tc>
        <w:tc>
          <w:tcPr>
            <w:tcW w:w="1858" w:type="dxa"/>
          </w:tcPr>
          <w:p>
            <w:pPr>
              <w:pStyle w:val="TableParagraph"/>
              <w:spacing w:line="168" w:lineRule="auto" w:before="154"/>
              <w:ind w:left="373" w:right="106"/>
              <w:rPr>
                <w:rFonts w:ascii="微软雅黑" w:eastAsia="微软雅黑"/>
                <w:b/>
                <w:sz w:val="21"/>
              </w:rPr>
            </w:pPr>
            <w:r>
              <w:rPr>
                <w:rFonts w:ascii="微软雅黑" w:eastAsia="微软雅黑"/>
                <w:b/>
                <w:spacing w:val="15"/>
                <w:sz w:val="21"/>
              </w:rPr>
              <w:t>可逆性再生障</w:t>
            </w:r>
            <w:r>
              <w:rPr>
                <w:rFonts w:ascii="微软雅黑" w:eastAsia="微软雅黑"/>
                <w:b/>
                <w:spacing w:val="-4"/>
                <w:sz w:val="21"/>
              </w:rPr>
              <w:t>碍性贫血</w:t>
            </w:r>
          </w:p>
        </w:tc>
        <w:tc>
          <w:tcPr>
            <w:tcW w:w="6988" w:type="dxa"/>
          </w:tcPr>
          <w:p>
            <w:pPr>
              <w:pStyle w:val="TableParagraph"/>
              <w:spacing w:line="242" w:lineRule="auto" w:before="138"/>
              <w:ind w:left="109" w:right="143"/>
              <w:jc w:val="both"/>
              <w:rPr>
                <w:sz w:val="21"/>
              </w:rPr>
            </w:pPr>
            <w:r>
              <w:rPr>
                <w:spacing w:val="-2"/>
                <w:sz w:val="21"/>
              </w:rPr>
              <w:t>指因急性可逆性的骨髓造血功能衰竭而导致贫血、中性粒细胞减少和血小</w:t>
            </w:r>
            <w:r>
              <w:rPr>
                <w:spacing w:val="-2"/>
                <w:sz w:val="21"/>
              </w:rPr>
              <w:t>板减少，必须由我们认可医院的血液科专科医生诊断，且病历资料显示接</w:t>
            </w:r>
            <w:r>
              <w:rPr>
                <w:spacing w:val="-2"/>
                <w:sz w:val="21"/>
              </w:rPr>
              <w:t>受了下列任一治疗：</w:t>
            </w:r>
          </w:p>
          <w:p>
            <w:pPr>
              <w:pStyle w:val="TableParagraph"/>
              <w:numPr>
                <w:ilvl w:val="0"/>
                <w:numId w:val="108"/>
              </w:numPr>
              <w:tabs>
                <w:tab w:pos="639" w:val="left" w:leader="none"/>
              </w:tabs>
              <w:spacing w:line="240" w:lineRule="auto" w:before="1" w:after="0"/>
              <w:ind w:left="638" w:right="0" w:hanging="530"/>
              <w:jc w:val="left"/>
              <w:rPr>
                <w:sz w:val="21"/>
              </w:rPr>
            </w:pPr>
            <w:r>
              <w:rPr>
                <w:spacing w:val="-3"/>
                <w:sz w:val="21"/>
              </w:rPr>
              <w:t>骨髓刺激疗法至少一个月；</w:t>
            </w:r>
          </w:p>
          <w:p>
            <w:pPr>
              <w:pStyle w:val="TableParagraph"/>
              <w:numPr>
                <w:ilvl w:val="0"/>
                <w:numId w:val="108"/>
              </w:numPr>
              <w:tabs>
                <w:tab w:pos="639" w:val="left" w:leader="none"/>
              </w:tabs>
              <w:spacing w:line="240" w:lineRule="auto" w:before="4" w:after="0"/>
              <w:ind w:left="638" w:right="0" w:hanging="530"/>
              <w:jc w:val="left"/>
              <w:rPr>
                <w:sz w:val="21"/>
              </w:rPr>
            </w:pPr>
            <w:r>
              <w:rPr>
                <w:spacing w:val="-3"/>
                <w:sz w:val="21"/>
              </w:rPr>
              <w:t>免疫抑制剂治疗至少一个月；</w:t>
            </w:r>
          </w:p>
          <w:p>
            <w:pPr>
              <w:pStyle w:val="TableParagraph"/>
              <w:numPr>
                <w:ilvl w:val="0"/>
                <w:numId w:val="108"/>
              </w:numPr>
              <w:tabs>
                <w:tab w:pos="639" w:val="left" w:leader="none"/>
              </w:tabs>
              <w:spacing w:line="240" w:lineRule="auto" w:before="3" w:after="0"/>
              <w:ind w:left="638" w:right="0" w:hanging="530"/>
              <w:jc w:val="left"/>
              <w:rPr>
                <w:sz w:val="21"/>
              </w:rPr>
            </w:pPr>
            <w:r>
              <w:rPr>
                <w:spacing w:val="-4"/>
                <w:sz w:val="21"/>
              </w:rPr>
              <w:t>接受了骨髓移植。</w:t>
            </w:r>
          </w:p>
        </w:tc>
      </w:tr>
      <w:tr>
        <w:trPr>
          <w:trHeight w:val="1089" w:hRule="atLeast"/>
        </w:trPr>
        <w:tc>
          <w:tcPr>
            <w:tcW w:w="634" w:type="dxa"/>
          </w:tcPr>
          <w:p>
            <w:pPr>
              <w:pStyle w:val="TableParagraph"/>
              <w:spacing w:before="71"/>
              <w:ind w:left="50"/>
              <w:rPr>
                <w:rFonts w:ascii="微软雅黑"/>
                <w:b/>
                <w:sz w:val="21"/>
              </w:rPr>
            </w:pPr>
            <w:r>
              <w:rPr>
                <w:rFonts w:ascii="微软雅黑"/>
                <w:b/>
                <w:spacing w:val="-5"/>
                <w:w w:val="90"/>
                <w:sz w:val="21"/>
              </w:rPr>
              <w:t>29</w:t>
            </w:r>
          </w:p>
        </w:tc>
        <w:tc>
          <w:tcPr>
            <w:tcW w:w="1858" w:type="dxa"/>
          </w:tcPr>
          <w:p>
            <w:pPr>
              <w:pStyle w:val="TableParagraph"/>
              <w:spacing w:line="168" w:lineRule="auto" w:before="154"/>
              <w:ind w:left="373" w:right="106"/>
              <w:jc w:val="both"/>
              <w:rPr>
                <w:rFonts w:ascii="微软雅黑" w:eastAsia="微软雅黑"/>
                <w:b/>
                <w:sz w:val="21"/>
              </w:rPr>
            </w:pPr>
            <w:r>
              <w:rPr>
                <w:rFonts w:ascii="微软雅黑" w:eastAsia="微软雅黑"/>
                <w:b/>
                <w:spacing w:val="15"/>
                <w:sz w:val="21"/>
              </w:rPr>
              <w:t>急性出血坏死</w:t>
            </w:r>
            <w:r>
              <w:rPr>
                <w:rFonts w:ascii="微软雅黑" w:eastAsia="微软雅黑"/>
                <w:b/>
                <w:spacing w:val="15"/>
                <w:sz w:val="21"/>
              </w:rPr>
              <w:t>性胰腺炎腹腔</w:t>
            </w:r>
            <w:r>
              <w:rPr>
                <w:rFonts w:ascii="微软雅黑" w:eastAsia="微软雅黑"/>
                <w:b/>
                <w:spacing w:val="-4"/>
                <w:sz w:val="21"/>
              </w:rPr>
              <w:t>镜手术</w:t>
            </w:r>
          </w:p>
        </w:tc>
        <w:tc>
          <w:tcPr>
            <w:tcW w:w="6988" w:type="dxa"/>
          </w:tcPr>
          <w:p>
            <w:pPr>
              <w:pStyle w:val="TableParagraph"/>
              <w:spacing w:line="244" w:lineRule="auto" w:before="138"/>
              <w:ind w:left="109" w:right="143"/>
              <w:rPr>
                <w:sz w:val="21"/>
              </w:rPr>
            </w:pPr>
            <w:r>
              <w:rPr>
                <w:spacing w:val="-2"/>
                <w:sz w:val="21"/>
              </w:rPr>
              <w:t>指被保险人确诊为急性出血性坏死性胰腺炎，并实际接受了腹腔镜手术治</w:t>
            </w:r>
            <w:r>
              <w:rPr>
                <w:spacing w:val="-2"/>
                <w:sz w:val="21"/>
              </w:rPr>
              <w:t>疗，以进行坏死组织清除、坏死病灶切除或胰腺切除。</w:t>
            </w:r>
          </w:p>
          <w:p>
            <w:pPr>
              <w:pStyle w:val="TableParagraph"/>
              <w:spacing w:line="316" w:lineRule="exact"/>
              <w:ind w:left="109"/>
              <w:rPr>
                <w:rFonts w:ascii="微软雅黑" w:eastAsia="微软雅黑"/>
                <w:b/>
                <w:sz w:val="21"/>
              </w:rPr>
            </w:pPr>
            <w:r>
              <w:rPr>
                <w:rFonts w:ascii="微软雅黑" w:eastAsia="微软雅黑"/>
                <w:b/>
                <w:spacing w:val="-3"/>
                <w:sz w:val="21"/>
              </w:rPr>
              <w:t>因酗酒或饮酒过量所致的急性坏死胰腺炎不在保障范围内。</w:t>
            </w:r>
          </w:p>
        </w:tc>
      </w:tr>
      <w:tr>
        <w:trPr>
          <w:trHeight w:val="1193" w:hRule="atLeast"/>
        </w:trPr>
        <w:tc>
          <w:tcPr>
            <w:tcW w:w="634" w:type="dxa"/>
          </w:tcPr>
          <w:p>
            <w:pPr>
              <w:pStyle w:val="TableParagraph"/>
              <w:spacing w:before="71"/>
              <w:ind w:left="50"/>
              <w:rPr>
                <w:rFonts w:ascii="微软雅黑"/>
                <w:b/>
                <w:sz w:val="21"/>
              </w:rPr>
            </w:pPr>
            <w:r>
              <w:rPr>
                <w:rFonts w:ascii="微软雅黑"/>
                <w:b/>
                <w:spacing w:val="-5"/>
                <w:w w:val="90"/>
                <w:sz w:val="21"/>
              </w:rPr>
              <w:t>30</w:t>
            </w:r>
          </w:p>
        </w:tc>
        <w:tc>
          <w:tcPr>
            <w:tcW w:w="1858" w:type="dxa"/>
          </w:tcPr>
          <w:p>
            <w:pPr>
              <w:pStyle w:val="TableParagraph"/>
              <w:spacing w:line="168" w:lineRule="auto" w:before="154"/>
              <w:ind w:left="373" w:right="106"/>
              <w:rPr>
                <w:rFonts w:ascii="微软雅黑" w:eastAsia="微软雅黑"/>
                <w:b/>
                <w:sz w:val="21"/>
              </w:rPr>
            </w:pPr>
            <w:r>
              <w:rPr>
                <w:rFonts w:ascii="微软雅黑" w:eastAsia="微软雅黑"/>
                <w:b/>
                <w:spacing w:val="15"/>
                <w:sz w:val="21"/>
              </w:rPr>
              <w:t>严重阻塞性睡</w:t>
            </w:r>
            <w:r>
              <w:rPr>
                <w:rFonts w:ascii="微软雅黑" w:eastAsia="微软雅黑"/>
                <w:b/>
                <w:spacing w:val="-4"/>
                <w:sz w:val="21"/>
              </w:rPr>
              <w:t>眠窒息症</w:t>
            </w:r>
          </w:p>
        </w:tc>
        <w:tc>
          <w:tcPr>
            <w:tcW w:w="6988" w:type="dxa"/>
          </w:tcPr>
          <w:p>
            <w:pPr>
              <w:pStyle w:val="TableParagraph"/>
              <w:spacing w:line="242" w:lineRule="auto" w:before="138"/>
              <w:ind w:left="109" w:right="143"/>
              <w:rPr>
                <w:sz w:val="21"/>
              </w:rPr>
            </w:pPr>
            <w:r>
              <w:rPr>
                <w:spacing w:val="-2"/>
                <w:sz w:val="21"/>
              </w:rPr>
              <w:t>须由我们认可医院的专科医生经多导睡眠监测仪检查明确诊断为严重阻塞</w:t>
            </w:r>
            <w:r>
              <w:rPr>
                <w:spacing w:val="-2"/>
                <w:sz w:val="21"/>
              </w:rPr>
              <w:t>性睡眠呼吸暂停综合征(OSA)，并须符合以下两项条件：</w:t>
            </w:r>
          </w:p>
          <w:p>
            <w:pPr>
              <w:pStyle w:val="TableParagraph"/>
              <w:numPr>
                <w:ilvl w:val="0"/>
                <w:numId w:val="109"/>
              </w:numPr>
              <w:tabs>
                <w:tab w:pos="639" w:val="left" w:leader="none"/>
              </w:tabs>
              <w:spacing w:line="240" w:lineRule="auto" w:before="1" w:after="0"/>
              <w:ind w:left="638" w:right="0" w:hanging="530"/>
              <w:jc w:val="left"/>
              <w:rPr>
                <w:sz w:val="21"/>
              </w:rPr>
            </w:pPr>
            <w:r>
              <w:rPr>
                <w:spacing w:val="-2"/>
                <w:sz w:val="21"/>
              </w:rPr>
              <w:t>被保险人必须现正接受持续气道正压呼吸器(CPAP</w:t>
            </w:r>
            <w:r>
              <w:rPr>
                <w:spacing w:val="-4"/>
                <w:sz w:val="21"/>
              </w:rPr>
              <w:t>)之夜间治疗；</w:t>
            </w:r>
          </w:p>
          <w:p>
            <w:pPr>
              <w:pStyle w:val="TableParagraph"/>
              <w:numPr>
                <w:ilvl w:val="0"/>
                <w:numId w:val="109"/>
              </w:numPr>
              <w:tabs>
                <w:tab w:pos="639" w:val="left" w:leader="none"/>
              </w:tabs>
              <w:spacing w:line="220" w:lineRule="exact" w:before="2" w:after="0"/>
              <w:ind w:left="638" w:right="0" w:hanging="530"/>
              <w:jc w:val="left"/>
              <w:rPr>
                <w:sz w:val="21"/>
              </w:rPr>
            </w:pPr>
            <w:r>
              <w:rPr>
                <w:spacing w:val="-5"/>
                <w:sz w:val="21"/>
              </w:rPr>
              <w:t>必须提供睡眠测试的文件证明，显示 </w:t>
            </w:r>
            <w:r>
              <w:rPr>
                <w:spacing w:val="-2"/>
                <w:sz w:val="21"/>
              </w:rPr>
              <w:t>AHI&gt;30</w:t>
            </w:r>
            <w:r>
              <w:rPr>
                <w:spacing w:val="-10"/>
                <w:sz w:val="21"/>
              </w:rPr>
              <w:t> 及夜间血氧饱和平均值</w:t>
            </w:r>
          </w:p>
        </w:tc>
      </w:tr>
    </w:tbl>
    <w:p>
      <w:pPr>
        <w:pStyle w:val="BodyText"/>
        <w:spacing w:before="38"/>
        <w:ind w:left="1463" w:right="4138"/>
        <w:jc w:val="center"/>
      </w:pPr>
      <w:r>
        <w:rPr/>
        <w:t>&lt;85</w:t>
      </w:r>
      <w:r>
        <w:rPr>
          <w:spacing w:val="-10"/>
        </w:rPr>
        <w:t>。</w:t>
      </w:r>
    </w:p>
    <w:p>
      <w:pPr>
        <w:pStyle w:val="BodyText"/>
        <w:spacing w:before="12"/>
        <w:rPr>
          <w:sz w:val="15"/>
        </w:rPr>
      </w:pPr>
    </w:p>
    <w:p>
      <w:pPr>
        <w:spacing w:after="0"/>
        <w:rPr>
          <w:sz w:val="15"/>
        </w:rPr>
        <w:sectPr>
          <w:pgSz w:w="11910" w:h="16840"/>
          <w:pgMar w:header="877" w:footer="0" w:top="1100" w:bottom="280" w:left="1060" w:right="980"/>
        </w:sectPr>
      </w:pPr>
    </w:p>
    <w:p>
      <w:pPr>
        <w:tabs>
          <w:tab w:pos="1210" w:val="left" w:leader="none"/>
        </w:tabs>
        <w:spacing w:line="168" w:lineRule="auto" w:before="88"/>
        <w:ind w:left="1210" w:right="0" w:hanging="958"/>
        <w:jc w:val="left"/>
        <w:rPr>
          <w:rFonts w:ascii="微软雅黑" w:eastAsia="微软雅黑"/>
          <w:b/>
          <w:sz w:val="21"/>
        </w:rPr>
      </w:pPr>
      <w:r>
        <w:rPr>
          <w:rFonts w:ascii="微软雅黑" w:eastAsia="微软雅黑"/>
          <w:b/>
          <w:spacing w:val="-6"/>
          <w:sz w:val="21"/>
        </w:rPr>
        <w:t>31</w:t>
      </w:r>
      <w:r>
        <w:rPr>
          <w:rFonts w:ascii="微软雅黑" w:eastAsia="微软雅黑"/>
          <w:b/>
          <w:sz w:val="21"/>
        </w:rPr>
        <w:tab/>
      </w:r>
      <w:r>
        <w:rPr>
          <w:rFonts w:ascii="微软雅黑" w:eastAsia="微软雅黑"/>
          <w:b/>
          <w:spacing w:val="15"/>
          <w:sz w:val="21"/>
        </w:rPr>
        <w:t>硬脑膜下血肿</w:t>
      </w:r>
      <w:r>
        <w:rPr>
          <w:rFonts w:ascii="微软雅黑" w:eastAsia="微软雅黑"/>
          <w:b/>
          <w:spacing w:val="-6"/>
          <w:sz w:val="21"/>
        </w:rPr>
        <w:t>手术</w:t>
      </w:r>
    </w:p>
    <w:p>
      <w:pPr>
        <w:spacing w:line="180" w:lineRule="auto" w:before="124"/>
        <w:ind w:left="177" w:right="333" w:firstLine="0"/>
        <w:jc w:val="both"/>
        <w:rPr>
          <w:rFonts w:ascii="微软雅黑" w:eastAsia="微软雅黑"/>
          <w:b/>
          <w:sz w:val="21"/>
        </w:rPr>
      </w:pPr>
      <w:r>
        <w:rPr/>
        <w:br w:type="column"/>
      </w:r>
      <w:r>
        <w:rPr>
          <w:spacing w:val="-3"/>
          <w:w w:val="100"/>
          <w:sz w:val="21"/>
        </w:rPr>
        <w:t>为清除或引流因意外伤害导致的血肿，实际接受了头部开颅或钻孔手术。</w:t>
      </w:r>
      <w:r>
        <w:rPr>
          <w:rFonts w:ascii="微软雅黑" w:eastAsia="微软雅黑"/>
          <w:b/>
          <w:spacing w:val="3"/>
          <w:w w:val="100"/>
          <w:sz w:val="21"/>
        </w:rPr>
        <w:t>开颅或钻孔手术必须在我们认可医院的专科医生认为是医疗必须的情况下进行。</w:t>
      </w:r>
    </w:p>
    <w:p>
      <w:pPr>
        <w:spacing w:after="0" w:line="180" w:lineRule="auto"/>
        <w:jc w:val="both"/>
        <w:rPr>
          <w:rFonts w:asci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14"/>
        <w:rPr>
          <w:rFonts w:ascii="微软雅黑"/>
          <w:b/>
          <w:sz w:val="20"/>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6891"/>
      </w:tblGrid>
      <w:tr>
        <w:trPr>
          <w:trHeight w:val="242" w:hRule="atLeast"/>
        </w:trPr>
        <w:tc>
          <w:tcPr>
            <w:tcW w:w="634" w:type="dxa"/>
          </w:tcPr>
          <w:p>
            <w:pPr>
              <w:pStyle w:val="TableParagraph"/>
              <w:spacing w:line="222" w:lineRule="exact"/>
              <w:ind w:left="50"/>
              <w:rPr>
                <w:rFonts w:ascii="微软雅黑"/>
                <w:b/>
                <w:sz w:val="21"/>
              </w:rPr>
            </w:pPr>
            <w:r>
              <w:rPr>
                <w:rFonts w:ascii="微软雅黑"/>
                <w:b/>
                <w:spacing w:val="-5"/>
                <w:w w:val="90"/>
                <w:sz w:val="21"/>
              </w:rPr>
              <w:t>32</w:t>
            </w:r>
          </w:p>
        </w:tc>
        <w:tc>
          <w:tcPr>
            <w:tcW w:w="1858" w:type="dxa"/>
          </w:tcPr>
          <w:p>
            <w:pPr>
              <w:pStyle w:val="TableParagraph"/>
              <w:spacing w:line="222" w:lineRule="exact"/>
              <w:ind w:left="373"/>
              <w:rPr>
                <w:rFonts w:ascii="微软雅黑" w:eastAsia="微软雅黑"/>
                <w:b/>
                <w:sz w:val="21"/>
              </w:rPr>
            </w:pPr>
            <w:r>
              <w:rPr>
                <w:rFonts w:ascii="微软雅黑" w:eastAsia="微软雅黑"/>
                <w:b/>
                <w:spacing w:val="15"/>
                <w:sz w:val="21"/>
              </w:rPr>
              <w:t>强直性脊柱炎</w:t>
            </w:r>
          </w:p>
        </w:tc>
        <w:tc>
          <w:tcPr>
            <w:tcW w:w="6891" w:type="dxa"/>
          </w:tcPr>
          <w:p>
            <w:pPr>
              <w:pStyle w:val="TableParagraph"/>
              <w:spacing w:line="222" w:lineRule="exact"/>
              <w:ind w:left="109"/>
              <w:rPr>
                <w:sz w:val="21"/>
              </w:rPr>
            </w:pPr>
            <w:r>
              <w:rPr>
                <w:spacing w:val="-3"/>
                <w:sz w:val="21"/>
              </w:rPr>
              <w:t>强直性脊柱炎是一种慢性全身性炎性疾病，主要侵犯脊柱导致脊柱畸形。</w:t>
            </w:r>
          </w:p>
        </w:tc>
      </w:tr>
      <w:tr>
        <w:trPr>
          <w:trHeight w:val="265" w:hRule="atLeast"/>
        </w:trPr>
        <w:tc>
          <w:tcPr>
            <w:tcW w:w="634" w:type="dxa"/>
          </w:tcPr>
          <w:p>
            <w:pPr>
              <w:pStyle w:val="TableParagraph"/>
              <w:rPr>
                <w:rFonts w:ascii="Times New Roman"/>
                <w:sz w:val="18"/>
              </w:rPr>
            </w:pPr>
          </w:p>
        </w:tc>
        <w:tc>
          <w:tcPr>
            <w:tcW w:w="1858" w:type="dxa"/>
          </w:tcPr>
          <w:p>
            <w:pPr>
              <w:pStyle w:val="TableParagraph"/>
              <w:spacing w:line="245" w:lineRule="exact"/>
              <w:ind w:left="373"/>
              <w:rPr>
                <w:rFonts w:ascii="微软雅黑" w:eastAsia="微软雅黑"/>
                <w:b/>
                <w:sz w:val="21"/>
              </w:rPr>
            </w:pPr>
            <w:r>
              <w:rPr>
                <w:rFonts w:ascii="微软雅黑" w:eastAsia="微软雅黑"/>
                <w:b/>
                <w:spacing w:val="-3"/>
                <w:sz w:val="21"/>
              </w:rPr>
              <w:t>手术治疗</w:t>
            </w:r>
          </w:p>
        </w:tc>
        <w:tc>
          <w:tcPr>
            <w:tcW w:w="6891" w:type="dxa"/>
          </w:tcPr>
          <w:p>
            <w:pPr>
              <w:pStyle w:val="TableParagraph"/>
              <w:spacing w:line="243" w:lineRule="exact" w:before="2"/>
              <w:ind w:left="109"/>
              <w:rPr>
                <w:sz w:val="21"/>
              </w:rPr>
            </w:pPr>
            <w:r>
              <w:rPr>
                <w:spacing w:val="-3"/>
                <w:sz w:val="21"/>
              </w:rPr>
              <w:t>强直性脊柱炎必须明确诊断并且满足下列所有条件：</w:t>
            </w:r>
          </w:p>
        </w:tc>
      </w:tr>
      <w:tr>
        <w:trPr>
          <w:trHeight w:val="828"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numPr>
                <w:ilvl w:val="0"/>
                <w:numId w:val="110"/>
              </w:numPr>
              <w:tabs>
                <w:tab w:pos="639" w:val="left" w:leader="none"/>
              </w:tabs>
              <w:spacing w:line="240" w:lineRule="auto" w:before="8" w:after="0"/>
              <w:ind w:left="638" w:right="0" w:hanging="530"/>
              <w:jc w:val="left"/>
              <w:rPr>
                <w:sz w:val="21"/>
              </w:rPr>
            </w:pPr>
            <w:r>
              <w:rPr>
                <w:spacing w:val="-3"/>
                <w:sz w:val="21"/>
              </w:rPr>
              <w:t>脊柱、髋、膝关节疼痛活动受限；</w:t>
            </w:r>
          </w:p>
          <w:p>
            <w:pPr>
              <w:pStyle w:val="TableParagraph"/>
              <w:numPr>
                <w:ilvl w:val="0"/>
                <w:numId w:val="110"/>
              </w:numPr>
              <w:tabs>
                <w:tab w:pos="639" w:val="left" w:leader="none"/>
              </w:tabs>
              <w:spacing w:line="240" w:lineRule="auto" w:before="5" w:after="0"/>
              <w:ind w:left="638" w:right="0" w:hanging="530"/>
              <w:jc w:val="left"/>
              <w:rPr>
                <w:sz w:val="21"/>
              </w:rPr>
            </w:pPr>
            <w:r>
              <w:rPr>
                <w:spacing w:val="-3"/>
                <w:sz w:val="21"/>
              </w:rPr>
              <w:t>脊柱后凸畸形，髋、膝关节强直；</w:t>
            </w:r>
          </w:p>
          <w:p>
            <w:pPr>
              <w:pStyle w:val="TableParagraph"/>
              <w:spacing w:line="255" w:lineRule="exact" w:before="2"/>
              <w:ind w:left="109"/>
              <w:rPr>
                <w:sz w:val="21"/>
              </w:rPr>
            </w:pPr>
            <w:r>
              <w:rPr>
                <w:spacing w:val="-2"/>
                <w:sz w:val="21"/>
              </w:rPr>
              <w:t>（</w:t>
            </w:r>
            <w:r>
              <w:rPr>
                <w:rFonts w:ascii="Times New Roman" w:eastAsia="Times New Roman"/>
                <w:spacing w:val="-2"/>
                <w:position w:val="1"/>
                <w:sz w:val="21"/>
              </w:rPr>
              <w:t>3</w:t>
            </w:r>
            <w:r>
              <w:rPr>
                <w:spacing w:val="-2"/>
                <w:sz w:val="21"/>
              </w:rPr>
              <w:t>）X</w:t>
            </w:r>
            <w:r>
              <w:rPr>
                <w:spacing w:val="-10"/>
                <w:sz w:val="21"/>
              </w:rPr>
              <w:t> 线关节结构破坏征象；</w:t>
            </w:r>
          </w:p>
        </w:tc>
      </w:tr>
      <w:tr>
        <w:trPr>
          <w:trHeight w:val="268" w:hRule="atLeast"/>
        </w:trPr>
        <w:tc>
          <w:tcPr>
            <w:tcW w:w="634" w:type="dxa"/>
          </w:tcPr>
          <w:p>
            <w:pPr>
              <w:pStyle w:val="TableParagraph"/>
              <w:rPr>
                <w:rFonts w:ascii="Times New Roman"/>
                <w:sz w:val="18"/>
              </w:rPr>
            </w:pPr>
          </w:p>
        </w:tc>
        <w:tc>
          <w:tcPr>
            <w:tcW w:w="1858" w:type="dxa"/>
          </w:tcPr>
          <w:p>
            <w:pPr>
              <w:pStyle w:val="TableParagraph"/>
              <w:rPr>
                <w:rFonts w:ascii="Times New Roman"/>
                <w:sz w:val="18"/>
              </w:rPr>
            </w:pPr>
          </w:p>
        </w:tc>
        <w:tc>
          <w:tcPr>
            <w:tcW w:w="6891" w:type="dxa"/>
          </w:tcPr>
          <w:p>
            <w:pPr>
              <w:pStyle w:val="TableParagraph"/>
              <w:spacing w:line="248" w:lineRule="exact"/>
              <w:ind w:left="109"/>
              <w:rPr>
                <w:sz w:val="21"/>
              </w:rPr>
            </w:pPr>
            <w:r>
              <w:rPr>
                <w:spacing w:val="-2"/>
                <w:sz w:val="21"/>
              </w:rPr>
              <w:t>（4）</w:t>
            </w:r>
            <w:r>
              <w:rPr>
                <w:spacing w:val="-3"/>
                <w:sz w:val="21"/>
              </w:rPr>
              <w:t>实际接受了下列之一手术治疗：</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51" w:lineRule="exact" w:before="1"/>
              <w:ind w:left="109"/>
              <w:rPr>
                <w:sz w:val="21"/>
              </w:rPr>
            </w:pPr>
            <w:r>
              <w:rPr>
                <w:spacing w:val="-4"/>
                <w:sz w:val="21"/>
              </w:rPr>
              <w:t>①脊柱截骨手术；</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50" w:lineRule="exact" w:before="2"/>
              <w:ind w:left="109"/>
              <w:rPr>
                <w:sz w:val="21"/>
              </w:rPr>
            </w:pPr>
            <w:r>
              <w:rPr>
                <w:spacing w:val="-3"/>
                <w:sz w:val="21"/>
              </w:rPr>
              <w:t>②全髋关节置换手术；</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51" w:lineRule="exact" w:before="1"/>
              <w:ind w:left="109"/>
              <w:rPr>
                <w:sz w:val="21"/>
              </w:rPr>
            </w:pPr>
            <w:r>
              <w:rPr>
                <w:spacing w:val="-3"/>
                <w:sz w:val="21"/>
              </w:rPr>
              <w:t>③膝关节置换手术。</w:t>
            </w:r>
          </w:p>
        </w:tc>
      </w:tr>
      <w:tr>
        <w:trPr>
          <w:trHeight w:val="409"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323" w:lineRule="exact"/>
              <w:ind w:left="109"/>
              <w:rPr>
                <w:rFonts w:ascii="微软雅黑" w:eastAsia="微软雅黑"/>
                <w:b/>
                <w:sz w:val="21"/>
              </w:rPr>
            </w:pPr>
            <w:r>
              <w:rPr>
                <w:rFonts w:ascii="微软雅黑" w:eastAsia="微软雅黑"/>
                <w:b/>
                <w:spacing w:val="-3"/>
                <w:sz w:val="21"/>
              </w:rPr>
              <w:t>非因强直性脊柱炎而实施上述手术的不在保障范围内。</w:t>
            </w:r>
          </w:p>
        </w:tc>
      </w:tr>
      <w:tr>
        <w:trPr>
          <w:trHeight w:val="408" w:hRule="atLeast"/>
        </w:trPr>
        <w:tc>
          <w:tcPr>
            <w:tcW w:w="634" w:type="dxa"/>
          </w:tcPr>
          <w:p>
            <w:pPr>
              <w:pStyle w:val="TableParagraph"/>
              <w:spacing w:line="317" w:lineRule="exact" w:before="71"/>
              <w:ind w:left="50"/>
              <w:rPr>
                <w:rFonts w:ascii="微软雅黑"/>
                <w:b/>
                <w:sz w:val="21"/>
              </w:rPr>
            </w:pPr>
            <w:r>
              <w:rPr>
                <w:rFonts w:ascii="微软雅黑"/>
                <w:b/>
                <w:spacing w:val="-5"/>
                <w:w w:val="90"/>
                <w:sz w:val="21"/>
              </w:rPr>
              <w:t>33</w:t>
            </w:r>
          </w:p>
        </w:tc>
        <w:tc>
          <w:tcPr>
            <w:tcW w:w="1858" w:type="dxa"/>
          </w:tcPr>
          <w:p>
            <w:pPr>
              <w:pStyle w:val="TableParagraph"/>
              <w:spacing w:line="317" w:lineRule="exact" w:before="71"/>
              <w:ind w:left="373"/>
              <w:rPr>
                <w:rFonts w:ascii="微软雅黑" w:eastAsia="微软雅黑"/>
                <w:b/>
                <w:sz w:val="21"/>
              </w:rPr>
            </w:pPr>
            <w:r>
              <w:rPr>
                <w:rFonts w:ascii="微软雅黑" w:eastAsia="微软雅黑"/>
                <w:b/>
                <w:spacing w:val="15"/>
                <w:sz w:val="21"/>
              </w:rPr>
              <w:t>糖尿病视网膜</w:t>
            </w:r>
          </w:p>
        </w:tc>
        <w:tc>
          <w:tcPr>
            <w:tcW w:w="6891" w:type="dxa"/>
          </w:tcPr>
          <w:p>
            <w:pPr>
              <w:pStyle w:val="TableParagraph"/>
              <w:spacing w:line="250" w:lineRule="exact" w:before="138"/>
              <w:ind w:left="109"/>
              <w:rPr>
                <w:sz w:val="21"/>
              </w:rPr>
            </w:pPr>
            <w:r>
              <w:rPr>
                <w:spacing w:val="-3"/>
                <w:sz w:val="21"/>
              </w:rPr>
              <w:t>因糖尿病而并发视网膜晚期增生性血管病变，并必须符合下列所有理赔条</w:t>
            </w:r>
          </w:p>
        </w:tc>
      </w:tr>
      <w:tr>
        <w:trPr>
          <w:trHeight w:val="272" w:hRule="atLeast"/>
        </w:trPr>
        <w:tc>
          <w:tcPr>
            <w:tcW w:w="634" w:type="dxa"/>
          </w:tcPr>
          <w:p>
            <w:pPr>
              <w:pStyle w:val="TableParagraph"/>
              <w:rPr>
                <w:rFonts w:ascii="Times New Roman"/>
                <w:sz w:val="20"/>
              </w:rPr>
            </w:pPr>
          </w:p>
        </w:tc>
        <w:tc>
          <w:tcPr>
            <w:tcW w:w="1858" w:type="dxa"/>
          </w:tcPr>
          <w:p>
            <w:pPr>
              <w:pStyle w:val="TableParagraph"/>
              <w:spacing w:line="253" w:lineRule="exact"/>
              <w:ind w:left="373"/>
              <w:rPr>
                <w:rFonts w:ascii="微软雅黑" w:eastAsia="微软雅黑"/>
                <w:b/>
                <w:sz w:val="21"/>
              </w:rPr>
            </w:pPr>
            <w:r>
              <w:rPr>
                <w:rFonts w:ascii="微软雅黑" w:eastAsia="微软雅黑"/>
                <w:b/>
                <w:spacing w:val="15"/>
                <w:sz w:val="21"/>
              </w:rPr>
              <w:t>晚期增生性病</w:t>
            </w:r>
          </w:p>
        </w:tc>
        <w:tc>
          <w:tcPr>
            <w:tcW w:w="6891" w:type="dxa"/>
          </w:tcPr>
          <w:p>
            <w:pPr>
              <w:pStyle w:val="TableParagraph"/>
              <w:spacing w:line="251" w:lineRule="exact" w:before="2"/>
              <w:ind w:left="109"/>
              <w:rPr>
                <w:sz w:val="21"/>
              </w:rPr>
            </w:pPr>
            <w:r>
              <w:rPr>
                <w:spacing w:val="-5"/>
                <w:sz w:val="21"/>
              </w:rPr>
              <w:t>件：</w:t>
            </w:r>
          </w:p>
        </w:tc>
      </w:tr>
      <w:tr>
        <w:trPr>
          <w:trHeight w:val="272" w:hRule="atLeast"/>
        </w:trPr>
        <w:tc>
          <w:tcPr>
            <w:tcW w:w="634" w:type="dxa"/>
          </w:tcPr>
          <w:p>
            <w:pPr>
              <w:pStyle w:val="TableParagraph"/>
              <w:rPr>
                <w:rFonts w:ascii="Times New Roman"/>
                <w:sz w:val="20"/>
              </w:rPr>
            </w:pPr>
          </w:p>
        </w:tc>
        <w:tc>
          <w:tcPr>
            <w:tcW w:w="1858" w:type="dxa"/>
          </w:tcPr>
          <w:p>
            <w:pPr>
              <w:pStyle w:val="TableParagraph"/>
              <w:spacing w:line="252" w:lineRule="exact"/>
              <w:ind w:left="373"/>
              <w:rPr>
                <w:rFonts w:ascii="微软雅黑" w:eastAsia="微软雅黑"/>
                <w:b/>
                <w:sz w:val="21"/>
              </w:rPr>
            </w:pPr>
            <w:r>
              <w:rPr>
                <w:rFonts w:ascii="微软雅黑" w:eastAsia="微软雅黑"/>
                <w:b/>
                <w:w w:val="100"/>
                <w:sz w:val="21"/>
              </w:rPr>
              <w:t>变</w:t>
            </w:r>
          </w:p>
        </w:tc>
        <w:tc>
          <w:tcPr>
            <w:tcW w:w="6891" w:type="dxa"/>
          </w:tcPr>
          <w:p>
            <w:pPr>
              <w:pStyle w:val="TableParagraph"/>
              <w:spacing w:line="250" w:lineRule="exact" w:before="2"/>
              <w:ind w:left="109"/>
              <w:rPr>
                <w:sz w:val="21"/>
              </w:rPr>
            </w:pPr>
            <w:r>
              <w:rPr>
                <w:spacing w:val="-2"/>
                <w:sz w:val="21"/>
              </w:rPr>
              <w:t>（1）</w:t>
            </w:r>
            <w:r>
              <w:rPr>
                <w:spacing w:val="-10"/>
                <w:sz w:val="21"/>
              </w:rPr>
              <w:t> 确诊糖尿病视网膜病变时被保险人已患有糖尿病；</w:t>
            </w:r>
          </w:p>
        </w:tc>
      </w:tr>
      <w:tr>
        <w:trPr>
          <w:trHeight w:val="241" w:hRule="atLeast"/>
        </w:trPr>
        <w:tc>
          <w:tcPr>
            <w:tcW w:w="634" w:type="dxa"/>
          </w:tcPr>
          <w:p>
            <w:pPr>
              <w:pStyle w:val="TableParagraph"/>
              <w:rPr>
                <w:rFonts w:ascii="Times New Roman"/>
                <w:sz w:val="16"/>
              </w:rPr>
            </w:pPr>
          </w:p>
        </w:tc>
        <w:tc>
          <w:tcPr>
            <w:tcW w:w="1858" w:type="dxa"/>
          </w:tcPr>
          <w:p>
            <w:pPr>
              <w:pStyle w:val="TableParagraph"/>
              <w:rPr>
                <w:rFonts w:ascii="Times New Roman"/>
                <w:sz w:val="16"/>
              </w:rPr>
            </w:pPr>
          </w:p>
        </w:tc>
        <w:tc>
          <w:tcPr>
            <w:tcW w:w="6891" w:type="dxa"/>
          </w:tcPr>
          <w:p>
            <w:pPr>
              <w:pStyle w:val="TableParagraph"/>
              <w:spacing w:line="220" w:lineRule="exact" w:before="1"/>
              <w:ind w:left="109"/>
              <w:rPr>
                <w:sz w:val="21"/>
              </w:rPr>
            </w:pPr>
            <w:r>
              <w:rPr>
                <w:spacing w:val="-4"/>
                <w:sz w:val="21"/>
              </w:rPr>
              <w:t>（2）</w:t>
            </w:r>
            <w:r>
              <w:rPr>
                <w:spacing w:val="-16"/>
                <w:sz w:val="21"/>
              </w:rPr>
              <w:t> 双眼最佳矫正视力低于 </w:t>
            </w:r>
            <w:r>
              <w:rPr>
                <w:spacing w:val="-4"/>
                <w:sz w:val="21"/>
              </w:rPr>
              <w:t>0.3（</w:t>
            </w:r>
            <w:r>
              <w:rPr>
                <w:spacing w:val="-5"/>
                <w:sz w:val="21"/>
              </w:rPr>
              <w:t>采用国际标准视力表，如果使用其他视</w:t>
            </w:r>
          </w:p>
        </w:tc>
      </w:tr>
    </w:tbl>
    <w:p>
      <w:pPr>
        <w:pStyle w:val="BodyText"/>
        <w:spacing w:before="38"/>
        <w:ind w:left="3371"/>
      </w:pPr>
      <w:r>
        <w:rPr>
          <w:spacing w:val="-2"/>
        </w:rPr>
        <w:t>力表应进行换算</w:t>
      </w:r>
      <w:r>
        <w:rPr>
          <w:spacing w:val="-5"/>
        </w:rPr>
        <w:t>）；</w:t>
      </w:r>
    </w:p>
    <w:p>
      <w:pPr>
        <w:pStyle w:val="ListParagraph"/>
        <w:numPr>
          <w:ilvl w:val="1"/>
          <w:numId w:val="106"/>
        </w:numPr>
        <w:tabs>
          <w:tab w:pos="3372" w:val="left" w:leader="none"/>
        </w:tabs>
        <w:spacing w:line="240" w:lineRule="auto" w:before="2" w:after="0"/>
        <w:ind w:left="3371" w:right="0" w:hanging="567"/>
        <w:jc w:val="left"/>
        <w:rPr>
          <w:sz w:val="21"/>
        </w:rPr>
      </w:pPr>
      <w:r>
        <w:rPr>
          <w:spacing w:val="-3"/>
          <w:sz w:val="21"/>
        </w:rPr>
        <w:t>被保险人已确实进行了激光治疗等以改善视力障碍；</w:t>
      </w:r>
    </w:p>
    <w:p>
      <w:pPr>
        <w:pStyle w:val="ListParagraph"/>
        <w:numPr>
          <w:ilvl w:val="1"/>
          <w:numId w:val="106"/>
        </w:numPr>
        <w:tabs>
          <w:tab w:pos="3372" w:val="left" w:leader="none"/>
        </w:tabs>
        <w:spacing w:line="242" w:lineRule="auto" w:before="5" w:after="0"/>
        <w:ind w:left="3371" w:right="330" w:hanging="567"/>
        <w:jc w:val="left"/>
        <w:rPr>
          <w:sz w:val="21"/>
        </w:rPr>
      </w:pPr>
      <w:r>
        <w:rPr>
          <w:spacing w:val="-2"/>
          <w:sz w:val="21"/>
        </w:rPr>
        <w:t>糖尿病视网膜病变的诊断、视力障碍的程度及治疗的医疗之必要性</w:t>
      </w:r>
      <w:r>
        <w:rPr>
          <w:spacing w:val="-2"/>
          <w:sz w:val="21"/>
        </w:rPr>
        <w:t>必须由我们认可医院的眼科专科医生确定。</w:t>
      </w:r>
    </w:p>
    <w:p>
      <w:pPr>
        <w:spacing w:line="168" w:lineRule="auto" w:before="17"/>
        <w:ind w:left="2805" w:right="324" w:firstLine="0"/>
        <w:jc w:val="both"/>
        <w:rPr>
          <w:rFonts w:ascii="微软雅黑" w:hAnsi="微软雅黑" w:eastAsia="微软雅黑"/>
          <w:b/>
          <w:sz w:val="21"/>
        </w:rPr>
      </w:pPr>
      <w:r>
        <w:rPr>
          <w:rFonts w:ascii="微软雅黑" w:hAnsi="微软雅黑" w:eastAsia="微软雅黑"/>
          <w:b/>
          <w:spacing w:val="-2"/>
          <w:sz w:val="21"/>
        </w:rPr>
        <w:t>我们对“视力严重受损”、“单目失明”、“角膜移植”和“糖尿病视网</w:t>
      </w:r>
      <w:r>
        <w:rPr>
          <w:rFonts w:ascii="微软雅黑" w:hAnsi="微软雅黑" w:eastAsia="微软雅黑"/>
          <w:b/>
          <w:spacing w:val="-2"/>
          <w:sz w:val="21"/>
        </w:rPr>
        <w:t>膜晚期增生性病变”四项中的其中一项承担保险责任，给付其中一项保险</w:t>
      </w:r>
      <w:r>
        <w:rPr>
          <w:rFonts w:ascii="微软雅黑" w:hAnsi="微软雅黑" w:eastAsia="微软雅黑"/>
          <w:b/>
          <w:spacing w:val="-2"/>
          <w:sz w:val="21"/>
        </w:rPr>
        <w:t>金后，对其他三项疾病保险责任同时终止。</w:t>
      </w:r>
    </w:p>
    <w:p>
      <w:pPr>
        <w:pStyle w:val="BodyText"/>
        <w:spacing w:before="8"/>
        <w:rPr>
          <w:rFonts w:ascii="微软雅黑"/>
          <w:b/>
          <w:sz w:val="11"/>
        </w:rPr>
      </w:pPr>
    </w:p>
    <w:p>
      <w:pPr>
        <w:pStyle w:val="ListParagraph"/>
        <w:numPr>
          <w:ilvl w:val="0"/>
          <w:numId w:val="111"/>
        </w:numPr>
        <w:tabs>
          <w:tab w:pos="1210" w:val="left" w:leader="none"/>
          <w:tab w:pos="1211" w:val="left" w:leader="none"/>
        </w:tabs>
        <w:spacing w:line="223" w:lineRule="auto" w:before="0" w:after="0"/>
        <w:ind w:left="2805" w:right="326" w:hanging="2552"/>
        <w:jc w:val="both"/>
        <w:rPr>
          <w:sz w:val="21"/>
        </w:rPr>
      </w:pPr>
      <w:r>
        <w:rPr>
          <w:rFonts w:ascii="微软雅黑" w:eastAsia="微软雅黑"/>
          <w:b/>
          <w:spacing w:val="76"/>
          <w:sz w:val="21"/>
        </w:rPr>
        <w:t>早期肝硬化 </w:t>
      </w:r>
      <w:r>
        <w:rPr>
          <w:sz w:val="21"/>
        </w:rPr>
        <w:t>肝硬化须由我们认可医院的专科医生明确诊断。必须由活检证实有再生的</w:t>
      </w:r>
      <w:r>
        <w:rPr>
          <w:spacing w:val="-2"/>
          <w:sz w:val="21"/>
        </w:rPr>
        <w:t>肝细胞结节和典型的肝组织纤维化。下列条件必须全部满足并至少持续一</w:t>
      </w:r>
      <w:r>
        <w:rPr>
          <w:spacing w:val="-6"/>
          <w:sz w:val="21"/>
        </w:rPr>
        <w:t>年：</w:t>
      </w:r>
    </w:p>
    <w:p>
      <w:pPr>
        <w:pStyle w:val="ListParagraph"/>
        <w:numPr>
          <w:ilvl w:val="1"/>
          <w:numId w:val="111"/>
        </w:numPr>
        <w:tabs>
          <w:tab w:pos="3372" w:val="left" w:leader="none"/>
        </w:tabs>
        <w:spacing w:line="240" w:lineRule="auto" w:before="6" w:after="0"/>
        <w:ind w:left="3371" w:right="0" w:hanging="567"/>
        <w:jc w:val="both"/>
        <w:rPr>
          <w:sz w:val="21"/>
        </w:rPr>
      </w:pPr>
      <w:r>
        <w:rPr>
          <w:spacing w:val="-5"/>
          <w:sz w:val="21"/>
        </w:rPr>
        <w:t>持续性黄疸，胆红素水平升高超过 </w:t>
      </w:r>
      <w:r>
        <w:rPr>
          <w:spacing w:val="-2"/>
          <w:sz w:val="21"/>
        </w:rPr>
        <w:t>50μmol/L；</w:t>
      </w:r>
    </w:p>
    <w:p>
      <w:pPr>
        <w:pStyle w:val="ListParagraph"/>
        <w:numPr>
          <w:ilvl w:val="1"/>
          <w:numId w:val="111"/>
        </w:numPr>
        <w:tabs>
          <w:tab w:pos="3372" w:val="left" w:leader="none"/>
        </w:tabs>
        <w:spacing w:line="240" w:lineRule="auto" w:before="2" w:after="0"/>
        <w:ind w:left="3371" w:right="0" w:hanging="567"/>
        <w:jc w:val="both"/>
        <w:rPr>
          <w:sz w:val="21"/>
        </w:rPr>
      </w:pPr>
      <w:r>
        <w:rPr>
          <w:spacing w:val="-5"/>
          <w:sz w:val="21"/>
        </w:rPr>
        <w:t>蛋白质合成异常，白蛋白水平低于 </w:t>
      </w:r>
      <w:r>
        <w:rPr>
          <w:spacing w:val="-2"/>
          <w:sz w:val="21"/>
        </w:rPr>
        <w:t>27g/L；</w:t>
      </w:r>
    </w:p>
    <w:p>
      <w:pPr>
        <w:pStyle w:val="ListParagraph"/>
        <w:numPr>
          <w:ilvl w:val="1"/>
          <w:numId w:val="111"/>
        </w:numPr>
        <w:tabs>
          <w:tab w:pos="3372" w:val="left" w:leader="none"/>
        </w:tabs>
        <w:spacing w:line="242" w:lineRule="auto" w:before="5" w:after="0"/>
        <w:ind w:left="3371" w:right="323" w:hanging="567"/>
        <w:jc w:val="both"/>
        <w:rPr>
          <w:sz w:val="21"/>
        </w:rPr>
      </w:pPr>
      <w:r>
        <w:rPr>
          <w:spacing w:val="-2"/>
          <w:sz w:val="21"/>
        </w:rPr>
        <w:t>异常凝血功能，凝血酶原时间超过正常上限的 </w:t>
      </w:r>
      <w:r>
        <w:rPr>
          <w:sz w:val="21"/>
        </w:rPr>
        <w:t>2</w:t>
      </w:r>
      <w:r>
        <w:rPr>
          <w:spacing w:val="-5"/>
          <w:sz w:val="21"/>
        </w:rPr>
        <w:t> 倍或以上，或者国</w:t>
      </w:r>
      <w:r>
        <w:rPr>
          <w:sz w:val="21"/>
        </w:rPr>
        <w:t>际正常化比率（INR）</w:t>
      </w:r>
      <w:r>
        <w:rPr>
          <w:spacing w:val="-13"/>
          <w:sz w:val="21"/>
        </w:rPr>
        <w:t>在 </w:t>
      </w:r>
      <w:r>
        <w:rPr>
          <w:sz w:val="21"/>
        </w:rPr>
        <w:t>2.0</w:t>
      </w:r>
      <w:r>
        <w:rPr>
          <w:spacing w:val="-6"/>
          <w:sz w:val="21"/>
        </w:rPr>
        <w:t> 以上。</w:t>
      </w:r>
    </w:p>
    <w:p>
      <w:pPr>
        <w:spacing w:line="168" w:lineRule="auto" w:before="17"/>
        <w:ind w:left="2805" w:right="326" w:firstLine="0"/>
        <w:jc w:val="both"/>
        <w:rPr>
          <w:rFonts w:ascii="微软雅黑" w:hAnsi="微软雅黑" w:eastAsia="微软雅黑"/>
          <w:b/>
          <w:sz w:val="21"/>
        </w:rPr>
      </w:pPr>
      <w:r>
        <w:rPr>
          <w:rFonts w:ascii="微软雅黑" w:hAnsi="微软雅黑" w:eastAsia="微软雅黑"/>
          <w:b/>
          <w:spacing w:val="-2"/>
          <w:sz w:val="21"/>
        </w:rPr>
        <w:t>我们对“慢性肝功能衰竭”、“早期肝硬化”、“病毒性肝炎导致的肝硬化”、“肝叶切除术”四项中的其中一项承担保险责任，给付其中一项保</w:t>
      </w:r>
      <w:r>
        <w:rPr>
          <w:rFonts w:ascii="微软雅黑" w:hAnsi="微软雅黑" w:eastAsia="微软雅黑"/>
          <w:b/>
          <w:spacing w:val="-2"/>
          <w:sz w:val="21"/>
        </w:rPr>
        <w:t>险金后，对其他三项疾病保险责任同时终止。</w:t>
      </w:r>
    </w:p>
    <w:p>
      <w:pPr>
        <w:pStyle w:val="BodyText"/>
        <w:rPr>
          <w:rFonts w:ascii="微软雅黑"/>
          <w:b/>
          <w:sz w:val="15"/>
        </w:rPr>
      </w:pPr>
    </w:p>
    <w:p>
      <w:pPr>
        <w:pStyle w:val="ListParagraph"/>
        <w:numPr>
          <w:ilvl w:val="0"/>
          <w:numId w:val="111"/>
        </w:numPr>
        <w:tabs>
          <w:tab w:pos="1210" w:val="left" w:leader="none"/>
          <w:tab w:pos="1211" w:val="left" w:leader="none"/>
          <w:tab w:pos="2804" w:val="left" w:leader="none"/>
        </w:tabs>
        <w:spacing w:line="168" w:lineRule="auto" w:before="0" w:after="0"/>
        <w:ind w:left="2805" w:right="326" w:hanging="2552"/>
        <w:jc w:val="left"/>
        <w:rPr>
          <w:rFonts w:ascii="微软雅黑" w:hAnsi="微软雅黑" w:eastAsia="微软雅黑"/>
          <w:b/>
          <w:sz w:val="21"/>
        </w:rPr>
      </w:pPr>
      <w:r>
        <w:rPr>
          <w:rFonts w:ascii="微软雅黑" w:hAnsi="微软雅黑" w:eastAsia="微软雅黑"/>
          <w:b/>
          <w:spacing w:val="-2"/>
          <w:sz w:val="21"/>
        </w:rPr>
        <w:t>单</w:t>
      </w:r>
      <w:r>
        <w:rPr>
          <w:rFonts w:ascii="微软雅黑" w:hAnsi="微软雅黑" w:eastAsia="微软雅黑"/>
          <w:b/>
          <w:spacing w:val="-2"/>
          <w:sz w:val="21"/>
        </w:rPr>
        <w:t>个</w:t>
      </w:r>
      <w:r>
        <w:rPr>
          <w:rFonts w:ascii="微软雅黑" w:hAnsi="微软雅黑" w:eastAsia="微软雅黑"/>
          <w:b/>
          <w:spacing w:val="-2"/>
          <w:sz w:val="21"/>
        </w:rPr>
        <w:t>肢</w:t>
      </w:r>
      <w:r>
        <w:rPr>
          <w:rFonts w:ascii="微软雅黑" w:hAnsi="微软雅黑" w:eastAsia="微软雅黑"/>
          <w:b/>
          <w:spacing w:val="-2"/>
          <w:sz w:val="21"/>
        </w:rPr>
        <w:t>体</w:t>
      </w:r>
      <w:r>
        <w:rPr>
          <w:rFonts w:ascii="微软雅黑" w:hAnsi="微软雅黑" w:eastAsia="微软雅黑"/>
          <w:b/>
          <w:spacing w:val="-2"/>
          <w:sz w:val="21"/>
        </w:rPr>
        <w:t>缺</w:t>
      </w:r>
      <w:r>
        <w:rPr>
          <w:rFonts w:ascii="微软雅黑" w:hAnsi="微软雅黑" w:eastAsia="微软雅黑"/>
          <w:b/>
          <w:spacing w:val="-2"/>
          <w:sz w:val="21"/>
        </w:rPr>
        <w:t>失</w:t>
      </w:r>
      <w:r>
        <w:rPr>
          <w:rFonts w:ascii="微软雅黑" w:hAnsi="微软雅黑" w:eastAsia="微软雅黑"/>
          <w:b/>
          <w:sz w:val="21"/>
        </w:rPr>
        <w:tab/>
      </w:r>
      <w:r>
        <w:rPr>
          <w:spacing w:val="-2"/>
          <w:sz w:val="21"/>
        </w:rPr>
        <w:t>指</w:t>
      </w:r>
      <w:r>
        <w:rPr>
          <w:spacing w:val="-2"/>
          <w:sz w:val="21"/>
        </w:rPr>
        <w:t>一</w:t>
      </w:r>
      <w:r>
        <w:rPr>
          <w:spacing w:val="-2"/>
          <w:sz w:val="21"/>
        </w:rPr>
        <w:t>个</w:t>
      </w:r>
      <w:r>
        <w:rPr>
          <w:spacing w:val="-2"/>
          <w:sz w:val="21"/>
        </w:rPr>
        <w:t>肢体自</w:t>
      </w:r>
      <w:r>
        <w:rPr>
          <w:spacing w:val="-2"/>
          <w:sz w:val="21"/>
        </w:rPr>
        <w:t>腕</w:t>
      </w:r>
      <w:r>
        <w:rPr>
          <w:spacing w:val="-2"/>
          <w:sz w:val="21"/>
        </w:rPr>
        <w:t>关</w:t>
      </w:r>
      <w:r>
        <w:rPr>
          <w:spacing w:val="-2"/>
          <w:sz w:val="21"/>
        </w:rPr>
        <w:t>节或者</w:t>
      </w:r>
      <w:r>
        <w:rPr>
          <w:spacing w:val="-2"/>
          <w:sz w:val="21"/>
        </w:rPr>
        <w:t>踝</w:t>
      </w:r>
      <w:r>
        <w:rPr>
          <w:spacing w:val="-2"/>
          <w:sz w:val="21"/>
        </w:rPr>
        <w:t>关</w:t>
      </w:r>
      <w:r>
        <w:rPr>
          <w:spacing w:val="-2"/>
          <w:sz w:val="21"/>
        </w:rPr>
        <w:t>节</w:t>
      </w:r>
      <w:r>
        <w:rPr>
          <w:spacing w:val="-2"/>
          <w:sz w:val="21"/>
        </w:rPr>
        <w:t>近端（</w:t>
      </w:r>
      <w:r>
        <w:rPr>
          <w:spacing w:val="-2"/>
          <w:sz w:val="21"/>
        </w:rPr>
        <w:t>靠</w:t>
      </w:r>
      <w:r>
        <w:rPr>
          <w:spacing w:val="-2"/>
          <w:sz w:val="21"/>
        </w:rPr>
        <w:t>近</w:t>
      </w:r>
      <w:r>
        <w:rPr>
          <w:spacing w:val="-2"/>
          <w:sz w:val="21"/>
        </w:rPr>
        <w:t>躯干端）</w:t>
      </w:r>
      <w:r>
        <w:rPr>
          <w:spacing w:val="-2"/>
          <w:sz w:val="21"/>
        </w:rPr>
        <w:t>以</w:t>
      </w:r>
      <w:r>
        <w:rPr>
          <w:spacing w:val="-2"/>
          <w:sz w:val="21"/>
        </w:rPr>
        <w:t>上</w:t>
      </w:r>
      <w:r>
        <w:rPr>
          <w:spacing w:val="-2"/>
          <w:sz w:val="21"/>
        </w:rPr>
        <w:t>完全性</w:t>
      </w:r>
      <w:r>
        <w:rPr>
          <w:spacing w:val="-2"/>
          <w:sz w:val="21"/>
        </w:rPr>
        <w:t>断</w:t>
      </w:r>
      <w:r>
        <w:rPr>
          <w:spacing w:val="-2"/>
          <w:sz w:val="21"/>
        </w:rPr>
        <w:t>离</w:t>
      </w:r>
      <w:r>
        <w:rPr>
          <w:spacing w:val="-2"/>
          <w:sz w:val="21"/>
        </w:rPr>
        <w:t>，</w:t>
      </w:r>
      <w:r>
        <w:rPr>
          <w:rFonts w:ascii="微软雅黑" w:hAnsi="微软雅黑" w:eastAsia="微软雅黑"/>
          <w:b/>
          <w:spacing w:val="-2"/>
          <w:sz w:val="21"/>
        </w:rPr>
        <w:t>但</w:t>
      </w:r>
      <w:r>
        <w:rPr>
          <w:rFonts w:ascii="微软雅黑" w:hAnsi="微软雅黑" w:eastAsia="微软雅黑"/>
          <w:b/>
          <w:spacing w:val="-2"/>
          <w:sz w:val="21"/>
        </w:rPr>
        <w:t>未</w:t>
      </w:r>
      <w:r>
        <w:rPr>
          <w:rFonts w:ascii="微软雅黑" w:hAnsi="微软雅黑" w:eastAsia="微软雅黑"/>
          <w:b/>
          <w:spacing w:val="-2"/>
          <w:sz w:val="21"/>
        </w:rPr>
        <w:t>达</w:t>
      </w:r>
      <w:r>
        <w:rPr>
          <w:rFonts w:ascii="微软雅黑" w:hAnsi="微软雅黑" w:eastAsia="微软雅黑"/>
          <w:b/>
          <w:spacing w:val="-2"/>
          <w:sz w:val="21"/>
        </w:rPr>
        <w:t>到</w:t>
      </w:r>
      <w:r>
        <w:rPr>
          <w:rFonts w:ascii="微软雅黑" w:hAnsi="微软雅黑" w:eastAsia="微软雅黑"/>
          <w:b/>
          <w:spacing w:val="-2"/>
          <w:sz w:val="21"/>
        </w:rPr>
        <w:t>本</w:t>
      </w:r>
      <w:r>
        <w:rPr>
          <w:rFonts w:ascii="微软雅黑" w:hAnsi="微软雅黑" w:eastAsia="微软雅黑"/>
          <w:b/>
          <w:spacing w:val="-2"/>
          <w:sz w:val="21"/>
        </w:rPr>
        <w:t>合</w:t>
      </w:r>
      <w:r>
        <w:rPr>
          <w:rFonts w:ascii="微软雅黑" w:hAnsi="微软雅黑" w:eastAsia="微软雅黑"/>
          <w:b/>
          <w:spacing w:val="-2"/>
          <w:sz w:val="21"/>
        </w:rPr>
        <w:t>同</w:t>
      </w:r>
      <w:r>
        <w:rPr>
          <w:rFonts w:ascii="微软雅黑" w:hAnsi="微软雅黑" w:eastAsia="微软雅黑"/>
          <w:b/>
          <w:spacing w:val="-2"/>
          <w:sz w:val="21"/>
        </w:rPr>
        <w:t>所</w:t>
      </w:r>
      <w:r>
        <w:rPr>
          <w:rFonts w:ascii="微软雅黑" w:hAnsi="微软雅黑" w:eastAsia="微软雅黑"/>
          <w:b/>
          <w:spacing w:val="-2"/>
          <w:sz w:val="21"/>
        </w:rPr>
        <w:t>指</w:t>
      </w:r>
      <w:r>
        <w:rPr>
          <w:rFonts w:ascii="微软雅黑" w:hAnsi="微软雅黑" w:eastAsia="微软雅黑"/>
          <w:b/>
          <w:spacing w:val="-2"/>
          <w:sz w:val="21"/>
        </w:rPr>
        <w:t>重大疾</w:t>
      </w:r>
      <w:r>
        <w:rPr>
          <w:rFonts w:ascii="微软雅黑" w:hAnsi="微软雅黑" w:eastAsia="微软雅黑"/>
          <w:b/>
          <w:spacing w:val="-2"/>
          <w:sz w:val="21"/>
        </w:rPr>
        <w:t>病</w:t>
      </w:r>
      <w:r>
        <w:rPr>
          <w:rFonts w:ascii="微软雅黑" w:hAnsi="微软雅黑" w:eastAsia="微软雅黑"/>
          <w:b/>
          <w:spacing w:val="-2"/>
          <w:sz w:val="21"/>
        </w:rPr>
        <w:t>“</w:t>
      </w:r>
      <w:r>
        <w:rPr>
          <w:rFonts w:ascii="微软雅黑" w:hAnsi="微软雅黑" w:eastAsia="微软雅黑"/>
          <w:b/>
          <w:spacing w:val="-2"/>
          <w:sz w:val="21"/>
        </w:rPr>
        <w:t>多</w:t>
      </w:r>
      <w:r>
        <w:rPr>
          <w:rFonts w:ascii="微软雅黑" w:hAnsi="微软雅黑" w:eastAsia="微软雅黑"/>
          <w:b/>
          <w:spacing w:val="-2"/>
          <w:sz w:val="21"/>
        </w:rPr>
        <w:t>个</w:t>
      </w:r>
      <w:r>
        <w:rPr>
          <w:rFonts w:ascii="微软雅黑" w:hAnsi="微软雅黑" w:eastAsia="微软雅黑"/>
          <w:b/>
          <w:spacing w:val="-2"/>
          <w:sz w:val="21"/>
        </w:rPr>
        <w:t>肢</w:t>
      </w:r>
      <w:r>
        <w:rPr>
          <w:rFonts w:ascii="微软雅黑" w:hAnsi="微软雅黑" w:eastAsia="微软雅黑"/>
          <w:b/>
          <w:spacing w:val="-2"/>
          <w:sz w:val="21"/>
        </w:rPr>
        <w:t>体</w:t>
      </w:r>
      <w:r>
        <w:rPr>
          <w:rFonts w:ascii="微软雅黑" w:hAnsi="微软雅黑" w:eastAsia="微软雅黑"/>
          <w:b/>
          <w:spacing w:val="-2"/>
          <w:sz w:val="21"/>
        </w:rPr>
        <w:t>缺</w:t>
      </w:r>
      <w:r>
        <w:rPr>
          <w:rFonts w:ascii="微软雅黑" w:hAnsi="微软雅黑" w:eastAsia="微软雅黑"/>
          <w:b/>
          <w:spacing w:val="-2"/>
          <w:sz w:val="21"/>
        </w:rPr>
        <w:t>失</w:t>
      </w:r>
      <w:r>
        <w:rPr>
          <w:rFonts w:ascii="微软雅黑" w:hAnsi="微软雅黑" w:eastAsia="微软雅黑"/>
          <w:b/>
          <w:spacing w:val="-2"/>
          <w:sz w:val="21"/>
        </w:rPr>
        <w:t>”的给</w:t>
      </w:r>
      <w:r>
        <w:rPr>
          <w:rFonts w:ascii="微软雅黑" w:hAnsi="微软雅黑" w:eastAsia="微软雅黑"/>
          <w:b/>
          <w:spacing w:val="-2"/>
          <w:sz w:val="21"/>
        </w:rPr>
        <w:t>付</w:t>
      </w:r>
      <w:r>
        <w:rPr>
          <w:rFonts w:ascii="微软雅黑" w:hAnsi="微软雅黑" w:eastAsia="微软雅黑"/>
          <w:b/>
          <w:spacing w:val="-2"/>
          <w:sz w:val="21"/>
        </w:rPr>
        <w:t>标</w:t>
      </w:r>
      <w:r>
        <w:rPr>
          <w:rFonts w:ascii="微软雅黑" w:hAnsi="微软雅黑" w:eastAsia="微软雅黑"/>
          <w:b/>
          <w:spacing w:val="-2"/>
          <w:sz w:val="21"/>
        </w:rPr>
        <w:t>准</w:t>
      </w:r>
      <w:r>
        <w:rPr>
          <w:rFonts w:ascii="微软雅黑" w:hAnsi="微软雅黑" w:eastAsia="微软雅黑"/>
          <w:b/>
          <w:spacing w:val="-2"/>
          <w:sz w:val="21"/>
        </w:rPr>
        <w:t>。</w:t>
      </w:r>
    </w:p>
    <w:p>
      <w:pPr>
        <w:spacing w:line="168" w:lineRule="auto" w:before="3"/>
        <w:ind w:left="2805" w:right="325" w:firstLine="0"/>
        <w:jc w:val="left"/>
        <w:rPr>
          <w:rFonts w:ascii="微软雅黑" w:hAnsi="微软雅黑" w:eastAsia="微软雅黑"/>
          <w:b/>
          <w:sz w:val="21"/>
        </w:rPr>
      </w:pPr>
      <w:r>
        <w:rPr>
          <w:rFonts w:ascii="微软雅黑" w:hAnsi="微软雅黑" w:eastAsia="微软雅黑"/>
          <w:b/>
          <w:spacing w:val="-2"/>
          <w:sz w:val="21"/>
        </w:rPr>
        <w:t>因“糖尿病并发症引致的单足截除”或者因“恶性肿瘤导致肢体切除”而</w:t>
      </w:r>
      <w:r>
        <w:rPr>
          <w:rFonts w:ascii="微软雅黑" w:hAnsi="微软雅黑" w:eastAsia="微软雅黑"/>
          <w:b/>
          <w:spacing w:val="-2"/>
          <w:sz w:val="21"/>
        </w:rPr>
        <w:t>导致的单个肢体缺失不在保障范围内。</w:t>
      </w:r>
    </w:p>
    <w:p>
      <w:pPr>
        <w:pStyle w:val="BodyText"/>
        <w:spacing w:before="3"/>
        <w:rPr>
          <w:rFonts w:ascii="微软雅黑"/>
          <w:b/>
          <w:sz w:val="10"/>
        </w:rPr>
      </w:pPr>
    </w:p>
    <w:p>
      <w:pPr>
        <w:spacing w:after="0"/>
        <w:rPr>
          <w:rFonts w:ascii="微软雅黑"/>
          <w:sz w:val="10"/>
        </w:rPr>
        <w:sectPr>
          <w:pgSz w:w="11910" w:h="16840"/>
          <w:pgMar w:header="877" w:footer="0" w:top="1100" w:bottom="280" w:left="1060" w:right="980"/>
        </w:sectPr>
      </w:pPr>
    </w:p>
    <w:p>
      <w:pPr>
        <w:pStyle w:val="ListParagraph"/>
        <w:numPr>
          <w:ilvl w:val="0"/>
          <w:numId w:val="111"/>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病毒性肝炎导</w:t>
      </w:r>
      <w:r>
        <w:rPr>
          <w:rFonts w:ascii="微软雅黑" w:eastAsia="微软雅黑"/>
          <w:b/>
          <w:spacing w:val="-2"/>
          <w:sz w:val="21"/>
        </w:rPr>
        <w:t>致的肝硬化</w:t>
      </w:r>
    </w:p>
    <w:p>
      <w:pPr>
        <w:spacing w:line="184" w:lineRule="auto" w:before="68"/>
        <w:ind w:left="177" w:right="324" w:firstLine="0"/>
        <w:jc w:val="both"/>
        <w:rPr>
          <w:sz w:val="21"/>
        </w:rPr>
      </w:pPr>
      <w:r>
        <w:rPr/>
        <w:br w:type="column"/>
      </w:r>
      <w:r>
        <w:rPr>
          <w:spacing w:val="-2"/>
          <w:sz w:val="21"/>
        </w:rPr>
        <w:t>因肝炎病毒感染的肝脏慢性炎症并发展为肝硬化。</w:t>
      </w:r>
      <w:r>
        <w:rPr>
          <w:rFonts w:ascii="微软雅黑" w:hAnsi="微软雅黑" w:eastAsia="微软雅黑"/>
          <w:b/>
          <w:spacing w:val="-2"/>
          <w:sz w:val="21"/>
        </w:rPr>
        <w:t>且未达到本合同所指重</w:t>
      </w:r>
      <w:r>
        <w:rPr>
          <w:rFonts w:ascii="微软雅黑" w:hAnsi="微软雅黑" w:eastAsia="微软雅黑"/>
          <w:b/>
          <w:spacing w:val="-2"/>
          <w:sz w:val="21"/>
        </w:rPr>
        <w:t>大疾病“恶性肿瘤——重度”或“严重慢性肝衰竭”的给付标准。</w:t>
      </w:r>
      <w:r>
        <w:rPr>
          <w:spacing w:val="-2"/>
          <w:sz w:val="21"/>
        </w:rPr>
        <w:t>理赔时</w:t>
      </w:r>
      <w:r>
        <w:rPr>
          <w:spacing w:val="-2"/>
          <w:sz w:val="21"/>
        </w:rPr>
        <w:t>须满足下列全部条件：</w:t>
      </w:r>
    </w:p>
    <w:p>
      <w:pPr>
        <w:pStyle w:val="ListParagraph"/>
        <w:numPr>
          <w:ilvl w:val="0"/>
          <w:numId w:val="112"/>
        </w:numPr>
        <w:tabs>
          <w:tab w:pos="745" w:val="left" w:leader="none"/>
        </w:tabs>
        <w:spacing w:line="244" w:lineRule="auto" w:before="16" w:after="0"/>
        <w:ind w:left="744" w:right="330" w:hanging="567"/>
        <w:jc w:val="left"/>
        <w:rPr>
          <w:sz w:val="21"/>
        </w:rPr>
      </w:pPr>
      <w:r>
        <w:rPr>
          <w:spacing w:val="-2"/>
          <w:sz w:val="21"/>
        </w:rPr>
        <w:t>被保险人有感染慢性肝炎病毒的血清学及实验室检查报告等临床证</w:t>
      </w:r>
      <w:r>
        <w:rPr>
          <w:spacing w:val="-6"/>
          <w:sz w:val="21"/>
        </w:rPr>
        <w:t>据；</w:t>
      </w:r>
    </w:p>
    <w:p>
      <w:pPr>
        <w:pStyle w:val="ListParagraph"/>
        <w:numPr>
          <w:ilvl w:val="0"/>
          <w:numId w:val="112"/>
        </w:numPr>
        <w:tabs>
          <w:tab w:pos="745" w:val="left" w:leader="none"/>
        </w:tabs>
        <w:spacing w:line="244" w:lineRule="auto" w:before="0" w:after="0"/>
        <w:ind w:left="744" w:right="330" w:hanging="567"/>
        <w:jc w:val="left"/>
        <w:rPr>
          <w:sz w:val="21"/>
        </w:rPr>
      </w:pPr>
      <w:r>
        <w:rPr>
          <w:spacing w:val="-2"/>
          <w:sz w:val="21"/>
        </w:rPr>
        <w:t>必须由我们认可医院的消化科专科医生基于肝脏组织病理学检查报</w:t>
      </w:r>
      <w:r>
        <w:rPr>
          <w:spacing w:val="-2"/>
          <w:sz w:val="21"/>
        </w:rPr>
        <w:t>告、临床表现及病史对肝炎病毒感染导致肝硬化作出明确诊断；</w:t>
      </w:r>
    </w:p>
    <w:p>
      <w:pPr>
        <w:pStyle w:val="ListParagraph"/>
        <w:numPr>
          <w:ilvl w:val="0"/>
          <w:numId w:val="112"/>
        </w:numPr>
        <w:tabs>
          <w:tab w:pos="745" w:val="left" w:leader="none"/>
        </w:tabs>
        <w:spacing w:line="244" w:lineRule="auto" w:before="0" w:after="0"/>
        <w:ind w:left="744" w:right="319" w:hanging="567"/>
        <w:jc w:val="left"/>
        <w:rPr>
          <w:sz w:val="21"/>
        </w:rPr>
      </w:pPr>
      <w:r>
        <w:rPr>
          <w:sz w:val="21"/>
        </w:rPr>
        <w:t>病理学检查报告证明肝脏病变按 Metavir 分级表中属 F4 阶段或</w:t>
      </w:r>
      <w:r>
        <w:rPr>
          <w:sz w:val="21"/>
        </w:rPr>
        <w:t> Knodell</w:t>
      </w:r>
      <w:r>
        <w:rPr>
          <w:spacing w:val="-6"/>
          <w:sz w:val="21"/>
        </w:rPr>
        <w:t> 肝纤维化标准达到 </w:t>
      </w:r>
      <w:r>
        <w:rPr>
          <w:sz w:val="21"/>
        </w:rPr>
        <w:t>4</w:t>
      </w:r>
      <w:r>
        <w:rPr>
          <w:spacing w:val="-6"/>
          <w:sz w:val="21"/>
        </w:rPr>
        <w:t> 分。</w:t>
      </w:r>
    </w:p>
    <w:p>
      <w:pPr>
        <w:spacing w:line="259" w:lineRule="exact" w:before="0"/>
        <w:ind w:left="177" w:right="0" w:firstLine="0"/>
        <w:jc w:val="left"/>
        <w:rPr>
          <w:rFonts w:ascii="微软雅黑" w:eastAsia="微软雅黑"/>
          <w:b/>
          <w:sz w:val="21"/>
        </w:rPr>
      </w:pPr>
      <w:r>
        <w:rPr>
          <w:rFonts w:ascii="微软雅黑" w:eastAsia="微软雅黑"/>
          <w:b/>
          <w:spacing w:val="-3"/>
          <w:sz w:val="21"/>
        </w:rPr>
        <w:t>由酒精或药物滥用而引起的本疾病不在保障范围内。</w:t>
      </w:r>
    </w:p>
    <w:p>
      <w:pPr>
        <w:spacing w:line="168" w:lineRule="auto" w:before="18"/>
        <w:ind w:left="177" w:right="326" w:firstLine="0"/>
        <w:jc w:val="both"/>
        <w:rPr>
          <w:rFonts w:ascii="微软雅黑" w:hAnsi="微软雅黑" w:eastAsia="微软雅黑"/>
          <w:b/>
          <w:sz w:val="21"/>
        </w:rPr>
      </w:pPr>
      <w:r>
        <w:rPr>
          <w:rFonts w:ascii="微软雅黑" w:hAnsi="微软雅黑" w:eastAsia="微软雅黑"/>
          <w:b/>
          <w:spacing w:val="-2"/>
          <w:sz w:val="21"/>
        </w:rPr>
        <w:t>我们对“慢性肝功能衰竭”、“早期肝硬化”、“病毒性肝炎导致的肝硬化”、“肝叶切除术”四项中的其中一项承担保险责任，给付其中一项保</w:t>
      </w:r>
      <w:r>
        <w:rPr>
          <w:rFonts w:ascii="微软雅黑" w:hAnsi="微软雅黑" w:eastAsia="微软雅黑"/>
          <w:b/>
          <w:spacing w:val="-2"/>
          <w:sz w:val="21"/>
        </w:rPr>
        <w:t>险金后，对其他三项疾病保险责任同时终止。</w:t>
      </w:r>
    </w:p>
    <w:p>
      <w:pPr>
        <w:spacing w:after="0" w:line="168" w:lineRule="auto"/>
        <w:jc w:val="both"/>
        <w:rPr>
          <w:rFonts w:ascii="微软雅黑" w:hAns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6"/>
        <w:rPr>
          <w:rFonts w:ascii="微软雅黑"/>
          <w:b/>
          <w:sz w:val="15"/>
        </w:rPr>
      </w:pPr>
    </w:p>
    <w:p>
      <w:pPr>
        <w:spacing w:after="0"/>
        <w:rPr>
          <w:rFonts w:ascii="微软雅黑"/>
          <w:sz w:val="15"/>
        </w:rPr>
        <w:sectPr>
          <w:pgSz w:w="11910" w:h="16840"/>
          <w:pgMar w:header="877" w:footer="0" w:top="1100" w:bottom="280" w:left="1060" w:right="980"/>
        </w:sectPr>
      </w:pPr>
    </w:p>
    <w:p>
      <w:pPr>
        <w:pStyle w:val="ListParagraph"/>
        <w:numPr>
          <w:ilvl w:val="0"/>
          <w:numId w:val="111"/>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中度进行性核</w:t>
      </w:r>
      <w:r>
        <w:rPr>
          <w:rFonts w:ascii="微软雅黑" w:eastAsia="微软雅黑"/>
          <w:b/>
          <w:spacing w:val="-4"/>
          <w:sz w:val="21"/>
        </w:rPr>
        <w:t>上性麻痹</w:t>
      </w:r>
    </w:p>
    <w:p>
      <w:pPr>
        <w:pStyle w:val="BodyText"/>
        <w:spacing w:before="72"/>
        <w:ind w:left="177"/>
      </w:pPr>
      <w:r>
        <w:rPr/>
        <w:br w:type="column"/>
      </w:r>
      <w:r>
        <w:rPr>
          <w:spacing w:val="-8"/>
        </w:rPr>
        <w:t>指一种少见的神经系统变性疾病，以假性球麻痹、垂直性核上性眼肌麻痹、</w:t>
      </w:r>
    </w:p>
    <w:p>
      <w:pPr>
        <w:spacing w:line="180" w:lineRule="auto" w:before="57"/>
        <w:ind w:left="177" w:right="326" w:firstLine="0"/>
        <w:jc w:val="both"/>
        <w:rPr>
          <w:rFonts w:ascii="微软雅黑" w:hAnsi="微软雅黑" w:eastAsia="微软雅黑"/>
          <w:b/>
          <w:sz w:val="21"/>
        </w:rPr>
      </w:pPr>
      <w:r>
        <w:rPr>
          <w:spacing w:val="-2"/>
          <w:sz w:val="21"/>
        </w:rPr>
        <w:t>锥体外系肌僵直、步态共济失调和轻度痴呆为主要临床特征。须满足自主</w:t>
      </w:r>
      <w:r>
        <w:rPr>
          <w:spacing w:val="-2"/>
          <w:sz w:val="21"/>
        </w:rPr>
        <w:t>生活能力永久丧失，无法独立完成六项基本日常生活活动中的两项。</w:t>
      </w:r>
      <w:r>
        <w:rPr>
          <w:rFonts w:ascii="微软雅黑" w:hAnsi="微软雅黑" w:eastAsia="微软雅黑"/>
          <w:b/>
          <w:spacing w:val="-2"/>
          <w:sz w:val="21"/>
        </w:rPr>
        <w:t>但未</w:t>
      </w:r>
      <w:r>
        <w:rPr>
          <w:rFonts w:ascii="微软雅黑" w:hAnsi="微软雅黑" w:eastAsia="微软雅黑"/>
          <w:b/>
          <w:spacing w:val="-2"/>
          <w:sz w:val="21"/>
        </w:rPr>
        <w:t>达到本合同所指重大疾病“进行性核上性麻痹”的给付标准。</w:t>
      </w:r>
    </w:p>
    <w:p>
      <w:pPr>
        <w:spacing w:after="0" w:line="180" w:lineRule="auto"/>
        <w:jc w:val="both"/>
        <w:rPr>
          <w:rFonts w:ascii="微软雅黑" w:hAns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17"/>
        <w:rPr>
          <w:rFonts w:ascii="微软雅黑"/>
          <w:b/>
          <w:sz w:val="9"/>
        </w:rPr>
      </w:pPr>
    </w:p>
    <w:p>
      <w:pPr>
        <w:spacing w:after="0"/>
        <w:rPr>
          <w:rFonts w:ascii="微软雅黑"/>
          <w:sz w:val="9"/>
        </w:rPr>
        <w:sectPr>
          <w:type w:val="continuous"/>
          <w:pgSz w:w="11910" w:h="16840"/>
          <w:pgMar w:header="877" w:footer="0" w:top="1100" w:bottom="280" w:left="1060" w:right="980"/>
        </w:sectPr>
      </w:pPr>
    </w:p>
    <w:p>
      <w:pPr>
        <w:pStyle w:val="ListParagraph"/>
        <w:numPr>
          <w:ilvl w:val="0"/>
          <w:numId w:val="111"/>
        </w:numPr>
        <w:tabs>
          <w:tab w:pos="1210" w:val="left" w:leader="none"/>
          <w:tab w:pos="1211" w:val="left" w:leader="none"/>
        </w:tabs>
        <w:spacing w:line="168" w:lineRule="auto" w:before="87" w:after="0"/>
        <w:ind w:left="1210" w:right="0" w:hanging="958"/>
        <w:jc w:val="left"/>
        <w:rPr>
          <w:rFonts w:ascii="微软雅黑" w:eastAsia="微软雅黑"/>
          <w:b/>
          <w:sz w:val="21"/>
        </w:rPr>
      </w:pPr>
      <w:r>
        <w:rPr>
          <w:rFonts w:ascii="微软雅黑" w:eastAsia="微软雅黑"/>
          <w:b/>
          <w:spacing w:val="15"/>
          <w:sz w:val="21"/>
        </w:rPr>
        <w:t>轻度坏死性筋</w:t>
      </w:r>
      <w:r>
        <w:rPr>
          <w:rFonts w:ascii="微软雅黑" w:eastAsia="微软雅黑"/>
          <w:b/>
          <w:spacing w:val="-6"/>
          <w:sz w:val="21"/>
        </w:rPr>
        <w:t>膜炎</w:t>
      </w:r>
    </w:p>
    <w:p>
      <w:pPr>
        <w:spacing w:line="187" w:lineRule="auto" w:before="118"/>
        <w:ind w:left="177" w:right="323" w:firstLine="0"/>
        <w:jc w:val="both"/>
        <w:rPr>
          <w:sz w:val="21"/>
        </w:rPr>
      </w:pPr>
      <w:r>
        <w:rPr/>
        <w:br w:type="column"/>
      </w:r>
      <w:r>
        <w:rPr>
          <w:spacing w:val="-2"/>
          <w:sz w:val="21"/>
        </w:rPr>
        <w:t>是一种由细菌侵入皮下组织和筋膜引起的急性坏死性软组织感染，可伴有</w:t>
      </w:r>
      <w:r>
        <w:rPr>
          <w:spacing w:val="-2"/>
          <w:sz w:val="21"/>
        </w:rPr>
        <w:t>毒血症、败血症、中毒性休克、弥漫性血管内凝血及多器官衰竭。</w:t>
      </w:r>
      <w:r>
        <w:rPr>
          <w:rFonts w:ascii="微软雅黑" w:hAnsi="微软雅黑" w:eastAsia="微软雅黑"/>
          <w:b/>
          <w:spacing w:val="-2"/>
          <w:sz w:val="21"/>
        </w:rPr>
        <w:t>但未达</w:t>
      </w:r>
      <w:r>
        <w:rPr>
          <w:rFonts w:ascii="微软雅黑" w:hAnsi="微软雅黑" w:eastAsia="微软雅黑"/>
          <w:b/>
          <w:spacing w:val="-2"/>
          <w:sz w:val="21"/>
        </w:rPr>
        <w:t>到本合同所指重大疾病“重症急性坏死性筋膜炎”的给付标准。</w:t>
      </w:r>
      <w:r>
        <w:rPr>
          <w:spacing w:val="-2"/>
          <w:sz w:val="21"/>
        </w:rPr>
        <w:t>本病须经</w:t>
      </w:r>
      <w:r>
        <w:rPr>
          <w:spacing w:val="-2"/>
          <w:sz w:val="21"/>
        </w:rPr>
        <w:t>我们认可医院的专科医生明确诊断。</w:t>
      </w:r>
    </w:p>
    <w:p>
      <w:pPr>
        <w:spacing w:after="0" w:line="187" w:lineRule="auto"/>
        <w:jc w:val="both"/>
        <w:rPr>
          <w:sz w:val="21"/>
        </w:rPr>
        <w:sectPr>
          <w:type w:val="continuous"/>
          <w:pgSz w:w="11910" w:h="16840"/>
          <w:pgMar w:header="877" w:footer="0" w:top="1100" w:bottom="280" w:left="1060" w:right="980"/>
          <w:cols w:num="2" w:equalWidth="0">
            <w:col w:w="2588" w:space="40"/>
            <w:col w:w="7242"/>
          </w:cols>
        </w:sectPr>
      </w:pPr>
    </w:p>
    <w:p>
      <w:pPr>
        <w:pStyle w:val="BodyText"/>
        <w:spacing w:before="1"/>
        <w:rPr>
          <w:sz w:val="17"/>
        </w:rPr>
      </w:pPr>
    </w:p>
    <w:p>
      <w:pPr>
        <w:spacing w:after="0"/>
        <w:rPr>
          <w:sz w:val="17"/>
        </w:rPr>
        <w:sectPr>
          <w:type w:val="continuous"/>
          <w:pgSz w:w="11910" w:h="16840"/>
          <w:pgMar w:header="877" w:footer="0" w:top="1100" w:bottom="280" w:left="1060" w:right="980"/>
        </w:sectPr>
      </w:pPr>
    </w:p>
    <w:p>
      <w:pPr>
        <w:pStyle w:val="ListParagraph"/>
        <w:numPr>
          <w:ilvl w:val="0"/>
          <w:numId w:val="111"/>
        </w:numPr>
        <w:tabs>
          <w:tab w:pos="1210" w:val="left" w:leader="none"/>
          <w:tab w:pos="1211" w:val="left" w:leader="none"/>
        </w:tabs>
        <w:spacing w:line="170" w:lineRule="auto" w:before="85" w:after="0"/>
        <w:ind w:left="1210" w:right="0" w:hanging="958"/>
        <w:jc w:val="left"/>
        <w:rPr>
          <w:rFonts w:ascii="微软雅黑" w:eastAsia="微软雅黑"/>
          <w:b/>
          <w:sz w:val="21"/>
        </w:rPr>
      </w:pPr>
      <w:r>
        <w:rPr>
          <w:rFonts w:ascii="微软雅黑" w:eastAsia="微软雅黑"/>
          <w:b/>
          <w:spacing w:val="15"/>
          <w:sz w:val="21"/>
        </w:rPr>
        <w:t>植入大脑内分</w:t>
      </w:r>
      <w:r>
        <w:rPr>
          <w:rFonts w:ascii="微软雅黑" w:eastAsia="微软雅黑"/>
          <w:b/>
          <w:spacing w:val="-6"/>
          <w:sz w:val="21"/>
        </w:rPr>
        <w:t>流器</w:t>
      </w:r>
    </w:p>
    <w:p>
      <w:pPr>
        <w:spacing w:line="180" w:lineRule="auto" w:before="124"/>
        <w:ind w:left="177" w:right="326" w:firstLine="0"/>
        <w:jc w:val="both"/>
        <w:rPr>
          <w:rFonts w:ascii="微软雅黑" w:eastAsia="微软雅黑"/>
          <w:b/>
          <w:sz w:val="21"/>
        </w:rPr>
      </w:pPr>
      <w:r>
        <w:rPr/>
        <w:br w:type="column"/>
      </w:r>
      <w:r>
        <w:rPr>
          <w:spacing w:val="-2"/>
          <w:sz w:val="21"/>
        </w:rPr>
        <w:t>植入大脑内分流器是指确实在脑室进行分流器植入手术，以缓解升高的脑</w:t>
      </w:r>
      <w:r>
        <w:rPr>
          <w:spacing w:val="-2"/>
          <w:sz w:val="21"/>
        </w:rPr>
        <w:t>脊液压力。</w:t>
      </w:r>
      <w:r>
        <w:rPr>
          <w:rFonts w:ascii="微软雅黑" w:eastAsia="微软雅黑"/>
          <w:b/>
          <w:spacing w:val="-2"/>
          <w:sz w:val="21"/>
        </w:rPr>
        <w:t>必须由我们认可医院的脑神经专科医生证实植入分流器为医疗</w:t>
      </w:r>
      <w:r>
        <w:rPr>
          <w:rFonts w:ascii="微软雅黑" w:eastAsia="微软雅黑"/>
          <w:b/>
          <w:spacing w:val="-4"/>
          <w:sz w:val="21"/>
        </w:rPr>
        <w:t>必需。</w:t>
      </w:r>
    </w:p>
    <w:p>
      <w:pPr>
        <w:spacing w:line="246" w:lineRule="exact" w:before="0"/>
        <w:ind w:left="177" w:right="0" w:firstLine="0"/>
        <w:jc w:val="left"/>
        <w:rPr>
          <w:rFonts w:ascii="微软雅黑" w:eastAsia="微软雅黑"/>
          <w:b/>
          <w:sz w:val="21"/>
        </w:rPr>
      </w:pPr>
      <w:r>
        <w:rPr>
          <w:rFonts w:ascii="微软雅黑" w:eastAsia="微软雅黑"/>
          <w:b/>
          <w:spacing w:val="-3"/>
          <w:sz w:val="21"/>
        </w:rPr>
        <w:t>先天性脑积水不在保障范围内。</w:t>
      </w:r>
    </w:p>
    <w:p>
      <w:pPr>
        <w:spacing w:line="168" w:lineRule="auto" w:before="26"/>
        <w:ind w:left="177" w:right="310" w:firstLine="0"/>
        <w:jc w:val="both"/>
        <w:rPr>
          <w:rFonts w:ascii="微软雅黑" w:hAnsi="微软雅黑" w:eastAsia="微软雅黑"/>
          <w:b/>
          <w:sz w:val="21"/>
        </w:rPr>
      </w:pPr>
      <w:r>
        <w:rPr>
          <w:rFonts w:ascii="微软雅黑" w:hAnsi="微软雅黑" w:eastAsia="微软雅黑"/>
          <w:b/>
          <w:spacing w:val="-2"/>
          <w:sz w:val="21"/>
        </w:rPr>
        <w:t>我们对“微创颅脑手术”、“植入大脑内分流器”两项中的其中一项承担</w:t>
      </w:r>
      <w:r>
        <w:rPr>
          <w:rFonts w:ascii="微软雅黑" w:hAnsi="微软雅黑" w:eastAsia="微软雅黑"/>
          <w:b/>
          <w:spacing w:val="-2"/>
          <w:sz w:val="21"/>
        </w:rPr>
        <w:t>保险责任，给付其中一项保险金后，对另外一项疾病保险责任同时终止。</w:t>
      </w:r>
      <w:r>
        <w:rPr>
          <w:rFonts w:ascii="微软雅黑" w:hAnsi="微软雅黑" w:eastAsia="微软雅黑"/>
          <w:b/>
          <w:spacing w:val="-2"/>
          <w:sz w:val="21"/>
        </w:rPr>
        <w:t>因治疗“脑垂体瘤、脑囊肿”、“脑动脉瘤及脑血管瘤”所致植入大脑内</w:t>
      </w:r>
      <w:r>
        <w:rPr>
          <w:rFonts w:ascii="微软雅黑" w:hAnsi="微软雅黑" w:eastAsia="微软雅黑"/>
          <w:b/>
          <w:spacing w:val="-2"/>
          <w:sz w:val="21"/>
        </w:rPr>
        <w:t>分流器不在保障范围内。</w:t>
      </w:r>
    </w:p>
    <w:p>
      <w:pPr>
        <w:spacing w:after="0" w:line="168" w:lineRule="auto"/>
        <w:jc w:val="both"/>
        <w:rPr>
          <w:rFonts w:ascii="微软雅黑" w:hAns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7"/>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111"/>
        </w:numPr>
        <w:tabs>
          <w:tab w:pos="1210" w:val="left" w:leader="none"/>
          <w:tab w:pos="1211" w:val="left" w:leader="none"/>
        </w:tabs>
        <w:spacing w:line="168" w:lineRule="auto" w:before="88" w:after="0"/>
        <w:ind w:left="1210" w:right="0" w:hanging="958"/>
        <w:jc w:val="both"/>
        <w:rPr>
          <w:rFonts w:ascii="微软雅黑" w:eastAsia="微软雅黑"/>
          <w:b/>
          <w:sz w:val="21"/>
        </w:rPr>
      </w:pPr>
      <w:r>
        <w:rPr>
          <w:rFonts w:ascii="微软雅黑" w:eastAsia="微软雅黑"/>
          <w:b/>
          <w:spacing w:val="15"/>
          <w:sz w:val="21"/>
        </w:rPr>
        <w:t>糖尿病并发症</w:t>
      </w:r>
      <w:r>
        <w:rPr>
          <w:rFonts w:ascii="微软雅黑" w:eastAsia="微软雅黑"/>
          <w:b/>
          <w:spacing w:val="15"/>
          <w:sz w:val="21"/>
        </w:rPr>
        <w:t>引致的单足截</w:t>
      </w:r>
      <w:r>
        <w:rPr>
          <w:rFonts w:ascii="微软雅黑" w:eastAsia="微软雅黑"/>
          <w:b/>
          <w:spacing w:val="-10"/>
          <w:sz w:val="21"/>
        </w:rPr>
        <w:t>除</w:t>
      </w:r>
    </w:p>
    <w:p>
      <w:pPr>
        <w:pStyle w:val="BodyText"/>
        <w:spacing w:line="242" w:lineRule="auto" w:before="72"/>
        <w:ind w:left="177" w:right="326"/>
        <w:jc w:val="both"/>
      </w:pPr>
      <w:r>
        <w:rPr/>
        <w:br w:type="column"/>
      </w:r>
      <w:r>
        <w:rPr>
          <w:spacing w:val="-2"/>
        </w:rPr>
        <w:t>因糖尿病引起的神经及血管病变累及足部，为了维持生命已经实际进行由</w:t>
      </w:r>
      <w:r>
        <w:rPr>
          <w:spacing w:val="-2"/>
        </w:rPr>
        <w:t>足踝或者以上位置的单足截除手术。手术须经我们认可医院的专科医生认</w:t>
      </w:r>
      <w:r>
        <w:rPr>
          <w:spacing w:val="-2"/>
        </w:rPr>
        <w:t>为是医疗必须的情况下进行。</w:t>
      </w:r>
    </w:p>
    <w:p>
      <w:pPr>
        <w:spacing w:line="321" w:lineRule="exact" w:before="0"/>
        <w:ind w:left="177" w:right="0" w:firstLine="0"/>
        <w:jc w:val="left"/>
        <w:rPr>
          <w:rFonts w:ascii="微软雅黑" w:eastAsia="微软雅黑"/>
          <w:b/>
          <w:sz w:val="21"/>
        </w:rPr>
      </w:pPr>
      <w:r>
        <w:rPr>
          <w:rFonts w:ascii="微软雅黑" w:eastAsia="微软雅黑"/>
          <w:b/>
          <w:spacing w:val="-3"/>
          <w:sz w:val="21"/>
        </w:rPr>
        <w:t>切除多只脚趾或者因其他原因引起的截除术不在保障范围内。</w:t>
      </w:r>
    </w:p>
    <w:p>
      <w:pPr>
        <w:spacing w:after="0" w:line="321" w:lineRule="exact"/>
        <w:jc w:val="left"/>
        <w:rPr>
          <w:rFonts w:asci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6"/>
        <w:rPr>
          <w:rFonts w:ascii="微软雅黑"/>
          <w:b/>
          <w:sz w:val="8"/>
        </w:rPr>
      </w:pPr>
    </w:p>
    <w:p>
      <w:pPr>
        <w:pStyle w:val="ListParagraph"/>
        <w:numPr>
          <w:ilvl w:val="0"/>
          <w:numId w:val="111"/>
        </w:numPr>
        <w:tabs>
          <w:tab w:pos="1210" w:val="left" w:leader="none"/>
          <w:tab w:pos="1211" w:val="left" w:leader="none"/>
          <w:tab w:pos="2804" w:val="left" w:leader="none"/>
        </w:tabs>
        <w:spacing w:line="220" w:lineRule="auto" w:before="26" w:after="0"/>
        <w:ind w:left="2805" w:right="218" w:hanging="2552"/>
        <w:jc w:val="left"/>
        <w:rPr>
          <w:sz w:val="21"/>
        </w:rPr>
      </w:pPr>
      <w:r>
        <w:rPr>
          <w:rFonts w:ascii="微软雅黑" w:eastAsia="微软雅黑"/>
          <w:b/>
          <w:spacing w:val="-2"/>
          <w:sz w:val="21"/>
        </w:rPr>
        <w:t>面</w:t>
      </w:r>
      <w:r>
        <w:rPr>
          <w:rFonts w:ascii="微软雅黑" w:eastAsia="微软雅黑"/>
          <w:b/>
          <w:spacing w:val="-2"/>
          <w:sz w:val="21"/>
        </w:rPr>
        <w:t>部</w:t>
      </w:r>
      <w:r>
        <w:rPr>
          <w:rFonts w:ascii="微软雅黑" w:eastAsia="微软雅黑"/>
          <w:b/>
          <w:spacing w:val="-2"/>
          <w:sz w:val="21"/>
        </w:rPr>
        <w:t>重</w:t>
      </w:r>
      <w:r>
        <w:rPr>
          <w:rFonts w:ascii="微软雅黑" w:eastAsia="微软雅黑"/>
          <w:b/>
          <w:spacing w:val="-2"/>
          <w:sz w:val="21"/>
        </w:rPr>
        <w:t>建</w:t>
      </w:r>
      <w:r>
        <w:rPr>
          <w:rFonts w:ascii="微软雅黑" w:eastAsia="微软雅黑"/>
          <w:b/>
          <w:spacing w:val="-2"/>
          <w:sz w:val="21"/>
        </w:rPr>
        <w:t>手</w:t>
      </w:r>
      <w:r>
        <w:rPr>
          <w:rFonts w:ascii="微软雅黑" w:eastAsia="微软雅黑"/>
          <w:b/>
          <w:spacing w:val="-2"/>
          <w:sz w:val="21"/>
        </w:rPr>
        <w:t>术</w:t>
      </w:r>
      <w:r>
        <w:rPr>
          <w:rFonts w:ascii="微软雅黑" w:eastAsia="微软雅黑"/>
          <w:b/>
          <w:sz w:val="21"/>
        </w:rPr>
        <w:tab/>
      </w:r>
      <w:r>
        <w:rPr>
          <w:spacing w:val="-2"/>
          <w:sz w:val="21"/>
        </w:rPr>
        <w:t>因</w:t>
      </w:r>
      <w:r>
        <w:rPr>
          <w:spacing w:val="-2"/>
          <w:sz w:val="21"/>
        </w:rPr>
        <w:t>疾</w:t>
      </w:r>
      <w:r>
        <w:rPr>
          <w:spacing w:val="-2"/>
          <w:sz w:val="21"/>
        </w:rPr>
        <w:t>病</w:t>
      </w:r>
      <w:r>
        <w:rPr>
          <w:spacing w:val="-2"/>
          <w:sz w:val="21"/>
        </w:rPr>
        <w:t>或意外</w:t>
      </w:r>
      <w:r>
        <w:rPr>
          <w:spacing w:val="-2"/>
          <w:sz w:val="21"/>
        </w:rPr>
        <w:t>伤</w:t>
      </w:r>
      <w:r>
        <w:rPr>
          <w:spacing w:val="-2"/>
          <w:sz w:val="21"/>
        </w:rPr>
        <w:t>害</w:t>
      </w:r>
      <w:r>
        <w:rPr>
          <w:spacing w:val="-2"/>
          <w:sz w:val="21"/>
        </w:rPr>
        <w:t>导致面</w:t>
      </w:r>
      <w:r>
        <w:rPr>
          <w:spacing w:val="-2"/>
          <w:sz w:val="21"/>
        </w:rPr>
        <w:t>部</w:t>
      </w:r>
      <w:r>
        <w:rPr>
          <w:spacing w:val="-2"/>
          <w:sz w:val="21"/>
        </w:rPr>
        <w:t>毁</w:t>
      </w:r>
      <w:r>
        <w:rPr>
          <w:spacing w:val="-2"/>
          <w:sz w:val="21"/>
        </w:rPr>
        <w:t>容</w:t>
      </w:r>
      <w:r>
        <w:rPr>
          <w:spacing w:val="-2"/>
          <w:sz w:val="21"/>
        </w:rPr>
        <w:t>，确实</w:t>
      </w:r>
      <w:r>
        <w:rPr>
          <w:spacing w:val="-2"/>
          <w:sz w:val="21"/>
        </w:rPr>
        <w:t>进</w:t>
      </w:r>
      <w:r>
        <w:rPr>
          <w:spacing w:val="-2"/>
          <w:sz w:val="21"/>
        </w:rPr>
        <w:t>行</w:t>
      </w:r>
      <w:r>
        <w:rPr>
          <w:spacing w:val="-2"/>
          <w:sz w:val="21"/>
        </w:rPr>
        <w:t>整形或</w:t>
      </w:r>
      <w:r>
        <w:rPr>
          <w:spacing w:val="-2"/>
          <w:sz w:val="21"/>
        </w:rPr>
        <w:t>者</w:t>
      </w:r>
      <w:r>
        <w:rPr>
          <w:spacing w:val="-2"/>
          <w:sz w:val="21"/>
        </w:rPr>
        <w:t>重</w:t>
      </w:r>
      <w:r>
        <w:rPr>
          <w:spacing w:val="-2"/>
          <w:sz w:val="21"/>
        </w:rPr>
        <w:t>建</w:t>
      </w:r>
      <w:r>
        <w:rPr>
          <w:spacing w:val="-2"/>
          <w:sz w:val="21"/>
        </w:rPr>
        <w:t>手术（</w:t>
      </w:r>
      <w:r>
        <w:rPr>
          <w:spacing w:val="-2"/>
          <w:sz w:val="21"/>
        </w:rPr>
        <w:t>颈</w:t>
      </w:r>
      <w:r>
        <w:rPr>
          <w:spacing w:val="-2"/>
          <w:sz w:val="21"/>
        </w:rPr>
        <w:t>部</w:t>
      </w:r>
      <w:r>
        <w:rPr>
          <w:spacing w:val="-2"/>
          <w:sz w:val="21"/>
        </w:rPr>
        <w:t>以上</w:t>
      </w:r>
      <w:r>
        <w:rPr>
          <w:spacing w:val="-2"/>
          <w:sz w:val="21"/>
        </w:rPr>
        <w:t>的</w:t>
      </w:r>
      <w:r>
        <w:rPr>
          <w:spacing w:val="-2"/>
          <w:sz w:val="21"/>
        </w:rPr>
        <w:t>面</w:t>
      </w:r>
      <w:r>
        <w:rPr>
          <w:spacing w:val="-2"/>
          <w:sz w:val="21"/>
        </w:rPr>
        <w:t>部构造不完整</w:t>
      </w:r>
      <w:r>
        <w:rPr>
          <w:spacing w:val="-51"/>
          <w:sz w:val="21"/>
        </w:rPr>
        <w:t>、</w:t>
      </w:r>
      <w:r>
        <w:rPr>
          <w:spacing w:val="-2"/>
          <w:sz w:val="21"/>
        </w:rPr>
        <w:t>缺失</w:t>
      </w:r>
      <w:r>
        <w:rPr>
          <w:spacing w:val="-2"/>
          <w:sz w:val="21"/>
        </w:rPr>
        <w:t>或</w:t>
      </w:r>
      <w:r>
        <w:rPr>
          <w:spacing w:val="-2"/>
          <w:sz w:val="21"/>
        </w:rPr>
        <w:t>者</w:t>
      </w:r>
      <w:r>
        <w:rPr>
          <w:spacing w:val="-2"/>
          <w:sz w:val="21"/>
        </w:rPr>
        <w:t>受损而对其形态及外</w:t>
      </w:r>
      <w:r>
        <w:rPr>
          <w:spacing w:val="-2"/>
          <w:sz w:val="21"/>
        </w:rPr>
        <w:t>观</w:t>
      </w:r>
      <w:r>
        <w:rPr>
          <w:spacing w:val="-2"/>
          <w:sz w:val="21"/>
        </w:rPr>
        <w:t>进</w:t>
      </w:r>
      <w:r>
        <w:rPr>
          <w:spacing w:val="-2"/>
          <w:sz w:val="21"/>
        </w:rPr>
        <w:t>行修复或者重建），同时必须由我们认可医院的专科医生认为该面部毁容是需要接受住院治</w:t>
      </w:r>
    </w:p>
    <w:p>
      <w:pPr>
        <w:spacing w:line="180" w:lineRule="auto" w:before="63"/>
        <w:ind w:left="2805" w:right="326" w:firstLine="0"/>
        <w:jc w:val="left"/>
        <w:rPr>
          <w:rFonts w:ascii="微软雅黑" w:eastAsia="微软雅黑"/>
          <w:b/>
          <w:sz w:val="21"/>
        </w:rPr>
      </w:pPr>
      <w:r>
        <w:rPr>
          <w:spacing w:val="-2"/>
          <w:sz w:val="21"/>
        </w:rPr>
        <w:t>疗，及其后接受该手术，而对该面部毁容所进行的治疗亦是医疗必需。</w:t>
      </w:r>
      <w:r>
        <w:rPr>
          <w:spacing w:val="40"/>
          <w:sz w:val="21"/>
        </w:rPr>
        <w:t> </w:t>
      </w:r>
      <w:r>
        <w:rPr>
          <w:rFonts w:ascii="微软雅黑" w:eastAsia="微软雅黑"/>
          <w:b/>
          <w:spacing w:val="-2"/>
          <w:sz w:val="21"/>
        </w:rPr>
        <w:t>因纯粹整容原因、独立的牙齿修复、独立的鼻骨骨折或者独立的皮肤伤口</w:t>
      </w:r>
      <w:r>
        <w:rPr>
          <w:rFonts w:ascii="微软雅黑" w:eastAsia="微软雅黑"/>
          <w:b/>
          <w:spacing w:val="-2"/>
          <w:sz w:val="21"/>
        </w:rPr>
        <w:t>所进行的手术不在保障范围内。</w:t>
      </w:r>
    </w:p>
    <w:p>
      <w:pPr>
        <w:spacing w:line="168" w:lineRule="auto" w:before="0"/>
        <w:ind w:left="2805" w:right="324" w:firstLine="0"/>
        <w:jc w:val="both"/>
        <w:rPr>
          <w:rFonts w:ascii="微软雅黑" w:hAnsi="微软雅黑" w:eastAsia="微软雅黑"/>
          <w:b/>
          <w:sz w:val="21"/>
        </w:rPr>
      </w:pPr>
      <w:r>
        <w:rPr>
          <w:rFonts w:ascii="微软雅黑" w:hAnsi="微软雅黑" w:eastAsia="微软雅黑"/>
          <w:b/>
          <w:spacing w:val="-2"/>
          <w:sz w:val="21"/>
        </w:rPr>
        <w:t>被保险人达到条款约定的“严重Ⅲ度烧伤”、“严重面部烧伤”、“中度</w:t>
      </w:r>
      <w:r>
        <w:rPr>
          <w:rFonts w:ascii="微软雅黑" w:hAnsi="微软雅黑" w:eastAsia="微软雅黑"/>
          <w:b/>
          <w:spacing w:val="-2"/>
          <w:sz w:val="21"/>
        </w:rPr>
        <w:t>面积Ⅲ度烧伤”、“中度面部烧伤”、“全身较小面积Ⅲ度烧伤”、“轻</w:t>
      </w:r>
      <w:r>
        <w:rPr>
          <w:rFonts w:ascii="微软雅黑" w:hAnsi="微软雅黑" w:eastAsia="微软雅黑"/>
          <w:b/>
          <w:spacing w:val="-2"/>
          <w:sz w:val="21"/>
        </w:rPr>
        <w:t>度面部烧伤”赔付责任，且因此需行“面部重建手术”，则不在此保障范</w:t>
      </w:r>
      <w:r>
        <w:rPr>
          <w:rFonts w:ascii="微软雅黑" w:hAnsi="微软雅黑" w:eastAsia="微软雅黑"/>
          <w:b/>
          <w:spacing w:val="-4"/>
          <w:sz w:val="21"/>
        </w:rPr>
        <w:t>围内。</w:t>
      </w:r>
    </w:p>
    <w:p>
      <w:pPr>
        <w:pStyle w:val="BodyText"/>
        <w:spacing w:before="4"/>
        <w:rPr>
          <w:rFonts w:ascii="微软雅黑"/>
          <w:b/>
          <w:sz w:val="10"/>
        </w:rPr>
      </w:pPr>
    </w:p>
    <w:p>
      <w:pPr>
        <w:spacing w:after="0"/>
        <w:rPr>
          <w:rFonts w:ascii="微软雅黑"/>
          <w:sz w:val="10"/>
        </w:rPr>
        <w:sectPr>
          <w:type w:val="continuous"/>
          <w:pgSz w:w="11910" w:h="16840"/>
          <w:pgMar w:header="877" w:footer="0" w:top="1100" w:bottom="280" w:left="1060" w:right="980"/>
        </w:sectPr>
      </w:pPr>
    </w:p>
    <w:p>
      <w:pPr>
        <w:pStyle w:val="ListParagraph"/>
        <w:numPr>
          <w:ilvl w:val="0"/>
          <w:numId w:val="111"/>
        </w:numPr>
        <w:tabs>
          <w:tab w:pos="1210" w:val="left" w:leader="none"/>
          <w:tab w:pos="1211" w:val="left" w:leader="none"/>
        </w:tabs>
        <w:spacing w:line="168" w:lineRule="auto" w:before="88" w:after="0"/>
        <w:ind w:left="1210" w:right="0" w:hanging="958"/>
        <w:jc w:val="both"/>
        <w:rPr>
          <w:rFonts w:ascii="微软雅黑" w:eastAsia="微软雅黑"/>
          <w:b/>
          <w:sz w:val="21"/>
        </w:rPr>
      </w:pPr>
      <w:r>
        <w:rPr>
          <w:rFonts w:ascii="微软雅黑" w:eastAsia="微软雅黑"/>
          <w:b/>
          <w:spacing w:val="15"/>
          <w:sz w:val="21"/>
        </w:rPr>
        <w:t>因肾上腺皮质</w:t>
      </w:r>
      <w:r>
        <w:rPr>
          <w:rFonts w:ascii="微软雅黑" w:eastAsia="微软雅黑"/>
          <w:b/>
          <w:spacing w:val="15"/>
          <w:sz w:val="21"/>
        </w:rPr>
        <w:t>腺瘤切除肾上</w:t>
      </w:r>
      <w:r>
        <w:rPr>
          <w:rFonts w:ascii="微软雅黑" w:eastAsia="微软雅黑"/>
          <w:b/>
          <w:spacing w:val="-10"/>
          <w:sz w:val="21"/>
        </w:rPr>
        <w:t>腺</w:t>
      </w:r>
    </w:p>
    <w:p>
      <w:pPr>
        <w:pStyle w:val="BodyText"/>
        <w:spacing w:line="244" w:lineRule="auto" w:before="72"/>
        <w:ind w:left="177" w:right="326"/>
      </w:pPr>
      <w:r>
        <w:rPr/>
        <w:br w:type="column"/>
      </w:r>
      <w:r>
        <w:rPr>
          <w:spacing w:val="-2"/>
        </w:rPr>
        <w:t>因肾上腺皮质腺瘤所导致的醛固酮分泌过多而产生的继发性恶性高血压而</w:t>
      </w:r>
      <w:r>
        <w:rPr>
          <w:spacing w:val="-2"/>
        </w:rPr>
        <w:t>实际接受了肾上腺切除术治疗。</w:t>
      </w:r>
    </w:p>
    <w:p>
      <w:pPr>
        <w:pStyle w:val="BodyText"/>
        <w:spacing w:line="244" w:lineRule="auto"/>
        <w:ind w:left="177" w:right="326"/>
      </w:pPr>
      <w:r>
        <w:rPr>
          <w:spacing w:val="-2"/>
        </w:rPr>
        <w:t>此诊断及治疗均须经我们认可医院的专科医生认为是医疗必须的情况下进</w:t>
      </w:r>
      <w:r>
        <w:rPr>
          <w:spacing w:val="-6"/>
        </w:rPr>
        <w:t>行。</w:t>
      </w:r>
    </w:p>
    <w:p>
      <w:pPr>
        <w:spacing w:after="0" w:line="244" w:lineRule="auto"/>
        <w:sectPr>
          <w:type w:val="continuous"/>
          <w:pgSz w:w="11910" w:h="16840"/>
          <w:pgMar w:header="877" w:footer="0" w:top="1100" w:bottom="280" w:left="1060" w:right="980"/>
          <w:cols w:num="2" w:equalWidth="0">
            <w:col w:w="2588" w:space="40"/>
            <w:col w:w="7242"/>
          </w:cols>
        </w:sectPr>
      </w:pPr>
    </w:p>
    <w:p>
      <w:pPr>
        <w:pStyle w:val="BodyText"/>
        <w:spacing w:before="2"/>
        <w:rPr>
          <w:sz w:val="15"/>
        </w:rPr>
      </w:pPr>
    </w:p>
    <w:p>
      <w:pPr>
        <w:spacing w:after="0"/>
        <w:rPr>
          <w:sz w:val="15"/>
        </w:rPr>
        <w:sectPr>
          <w:type w:val="continuous"/>
          <w:pgSz w:w="11910" w:h="16840"/>
          <w:pgMar w:header="877" w:footer="0" w:top="1100" w:bottom="280" w:left="1060" w:right="980"/>
        </w:sectPr>
      </w:pPr>
    </w:p>
    <w:p>
      <w:pPr>
        <w:pStyle w:val="ListParagraph"/>
        <w:numPr>
          <w:ilvl w:val="0"/>
          <w:numId w:val="111"/>
        </w:numPr>
        <w:tabs>
          <w:tab w:pos="1210" w:val="left" w:leader="none"/>
          <w:tab w:pos="1211" w:val="left" w:leader="none"/>
        </w:tabs>
        <w:spacing w:line="168" w:lineRule="auto" w:before="88" w:after="0"/>
        <w:ind w:left="1210" w:right="0" w:hanging="958"/>
        <w:jc w:val="left"/>
        <w:rPr>
          <w:rFonts w:ascii="微软雅黑" w:eastAsia="微软雅黑"/>
          <w:b/>
          <w:sz w:val="21"/>
        </w:rPr>
      </w:pPr>
      <w:r>
        <w:rPr>
          <w:rFonts w:ascii="微软雅黑" w:eastAsia="微软雅黑"/>
          <w:b/>
          <w:spacing w:val="15"/>
          <w:sz w:val="21"/>
        </w:rPr>
        <w:t>特定的系统性</w:t>
      </w:r>
      <w:r>
        <w:rPr>
          <w:rFonts w:ascii="微软雅黑" w:eastAsia="微软雅黑"/>
          <w:b/>
          <w:spacing w:val="-4"/>
          <w:sz w:val="21"/>
        </w:rPr>
        <w:t>红斑狼疮</w:t>
      </w:r>
    </w:p>
    <w:p>
      <w:pPr>
        <w:spacing w:line="168" w:lineRule="auto" w:before="88"/>
        <w:ind w:left="177" w:right="324" w:firstLine="0"/>
        <w:jc w:val="both"/>
        <w:rPr>
          <w:rFonts w:ascii="微软雅黑" w:hAnsi="微软雅黑" w:eastAsia="微软雅黑"/>
          <w:b/>
          <w:sz w:val="21"/>
        </w:rPr>
      </w:pPr>
      <w:r>
        <w:rPr/>
        <w:br w:type="column"/>
      </w:r>
      <w:r>
        <w:rPr>
          <w:spacing w:val="-2"/>
          <w:sz w:val="21"/>
        </w:rPr>
        <w:t>指诊断为系统性红斑狼疮，且满足下列全部条件，</w:t>
      </w:r>
      <w:r>
        <w:rPr>
          <w:rFonts w:ascii="微软雅黑" w:hAnsi="微软雅黑" w:eastAsia="微软雅黑"/>
          <w:b/>
          <w:spacing w:val="-2"/>
          <w:sz w:val="21"/>
        </w:rPr>
        <w:t>并且未达到本合同所指</w:t>
      </w:r>
      <w:r>
        <w:rPr>
          <w:rFonts w:ascii="微软雅黑" w:hAnsi="微软雅黑" w:eastAsia="微软雅黑"/>
          <w:b/>
          <w:spacing w:val="-2"/>
          <w:sz w:val="21"/>
        </w:rPr>
        <w:t>重大疾病“系统性红斑狼疮－（并发）Ⅲ型或以上狼疮性肾炎”或“严重</w:t>
      </w:r>
      <w:r>
        <w:rPr>
          <w:rFonts w:ascii="微软雅黑" w:hAnsi="微软雅黑" w:eastAsia="微软雅黑"/>
          <w:b/>
          <w:spacing w:val="-2"/>
          <w:sz w:val="21"/>
        </w:rPr>
        <w:t>慢性肾衰竭”的给付标准。</w:t>
      </w:r>
    </w:p>
    <w:p>
      <w:pPr>
        <w:pStyle w:val="BodyText"/>
        <w:spacing w:line="256" w:lineRule="exact"/>
        <w:ind w:left="177"/>
      </w:pPr>
      <w:r>
        <w:rPr>
          <w:spacing w:val="-3"/>
        </w:rPr>
        <w:t>在下列五项情况中出现最少三项：</w:t>
      </w:r>
    </w:p>
    <w:p>
      <w:pPr>
        <w:pStyle w:val="ListParagraph"/>
        <w:numPr>
          <w:ilvl w:val="0"/>
          <w:numId w:val="113"/>
        </w:numPr>
        <w:tabs>
          <w:tab w:pos="707" w:val="left" w:leader="none"/>
        </w:tabs>
        <w:spacing w:line="240" w:lineRule="auto" w:before="2" w:after="0"/>
        <w:ind w:left="706" w:right="0" w:hanging="530"/>
        <w:jc w:val="left"/>
        <w:rPr>
          <w:sz w:val="21"/>
        </w:rPr>
      </w:pPr>
      <w:r>
        <w:rPr>
          <w:spacing w:val="-3"/>
          <w:sz w:val="21"/>
        </w:rPr>
        <w:t>关节炎：非磨损性关节炎，需涉及两个或两个以上关节；</w:t>
      </w:r>
    </w:p>
    <w:p>
      <w:pPr>
        <w:pStyle w:val="ListParagraph"/>
        <w:numPr>
          <w:ilvl w:val="0"/>
          <w:numId w:val="113"/>
        </w:numPr>
        <w:tabs>
          <w:tab w:pos="707" w:val="left" w:leader="none"/>
        </w:tabs>
        <w:spacing w:line="240" w:lineRule="auto" w:before="4" w:after="0"/>
        <w:ind w:left="706" w:right="0" w:hanging="530"/>
        <w:jc w:val="left"/>
        <w:rPr>
          <w:sz w:val="21"/>
        </w:rPr>
      </w:pPr>
      <w:r>
        <w:rPr>
          <w:spacing w:val="-3"/>
          <w:sz w:val="21"/>
        </w:rPr>
        <w:t>浆膜炎：胸膜炎或心包炎；</w:t>
      </w:r>
    </w:p>
    <w:p>
      <w:pPr>
        <w:pStyle w:val="ListParagraph"/>
        <w:numPr>
          <w:ilvl w:val="0"/>
          <w:numId w:val="113"/>
        </w:numPr>
        <w:tabs>
          <w:tab w:pos="707" w:val="left" w:leader="none"/>
        </w:tabs>
        <w:spacing w:line="240" w:lineRule="auto" w:before="2" w:after="0"/>
        <w:ind w:left="706" w:right="0" w:hanging="530"/>
        <w:jc w:val="left"/>
        <w:rPr>
          <w:sz w:val="21"/>
        </w:rPr>
      </w:pPr>
      <w:r>
        <w:rPr>
          <w:spacing w:val="-2"/>
          <w:sz w:val="21"/>
        </w:rPr>
        <w:t>肾病：24</w:t>
      </w:r>
      <w:r>
        <w:rPr>
          <w:spacing w:val="-9"/>
          <w:sz w:val="21"/>
        </w:rPr>
        <w:t> 小时尿蛋白定量达到 </w:t>
      </w:r>
      <w:r>
        <w:rPr>
          <w:spacing w:val="-2"/>
          <w:sz w:val="21"/>
        </w:rPr>
        <w:t>0.5</w:t>
      </w:r>
      <w:r>
        <w:rPr>
          <w:spacing w:val="-8"/>
          <w:sz w:val="21"/>
        </w:rPr>
        <w:t> 克，或尿液检查出现细胞管型；</w:t>
      </w:r>
    </w:p>
    <w:p>
      <w:pPr>
        <w:pStyle w:val="ListParagraph"/>
        <w:numPr>
          <w:ilvl w:val="0"/>
          <w:numId w:val="113"/>
        </w:numPr>
        <w:tabs>
          <w:tab w:pos="707" w:val="left" w:leader="none"/>
        </w:tabs>
        <w:spacing w:line="240" w:lineRule="auto" w:before="5" w:after="0"/>
        <w:ind w:left="706" w:right="0" w:hanging="530"/>
        <w:jc w:val="left"/>
        <w:rPr>
          <w:sz w:val="21"/>
        </w:rPr>
      </w:pPr>
      <w:r>
        <w:rPr>
          <w:spacing w:val="-3"/>
          <w:sz w:val="21"/>
        </w:rPr>
        <w:t>血液学异常：溶血性贫血、白细胞减少或血小板减少；</w:t>
      </w:r>
    </w:p>
    <w:p>
      <w:pPr>
        <w:pStyle w:val="ListParagraph"/>
        <w:numPr>
          <w:ilvl w:val="0"/>
          <w:numId w:val="113"/>
        </w:numPr>
        <w:tabs>
          <w:tab w:pos="707" w:val="left" w:leader="none"/>
        </w:tabs>
        <w:spacing w:line="238" w:lineRule="exact" w:before="2" w:after="0"/>
        <w:ind w:left="706" w:right="0" w:hanging="530"/>
        <w:jc w:val="left"/>
        <w:rPr>
          <w:sz w:val="21"/>
        </w:rPr>
      </w:pPr>
      <w:r>
        <w:rPr>
          <w:spacing w:val="2"/>
          <w:sz w:val="21"/>
        </w:rPr>
        <w:t>抗核抗体阳性或抗</w:t>
      </w:r>
      <w:r>
        <w:rPr>
          <w:sz w:val="21"/>
        </w:rPr>
        <w:t>dsDNA</w:t>
      </w:r>
      <w:r>
        <w:rPr>
          <w:spacing w:val="-17"/>
          <w:sz w:val="21"/>
        </w:rPr>
        <w:t> 阳性，或抗 </w:t>
      </w:r>
      <w:r>
        <w:rPr>
          <w:sz w:val="21"/>
        </w:rPr>
        <w:t>Smith</w:t>
      </w:r>
      <w:r>
        <w:rPr>
          <w:spacing w:val="-12"/>
          <w:sz w:val="21"/>
        </w:rPr>
        <w:t> 抗体阳性。</w:t>
      </w:r>
    </w:p>
    <w:p>
      <w:pPr>
        <w:spacing w:line="168" w:lineRule="auto" w:before="52"/>
        <w:ind w:left="177" w:right="333" w:firstLine="0"/>
        <w:jc w:val="left"/>
        <w:rPr>
          <w:rFonts w:ascii="微软雅黑" w:eastAsia="微软雅黑"/>
          <w:b/>
          <w:sz w:val="21"/>
        </w:rPr>
      </w:pPr>
      <w:r>
        <w:rPr>
          <w:rFonts w:ascii="微软雅黑" w:eastAsia="微软雅黑"/>
          <w:b/>
          <w:spacing w:val="3"/>
          <w:w w:val="100"/>
          <w:sz w:val="21"/>
        </w:rPr>
        <w:t>系统性红斑狼疮的诊断必须由我们认可医院的风湿科或免疫系统专科医生确定。</w:t>
      </w:r>
    </w:p>
    <w:p>
      <w:pPr>
        <w:spacing w:after="0" w:line="168" w:lineRule="auto"/>
        <w:jc w:val="left"/>
        <w:rPr>
          <w:rFonts w:ascii="微软雅黑" w:eastAsia="微软雅黑"/>
          <w:sz w:val="21"/>
        </w:rPr>
        <w:sectPr>
          <w:type w:val="continuous"/>
          <w:pgSz w:w="11910" w:h="16840"/>
          <w:pgMar w:header="877" w:footer="0" w:top="1100" w:bottom="280" w:left="1060" w:right="980"/>
          <w:cols w:num="2" w:equalWidth="0">
            <w:col w:w="2588" w:space="40"/>
            <w:col w:w="7242"/>
          </w:cols>
        </w:sectPr>
      </w:pPr>
    </w:p>
    <w:p>
      <w:pPr>
        <w:pStyle w:val="BodyText"/>
        <w:spacing w:before="14"/>
        <w:rPr>
          <w:rFonts w:ascii="微软雅黑"/>
          <w:b/>
          <w:sz w:val="20"/>
        </w:rPr>
      </w:pPr>
    </w:p>
    <w:tbl>
      <w:tblPr>
        <w:tblW w:w="0" w:type="auto"/>
        <w:jc w:val="left"/>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6999"/>
      </w:tblGrid>
      <w:tr>
        <w:trPr>
          <w:trHeight w:val="2012" w:hRule="atLeast"/>
        </w:trPr>
        <w:tc>
          <w:tcPr>
            <w:tcW w:w="634" w:type="dxa"/>
          </w:tcPr>
          <w:p>
            <w:pPr>
              <w:pStyle w:val="TableParagraph"/>
              <w:spacing w:line="291" w:lineRule="exact"/>
              <w:ind w:left="50"/>
              <w:rPr>
                <w:rFonts w:ascii="微软雅黑"/>
                <w:b/>
                <w:sz w:val="21"/>
              </w:rPr>
            </w:pPr>
            <w:r>
              <w:rPr>
                <w:rFonts w:ascii="微软雅黑"/>
                <w:b/>
                <w:spacing w:val="-5"/>
                <w:w w:val="90"/>
                <w:sz w:val="21"/>
              </w:rPr>
              <w:t>44</w:t>
            </w:r>
          </w:p>
        </w:tc>
        <w:tc>
          <w:tcPr>
            <w:tcW w:w="1858" w:type="dxa"/>
          </w:tcPr>
          <w:p>
            <w:pPr>
              <w:pStyle w:val="TableParagraph"/>
              <w:spacing w:line="235" w:lineRule="exact"/>
              <w:ind w:left="373"/>
              <w:rPr>
                <w:rFonts w:ascii="微软雅黑" w:eastAsia="微软雅黑"/>
                <w:b/>
                <w:sz w:val="21"/>
              </w:rPr>
            </w:pPr>
            <w:r>
              <w:rPr>
                <w:rFonts w:ascii="微软雅黑" w:eastAsia="微软雅黑"/>
                <w:b/>
                <w:spacing w:val="15"/>
                <w:sz w:val="21"/>
              </w:rPr>
              <w:t>中度肠道疾病</w:t>
            </w:r>
          </w:p>
          <w:p>
            <w:pPr>
              <w:pStyle w:val="TableParagraph"/>
              <w:spacing w:line="330" w:lineRule="exact"/>
              <w:ind w:left="373"/>
              <w:rPr>
                <w:rFonts w:ascii="微软雅黑" w:eastAsia="微软雅黑"/>
                <w:b/>
                <w:sz w:val="21"/>
              </w:rPr>
            </w:pPr>
            <w:r>
              <w:rPr>
                <w:rFonts w:ascii="微软雅黑" w:eastAsia="微软雅黑"/>
                <w:b/>
                <w:spacing w:val="-4"/>
                <w:sz w:val="21"/>
              </w:rPr>
              <w:t>并发症</w:t>
            </w:r>
          </w:p>
        </w:tc>
        <w:tc>
          <w:tcPr>
            <w:tcW w:w="6999" w:type="dxa"/>
          </w:tcPr>
          <w:p>
            <w:pPr>
              <w:pStyle w:val="TableParagraph"/>
              <w:spacing w:line="241" w:lineRule="exact"/>
              <w:ind w:left="109"/>
              <w:rPr>
                <w:sz w:val="21"/>
              </w:rPr>
            </w:pPr>
            <w:r>
              <w:rPr>
                <w:spacing w:val="-3"/>
                <w:sz w:val="21"/>
              </w:rPr>
              <w:t>严重肠道疾病或外伤导致小肠损害并发症，本疾病须满足以下所有条件：</w:t>
            </w:r>
          </w:p>
          <w:p>
            <w:pPr>
              <w:pStyle w:val="TableParagraph"/>
              <w:numPr>
                <w:ilvl w:val="0"/>
                <w:numId w:val="114"/>
              </w:numPr>
              <w:tabs>
                <w:tab w:pos="639" w:val="left" w:leader="none"/>
              </w:tabs>
              <w:spacing w:line="240" w:lineRule="auto" w:before="4" w:after="0"/>
              <w:ind w:left="638" w:right="0" w:hanging="530"/>
              <w:jc w:val="left"/>
              <w:rPr>
                <w:sz w:val="21"/>
              </w:rPr>
            </w:pPr>
            <w:r>
              <w:rPr>
                <w:spacing w:val="-3"/>
                <w:sz w:val="21"/>
              </w:rPr>
              <w:t>至少切除了二分之一小肠；</w:t>
            </w:r>
          </w:p>
          <w:p>
            <w:pPr>
              <w:pStyle w:val="TableParagraph"/>
              <w:numPr>
                <w:ilvl w:val="0"/>
                <w:numId w:val="114"/>
              </w:numPr>
              <w:tabs>
                <w:tab w:pos="639" w:val="left" w:leader="none"/>
              </w:tabs>
              <w:spacing w:line="238" w:lineRule="exact" w:before="2" w:after="0"/>
              <w:ind w:left="638" w:right="0" w:hanging="530"/>
              <w:jc w:val="left"/>
              <w:rPr>
                <w:sz w:val="21"/>
              </w:rPr>
            </w:pPr>
            <w:r>
              <w:rPr>
                <w:spacing w:val="-8"/>
                <w:sz w:val="21"/>
              </w:rPr>
              <w:t>完全肠外营养支持 </w:t>
            </w:r>
            <w:r>
              <w:rPr>
                <w:spacing w:val="-2"/>
                <w:sz w:val="21"/>
              </w:rPr>
              <w:t>2</w:t>
            </w:r>
            <w:r>
              <w:rPr>
                <w:spacing w:val="-12"/>
                <w:sz w:val="21"/>
              </w:rPr>
              <w:t> 个月以上。</w:t>
            </w:r>
          </w:p>
          <w:p>
            <w:pPr>
              <w:pStyle w:val="TableParagraph"/>
              <w:spacing w:line="298" w:lineRule="exact"/>
              <w:ind w:left="109"/>
              <w:rPr>
                <w:rFonts w:ascii="微软雅黑" w:hAnsi="微软雅黑" w:eastAsia="微软雅黑"/>
                <w:b/>
                <w:sz w:val="21"/>
              </w:rPr>
            </w:pPr>
            <w:r>
              <w:rPr>
                <w:rFonts w:ascii="微软雅黑" w:hAnsi="微软雅黑" w:eastAsia="微软雅黑"/>
                <w:b/>
                <w:spacing w:val="-3"/>
                <w:sz w:val="21"/>
              </w:rPr>
              <w:t>因克罗恩病所致“中度肠道疾病并发症”不在保障范围内。</w:t>
            </w:r>
          </w:p>
          <w:p>
            <w:pPr>
              <w:pStyle w:val="TableParagraph"/>
              <w:spacing w:line="168" w:lineRule="auto" w:before="26"/>
              <w:ind w:left="109" w:right="151"/>
              <w:jc w:val="both"/>
              <w:rPr>
                <w:rFonts w:ascii="微软雅黑" w:hAnsi="微软雅黑" w:eastAsia="微软雅黑"/>
                <w:b/>
                <w:sz w:val="21"/>
              </w:rPr>
            </w:pPr>
            <w:r>
              <w:rPr>
                <w:rFonts w:ascii="微软雅黑" w:hAnsi="微软雅黑" w:eastAsia="微软雅黑"/>
                <w:b/>
                <w:spacing w:val="-2"/>
                <w:sz w:val="21"/>
              </w:rPr>
              <w:t>我们对“中度肠道疾病并发症”和“中度溃疡性结肠炎”两项中的其中一</w:t>
            </w:r>
            <w:r>
              <w:rPr>
                <w:rFonts w:ascii="微软雅黑" w:hAnsi="微软雅黑" w:eastAsia="微软雅黑"/>
                <w:b/>
                <w:spacing w:val="-2"/>
                <w:sz w:val="21"/>
              </w:rPr>
              <w:t>项承担保险责任，给付其中一项保险金后，对另外一项疾病保险责任同时</w:t>
            </w:r>
            <w:r>
              <w:rPr>
                <w:rFonts w:ascii="微软雅黑" w:hAnsi="微软雅黑" w:eastAsia="微软雅黑"/>
                <w:b/>
                <w:spacing w:val="-4"/>
                <w:sz w:val="21"/>
              </w:rPr>
              <w:t>终止。</w:t>
            </w:r>
          </w:p>
        </w:tc>
      </w:tr>
      <w:tr>
        <w:trPr>
          <w:trHeight w:val="2998" w:hRule="atLeast"/>
        </w:trPr>
        <w:tc>
          <w:tcPr>
            <w:tcW w:w="634" w:type="dxa"/>
          </w:tcPr>
          <w:p>
            <w:pPr>
              <w:pStyle w:val="TableParagraph"/>
              <w:spacing w:before="71"/>
              <w:ind w:left="50"/>
              <w:rPr>
                <w:rFonts w:ascii="微软雅黑"/>
                <w:b/>
                <w:sz w:val="21"/>
              </w:rPr>
            </w:pPr>
            <w:r>
              <w:rPr>
                <w:rFonts w:ascii="微软雅黑"/>
                <w:b/>
                <w:spacing w:val="-5"/>
                <w:w w:val="90"/>
                <w:sz w:val="21"/>
              </w:rPr>
              <w:t>45</w:t>
            </w:r>
          </w:p>
        </w:tc>
        <w:tc>
          <w:tcPr>
            <w:tcW w:w="1858" w:type="dxa"/>
          </w:tcPr>
          <w:p>
            <w:pPr>
              <w:pStyle w:val="TableParagraph"/>
              <w:spacing w:line="170" w:lineRule="auto" w:before="151"/>
              <w:ind w:left="373" w:right="106"/>
              <w:rPr>
                <w:rFonts w:ascii="微软雅黑" w:eastAsia="微软雅黑"/>
                <w:b/>
                <w:sz w:val="21"/>
              </w:rPr>
            </w:pPr>
            <w:r>
              <w:rPr>
                <w:rFonts w:ascii="微软雅黑" w:eastAsia="微软雅黑"/>
                <w:b/>
                <w:spacing w:val="15"/>
                <w:sz w:val="21"/>
              </w:rPr>
              <w:t>中度阿尔茨海</w:t>
            </w:r>
            <w:r>
              <w:rPr>
                <w:rFonts w:ascii="微软雅黑" w:eastAsia="微软雅黑"/>
                <w:b/>
                <w:spacing w:val="-6"/>
                <w:sz w:val="21"/>
              </w:rPr>
              <w:t>默病</w:t>
            </w:r>
          </w:p>
        </w:tc>
        <w:tc>
          <w:tcPr>
            <w:tcW w:w="6999" w:type="dxa"/>
          </w:tcPr>
          <w:p>
            <w:pPr>
              <w:pStyle w:val="TableParagraph"/>
              <w:spacing w:line="242" w:lineRule="auto" w:before="138"/>
              <w:ind w:left="109" w:right="151"/>
              <w:jc w:val="both"/>
              <w:rPr>
                <w:sz w:val="21"/>
              </w:rPr>
            </w:pPr>
            <w:r>
              <w:rPr>
                <w:spacing w:val="-2"/>
                <w:sz w:val="21"/>
              </w:rPr>
              <w:t>指因大脑进行性、不可逆性改变导致智能严重衰退或丧失，临床表现为明</w:t>
            </w:r>
            <w:r>
              <w:rPr>
                <w:spacing w:val="-2"/>
                <w:sz w:val="21"/>
              </w:rPr>
              <w:t>显的认知能力障碍、行为异常和社交能力减退，其日常生活必须持续受到</w:t>
            </w:r>
            <w:r>
              <w:rPr>
                <w:spacing w:val="-4"/>
                <w:sz w:val="21"/>
              </w:rPr>
              <w:t>他人监护。须由头颅断层扫描(CT)、核磁共振检查（MRI）</w:t>
            </w:r>
            <w:r>
              <w:rPr>
                <w:spacing w:val="-5"/>
                <w:sz w:val="21"/>
              </w:rPr>
              <w:t>或正电子发射断</w:t>
            </w:r>
          </w:p>
          <w:p>
            <w:pPr>
              <w:pStyle w:val="TableParagraph"/>
              <w:spacing w:line="180" w:lineRule="auto" w:before="56"/>
              <w:ind w:left="109" w:right="152"/>
              <w:jc w:val="both"/>
              <w:rPr>
                <w:rFonts w:ascii="微软雅黑" w:hAnsi="微软雅黑" w:eastAsia="微软雅黑"/>
                <w:b/>
                <w:sz w:val="21"/>
              </w:rPr>
            </w:pPr>
            <w:r>
              <w:rPr>
                <w:spacing w:val="-4"/>
                <w:sz w:val="21"/>
              </w:rPr>
              <w:t>层扫描（PET）等影像学检查证实，且自主生活能力严重丧失，经鉴定无法</w:t>
            </w:r>
            <w:r>
              <w:rPr>
                <w:spacing w:val="-2"/>
                <w:sz w:val="21"/>
              </w:rPr>
              <w:t>独立完成六项基本日常生活活动中的两项，</w:t>
            </w:r>
            <w:r>
              <w:rPr>
                <w:rFonts w:ascii="微软雅黑" w:hAnsi="微软雅黑" w:eastAsia="微软雅黑"/>
                <w:b/>
                <w:spacing w:val="-2"/>
                <w:sz w:val="21"/>
              </w:rPr>
              <w:t>但未达到本合同所指重大疾病 “严重阿尔茨海默病”的给付标准。</w:t>
            </w:r>
          </w:p>
          <w:p>
            <w:pPr>
              <w:pStyle w:val="TableParagraph"/>
              <w:spacing w:line="245" w:lineRule="exact"/>
              <w:ind w:left="109"/>
              <w:rPr>
                <w:rFonts w:ascii="微软雅黑" w:eastAsia="微软雅黑"/>
                <w:b/>
                <w:sz w:val="21"/>
              </w:rPr>
            </w:pPr>
            <w:r>
              <w:rPr>
                <w:rFonts w:ascii="微软雅黑" w:eastAsia="微软雅黑"/>
                <w:b/>
                <w:spacing w:val="-3"/>
                <w:sz w:val="21"/>
              </w:rPr>
              <w:t>以下情况不在保障范围内：</w:t>
            </w:r>
          </w:p>
          <w:p>
            <w:pPr>
              <w:pStyle w:val="TableParagraph"/>
              <w:numPr>
                <w:ilvl w:val="0"/>
                <w:numId w:val="115"/>
              </w:numPr>
              <w:tabs>
                <w:tab w:pos="639" w:val="left" w:leader="none"/>
              </w:tabs>
              <w:spacing w:line="168" w:lineRule="auto" w:before="26" w:after="0"/>
              <w:ind w:left="620" w:right="154" w:hanging="512"/>
              <w:jc w:val="left"/>
              <w:rPr>
                <w:rFonts w:ascii="微软雅黑" w:eastAsia="微软雅黑"/>
                <w:b/>
                <w:sz w:val="21"/>
              </w:rPr>
            </w:pPr>
            <w:r>
              <w:rPr>
                <w:rFonts w:ascii="微软雅黑" w:eastAsia="微软雅黑"/>
                <w:b/>
                <w:spacing w:val="2"/>
                <w:w w:val="100"/>
                <w:sz w:val="21"/>
              </w:rPr>
              <w:t>存在酒精滥用、药物滥用或获得性免疫缺陷综合征</w:t>
            </w:r>
            <w:r>
              <w:rPr>
                <w:rFonts w:ascii="微软雅黑" w:eastAsia="微软雅黑"/>
                <w:b/>
                <w:spacing w:val="9"/>
                <w:w w:val="100"/>
                <w:sz w:val="21"/>
              </w:rPr>
              <w:t>（</w:t>
            </w:r>
            <w:r>
              <w:rPr>
                <w:rFonts w:ascii="微软雅黑" w:eastAsia="微软雅黑"/>
                <w:b/>
                <w:w w:val="80"/>
                <w:sz w:val="21"/>
              </w:rPr>
              <w:t>AI</w:t>
            </w:r>
            <w:r>
              <w:rPr>
                <w:rFonts w:ascii="微软雅黑" w:eastAsia="微软雅黑"/>
                <w:b/>
                <w:spacing w:val="2"/>
                <w:w w:val="80"/>
                <w:sz w:val="21"/>
              </w:rPr>
              <w:t>D</w:t>
            </w:r>
            <w:r>
              <w:rPr>
                <w:rFonts w:ascii="微软雅黑" w:eastAsia="微软雅黑"/>
                <w:b/>
                <w:spacing w:val="2"/>
                <w:w w:val="83"/>
                <w:sz w:val="21"/>
              </w:rPr>
              <w:t>S</w:t>
            </w:r>
            <w:r>
              <w:rPr>
                <w:rFonts w:ascii="微软雅黑" w:eastAsia="微软雅黑"/>
                <w:b/>
                <w:spacing w:val="2"/>
                <w:w w:val="100"/>
                <w:sz w:val="21"/>
              </w:rPr>
              <w:t>）情况下</w:t>
            </w:r>
            <w:r>
              <w:rPr>
                <w:rFonts w:ascii="微软雅黑" w:eastAsia="微软雅黑"/>
                <w:b/>
                <w:w w:val="100"/>
                <w:sz w:val="21"/>
              </w:rPr>
              <w:t>的痴呆；</w:t>
            </w:r>
          </w:p>
          <w:p>
            <w:pPr>
              <w:pStyle w:val="TableParagraph"/>
              <w:numPr>
                <w:ilvl w:val="0"/>
                <w:numId w:val="115"/>
              </w:numPr>
              <w:tabs>
                <w:tab w:pos="639" w:val="left" w:leader="none"/>
              </w:tabs>
              <w:spacing w:line="307" w:lineRule="exact" w:before="0" w:after="0"/>
              <w:ind w:left="638" w:right="0" w:hanging="530"/>
              <w:jc w:val="left"/>
              <w:rPr>
                <w:rFonts w:ascii="微软雅黑" w:eastAsia="微软雅黑"/>
                <w:b/>
                <w:sz w:val="21"/>
              </w:rPr>
            </w:pPr>
            <w:r>
              <w:rPr>
                <w:rFonts w:ascii="微软雅黑" w:eastAsia="微软雅黑"/>
                <w:b/>
                <w:spacing w:val="-3"/>
                <w:sz w:val="21"/>
              </w:rPr>
              <w:t>神经官能症和精神疾病。</w:t>
            </w:r>
          </w:p>
        </w:tc>
      </w:tr>
      <w:tr>
        <w:trPr>
          <w:trHeight w:val="2450" w:hRule="atLeast"/>
        </w:trPr>
        <w:tc>
          <w:tcPr>
            <w:tcW w:w="634" w:type="dxa"/>
          </w:tcPr>
          <w:p>
            <w:pPr>
              <w:pStyle w:val="TableParagraph"/>
              <w:spacing w:before="71"/>
              <w:ind w:left="50"/>
              <w:rPr>
                <w:rFonts w:ascii="微软雅黑"/>
                <w:b/>
                <w:sz w:val="21"/>
              </w:rPr>
            </w:pPr>
            <w:r>
              <w:rPr>
                <w:rFonts w:ascii="微软雅黑"/>
                <w:b/>
                <w:spacing w:val="-5"/>
                <w:w w:val="90"/>
                <w:sz w:val="21"/>
              </w:rPr>
              <w:t>46</w:t>
            </w:r>
          </w:p>
        </w:tc>
        <w:tc>
          <w:tcPr>
            <w:tcW w:w="1858" w:type="dxa"/>
          </w:tcPr>
          <w:p>
            <w:pPr>
              <w:pStyle w:val="TableParagraph"/>
              <w:spacing w:line="168" w:lineRule="auto" w:before="154"/>
              <w:ind w:left="373" w:right="106"/>
              <w:rPr>
                <w:rFonts w:ascii="微软雅黑" w:eastAsia="微软雅黑"/>
                <w:b/>
                <w:sz w:val="21"/>
              </w:rPr>
            </w:pPr>
            <w:r>
              <w:rPr>
                <w:rFonts w:ascii="微软雅黑" w:eastAsia="微软雅黑"/>
                <w:b/>
                <w:spacing w:val="15"/>
                <w:sz w:val="21"/>
              </w:rPr>
              <w:t>中度原发性帕</w:t>
            </w:r>
            <w:r>
              <w:rPr>
                <w:rFonts w:ascii="微软雅黑" w:eastAsia="微软雅黑"/>
                <w:b/>
                <w:spacing w:val="-4"/>
                <w:sz w:val="21"/>
              </w:rPr>
              <w:t>金森病</w:t>
            </w:r>
          </w:p>
        </w:tc>
        <w:tc>
          <w:tcPr>
            <w:tcW w:w="6999" w:type="dxa"/>
          </w:tcPr>
          <w:p>
            <w:pPr>
              <w:pStyle w:val="TableParagraph"/>
              <w:spacing w:before="6"/>
              <w:rPr>
                <w:rFonts w:ascii="微软雅黑"/>
                <w:b/>
                <w:sz w:val="10"/>
              </w:rPr>
            </w:pPr>
          </w:p>
          <w:p>
            <w:pPr>
              <w:pStyle w:val="TableParagraph"/>
              <w:spacing w:line="180" w:lineRule="auto"/>
              <w:ind w:left="109" w:right="154"/>
              <w:jc w:val="both"/>
              <w:rPr>
                <w:rFonts w:ascii="微软雅黑" w:hAnsi="微软雅黑" w:eastAsia="微软雅黑"/>
                <w:b/>
                <w:sz w:val="21"/>
              </w:rPr>
            </w:pPr>
            <w:r>
              <w:rPr>
                <w:spacing w:val="-2"/>
                <w:sz w:val="21"/>
              </w:rPr>
              <w:t>是一种中枢神经系统的退行性疾病，临床表现为震颤麻痹、共济失调等。</w:t>
            </w:r>
            <w:r>
              <w:rPr>
                <w:spacing w:val="-2"/>
                <w:sz w:val="21"/>
              </w:rPr>
              <w:t>须满足下列全部条件，</w:t>
            </w:r>
            <w:r>
              <w:rPr>
                <w:rFonts w:ascii="微软雅黑" w:hAnsi="微软雅黑" w:eastAsia="微软雅黑"/>
                <w:b/>
                <w:spacing w:val="-2"/>
                <w:sz w:val="21"/>
              </w:rPr>
              <w:t>且未达到本合同所指重大疾病“严重原发性帕金森</w:t>
            </w:r>
            <w:r>
              <w:rPr>
                <w:rFonts w:ascii="微软雅黑" w:hAnsi="微软雅黑" w:eastAsia="微软雅黑"/>
                <w:b/>
                <w:spacing w:val="-2"/>
                <w:sz w:val="21"/>
              </w:rPr>
              <w:t>病”的给付标准。</w:t>
            </w:r>
          </w:p>
          <w:p>
            <w:pPr>
              <w:pStyle w:val="TableParagraph"/>
              <w:numPr>
                <w:ilvl w:val="0"/>
                <w:numId w:val="116"/>
              </w:numPr>
              <w:tabs>
                <w:tab w:pos="639" w:val="left" w:leader="none"/>
              </w:tabs>
              <w:spacing w:line="250" w:lineRule="exact" w:before="0" w:after="0"/>
              <w:ind w:left="638" w:right="0" w:hanging="530"/>
              <w:jc w:val="left"/>
              <w:rPr>
                <w:sz w:val="21"/>
              </w:rPr>
            </w:pPr>
            <w:r>
              <w:rPr>
                <w:spacing w:val="-3"/>
                <w:sz w:val="21"/>
              </w:rPr>
              <w:t>药物治疗无法控制病情；</w:t>
            </w:r>
          </w:p>
          <w:p>
            <w:pPr>
              <w:pStyle w:val="TableParagraph"/>
              <w:numPr>
                <w:ilvl w:val="0"/>
                <w:numId w:val="116"/>
              </w:numPr>
              <w:tabs>
                <w:tab w:pos="639" w:val="left" w:leader="none"/>
              </w:tabs>
              <w:spacing w:line="244" w:lineRule="auto" w:before="2" w:after="0"/>
              <w:ind w:left="620" w:right="151" w:hanging="512"/>
              <w:jc w:val="left"/>
              <w:rPr>
                <w:sz w:val="21"/>
              </w:rPr>
            </w:pPr>
            <w:r>
              <w:rPr>
                <w:spacing w:val="-7"/>
                <w:sz w:val="21"/>
              </w:rPr>
              <w:t>经鉴定至少持续 </w:t>
            </w:r>
            <w:r>
              <w:rPr>
                <w:sz w:val="21"/>
              </w:rPr>
              <w:t>180</w:t>
            </w:r>
            <w:r>
              <w:rPr>
                <w:spacing w:val="-14"/>
                <w:sz w:val="21"/>
              </w:rPr>
              <w:t> 天自主生活能力部分丧失，无法独立完成六项基</w:t>
            </w:r>
            <w:r>
              <w:rPr>
                <w:spacing w:val="-2"/>
                <w:sz w:val="21"/>
              </w:rPr>
              <w:t>本日常生活活动中的两项。</w:t>
            </w:r>
          </w:p>
          <w:p>
            <w:pPr>
              <w:pStyle w:val="TableParagraph"/>
              <w:spacing w:line="259" w:lineRule="exact"/>
              <w:ind w:left="109"/>
              <w:rPr>
                <w:rFonts w:ascii="微软雅黑" w:eastAsia="微软雅黑"/>
                <w:b/>
                <w:sz w:val="21"/>
              </w:rPr>
            </w:pPr>
            <w:r>
              <w:rPr>
                <w:rFonts w:ascii="微软雅黑" w:eastAsia="微软雅黑"/>
                <w:b/>
                <w:spacing w:val="-3"/>
                <w:sz w:val="21"/>
              </w:rPr>
              <w:t>继发性帕金森综合征不在保障范围内。</w:t>
            </w:r>
          </w:p>
          <w:p>
            <w:pPr>
              <w:pStyle w:val="TableParagraph"/>
              <w:spacing w:line="330" w:lineRule="exact"/>
              <w:ind w:left="109"/>
              <w:rPr>
                <w:rFonts w:ascii="微软雅黑" w:eastAsia="微软雅黑"/>
                <w:b/>
                <w:sz w:val="21"/>
              </w:rPr>
            </w:pPr>
            <w:r>
              <w:rPr>
                <w:rFonts w:ascii="微软雅黑" w:eastAsia="微软雅黑"/>
                <w:b/>
                <w:spacing w:val="-3"/>
                <w:sz w:val="21"/>
              </w:rPr>
              <w:t>继发于酒精，毒品或药物滥用不在保障范围内。</w:t>
            </w:r>
          </w:p>
        </w:tc>
      </w:tr>
      <w:tr>
        <w:trPr>
          <w:trHeight w:val="3269" w:hRule="atLeast"/>
        </w:trPr>
        <w:tc>
          <w:tcPr>
            <w:tcW w:w="634" w:type="dxa"/>
          </w:tcPr>
          <w:p>
            <w:pPr>
              <w:pStyle w:val="TableParagraph"/>
              <w:spacing w:before="71"/>
              <w:ind w:left="50"/>
              <w:rPr>
                <w:rFonts w:ascii="微软雅黑"/>
                <w:b/>
                <w:sz w:val="21"/>
              </w:rPr>
            </w:pPr>
            <w:r>
              <w:rPr>
                <w:rFonts w:ascii="微软雅黑"/>
                <w:b/>
                <w:spacing w:val="-5"/>
                <w:w w:val="90"/>
                <w:sz w:val="21"/>
              </w:rPr>
              <w:t>47</w:t>
            </w:r>
          </w:p>
        </w:tc>
        <w:tc>
          <w:tcPr>
            <w:tcW w:w="1858" w:type="dxa"/>
          </w:tcPr>
          <w:p>
            <w:pPr>
              <w:pStyle w:val="TableParagraph"/>
              <w:spacing w:before="71"/>
              <w:ind w:left="373"/>
              <w:rPr>
                <w:rFonts w:ascii="微软雅黑" w:eastAsia="微软雅黑"/>
                <w:b/>
                <w:sz w:val="21"/>
              </w:rPr>
            </w:pPr>
            <w:r>
              <w:rPr>
                <w:rFonts w:ascii="微软雅黑" w:eastAsia="微软雅黑"/>
                <w:b/>
                <w:spacing w:val="-2"/>
                <w:sz w:val="21"/>
              </w:rPr>
              <w:t>肝叶切除术</w:t>
            </w:r>
          </w:p>
        </w:tc>
        <w:tc>
          <w:tcPr>
            <w:tcW w:w="6999" w:type="dxa"/>
          </w:tcPr>
          <w:p>
            <w:pPr>
              <w:pStyle w:val="TableParagraph"/>
              <w:spacing w:line="242" w:lineRule="auto" w:before="138"/>
              <w:ind w:left="109" w:right="154"/>
              <w:jc w:val="both"/>
              <w:rPr>
                <w:sz w:val="21"/>
              </w:rPr>
            </w:pPr>
            <w:r>
              <w:rPr>
                <w:spacing w:val="-2"/>
                <w:sz w:val="21"/>
              </w:rPr>
              <w:t>指因疾病或意外伤害导致肝脏严重损害，已经实施了肝左叶切除手术或肝</w:t>
            </w:r>
            <w:r>
              <w:rPr>
                <w:spacing w:val="-2"/>
                <w:sz w:val="21"/>
              </w:rPr>
              <w:t>右叶切除手术（备注：本定义是按肝脏的传统解剖分段法将肝脏分为肝左</w:t>
            </w:r>
            <w:r>
              <w:rPr>
                <w:spacing w:val="-2"/>
                <w:sz w:val="21"/>
              </w:rPr>
              <w:t>叶和肝右叶）。</w:t>
            </w:r>
          </w:p>
          <w:p>
            <w:pPr>
              <w:pStyle w:val="TableParagraph"/>
              <w:spacing w:line="264" w:lineRule="exact"/>
              <w:ind w:left="109"/>
              <w:rPr>
                <w:rFonts w:ascii="微软雅黑" w:eastAsia="微软雅黑"/>
                <w:b/>
                <w:sz w:val="21"/>
              </w:rPr>
            </w:pPr>
            <w:r>
              <w:rPr>
                <w:rFonts w:ascii="微软雅黑" w:eastAsia="微软雅黑"/>
                <w:b/>
                <w:spacing w:val="-3"/>
                <w:sz w:val="21"/>
              </w:rPr>
              <w:t>下列情况不在保障范围内：</w:t>
            </w:r>
          </w:p>
          <w:p>
            <w:pPr>
              <w:pStyle w:val="TableParagraph"/>
              <w:numPr>
                <w:ilvl w:val="0"/>
                <w:numId w:val="117"/>
              </w:numPr>
              <w:tabs>
                <w:tab w:pos="639" w:val="left" w:leader="none"/>
              </w:tabs>
              <w:spacing w:line="272" w:lineRule="exact" w:before="0" w:after="0"/>
              <w:ind w:left="638" w:right="0" w:hanging="530"/>
              <w:jc w:val="left"/>
              <w:rPr>
                <w:rFonts w:ascii="微软雅黑" w:eastAsia="微软雅黑"/>
                <w:b/>
                <w:sz w:val="21"/>
              </w:rPr>
            </w:pPr>
            <w:r>
              <w:rPr>
                <w:rFonts w:ascii="微软雅黑" w:eastAsia="微软雅黑"/>
                <w:b/>
                <w:spacing w:val="-3"/>
                <w:sz w:val="21"/>
              </w:rPr>
              <w:t>肝区切除、肝段切除手术；</w:t>
            </w:r>
          </w:p>
          <w:p>
            <w:pPr>
              <w:pStyle w:val="TableParagraph"/>
              <w:numPr>
                <w:ilvl w:val="0"/>
                <w:numId w:val="117"/>
              </w:numPr>
              <w:tabs>
                <w:tab w:pos="639" w:val="left" w:leader="none"/>
              </w:tabs>
              <w:spacing w:line="272" w:lineRule="exact" w:before="0" w:after="0"/>
              <w:ind w:left="638" w:right="0" w:hanging="530"/>
              <w:jc w:val="left"/>
              <w:rPr>
                <w:rFonts w:ascii="微软雅黑" w:eastAsia="微软雅黑"/>
                <w:b/>
                <w:sz w:val="21"/>
              </w:rPr>
            </w:pPr>
            <w:r>
              <w:rPr>
                <w:rFonts w:ascii="微软雅黑" w:eastAsia="微软雅黑"/>
                <w:b/>
                <w:spacing w:val="-3"/>
                <w:sz w:val="21"/>
              </w:rPr>
              <w:t>因酒精或者滥用药物引致的疾病或者紊乱；</w:t>
            </w:r>
          </w:p>
          <w:p>
            <w:pPr>
              <w:pStyle w:val="TableParagraph"/>
              <w:numPr>
                <w:ilvl w:val="0"/>
                <w:numId w:val="117"/>
              </w:numPr>
              <w:tabs>
                <w:tab w:pos="639" w:val="left" w:leader="none"/>
              </w:tabs>
              <w:spacing w:line="272" w:lineRule="exact" w:before="0" w:after="0"/>
              <w:ind w:left="638" w:right="0" w:hanging="530"/>
              <w:jc w:val="left"/>
              <w:rPr>
                <w:rFonts w:ascii="微软雅黑" w:eastAsia="微软雅黑"/>
                <w:b/>
                <w:sz w:val="21"/>
              </w:rPr>
            </w:pPr>
            <w:r>
              <w:rPr>
                <w:rFonts w:ascii="微软雅黑" w:eastAsia="微软雅黑"/>
                <w:b/>
                <w:spacing w:val="-3"/>
                <w:sz w:val="21"/>
              </w:rPr>
              <w:t>因恶性肿瘤进行的肝切除手术；</w:t>
            </w:r>
          </w:p>
          <w:p>
            <w:pPr>
              <w:pStyle w:val="TableParagraph"/>
              <w:numPr>
                <w:ilvl w:val="0"/>
                <w:numId w:val="117"/>
              </w:numPr>
              <w:tabs>
                <w:tab w:pos="639" w:val="left" w:leader="none"/>
              </w:tabs>
              <w:spacing w:line="272" w:lineRule="exact" w:before="0" w:after="0"/>
              <w:ind w:left="638" w:right="0" w:hanging="530"/>
              <w:jc w:val="left"/>
              <w:rPr>
                <w:rFonts w:ascii="微软雅黑" w:eastAsia="微软雅黑"/>
                <w:b/>
                <w:sz w:val="21"/>
              </w:rPr>
            </w:pPr>
            <w:r>
              <w:rPr>
                <w:rFonts w:ascii="微软雅黑" w:eastAsia="微软雅黑"/>
                <w:b/>
                <w:spacing w:val="-3"/>
                <w:sz w:val="21"/>
              </w:rPr>
              <w:t>作为器官捐献者而实施的肝切除手术。</w:t>
            </w:r>
          </w:p>
          <w:p>
            <w:pPr>
              <w:pStyle w:val="TableParagraph"/>
              <w:spacing w:line="168" w:lineRule="auto" w:before="26"/>
              <w:ind w:left="109" w:right="154"/>
              <w:jc w:val="both"/>
              <w:rPr>
                <w:rFonts w:ascii="微软雅黑" w:hAnsi="微软雅黑" w:eastAsia="微软雅黑"/>
                <w:b/>
                <w:sz w:val="21"/>
              </w:rPr>
            </w:pPr>
            <w:r>
              <w:rPr>
                <w:rFonts w:ascii="微软雅黑" w:hAnsi="微软雅黑" w:eastAsia="微软雅黑"/>
                <w:b/>
                <w:spacing w:val="-2"/>
                <w:sz w:val="21"/>
              </w:rPr>
              <w:t>我们对“慢性肝功能衰竭”、“早期肝硬化”、“病毒性肝炎导致的肝硬化”、“肝叶切除术”四项中的其中一项承担保险责任，给付其中一项保</w:t>
            </w:r>
            <w:r>
              <w:rPr>
                <w:rFonts w:ascii="微软雅黑" w:hAnsi="微软雅黑" w:eastAsia="微软雅黑"/>
                <w:b/>
                <w:spacing w:val="-2"/>
                <w:sz w:val="21"/>
              </w:rPr>
              <w:t>险金后，对其他三项疾病保险责任同时终止。</w:t>
            </w:r>
          </w:p>
        </w:tc>
      </w:tr>
      <w:tr>
        <w:trPr>
          <w:trHeight w:val="1087" w:hRule="atLeast"/>
        </w:trPr>
        <w:tc>
          <w:tcPr>
            <w:tcW w:w="634" w:type="dxa"/>
          </w:tcPr>
          <w:p>
            <w:pPr>
              <w:pStyle w:val="TableParagraph"/>
              <w:spacing w:before="71"/>
              <w:ind w:left="50"/>
              <w:rPr>
                <w:rFonts w:ascii="微软雅黑"/>
                <w:b/>
                <w:sz w:val="21"/>
              </w:rPr>
            </w:pPr>
            <w:r>
              <w:rPr>
                <w:rFonts w:ascii="微软雅黑"/>
                <w:b/>
                <w:spacing w:val="-5"/>
                <w:w w:val="90"/>
                <w:sz w:val="21"/>
              </w:rPr>
              <w:t>48</w:t>
            </w:r>
          </w:p>
        </w:tc>
        <w:tc>
          <w:tcPr>
            <w:tcW w:w="1858" w:type="dxa"/>
          </w:tcPr>
          <w:p>
            <w:pPr>
              <w:pStyle w:val="TableParagraph"/>
              <w:spacing w:line="168" w:lineRule="auto" w:before="154"/>
              <w:ind w:left="373" w:right="106"/>
              <w:rPr>
                <w:rFonts w:ascii="微软雅黑" w:eastAsia="微软雅黑"/>
                <w:b/>
                <w:sz w:val="21"/>
              </w:rPr>
            </w:pPr>
            <w:r>
              <w:rPr>
                <w:rFonts w:ascii="微软雅黑" w:eastAsia="微软雅黑"/>
                <w:b/>
                <w:spacing w:val="15"/>
                <w:sz w:val="21"/>
              </w:rPr>
              <w:t>肾动脉狭窄支</w:t>
            </w:r>
            <w:r>
              <w:rPr>
                <w:rFonts w:ascii="微软雅黑" w:eastAsia="微软雅黑"/>
                <w:b/>
                <w:spacing w:val="-2"/>
                <w:sz w:val="21"/>
              </w:rPr>
              <w:t>架植入手术</w:t>
            </w:r>
          </w:p>
        </w:tc>
        <w:tc>
          <w:tcPr>
            <w:tcW w:w="6999" w:type="dxa"/>
          </w:tcPr>
          <w:p>
            <w:pPr>
              <w:pStyle w:val="TableParagraph"/>
              <w:spacing w:line="216" w:lineRule="auto" w:before="159"/>
              <w:ind w:left="109" w:right="46"/>
              <w:rPr>
                <w:rFonts w:ascii="微软雅黑" w:eastAsia="微软雅黑"/>
                <w:b/>
                <w:sz w:val="21"/>
              </w:rPr>
            </w:pPr>
            <w:r>
              <w:rPr>
                <w:spacing w:val="-2"/>
                <w:sz w:val="21"/>
              </w:rPr>
              <w:t>肾动脉狭窄支架植入手术指被保险人因肾动脉狭窄（经血管造影术证明一</w:t>
            </w:r>
            <w:r>
              <w:rPr>
                <w:spacing w:val="-8"/>
                <w:sz w:val="21"/>
              </w:rPr>
              <w:t>条或以上的血管存在 </w:t>
            </w:r>
            <w:r>
              <w:rPr>
                <w:spacing w:val="-2"/>
                <w:sz w:val="21"/>
              </w:rPr>
              <w:t>50%或以上狭窄）而实际接受了肾动脉支架植入手术。</w:t>
            </w:r>
            <w:r>
              <w:rPr>
                <w:rFonts w:ascii="微软雅黑" w:eastAsia="微软雅黑"/>
                <w:b/>
                <w:spacing w:val="-2"/>
                <w:sz w:val="21"/>
              </w:rPr>
              <w:t>肾动脉分支血管的支架植入除外。</w:t>
            </w:r>
          </w:p>
        </w:tc>
      </w:tr>
      <w:tr>
        <w:trPr>
          <w:trHeight w:val="1467" w:hRule="atLeast"/>
        </w:trPr>
        <w:tc>
          <w:tcPr>
            <w:tcW w:w="634" w:type="dxa"/>
          </w:tcPr>
          <w:p>
            <w:pPr>
              <w:pStyle w:val="TableParagraph"/>
              <w:spacing w:before="71"/>
              <w:ind w:left="50"/>
              <w:rPr>
                <w:rFonts w:ascii="微软雅黑"/>
                <w:b/>
                <w:sz w:val="21"/>
              </w:rPr>
            </w:pPr>
            <w:r>
              <w:rPr>
                <w:rFonts w:ascii="微软雅黑"/>
                <w:b/>
                <w:spacing w:val="-5"/>
                <w:w w:val="90"/>
                <w:sz w:val="21"/>
              </w:rPr>
              <w:t>49</w:t>
            </w:r>
          </w:p>
        </w:tc>
        <w:tc>
          <w:tcPr>
            <w:tcW w:w="1858" w:type="dxa"/>
          </w:tcPr>
          <w:p>
            <w:pPr>
              <w:pStyle w:val="TableParagraph"/>
              <w:spacing w:before="71"/>
              <w:ind w:left="373"/>
              <w:rPr>
                <w:rFonts w:ascii="微软雅黑" w:eastAsia="微软雅黑"/>
                <w:b/>
                <w:sz w:val="21"/>
              </w:rPr>
            </w:pPr>
            <w:r>
              <w:rPr>
                <w:rFonts w:ascii="微软雅黑" w:eastAsia="微软雅黑"/>
                <w:b/>
                <w:spacing w:val="-2"/>
                <w:sz w:val="21"/>
              </w:rPr>
              <w:t>结核性脊髓炎</w:t>
            </w:r>
          </w:p>
        </w:tc>
        <w:tc>
          <w:tcPr>
            <w:tcW w:w="6999" w:type="dxa"/>
          </w:tcPr>
          <w:p>
            <w:pPr>
              <w:pStyle w:val="TableParagraph"/>
              <w:spacing w:line="244" w:lineRule="auto" w:before="138"/>
              <w:ind w:left="109" w:right="154"/>
              <w:rPr>
                <w:sz w:val="21"/>
              </w:rPr>
            </w:pPr>
            <w:r>
              <w:rPr>
                <w:spacing w:val="-2"/>
                <w:sz w:val="21"/>
              </w:rPr>
              <w:t>因结核杆菌引起的脊髓炎，导致永久性神经系统功能中度障碍，即：疾病</w:t>
            </w:r>
            <w:r>
              <w:rPr>
                <w:spacing w:val="-4"/>
                <w:sz w:val="21"/>
              </w:rPr>
              <w:t>确诊初次发生 </w:t>
            </w:r>
            <w:r>
              <w:rPr>
                <w:sz w:val="21"/>
              </w:rPr>
              <w:t>180</w:t>
            </w:r>
            <w:r>
              <w:rPr>
                <w:spacing w:val="-5"/>
                <w:sz w:val="21"/>
              </w:rPr>
              <w:t> 天后，仍遗留下列一种或一种以上障碍：</w:t>
            </w:r>
          </w:p>
          <w:p>
            <w:pPr>
              <w:pStyle w:val="TableParagraph"/>
              <w:numPr>
                <w:ilvl w:val="0"/>
                <w:numId w:val="118"/>
              </w:numPr>
              <w:tabs>
                <w:tab w:pos="639" w:val="left" w:leader="none"/>
              </w:tabs>
              <w:spacing w:line="265" w:lineRule="exact" w:before="0" w:after="0"/>
              <w:ind w:left="638" w:right="0" w:hanging="530"/>
              <w:jc w:val="left"/>
              <w:rPr>
                <w:sz w:val="21"/>
              </w:rPr>
            </w:pPr>
            <w:r>
              <w:rPr>
                <w:spacing w:val="-7"/>
                <w:sz w:val="21"/>
              </w:rPr>
              <w:t>一肢或一肢以上肢体肌力 </w:t>
            </w:r>
            <w:r>
              <w:rPr>
                <w:spacing w:val="-2"/>
                <w:sz w:val="21"/>
              </w:rPr>
              <w:t>3</w:t>
            </w:r>
            <w:r>
              <w:rPr>
                <w:spacing w:val="-27"/>
                <w:sz w:val="21"/>
              </w:rPr>
              <w:t> 级或 </w:t>
            </w:r>
            <w:r>
              <w:rPr>
                <w:spacing w:val="-2"/>
                <w:sz w:val="21"/>
              </w:rPr>
              <w:t>3</w:t>
            </w:r>
            <w:r>
              <w:rPr>
                <w:spacing w:val="-10"/>
                <w:sz w:val="21"/>
              </w:rPr>
              <w:t> 级以下的运动功能障碍；</w:t>
            </w:r>
          </w:p>
          <w:p>
            <w:pPr>
              <w:pStyle w:val="TableParagraph"/>
              <w:numPr>
                <w:ilvl w:val="0"/>
                <w:numId w:val="118"/>
              </w:numPr>
              <w:tabs>
                <w:tab w:pos="639" w:val="left" w:leader="none"/>
              </w:tabs>
              <w:spacing w:line="270" w:lineRule="atLeast" w:before="0" w:after="0"/>
              <w:ind w:left="635" w:right="151" w:hanging="526"/>
              <w:jc w:val="left"/>
              <w:rPr>
                <w:sz w:val="21"/>
              </w:rPr>
            </w:pPr>
            <w:r>
              <w:rPr>
                <w:spacing w:val="-2"/>
                <w:sz w:val="21"/>
              </w:rPr>
              <w:t>自主生活能力部分丧失，无法独立完成六项基本日常生活活动中的</w:t>
            </w:r>
            <w:r>
              <w:rPr>
                <w:spacing w:val="-11"/>
                <w:sz w:val="21"/>
              </w:rPr>
              <w:t>二项或二项以上。该疾病必须由我们认可医院的神经专科医生证实。</w:t>
            </w:r>
            <w:r>
              <w:rPr>
                <w:spacing w:val="-10"/>
                <w:sz w:val="21"/>
              </w:rPr>
              <w:t>并</w:t>
            </w:r>
          </w:p>
        </w:tc>
      </w:tr>
    </w:tbl>
    <w:p>
      <w:pPr>
        <w:spacing w:line="194" w:lineRule="auto" w:before="76"/>
        <w:ind w:left="2805" w:right="2734" w:firstLine="525"/>
        <w:jc w:val="left"/>
        <w:rPr>
          <w:rFonts w:ascii="微软雅黑" w:hAnsi="微软雅黑" w:eastAsia="微软雅黑"/>
          <w:b/>
          <w:sz w:val="21"/>
        </w:rPr>
      </w:pPr>
      <w:r>
        <w:rPr>
          <w:spacing w:val="-2"/>
          <w:sz w:val="21"/>
        </w:rPr>
        <w:t>必须由适当的检查证明为结核性脊髓炎。</w:t>
      </w:r>
      <w:r>
        <w:rPr>
          <w:rFonts w:ascii="微软雅黑" w:hAnsi="微软雅黑" w:eastAsia="微软雅黑"/>
          <w:b/>
          <w:spacing w:val="-1"/>
          <w:sz w:val="21"/>
        </w:rPr>
        <w:t>但未达到 “严重结核性脊髓炎”的给付标准。</w:t>
      </w:r>
    </w:p>
    <w:p>
      <w:pPr>
        <w:spacing w:after="0" w:line="194" w:lineRule="auto"/>
        <w:jc w:val="left"/>
        <w:rPr>
          <w:rFonts w:ascii="微软雅黑" w:hAnsi="微软雅黑" w:eastAsia="微软雅黑"/>
          <w:sz w:val="21"/>
        </w:rPr>
        <w:sectPr>
          <w:pgSz w:w="11910" w:h="16840"/>
          <w:pgMar w:header="877" w:footer="0" w:top="1100" w:bottom="280" w:left="1060" w:right="980"/>
        </w:sectPr>
      </w:pPr>
    </w:p>
    <w:p>
      <w:pPr>
        <w:tabs>
          <w:tab w:pos="1210" w:val="left" w:leader="none"/>
          <w:tab w:pos="2804" w:val="left" w:leader="none"/>
        </w:tabs>
        <w:spacing w:line="180" w:lineRule="auto" w:before="85"/>
        <w:ind w:left="2805" w:right="321" w:hanging="2552"/>
        <w:jc w:val="both"/>
        <w:rPr>
          <w:sz w:val="21"/>
        </w:rPr>
      </w:pPr>
      <w:r>
        <w:rPr>
          <w:rFonts w:ascii="微软雅黑" w:hAnsi="微软雅黑" w:eastAsia="微软雅黑"/>
          <w:b/>
          <w:spacing w:val="-6"/>
          <w:sz w:val="21"/>
        </w:rPr>
        <w:t>50</w:t>
      </w:r>
      <w:r>
        <w:rPr>
          <w:rFonts w:ascii="微软雅黑" w:hAnsi="微软雅黑" w:eastAsia="微软雅黑"/>
          <w:b/>
          <w:sz w:val="21"/>
        </w:rPr>
        <w:tab/>
      </w:r>
      <w:r>
        <w:rPr>
          <w:rFonts w:ascii="微软雅黑" w:hAnsi="微软雅黑" w:eastAsia="微软雅黑"/>
          <w:b/>
          <w:spacing w:val="-4"/>
          <w:sz w:val="21"/>
        </w:rPr>
        <w:t>中</w:t>
      </w:r>
      <w:r>
        <w:rPr>
          <w:rFonts w:ascii="微软雅黑" w:hAnsi="微软雅黑" w:eastAsia="微软雅黑"/>
          <w:b/>
          <w:spacing w:val="-4"/>
          <w:sz w:val="21"/>
        </w:rPr>
        <w:t>度</w:t>
      </w:r>
      <w:r>
        <w:rPr>
          <w:rFonts w:ascii="微软雅黑" w:hAnsi="微软雅黑" w:eastAsia="微软雅黑"/>
          <w:b/>
          <w:spacing w:val="-4"/>
          <w:sz w:val="21"/>
        </w:rPr>
        <w:t>昏</w:t>
      </w:r>
      <w:r>
        <w:rPr>
          <w:rFonts w:ascii="微软雅黑" w:hAnsi="微软雅黑" w:eastAsia="微软雅黑"/>
          <w:b/>
          <w:spacing w:val="-4"/>
          <w:sz w:val="21"/>
        </w:rPr>
        <w:t>迷</w:t>
      </w:r>
      <w:r>
        <w:rPr>
          <w:rFonts w:ascii="微软雅黑" w:hAnsi="微软雅黑" w:eastAsia="微软雅黑"/>
          <w:b/>
          <w:sz w:val="21"/>
        </w:rPr>
        <w:tab/>
      </w:r>
      <w:r>
        <w:rPr>
          <w:spacing w:val="-2"/>
          <w:sz w:val="21"/>
        </w:rPr>
        <w:t>处</w:t>
      </w:r>
      <w:r>
        <w:rPr>
          <w:spacing w:val="-2"/>
          <w:sz w:val="21"/>
        </w:rPr>
        <w:t>于</w:t>
      </w:r>
      <w:r>
        <w:rPr>
          <w:spacing w:val="-2"/>
          <w:sz w:val="21"/>
        </w:rPr>
        <w:t>昏迷的状态，对外界</w:t>
      </w:r>
      <w:r>
        <w:rPr>
          <w:spacing w:val="-2"/>
          <w:sz w:val="21"/>
        </w:rPr>
        <w:t>刺</w:t>
      </w:r>
      <w:r>
        <w:rPr>
          <w:spacing w:val="-2"/>
          <w:sz w:val="21"/>
        </w:rPr>
        <w:t>激</w:t>
      </w:r>
      <w:r>
        <w:rPr>
          <w:spacing w:val="-2"/>
          <w:sz w:val="21"/>
        </w:rPr>
        <w:t>或内在需要毫无反应。昏迷必须持续</w:t>
      </w:r>
      <w:r>
        <w:rPr>
          <w:spacing w:val="-2"/>
          <w:sz w:val="21"/>
        </w:rPr>
        <w:t>至</w:t>
      </w:r>
      <w:r>
        <w:rPr>
          <w:spacing w:val="-2"/>
          <w:sz w:val="21"/>
        </w:rPr>
        <w:t>少</w:t>
      </w:r>
      <w:r>
        <w:rPr>
          <w:spacing w:val="-25"/>
          <w:sz w:val="21"/>
        </w:rPr>
        <w:t> </w:t>
      </w:r>
      <w:r>
        <w:rPr>
          <w:spacing w:val="-2"/>
          <w:sz w:val="21"/>
        </w:rPr>
        <w:t>48</w:t>
      </w:r>
      <w:r>
        <w:rPr>
          <w:spacing w:val="-2"/>
          <w:sz w:val="21"/>
        </w:rPr>
        <w:t>个</w:t>
      </w:r>
      <w:r>
        <w:rPr>
          <w:spacing w:val="-2"/>
          <w:sz w:val="21"/>
        </w:rPr>
        <w:t>小</w:t>
      </w:r>
      <w:r>
        <w:rPr>
          <w:spacing w:val="-2"/>
          <w:sz w:val="21"/>
        </w:rPr>
        <w:t>时，并</w:t>
      </w:r>
      <w:r>
        <w:rPr>
          <w:spacing w:val="-2"/>
          <w:sz w:val="21"/>
        </w:rPr>
        <w:t>需</w:t>
      </w:r>
      <w:r>
        <w:rPr>
          <w:spacing w:val="-2"/>
          <w:sz w:val="21"/>
        </w:rPr>
        <w:t>要</w:t>
      </w:r>
      <w:r>
        <w:rPr>
          <w:spacing w:val="-2"/>
          <w:sz w:val="21"/>
        </w:rPr>
        <w:t>使用插管</w:t>
      </w:r>
      <w:r>
        <w:rPr>
          <w:spacing w:val="-2"/>
          <w:sz w:val="21"/>
        </w:rPr>
        <w:t>和</w:t>
      </w:r>
      <w:r>
        <w:rPr>
          <w:spacing w:val="-2"/>
          <w:sz w:val="21"/>
        </w:rPr>
        <w:t>机</w:t>
      </w:r>
      <w:r>
        <w:rPr>
          <w:spacing w:val="-2"/>
          <w:sz w:val="21"/>
        </w:rPr>
        <w:t>械性呼</w:t>
      </w:r>
      <w:r>
        <w:rPr>
          <w:spacing w:val="-2"/>
          <w:sz w:val="21"/>
        </w:rPr>
        <w:t>吸</w:t>
      </w:r>
      <w:r>
        <w:rPr>
          <w:spacing w:val="-2"/>
          <w:sz w:val="21"/>
        </w:rPr>
        <w:t>的</w:t>
      </w:r>
      <w:r>
        <w:rPr>
          <w:spacing w:val="-2"/>
          <w:sz w:val="21"/>
        </w:rPr>
        <w:t>方法来维</w:t>
      </w:r>
      <w:r>
        <w:rPr>
          <w:spacing w:val="-2"/>
          <w:sz w:val="21"/>
        </w:rPr>
        <w:t>持</w:t>
      </w:r>
      <w:r>
        <w:rPr>
          <w:spacing w:val="-2"/>
          <w:sz w:val="21"/>
        </w:rPr>
        <w:t>生</w:t>
      </w:r>
      <w:r>
        <w:rPr>
          <w:spacing w:val="-2"/>
          <w:sz w:val="21"/>
        </w:rPr>
        <w:t>命，</w:t>
      </w:r>
      <w:r>
        <w:rPr>
          <w:rFonts w:ascii="微软雅黑" w:hAnsi="微软雅黑" w:eastAsia="微软雅黑"/>
          <w:b/>
          <w:spacing w:val="-2"/>
          <w:sz w:val="21"/>
        </w:rPr>
        <w:t>但</w:t>
      </w:r>
      <w:r>
        <w:rPr>
          <w:rFonts w:ascii="微软雅黑" w:hAnsi="微软雅黑" w:eastAsia="微软雅黑"/>
          <w:b/>
          <w:spacing w:val="-2"/>
          <w:sz w:val="21"/>
        </w:rPr>
        <w:t>未</w:t>
      </w:r>
      <w:r>
        <w:rPr>
          <w:rFonts w:ascii="微软雅黑" w:hAnsi="微软雅黑" w:eastAsia="微软雅黑"/>
          <w:b/>
          <w:spacing w:val="-2"/>
          <w:sz w:val="21"/>
        </w:rPr>
        <w:t>达</w:t>
      </w:r>
      <w:r>
        <w:rPr>
          <w:rFonts w:ascii="微软雅黑" w:hAnsi="微软雅黑" w:eastAsia="微软雅黑"/>
          <w:b/>
          <w:spacing w:val="-2"/>
          <w:sz w:val="21"/>
        </w:rPr>
        <w:t>到</w:t>
      </w:r>
      <w:r>
        <w:rPr>
          <w:rFonts w:ascii="微软雅黑" w:hAnsi="微软雅黑" w:eastAsia="微软雅黑"/>
          <w:b/>
          <w:spacing w:val="-2"/>
          <w:sz w:val="21"/>
        </w:rPr>
        <w:t>重</w:t>
      </w:r>
      <w:r>
        <w:rPr>
          <w:rFonts w:ascii="微软雅黑" w:hAnsi="微软雅黑" w:eastAsia="微软雅黑"/>
          <w:b/>
          <w:spacing w:val="-2"/>
          <w:sz w:val="21"/>
        </w:rPr>
        <w:t>大</w:t>
      </w:r>
      <w:r>
        <w:rPr>
          <w:rFonts w:ascii="微软雅黑" w:hAnsi="微软雅黑" w:eastAsia="微软雅黑"/>
          <w:b/>
          <w:sz w:val="21"/>
        </w:rPr>
        <w:t>疾病 “深度昏迷”的给付标准</w:t>
      </w:r>
      <w:r>
        <w:rPr>
          <w:sz w:val="21"/>
        </w:rPr>
        <w:t>。昏迷的诊断及有关证明必须</w:t>
      </w:r>
      <w:r>
        <w:rPr>
          <w:sz w:val="21"/>
        </w:rPr>
        <w:t>在</w:t>
      </w:r>
      <w:r>
        <w:rPr>
          <w:sz w:val="21"/>
        </w:rPr>
        <w:t>我</w:t>
      </w:r>
      <w:r>
        <w:rPr>
          <w:sz w:val="21"/>
        </w:rPr>
        <w:t>们</w:t>
      </w:r>
      <w:r>
        <w:rPr>
          <w:sz w:val="21"/>
        </w:rPr>
        <w:t>认</w:t>
      </w:r>
      <w:r>
        <w:rPr>
          <w:sz w:val="21"/>
        </w:rPr>
        <w:t>可</w:t>
      </w:r>
      <w:r>
        <w:rPr>
          <w:spacing w:val="-2"/>
          <w:sz w:val="21"/>
        </w:rPr>
        <w:t>医</w:t>
      </w:r>
      <w:r>
        <w:rPr>
          <w:spacing w:val="-2"/>
          <w:sz w:val="21"/>
        </w:rPr>
        <w:t>院</w:t>
      </w:r>
      <w:r>
        <w:rPr>
          <w:spacing w:val="-2"/>
          <w:sz w:val="21"/>
        </w:rPr>
        <w:t>内由神经专科医生确</w:t>
      </w:r>
      <w:r>
        <w:rPr>
          <w:spacing w:val="-2"/>
          <w:sz w:val="21"/>
        </w:rPr>
        <w:t>定</w:t>
      </w:r>
      <w:r>
        <w:rPr>
          <w:spacing w:val="-2"/>
          <w:sz w:val="21"/>
        </w:rPr>
        <w:t>。</w:t>
      </w:r>
    </w:p>
    <w:p>
      <w:pPr>
        <w:spacing w:line="335" w:lineRule="exact" w:before="0"/>
        <w:ind w:left="1463" w:right="1080" w:firstLine="0"/>
        <w:jc w:val="center"/>
        <w:rPr>
          <w:rFonts w:ascii="微软雅黑" w:eastAsia="微软雅黑"/>
          <w:b/>
          <w:sz w:val="21"/>
        </w:rPr>
      </w:pPr>
      <w:r>
        <w:rPr>
          <w:rFonts w:ascii="微软雅黑" w:eastAsia="微软雅黑"/>
          <w:b/>
          <w:spacing w:val="-3"/>
          <w:sz w:val="21"/>
        </w:rPr>
        <w:t>酗酒或滥用药物直接引起的昏迷不在保障范围内。</w:t>
      </w:r>
    </w:p>
    <w:p>
      <w:pPr>
        <w:pStyle w:val="BodyText"/>
        <w:spacing w:before="11"/>
        <w:rPr>
          <w:rFonts w:ascii="微软雅黑"/>
          <w:b/>
          <w:sz w:val="10"/>
        </w:rPr>
      </w:pPr>
    </w:p>
    <w:p>
      <w:pPr>
        <w:spacing w:before="0"/>
        <w:ind w:left="140" w:right="0" w:firstLine="0"/>
        <w:jc w:val="left"/>
        <w:rPr>
          <w:rFonts w:ascii="微软雅黑" w:eastAsia="微软雅黑"/>
          <w:b/>
          <w:sz w:val="21"/>
        </w:rPr>
      </w:pPr>
      <w:r>
        <w:rPr>
          <w:rFonts w:ascii="微软雅黑" w:eastAsia="微软雅黑"/>
          <w:b/>
          <w:w w:val="95"/>
          <w:sz w:val="21"/>
        </w:rPr>
        <w:t>附</w:t>
      </w:r>
      <w:r>
        <w:rPr>
          <w:rFonts w:ascii="微软雅黑" w:eastAsia="微软雅黑"/>
          <w:b/>
          <w:w w:val="95"/>
          <w:sz w:val="21"/>
        </w:rPr>
        <w:t>表</w:t>
      </w:r>
      <w:r>
        <w:rPr>
          <w:rFonts w:ascii="微软雅黑" w:eastAsia="微软雅黑"/>
          <w:b/>
          <w:w w:val="95"/>
          <w:sz w:val="21"/>
        </w:rPr>
        <w:t>四</w:t>
      </w:r>
      <w:r>
        <w:rPr>
          <w:rFonts w:ascii="微软雅黑" w:eastAsia="微软雅黑"/>
          <w:b/>
          <w:spacing w:val="11"/>
          <w:w w:val="95"/>
          <w:sz w:val="21"/>
        </w:rPr>
        <w:t> </w:t>
      </w:r>
      <w:r>
        <w:rPr>
          <w:rFonts w:ascii="微软雅黑" w:eastAsia="微软雅黑"/>
          <w:b/>
          <w:w w:val="95"/>
          <w:sz w:val="21"/>
        </w:rPr>
        <w:t>甲</w:t>
      </w:r>
      <w:r>
        <w:rPr>
          <w:rFonts w:ascii="微软雅黑" w:eastAsia="微软雅黑"/>
          <w:b/>
          <w:w w:val="95"/>
          <w:sz w:val="21"/>
        </w:rPr>
        <w:t>状</w:t>
      </w:r>
      <w:r>
        <w:rPr>
          <w:rFonts w:ascii="微软雅黑" w:eastAsia="微软雅黑"/>
          <w:b/>
          <w:w w:val="95"/>
          <w:sz w:val="21"/>
        </w:rPr>
        <w:t>腺</w:t>
      </w:r>
      <w:r>
        <w:rPr>
          <w:rFonts w:ascii="微软雅黑" w:eastAsia="微软雅黑"/>
          <w:b/>
          <w:w w:val="95"/>
          <w:sz w:val="21"/>
        </w:rPr>
        <w:t>癌</w:t>
      </w:r>
      <w:r>
        <w:rPr>
          <w:rFonts w:ascii="微软雅黑" w:eastAsia="微软雅黑"/>
          <w:b/>
          <w:w w:val="95"/>
          <w:sz w:val="21"/>
        </w:rPr>
        <w:t>的</w:t>
      </w:r>
      <w:r>
        <w:rPr>
          <w:rFonts w:ascii="微软雅黑" w:eastAsia="微软雅黑"/>
          <w:b/>
          <w:spacing w:val="-13"/>
          <w:w w:val="95"/>
          <w:sz w:val="21"/>
        </w:rPr>
        <w:t> </w:t>
      </w:r>
      <w:r>
        <w:rPr>
          <w:rFonts w:ascii="微软雅黑" w:eastAsia="微软雅黑"/>
          <w:b/>
          <w:w w:val="90"/>
          <w:sz w:val="21"/>
        </w:rPr>
        <w:t>TNM</w:t>
      </w:r>
      <w:r>
        <w:rPr>
          <w:rFonts w:ascii="微软雅黑" w:eastAsia="微软雅黑"/>
          <w:b/>
          <w:spacing w:val="-9"/>
          <w:w w:val="90"/>
          <w:sz w:val="21"/>
        </w:rPr>
        <w:t> </w:t>
      </w:r>
      <w:r>
        <w:rPr>
          <w:rFonts w:ascii="微软雅黑" w:eastAsia="微软雅黑"/>
          <w:b/>
          <w:w w:val="95"/>
          <w:sz w:val="21"/>
        </w:rPr>
        <w:t>分</w:t>
      </w:r>
      <w:r>
        <w:rPr>
          <w:rFonts w:ascii="微软雅黑" w:eastAsia="微软雅黑"/>
          <w:b/>
          <w:w w:val="95"/>
          <w:sz w:val="21"/>
        </w:rPr>
        <w:t>期</w:t>
      </w:r>
      <w:r>
        <w:rPr>
          <w:rFonts w:ascii="微软雅黑" w:eastAsia="微软雅黑"/>
          <w:b/>
          <w:w w:val="95"/>
          <w:sz w:val="21"/>
        </w:rPr>
        <w:t>标</w:t>
      </w:r>
      <w:r>
        <w:rPr>
          <w:rFonts w:ascii="微软雅黑" w:eastAsia="微软雅黑"/>
          <w:b/>
          <w:spacing w:val="-10"/>
          <w:w w:val="95"/>
          <w:sz w:val="21"/>
        </w:rPr>
        <w:t>准</w:t>
      </w:r>
    </w:p>
    <w:p>
      <w:pPr>
        <w:pStyle w:val="BodyText"/>
        <w:spacing w:before="7"/>
        <w:rPr>
          <w:rFonts w:ascii="微软雅黑"/>
          <w:b/>
          <w:sz w:val="13"/>
        </w:rPr>
      </w:pPr>
    </w:p>
    <w:p>
      <w:pPr>
        <w:pStyle w:val="BodyText"/>
        <w:spacing w:line="278" w:lineRule="auto"/>
        <w:ind w:left="140" w:right="3576"/>
      </w:pPr>
      <w:r>
        <w:rPr/>
        <w:t>甲状腺乳头状癌、滤泡癌、低分化癌、Hürthle</w:t>
      </w:r>
      <w:r>
        <w:rPr>
          <w:spacing w:val="-8"/>
        </w:rPr>
        <w:t> 细胞癌和未分化癌</w:t>
      </w:r>
      <w:r>
        <w:rPr/>
        <w:t> </w:t>
      </w:r>
      <w:r>
        <w:rPr>
          <w:spacing w:val="-2"/>
          <w:position w:val="1"/>
        </w:rPr>
        <w:t>pT</w:t>
      </w:r>
      <w:r>
        <w:rPr>
          <w:spacing w:val="-2"/>
          <w:sz w:val="11"/>
        </w:rPr>
        <w:t>X</w:t>
      </w:r>
      <w:r>
        <w:rPr>
          <w:spacing w:val="-2"/>
          <w:position w:val="1"/>
        </w:rPr>
        <w:t>：原发肿瘤不能评估</w:t>
      </w:r>
    </w:p>
    <w:p>
      <w:pPr>
        <w:pStyle w:val="BodyText"/>
        <w:spacing w:line="268" w:lineRule="exact"/>
        <w:ind w:left="140"/>
      </w:pPr>
      <w:r>
        <w:rPr>
          <w:spacing w:val="-2"/>
          <w:position w:val="1"/>
        </w:rPr>
        <w:t>pT</w:t>
      </w:r>
      <w:r>
        <w:rPr>
          <w:spacing w:val="-2"/>
          <w:sz w:val="11"/>
        </w:rPr>
        <w:t>0</w:t>
      </w:r>
      <w:r>
        <w:rPr>
          <w:spacing w:val="-4"/>
          <w:position w:val="1"/>
        </w:rPr>
        <w:t>：无肿瘤证据</w:t>
      </w:r>
    </w:p>
    <w:p>
      <w:pPr>
        <w:pStyle w:val="BodyText"/>
        <w:spacing w:line="278" w:lineRule="auto" w:before="43"/>
        <w:ind w:left="622" w:right="5848" w:hanging="483"/>
      </w:pPr>
      <w:r>
        <w:rPr>
          <w:spacing w:val="-2"/>
          <w:position w:val="1"/>
        </w:rPr>
        <w:t>pT</w:t>
      </w:r>
      <w:r>
        <w:rPr>
          <w:spacing w:val="-2"/>
          <w:sz w:val="11"/>
        </w:rPr>
        <w:t>1</w:t>
      </w:r>
      <w:r>
        <w:rPr>
          <w:spacing w:val="-2"/>
          <w:position w:val="1"/>
        </w:rPr>
        <w:t>：肿瘤局限在甲状腺内，最大径≤2c</w:t>
      </w:r>
      <w:r>
        <w:rPr>
          <w:spacing w:val="-2"/>
          <w:position w:val="1"/>
        </w:rPr>
        <w:t>m </w:t>
      </w:r>
      <w:r>
        <w:rPr>
          <w:position w:val="1"/>
        </w:rPr>
        <w:t>T</w:t>
      </w:r>
      <w:r>
        <w:rPr>
          <w:sz w:val="11"/>
        </w:rPr>
        <w:t>1a</w:t>
      </w:r>
      <w:r>
        <w:rPr>
          <w:spacing w:val="-31"/>
          <w:sz w:val="11"/>
        </w:rPr>
        <w:t> </w:t>
      </w:r>
      <w:r>
        <w:rPr>
          <w:position w:val="1"/>
        </w:rPr>
        <w:t>肿瘤最大径≤1cm</w:t>
      </w:r>
    </w:p>
    <w:p>
      <w:pPr>
        <w:pStyle w:val="BodyText"/>
        <w:spacing w:line="278" w:lineRule="auto" w:before="1"/>
        <w:ind w:left="140" w:right="6287" w:firstLine="482"/>
      </w:pPr>
      <w:r>
        <w:rPr>
          <w:spacing w:val="-2"/>
          <w:position w:val="1"/>
        </w:rPr>
        <w:t>T</w:t>
      </w:r>
      <w:r>
        <w:rPr>
          <w:spacing w:val="-2"/>
          <w:sz w:val="11"/>
        </w:rPr>
        <w:t>1b</w:t>
      </w:r>
      <w:r>
        <w:rPr>
          <w:spacing w:val="-29"/>
          <w:sz w:val="11"/>
        </w:rPr>
        <w:t> </w:t>
      </w:r>
      <w:r>
        <w:rPr>
          <w:spacing w:val="-2"/>
          <w:position w:val="1"/>
        </w:rPr>
        <w:t>肿瘤最大径＞1cm，≤2cm </w:t>
      </w:r>
      <w:r>
        <w:rPr>
          <w:position w:val="1"/>
        </w:rPr>
        <w:t>pT</w:t>
      </w:r>
      <w:r>
        <w:rPr>
          <w:sz w:val="11"/>
        </w:rPr>
        <w:t>2</w:t>
      </w:r>
      <w:r>
        <w:rPr>
          <w:spacing w:val="-11"/>
          <w:position w:val="1"/>
        </w:rPr>
        <w:t>：肿瘤 </w:t>
      </w:r>
      <w:r>
        <w:rPr>
          <w:position w:val="1"/>
        </w:rPr>
        <w:t>2～4cm</w:t>
      </w:r>
    </w:p>
    <w:p>
      <w:pPr>
        <w:pStyle w:val="BodyText"/>
        <w:spacing w:line="278" w:lineRule="auto"/>
        <w:ind w:left="140" w:right="4205"/>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BodyText"/>
        <w:spacing w:line="269" w:lineRule="exact"/>
        <w:ind w:left="140"/>
      </w:pPr>
      <w:r>
        <w:rPr>
          <w:spacing w:val="-2"/>
          <w:position w:val="1"/>
        </w:rPr>
        <w:t>pT</w:t>
      </w:r>
      <w:r>
        <w:rPr>
          <w:spacing w:val="-2"/>
          <w:sz w:val="11"/>
        </w:rPr>
        <w:t>3b</w:t>
      </w:r>
      <w:r>
        <w:rPr>
          <w:spacing w:val="-3"/>
          <w:position w:val="1"/>
        </w:rPr>
        <w:t>：大体侵犯甲状腺外带状肌，无论肿瘤大小</w:t>
      </w:r>
    </w:p>
    <w:p>
      <w:pPr>
        <w:pStyle w:val="BodyText"/>
        <w:spacing w:line="278" w:lineRule="auto" w:before="43"/>
        <w:ind w:left="140" w:right="3101" w:firstLine="525"/>
      </w:pPr>
      <w:r>
        <w:rPr>
          <w:spacing w:val="-2"/>
        </w:rPr>
        <w:t>带状肌包括：胸骨舌骨肌、胸骨甲状肌、甲状舌骨肌、肩胛舌骨肌</w:t>
      </w:r>
      <w:r>
        <w:rPr>
          <w:spacing w:val="-2"/>
        </w:rPr>
        <w:t> </w:t>
      </w:r>
      <w:r>
        <w:rPr>
          <w:spacing w:val="-2"/>
          <w:position w:val="1"/>
        </w:rPr>
        <w:t>pT</w:t>
      </w:r>
      <w:r>
        <w:rPr>
          <w:spacing w:val="-2"/>
          <w:sz w:val="11"/>
        </w:rPr>
        <w:t>4</w:t>
      </w:r>
      <w:r>
        <w:rPr>
          <w:spacing w:val="-2"/>
          <w:position w:val="1"/>
        </w:rPr>
        <w:t>：大体侵犯甲状腺外带状肌外</w:t>
      </w:r>
    </w:p>
    <w:p>
      <w:pPr>
        <w:pStyle w:val="BodyText"/>
        <w:spacing w:line="278" w:lineRule="auto"/>
        <w:ind w:left="140" w:right="4990"/>
      </w:pPr>
      <w:r>
        <w:rPr>
          <w:spacing w:val="-2"/>
          <w:position w:val="1"/>
        </w:rPr>
        <w:t>pT</w:t>
      </w:r>
      <w:r>
        <w:rPr>
          <w:spacing w:val="-2"/>
          <w:sz w:val="11"/>
        </w:rPr>
        <w:t>4a</w:t>
      </w:r>
      <w:r>
        <w:rPr>
          <w:spacing w:val="-2"/>
          <w:position w:val="1"/>
        </w:rPr>
        <w:t>：侵犯喉、气管、食管、喉反神经及皮下软组织 pT</w:t>
      </w:r>
      <w:r>
        <w:rPr>
          <w:spacing w:val="-2"/>
          <w:sz w:val="11"/>
        </w:rPr>
        <w:t>4b</w:t>
      </w:r>
      <w:r>
        <w:rPr>
          <w:spacing w:val="-2"/>
          <w:position w:val="1"/>
        </w:rPr>
        <w:t>：侵犯椎前筋膜，或包裹颈动脉、纵隔血管</w:t>
      </w:r>
    </w:p>
    <w:p>
      <w:pPr>
        <w:pStyle w:val="BodyText"/>
        <w:ind w:left="140"/>
      </w:pPr>
      <w:r>
        <w:rPr>
          <w:spacing w:val="-4"/>
        </w:rPr>
        <w:t>甲状腺髓样癌</w:t>
      </w:r>
    </w:p>
    <w:p>
      <w:pPr>
        <w:pStyle w:val="BodyText"/>
        <w:spacing w:line="278" w:lineRule="auto" w:before="42"/>
        <w:ind w:left="140" w:right="7566"/>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BodyText"/>
        <w:spacing w:line="278" w:lineRule="auto"/>
        <w:ind w:left="565" w:right="5848" w:hanging="425"/>
      </w:pPr>
      <w:r>
        <w:rPr>
          <w:spacing w:val="-2"/>
          <w:position w:val="1"/>
        </w:rPr>
        <w:t>pT</w:t>
      </w:r>
      <w:r>
        <w:rPr>
          <w:spacing w:val="-2"/>
          <w:sz w:val="11"/>
        </w:rPr>
        <w:t>1</w:t>
      </w:r>
      <w:r>
        <w:rPr>
          <w:spacing w:val="-2"/>
          <w:position w:val="1"/>
        </w:rPr>
        <w:t>：肿瘤局限在甲状腺内，最大径≤2c</w:t>
      </w:r>
      <w:r>
        <w:rPr>
          <w:spacing w:val="-2"/>
          <w:position w:val="1"/>
        </w:rPr>
        <w:t>m </w:t>
      </w:r>
      <w:r>
        <w:rPr>
          <w:position w:val="1"/>
        </w:rPr>
        <w:t>T</w:t>
      </w:r>
      <w:r>
        <w:rPr>
          <w:sz w:val="11"/>
        </w:rPr>
        <w:t>1a</w:t>
      </w:r>
      <w:r>
        <w:rPr>
          <w:spacing w:val="-29"/>
          <w:sz w:val="11"/>
        </w:rPr>
        <w:t> </w:t>
      </w:r>
      <w:r>
        <w:rPr>
          <w:position w:val="1"/>
        </w:rPr>
        <w:t>肿瘤最大径≤1cm</w:t>
      </w:r>
    </w:p>
    <w:p>
      <w:pPr>
        <w:pStyle w:val="BodyText"/>
        <w:spacing w:line="278" w:lineRule="auto"/>
        <w:ind w:left="140" w:right="6735" w:firstLine="424"/>
      </w:pPr>
      <w:r>
        <w:rPr>
          <w:position w:val="1"/>
        </w:rPr>
        <w:t>T</w:t>
      </w:r>
      <w:r>
        <w:rPr>
          <w:sz w:val="11"/>
        </w:rPr>
        <w:t>1b</w:t>
      </w:r>
      <w:r>
        <w:rPr>
          <w:spacing w:val="-29"/>
          <w:sz w:val="11"/>
        </w:rPr>
        <w:t> </w:t>
      </w:r>
      <w:r>
        <w:rPr>
          <w:position w:val="1"/>
        </w:rPr>
        <w:t>肿瘤最大径＞1cm，≤2cm pT</w:t>
      </w:r>
      <w:r>
        <w:rPr>
          <w:sz w:val="11"/>
        </w:rPr>
        <w:t>2</w:t>
      </w:r>
      <w:r>
        <w:rPr>
          <w:spacing w:val="-11"/>
          <w:position w:val="1"/>
        </w:rPr>
        <w:t>：肿瘤 </w:t>
      </w:r>
      <w:r>
        <w:rPr>
          <w:position w:val="1"/>
        </w:rPr>
        <w:t>2～4cm</w:t>
      </w:r>
    </w:p>
    <w:p>
      <w:pPr>
        <w:pStyle w:val="BodyText"/>
        <w:spacing w:line="278" w:lineRule="auto"/>
        <w:ind w:left="140" w:right="4205"/>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BodyText"/>
        <w:spacing w:line="269" w:lineRule="exact"/>
        <w:ind w:left="140"/>
      </w:pPr>
      <w:r>
        <w:rPr>
          <w:spacing w:val="-2"/>
          <w:position w:val="1"/>
        </w:rPr>
        <w:t>pT</w:t>
      </w:r>
      <w:r>
        <w:rPr>
          <w:spacing w:val="-2"/>
          <w:sz w:val="11"/>
        </w:rPr>
        <w:t>3b</w:t>
      </w:r>
      <w:r>
        <w:rPr>
          <w:spacing w:val="-3"/>
          <w:position w:val="1"/>
        </w:rPr>
        <w:t>：大体侵犯甲状腺外带状肌，无论肿瘤大小</w:t>
      </w:r>
    </w:p>
    <w:p>
      <w:pPr>
        <w:pStyle w:val="BodyText"/>
        <w:spacing w:line="278" w:lineRule="auto" w:before="43"/>
        <w:ind w:left="140" w:right="3101" w:firstLine="525"/>
      </w:pPr>
      <w:r>
        <w:rPr>
          <w:spacing w:val="-2"/>
        </w:rPr>
        <w:t>带状肌包括：胸骨舌骨肌、胸骨甲状肌、甲状舌骨肌、肩胛舌骨肌</w:t>
      </w:r>
      <w:r>
        <w:rPr>
          <w:spacing w:val="-2"/>
        </w:rPr>
        <w:t> </w:t>
      </w:r>
      <w:r>
        <w:rPr>
          <w:spacing w:val="-2"/>
          <w:position w:val="1"/>
        </w:rPr>
        <w:t>pT</w:t>
      </w:r>
      <w:r>
        <w:rPr>
          <w:spacing w:val="-2"/>
          <w:sz w:val="11"/>
        </w:rPr>
        <w:t>4</w:t>
      </w:r>
      <w:r>
        <w:rPr>
          <w:spacing w:val="-2"/>
          <w:position w:val="1"/>
        </w:rPr>
        <w:t>：进展期病变</w:t>
      </w:r>
    </w:p>
    <w:p>
      <w:pPr>
        <w:pStyle w:val="BodyText"/>
        <w:spacing w:line="278" w:lineRule="auto"/>
        <w:ind w:left="666" w:right="215" w:hanging="526"/>
      </w:pPr>
      <w:r>
        <w:rPr>
          <w:spacing w:val="-2"/>
          <w:position w:val="1"/>
        </w:rPr>
        <w:t>pT</w:t>
      </w:r>
      <w:r>
        <w:rPr>
          <w:spacing w:val="-2"/>
          <w:sz w:val="11"/>
        </w:rPr>
        <w:t>4a</w:t>
      </w:r>
      <w:r>
        <w:rPr>
          <w:spacing w:val="-2"/>
          <w:position w:val="1"/>
        </w:rPr>
        <w:t>：中度进展，任何大小的肿瘤，侵犯甲状腺外颈部周围器官和软组织，如喉、气管、食管、喉反神经</w:t>
      </w:r>
      <w:r>
        <w:rPr>
          <w:spacing w:val="-2"/>
        </w:rPr>
        <w:t>及皮下软组织</w:t>
      </w:r>
    </w:p>
    <w:p>
      <w:pPr>
        <w:pStyle w:val="BodyText"/>
        <w:spacing w:line="278" w:lineRule="auto"/>
        <w:ind w:left="140" w:right="2678"/>
      </w:pPr>
      <w:r>
        <w:rPr>
          <w:spacing w:val="-2"/>
          <w:position w:val="1"/>
        </w:rPr>
        <w:t>pT</w:t>
      </w:r>
      <w:r>
        <w:rPr>
          <w:spacing w:val="-2"/>
          <w:sz w:val="11"/>
        </w:rPr>
        <w:t>4b</w:t>
      </w:r>
      <w:r>
        <w:rPr>
          <w:spacing w:val="-2"/>
          <w:position w:val="1"/>
        </w:rPr>
        <w:t>：重度进展，任何大小的肿瘤，侵犯椎前筋膜，或包裹颈动脉、纵隔血管</w:t>
      </w:r>
      <w:r>
        <w:rPr>
          <w:spacing w:val="-2"/>
        </w:rPr>
        <w:t>区域淋巴结：适用于所有甲状腺癌</w:t>
      </w:r>
    </w:p>
    <w:p>
      <w:pPr>
        <w:pStyle w:val="BodyText"/>
        <w:spacing w:line="278" w:lineRule="auto"/>
        <w:ind w:left="140" w:right="7357"/>
      </w:pPr>
      <w:r>
        <w:rPr>
          <w:spacing w:val="-2"/>
          <w:position w:val="1"/>
        </w:rPr>
        <w:t>pN</w:t>
      </w:r>
      <w:r>
        <w:rPr>
          <w:spacing w:val="-2"/>
          <w:sz w:val="11"/>
        </w:rPr>
        <w:t>x</w:t>
      </w:r>
      <w:r>
        <w:rPr>
          <w:spacing w:val="-2"/>
          <w:position w:val="1"/>
        </w:rPr>
        <w:t>：区域淋巴结无法评估 pN</w:t>
      </w:r>
      <w:r>
        <w:rPr>
          <w:spacing w:val="-2"/>
          <w:sz w:val="11"/>
        </w:rPr>
        <w:t>0</w:t>
      </w:r>
      <w:r>
        <w:rPr>
          <w:spacing w:val="-2"/>
          <w:position w:val="1"/>
        </w:rPr>
        <w:t>：无淋巴结转移证据</w:t>
      </w:r>
      <w:r>
        <w:rPr>
          <w:spacing w:val="-2"/>
          <w:position w:val="1"/>
        </w:rPr>
        <w:t> pN</w:t>
      </w:r>
      <w:r>
        <w:rPr>
          <w:spacing w:val="-2"/>
          <w:sz w:val="11"/>
        </w:rPr>
        <w:t>1</w:t>
      </w:r>
      <w:r>
        <w:rPr>
          <w:spacing w:val="-2"/>
          <w:position w:val="1"/>
        </w:rPr>
        <w:t>：区域淋巴结转移</w:t>
      </w:r>
    </w:p>
    <w:p>
      <w:pPr>
        <w:pStyle w:val="BodyText"/>
        <w:spacing w:line="278" w:lineRule="auto"/>
        <w:ind w:left="140" w:right="113"/>
      </w:pPr>
      <w:r>
        <w:rPr>
          <w:position w:val="1"/>
        </w:rPr>
        <w:t>pN</w:t>
      </w:r>
      <w:r>
        <w:rPr>
          <w:sz w:val="11"/>
        </w:rPr>
        <w:t>1a</w:t>
      </w:r>
      <w:r>
        <w:rPr>
          <w:position w:val="1"/>
        </w:rPr>
        <w:t>：转移至Ⅵ、Ⅶ区（包括气管旁、气管前、喉前/Delphian</w:t>
      </w:r>
      <w:r>
        <w:rPr>
          <w:spacing w:val="-8"/>
          <w:position w:val="1"/>
        </w:rPr>
        <w:t> 或上纵隔</w:t>
      </w:r>
      <w:r>
        <w:rPr>
          <w:position w:val="1"/>
        </w:rPr>
        <w:t>）淋巴结，可以为单侧或双侧。 </w:t>
      </w:r>
      <w:r>
        <w:rPr>
          <w:spacing w:val="-2"/>
          <w:position w:val="1"/>
        </w:rPr>
        <w:t>pN</w:t>
      </w:r>
      <w:r>
        <w:rPr>
          <w:spacing w:val="-2"/>
          <w:sz w:val="11"/>
        </w:rPr>
        <w:t>1b</w:t>
      </w:r>
      <w:r>
        <w:rPr>
          <w:spacing w:val="-2"/>
          <w:position w:val="1"/>
        </w:rPr>
        <w:t>：单侧、双侧或对侧颈淋巴结转移（包括Ⅰ、Ⅱ、Ⅲ、Ⅳ或Ⅴ区）淋巴结或咽后淋巴结转移。</w:t>
      </w:r>
    </w:p>
    <w:p>
      <w:pPr>
        <w:pStyle w:val="BodyText"/>
        <w:spacing w:line="278" w:lineRule="auto"/>
        <w:ind w:left="140" w:right="6778"/>
      </w:pPr>
      <w:r>
        <w:rPr>
          <w:spacing w:val="-2"/>
        </w:rPr>
        <w:t>远处转移：适用于所有甲状腺癌 </w:t>
      </w:r>
      <w:r>
        <w:rPr>
          <w:spacing w:val="-2"/>
          <w:position w:val="1"/>
        </w:rPr>
        <w:t>M</w:t>
      </w:r>
      <w:r>
        <w:rPr>
          <w:spacing w:val="-2"/>
          <w:sz w:val="11"/>
        </w:rPr>
        <w:t>0</w:t>
      </w:r>
      <w:r>
        <w:rPr>
          <w:spacing w:val="-2"/>
          <w:position w:val="1"/>
        </w:rPr>
        <w:t>：无远处转移</w:t>
      </w:r>
    </w:p>
    <w:p>
      <w:pPr>
        <w:pStyle w:val="BodyText"/>
        <w:spacing w:line="269" w:lineRule="exact"/>
        <w:ind w:left="140"/>
      </w:pPr>
      <w:r>
        <w:rPr/>
        <w:drawing>
          <wp:anchor distT="0" distB="0" distL="0" distR="0" allowOverlap="1" layoutInCell="1" locked="0" behindDoc="1" simplePos="0" relativeHeight="484952576">
            <wp:simplePos x="0" y="0"/>
            <wp:positionH relativeFrom="page">
              <wp:posOffset>747064</wp:posOffset>
            </wp:positionH>
            <wp:positionV relativeFrom="paragraph">
              <wp:posOffset>176104</wp:posOffset>
            </wp:positionV>
            <wp:extent cx="5430977" cy="217932"/>
            <wp:effectExtent l="0" t="0" r="0" b="0"/>
            <wp:wrapNone/>
            <wp:docPr id="37" name="image6.png"/>
            <wp:cNvGraphicFramePr>
              <a:graphicFrameLocks noChangeAspect="1"/>
            </wp:cNvGraphicFramePr>
            <a:graphic>
              <a:graphicData uri="http://schemas.openxmlformats.org/drawingml/2006/picture">
                <pic:pic>
                  <pic:nvPicPr>
                    <pic:cNvPr id="38" name="image6.png"/>
                    <pic:cNvPicPr/>
                  </pic:nvPicPr>
                  <pic:blipFill>
                    <a:blip r:embed="rId11" cstate="print"/>
                    <a:stretch>
                      <a:fillRect/>
                    </a:stretch>
                  </pic:blipFill>
                  <pic:spPr>
                    <a:xfrm>
                      <a:off x="0" y="0"/>
                      <a:ext cx="5430977" cy="217932"/>
                    </a:xfrm>
                    <a:prstGeom prst="rect">
                      <a:avLst/>
                    </a:prstGeom>
                  </pic:spPr>
                </pic:pic>
              </a:graphicData>
            </a:graphic>
          </wp:anchor>
        </w:drawing>
      </w:r>
      <w:r>
        <w:rPr/>
        <w:pict>
          <v:shape style="position:absolute;margin-left:59.784pt;margin-top:14.826512pt;width:425.75pt;height:15.75pt;mso-position-horizontal-relative:page;mso-position-vertical-relative:paragraph;z-index:-15723520;mso-wrap-distance-left:0;mso-wrap-distance-right:0" type="#_x0000_t202" id="docshape3" filled="false" stroked="false">
            <v:textbox inset="0,0,0,0">
              <w:txbxContent>
                <w:p>
                  <w:pPr>
                    <w:pStyle w:val="BodyText"/>
                    <w:spacing w:before="25"/>
                    <w:ind w:left="98"/>
                  </w:pPr>
                  <w:r>
                    <w:rPr>
                      <w:spacing w:val="-2"/>
                    </w:rPr>
                    <w:t>乳头状或滤泡状癌（分化型</w:t>
                  </w:r>
                  <w:r>
                    <w:rPr>
                      <w:spacing w:val="-10"/>
                    </w:rPr>
                    <w:t>）</w:t>
                  </w:r>
                </w:p>
              </w:txbxContent>
            </v:textbox>
            <w10:wrap type="topAndBottom"/>
          </v:shape>
        </w:pict>
      </w:r>
      <w:r>
        <w:rPr>
          <w:spacing w:val="-2"/>
          <w:position w:val="1"/>
        </w:rPr>
        <w:t>M</w:t>
      </w:r>
      <w:r>
        <w:rPr>
          <w:spacing w:val="-2"/>
          <w:sz w:val="11"/>
        </w:rPr>
        <w:t>1</w:t>
      </w:r>
      <w:r>
        <w:rPr>
          <w:spacing w:val="-4"/>
          <w:position w:val="1"/>
        </w:rPr>
        <w:t>：有远处转移</w:t>
      </w:r>
    </w:p>
    <w:p>
      <w:pPr>
        <w:spacing w:after="0" w:line="269" w:lineRule="exact"/>
        <w:sectPr>
          <w:pgSz w:w="11910" w:h="16840"/>
          <w:pgMar w:header="877" w:footer="0" w:top="1100" w:bottom="280" w:left="1060" w:right="980"/>
        </w:sectPr>
      </w:pPr>
    </w:p>
    <w:p>
      <w:pPr>
        <w:pStyle w:val="BodyText"/>
        <w:spacing w:before="12"/>
        <w:rPr>
          <w:sz w:val="5"/>
        </w:rPr>
      </w:pPr>
    </w:p>
    <w:tbl>
      <w:tblPr>
        <w:tblW w:w="0" w:type="auto"/>
        <w:jc w:val="left"/>
        <w:tblInd w:w="1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418"/>
        <w:gridCol w:w="1841"/>
        <w:gridCol w:w="1627"/>
        <w:gridCol w:w="1647"/>
      </w:tblGrid>
      <w:tr>
        <w:trPr>
          <w:trHeight w:val="311" w:hRule="atLeast"/>
        </w:trPr>
        <w:tc>
          <w:tcPr>
            <w:tcW w:w="8533" w:type="dxa"/>
            <w:gridSpan w:val="4"/>
            <w:tcBorders>
              <w:left w:val="single" w:sz="8" w:space="0" w:color="000000"/>
              <w:right w:val="single" w:sz="8" w:space="0" w:color="000000"/>
            </w:tcBorders>
          </w:tcPr>
          <w:p>
            <w:pPr>
              <w:pStyle w:val="TableParagraph"/>
              <w:spacing w:before="22"/>
              <w:ind w:left="107"/>
              <w:rPr>
                <w:sz w:val="21"/>
              </w:rPr>
            </w:pPr>
            <w:r>
              <w:rPr>
                <w:spacing w:val="-2"/>
                <w:sz w:val="21"/>
              </w:rPr>
              <w:t>年龄＜55</w:t>
            </w:r>
            <w:r>
              <w:rPr>
                <w:spacing w:val="-29"/>
                <w:sz w:val="21"/>
              </w:rPr>
              <w:t> 岁</w:t>
            </w:r>
          </w:p>
        </w:tc>
      </w:tr>
      <w:tr>
        <w:trPr>
          <w:trHeight w:val="312" w:hRule="atLeast"/>
        </w:trPr>
        <w:tc>
          <w:tcPr>
            <w:tcW w:w="3418" w:type="dxa"/>
            <w:tcBorders>
              <w:left w:val="single" w:sz="8" w:space="0" w:color="000000"/>
            </w:tcBorders>
          </w:tcPr>
          <w:p>
            <w:pPr>
              <w:pStyle w:val="TableParagraph"/>
              <w:rPr>
                <w:rFonts w:ascii="Times New Roman"/>
                <w:sz w:val="20"/>
              </w:rPr>
            </w:pPr>
          </w:p>
        </w:tc>
        <w:tc>
          <w:tcPr>
            <w:tcW w:w="1841" w:type="dxa"/>
          </w:tcPr>
          <w:p>
            <w:pPr>
              <w:pStyle w:val="TableParagraph"/>
              <w:spacing w:before="23"/>
              <w:ind w:left="112"/>
              <w:rPr>
                <w:sz w:val="21"/>
              </w:rPr>
            </w:pPr>
            <w:r>
              <w:rPr>
                <w:w w:val="100"/>
                <w:sz w:val="21"/>
              </w:rPr>
              <w:t>T</w:t>
            </w:r>
          </w:p>
        </w:tc>
        <w:tc>
          <w:tcPr>
            <w:tcW w:w="1627" w:type="dxa"/>
          </w:tcPr>
          <w:p>
            <w:pPr>
              <w:pStyle w:val="TableParagraph"/>
              <w:spacing w:before="23"/>
              <w:ind w:left="112"/>
              <w:rPr>
                <w:sz w:val="21"/>
              </w:rPr>
            </w:pPr>
            <w:r>
              <w:rPr>
                <w:w w:val="100"/>
                <w:sz w:val="21"/>
              </w:rPr>
              <w:t>N</w:t>
            </w:r>
          </w:p>
        </w:tc>
        <w:tc>
          <w:tcPr>
            <w:tcW w:w="1647" w:type="dxa"/>
            <w:tcBorders>
              <w:right w:val="single" w:sz="8" w:space="0" w:color="000000"/>
            </w:tcBorders>
          </w:tcPr>
          <w:p>
            <w:pPr>
              <w:pStyle w:val="TableParagraph"/>
              <w:spacing w:before="23"/>
              <w:ind w:left="108"/>
              <w:rPr>
                <w:sz w:val="21"/>
              </w:rPr>
            </w:pPr>
            <w:r>
              <w:rPr>
                <w:w w:val="100"/>
                <w:sz w:val="21"/>
              </w:rPr>
              <w:t>M</w:t>
            </w:r>
          </w:p>
        </w:tc>
      </w:tr>
      <w:tr>
        <w:trPr>
          <w:trHeight w:val="311" w:hRule="atLeast"/>
        </w:trPr>
        <w:tc>
          <w:tcPr>
            <w:tcW w:w="3418" w:type="dxa"/>
            <w:tcBorders>
              <w:left w:val="single" w:sz="8" w:space="0" w:color="000000"/>
            </w:tcBorders>
          </w:tcPr>
          <w:p>
            <w:pPr>
              <w:pStyle w:val="TableParagraph"/>
              <w:spacing w:before="22"/>
              <w:ind w:left="107"/>
              <w:rPr>
                <w:sz w:val="21"/>
              </w:rPr>
            </w:pPr>
            <w:r>
              <w:rPr>
                <w:spacing w:val="-5"/>
                <w:sz w:val="21"/>
              </w:rPr>
              <w:t>Ⅰ期</w:t>
            </w:r>
          </w:p>
        </w:tc>
        <w:tc>
          <w:tcPr>
            <w:tcW w:w="1841" w:type="dxa"/>
          </w:tcPr>
          <w:p>
            <w:pPr>
              <w:pStyle w:val="TableParagraph"/>
              <w:spacing w:before="22"/>
              <w:ind w:left="112"/>
              <w:rPr>
                <w:sz w:val="21"/>
              </w:rPr>
            </w:pPr>
            <w:r>
              <w:rPr>
                <w:spacing w:val="-5"/>
                <w:sz w:val="21"/>
              </w:rPr>
              <w:t>任何</w:t>
            </w:r>
          </w:p>
        </w:tc>
        <w:tc>
          <w:tcPr>
            <w:tcW w:w="1627" w:type="dxa"/>
          </w:tcPr>
          <w:p>
            <w:pPr>
              <w:pStyle w:val="TableParagraph"/>
              <w:spacing w:before="22"/>
              <w:ind w:left="112"/>
              <w:rPr>
                <w:sz w:val="21"/>
              </w:rPr>
            </w:pPr>
            <w:r>
              <w:rPr>
                <w:spacing w:val="-5"/>
                <w:sz w:val="21"/>
              </w:rPr>
              <w:t>任何</w:t>
            </w:r>
          </w:p>
        </w:tc>
        <w:tc>
          <w:tcPr>
            <w:tcW w:w="1647" w:type="dxa"/>
            <w:tcBorders>
              <w:right w:val="single" w:sz="8" w:space="0" w:color="000000"/>
            </w:tcBorders>
          </w:tcPr>
          <w:p>
            <w:pPr>
              <w:pStyle w:val="TableParagraph"/>
              <w:spacing w:before="22"/>
              <w:ind w:left="108"/>
              <w:rPr>
                <w:sz w:val="21"/>
              </w:rPr>
            </w:pPr>
            <w:r>
              <w:rPr>
                <w:w w:val="100"/>
                <w:sz w:val="21"/>
              </w:rPr>
              <w:t>0</w:t>
            </w:r>
          </w:p>
        </w:tc>
      </w:tr>
      <w:tr>
        <w:trPr>
          <w:trHeight w:val="313" w:hRule="atLeast"/>
        </w:trPr>
        <w:tc>
          <w:tcPr>
            <w:tcW w:w="3418" w:type="dxa"/>
            <w:tcBorders>
              <w:left w:val="single" w:sz="8" w:space="0" w:color="000000"/>
            </w:tcBorders>
          </w:tcPr>
          <w:p>
            <w:pPr>
              <w:pStyle w:val="TableParagraph"/>
              <w:spacing w:before="25"/>
              <w:ind w:left="107"/>
              <w:rPr>
                <w:sz w:val="21"/>
              </w:rPr>
            </w:pPr>
            <w:r>
              <w:rPr>
                <w:spacing w:val="-5"/>
                <w:sz w:val="21"/>
              </w:rPr>
              <w:t>Ⅱ期</w:t>
            </w:r>
          </w:p>
        </w:tc>
        <w:tc>
          <w:tcPr>
            <w:tcW w:w="1841" w:type="dxa"/>
          </w:tcPr>
          <w:p>
            <w:pPr>
              <w:pStyle w:val="TableParagraph"/>
              <w:spacing w:before="25"/>
              <w:ind w:left="112"/>
              <w:rPr>
                <w:sz w:val="21"/>
              </w:rPr>
            </w:pPr>
            <w:r>
              <w:rPr>
                <w:spacing w:val="-5"/>
                <w:sz w:val="21"/>
              </w:rPr>
              <w:t>任何</w:t>
            </w:r>
          </w:p>
        </w:tc>
        <w:tc>
          <w:tcPr>
            <w:tcW w:w="1627" w:type="dxa"/>
          </w:tcPr>
          <w:p>
            <w:pPr>
              <w:pStyle w:val="TableParagraph"/>
              <w:spacing w:before="25"/>
              <w:ind w:left="112"/>
              <w:rPr>
                <w:sz w:val="21"/>
              </w:rPr>
            </w:pPr>
            <w:r>
              <w:rPr>
                <w:spacing w:val="-5"/>
                <w:sz w:val="21"/>
              </w:rPr>
              <w:t>任何</w:t>
            </w:r>
          </w:p>
        </w:tc>
        <w:tc>
          <w:tcPr>
            <w:tcW w:w="1647" w:type="dxa"/>
            <w:tcBorders>
              <w:right w:val="single" w:sz="8" w:space="0" w:color="000000"/>
            </w:tcBorders>
          </w:tcPr>
          <w:p>
            <w:pPr>
              <w:pStyle w:val="TableParagraph"/>
              <w:spacing w:before="25"/>
              <w:ind w:left="108"/>
              <w:rPr>
                <w:sz w:val="21"/>
              </w:rPr>
            </w:pPr>
            <w:r>
              <w:rPr>
                <w:w w:val="100"/>
                <w:sz w:val="21"/>
              </w:rPr>
              <w:t>1</w:t>
            </w:r>
          </w:p>
        </w:tc>
      </w:tr>
      <w:tr>
        <w:trPr>
          <w:trHeight w:val="311" w:hRule="atLeast"/>
        </w:trPr>
        <w:tc>
          <w:tcPr>
            <w:tcW w:w="8533" w:type="dxa"/>
            <w:gridSpan w:val="4"/>
            <w:tcBorders>
              <w:left w:val="single" w:sz="8" w:space="0" w:color="000000"/>
              <w:right w:val="single" w:sz="8" w:space="0" w:color="000000"/>
            </w:tcBorders>
          </w:tcPr>
          <w:p>
            <w:pPr>
              <w:pStyle w:val="TableParagraph"/>
              <w:spacing w:before="22"/>
              <w:ind w:left="107"/>
              <w:rPr>
                <w:sz w:val="21"/>
              </w:rPr>
            </w:pPr>
            <w:r>
              <w:rPr>
                <w:spacing w:val="-2"/>
                <w:sz w:val="21"/>
              </w:rPr>
              <w:t>年龄≥55</w:t>
            </w:r>
            <w:r>
              <w:rPr>
                <w:spacing w:val="-29"/>
                <w:sz w:val="21"/>
              </w:rPr>
              <w:t> 岁</w:t>
            </w:r>
          </w:p>
        </w:tc>
      </w:tr>
      <w:tr>
        <w:trPr>
          <w:trHeight w:val="311" w:hRule="atLeast"/>
        </w:trPr>
        <w:tc>
          <w:tcPr>
            <w:tcW w:w="3418" w:type="dxa"/>
            <w:vMerge w:val="restart"/>
            <w:tcBorders>
              <w:left w:val="single" w:sz="8" w:space="0" w:color="000000"/>
            </w:tcBorders>
          </w:tcPr>
          <w:p>
            <w:pPr>
              <w:pStyle w:val="TableParagraph"/>
              <w:spacing w:before="4"/>
              <w:rPr>
                <w:sz w:val="14"/>
              </w:rPr>
            </w:pPr>
          </w:p>
          <w:p>
            <w:pPr>
              <w:pStyle w:val="TableParagraph"/>
              <w:ind w:left="107"/>
              <w:rPr>
                <w:sz w:val="21"/>
              </w:rPr>
            </w:pPr>
            <w:r>
              <w:rPr>
                <w:spacing w:val="-5"/>
                <w:sz w:val="21"/>
              </w:rPr>
              <w:t>Ⅰ期</w:t>
            </w:r>
          </w:p>
        </w:tc>
        <w:tc>
          <w:tcPr>
            <w:tcW w:w="1841" w:type="dxa"/>
          </w:tcPr>
          <w:p>
            <w:pPr>
              <w:pStyle w:val="TableParagraph"/>
              <w:spacing w:before="22"/>
              <w:ind w:left="112"/>
              <w:rPr>
                <w:sz w:val="21"/>
              </w:rPr>
            </w:pPr>
            <w:r>
              <w:rPr>
                <w:w w:val="100"/>
                <w:sz w:val="21"/>
              </w:rPr>
              <w:t>1</w:t>
            </w:r>
          </w:p>
        </w:tc>
        <w:tc>
          <w:tcPr>
            <w:tcW w:w="1627" w:type="dxa"/>
          </w:tcPr>
          <w:p>
            <w:pPr>
              <w:pStyle w:val="TableParagraph"/>
              <w:spacing w:before="22"/>
              <w:ind w:left="112"/>
              <w:rPr>
                <w:sz w:val="21"/>
              </w:rPr>
            </w:pPr>
            <w:r>
              <w:rPr>
                <w:spacing w:val="-5"/>
                <w:sz w:val="21"/>
              </w:rPr>
              <w:t>0/x</w:t>
            </w:r>
          </w:p>
        </w:tc>
        <w:tc>
          <w:tcPr>
            <w:tcW w:w="1647" w:type="dxa"/>
            <w:tcBorders>
              <w:right w:val="single" w:sz="8" w:space="0" w:color="000000"/>
            </w:tcBorders>
          </w:tcPr>
          <w:p>
            <w:pPr>
              <w:pStyle w:val="TableParagraph"/>
              <w:spacing w:before="22"/>
              <w:ind w:left="108"/>
              <w:rPr>
                <w:sz w:val="21"/>
              </w:rPr>
            </w:pPr>
            <w:r>
              <w:rPr>
                <w:w w:val="100"/>
                <w:sz w:val="21"/>
              </w:rPr>
              <w:t>0</w:t>
            </w:r>
          </w:p>
        </w:tc>
      </w:tr>
      <w:tr>
        <w:trPr>
          <w:trHeight w:val="311" w:hRule="atLeast"/>
        </w:trPr>
        <w:tc>
          <w:tcPr>
            <w:tcW w:w="3418" w:type="dxa"/>
            <w:vMerge/>
            <w:tcBorders>
              <w:top w:val="nil"/>
              <w:left w:val="single" w:sz="8" w:space="0" w:color="000000"/>
            </w:tcBorders>
          </w:tcPr>
          <w:p>
            <w:pPr>
              <w:rPr>
                <w:sz w:val="2"/>
                <w:szCs w:val="2"/>
              </w:rPr>
            </w:pPr>
          </w:p>
        </w:tc>
        <w:tc>
          <w:tcPr>
            <w:tcW w:w="1841" w:type="dxa"/>
          </w:tcPr>
          <w:p>
            <w:pPr>
              <w:pStyle w:val="TableParagraph"/>
              <w:spacing w:before="22"/>
              <w:ind w:left="112"/>
              <w:rPr>
                <w:sz w:val="21"/>
              </w:rPr>
            </w:pPr>
            <w:r>
              <w:rPr>
                <w:w w:val="100"/>
                <w:sz w:val="21"/>
              </w:rPr>
              <w:t>2</w:t>
            </w:r>
          </w:p>
        </w:tc>
        <w:tc>
          <w:tcPr>
            <w:tcW w:w="1627" w:type="dxa"/>
          </w:tcPr>
          <w:p>
            <w:pPr>
              <w:pStyle w:val="TableParagraph"/>
              <w:spacing w:before="22"/>
              <w:ind w:left="112"/>
              <w:rPr>
                <w:sz w:val="21"/>
              </w:rPr>
            </w:pPr>
            <w:r>
              <w:rPr>
                <w:spacing w:val="-5"/>
                <w:sz w:val="21"/>
              </w:rPr>
              <w:t>0/x</w:t>
            </w:r>
          </w:p>
        </w:tc>
        <w:tc>
          <w:tcPr>
            <w:tcW w:w="1647" w:type="dxa"/>
            <w:tcBorders>
              <w:right w:val="single" w:sz="8" w:space="0" w:color="000000"/>
            </w:tcBorders>
          </w:tcPr>
          <w:p>
            <w:pPr>
              <w:pStyle w:val="TableParagraph"/>
              <w:spacing w:before="22"/>
              <w:ind w:left="108"/>
              <w:rPr>
                <w:sz w:val="21"/>
              </w:rPr>
            </w:pPr>
            <w:r>
              <w:rPr>
                <w:w w:val="100"/>
                <w:sz w:val="21"/>
              </w:rPr>
              <w:t>0</w:t>
            </w:r>
          </w:p>
        </w:tc>
      </w:tr>
      <w:tr>
        <w:trPr>
          <w:trHeight w:val="311" w:hRule="atLeast"/>
        </w:trPr>
        <w:tc>
          <w:tcPr>
            <w:tcW w:w="3418" w:type="dxa"/>
            <w:vMerge w:val="restart"/>
            <w:tcBorders>
              <w:left w:val="single" w:sz="8" w:space="0" w:color="000000"/>
            </w:tcBorders>
          </w:tcPr>
          <w:p>
            <w:pPr>
              <w:pStyle w:val="TableParagraph"/>
              <w:spacing w:before="4"/>
              <w:rPr>
                <w:sz w:val="14"/>
              </w:rPr>
            </w:pPr>
          </w:p>
          <w:p>
            <w:pPr>
              <w:pStyle w:val="TableParagraph"/>
              <w:ind w:left="107"/>
              <w:rPr>
                <w:sz w:val="21"/>
              </w:rPr>
            </w:pPr>
            <w:r>
              <w:rPr>
                <w:spacing w:val="-5"/>
                <w:sz w:val="21"/>
              </w:rPr>
              <w:t>Ⅱ期</w:t>
            </w:r>
          </w:p>
        </w:tc>
        <w:tc>
          <w:tcPr>
            <w:tcW w:w="1841" w:type="dxa"/>
          </w:tcPr>
          <w:p>
            <w:pPr>
              <w:pStyle w:val="TableParagraph"/>
              <w:spacing w:before="22"/>
              <w:ind w:left="112"/>
              <w:rPr>
                <w:sz w:val="21"/>
              </w:rPr>
            </w:pPr>
            <w:r>
              <w:rPr>
                <w:spacing w:val="-5"/>
                <w:sz w:val="21"/>
              </w:rPr>
              <w:t>1～2</w:t>
            </w:r>
          </w:p>
        </w:tc>
        <w:tc>
          <w:tcPr>
            <w:tcW w:w="1627" w:type="dxa"/>
          </w:tcPr>
          <w:p>
            <w:pPr>
              <w:pStyle w:val="TableParagraph"/>
              <w:spacing w:before="22"/>
              <w:ind w:left="112"/>
              <w:rPr>
                <w:sz w:val="21"/>
              </w:rPr>
            </w:pPr>
            <w:r>
              <w:rPr>
                <w:w w:val="100"/>
                <w:sz w:val="21"/>
              </w:rPr>
              <w:t>1</w:t>
            </w:r>
          </w:p>
        </w:tc>
        <w:tc>
          <w:tcPr>
            <w:tcW w:w="1647" w:type="dxa"/>
            <w:tcBorders>
              <w:right w:val="single" w:sz="8" w:space="0" w:color="000000"/>
            </w:tcBorders>
          </w:tcPr>
          <w:p>
            <w:pPr>
              <w:pStyle w:val="TableParagraph"/>
              <w:spacing w:before="22"/>
              <w:ind w:left="108"/>
              <w:rPr>
                <w:sz w:val="21"/>
              </w:rPr>
            </w:pPr>
            <w:r>
              <w:rPr>
                <w:w w:val="100"/>
                <w:sz w:val="21"/>
              </w:rPr>
              <w:t>0</w:t>
            </w:r>
          </w:p>
        </w:tc>
      </w:tr>
      <w:tr>
        <w:trPr>
          <w:trHeight w:val="311" w:hRule="atLeast"/>
        </w:trPr>
        <w:tc>
          <w:tcPr>
            <w:tcW w:w="3418" w:type="dxa"/>
            <w:vMerge/>
            <w:tcBorders>
              <w:top w:val="nil"/>
              <w:left w:val="single" w:sz="8" w:space="0" w:color="000000"/>
            </w:tcBorders>
          </w:tcPr>
          <w:p>
            <w:pPr>
              <w:rPr>
                <w:sz w:val="2"/>
                <w:szCs w:val="2"/>
              </w:rPr>
            </w:pPr>
          </w:p>
        </w:tc>
        <w:tc>
          <w:tcPr>
            <w:tcW w:w="1841" w:type="dxa"/>
          </w:tcPr>
          <w:p>
            <w:pPr>
              <w:pStyle w:val="TableParagraph"/>
              <w:spacing w:before="22"/>
              <w:ind w:left="112"/>
              <w:rPr>
                <w:sz w:val="21"/>
              </w:rPr>
            </w:pPr>
            <w:r>
              <w:rPr>
                <w:spacing w:val="-2"/>
                <w:sz w:val="21"/>
              </w:rPr>
              <w:t>3a～3b</w:t>
            </w:r>
          </w:p>
        </w:tc>
        <w:tc>
          <w:tcPr>
            <w:tcW w:w="1627" w:type="dxa"/>
          </w:tcPr>
          <w:p>
            <w:pPr>
              <w:pStyle w:val="TableParagraph"/>
              <w:spacing w:before="22"/>
              <w:ind w:left="112"/>
              <w:rPr>
                <w:sz w:val="21"/>
              </w:rPr>
            </w:pPr>
            <w:r>
              <w:rPr>
                <w:spacing w:val="-5"/>
                <w:sz w:val="21"/>
              </w:rPr>
              <w:t>任何</w:t>
            </w:r>
          </w:p>
        </w:tc>
        <w:tc>
          <w:tcPr>
            <w:tcW w:w="1647" w:type="dxa"/>
            <w:tcBorders>
              <w:right w:val="single" w:sz="8" w:space="0" w:color="000000"/>
            </w:tcBorders>
          </w:tcPr>
          <w:p>
            <w:pPr>
              <w:pStyle w:val="TableParagraph"/>
              <w:spacing w:before="22"/>
              <w:ind w:left="108"/>
              <w:rPr>
                <w:sz w:val="21"/>
              </w:rPr>
            </w:pPr>
            <w:r>
              <w:rPr>
                <w:w w:val="100"/>
                <w:sz w:val="21"/>
              </w:rPr>
              <w:t>0</w:t>
            </w:r>
          </w:p>
        </w:tc>
      </w:tr>
      <w:tr>
        <w:trPr>
          <w:trHeight w:val="314" w:hRule="atLeast"/>
        </w:trPr>
        <w:tc>
          <w:tcPr>
            <w:tcW w:w="3418" w:type="dxa"/>
            <w:tcBorders>
              <w:left w:val="single" w:sz="8" w:space="0" w:color="000000"/>
            </w:tcBorders>
          </w:tcPr>
          <w:p>
            <w:pPr>
              <w:pStyle w:val="TableParagraph"/>
              <w:spacing w:before="25"/>
              <w:ind w:left="107"/>
              <w:rPr>
                <w:sz w:val="21"/>
              </w:rPr>
            </w:pPr>
            <w:r>
              <w:rPr>
                <w:spacing w:val="-5"/>
                <w:sz w:val="21"/>
              </w:rPr>
              <w:t>Ⅲ期</w:t>
            </w:r>
          </w:p>
        </w:tc>
        <w:tc>
          <w:tcPr>
            <w:tcW w:w="1841" w:type="dxa"/>
          </w:tcPr>
          <w:p>
            <w:pPr>
              <w:pStyle w:val="TableParagraph"/>
              <w:spacing w:before="25"/>
              <w:ind w:left="112"/>
              <w:rPr>
                <w:sz w:val="21"/>
              </w:rPr>
            </w:pPr>
            <w:r>
              <w:rPr>
                <w:spacing w:val="-5"/>
                <w:sz w:val="21"/>
              </w:rPr>
              <w:t>4a</w:t>
            </w:r>
          </w:p>
        </w:tc>
        <w:tc>
          <w:tcPr>
            <w:tcW w:w="1627" w:type="dxa"/>
          </w:tcPr>
          <w:p>
            <w:pPr>
              <w:pStyle w:val="TableParagraph"/>
              <w:spacing w:before="25"/>
              <w:ind w:left="112"/>
              <w:rPr>
                <w:sz w:val="21"/>
              </w:rPr>
            </w:pPr>
            <w:r>
              <w:rPr>
                <w:spacing w:val="-5"/>
                <w:sz w:val="21"/>
              </w:rPr>
              <w:t>任何</w:t>
            </w:r>
          </w:p>
        </w:tc>
        <w:tc>
          <w:tcPr>
            <w:tcW w:w="1647" w:type="dxa"/>
            <w:tcBorders>
              <w:right w:val="single" w:sz="8" w:space="0" w:color="000000"/>
            </w:tcBorders>
          </w:tcPr>
          <w:p>
            <w:pPr>
              <w:pStyle w:val="TableParagraph"/>
              <w:spacing w:before="25"/>
              <w:ind w:left="108"/>
              <w:rPr>
                <w:sz w:val="21"/>
              </w:rPr>
            </w:pPr>
            <w:r>
              <w:rPr>
                <w:w w:val="100"/>
                <w:sz w:val="21"/>
              </w:rPr>
              <w:t>0</w:t>
            </w:r>
          </w:p>
        </w:tc>
      </w:tr>
      <w:tr>
        <w:trPr>
          <w:trHeight w:val="311" w:hRule="atLeast"/>
        </w:trPr>
        <w:tc>
          <w:tcPr>
            <w:tcW w:w="3418" w:type="dxa"/>
            <w:tcBorders>
              <w:left w:val="single" w:sz="8" w:space="0" w:color="000000"/>
            </w:tcBorders>
          </w:tcPr>
          <w:p>
            <w:pPr>
              <w:pStyle w:val="TableParagraph"/>
              <w:spacing w:before="22"/>
              <w:ind w:left="107"/>
              <w:rPr>
                <w:sz w:val="21"/>
              </w:rPr>
            </w:pPr>
            <w:r>
              <w:rPr>
                <w:sz w:val="21"/>
              </w:rPr>
              <w:t>ⅣA</w:t>
            </w:r>
            <w:r>
              <w:rPr>
                <w:spacing w:val="-32"/>
                <w:sz w:val="21"/>
              </w:rPr>
              <w:t> 期</w:t>
            </w:r>
          </w:p>
        </w:tc>
        <w:tc>
          <w:tcPr>
            <w:tcW w:w="1841" w:type="dxa"/>
          </w:tcPr>
          <w:p>
            <w:pPr>
              <w:pStyle w:val="TableParagraph"/>
              <w:spacing w:before="22"/>
              <w:ind w:left="112"/>
              <w:rPr>
                <w:sz w:val="21"/>
              </w:rPr>
            </w:pPr>
            <w:r>
              <w:rPr>
                <w:spacing w:val="-5"/>
                <w:sz w:val="21"/>
              </w:rPr>
              <w:t>4b</w:t>
            </w:r>
          </w:p>
        </w:tc>
        <w:tc>
          <w:tcPr>
            <w:tcW w:w="1627" w:type="dxa"/>
          </w:tcPr>
          <w:p>
            <w:pPr>
              <w:pStyle w:val="TableParagraph"/>
              <w:spacing w:before="22"/>
              <w:ind w:left="112"/>
              <w:rPr>
                <w:sz w:val="21"/>
              </w:rPr>
            </w:pPr>
            <w:r>
              <w:rPr>
                <w:spacing w:val="-5"/>
                <w:sz w:val="21"/>
              </w:rPr>
              <w:t>任何</w:t>
            </w:r>
          </w:p>
        </w:tc>
        <w:tc>
          <w:tcPr>
            <w:tcW w:w="1647" w:type="dxa"/>
            <w:tcBorders>
              <w:right w:val="single" w:sz="8" w:space="0" w:color="000000"/>
            </w:tcBorders>
          </w:tcPr>
          <w:p>
            <w:pPr>
              <w:pStyle w:val="TableParagraph"/>
              <w:spacing w:before="22"/>
              <w:ind w:left="108"/>
              <w:rPr>
                <w:sz w:val="21"/>
              </w:rPr>
            </w:pPr>
            <w:r>
              <w:rPr>
                <w:w w:val="100"/>
                <w:sz w:val="21"/>
              </w:rPr>
              <w:t>0</w:t>
            </w:r>
          </w:p>
        </w:tc>
      </w:tr>
      <w:tr>
        <w:trPr>
          <w:trHeight w:val="312" w:hRule="atLeast"/>
        </w:trPr>
        <w:tc>
          <w:tcPr>
            <w:tcW w:w="3418" w:type="dxa"/>
            <w:tcBorders>
              <w:left w:val="single" w:sz="8" w:space="0" w:color="000000"/>
            </w:tcBorders>
          </w:tcPr>
          <w:p>
            <w:pPr>
              <w:pStyle w:val="TableParagraph"/>
              <w:spacing w:before="23"/>
              <w:ind w:left="107"/>
              <w:rPr>
                <w:sz w:val="21"/>
              </w:rPr>
            </w:pPr>
            <w:r>
              <w:rPr>
                <w:sz w:val="21"/>
              </w:rPr>
              <w:t>ⅣB</w:t>
            </w:r>
            <w:r>
              <w:rPr>
                <w:spacing w:val="-32"/>
                <w:sz w:val="21"/>
              </w:rPr>
              <w:t> 期</w:t>
            </w:r>
          </w:p>
        </w:tc>
        <w:tc>
          <w:tcPr>
            <w:tcW w:w="1841" w:type="dxa"/>
          </w:tcPr>
          <w:p>
            <w:pPr>
              <w:pStyle w:val="TableParagraph"/>
              <w:spacing w:before="23"/>
              <w:ind w:left="112"/>
              <w:rPr>
                <w:sz w:val="21"/>
              </w:rPr>
            </w:pPr>
            <w:r>
              <w:rPr>
                <w:spacing w:val="-5"/>
                <w:sz w:val="21"/>
              </w:rPr>
              <w:t>任何</w:t>
            </w:r>
          </w:p>
        </w:tc>
        <w:tc>
          <w:tcPr>
            <w:tcW w:w="1627" w:type="dxa"/>
          </w:tcPr>
          <w:p>
            <w:pPr>
              <w:pStyle w:val="TableParagraph"/>
              <w:spacing w:before="23"/>
              <w:ind w:left="112"/>
              <w:rPr>
                <w:sz w:val="21"/>
              </w:rPr>
            </w:pPr>
            <w:r>
              <w:rPr>
                <w:spacing w:val="-5"/>
                <w:sz w:val="21"/>
              </w:rPr>
              <w:t>任何</w:t>
            </w:r>
          </w:p>
        </w:tc>
        <w:tc>
          <w:tcPr>
            <w:tcW w:w="1647" w:type="dxa"/>
            <w:tcBorders>
              <w:right w:val="single" w:sz="8" w:space="0" w:color="000000"/>
            </w:tcBorders>
          </w:tcPr>
          <w:p>
            <w:pPr>
              <w:pStyle w:val="TableParagraph"/>
              <w:spacing w:before="23"/>
              <w:ind w:left="108"/>
              <w:rPr>
                <w:sz w:val="21"/>
              </w:rPr>
            </w:pPr>
            <w:r>
              <w:rPr>
                <w:w w:val="100"/>
                <w:sz w:val="21"/>
              </w:rPr>
              <w:t>1</w:t>
            </w:r>
          </w:p>
        </w:tc>
      </w:tr>
      <w:tr>
        <w:trPr>
          <w:trHeight w:val="311" w:hRule="atLeast"/>
        </w:trPr>
        <w:tc>
          <w:tcPr>
            <w:tcW w:w="8533" w:type="dxa"/>
            <w:gridSpan w:val="4"/>
            <w:tcBorders>
              <w:left w:val="single" w:sz="8" w:space="0" w:color="000000"/>
              <w:right w:val="single" w:sz="8" w:space="0" w:color="000000"/>
            </w:tcBorders>
          </w:tcPr>
          <w:p>
            <w:pPr>
              <w:pStyle w:val="TableParagraph"/>
              <w:spacing w:before="22"/>
              <w:ind w:left="107"/>
              <w:rPr>
                <w:sz w:val="21"/>
              </w:rPr>
            </w:pPr>
            <w:r>
              <w:rPr>
                <w:spacing w:val="-2"/>
                <w:sz w:val="21"/>
              </w:rPr>
              <w:t>髓样癌（所有年龄组</w:t>
            </w:r>
            <w:r>
              <w:rPr>
                <w:spacing w:val="-10"/>
                <w:sz w:val="21"/>
              </w:rPr>
              <w:t>）</w:t>
            </w:r>
          </w:p>
        </w:tc>
      </w:tr>
      <w:tr>
        <w:trPr>
          <w:trHeight w:val="311" w:hRule="atLeast"/>
        </w:trPr>
        <w:tc>
          <w:tcPr>
            <w:tcW w:w="3418" w:type="dxa"/>
            <w:tcBorders>
              <w:left w:val="single" w:sz="8" w:space="0" w:color="000000"/>
            </w:tcBorders>
          </w:tcPr>
          <w:p>
            <w:pPr>
              <w:pStyle w:val="TableParagraph"/>
              <w:spacing w:before="22"/>
              <w:ind w:left="107"/>
              <w:rPr>
                <w:sz w:val="21"/>
              </w:rPr>
            </w:pPr>
            <w:r>
              <w:rPr>
                <w:spacing w:val="-5"/>
                <w:sz w:val="21"/>
              </w:rPr>
              <w:t>Ⅰ期</w:t>
            </w:r>
          </w:p>
        </w:tc>
        <w:tc>
          <w:tcPr>
            <w:tcW w:w="1841" w:type="dxa"/>
          </w:tcPr>
          <w:p>
            <w:pPr>
              <w:pStyle w:val="TableParagraph"/>
              <w:spacing w:before="22"/>
              <w:ind w:left="112"/>
              <w:rPr>
                <w:sz w:val="21"/>
              </w:rPr>
            </w:pPr>
            <w:r>
              <w:rPr>
                <w:w w:val="100"/>
                <w:sz w:val="21"/>
              </w:rPr>
              <w:t>1</w:t>
            </w:r>
          </w:p>
        </w:tc>
        <w:tc>
          <w:tcPr>
            <w:tcW w:w="1627" w:type="dxa"/>
          </w:tcPr>
          <w:p>
            <w:pPr>
              <w:pStyle w:val="TableParagraph"/>
              <w:spacing w:before="22"/>
              <w:ind w:left="112"/>
              <w:rPr>
                <w:sz w:val="21"/>
              </w:rPr>
            </w:pPr>
            <w:r>
              <w:rPr>
                <w:w w:val="100"/>
                <w:sz w:val="21"/>
              </w:rPr>
              <w:t>0</w:t>
            </w:r>
          </w:p>
        </w:tc>
        <w:tc>
          <w:tcPr>
            <w:tcW w:w="1647" w:type="dxa"/>
            <w:tcBorders>
              <w:right w:val="single" w:sz="8" w:space="0" w:color="000000"/>
            </w:tcBorders>
          </w:tcPr>
          <w:p>
            <w:pPr>
              <w:pStyle w:val="TableParagraph"/>
              <w:spacing w:before="22"/>
              <w:ind w:left="108"/>
              <w:rPr>
                <w:sz w:val="21"/>
              </w:rPr>
            </w:pPr>
            <w:r>
              <w:rPr>
                <w:w w:val="100"/>
                <w:sz w:val="21"/>
              </w:rPr>
              <w:t>0</w:t>
            </w:r>
          </w:p>
        </w:tc>
      </w:tr>
      <w:tr>
        <w:trPr>
          <w:trHeight w:val="311" w:hRule="atLeast"/>
        </w:trPr>
        <w:tc>
          <w:tcPr>
            <w:tcW w:w="3418" w:type="dxa"/>
            <w:tcBorders>
              <w:left w:val="single" w:sz="8" w:space="0" w:color="000000"/>
            </w:tcBorders>
          </w:tcPr>
          <w:p>
            <w:pPr>
              <w:pStyle w:val="TableParagraph"/>
              <w:spacing w:before="22"/>
              <w:ind w:left="107"/>
              <w:rPr>
                <w:sz w:val="21"/>
              </w:rPr>
            </w:pPr>
            <w:r>
              <w:rPr>
                <w:spacing w:val="-5"/>
                <w:sz w:val="21"/>
              </w:rPr>
              <w:t>Ⅱ期</w:t>
            </w:r>
          </w:p>
        </w:tc>
        <w:tc>
          <w:tcPr>
            <w:tcW w:w="1841" w:type="dxa"/>
          </w:tcPr>
          <w:p>
            <w:pPr>
              <w:pStyle w:val="TableParagraph"/>
              <w:spacing w:before="22"/>
              <w:ind w:left="112"/>
              <w:rPr>
                <w:sz w:val="21"/>
              </w:rPr>
            </w:pPr>
            <w:r>
              <w:rPr>
                <w:spacing w:val="-5"/>
                <w:sz w:val="21"/>
              </w:rPr>
              <w:t>2～3</w:t>
            </w:r>
          </w:p>
        </w:tc>
        <w:tc>
          <w:tcPr>
            <w:tcW w:w="1627" w:type="dxa"/>
          </w:tcPr>
          <w:p>
            <w:pPr>
              <w:pStyle w:val="TableParagraph"/>
              <w:spacing w:before="22"/>
              <w:ind w:left="112"/>
              <w:rPr>
                <w:sz w:val="21"/>
              </w:rPr>
            </w:pPr>
            <w:r>
              <w:rPr>
                <w:w w:val="100"/>
                <w:sz w:val="21"/>
              </w:rPr>
              <w:t>0</w:t>
            </w:r>
          </w:p>
        </w:tc>
        <w:tc>
          <w:tcPr>
            <w:tcW w:w="1647" w:type="dxa"/>
            <w:tcBorders>
              <w:right w:val="single" w:sz="8" w:space="0" w:color="000000"/>
            </w:tcBorders>
          </w:tcPr>
          <w:p>
            <w:pPr>
              <w:pStyle w:val="TableParagraph"/>
              <w:spacing w:before="22"/>
              <w:ind w:left="108"/>
              <w:rPr>
                <w:sz w:val="21"/>
              </w:rPr>
            </w:pPr>
            <w:r>
              <w:rPr>
                <w:w w:val="100"/>
                <w:sz w:val="21"/>
              </w:rPr>
              <w:t>0</w:t>
            </w:r>
          </w:p>
        </w:tc>
      </w:tr>
      <w:tr>
        <w:trPr>
          <w:trHeight w:val="314" w:hRule="atLeast"/>
        </w:trPr>
        <w:tc>
          <w:tcPr>
            <w:tcW w:w="3418" w:type="dxa"/>
            <w:tcBorders>
              <w:left w:val="single" w:sz="8" w:space="0" w:color="000000"/>
            </w:tcBorders>
          </w:tcPr>
          <w:p>
            <w:pPr>
              <w:pStyle w:val="TableParagraph"/>
              <w:spacing w:before="25"/>
              <w:ind w:left="107"/>
              <w:rPr>
                <w:sz w:val="21"/>
              </w:rPr>
            </w:pPr>
            <w:r>
              <w:rPr>
                <w:spacing w:val="-5"/>
                <w:sz w:val="21"/>
              </w:rPr>
              <w:t>Ⅲ期</w:t>
            </w:r>
          </w:p>
        </w:tc>
        <w:tc>
          <w:tcPr>
            <w:tcW w:w="1841" w:type="dxa"/>
          </w:tcPr>
          <w:p>
            <w:pPr>
              <w:pStyle w:val="TableParagraph"/>
              <w:spacing w:before="25"/>
              <w:ind w:left="112"/>
              <w:rPr>
                <w:sz w:val="21"/>
              </w:rPr>
            </w:pPr>
            <w:r>
              <w:rPr>
                <w:spacing w:val="-5"/>
                <w:sz w:val="21"/>
              </w:rPr>
              <w:t>1～3</w:t>
            </w:r>
          </w:p>
        </w:tc>
        <w:tc>
          <w:tcPr>
            <w:tcW w:w="1627" w:type="dxa"/>
          </w:tcPr>
          <w:p>
            <w:pPr>
              <w:pStyle w:val="TableParagraph"/>
              <w:spacing w:before="25"/>
              <w:ind w:left="112"/>
              <w:rPr>
                <w:sz w:val="21"/>
              </w:rPr>
            </w:pPr>
            <w:r>
              <w:rPr>
                <w:spacing w:val="-5"/>
                <w:sz w:val="21"/>
              </w:rPr>
              <w:t>1a</w:t>
            </w:r>
          </w:p>
        </w:tc>
        <w:tc>
          <w:tcPr>
            <w:tcW w:w="1647" w:type="dxa"/>
            <w:tcBorders>
              <w:right w:val="single" w:sz="8" w:space="0" w:color="000000"/>
            </w:tcBorders>
          </w:tcPr>
          <w:p>
            <w:pPr>
              <w:pStyle w:val="TableParagraph"/>
              <w:spacing w:before="25"/>
              <w:ind w:left="108"/>
              <w:rPr>
                <w:sz w:val="21"/>
              </w:rPr>
            </w:pPr>
            <w:r>
              <w:rPr>
                <w:w w:val="100"/>
                <w:sz w:val="21"/>
              </w:rPr>
              <w:t>0</w:t>
            </w:r>
          </w:p>
        </w:tc>
      </w:tr>
      <w:tr>
        <w:trPr>
          <w:trHeight w:val="311" w:hRule="atLeast"/>
        </w:trPr>
        <w:tc>
          <w:tcPr>
            <w:tcW w:w="3418" w:type="dxa"/>
            <w:vMerge w:val="restart"/>
            <w:tcBorders>
              <w:left w:val="single" w:sz="8" w:space="0" w:color="000000"/>
            </w:tcBorders>
          </w:tcPr>
          <w:p>
            <w:pPr>
              <w:pStyle w:val="TableParagraph"/>
              <w:spacing w:before="4"/>
              <w:rPr>
                <w:sz w:val="14"/>
              </w:rPr>
            </w:pPr>
          </w:p>
          <w:p>
            <w:pPr>
              <w:pStyle w:val="TableParagraph"/>
              <w:ind w:left="107"/>
              <w:rPr>
                <w:sz w:val="21"/>
              </w:rPr>
            </w:pPr>
            <w:r>
              <w:rPr>
                <w:sz w:val="21"/>
              </w:rPr>
              <w:t>ⅣA</w:t>
            </w:r>
            <w:r>
              <w:rPr>
                <w:spacing w:val="-32"/>
                <w:sz w:val="21"/>
              </w:rPr>
              <w:t> 期</w:t>
            </w:r>
          </w:p>
        </w:tc>
        <w:tc>
          <w:tcPr>
            <w:tcW w:w="1841" w:type="dxa"/>
          </w:tcPr>
          <w:p>
            <w:pPr>
              <w:pStyle w:val="TableParagraph"/>
              <w:spacing w:before="22"/>
              <w:ind w:left="112"/>
              <w:rPr>
                <w:sz w:val="21"/>
              </w:rPr>
            </w:pPr>
            <w:r>
              <w:rPr>
                <w:spacing w:val="-5"/>
                <w:sz w:val="21"/>
              </w:rPr>
              <w:t>4a</w:t>
            </w:r>
          </w:p>
        </w:tc>
        <w:tc>
          <w:tcPr>
            <w:tcW w:w="1627" w:type="dxa"/>
          </w:tcPr>
          <w:p>
            <w:pPr>
              <w:pStyle w:val="TableParagraph"/>
              <w:spacing w:before="22"/>
              <w:ind w:left="112"/>
              <w:rPr>
                <w:sz w:val="21"/>
              </w:rPr>
            </w:pPr>
            <w:r>
              <w:rPr>
                <w:spacing w:val="-5"/>
                <w:sz w:val="21"/>
              </w:rPr>
              <w:t>任何</w:t>
            </w:r>
          </w:p>
        </w:tc>
        <w:tc>
          <w:tcPr>
            <w:tcW w:w="1647" w:type="dxa"/>
            <w:tcBorders>
              <w:right w:val="single" w:sz="8" w:space="0" w:color="000000"/>
            </w:tcBorders>
          </w:tcPr>
          <w:p>
            <w:pPr>
              <w:pStyle w:val="TableParagraph"/>
              <w:spacing w:before="22"/>
              <w:ind w:left="108"/>
              <w:rPr>
                <w:sz w:val="21"/>
              </w:rPr>
            </w:pPr>
            <w:r>
              <w:rPr>
                <w:w w:val="100"/>
                <w:sz w:val="21"/>
              </w:rPr>
              <w:t>0</w:t>
            </w:r>
          </w:p>
        </w:tc>
      </w:tr>
      <w:tr>
        <w:trPr>
          <w:trHeight w:val="311" w:hRule="atLeast"/>
        </w:trPr>
        <w:tc>
          <w:tcPr>
            <w:tcW w:w="3418" w:type="dxa"/>
            <w:vMerge/>
            <w:tcBorders>
              <w:top w:val="nil"/>
              <w:left w:val="single" w:sz="8" w:space="0" w:color="000000"/>
            </w:tcBorders>
          </w:tcPr>
          <w:p>
            <w:pPr>
              <w:rPr>
                <w:sz w:val="2"/>
                <w:szCs w:val="2"/>
              </w:rPr>
            </w:pPr>
          </w:p>
        </w:tc>
        <w:tc>
          <w:tcPr>
            <w:tcW w:w="1841" w:type="dxa"/>
          </w:tcPr>
          <w:p>
            <w:pPr>
              <w:pStyle w:val="TableParagraph"/>
              <w:spacing w:before="22"/>
              <w:ind w:left="112"/>
              <w:rPr>
                <w:sz w:val="21"/>
              </w:rPr>
            </w:pPr>
            <w:r>
              <w:rPr>
                <w:spacing w:val="-5"/>
                <w:sz w:val="21"/>
              </w:rPr>
              <w:t>1～3</w:t>
            </w:r>
          </w:p>
        </w:tc>
        <w:tc>
          <w:tcPr>
            <w:tcW w:w="1627" w:type="dxa"/>
          </w:tcPr>
          <w:p>
            <w:pPr>
              <w:pStyle w:val="TableParagraph"/>
              <w:spacing w:before="22"/>
              <w:ind w:left="112"/>
              <w:rPr>
                <w:sz w:val="21"/>
              </w:rPr>
            </w:pPr>
            <w:r>
              <w:rPr>
                <w:spacing w:val="-5"/>
                <w:sz w:val="21"/>
              </w:rPr>
              <w:t>1b</w:t>
            </w:r>
          </w:p>
        </w:tc>
        <w:tc>
          <w:tcPr>
            <w:tcW w:w="1647" w:type="dxa"/>
            <w:tcBorders>
              <w:right w:val="single" w:sz="8" w:space="0" w:color="000000"/>
            </w:tcBorders>
          </w:tcPr>
          <w:p>
            <w:pPr>
              <w:pStyle w:val="TableParagraph"/>
              <w:spacing w:before="22"/>
              <w:ind w:left="108"/>
              <w:rPr>
                <w:sz w:val="21"/>
              </w:rPr>
            </w:pPr>
            <w:r>
              <w:rPr>
                <w:w w:val="100"/>
                <w:sz w:val="21"/>
              </w:rPr>
              <w:t>0</w:t>
            </w:r>
          </w:p>
        </w:tc>
      </w:tr>
      <w:tr>
        <w:trPr>
          <w:trHeight w:val="311" w:hRule="atLeast"/>
        </w:trPr>
        <w:tc>
          <w:tcPr>
            <w:tcW w:w="3418" w:type="dxa"/>
            <w:tcBorders>
              <w:left w:val="single" w:sz="8" w:space="0" w:color="000000"/>
            </w:tcBorders>
          </w:tcPr>
          <w:p>
            <w:pPr>
              <w:pStyle w:val="TableParagraph"/>
              <w:spacing w:before="22"/>
              <w:ind w:left="107"/>
              <w:rPr>
                <w:sz w:val="21"/>
              </w:rPr>
            </w:pPr>
            <w:r>
              <w:rPr>
                <w:sz w:val="21"/>
              </w:rPr>
              <w:t>ⅣB</w:t>
            </w:r>
            <w:r>
              <w:rPr>
                <w:spacing w:val="-32"/>
                <w:sz w:val="21"/>
              </w:rPr>
              <w:t> 期</w:t>
            </w:r>
          </w:p>
        </w:tc>
        <w:tc>
          <w:tcPr>
            <w:tcW w:w="1841" w:type="dxa"/>
          </w:tcPr>
          <w:p>
            <w:pPr>
              <w:pStyle w:val="TableParagraph"/>
              <w:spacing w:before="22"/>
              <w:ind w:left="112"/>
              <w:rPr>
                <w:sz w:val="21"/>
              </w:rPr>
            </w:pPr>
            <w:r>
              <w:rPr>
                <w:spacing w:val="-5"/>
                <w:sz w:val="21"/>
              </w:rPr>
              <w:t>4b</w:t>
            </w:r>
          </w:p>
        </w:tc>
        <w:tc>
          <w:tcPr>
            <w:tcW w:w="1627" w:type="dxa"/>
          </w:tcPr>
          <w:p>
            <w:pPr>
              <w:pStyle w:val="TableParagraph"/>
              <w:spacing w:before="22"/>
              <w:ind w:left="112"/>
              <w:rPr>
                <w:sz w:val="21"/>
              </w:rPr>
            </w:pPr>
            <w:r>
              <w:rPr>
                <w:spacing w:val="-5"/>
                <w:sz w:val="21"/>
              </w:rPr>
              <w:t>任何</w:t>
            </w:r>
          </w:p>
        </w:tc>
        <w:tc>
          <w:tcPr>
            <w:tcW w:w="1647" w:type="dxa"/>
            <w:tcBorders>
              <w:right w:val="single" w:sz="8" w:space="0" w:color="000000"/>
            </w:tcBorders>
          </w:tcPr>
          <w:p>
            <w:pPr>
              <w:pStyle w:val="TableParagraph"/>
              <w:spacing w:before="22"/>
              <w:ind w:left="108"/>
              <w:rPr>
                <w:sz w:val="21"/>
              </w:rPr>
            </w:pPr>
            <w:r>
              <w:rPr>
                <w:w w:val="100"/>
                <w:sz w:val="21"/>
              </w:rPr>
              <w:t>0</w:t>
            </w:r>
          </w:p>
        </w:tc>
      </w:tr>
      <w:tr>
        <w:trPr>
          <w:trHeight w:val="311" w:hRule="atLeast"/>
        </w:trPr>
        <w:tc>
          <w:tcPr>
            <w:tcW w:w="3418" w:type="dxa"/>
            <w:tcBorders>
              <w:left w:val="single" w:sz="8" w:space="0" w:color="000000"/>
            </w:tcBorders>
          </w:tcPr>
          <w:p>
            <w:pPr>
              <w:pStyle w:val="TableParagraph"/>
              <w:spacing w:before="22"/>
              <w:ind w:left="107"/>
              <w:rPr>
                <w:sz w:val="21"/>
              </w:rPr>
            </w:pPr>
            <w:r>
              <w:rPr>
                <w:sz w:val="21"/>
              </w:rPr>
              <w:t>ⅣC</w:t>
            </w:r>
            <w:r>
              <w:rPr>
                <w:spacing w:val="-32"/>
                <w:sz w:val="21"/>
              </w:rPr>
              <w:t> 期</w:t>
            </w:r>
          </w:p>
        </w:tc>
        <w:tc>
          <w:tcPr>
            <w:tcW w:w="1841" w:type="dxa"/>
          </w:tcPr>
          <w:p>
            <w:pPr>
              <w:pStyle w:val="TableParagraph"/>
              <w:spacing w:before="22"/>
              <w:ind w:left="112"/>
              <w:rPr>
                <w:sz w:val="21"/>
              </w:rPr>
            </w:pPr>
            <w:r>
              <w:rPr>
                <w:spacing w:val="-5"/>
                <w:sz w:val="21"/>
              </w:rPr>
              <w:t>任何</w:t>
            </w:r>
          </w:p>
        </w:tc>
        <w:tc>
          <w:tcPr>
            <w:tcW w:w="1627" w:type="dxa"/>
          </w:tcPr>
          <w:p>
            <w:pPr>
              <w:pStyle w:val="TableParagraph"/>
              <w:spacing w:before="22"/>
              <w:ind w:left="112"/>
              <w:rPr>
                <w:sz w:val="21"/>
              </w:rPr>
            </w:pPr>
            <w:r>
              <w:rPr>
                <w:spacing w:val="-5"/>
                <w:sz w:val="21"/>
              </w:rPr>
              <w:t>任何</w:t>
            </w:r>
          </w:p>
        </w:tc>
        <w:tc>
          <w:tcPr>
            <w:tcW w:w="1647" w:type="dxa"/>
            <w:tcBorders>
              <w:right w:val="single" w:sz="8" w:space="0" w:color="000000"/>
            </w:tcBorders>
          </w:tcPr>
          <w:p>
            <w:pPr>
              <w:pStyle w:val="TableParagraph"/>
              <w:spacing w:before="22"/>
              <w:ind w:left="108"/>
              <w:rPr>
                <w:sz w:val="21"/>
              </w:rPr>
            </w:pPr>
            <w:r>
              <w:rPr>
                <w:w w:val="100"/>
                <w:sz w:val="21"/>
              </w:rPr>
              <w:t>1</w:t>
            </w:r>
          </w:p>
        </w:tc>
      </w:tr>
      <w:tr>
        <w:trPr>
          <w:trHeight w:val="311" w:hRule="atLeast"/>
        </w:trPr>
        <w:tc>
          <w:tcPr>
            <w:tcW w:w="8533" w:type="dxa"/>
            <w:gridSpan w:val="4"/>
            <w:tcBorders>
              <w:left w:val="single" w:sz="8" w:space="0" w:color="000000"/>
              <w:right w:val="single" w:sz="8" w:space="0" w:color="000000"/>
            </w:tcBorders>
          </w:tcPr>
          <w:p>
            <w:pPr>
              <w:pStyle w:val="TableParagraph"/>
              <w:spacing w:before="22"/>
              <w:ind w:left="107"/>
              <w:rPr>
                <w:sz w:val="21"/>
              </w:rPr>
            </w:pPr>
            <w:r>
              <w:rPr>
                <w:spacing w:val="-2"/>
                <w:sz w:val="21"/>
              </w:rPr>
              <w:t>未分化癌（所有年龄组</w:t>
            </w:r>
            <w:r>
              <w:rPr>
                <w:spacing w:val="-10"/>
                <w:sz w:val="21"/>
              </w:rPr>
              <w:t>）</w:t>
            </w:r>
          </w:p>
        </w:tc>
      </w:tr>
      <w:tr>
        <w:trPr>
          <w:trHeight w:val="314" w:hRule="atLeast"/>
        </w:trPr>
        <w:tc>
          <w:tcPr>
            <w:tcW w:w="3418" w:type="dxa"/>
            <w:tcBorders>
              <w:left w:val="single" w:sz="8" w:space="0" w:color="000000"/>
            </w:tcBorders>
          </w:tcPr>
          <w:p>
            <w:pPr>
              <w:pStyle w:val="TableParagraph"/>
              <w:spacing w:before="25"/>
              <w:ind w:left="107"/>
              <w:rPr>
                <w:sz w:val="21"/>
              </w:rPr>
            </w:pPr>
            <w:r>
              <w:rPr>
                <w:sz w:val="21"/>
              </w:rPr>
              <w:t>ⅣA</w:t>
            </w:r>
            <w:r>
              <w:rPr>
                <w:spacing w:val="-32"/>
                <w:sz w:val="21"/>
              </w:rPr>
              <w:t> 期</w:t>
            </w:r>
          </w:p>
        </w:tc>
        <w:tc>
          <w:tcPr>
            <w:tcW w:w="1841" w:type="dxa"/>
          </w:tcPr>
          <w:p>
            <w:pPr>
              <w:pStyle w:val="TableParagraph"/>
              <w:spacing w:before="25"/>
              <w:ind w:left="112"/>
              <w:rPr>
                <w:sz w:val="21"/>
              </w:rPr>
            </w:pPr>
            <w:r>
              <w:rPr>
                <w:spacing w:val="-4"/>
                <w:sz w:val="21"/>
              </w:rPr>
              <w:t>1～3a</w:t>
            </w:r>
          </w:p>
        </w:tc>
        <w:tc>
          <w:tcPr>
            <w:tcW w:w="1627" w:type="dxa"/>
          </w:tcPr>
          <w:p>
            <w:pPr>
              <w:pStyle w:val="TableParagraph"/>
              <w:spacing w:before="25"/>
              <w:ind w:left="112"/>
              <w:rPr>
                <w:sz w:val="21"/>
              </w:rPr>
            </w:pPr>
            <w:r>
              <w:rPr>
                <w:spacing w:val="-5"/>
                <w:sz w:val="21"/>
              </w:rPr>
              <w:t>0/x</w:t>
            </w:r>
          </w:p>
        </w:tc>
        <w:tc>
          <w:tcPr>
            <w:tcW w:w="1647" w:type="dxa"/>
            <w:tcBorders>
              <w:right w:val="single" w:sz="8" w:space="0" w:color="000000"/>
            </w:tcBorders>
          </w:tcPr>
          <w:p>
            <w:pPr>
              <w:pStyle w:val="TableParagraph"/>
              <w:spacing w:before="25"/>
              <w:ind w:left="108"/>
              <w:rPr>
                <w:sz w:val="21"/>
              </w:rPr>
            </w:pPr>
            <w:r>
              <w:rPr>
                <w:w w:val="100"/>
                <w:sz w:val="21"/>
              </w:rPr>
              <w:t>0</w:t>
            </w:r>
          </w:p>
        </w:tc>
      </w:tr>
      <w:tr>
        <w:trPr>
          <w:trHeight w:val="311" w:hRule="atLeast"/>
        </w:trPr>
        <w:tc>
          <w:tcPr>
            <w:tcW w:w="3418" w:type="dxa"/>
            <w:vMerge w:val="restart"/>
            <w:tcBorders>
              <w:left w:val="single" w:sz="8" w:space="0" w:color="000000"/>
            </w:tcBorders>
          </w:tcPr>
          <w:p>
            <w:pPr>
              <w:pStyle w:val="TableParagraph"/>
              <w:spacing w:before="4"/>
              <w:rPr>
                <w:sz w:val="14"/>
              </w:rPr>
            </w:pPr>
          </w:p>
          <w:p>
            <w:pPr>
              <w:pStyle w:val="TableParagraph"/>
              <w:ind w:left="107"/>
              <w:rPr>
                <w:sz w:val="21"/>
              </w:rPr>
            </w:pPr>
            <w:r>
              <w:rPr>
                <w:sz w:val="21"/>
              </w:rPr>
              <w:t>ⅣB</w:t>
            </w:r>
            <w:r>
              <w:rPr>
                <w:spacing w:val="-32"/>
                <w:sz w:val="21"/>
              </w:rPr>
              <w:t> 期</w:t>
            </w:r>
          </w:p>
        </w:tc>
        <w:tc>
          <w:tcPr>
            <w:tcW w:w="1841" w:type="dxa"/>
          </w:tcPr>
          <w:p>
            <w:pPr>
              <w:pStyle w:val="TableParagraph"/>
              <w:spacing w:before="22"/>
              <w:ind w:left="112"/>
              <w:rPr>
                <w:sz w:val="21"/>
              </w:rPr>
            </w:pPr>
            <w:r>
              <w:rPr>
                <w:spacing w:val="-4"/>
                <w:sz w:val="21"/>
              </w:rPr>
              <w:t>1～3a</w:t>
            </w:r>
          </w:p>
        </w:tc>
        <w:tc>
          <w:tcPr>
            <w:tcW w:w="1627" w:type="dxa"/>
          </w:tcPr>
          <w:p>
            <w:pPr>
              <w:pStyle w:val="TableParagraph"/>
              <w:spacing w:before="22"/>
              <w:ind w:left="112"/>
              <w:rPr>
                <w:sz w:val="21"/>
              </w:rPr>
            </w:pPr>
            <w:r>
              <w:rPr>
                <w:w w:val="100"/>
                <w:sz w:val="21"/>
              </w:rPr>
              <w:t>1</w:t>
            </w:r>
          </w:p>
        </w:tc>
        <w:tc>
          <w:tcPr>
            <w:tcW w:w="1647" w:type="dxa"/>
            <w:tcBorders>
              <w:right w:val="single" w:sz="8" w:space="0" w:color="000000"/>
            </w:tcBorders>
          </w:tcPr>
          <w:p>
            <w:pPr>
              <w:pStyle w:val="TableParagraph"/>
              <w:spacing w:before="22"/>
              <w:ind w:left="108"/>
              <w:rPr>
                <w:sz w:val="21"/>
              </w:rPr>
            </w:pPr>
            <w:r>
              <w:rPr>
                <w:w w:val="100"/>
                <w:sz w:val="21"/>
              </w:rPr>
              <w:t>0</w:t>
            </w:r>
          </w:p>
        </w:tc>
      </w:tr>
      <w:tr>
        <w:trPr>
          <w:trHeight w:val="311" w:hRule="atLeast"/>
        </w:trPr>
        <w:tc>
          <w:tcPr>
            <w:tcW w:w="3418" w:type="dxa"/>
            <w:vMerge/>
            <w:tcBorders>
              <w:top w:val="nil"/>
              <w:left w:val="single" w:sz="8" w:space="0" w:color="000000"/>
            </w:tcBorders>
          </w:tcPr>
          <w:p>
            <w:pPr>
              <w:rPr>
                <w:sz w:val="2"/>
                <w:szCs w:val="2"/>
              </w:rPr>
            </w:pPr>
          </w:p>
        </w:tc>
        <w:tc>
          <w:tcPr>
            <w:tcW w:w="1841" w:type="dxa"/>
          </w:tcPr>
          <w:p>
            <w:pPr>
              <w:pStyle w:val="TableParagraph"/>
              <w:spacing w:before="22"/>
              <w:ind w:left="112"/>
              <w:rPr>
                <w:sz w:val="21"/>
              </w:rPr>
            </w:pPr>
            <w:r>
              <w:rPr>
                <w:spacing w:val="-4"/>
                <w:sz w:val="21"/>
              </w:rPr>
              <w:t>3b～4</w:t>
            </w:r>
          </w:p>
        </w:tc>
        <w:tc>
          <w:tcPr>
            <w:tcW w:w="1627" w:type="dxa"/>
          </w:tcPr>
          <w:p>
            <w:pPr>
              <w:pStyle w:val="TableParagraph"/>
              <w:spacing w:before="22"/>
              <w:ind w:left="112"/>
              <w:rPr>
                <w:sz w:val="21"/>
              </w:rPr>
            </w:pPr>
            <w:r>
              <w:rPr>
                <w:spacing w:val="-5"/>
                <w:sz w:val="21"/>
              </w:rPr>
              <w:t>任何</w:t>
            </w:r>
          </w:p>
        </w:tc>
        <w:tc>
          <w:tcPr>
            <w:tcW w:w="1647" w:type="dxa"/>
            <w:tcBorders>
              <w:right w:val="single" w:sz="8" w:space="0" w:color="000000"/>
            </w:tcBorders>
          </w:tcPr>
          <w:p>
            <w:pPr>
              <w:pStyle w:val="TableParagraph"/>
              <w:spacing w:before="22"/>
              <w:ind w:left="108"/>
              <w:rPr>
                <w:sz w:val="21"/>
              </w:rPr>
            </w:pPr>
            <w:r>
              <w:rPr>
                <w:w w:val="100"/>
                <w:sz w:val="21"/>
              </w:rPr>
              <w:t>0</w:t>
            </w:r>
          </w:p>
        </w:tc>
      </w:tr>
      <w:tr>
        <w:trPr>
          <w:trHeight w:val="311" w:hRule="atLeast"/>
        </w:trPr>
        <w:tc>
          <w:tcPr>
            <w:tcW w:w="3418" w:type="dxa"/>
            <w:tcBorders>
              <w:left w:val="single" w:sz="8" w:space="0" w:color="000000"/>
              <w:bottom w:val="single" w:sz="8" w:space="0" w:color="000000"/>
            </w:tcBorders>
          </w:tcPr>
          <w:p>
            <w:pPr>
              <w:pStyle w:val="TableParagraph"/>
              <w:spacing w:line="269" w:lineRule="exact" w:before="22"/>
              <w:ind w:left="107"/>
              <w:rPr>
                <w:sz w:val="21"/>
              </w:rPr>
            </w:pPr>
            <w:r>
              <w:rPr>
                <w:sz w:val="21"/>
              </w:rPr>
              <w:t>ⅣC</w:t>
            </w:r>
            <w:r>
              <w:rPr>
                <w:spacing w:val="-32"/>
                <w:sz w:val="21"/>
              </w:rPr>
              <w:t> 期</w:t>
            </w:r>
          </w:p>
        </w:tc>
        <w:tc>
          <w:tcPr>
            <w:tcW w:w="1841" w:type="dxa"/>
            <w:tcBorders>
              <w:bottom w:val="single" w:sz="8" w:space="0" w:color="000000"/>
            </w:tcBorders>
          </w:tcPr>
          <w:p>
            <w:pPr>
              <w:pStyle w:val="TableParagraph"/>
              <w:spacing w:line="269" w:lineRule="exact" w:before="22"/>
              <w:ind w:left="112"/>
              <w:rPr>
                <w:sz w:val="21"/>
              </w:rPr>
            </w:pPr>
            <w:r>
              <w:rPr>
                <w:spacing w:val="-5"/>
                <w:sz w:val="21"/>
              </w:rPr>
              <w:t>任何</w:t>
            </w:r>
          </w:p>
        </w:tc>
        <w:tc>
          <w:tcPr>
            <w:tcW w:w="1627" w:type="dxa"/>
            <w:tcBorders>
              <w:bottom w:val="single" w:sz="8" w:space="0" w:color="000000"/>
            </w:tcBorders>
          </w:tcPr>
          <w:p>
            <w:pPr>
              <w:pStyle w:val="TableParagraph"/>
              <w:spacing w:line="269" w:lineRule="exact" w:before="22"/>
              <w:ind w:left="112"/>
              <w:rPr>
                <w:sz w:val="21"/>
              </w:rPr>
            </w:pPr>
            <w:r>
              <w:rPr>
                <w:spacing w:val="-5"/>
                <w:sz w:val="21"/>
              </w:rPr>
              <w:t>任何</w:t>
            </w:r>
          </w:p>
        </w:tc>
        <w:tc>
          <w:tcPr>
            <w:tcW w:w="1647" w:type="dxa"/>
            <w:tcBorders>
              <w:bottom w:val="single" w:sz="8" w:space="0" w:color="000000"/>
              <w:right w:val="single" w:sz="8" w:space="0" w:color="000000"/>
            </w:tcBorders>
          </w:tcPr>
          <w:p>
            <w:pPr>
              <w:pStyle w:val="TableParagraph"/>
              <w:spacing w:line="269" w:lineRule="exact" w:before="22"/>
              <w:ind w:left="108"/>
              <w:rPr>
                <w:sz w:val="21"/>
              </w:rPr>
            </w:pPr>
            <w:r>
              <w:rPr>
                <w:w w:val="100"/>
                <w:sz w:val="21"/>
              </w:rPr>
              <w:t>1</w:t>
            </w:r>
          </w:p>
        </w:tc>
      </w:tr>
    </w:tbl>
    <w:p>
      <w:pPr>
        <w:pStyle w:val="Heading2"/>
        <w:spacing w:line="262" w:lineRule="exact" w:before="33"/>
        <w:ind w:left="140"/>
      </w:pPr>
      <w:r>
        <w:rPr>
          <w:spacing w:val="-3"/>
        </w:rPr>
        <w:t>注：以上表格中“年龄”均指患者病理组织标本获取日期时的年龄。</w:t>
      </w:r>
    </w:p>
    <w:p>
      <w:pPr>
        <w:spacing w:line="385" w:lineRule="exact" w:before="0"/>
        <w:ind w:left="1458" w:right="1536" w:firstLine="0"/>
        <w:jc w:val="center"/>
        <w:rPr>
          <w:rFonts w:ascii="微软雅黑" w:eastAsia="微软雅黑"/>
          <w:b/>
          <w:sz w:val="22"/>
        </w:rPr>
      </w:pPr>
      <w:r>
        <w:rPr>
          <w:rFonts w:ascii="微软雅黑" w:eastAsia="微软雅黑"/>
          <w:b/>
          <w:sz w:val="22"/>
        </w:rPr>
        <w:t>（结束</w:t>
      </w:r>
      <w:r>
        <w:rPr>
          <w:rFonts w:ascii="微软雅黑" w:eastAsia="微软雅黑"/>
          <w:b/>
          <w:spacing w:val="-10"/>
          <w:sz w:val="22"/>
        </w:rPr>
        <w:t>）</w:t>
      </w:r>
    </w:p>
    <w:sectPr>
      <w:pgSz w:w="11910" w:h="16840"/>
      <w:pgMar w:header="877" w:footer="0" w:top="1100" w:bottom="280" w:left="106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仿宋">
    <w:altName w:val="仿宋"/>
    <w:charset w:val="86"/>
    <w:family w:val="modern"/>
    <w:pitch w:val="fixed"/>
  </w:font>
  <w:font w:name="Wingdings">
    <w:altName w:val="Wingdings"/>
    <w:charset w:val="2"/>
    <w:family w:val="auto"/>
    <w:pitch w:val="variable"/>
  </w:font>
  <w:font w:name="Microsoft JhengHei">
    <w:altName w:val="Microsoft JhengHei"/>
    <w:charset w:val="0"/>
    <w:family w:val="swiss"/>
    <w:pitch w:val="variable"/>
  </w:font>
  <w:font w:name="宋体">
    <w:altName w:val="宋体"/>
    <w:charset w:val="86"/>
    <w:family w:val="auto"/>
    <w:pitch w:val="variable"/>
  </w:font>
  <w:font w:name="Wingdings 2">
    <w:altName w:val="Wingdings 2"/>
    <w:charset w:val="2"/>
    <w:family w:val="roman"/>
    <w:pitch w:val="variable"/>
  </w:font>
  <w:font w:name="Calibri">
    <w:altName w:val="Calibri"/>
    <w:charset w:val="0"/>
    <w:family w:val="swiss"/>
    <w:pitch w:val="variable"/>
  </w:font>
  <w:font w:name="微软雅黑">
    <w:altName w:val="微软雅黑"/>
    <w:charset w:val="86"/>
    <w:family w:val="swiss"/>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58.584pt;margin-top:55.199982pt;width:478.27pt;height:.72pt;mso-position-horizontal-relative:page;mso-position-vertical-relative:page;z-index:-18368512"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242.649994pt;margin-top:42.865608pt;width:110pt;height:11pt;mso-position-horizontal-relative:page;mso-position-vertical-relative:page;z-index:-18368000" type="#_x0000_t202" id="docshape2" filled="false" stroked="false">
          <v:textbox inset="0,0,0,0">
            <w:txbxContent>
              <w:p>
                <w:pPr>
                  <w:spacing w:line="220" w:lineRule="exact" w:before="0"/>
                  <w:ind w:left="20" w:right="0" w:firstLine="0"/>
                  <w:jc w:val="left"/>
                  <w:rPr>
                    <w:sz w:val="18"/>
                  </w:rPr>
                </w:pPr>
                <w:r>
                  <w:rPr>
                    <w:spacing w:val="-1"/>
                    <w:sz w:val="18"/>
                  </w:rPr>
                  <w:t>小康人寿保险有限责任公司</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7">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3" w:hanging="529"/>
      </w:pPr>
      <w:rPr>
        <w:rFonts w:hint="default"/>
        <w:lang w:val="en-US" w:eastAsia="zh-CN" w:bidi="ar-SA"/>
      </w:rPr>
    </w:lvl>
    <w:lvl w:ilvl="5">
      <w:start w:val="0"/>
      <w:numFmt w:val="bullet"/>
      <w:lvlText w:val="•"/>
      <w:lvlJc w:val="left"/>
      <w:pPr>
        <w:ind w:left="3819" w:hanging="529"/>
      </w:pPr>
      <w:rPr>
        <w:rFonts w:hint="default"/>
        <w:lang w:val="en-US" w:eastAsia="zh-CN" w:bidi="ar-SA"/>
      </w:rPr>
    </w:lvl>
    <w:lvl w:ilvl="6">
      <w:start w:val="0"/>
      <w:numFmt w:val="bullet"/>
      <w:lvlText w:val="•"/>
      <w:lvlJc w:val="left"/>
      <w:pPr>
        <w:ind w:left="4455" w:hanging="529"/>
      </w:pPr>
      <w:rPr>
        <w:rFonts w:hint="default"/>
        <w:lang w:val="en-US" w:eastAsia="zh-CN" w:bidi="ar-SA"/>
      </w:rPr>
    </w:lvl>
    <w:lvl w:ilvl="7">
      <w:start w:val="0"/>
      <w:numFmt w:val="bullet"/>
      <w:lvlText w:val="•"/>
      <w:lvlJc w:val="left"/>
      <w:pPr>
        <w:ind w:left="5091" w:hanging="529"/>
      </w:pPr>
      <w:rPr>
        <w:rFonts w:hint="default"/>
        <w:lang w:val="en-US" w:eastAsia="zh-CN" w:bidi="ar-SA"/>
      </w:rPr>
    </w:lvl>
    <w:lvl w:ilvl="8">
      <w:start w:val="0"/>
      <w:numFmt w:val="bullet"/>
      <w:lvlText w:val="•"/>
      <w:lvlJc w:val="left"/>
      <w:pPr>
        <w:ind w:left="5727" w:hanging="529"/>
      </w:pPr>
      <w:rPr>
        <w:rFonts w:hint="default"/>
        <w:lang w:val="en-US" w:eastAsia="zh-CN" w:bidi="ar-SA"/>
      </w:rPr>
    </w:lvl>
  </w:abstractNum>
  <w:abstractNum w:abstractNumId="116">
    <w:multiLevelType w:val="hybridMultilevel"/>
    <w:lvl w:ilvl="0">
      <w:start w:val="1"/>
      <w:numFmt w:val="decimal"/>
      <w:lvlText w:val="（%1）"/>
      <w:lvlJc w:val="left"/>
      <w:pPr>
        <w:ind w:left="638"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3" w:hanging="529"/>
      </w:pPr>
      <w:rPr>
        <w:rFonts w:hint="default"/>
        <w:lang w:val="en-US" w:eastAsia="zh-CN" w:bidi="ar-SA"/>
      </w:rPr>
    </w:lvl>
    <w:lvl w:ilvl="5">
      <w:start w:val="0"/>
      <w:numFmt w:val="bullet"/>
      <w:lvlText w:val="•"/>
      <w:lvlJc w:val="left"/>
      <w:pPr>
        <w:ind w:left="3819" w:hanging="529"/>
      </w:pPr>
      <w:rPr>
        <w:rFonts w:hint="default"/>
        <w:lang w:val="en-US" w:eastAsia="zh-CN" w:bidi="ar-SA"/>
      </w:rPr>
    </w:lvl>
    <w:lvl w:ilvl="6">
      <w:start w:val="0"/>
      <w:numFmt w:val="bullet"/>
      <w:lvlText w:val="•"/>
      <w:lvlJc w:val="left"/>
      <w:pPr>
        <w:ind w:left="4455" w:hanging="529"/>
      </w:pPr>
      <w:rPr>
        <w:rFonts w:hint="default"/>
        <w:lang w:val="en-US" w:eastAsia="zh-CN" w:bidi="ar-SA"/>
      </w:rPr>
    </w:lvl>
    <w:lvl w:ilvl="7">
      <w:start w:val="0"/>
      <w:numFmt w:val="bullet"/>
      <w:lvlText w:val="•"/>
      <w:lvlJc w:val="left"/>
      <w:pPr>
        <w:ind w:left="5091" w:hanging="529"/>
      </w:pPr>
      <w:rPr>
        <w:rFonts w:hint="default"/>
        <w:lang w:val="en-US" w:eastAsia="zh-CN" w:bidi="ar-SA"/>
      </w:rPr>
    </w:lvl>
    <w:lvl w:ilvl="8">
      <w:start w:val="0"/>
      <w:numFmt w:val="bullet"/>
      <w:lvlText w:val="•"/>
      <w:lvlJc w:val="left"/>
      <w:pPr>
        <w:ind w:left="5727" w:hanging="529"/>
      </w:pPr>
      <w:rPr>
        <w:rFonts w:hint="default"/>
        <w:lang w:val="en-US" w:eastAsia="zh-CN" w:bidi="ar-SA"/>
      </w:rPr>
    </w:lvl>
  </w:abstractNum>
  <w:abstractNum w:abstractNumId="115">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3" w:hanging="529"/>
      </w:pPr>
      <w:rPr>
        <w:rFonts w:hint="default"/>
        <w:lang w:val="en-US" w:eastAsia="zh-CN" w:bidi="ar-SA"/>
      </w:rPr>
    </w:lvl>
    <w:lvl w:ilvl="5">
      <w:start w:val="0"/>
      <w:numFmt w:val="bullet"/>
      <w:lvlText w:val="•"/>
      <w:lvlJc w:val="left"/>
      <w:pPr>
        <w:ind w:left="3819" w:hanging="529"/>
      </w:pPr>
      <w:rPr>
        <w:rFonts w:hint="default"/>
        <w:lang w:val="en-US" w:eastAsia="zh-CN" w:bidi="ar-SA"/>
      </w:rPr>
    </w:lvl>
    <w:lvl w:ilvl="6">
      <w:start w:val="0"/>
      <w:numFmt w:val="bullet"/>
      <w:lvlText w:val="•"/>
      <w:lvlJc w:val="left"/>
      <w:pPr>
        <w:ind w:left="4455" w:hanging="529"/>
      </w:pPr>
      <w:rPr>
        <w:rFonts w:hint="default"/>
        <w:lang w:val="en-US" w:eastAsia="zh-CN" w:bidi="ar-SA"/>
      </w:rPr>
    </w:lvl>
    <w:lvl w:ilvl="7">
      <w:start w:val="0"/>
      <w:numFmt w:val="bullet"/>
      <w:lvlText w:val="•"/>
      <w:lvlJc w:val="left"/>
      <w:pPr>
        <w:ind w:left="5091" w:hanging="529"/>
      </w:pPr>
      <w:rPr>
        <w:rFonts w:hint="default"/>
        <w:lang w:val="en-US" w:eastAsia="zh-CN" w:bidi="ar-SA"/>
      </w:rPr>
    </w:lvl>
    <w:lvl w:ilvl="8">
      <w:start w:val="0"/>
      <w:numFmt w:val="bullet"/>
      <w:lvlText w:val="•"/>
      <w:lvlJc w:val="left"/>
      <w:pPr>
        <w:ind w:left="5727" w:hanging="529"/>
      </w:pPr>
      <w:rPr>
        <w:rFonts w:hint="default"/>
        <w:lang w:val="en-US" w:eastAsia="zh-CN" w:bidi="ar-SA"/>
      </w:rPr>
    </w:lvl>
  </w:abstractNum>
  <w:abstractNum w:abstractNumId="114">
    <w:multiLevelType w:val="hybridMultilevel"/>
    <w:lvl w:ilvl="0">
      <w:start w:val="1"/>
      <w:numFmt w:val="decimal"/>
      <w:lvlText w:val="（%1）"/>
      <w:lvlJc w:val="left"/>
      <w:pPr>
        <w:ind w:left="620"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257" w:hanging="529"/>
      </w:pPr>
      <w:rPr>
        <w:rFonts w:hint="default"/>
        <w:lang w:val="en-US" w:eastAsia="zh-CN" w:bidi="ar-SA"/>
      </w:rPr>
    </w:lvl>
    <w:lvl w:ilvl="2">
      <w:start w:val="0"/>
      <w:numFmt w:val="bullet"/>
      <w:lvlText w:val="•"/>
      <w:lvlJc w:val="left"/>
      <w:pPr>
        <w:ind w:left="1895" w:hanging="529"/>
      </w:pPr>
      <w:rPr>
        <w:rFonts w:hint="default"/>
        <w:lang w:val="en-US" w:eastAsia="zh-CN" w:bidi="ar-SA"/>
      </w:rPr>
    </w:lvl>
    <w:lvl w:ilvl="3">
      <w:start w:val="0"/>
      <w:numFmt w:val="bullet"/>
      <w:lvlText w:val="•"/>
      <w:lvlJc w:val="left"/>
      <w:pPr>
        <w:ind w:left="2533" w:hanging="529"/>
      </w:pPr>
      <w:rPr>
        <w:rFonts w:hint="default"/>
        <w:lang w:val="en-US" w:eastAsia="zh-CN" w:bidi="ar-SA"/>
      </w:rPr>
    </w:lvl>
    <w:lvl w:ilvl="4">
      <w:start w:val="0"/>
      <w:numFmt w:val="bullet"/>
      <w:lvlText w:val="•"/>
      <w:lvlJc w:val="left"/>
      <w:pPr>
        <w:ind w:left="3171" w:hanging="529"/>
      </w:pPr>
      <w:rPr>
        <w:rFonts w:hint="default"/>
        <w:lang w:val="en-US" w:eastAsia="zh-CN" w:bidi="ar-SA"/>
      </w:rPr>
    </w:lvl>
    <w:lvl w:ilvl="5">
      <w:start w:val="0"/>
      <w:numFmt w:val="bullet"/>
      <w:lvlText w:val="•"/>
      <w:lvlJc w:val="left"/>
      <w:pPr>
        <w:ind w:left="3809" w:hanging="529"/>
      </w:pPr>
      <w:rPr>
        <w:rFonts w:hint="default"/>
        <w:lang w:val="en-US" w:eastAsia="zh-CN" w:bidi="ar-SA"/>
      </w:rPr>
    </w:lvl>
    <w:lvl w:ilvl="6">
      <w:start w:val="0"/>
      <w:numFmt w:val="bullet"/>
      <w:lvlText w:val="•"/>
      <w:lvlJc w:val="left"/>
      <w:pPr>
        <w:ind w:left="4447" w:hanging="529"/>
      </w:pPr>
      <w:rPr>
        <w:rFonts w:hint="default"/>
        <w:lang w:val="en-US" w:eastAsia="zh-CN" w:bidi="ar-SA"/>
      </w:rPr>
    </w:lvl>
    <w:lvl w:ilvl="7">
      <w:start w:val="0"/>
      <w:numFmt w:val="bullet"/>
      <w:lvlText w:val="•"/>
      <w:lvlJc w:val="left"/>
      <w:pPr>
        <w:ind w:left="5085" w:hanging="529"/>
      </w:pPr>
      <w:rPr>
        <w:rFonts w:hint="default"/>
        <w:lang w:val="en-US" w:eastAsia="zh-CN" w:bidi="ar-SA"/>
      </w:rPr>
    </w:lvl>
    <w:lvl w:ilvl="8">
      <w:start w:val="0"/>
      <w:numFmt w:val="bullet"/>
      <w:lvlText w:val="•"/>
      <w:lvlJc w:val="left"/>
      <w:pPr>
        <w:ind w:left="5723" w:hanging="529"/>
      </w:pPr>
      <w:rPr>
        <w:rFonts w:hint="default"/>
        <w:lang w:val="en-US" w:eastAsia="zh-CN" w:bidi="ar-SA"/>
      </w:rPr>
    </w:lvl>
  </w:abstractNum>
  <w:abstractNum w:abstractNumId="113">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3" w:hanging="529"/>
      </w:pPr>
      <w:rPr>
        <w:rFonts w:hint="default"/>
        <w:lang w:val="en-US" w:eastAsia="zh-CN" w:bidi="ar-SA"/>
      </w:rPr>
    </w:lvl>
    <w:lvl w:ilvl="5">
      <w:start w:val="0"/>
      <w:numFmt w:val="bullet"/>
      <w:lvlText w:val="•"/>
      <w:lvlJc w:val="left"/>
      <w:pPr>
        <w:ind w:left="3819" w:hanging="529"/>
      </w:pPr>
      <w:rPr>
        <w:rFonts w:hint="default"/>
        <w:lang w:val="en-US" w:eastAsia="zh-CN" w:bidi="ar-SA"/>
      </w:rPr>
    </w:lvl>
    <w:lvl w:ilvl="6">
      <w:start w:val="0"/>
      <w:numFmt w:val="bullet"/>
      <w:lvlText w:val="•"/>
      <w:lvlJc w:val="left"/>
      <w:pPr>
        <w:ind w:left="4455" w:hanging="529"/>
      </w:pPr>
      <w:rPr>
        <w:rFonts w:hint="default"/>
        <w:lang w:val="en-US" w:eastAsia="zh-CN" w:bidi="ar-SA"/>
      </w:rPr>
    </w:lvl>
    <w:lvl w:ilvl="7">
      <w:start w:val="0"/>
      <w:numFmt w:val="bullet"/>
      <w:lvlText w:val="•"/>
      <w:lvlJc w:val="left"/>
      <w:pPr>
        <w:ind w:left="5091" w:hanging="529"/>
      </w:pPr>
      <w:rPr>
        <w:rFonts w:hint="default"/>
        <w:lang w:val="en-US" w:eastAsia="zh-CN" w:bidi="ar-SA"/>
      </w:rPr>
    </w:lvl>
    <w:lvl w:ilvl="8">
      <w:start w:val="0"/>
      <w:numFmt w:val="bullet"/>
      <w:lvlText w:val="•"/>
      <w:lvlJc w:val="left"/>
      <w:pPr>
        <w:ind w:left="5727" w:hanging="529"/>
      </w:pPr>
      <w:rPr>
        <w:rFonts w:hint="default"/>
        <w:lang w:val="en-US" w:eastAsia="zh-CN" w:bidi="ar-SA"/>
      </w:rPr>
    </w:lvl>
  </w:abstractNum>
  <w:abstractNum w:abstractNumId="112">
    <w:multiLevelType w:val="hybridMultilevel"/>
    <w:lvl w:ilvl="0">
      <w:start w:val="1"/>
      <w:numFmt w:val="decimal"/>
      <w:lvlText w:val="（%1）"/>
      <w:lvlJc w:val="left"/>
      <w:pPr>
        <w:ind w:left="706"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111">
    <w:multiLevelType w:val="hybridMultilevel"/>
    <w:lvl w:ilvl="0">
      <w:start w:val="1"/>
      <w:numFmt w:val="decimal"/>
      <w:lvlText w:val="（%1）"/>
      <w:lvlJc w:val="left"/>
      <w:pPr>
        <w:ind w:left="744" w:hanging="567"/>
        <w:jc w:val="left"/>
      </w:pPr>
      <w:rPr>
        <w:rFonts w:hint="default" w:ascii="仿宋" w:hAnsi="仿宋" w:eastAsia="仿宋" w:cs="仿宋"/>
        <w:b w:val="0"/>
        <w:bCs w:val="0"/>
        <w:i w:val="0"/>
        <w:iCs w:val="0"/>
        <w:w w:val="100"/>
        <w:sz w:val="21"/>
        <w:szCs w:val="21"/>
        <w:lang w:val="en-US" w:eastAsia="zh-CN" w:bidi="ar-SA"/>
      </w:rPr>
    </w:lvl>
    <w:lvl w:ilvl="1">
      <w:start w:val="0"/>
      <w:numFmt w:val="bullet"/>
      <w:lvlText w:val="•"/>
      <w:lvlJc w:val="left"/>
      <w:pPr>
        <w:ind w:left="1389" w:hanging="567"/>
      </w:pPr>
      <w:rPr>
        <w:rFonts w:hint="default"/>
        <w:lang w:val="en-US" w:eastAsia="zh-CN" w:bidi="ar-SA"/>
      </w:rPr>
    </w:lvl>
    <w:lvl w:ilvl="2">
      <w:start w:val="0"/>
      <w:numFmt w:val="bullet"/>
      <w:lvlText w:val="•"/>
      <w:lvlJc w:val="left"/>
      <w:pPr>
        <w:ind w:left="2039" w:hanging="567"/>
      </w:pPr>
      <w:rPr>
        <w:rFonts w:hint="default"/>
        <w:lang w:val="en-US" w:eastAsia="zh-CN" w:bidi="ar-SA"/>
      </w:rPr>
    </w:lvl>
    <w:lvl w:ilvl="3">
      <w:start w:val="0"/>
      <w:numFmt w:val="bullet"/>
      <w:lvlText w:val="•"/>
      <w:lvlJc w:val="left"/>
      <w:pPr>
        <w:ind w:left="2689" w:hanging="567"/>
      </w:pPr>
      <w:rPr>
        <w:rFonts w:hint="default"/>
        <w:lang w:val="en-US" w:eastAsia="zh-CN" w:bidi="ar-SA"/>
      </w:rPr>
    </w:lvl>
    <w:lvl w:ilvl="4">
      <w:start w:val="0"/>
      <w:numFmt w:val="bullet"/>
      <w:lvlText w:val="•"/>
      <w:lvlJc w:val="left"/>
      <w:pPr>
        <w:ind w:left="3339" w:hanging="567"/>
      </w:pPr>
      <w:rPr>
        <w:rFonts w:hint="default"/>
        <w:lang w:val="en-US" w:eastAsia="zh-CN" w:bidi="ar-SA"/>
      </w:rPr>
    </w:lvl>
    <w:lvl w:ilvl="5">
      <w:start w:val="0"/>
      <w:numFmt w:val="bullet"/>
      <w:lvlText w:val="•"/>
      <w:lvlJc w:val="left"/>
      <w:pPr>
        <w:ind w:left="3989" w:hanging="567"/>
      </w:pPr>
      <w:rPr>
        <w:rFonts w:hint="default"/>
        <w:lang w:val="en-US" w:eastAsia="zh-CN" w:bidi="ar-SA"/>
      </w:rPr>
    </w:lvl>
    <w:lvl w:ilvl="6">
      <w:start w:val="0"/>
      <w:numFmt w:val="bullet"/>
      <w:lvlText w:val="•"/>
      <w:lvlJc w:val="left"/>
      <w:pPr>
        <w:ind w:left="4639" w:hanging="567"/>
      </w:pPr>
      <w:rPr>
        <w:rFonts w:hint="default"/>
        <w:lang w:val="en-US" w:eastAsia="zh-CN" w:bidi="ar-SA"/>
      </w:rPr>
    </w:lvl>
    <w:lvl w:ilvl="7">
      <w:start w:val="0"/>
      <w:numFmt w:val="bullet"/>
      <w:lvlText w:val="•"/>
      <w:lvlJc w:val="left"/>
      <w:pPr>
        <w:ind w:left="5289" w:hanging="567"/>
      </w:pPr>
      <w:rPr>
        <w:rFonts w:hint="default"/>
        <w:lang w:val="en-US" w:eastAsia="zh-CN" w:bidi="ar-SA"/>
      </w:rPr>
    </w:lvl>
    <w:lvl w:ilvl="8">
      <w:start w:val="0"/>
      <w:numFmt w:val="bullet"/>
      <w:lvlText w:val="•"/>
      <w:lvlJc w:val="left"/>
      <w:pPr>
        <w:ind w:left="5939" w:hanging="567"/>
      </w:pPr>
      <w:rPr>
        <w:rFonts w:hint="default"/>
        <w:lang w:val="en-US" w:eastAsia="zh-CN" w:bidi="ar-SA"/>
      </w:rPr>
    </w:lvl>
  </w:abstractNum>
  <w:abstractNum w:abstractNumId="110">
    <w:multiLevelType w:val="hybridMultilevel"/>
    <w:lvl w:ilvl="0">
      <w:start w:val="34"/>
      <w:numFmt w:val="decimal"/>
      <w:lvlText w:val="%1"/>
      <w:lvlJc w:val="left"/>
      <w:pPr>
        <w:ind w:left="2805" w:hanging="958"/>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2）"/>
      <w:lvlJc w:val="left"/>
      <w:pPr>
        <w:ind w:left="3371" w:hanging="567"/>
        <w:jc w:val="left"/>
      </w:pPr>
      <w:rPr>
        <w:rFonts w:hint="default" w:ascii="仿宋" w:hAnsi="仿宋" w:eastAsia="仿宋" w:cs="仿宋"/>
        <w:b w:val="0"/>
        <w:bCs w:val="0"/>
        <w:i w:val="0"/>
        <w:iCs w:val="0"/>
        <w:w w:val="100"/>
        <w:sz w:val="21"/>
        <w:szCs w:val="21"/>
        <w:lang w:val="en-US" w:eastAsia="zh-CN" w:bidi="ar-SA"/>
      </w:rPr>
    </w:lvl>
    <w:lvl w:ilvl="2">
      <w:start w:val="0"/>
      <w:numFmt w:val="bullet"/>
      <w:lvlText w:val="•"/>
      <w:lvlJc w:val="left"/>
      <w:pPr>
        <w:ind w:left="4100" w:hanging="567"/>
      </w:pPr>
      <w:rPr>
        <w:rFonts w:hint="default"/>
        <w:lang w:val="en-US" w:eastAsia="zh-CN" w:bidi="ar-SA"/>
      </w:rPr>
    </w:lvl>
    <w:lvl w:ilvl="3">
      <w:start w:val="0"/>
      <w:numFmt w:val="bullet"/>
      <w:lvlText w:val="•"/>
      <w:lvlJc w:val="left"/>
      <w:pPr>
        <w:ind w:left="4821" w:hanging="567"/>
      </w:pPr>
      <w:rPr>
        <w:rFonts w:hint="default"/>
        <w:lang w:val="en-US" w:eastAsia="zh-CN" w:bidi="ar-SA"/>
      </w:rPr>
    </w:lvl>
    <w:lvl w:ilvl="4">
      <w:start w:val="0"/>
      <w:numFmt w:val="bullet"/>
      <w:lvlText w:val="•"/>
      <w:lvlJc w:val="left"/>
      <w:pPr>
        <w:ind w:left="5542" w:hanging="567"/>
      </w:pPr>
      <w:rPr>
        <w:rFonts w:hint="default"/>
        <w:lang w:val="en-US" w:eastAsia="zh-CN" w:bidi="ar-SA"/>
      </w:rPr>
    </w:lvl>
    <w:lvl w:ilvl="5">
      <w:start w:val="0"/>
      <w:numFmt w:val="bullet"/>
      <w:lvlText w:val="•"/>
      <w:lvlJc w:val="left"/>
      <w:pPr>
        <w:ind w:left="6262" w:hanging="567"/>
      </w:pPr>
      <w:rPr>
        <w:rFonts w:hint="default"/>
        <w:lang w:val="en-US" w:eastAsia="zh-CN" w:bidi="ar-SA"/>
      </w:rPr>
    </w:lvl>
    <w:lvl w:ilvl="6">
      <w:start w:val="0"/>
      <w:numFmt w:val="bullet"/>
      <w:lvlText w:val="•"/>
      <w:lvlJc w:val="left"/>
      <w:pPr>
        <w:ind w:left="6983" w:hanging="567"/>
      </w:pPr>
      <w:rPr>
        <w:rFonts w:hint="default"/>
        <w:lang w:val="en-US" w:eastAsia="zh-CN" w:bidi="ar-SA"/>
      </w:rPr>
    </w:lvl>
    <w:lvl w:ilvl="7">
      <w:start w:val="0"/>
      <w:numFmt w:val="bullet"/>
      <w:lvlText w:val="•"/>
      <w:lvlJc w:val="left"/>
      <w:pPr>
        <w:ind w:left="7704" w:hanging="567"/>
      </w:pPr>
      <w:rPr>
        <w:rFonts w:hint="default"/>
        <w:lang w:val="en-US" w:eastAsia="zh-CN" w:bidi="ar-SA"/>
      </w:rPr>
    </w:lvl>
    <w:lvl w:ilvl="8">
      <w:start w:val="0"/>
      <w:numFmt w:val="bullet"/>
      <w:lvlText w:val="•"/>
      <w:lvlJc w:val="left"/>
      <w:pPr>
        <w:ind w:left="8424" w:hanging="567"/>
      </w:pPr>
      <w:rPr>
        <w:rFonts w:hint="default"/>
        <w:lang w:val="en-US" w:eastAsia="zh-CN" w:bidi="ar-SA"/>
      </w:rPr>
    </w:lvl>
  </w:abstractNum>
  <w:abstractNum w:abstractNumId="109">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65" w:hanging="529"/>
      </w:pPr>
      <w:rPr>
        <w:rFonts w:hint="default"/>
        <w:lang w:val="en-US" w:eastAsia="zh-CN" w:bidi="ar-SA"/>
      </w:rPr>
    </w:lvl>
    <w:lvl w:ilvl="2">
      <w:start w:val="0"/>
      <w:numFmt w:val="bullet"/>
      <w:lvlText w:val="•"/>
      <w:lvlJc w:val="left"/>
      <w:pPr>
        <w:ind w:left="1890" w:hanging="529"/>
      </w:pPr>
      <w:rPr>
        <w:rFonts w:hint="default"/>
        <w:lang w:val="en-US" w:eastAsia="zh-CN" w:bidi="ar-SA"/>
      </w:rPr>
    </w:lvl>
    <w:lvl w:ilvl="3">
      <w:start w:val="0"/>
      <w:numFmt w:val="bullet"/>
      <w:lvlText w:val="•"/>
      <w:lvlJc w:val="left"/>
      <w:pPr>
        <w:ind w:left="2515" w:hanging="529"/>
      </w:pPr>
      <w:rPr>
        <w:rFonts w:hint="default"/>
        <w:lang w:val="en-US" w:eastAsia="zh-CN" w:bidi="ar-SA"/>
      </w:rPr>
    </w:lvl>
    <w:lvl w:ilvl="4">
      <w:start w:val="0"/>
      <w:numFmt w:val="bullet"/>
      <w:lvlText w:val="•"/>
      <w:lvlJc w:val="left"/>
      <w:pPr>
        <w:ind w:left="3140" w:hanging="529"/>
      </w:pPr>
      <w:rPr>
        <w:rFonts w:hint="default"/>
        <w:lang w:val="en-US" w:eastAsia="zh-CN" w:bidi="ar-SA"/>
      </w:rPr>
    </w:lvl>
    <w:lvl w:ilvl="5">
      <w:start w:val="0"/>
      <w:numFmt w:val="bullet"/>
      <w:lvlText w:val="•"/>
      <w:lvlJc w:val="left"/>
      <w:pPr>
        <w:ind w:left="3765" w:hanging="529"/>
      </w:pPr>
      <w:rPr>
        <w:rFonts w:hint="default"/>
        <w:lang w:val="en-US" w:eastAsia="zh-CN" w:bidi="ar-SA"/>
      </w:rPr>
    </w:lvl>
    <w:lvl w:ilvl="6">
      <w:start w:val="0"/>
      <w:numFmt w:val="bullet"/>
      <w:lvlText w:val="•"/>
      <w:lvlJc w:val="left"/>
      <w:pPr>
        <w:ind w:left="4390" w:hanging="529"/>
      </w:pPr>
      <w:rPr>
        <w:rFonts w:hint="default"/>
        <w:lang w:val="en-US" w:eastAsia="zh-CN" w:bidi="ar-SA"/>
      </w:rPr>
    </w:lvl>
    <w:lvl w:ilvl="7">
      <w:start w:val="0"/>
      <w:numFmt w:val="bullet"/>
      <w:lvlText w:val="•"/>
      <w:lvlJc w:val="left"/>
      <w:pPr>
        <w:ind w:left="5015" w:hanging="529"/>
      </w:pPr>
      <w:rPr>
        <w:rFonts w:hint="default"/>
        <w:lang w:val="en-US" w:eastAsia="zh-CN" w:bidi="ar-SA"/>
      </w:rPr>
    </w:lvl>
    <w:lvl w:ilvl="8">
      <w:start w:val="0"/>
      <w:numFmt w:val="bullet"/>
      <w:lvlText w:val="•"/>
      <w:lvlJc w:val="left"/>
      <w:pPr>
        <w:ind w:left="5640" w:hanging="529"/>
      </w:pPr>
      <w:rPr>
        <w:rFonts w:hint="default"/>
        <w:lang w:val="en-US" w:eastAsia="zh-CN" w:bidi="ar-SA"/>
      </w:rPr>
    </w:lvl>
  </w:abstractNum>
  <w:abstractNum w:abstractNumId="108">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4" w:hanging="529"/>
      </w:pPr>
      <w:rPr>
        <w:rFonts w:hint="default"/>
        <w:lang w:val="en-US" w:eastAsia="zh-CN" w:bidi="ar-SA"/>
      </w:rPr>
    </w:lvl>
    <w:lvl w:ilvl="2">
      <w:start w:val="0"/>
      <w:numFmt w:val="bullet"/>
      <w:lvlText w:val="•"/>
      <w:lvlJc w:val="left"/>
      <w:pPr>
        <w:ind w:left="1909" w:hanging="529"/>
      </w:pPr>
      <w:rPr>
        <w:rFonts w:hint="default"/>
        <w:lang w:val="en-US" w:eastAsia="zh-CN" w:bidi="ar-SA"/>
      </w:rPr>
    </w:lvl>
    <w:lvl w:ilvl="3">
      <w:start w:val="0"/>
      <w:numFmt w:val="bullet"/>
      <w:lvlText w:val="•"/>
      <w:lvlJc w:val="left"/>
      <w:pPr>
        <w:ind w:left="2544" w:hanging="529"/>
      </w:pPr>
      <w:rPr>
        <w:rFonts w:hint="default"/>
        <w:lang w:val="en-US" w:eastAsia="zh-CN" w:bidi="ar-SA"/>
      </w:rPr>
    </w:lvl>
    <w:lvl w:ilvl="4">
      <w:start w:val="0"/>
      <w:numFmt w:val="bullet"/>
      <w:lvlText w:val="•"/>
      <w:lvlJc w:val="left"/>
      <w:pPr>
        <w:ind w:left="3179" w:hanging="529"/>
      </w:pPr>
      <w:rPr>
        <w:rFonts w:hint="default"/>
        <w:lang w:val="en-US" w:eastAsia="zh-CN" w:bidi="ar-SA"/>
      </w:rPr>
    </w:lvl>
    <w:lvl w:ilvl="5">
      <w:start w:val="0"/>
      <w:numFmt w:val="bullet"/>
      <w:lvlText w:val="•"/>
      <w:lvlJc w:val="left"/>
      <w:pPr>
        <w:ind w:left="3814" w:hanging="529"/>
      </w:pPr>
      <w:rPr>
        <w:rFonts w:hint="default"/>
        <w:lang w:val="en-US" w:eastAsia="zh-CN" w:bidi="ar-SA"/>
      </w:rPr>
    </w:lvl>
    <w:lvl w:ilvl="6">
      <w:start w:val="0"/>
      <w:numFmt w:val="bullet"/>
      <w:lvlText w:val="•"/>
      <w:lvlJc w:val="left"/>
      <w:pPr>
        <w:ind w:left="4448" w:hanging="529"/>
      </w:pPr>
      <w:rPr>
        <w:rFonts w:hint="default"/>
        <w:lang w:val="en-US" w:eastAsia="zh-CN" w:bidi="ar-SA"/>
      </w:rPr>
    </w:lvl>
    <w:lvl w:ilvl="7">
      <w:start w:val="0"/>
      <w:numFmt w:val="bullet"/>
      <w:lvlText w:val="•"/>
      <w:lvlJc w:val="left"/>
      <w:pPr>
        <w:ind w:left="5083" w:hanging="529"/>
      </w:pPr>
      <w:rPr>
        <w:rFonts w:hint="default"/>
        <w:lang w:val="en-US" w:eastAsia="zh-CN" w:bidi="ar-SA"/>
      </w:rPr>
    </w:lvl>
    <w:lvl w:ilvl="8">
      <w:start w:val="0"/>
      <w:numFmt w:val="bullet"/>
      <w:lvlText w:val="•"/>
      <w:lvlJc w:val="left"/>
      <w:pPr>
        <w:ind w:left="5718" w:hanging="529"/>
      </w:pPr>
      <w:rPr>
        <w:rFonts w:hint="default"/>
        <w:lang w:val="en-US" w:eastAsia="zh-CN" w:bidi="ar-SA"/>
      </w:rPr>
    </w:lvl>
  </w:abstractNum>
  <w:abstractNum w:abstractNumId="107">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4" w:hanging="529"/>
      </w:pPr>
      <w:rPr>
        <w:rFonts w:hint="default"/>
        <w:lang w:val="en-US" w:eastAsia="zh-CN" w:bidi="ar-SA"/>
      </w:rPr>
    </w:lvl>
    <w:lvl w:ilvl="2">
      <w:start w:val="0"/>
      <w:numFmt w:val="bullet"/>
      <w:lvlText w:val="•"/>
      <w:lvlJc w:val="left"/>
      <w:pPr>
        <w:ind w:left="1909" w:hanging="529"/>
      </w:pPr>
      <w:rPr>
        <w:rFonts w:hint="default"/>
        <w:lang w:val="en-US" w:eastAsia="zh-CN" w:bidi="ar-SA"/>
      </w:rPr>
    </w:lvl>
    <w:lvl w:ilvl="3">
      <w:start w:val="0"/>
      <w:numFmt w:val="bullet"/>
      <w:lvlText w:val="•"/>
      <w:lvlJc w:val="left"/>
      <w:pPr>
        <w:ind w:left="2544" w:hanging="529"/>
      </w:pPr>
      <w:rPr>
        <w:rFonts w:hint="default"/>
        <w:lang w:val="en-US" w:eastAsia="zh-CN" w:bidi="ar-SA"/>
      </w:rPr>
    </w:lvl>
    <w:lvl w:ilvl="4">
      <w:start w:val="0"/>
      <w:numFmt w:val="bullet"/>
      <w:lvlText w:val="•"/>
      <w:lvlJc w:val="left"/>
      <w:pPr>
        <w:ind w:left="3179" w:hanging="529"/>
      </w:pPr>
      <w:rPr>
        <w:rFonts w:hint="default"/>
        <w:lang w:val="en-US" w:eastAsia="zh-CN" w:bidi="ar-SA"/>
      </w:rPr>
    </w:lvl>
    <w:lvl w:ilvl="5">
      <w:start w:val="0"/>
      <w:numFmt w:val="bullet"/>
      <w:lvlText w:val="•"/>
      <w:lvlJc w:val="left"/>
      <w:pPr>
        <w:ind w:left="3814" w:hanging="529"/>
      </w:pPr>
      <w:rPr>
        <w:rFonts w:hint="default"/>
        <w:lang w:val="en-US" w:eastAsia="zh-CN" w:bidi="ar-SA"/>
      </w:rPr>
    </w:lvl>
    <w:lvl w:ilvl="6">
      <w:start w:val="0"/>
      <w:numFmt w:val="bullet"/>
      <w:lvlText w:val="•"/>
      <w:lvlJc w:val="left"/>
      <w:pPr>
        <w:ind w:left="4448" w:hanging="529"/>
      </w:pPr>
      <w:rPr>
        <w:rFonts w:hint="default"/>
        <w:lang w:val="en-US" w:eastAsia="zh-CN" w:bidi="ar-SA"/>
      </w:rPr>
    </w:lvl>
    <w:lvl w:ilvl="7">
      <w:start w:val="0"/>
      <w:numFmt w:val="bullet"/>
      <w:lvlText w:val="•"/>
      <w:lvlJc w:val="left"/>
      <w:pPr>
        <w:ind w:left="5083" w:hanging="529"/>
      </w:pPr>
      <w:rPr>
        <w:rFonts w:hint="default"/>
        <w:lang w:val="en-US" w:eastAsia="zh-CN" w:bidi="ar-SA"/>
      </w:rPr>
    </w:lvl>
    <w:lvl w:ilvl="8">
      <w:start w:val="0"/>
      <w:numFmt w:val="bullet"/>
      <w:lvlText w:val="•"/>
      <w:lvlJc w:val="left"/>
      <w:pPr>
        <w:ind w:left="5718" w:hanging="529"/>
      </w:pPr>
      <w:rPr>
        <w:rFonts w:hint="default"/>
        <w:lang w:val="en-US" w:eastAsia="zh-CN" w:bidi="ar-SA"/>
      </w:rPr>
    </w:lvl>
  </w:abstractNum>
  <w:abstractNum w:abstractNumId="106">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4" w:hanging="529"/>
      </w:pPr>
      <w:rPr>
        <w:rFonts w:hint="default"/>
        <w:lang w:val="en-US" w:eastAsia="zh-CN" w:bidi="ar-SA"/>
      </w:rPr>
    </w:lvl>
    <w:lvl w:ilvl="2">
      <w:start w:val="0"/>
      <w:numFmt w:val="bullet"/>
      <w:lvlText w:val="•"/>
      <w:lvlJc w:val="left"/>
      <w:pPr>
        <w:ind w:left="1909" w:hanging="529"/>
      </w:pPr>
      <w:rPr>
        <w:rFonts w:hint="default"/>
        <w:lang w:val="en-US" w:eastAsia="zh-CN" w:bidi="ar-SA"/>
      </w:rPr>
    </w:lvl>
    <w:lvl w:ilvl="3">
      <w:start w:val="0"/>
      <w:numFmt w:val="bullet"/>
      <w:lvlText w:val="•"/>
      <w:lvlJc w:val="left"/>
      <w:pPr>
        <w:ind w:left="2544" w:hanging="529"/>
      </w:pPr>
      <w:rPr>
        <w:rFonts w:hint="default"/>
        <w:lang w:val="en-US" w:eastAsia="zh-CN" w:bidi="ar-SA"/>
      </w:rPr>
    </w:lvl>
    <w:lvl w:ilvl="4">
      <w:start w:val="0"/>
      <w:numFmt w:val="bullet"/>
      <w:lvlText w:val="•"/>
      <w:lvlJc w:val="left"/>
      <w:pPr>
        <w:ind w:left="3179" w:hanging="529"/>
      </w:pPr>
      <w:rPr>
        <w:rFonts w:hint="default"/>
        <w:lang w:val="en-US" w:eastAsia="zh-CN" w:bidi="ar-SA"/>
      </w:rPr>
    </w:lvl>
    <w:lvl w:ilvl="5">
      <w:start w:val="0"/>
      <w:numFmt w:val="bullet"/>
      <w:lvlText w:val="•"/>
      <w:lvlJc w:val="left"/>
      <w:pPr>
        <w:ind w:left="3814" w:hanging="529"/>
      </w:pPr>
      <w:rPr>
        <w:rFonts w:hint="default"/>
        <w:lang w:val="en-US" w:eastAsia="zh-CN" w:bidi="ar-SA"/>
      </w:rPr>
    </w:lvl>
    <w:lvl w:ilvl="6">
      <w:start w:val="0"/>
      <w:numFmt w:val="bullet"/>
      <w:lvlText w:val="•"/>
      <w:lvlJc w:val="left"/>
      <w:pPr>
        <w:ind w:left="4448" w:hanging="529"/>
      </w:pPr>
      <w:rPr>
        <w:rFonts w:hint="default"/>
        <w:lang w:val="en-US" w:eastAsia="zh-CN" w:bidi="ar-SA"/>
      </w:rPr>
    </w:lvl>
    <w:lvl w:ilvl="7">
      <w:start w:val="0"/>
      <w:numFmt w:val="bullet"/>
      <w:lvlText w:val="•"/>
      <w:lvlJc w:val="left"/>
      <w:pPr>
        <w:ind w:left="5083" w:hanging="529"/>
      </w:pPr>
      <w:rPr>
        <w:rFonts w:hint="default"/>
        <w:lang w:val="en-US" w:eastAsia="zh-CN" w:bidi="ar-SA"/>
      </w:rPr>
    </w:lvl>
    <w:lvl w:ilvl="8">
      <w:start w:val="0"/>
      <w:numFmt w:val="bullet"/>
      <w:lvlText w:val="•"/>
      <w:lvlJc w:val="left"/>
      <w:pPr>
        <w:ind w:left="5718" w:hanging="529"/>
      </w:pPr>
      <w:rPr>
        <w:rFonts w:hint="default"/>
        <w:lang w:val="en-US" w:eastAsia="zh-CN" w:bidi="ar-SA"/>
      </w:rPr>
    </w:lvl>
  </w:abstractNum>
  <w:abstractNum w:abstractNumId="105">
    <w:multiLevelType w:val="hybridMultilevel"/>
    <w:lvl w:ilvl="0">
      <w:start w:val="3"/>
      <w:numFmt w:val="decimal"/>
      <w:lvlText w:val="（%1）"/>
      <w:lvlJc w:val="left"/>
      <w:pPr>
        <w:ind w:left="706" w:hanging="529"/>
        <w:jc w:val="left"/>
      </w:pPr>
      <w:rPr>
        <w:rFonts w:hint="default" w:ascii="仿宋" w:hAnsi="仿宋" w:eastAsia="仿宋" w:cs="仿宋"/>
        <w:b w:val="0"/>
        <w:bCs w:val="0"/>
        <w:i w:val="0"/>
        <w:iCs w:val="0"/>
        <w:spacing w:val="-3"/>
        <w:w w:val="100"/>
        <w:sz w:val="19"/>
        <w:szCs w:val="19"/>
        <w:lang w:val="en-US" w:eastAsia="zh-CN" w:bidi="ar-SA"/>
      </w:rPr>
    </w:lvl>
    <w:lvl w:ilvl="1">
      <w:start w:val="3"/>
      <w:numFmt w:val="decimal"/>
      <w:lvlText w:val="（%2）"/>
      <w:lvlJc w:val="left"/>
      <w:pPr>
        <w:ind w:left="3371" w:hanging="567"/>
        <w:jc w:val="left"/>
      </w:pPr>
      <w:rPr>
        <w:rFonts w:hint="default" w:ascii="仿宋" w:hAnsi="仿宋" w:eastAsia="仿宋" w:cs="仿宋"/>
        <w:b w:val="0"/>
        <w:bCs w:val="0"/>
        <w:i w:val="0"/>
        <w:iCs w:val="0"/>
        <w:w w:val="100"/>
        <w:sz w:val="21"/>
        <w:szCs w:val="21"/>
        <w:lang w:val="en-US" w:eastAsia="zh-CN" w:bidi="ar-SA"/>
      </w:rPr>
    </w:lvl>
    <w:lvl w:ilvl="2">
      <w:start w:val="0"/>
      <w:numFmt w:val="bullet"/>
      <w:lvlText w:val="•"/>
      <w:lvlJc w:val="left"/>
      <w:pPr>
        <w:ind w:left="3808" w:hanging="567"/>
      </w:pPr>
      <w:rPr>
        <w:rFonts w:hint="default"/>
        <w:lang w:val="en-US" w:eastAsia="zh-CN" w:bidi="ar-SA"/>
      </w:rPr>
    </w:lvl>
    <w:lvl w:ilvl="3">
      <w:start w:val="0"/>
      <w:numFmt w:val="bullet"/>
      <w:lvlText w:val="•"/>
      <w:lvlJc w:val="left"/>
      <w:pPr>
        <w:ind w:left="4237" w:hanging="567"/>
      </w:pPr>
      <w:rPr>
        <w:rFonts w:hint="default"/>
        <w:lang w:val="en-US" w:eastAsia="zh-CN" w:bidi="ar-SA"/>
      </w:rPr>
    </w:lvl>
    <w:lvl w:ilvl="4">
      <w:start w:val="0"/>
      <w:numFmt w:val="bullet"/>
      <w:lvlText w:val="•"/>
      <w:lvlJc w:val="left"/>
      <w:pPr>
        <w:ind w:left="4666" w:hanging="567"/>
      </w:pPr>
      <w:rPr>
        <w:rFonts w:hint="default"/>
        <w:lang w:val="en-US" w:eastAsia="zh-CN" w:bidi="ar-SA"/>
      </w:rPr>
    </w:lvl>
    <w:lvl w:ilvl="5">
      <w:start w:val="0"/>
      <w:numFmt w:val="bullet"/>
      <w:lvlText w:val="•"/>
      <w:lvlJc w:val="left"/>
      <w:pPr>
        <w:ind w:left="5095" w:hanging="567"/>
      </w:pPr>
      <w:rPr>
        <w:rFonts w:hint="default"/>
        <w:lang w:val="en-US" w:eastAsia="zh-CN" w:bidi="ar-SA"/>
      </w:rPr>
    </w:lvl>
    <w:lvl w:ilvl="6">
      <w:start w:val="0"/>
      <w:numFmt w:val="bullet"/>
      <w:lvlText w:val="•"/>
      <w:lvlJc w:val="left"/>
      <w:pPr>
        <w:ind w:left="5524" w:hanging="567"/>
      </w:pPr>
      <w:rPr>
        <w:rFonts w:hint="default"/>
        <w:lang w:val="en-US" w:eastAsia="zh-CN" w:bidi="ar-SA"/>
      </w:rPr>
    </w:lvl>
    <w:lvl w:ilvl="7">
      <w:start w:val="0"/>
      <w:numFmt w:val="bullet"/>
      <w:lvlText w:val="•"/>
      <w:lvlJc w:val="left"/>
      <w:pPr>
        <w:ind w:left="5952" w:hanging="567"/>
      </w:pPr>
      <w:rPr>
        <w:rFonts w:hint="default"/>
        <w:lang w:val="en-US" w:eastAsia="zh-CN" w:bidi="ar-SA"/>
      </w:rPr>
    </w:lvl>
    <w:lvl w:ilvl="8">
      <w:start w:val="0"/>
      <w:numFmt w:val="bullet"/>
      <w:lvlText w:val="•"/>
      <w:lvlJc w:val="left"/>
      <w:pPr>
        <w:ind w:left="6381" w:hanging="567"/>
      </w:pPr>
      <w:rPr>
        <w:rFonts w:hint="default"/>
        <w:lang w:val="en-US" w:eastAsia="zh-CN" w:bidi="ar-SA"/>
      </w:rPr>
    </w:lvl>
  </w:abstractNum>
  <w:abstractNum w:abstractNumId="104">
    <w:multiLevelType w:val="hybridMultilevel"/>
    <w:lvl w:ilvl="0">
      <w:start w:val="1"/>
      <w:numFmt w:val="decimal"/>
      <w:lvlText w:val="（%1）"/>
      <w:lvlJc w:val="left"/>
      <w:pPr>
        <w:ind w:left="703"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0" w:hanging="529"/>
      </w:pPr>
      <w:rPr>
        <w:rFonts w:hint="default"/>
        <w:lang w:val="en-US" w:eastAsia="zh-CN" w:bidi="ar-SA"/>
      </w:rPr>
    </w:lvl>
    <w:lvl w:ilvl="4">
      <w:start w:val="0"/>
      <w:numFmt w:val="bullet"/>
      <w:lvlText w:val="•"/>
      <w:lvlJc w:val="left"/>
      <w:pPr>
        <w:ind w:left="3314" w:hanging="529"/>
      </w:pPr>
      <w:rPr>
        <w:rFonts w:hint="default"/>
        <w:lang w:val="en-US" w:eastAsia="zh-CN" w:bidi="ar-SA"/>
      </w:rPr>
    </w:lvl>
    <w:lvl w:ilvl="5">
      <w:start w:val="0"/>
      <w:numFmt w:val="bullet"/>
      <w:lvlText w:val="•"/>
      <w:lvlJc w:val="left"/>
      <w:pPr>
        <w:ind w:left="3967" w:hanging="529"/>
      </w:pPr>
      <w:rPr>
        <w:rFonts w:hint="default"/>
        <w:lang w:val="en-US" w:eastAsia="zh-CN" w:bidi="ar-SA"/>
      </w:rPr>
    </w:lvl>
    <w:lvl w:ilvl="6">
      <w:start w:val="0"/>
      <w:numFmt w:val="bullet"/>
      <w:lvlText w:val="•"/>
      <w:lvlJc w:val="left"/>
      <w:pPr>
        <w:ind w:left="4621" w:hanging="529"/>
      </w:pPr>
      <w:rPr>
        <w:rFonts w:hint="default"/>
        <w:lang w:val="en-US" w:eastAsia="zh-CN" w:bidi="ar-SA"/>
      </w:rPr>
    </w:lvl>
    <w:lvl w:ilvl="7">
      <w:start w:val="0"/>
      <w:numFmt w:val="bullet"/>
      <w:lvlText w:val="•"/>
      <w:lvlJc w:val="left"/>
      <w:pPr>
        <w:ind w:left="5274" w:hanging="529"/>
      </w:pPr>
      <w:rPr>
        <w:rFonts w:hint="default"/>
        <w:lang w:val="en-US" w:eastAsia="zh-CN" w:bidi="ar-SA"/>
      </w:rPr>
    </w:lvl>
    <w:lvl w:ilvl="8">
      <w:start w:val="0"/>
      <w:numFmt w:val="bullet"/>
      <w:lvlText w:val="•"/>
      <w:lvlJc w:val="left"/>
      <w:pPr>
        <w:ind w:left="5928" w:hanging="529"/>
      </w:pPr>
      <w:rPr>
        <w:rFonts w:hint="default"/>
        <w:lang w:val="en-US" w:eastAsia="zh-CN" w:bidi="ar-SA"/>
      </w:rPr>
    </w:lvl>
  </w:abstractNum>
  <w:abstractNum w:abstractNumId="103">
    <w:multiLevelType w:val="hybridMultilevel"/>
    <w:lvl w:ilvl="0">
      <w:start w:val="1"/>
      <w:numFmt w:val="decimal"/>
      <w:lvlText w:val="（%1）"/>
      <w:lvlJc w:val="left"/>
      <w:pPr>
        <w:ind w:left="706"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102">
    <w:multiLevelType w:val="hybridMultilevel"/>
    <w:lvl w:ilvl="0">
      <w:start w:val="17"/>
      <w:numFmt w:val="decimal"/>
      <w:lvlText w:val="%1"/>
      <w:lvlJc w:val="left"/>
      <w:pPr>
        <w:ind w:left="1210" w:hanging="958"/>
        <w:jc w:val="left"/>
      </w:pPr>
      <w:rPr>
        <w:rFonts w:hint="default" w:ascii="微软雅黑" w:hAnsi="微软雅黑" w:eastAsia="微软雅黑" w:cs="微软雅黑"/>
        <w:b/>
        <w:bCs/>
        <w:i w:val="0"/>
        <w:iCs w:val="0"/>
        <w:w w:val="81"/>
        <w:sz w:val="21"/>
        <w:szCs w:val="21"/>
        <w:lang w:val="en-US" w:eastAsia="zh-CN" w:bidi="ar-SA"/>
      </w:rPr>
    </w:lvl>
    <w:lvl w:ilvl="1">
      <w:start w:val="0"/>
      <w:numFmt w:val="bullet"/>
      <w:lvlText w:val="•"/>
      <w:lvlJc w:val="left"/>
      <w:pPr>
        <w:ind w:left="1356" w:hanging="958"/>
      </w:pPr>
      <w:rPr>
        <w:rFonts w:hint="default"/>
        <w:lang w:val="en-US" w:eastAsia="zh-CN" w:bidi="ar-SA"/>
      </w:rPr>
    </w:lvl>
    <w:lvl w:ilvl="2">
      <w:start w:val="0"/>
      <w:numFmt w:val="bullet"/>
      <w:lvlText w:val="•"/>
      <w:lvlJc w:val="left"/>
      <w:pPr>
        <w:ind w:left="1493" w:hanging="958"/>
      </w:pPr>
      <w:rPr>
        <w:rFonts w:hint="default"/>
        <w:lang w:val="en-US" w:eastAsia="zh-CN" w:bidi="ar-SA"/>
      </w:rPr>
    </w:lvl>
    <w:lvl w:ilvl="3">
      <w:start w:val="0"/>
      <w:numFmt w:val="bullet"/>
      <w:lvlText w:val="•"/>
      <w:lvlJc w:val="left"/>
      <w:pPr>
        <w:ind w:left="1630" w:hanging="958"/>
      </w:pPr>
      <w:rPr>
        <w:rFonts w:hint="default"/>
        <w:lang w:val="en-US" w:eastAsia="zh-CN" w:bidi="ar-SA"/>
      </w:rPr>
    </w:lvl>
    <w:lvl w:ilvl="4">
      <w:start w:val="0"/>
      <w:numFmt w:val="bullet"/>
      <w:lvlText w:val="•"/>
      <w:lvlJc w:val="left"/>
      <w:pPr>
        <w:ind w:left="1766" w:hanging="958"/>
      </w:pPr>
      <w:rPr>
        <w:rFonts w:hint="default"/>
        <w:lang w:val="en-US" w:eastAsia="zh-CN" w:bidi="ar-SA"/>
      </w:rPr>
    </w:lvl>
    <w:lvl w:ilvl="5">
      <w:start w:val="0"/>
      <w:numFmt w:val="bullet"/>
      <w:lvlText w:val="•"/>
      <w:lvlJc w:val="left"/>
      <w:pPr>
        <w:ind w:left="1903" w:hanging="958"/>
      </w:pPr>
      <w:rPr>
        <w:rFonts w:hint="default"/>
        <w:lang w:val="en-US" w:eastAsia="zh-CN" w:bidi="ar-SA"/>
      </w:rPr>
    </w:lvl>
    <w:lvl w:ilvl="6">
      <w:start w:val="0"/>
      <w:numFmt w:val="bullet"/>
      <w:lvlText w:val="•"/>
      <w:lvlJc w:val="left"/>
      <w:pPr>
        <w:ind w:left="2040" w:hanging="958"/>
      </w:pPr>
      <w:rPr>
        <w:rFonts w:hint="default"/>
        <w:lang w:val="en-US" w:eastAsia="zh-CN" w:bidi="ar-SA"/>
      </w:rPr>
    </w:lvl>
    <w:lvl w:ilvl="7">
      <w:start w:val="0"/>
      <w:numFmt w:val="bullet"/>
      <w:lvlText w:val="•"/>
      <w:lvlJc w:val="left"/>
      <w:pPr>
        <w:ind w:left="2177" w:hanging="958"/>
      </w:pPr>
      <w:rPr>
        <w:rFonts w:hint="default"/>
        <w:lang w:val="en-US" w:eastAsia="zh-CN" w:bidi="ar-SA"/>
      </w:rPr>
    </w:lvl>
    <w:lvl w:ilvl="8">
      <w:start w:val="0"/>
      <w:numFmt w:val="bullet"/>
      <w:lvlText w:val="•"/>
      <w:lvlJc w:val="left"/>
      <w:pPr>
        <w:ind w:left="2313" w:hanging="958"/>
      </w:pPr>
      <w:rPr>
        <w:rFonts w:hint="default"/>
        <w:lang w:val="en-US" w:eastAsia="zh-CN" w:bidi="ar-SA"/>
      </w:rPr>
    </w:lvl>
  </w:abstractNum>
  <w:abstractNum w:abstractNumId="101">
    <w:multiLevelType w:val="hybridMultilevel"/>
    <w:lvl w:ilvl="0">
      <w:start w:val="1"/>
      <w:numFmt w:val="decimal"/>
      <w:lvlText w:val="（%1）"/>
      <w:lvlJc w:val="left"/>
      <w:pPr>
        <w:ind w:left="638"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3" w:hanging="529"/>
      </w:pPr>
      <w:rPr>
        <w:rFonts w:hint="default"/>
        <w:lang w:val="en-US" w:eastAsia="zh-CN" w:bidi="ar-SA"/>
      </w:rPr>
    </w:lvl>
    <w:lvl w:ilvl="5">
      <w:start w:val="0"/>
      <w:numFmt w:val="bullet"/>
      <w:lvlText w:val="•"/>
      <w:lvlJc w:val="left"/>
      <w:pPr>
        <w:ind w:left="3819" w:hanging="529"/>
      </w:pPr>
      <w:rPr>
        <w:rFonts w:hint="default"/>
        <w:lang w:val="en-US" w:eastAsia="zh-CN" w:bidi="ar-SA"/>
      </w:rPr>
    </w:lvl>
    <w:lvl w:ilvl="6">
      <w:start w:val="0"/>
      <w:numFmt w:val="bullet"/>
      <w:lvlText w:val="•"/>
      <w:lvlJc w:val="left"/>
      <w:pPr>
        <w:ind w:left="4455" w:hanging="529"/>
      </w:pPr>
      <w:rPr>
        <w:rFonts w:hint="default"/>
        <w:lang w:val="en-US" w:eastAsia="zh-CN" w:bidi="ar-SA"/>
      </w:rPr>
    </w:lvl>
    <w:lvl w:ilvl="7">
      <w:start w:val="0"/>
      <w:numFmt w:val="bullet"/>
      <w:lvlText w:val="•"/>
      <w:lvlJc w:val="left"/>
      <w:pPr>
        <w:ind w:left="5091" w:hanging="529"/>
      </w:pPr>
      <w:rPr>
        <w:rFonts w:hint="default"/>
        <w:lang w:val="en-US" w:eastAsia="zh-CN" w:bidi="ar-SA"/>
      </w:rPr>
    </w:lvl>
    <w:lvl w:ilvl="8">
      <w:start w:val="0"/>
      <w:numFmt w:val="bullet"/>
      <w:lvlText w:val="•"/>
      <w:lvlJc w:val="left"/>
      <w:pPr>
        <w:ind w:left="5727" w:hanging="529"/>
      </w:pPr>
      <w:rPr>
        <w:rFonts w:hint="default"/>
        <w:lang w:val="en-US" w:eastAsia="zh-CN" w:bidi="ar-SA"/>
      </w:rPr>
    </w:lvl>
  </w:abstractNum>
  <w:abstractNum w:abstractNumId="100">
    <w:multiLevelType w:val="hybridMultilevel"/>
    <w:lvl w:ilvl="0">
      <w:start w:val="1"/>
      <w:numFmt w:val="decimal"/>
      <w:lvlText w:val="（%1）"/>
      <w:lvlJc w:val="left"/>
      <w:pPr>
        <w:ind w:left="638"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3" w:hanging="529"/>
      </w:pPr>
      <w:rPr>
        <w:rFonts w:hint="default"/>
        <w:lang w:val="en-US" w:eastAsia="zh-CN" w:bidi="ar-SA"/>
      </w:rPr>
    </w:lvl>
    <w:lvl w:ilvl="5">
      <w:start w:val="0"/>
      <w:numFmt w:val="bullet"/>
      <w:lvlText w:val="•"/>
      <w:lvlJc w:val="left"/>
      <w:pPr>
        <w:ind w:left="3819" w:hanging="529"/>
      </w:pPr>
      <w:rPr>
        <w:rFonts w:hint="default"/>
        <w:lang w:val="en-US" w:eastAsia="zh-CN" w:bidi="ar-SA"/>
      </w:rPr>
    </w:lvl>
    <w:lvl w:ilvl="6">
      <w:start w:val="0"/>
      <w:numFmt w:val="bullet"/>
      <w:lvlText w:val="•"/>
      <w:lvlJc w:val="left"/>
      <w:pPr>
        <w:ind w:left="4455" w:hanging="529"/>
      </w:pPr>
      <w:rPr>
        <w:rFonts w:hint="default"/>
        <w:lang w:val="en-US" w:eastAsia="zh-CN" w:bidi="ar-SA"/>
      </w:rPr>
    </w:lvl>
    <w:lvl w:ilvl="7">
      <w:start w:val="0"/>
      <w:numFmt w:val="bullet"/>
      <w:lvlText w:val="•"/>
      <w:lvlJc w:val="left"/>
      <w:pPr>
        <w:ind w:left="5091" w:hanging="529"/>
      </w:pPr>
      <w:rPr>
        <w:rFonts w:hint="default"/>
        <w:lang w:val="en-US" w:eastAsia="zh-CN" w:bidi="ar-SA"/>
      </w:rPr>
    </w:lvl>
    <w:lvl w:ilvl="8">
      <w:start w:val="0"/>
      <w:numFmt w:val="bullet"/>
      <w:lvlText w:val="•"/>
      <w:lvlJc w:val="left"/>
      <w:pPr>
        <w:ind w:left="5727" w:hanging="529"/>
      </w:pPr>
      <w:rPr>
        <w:rFonts w:hint="default"/>
        <w:lang w:val="en-US" w:eastAsia="zh-CN" w:bidi="ar-SA"/>
      </w:rPr>
    </w:lvl>
  </w:abstractNum>
  <w:abstractNum w:abstractNumId="99">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3" w:hanging="529"/>
      </w:pPr>
      <w:rPr>
        <w:rFonts w:hint="default"/>
        <w:lang w:val="en-US" w:eastAsia="zh-CN" w:bidi="ar-SA"/>
      </w:rPr>
    </w:lvl>
    <w:lvl w:ilvl="5">
      <w:start w:val="0"/>
      <w:numFmt w:val="bullet"/>
      <w:lvlText w:val="•"/>
      <w:lvlJc w:val="left"/>
      <w:pPr>
        <w:ind w:left="3819" w:hanging="529"/>
      </w:pPr>
      <w:rPr>
        <w:rFonts w:hint="default"/>
        <w:lang w:val="en-US" w:eastAsia="zh-CN" w:bidi="ar-SA"/>
      </w:rPr>
    </w:lvl>
    <w:lvl w:ilvl="6">
      <w:start w:val="0"/>
      <w:numFmt w:val="bullet"/>
      <w:lvlText w:val="•"/>
      <w:lvlJc w:val="left"/>
      <w:pPr>
        <w:ind w:left="4455" w:hanging="529"/>
      </w:pPr>
      <w:rPr>
        <w:rFonts w:hint="default"/>
        <w:lang w:val="en-US" w:eastAsia="zh-CN" w:bidi="ar-SA"/>
      </w:rPr>
    </w:lvl>
    <w:lvl w:ilvl="7">
      <w:start w:val="0"/>
      <w:numFmt w:val="bullet"/>
      <w:lvlText w:val="•"/>
      <w:lvlJc w:val="left"/>
      <w:pPr>
        <w:ind w:left="5091" w:hanging="529"/>
      </w:pPr>
      <w:rPr>
        <w:rFonts w:hint="default"/>
        <w:lang w:val="en-US" w:eastAsia="zh-CN" w:bidi="ar-SA"/>
      </w:rPr>
    </w:lvl>
    <w:lvl w:ilvl="8">
      <w:start w:val="0"/>
      <w:numFmt w:val="bullet"/>
      <w:lvlText w:val="•"/>
      <w:lvlJc w:val="left"/>
      <w:pPr>
        <w:ind w:left="5727" w:hanging="529"/>
      </w:pPr>
      <w:rPr>
        <w:rFonts w:hint="default"/>
        <w:lang w:val="en-US" w:eastAsia="zh-CN" w:bidi="ar-SA"/>
      </w:rPr>
    </w:lvl>
  </w:abstractNum>
  <w:abstractNum w:abstractNumId="98">
    <w:multiLevelType w:val="hybridMultilevel"/>
    <w:lvl w:ilvl="0">
      <w:start w:val="1"/>
      <w:numFmt w:val="decimal"/>
      <w:lvlText w:val="（%1）"/>
      <w:lvlJc w:val="left"/>
      <w:pPr>
        <w:ind w:left="3371" w:hanging="567"/>
        <w:jc w:val="left"/>
      </w:pPr>
      <w:rPr>
        <w:rFonts w:hint="default" w:ascii="仿宋" w:hAnsi="仿宋" w:eastAsia="仿宋" w:cs="仿宋"/>
        <w:b w:val="0"/>
        <w:bCs w:val="0"/>
        <w:i w:val="0"/>
        <w:iCs w:val="0"/>
        <w:w w:val="100"/>
        <w:sz w:val="21"/>
        <w:szCs w:val="21"/>
        <w:lang w:val="en-US" w:eastAsia="zh-CN" w:bidi="ar-SA"/>
      </w:rPr>
    </w:lvl>
    <w:lvl w:ilvl="1">
      <w:start w:val="0"/>
      <w:numFmt w:val="bullet"/>
      <w:lvlText w:val="•"/>
      <w:lvlJc w:val="left"/>
      <w:pPr>
        <w:ind w:left="4028" w:hanging="567"/>
      </w:pPr>
      <w:rPr>
        <w:rFonts w:hint="default"/>
        <w:lang w:val="en-US" w:eastAsia="zh-CN" w:bidi="ar-SA"/>
      </w:rPr>
    </w:lvl>
    <w:lvl w:ilvl="2">
      <w:start w:val="0"/>
      <w:numFmt w:val="bullet"/>
      <w:lvlText w:val="•"/>
      <w:lvlJc w:val="left"/>
      <w:pPr>
        <w:ind w:left="4677" w:hanging="567"/>
      </w:pPr>
      <w:rPr>
        <w:rFonts w:hint="default"/>
        <w:lang w:val="en-US" w:eastAsia="zh-CN" w:bidi="ar-SA"/>
      </w:rPr>
    </w:lvl>
    <w:lvl w:ilvl="3">
      <w:start w:val="0"/>
      <w:numFmt w:val="bullet"/>
      <w:lvlText w:val="•"/>
      <w:lvlJc w:val="left"/>
      <w:pPr>
        <w:ind w:left="5325" w:hanging="567"/>
      </w:pPr>
      <w:rPr>
        <w:rFonts w:hint="default"/>
        <w:lang w:val="en-US" w:eastAsia="zh-CN" w:bidi="ar-SA"/>
      </w:rPr>
    </w:lvl>
    <w:lvl w:ilvl="4">
      <w:start w:val="0"/>
      <w:numFmt w:val="bullet"/>
      <w:lvlText w:val="•"/>
      <w:lvlJc w:val="left"/>
      <w:pPr>
        <w:ind w:left="5974" w:hanging="567"/>
      </w:pPr>
      <w:rPr>
        <w:rFonts w:hint="default"/>
        <w:lang w:val="en-US" w:eastAsia="zh-CN" w:bidi="ar-SA"/>
      </w:rPr>
    </w:lvl>
    <w:lvl w:ilvl="5">
      <w:start w:val="0"/>
      <w:numFmt w:val="bullet"/>
      <w:lvlText w:val="•"/>
      <w:lvlJc w:val="left"/>
      <w:pPr>
        <w:ind w:left="6623" w:hanging="567"/>
      </w:pPr>
      <w:rPr>
        <w:rFonts w:hint="default"/>
        <w:lang w:val="en-US" w:eastAsia="zh-CN" w:bidi="ar-SA"/>
      </w:rPr>
    </w:lvl>
    <w:lvl w:ilvl="6">
      <w:start w:val="0"/>
      <w:numFmt w:val="bullet"/>
      <w:lvlText w:val="•"/>
      <w:lvlJc w:val="left"/>
      <w:pPr>
        <w:ind w:left="7271" w:hanging="567"/>
      </w:pPr>
      <w:rPr>
        <w:rFonts w:hint="default"/>
        <w:lang w:val="en-US" w:eastAsia="zh-CN" w:bidi="ar-SA"/>
      </w:rPr>
    </w:lvl>
    <w:lvl w:ilvl="7">
      <w:start w:val="0"/>
      <w:numFmt w:val="bullet"/>
      <w:lvlText w:val="•"/>
      <w:lvlJc w:val="left"/>
      <w:pPr>
        <w:ind w:left="7920" w:hanging="567"/>
      </w:pPr>
      <w:rPr>
        <w:rFonts w:hint="default"/>
        <w:lang w:val="en-US" w:eastAsia="zh-CN" w:bidi="ar-SA"/>
      </w:rPr>
    </w:lvl>
    <w:lvl w:ilvl="8">
      <w:start w:val="0"/>
      <w:numFmt w:val="bullet"/>
      <w:lvlText w:val="•"/>
      <w:lvlJc w:val="left"/>
      <w:pPr>
        <w:ind w:left="8569" w:hanging="567"/>
      </w:pPr>
      <w:rPr>
        <w:rFonts w:hint="default"/>
        <w:lang w:val="en-US" w:eastAsia="zh-CN" w:bidi="ar-SA"/>
      </w:rPr>
    </w:lvl>
  </w:abstractNum>
  <w:abstractNum w:abstractNumId="97">
    <w:multiLevelType w:val="hybridMultilevel"/>
    <w:lvl w:ilvl="0">
      <w:start w:val="1"/>
      <w:numFmt w:val="decimal"/>
      <w:lvlText w:val="（%1）"/>
      <w:lvlJc w:val="left"/>
      <w:pPr>
        <w:ind w:left="706"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96">
    <w:multiLevelType w:val="hybridMultilevel"/>
    <w:lvl w:ilvl="0">
      <w:start w:val="1"/>
      <w:numFmt w:val="decimal"/>
      <w:lvlText w:val="（%1）"/>
      <w:lvlJc w:val="left"/>
      <w:pPr>
        <w:ind w:left="3330"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3992" w:hanging="529"/>
      </w:pPr>
      <w:rPr>
        <w:rFonts w:hint="default"/>
        <w:lang w:val="en-US" w:eastAsia="zh-CN" w:bidi="ar-SA"/>
      </w:rPr>
    </w:lvl>
    <w:lvl w:ilvl="2">
      <w:start w:val="0"/>
      <w:numFmt w:val="bullet"/>
      <w:lvlText w:val="•"/>
      <w:lvlJc w:val="left"/>
      <w:pPr>
        <w:ind w:left="4645" w:hanging="529"/>
      </w:pPr>
      <w:rPr>
        <w:rFonts w:hint="default"/>
        <w:lang w:val="en-US" w:eastAsia="zh-CN" w:bidi="ar-SA"/>
      </w:rPr>
    </w:lvl>
    <w:lvl w:ilvl="3">
      <w:start w:val="0"/>
      <w:numFmt w:val="bullet"/>
      <w:lvlText w:val="•"/>
      <w:lvlJc w:val="left"/>
      <w:pPr>
        <w:ind w:left="5297" w:hanging="529"/>
      </w:pPr>
      <w:rPr>
        <w:rFonts w:hint="default"/>
        <w:lang w:val="en-US" w:eastAsia="zh-CN" w:bidi="ar-SA"/>
      </w:rPr>
    </w:lvl>
    <w:lvl w:ilvl="4">
      <w:start w:val="0"/>
      <w:numFmt w:val="bullet"/>
      <w:lvlText w:val="•"/>
      <w:lvlJc w:val="left"/>
      <w:pPr>
        <w:ind w:left="5950" w:hanging="529"/>
      </w:pPr>
      <w:rPr>
        <w:rFonts w:hint="default"/>
        <w:lang w:val="en-US" w:eastAsia="zh-CN" w:bidi="ar-SA"/>
      </w:rPr>
    </w:lvl>
    <w:lvl w:ilvl="5">
      <w:start w:val="0"/>
      <w:numFmt w:val="bullet"/>
      <w:lvlText w:val="•"/>
      <w:lvlJc w:val="left"/>
      <w:pPr>
        <w:ind w:left="6603" w:hanging="529"/>
      </w:pPr>
      <w:rPr>
        <w:rFonts w:hint="default"/>
        <w:lang w:val="en-US" w:eastAsia="zh-CN" w:bidi="ar-SA"/>
      </w:rPr>
    </w:lvl>
    <w:lvl w:ilvl="6">
      <w:start w:val="0"/>
      <w:numFmt w:val="bullet"/>
      <w:lvlText w:val="•"/>
      <w:lvlJc w:val="left"/>
      <w:pPr>
        <w:ind w:left="7255" w:hanging="529"/>
      </w:pPr>
      <w:rPr>
        <w:rFonts w:hint="default"/>
        <w:lang w:val="en-US" w:eastAsia="zh-CN" w:bidi="ar-SA"/>
      </w:rPr>
    </w:lvl>
    <w:lvl w:ilvl="7">
      <w:start w:val="0"/>
      <w:numFmt w:val="bullet"/>
      <w:lvlText w:val="•"/>
      <w:lvlJc w:val="left"/>
      <w:pPr>
        <w:ind w:left="7908" w:hanging="529"/>
      </w:pPr>
      <w:rPr>
        <w:rFonts w:hint="default"/>
        <w:lang w:val="en-US" w:eastAsia="zh-CN" w:bidi="ar-SA"/>
      </w:rPr>
    </w:lvl>
    <w:lvl w:ilvl="8">
      <w:start w:val="0"/>
      <w:numFmt w:val="bullet"/>
      <w:lvlText w:val="•"/>
      <w:lvlJc w:val="left"/>
      <w:pPr>
        <w:ind w:left="8561" w:hanging="529"/>
      </w:pPr>
      <w:rPr>
        <w:rFonts w:hint="default"/>
        <w:lang w:val="en-US" w:eastAsia="zh-CN" w:bidi="ar-SA"/>
      </w:rPr>
    </w:lvl>
  </w:abstractNum>
  <w:abstractNum w:abstractNumId="95">
    <w:multiLevelType w:val="hybridMultilevel"/>
    <w:lvl w:ilvl="0">
      <w:start w:val="1"/>
      <w:numFmt w:val="decimal"/>
      <w:lvlText w:val="（%1）"/>
      <w:lvlJc w:val="left"/>
      <w:pPr>
        <w:ind w:left="706"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94">
    <w:multiLevelType w:val="hybridMultilevel"/>
    <w:lvl w:ilvl="0">
      <w:start w:val="1"/>
      <w:numFmt w:val="decimal"/>
      <w:lvlText w:val="%1"/>
      <w:lvlJc w:val="left"/>
      <w:pPr>
        <w:ind w:left="1210" w:hanging="958"/>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2）"/>
      <w:lvlJc w:val="left"/>
      <w:pPr>
        <w:ind w:left="3334" w:hanging="529"/>
        <w:jc w:val="left"/>
      </w:pPr>
      <w:rPr>
        <w:rFonts w:hint="default" w:ascii="仿宋" w:hAnsi="仿宋" w:eastAsia="仿宋" w:cs="仿宋"/>
        <w:b w:val="0"/>
        <w:bCs w:val="0"/>
        <w:i w:val="0"/>
        <w:iCs w:val="0"/>
        <w:w w:val="100"/>
        <w:sz w:val="19"/>
        <w:szCs w:val="19"/>
        <w:lang w:val="en-US" w:eastAsia="zh-CN" w:bidi="ar-SA"/>
      </w:rPr>
    </w:lvl>
    <w:lvl w:ilvl="2">
      <w:start w:val="1"/>
      <w:numFmt w:val="lowerLetter"/>
      <w:lvlText w:val="%3."/>
      <w:lvlJc w:val="left"/>
      <w:pPr>
        <w:ind w:left="3225" w:hanging="213"/>
        <w:jc w:val="left"/>
      </w:pPr>
      <w:rPr>
        <w:rFonts w:hint="default" w:ascii="微软雅黑" w:hAnsi="微软雅黑" w:eastAsia="微软雅黑" w:cs="微软雅黑"/>
        <w:b/>
        <w:bCs/>
        <w:i w:val="0"/>
        <w:iCs w:val="0"/>
        <w:w w:val="116"/>
        <w:sz w:val="19"/>
        <w:szCs w:val="19"/>
        <w:lang w:val="en-US" w:eastAsia="zh-CN" w:bidi="ar-SA"/>
      </w:rPr>
    </w:lvl>
    <w:lvl w:ilvl="3">
      <w:start w:val="0"/>
      <w:numFmt w:val="bullet"/>
      <w:lvlText w:val="•"/>
      <w:lvlJc w:val="left"/>
      <w:pPr>
        <w:ind w:left="3248" w:hanging="213"/>
      </w:pPr>
      <w:rPr>
        <w:rFonts w:hint="default"/>
        <w:lang w:val="en-US" w:eastAsia="zh-CN" w:bidi="ar-SA"/>
      </w:rPr>
    </w:lvl>
    <w:lvl w:ilvl="4">
      <w:start w:val="0"/>
      <w:numFmt w:val="bullet"/>
      <w:lvlText w:val="•"/>
      <w:lvlJc w:val="left"/>
      <w:pPr>
        <w:ind w:left="3157" w:hanging="213"/>
      </w:pPr>
      <w:rPr>
        <w:rFonts w:hint="default"/>
        <w:lang w:val="en-US" w:eastAsia="zh-CN" w:bidi="ar-SA"/>
      </w:rPr>
    </w:lvl>
    <w:lvl w:ilvl="5">
      <w:start w:val="0"/>
      <w:numFmt w:val="bullet"/>
      <w:lvlText w:val="•"/>
      <w:lvlJc w:val="left"/>
      <w:pPr>
        <w:ind w:left="3066" w:hanging="213"/>
      </w:pPr>
      <w:rPr>
        <w:rFonts w:hint="default"/>
        <w:lang w:val="en-US" w:eastAsia="zh-CN" w:bidi="ar-SA"/>
      </w:rPr>
    </w:lvl>
    <w:lvl w:ilvl="6">
      <w:start w:val="0"/>
      <w:numFmt w:val="bullet"/>
      <w:lvlText w:val="•"/>
      <w:lvlJc w:val="left"/>
      <w:pPr>
        <w:ind w:left="2975" w:hanging="213"/>
      </w:pPr>
      <w:rPr>
        <w:rFonts w:hint="default"/>
        <w:lang w:val="en-US" w:eastAsia="zh-CN" w:bidi="ar-SA"/>
      </w:rPr>
    </w:lvl>
    <w:lvl w:ilvl="7">
      <w:start w:val="0"/>
      <w:numFmt w:val="bullet"/>
      <w:lvlText w:val="•"/>
      <w:lvlJc w:val="left"/>
      <w:pPr>
        <w:ind w:left="2883" w:hanging="213"/>
      </w:pPr>
      <w:rPr>
        <w:rFonts w:hint="default"/>
        <w:lang w:val="en-US" w:eastAsia="zh-CN" w:bidi="ar-SA"/>
      </w:rPr>
    </w:lvl>
    <w:lvl w:ilvl="8">
      <w:start w:val="0"/>
      <w:numFmt w:val="bullet"/>
      <w:lvlText w:val="•"/>
      <w:lvlJc w:val="left"/>
      <w:pPr>
        <w:ind w:left="2792" w:hanging="213"/>
      </w:pPr>
      <w:rPr>
        <w:rFonts w:hint="default"/>
        <w:lang w:val="en-US" w:eastAsia="zh-CN" w:bidi="ar-SA"/>
      </w:rPr>
    </w:lvl>
  </w:abstractNum>
  <w:abstractNum w:abstractNumId="93">
    <w:multiLevelType w:val="hybridMultilevel"/>
    <w:lvl w:ilvl="0">
      <w:start w:val="4"/>
      <w:numFmt w:val="decimal"/>
      <w:lvlText w:val="%1"/>
      <w:lvlJc w:val="left"/>
      <w:pPr>
        <w:ind w:left="2812" w:hanging="212"/>
        <w:jc w:val="left"/>
      </w:pPr>
      <w:rPr>
        <w:rFonts w:hint="default" w:ascii="仿宋" w:hAnsi="仿宋" w:eastAsia="仿宋" w:cs="仿宋"/>
        <w:b w:val="0"/>
        <w:bCs w:val="0"/>
        <w:i w:val="0"/>
        <w:iCs w:val="0"/>
        <w:w w:val="100"/>
        <w:sz w:val="21"/>
        <w:szCs w:val="21"/>
        <w:lang w:val="en-US" w:eastAsia="zh-CN" w:bidi="ar-SA"/>
      </w:rPr>
    </w:lvl>
    <w:lvl w:ilvl="1">
      <w:start w:val="0"/>
      <w:numFmt w:val="bullet"/>
      <w:lvlText w:val="•"/>
      <w:lvlJc w:val="left"/>
      <w:pPr>
        <w:ind w:left="3138" w:hanging="212"/>
      </w:pPr>
      <w:rPr>
        <w:rFonts w:hint="default"/>
        <w:lang w:val="en-US" w:eastAsia="zh-CN" w:bidi="ar-SA"/>
      </w:rPr>
    </w:lvl>
    <w:lvl w:ilvl="2">
      <w:start w:val="0"/>
      <w:numFmt w:val="bullet"/>
      <w:lvlText w:val="•"/>
      <w:lvlJc w:val="left"/>
      <w:pPr>
        <w:ind w:left="3457" w:hanging="212"/>
      </w:pPr>
      <w:rPr>
        <w:rFonts w:hint="default"/>
        <w:lang w:val="en-US" w:eastAsia="zh-CN" w:bidi="ar-SA"/>
      </w:rPr>
    </w:lvl>
    <w:lvl w:ilvl="3">
      <w:start w:val="0"/>
      <w:numFmt w:val="bullet"/>
      <w:lvlText w:val="•"/>
      <w:lvlJc w:val="left"/>
      <w:pPr>
        <w:ind w:left="3775" w:hanging="212"/>
      </w:pPr>
      <w:rPr>
        <w:rFonts w:hint="default"/>
        <w:lang w:val="en-US" w:eastAsia="zh-CN" w:bidi="ar-SA"/>
      </w:rPr>
    </w:lvl>
    <w:lvl w:ilvl="4">
      <w:start w:val="0"/>
      <w:numFmt w:val="bullet"/>
      <w:lvlText w:val="•"/>
      <w:lvlJc w:val="left"/>
      <w:pPr>
        <w:ind w:left="4094" w:hanging="212"/>
      </w:pPr>
      <w:rPr>
        <w:rFonts w:hint="default"/>
        <w:lang w:val="en-US" w:eastAsia="zh-CN" w:bidi="ar-SA"/>
      </w:rPr>
    </w:lvl>
    <w:lvl w:ilvl="5">
      <w:start w:val="0"/>
      <w:numFmt w:val="bullet"/>
      <w:lvlText w:val="•"/>
      <w:lvlJc w:val="left"/>
      <w:pPr>
        <w:ind w:left="4412" w:hanging="212"/>
      </w:pPr>
      <w:rPr>
        <w:rFonts w:hint="default"/>
        <w:lang w:val="en-US" w:eastAsia="zh-CN" w:bidi="ar-SA"/>
      </w:rPr>
    </w:lvl>
    <w:lvl w:ilvl="6">
      <w:start w:val="0"/>
      <w:numFmt w:val="bullet"/>
      <w:lvlText w:val="•"/>
      <w:lvlJc w:val="left"/>
      <w:pPr>
        <w:ind w:left="4731" w:hanging="212"/>
      </w:pPr>
      <w:rPr>
        <w:rFonts w:hint="default"/>
        <w:lang w:val="en-US" w:eastAsia="zh-CN" w:bidi="ar-SA"/>
      </w:rPr>
    </w:lvl>
    <w:lvl w:ilvl="7">
      <w:start w:val="0"/>
      <w:numFmt w:val="bullet"/>
      <w:lvlText w:val="•"/>
      <w:lvlJc w:val="left"/>
      <w:pPr>
        <w:ind w:left="5049" w:hanging="212"/>
      </w:pPr>
      <w:rPr>
        <w:rFonts w:hint="default"/>
        <w:lang w:val="en-US" w:eastAsia="zh-CN" w:bidi="ar-SA"/>
      </w:rPr>
    </w:lvl>
    <w:lvl w:ilvl="8">
      <w:start w:val="0"/>
      <w:numFmt w:val="bullet"/>
      <w:lvlText w:val="•"/>
      <w:lvlJc w:val="left"/>
      <w:pPr>
        <w:ind w:left="5368" w:hanging="212"/>
      </w:pPr>
      <w:rPr>
        <w:rFonts w:hint="default"/>
        <w:lang w:val="en-US" w:eastAsia="zh-CN" w:bidi="ar-SA"/>
      </w:rPr>
    </w:lvl>
  </w:abstractNum>
  <w:abstractNum w:abstractNumId="92">
    <w:multiLevelType w:val="hybridMultilevel"/>
    <w:lvl w:ilvl="0">
      <w:start w:val="1"/>
      <w:numFmt w:val="decimal"/>
      <w:lvlText w:val="（%1）"/>
      <w:lvlJc w:val="left"/>
      <w:pPr>
        <w:ind w:left="692"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35" w:hanging="529"/>
      </w:pPr>
      <w:rPr>
        <w:rFonts w:hint="default"/>
        <w:lang w:val="en-US" w:eastAsia="zh-CN" w:bidi="ar-SA"/>
      </w:rPr>
    </w:lvl>
    <w:lvl w:ilvl="2">
      <w:start w:val="0"/>
      <w:numFmt w:val="bullet"/>
      <w:lvlText w:val="•"/>
      <w:lvlJc w:val="left"/>
      <w:pPr>
        <w:ind w:left="1970" w:hanging="529"/>
      </w:pPr>
      <w:rPr>
        <w:rFonts w:hint="default"/>
        <w:lang w:val="en-US" w:eastAsia="zh-CN" w:bidi="ar-SA"/>
      </w:rPr>
    </w:lvl>
    <w:lvl w:ilvl="3">
      <w:start w:val="0"/>
      <w:numFmt w:val="bullet"/>
      <w:lvlText w:val="•"/>
      <w:lvlJc w:val="left"/>
      <w:pPr>
        <w:ind w:left="2605" w:hanging="529"/>
      </w:pPr>
      <w:rPr>
        <w:rFonts w:hint="default"/>
        <w:lang w:val="en-US" w:eastAsia="zh-CN" w:bidi="ar-SA"/>
      </w:rPr>
    </w:lvl>
    <w:lvl w:ilvl="4">
      <w:start w:val="0"/>
      <w:numFmt w:val="bullet"/>
      <w:lvlText w:val="•"/>
      <w:lvlJc w:val="left"/>
      <w:pPr>
        <w:ind w:left="3240" w:hanging="529"/>
      </w:pPr>
      <w:rPr>
        <w:rFonts w:hint="default"/>
        <w:lang w:val="en-US" w:eastAsia="zh-CN" w:bidi="ar-SA"/>
      </w:rPr>
    </w:lvl>
    <w:lvl w:ilvl="5">
      <w:start w:val="0"/>
      <w:numFmt w:val="bullet"/>
      <w:lvlText w:val="•"/>
      <w:lvlJc w:val="left"/>
      <w:pPr>
        <w:ind w:left="3876" w:hanging="529"/>
      </w:pPr>
      <w:rPr>
        <w:rFonts w:hint="default"/>
        <w:lang w:val="en-US" w:eastAsia="zh-CN" w:bidi="ar-SA"/>
      </w:rPr>
    </w:lvl>
    <w:lvl w:ilvl="6">
      <w:start w:val="0"/>
      <w:numFmt w:val="bullet"/>
      <w:lvlText w:val="•"/>
      <w:lvlJc w:val="left"/>
      <w:pPr>
        <w:ind w:left="4511" w:hanging="529"/>
      </w:pPr>
      <w:rPr>
        <w:rFonts w:hint="default"/>
        <w:lang w:val="en-US" w:eastAsia="zh-CN" w:bidi="ar-SA"/>
      </w:rPr>
    </w:lvl>
    <w:lvl w:ilvl="7">
      <w:start w:val="0"/>
      <w:numFmt w:val="bullet"/>
      <w:lvlText w:val="•"/>
      <w:lvlJc w:val="left"/>
      <w:pPr>
        <w:ind w:left="5146" w:hanging="529"/>
      </w:pPr>
      <w:rPr>
        <w:rFonts w:hint="default"/>
        <w:lang w:val="en-US" w:eastAsia="zh-CN" w:bidi="ar-SA"/>
      </w:rPr>
    </w:lvl>
    <w:lvl w:ilvl="8">
      <w:start w:val="0"/>
      <w:numFmt w:val="bullet"/>
      <w:lvlText w:val="•"/>
      <w:lvlJc w:val="left"/>
      <w:pPr>
        <w:ind w:left="5781" w:hanging="529"/>
      </w:pPr>
      <w:rPr>
        <w:rFonts w:hint="default"/>
        <w:lang w:val="en-US" w:eastAsia="zh-CN" w:bidi="ar-SA"/>
      </w:rPr>
    </w:lvl>
  </w:abstractNum>
  <w:abstractNum w:abstractNumId="91">
    <w:multiLevelType w:val="hybridMultilevel"/>
    <w:lvl w:ilvl="0">
      <w:start w:val="1"/>
      <w:numFmt w:val="decimal"/>
      <w:lvlText w:val="（%1）"/>
      <w:lvlJc w:val="left"/>
      <w:pPr>
        <w:ind w:left="692" w:hanging="529"/>
        <w:jc w:val="left"/>
      </w:pPr>
      <w:rPr>
        <w:rFonts w:hint="default" w:ascii="仿宋" w:hAnsi="仿宋" w:eastAsia="仿宋" w:cs="仿宋"/>
        <w:b w:val="0"/>
        <w:bCs w:val="0"/>
        <w:i w:val="0"/>
        <w:iCs w:val="0"/>
        <w:spacing w:val="-3"/>
        <w:w w:val="100"/>
        <w:position w:val="1"/>
        <w:sz w:val="19"/>
        <w:szCs w:val="19"/>
        <w:lang w:val="en-US" w:eastAsia="zh-CN" w:bidi="ar-SA"/>
      </w:rPr>
    </w:lvl>
    <w:lvl w:ilvl="1">
      <w:start w:val="0"/>
      <w:numFmt w:val="bullet"/>
      <w:lvlText w:val="•"/>
      <w:lvlJc w:val="left"/>
      <w:pPr>
        <w:ind w:left="1335" w:hanging="529"/>
      </w:pPr>
      <w:rPr>
        <w:rFonts w:hint="default"/>
        <w:lang w:val="en-US" w:eastAsia="zh-CN" w:bidi="ar-SA"/>
      </w:rPr>
    </w:lvl>
    <w:lvl w:ilvl="2">
      <w:start w:val="0"/>
      <w:numFmt w:val="bullet"/>
      <w:lvlText w:val="•"/>
      <w:lvlJc w:val="left"/>
      <w:pPr>
        <w:ind w:left="1970" w:hanging="529"/>
      </w:pPr>
      <w:rPr>
        <w:rFonts w:hint="default"/>
        <w:lang w:val="en-US" w:eastAsia="zh-CN" w:bidi="ar-SA"/>
      </w:rPr>
    </w:lvl>
    <w:lvl w:ilvl="3">
      <w:start w:val="0"/>
      <w:numFmt w:val="bullet"/>
      <w:lvlText w:val="•"/>
      <w:lvlJc w:val="left"/>
      <w:pPr>
        <w:ind w:left="2605" w:hanging="529"/>
      </w:pPr>
      <w:rPr>
        <w:rFonts w:hint="default"/>
        <w:lang w:val="en-US" w:eastAsia="zh-CN" w:bidi="ar-SA"/>
      </w:rPr>
    </w:lvl>
    <w:lvl w:ilvl="4">
      <w:start w:val="0"/>
      <w:numFmt w:val="bullet"/>
      <w:lvlText w:val="•"/>
      <w:lvlJc w:val="left"/>
      <w:pPr>
        <w:ind w:left="3240" w:hanging="529"/>
      </w:pPr>
      <w:rPr>
        <w:rFonts w:hint="default"/>
        <w:lang w:val="en-US" w:eastAsia="zh-CN" w:bidi="ar-SA"/>
      </w:rPr>
    </w:lvl>
    <w:lvl w:ilvl="5">
      <w:start w:val="0"/>
      <w:numFmt w:val="bullet"/>
      <w:lvlText w:val="•"/>
      <w:lvlJc w:val="left"/>
      <w:pPr>
        <w:ind w:left="3876" w:hanging="529"/>
      </w:pPr>
      <w:rPr>
        <w:rFonts w:hint="default"/>
        <w:lang w:val="en-US" w:eastAsia="zh-CN" w:bidi="ar-SA"/>
      </w:rPr>
    </w:lvl>
    <w:lvl w:ilvl="6">
      <w:start w:val="0"/>
      <w:numFmt w:val="bullet"/>
      <w:lvlText w:val="•"/>
      <w:lvlJc w:val="left"/>
      <w:pPr>
        <w:ind w:left="4511" w:hanging="529"/>
      </w:pPr>
      <w:rPr>
        <w:rFonts w:hint="default"/>
        <w:lang w:val="en-US" w:eastAsia="zh-CN" w:bidi="ar-SA"/>
      </w:rPr>
    </w:lvl>
    <w:lvl w:ilvl="7">
      <w:start w:val="0"/>
      <w:numFmt w:val="bullet"/>
      <w:lvlText w:val="•"/>
      <w:lvlJc w:val="left"/>
      <w:pPr>
        <w:ind w:left="5146" w:hanging="529"/>
      </w:pPr>
      <w:rPr>
        <w:rFonts w:hint="default"/>
        <w:lang w:val="en-US" w:eastAsia="zh-CN" w:bidi="ar-SA"/>
      </w:rPr>
    </w:lvl>
    <w:lvl w:ilvl="8">
      <w:start w:val="0"/>
      <w:numFmt w:val="bullet"/>
      <w:lvlText w:val="•"/>
      <w:lvlJc w:val="left"/>
      <w:pPr>
        <w:ind w:left="5781" w:hanging="529"/>
      </w:pPr>
      <w:rPr>
        <w:rFonts w:hint="default"/>
        <w:lang w:val="en-US" w:eastAsia="zh-CN" w:bidi="ar-SA"/>
      </w:rPr>
    </w:lvl>
  </w:abstractNum>
  <w:abstractNum w:abstractNumId="90">
    <w:multiLevelType w:val="hybridMultilevel"/>
    <w:lvl w:ilvl="0">
      <w:start w:val="1"/>
      <w:numFmt w:val="decimal"/>
      <w:lvlText w:val="（%1）"/>
      <w:lvlJc w:val="left"/>
      <w:pPr>
        <w:ind w:left="692"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335" w:hanging="529"/>
      </w:pPr>
      <w:rPr>
        <w:rFonts w:hint="default"/>
        <w:lang w:val="en-US" w:eastAsia="zh-CN" w:bidi="ar-SA"/>
      </w:rPr>
    </w:lvl>
    <w:lvl w:ilvl="2">
      <w:start w:val="0"/>
      <w:numFmt w:val="bullet"/>
      <w:lvlText w:val="•"/>
      <w:lvlJc w:val="left"/>
      <w:pPr>
        <w:ind w:left="1970" w:hanging="529"/>
      </w:pPr>
      <w:rPr>
        <w:rFonts w:hint="default"/>
        <w:lang w:val="en-US" w:eastAsia="zh-CN" w:bidi="ar-SA"/>
      </w:rPr>
    </w:lvl>
    <w:lvl w:ilvl="3">
      <w:start w:val="0"/>
      <w:numFmt w:val="bullet"/>
      <w:lvlText w:val="•"/>
      <w:lvlJc w:val="left"/>
      <w:pPr>
        <w:ind w:left="2605" w:hanging="529"/>
      </w:pPr>
      <w:rPr>
        <w:rFonts w:hint="default"/>
        <w:lang w:val="en-US" w:eastAsia="zh-CN" w:bidi="ar-SA"/>
      </w:rPr>
    </w:lvl>
    <w:lvl w:ilvl="4">
      <w:start w:val="0"/>
      <w:numFmt w:val="bullet"/>
      <w:lvlText w:val="•"/>
      <w:lvlJc w:val="left"/>
      <w:pPr>
        <w:ind w:left="3240" w:hanging="529"/>
      </w:pPr>
      <w:rPr>
        <w:rFonts w:hint="default"/>
        <w:lang w:val="en-US" w:eastAsia="zh-CN" w:bidi="ar-SA"/>
      </w:rPr>
    </w:lvl>
    <w:lvl w:ilvl="5">
      <w:start w:val="0"/>
      <w:numFmt w:val="bullet"/>
      <w:lvlText w:val="•"/>
      <w:lvlJc w:val="left"/>
      <w:pPr>
        <w:ind w:left="3876" w:hanging="529"/>
      </w:pPr>
      <w:rPr>
        <w:rFonts w:hint="default"/>
        <w:lang w:val="en-US" w:eastAsia="zh-CN" w:bidi="ar-SA"/>
      </w:rPr>
    </w:lvl>
    <w:lvl w:ilvl="6">
      <w:start w:val="0"/>
      <w:numFmt w:val="bullet"/>
      <w:lvlText w:val="•"/>
      <w:lvlJc w:val="left"/>
      <w:pPr>
        <w:ind w:left="4511" w:hanging="529"/>
      </w:pPr>
      <w:rPr>
        <w:rFonts w:hint="default"/>
        <w:lang w:val="en-US" w:eastAsia="zh-CN" w:bidi="ar-SA"/>
      </w:rPr>
    </w:lvl>
    <w:lvl w:ilvl="7">
      <w:start w:val="0"/>
      <w:numFmt w:val="bullet"/>
      <w:lvlText w:val="•"/>
      <w:lvlJc w:val="left"/>
      <w:pPr>
        <w:ind w:left="5146" w:hanging="529"/>
      </w:pPr>
      <w:rPr>
        <w:rFonts w:hint="default"/>
        <w:lang w:val="en-US" w:eastAsia="zh-CN" w:bidi="ar-SA"/>
      </w:rPr>
    </w:lvl>
    <w:lvl w:ilvl="8">
      <w:start w:val="0"/>
      <w:numFmt w:val="bullet"/>
      <w:lvlText w:val="•"/>
      <w:lvlJc w:val="left"/>
      <w:pPr>
        <w:ind w:left="5781" w:hanging="529"/>
      </w:pPr>
      <w:rPr>
        <w:rFonts w:hint="default"/>
        <w:lang w:val="en-US" w:eastAsia="zh-CN" w:bidi="ar-SA"/>
      </w:rPr>
    </w:lvl>
  </w:abstractNum>
  <w:abstractNum w:abstractNumId="89">
    <w:multiLevelType w:val="hybridMultilevel"/>
    <w:lvl w:ilvl="0">
      <w:start w:val="1"/>
      <w:numFmt w:val="decimal"/>
      <w:lvlText w:val="（%1）"/>
      <w:lvlJc w:val="left"/>
      <w:pPr>
        <w:ind w:left="692"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35" w:hanging="529"/>
      </w:pPr>
      <w:rPr>
        <w:rFonts w:hint="default"/>
        <w:lang w:val="en-US" w:eastAsia="zh-CN" w:bidi="ar-SA"/>
      </w:rPr>
    </w:lvl>
    <w:lvl w:ilvl="2">
      <w:start w:val="0"/>
      <w:numFmt w:val="bullet"/>
      <w:lvlText w:val="•"/>
      <w:lvlJc w:val="left"/>
      <w:pPr>
        <w:ind w:left="1970" w:hanging="529"/>
      </w:pPr>
      <w:rPr>
        <w:rFonts w:hint="default"/>
        <w:lang w:val="en-US" w:eastAsia="zh-CN" w:bidi="ar-SA"/>
      </w:rPr>
    </w:lvl>
    <w:lvl w:ilvl="3">
      <w:start w:val="0"/>
      <w:numFmt w:val="bullet"/>
      <w:lvlText w:val="•"/>
      <w:lvlJc w:val="left"/>
      <w:pPr>
        <w:ind w:left="2605" w:hanging="529"/>
      </w:pPr>
      <w:rPr>
        <w:rFonts w:hint="default"/>
        <w:lang w:val="en-US" w:eastAsia="zh-CN" w:bidi="ar-SA"/>
      </w:rPr>
    </w:lvl>
    <w:lvl w:ilvl="4">
      <w:start w:val="0"/>
      <w:numFmt w:val="bullet"/>
      <w:lvlText w:val="•"/>
      <w:lvlJc w:val="left"/>
      <w:pPr>
        <w:ind w:left="3240" w:hanging="529"/>
      </w:pPr>
      <w:rPr>
        <w:rFonts w:hint="default"/>
        <w:lang w:val="en-US" w:eastAsia="zh-CN" w:bidi="ar-SA"/>
      </w:rPr>
    </w:lvl>
    <w:lvl w:ilvl="5">
      <w:start w:val="0"/>
      <w:numFmt w:val="bullet"/>
      <w:lvlText w:val="•"/>
      <w:lvlJc w:val="left"/>
      <w:pPr>
        <w:ind w:left="3876" w:hanging="529"/>
      </w:pPr>
      <w:rPr>
        <w:rFonts w:hint="default"/>
        <w:lang w:val="en-US" w:eastAsia="zh-CN" w:bidi="ar-SA"/>
      </w:rPr>
    </w:lvl>
    <w:lvl w:ilvl="6">
      <w:start w:val="0"/>
      <w:numFmt w:val="bullet"/>
      <w:lvlText w:val="•"/>
      <w:lvlJc w:val="left"/>
      <w:pPr>
        <w:ind w:left="4511" w:hanging="529"/>
      </w:pPr>
      <w:rPr>
        <w:rFonts w:hint="default"/>
        <w:lang w:val="en-US" w:eastAsia="zh-CN" w:bidi="ar-SA"/>
      </w:rPr>
    </w:lvl>
    <w:lvl w:ilvl="7">
      <w:start w:val="0"/>
      <w:numFmt w:val="bullet"/>
      <w:lvlText w:val="•"/>
      <w:lvlJc w:val="left"/>
      <w:pPr>
        <w:ind w:left="5146" w:hanging="529"/>
      </w:pPr>
      <w:rPr>
        <w:rFonts w:hint="default"/>
        <w:lang w:val="en-US" w:eastAsia="zh-CN" w:bidi="ar-SA"/>
      </w:rPr>
    </w:lvl>
    <w:lvl w:ilvl="8">
      <w:start w:val="0"/>
      <w:numFmt w:val="bullet"/>
      <w:lvlText w:val="•"/>
      <w:lvlJc w:val="left"/>
      <w:pPr>
        <w:ind w:left="5781" w:hanging="529"/>
      </w:pPr>
      <w:rPr>
        <w:rFonts w:hint="default"/>
        <w:lang w:val="en-US" w:eastAsia="zh-CN" w:bidi="ar-SA"/>
      </w:rPr>
    </w:lvl>
  </w:abstractNum>
  <w:abstractNum w:abstractNumId="88">
    <w:multiLevelType w:val="hybridMultilevel"/>
    <w:lvl w:ilvl="0">
      <w:start w:val="1"/>
      <w:numFmt w:val="decimal"/>
      <w:lvlText w:val="（%1）"/>
      <w:lvlJc w:val="left"/>
      <w:pPr>
        <w:ind w:left="782"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3380" w:hanging="529"/>
      </w:pPr>
      <w:rPr>
        <w:rFonts w:hint="default"/>
        <w:lang w:val="en-US" w:eastAsia="zh-CN" w:bidi="ar-SA"/>
      </w:rPr>
    </w:lvl>
    <w:lvl w:ilvl="2">
      <w:start w:val="0"/>
      <w:numFmt w:val="bullet"/>
      <w:lvlText w:val="•"/>
      <w:lvlJc w:val="left"/>
      <w:pPr>
        <w:ind w:left="3817" w:hanging="529"/>
      </w:pPr>
      <w:rPr>
        <w:rFonts w:hint="default"/>
        <w:lang w:val="en-US" w:eastAsia="zh-CN" w:bidi="ar-SA"/>
      </w:rPr>
    </w:lvl>
    <w:lvl w:ilvl="3">
      <w:start w:val="0"/>
      <w:numFmt w:val="bullet"/>
      <w:lvlText w:val="•"/>
      <w:lvlJc w:val="left"/>
      <w:pPr>
        <w:ind w:left="4254" w:hanging="529"/>
      </w:pPr>
      <w:rPr>
        <w:rFonts w:hint="default"/>
        <w:lang w:val="en-US" w:eastAsia="zh-CN" w:bidi="ar-SA"/>
      </w:rPr>
    </w:lvl>
    <w:lvl w:ilvl="4">
      <w:start w:val="0"/>
      <w:numFmt w:val="bullet"/>
      <w:lvlText w:val="•"/>
      <w:lvlJc w:val="left"/>
      <w:pPr>
        <w:ind w:left="4691" w:hanging="529"/>
      </w:pPr>
      <w:rPr>
        <w:rFonts w:hint="default"/>
        <w:lang w:val="en-US" w:eastAsia="zh-CN" w:bidi="ar-SA"/>
      </w:rPr>
    </w:lvl>
    <w:lvl w:ilvl="5">
      <w:start w:val="0"/>
      <w:numFmt w:val="bullet"/>
      <w:lvlText w:val="•"/>
      <w:lvlJc w:val="left"/>
      <w:pPr>
        <w:ind w:left="5128" w:hanging="529"/>
      </w:pPr>
      <w:rPr>
        <w:rFonts w:hint="default"/>
        <w:lang w:val="en-US" w:eastAsia="zh-CN" w:bidi="ar-SA"/>
      </w:rPr>
    </w:lvl>
    <w:lvl w:ilvl="6">
      <w:start w:val="0"/>
      <w:numFmt w:val="bullet"/>
      <w:lvlText w:val="•"/>
      <w:lvlJc w:val="left"/>
      <w:pPr>
        <w:ind w:left="5565" w:hanging="529"/>
      </w:pPr>
      <w:rPr>
        <w:rFonts w:hint="default"/>
        <w:lang w:val="en-US" w:eastAsia="zh-CN" w:bidi="ar-SA"/>
      </w:rPr>
    </w:lvl>
    <w:lvl w:ilvl="7">
      <w:start w:val="0"/>
      <w:numFmt w:val="bullet"/>
      <w:lvlText w:val="•"/>
      <w:lvlJc w:val="left"/>
      <w:pPr>
        <w:ind w:left="6003" w:hanging="529"/>
      </w:pPr>
      <w:rPr>
        <w:rFonts w:hint="default"/>
        <w:lang w:val="en-US" w:eastAsia="zh-CN" w:bidi="ar-SA"/>
      </w:rPr>
    </w:lvl>
    <w:lvl w:ilvl="8">
      <w:start w:val="0"/>
      <w:numFmt w:val="bullet"/>
      <w:lvlText w:val="•"/>
      <w:lvlJc w:val="left"/>
      <w:pPr>
        <w:ind w:left="6440" w:hanging="529"/>
      </w:pPr>
      <w:rPr>
        <w:rFonts w:hint="default"/>
        <w:lang w:val="en-US" w:eastAsia="zh-CN" w:bidi="ar-SA"/>
      </w:rPr>
    </w:lvl>
  </w:abstractNum>
  <w:abstractNum w:abstractNumId="87">
    <w:multiLevelType w:val="hybridMultilevel"/>
    <w:lvl w:ilvl="0">
      <w:start w:val="1"/>
      <w:numFmt w:val="decimal"/>
      <w:lvlText w:val="（%1）"/>
      <w:lvlJc w:val="left"/>
      <w:pPr>
        <w:ind w:left="782"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433" w:hanging="529"/>
      </w:pPr>
      <w:rPr>
        <w:rFonts w:hint="default"/>
        <w:lang w:val="en-US" w:eastAsia="zh-CN" w:bidi="ar-SA"/>
      </w:rPr>
    </w:lvl>
    <w:lvl w:ilvl="2">
      <w:start w:val="0"/>
      <w:numFmt w:val="bullet"/>
      <w:lvlText w:val="•"/>
      <w:lvlJc w:val="left"/>
      <w:pPr>
        <w:ind w:left="2086" w:hanging="529"/>
      </w:pPr>
      <w:rPr>
        <w:rFonts w:hint="default"/>
        <w:lang w:val="en-US" w:eastAsia="zh-CN" w:bidi="ar-SA"/>
      </w:rPr>
    </w:lvl>
    <w:lvl w:ilvl="3">
      <w:start w:val="0"/>
      <w:numFmt w:val="bullet"/>
      <w:lvlText w:val="•"/>
      <w:lvlJc w:val="left"/>
      <w:pPr>
        <w:ind w:left="2740" w:hanging="529"/>
      </w:pPr>
      <w:rPr>
        <w:rFonts w:hint="default"/>
        <w:lang w:val="en-US" w:eastAsia="zh-CN" w:bidi="ar-SA"/>
      </w:rPr>
    </w:lvl>
    <w:lvl w:ilvl="4">
      <w:start w:val="0"/>
      <w:numFmt w:val="bullet"/>
      <w:lvlText w:val="•"/>
      <w:lvlJc w:val="left"/>
      <w:pPr>
        <w:ind w:left="3393" w:hanging="529"/>
      </w:pPr>
      <w:rPr>
        <w:rFonts w:hint="default"/>
        <w:lang w:val="en-US" w:eastAsia="zh-CN" w:bidi="ar-SA"/>
      </w:rPr>
    </w:lvl>
    <w:lvl w:ilvl="5">
      <w:start w:val="0"/>
      <w:numFmt w:val="bullet"/>
      <w:lvlText w:val="•"/>
      <w:lvlJc w:val="left"/>
      <w:pPr>
        <w:ind w:left="4047" w:hanging="529"/>
      </w:pPr>
      <w:rPr>
        <w:rFonts w:hint="default"/>
        <w:lang w:val="en-US" w:eastAsia="zh-CN" w:bidi="ar-SA"/>
      </w:rPr>
    </w:lvl>
    <w:lvl w:ilvl="6">
      <w:start w:val="0"/>
      <w:numFmt w:val="bullet"/>
      <w:lvlText w:val="•"/>
      <w:lvlJc w:val="left"/>
      <w:pPr>
        <w:ind w:left="4700" w:hanging="529"/>
      </w:pPr>
      <w:rPr>
        <w:rFonts w:hint="default"/>
        <w:lang w:val="en-US" w:eastAsia="zh-CN" w:bidi="ar-SA"/>
      </w:rPr>
    </w:lvl>
    <w:lvl w:ilvl="7">
      <w:start w:val="0"/>
      <w:numFmt w:val="bullet"/>
      <w:lvlText w:val="•"/>
      <w:lvlJc w:val="left"/>
      <w:pPr>
        <w:ind w:left="5354" w:hanging="529"/>
      </w:pPr>
      <w:rPr>
        <w:rFonts w:hint="default"/>
        <w:lang w:val="en-US" w:eastAsia="zh-CN" w:bidi="ar-SA"/>
      </w:rPr>
    </w:lvl>
    <w:lvl w:ilvl="8">
      <w:start w:val="0"/>
      <w:numFmt w:val="bullet"/>
      <w:lvlText w:val="•"/>
      <w:lvlJc w:val="left"/>
      <w:pPr>
        <w:ind w:left="6007" w:hanging="529"/>
      </w:pPr>
      <w:rPr>
        <w:rFonts w:hint="default"/>
        <w:lang w:val="en-US" w:eastAsia="zh-CN" w:bidi="ar-SA"/>
      </w:rPr>
    </w:lvl>
  </w:abstractNum>
  <w:abstractNum w:abstractNumId="86">
    <w:multiLevelType w:val="hybridMultilevel"/>
    <w:lvl w:ilvl="0">
      <w:start w:val="1"/>
      <w:numFmt w:val="decimal"/>
      <w:lvlText w:val="（%1）"/>
      <w:lvlJc w:val="left"/>
      <w:pPr>
        <w:ind w:left="782"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433" w:hanging="529"/>
      </w:pPr>
      <w:rPr>
        <w:rFonts w:hint="default"/>
        <w:lang w:val="en-US" w:eastAsia="zh-CN" w:bidi="ar-SA"/>
      </w:rPr>
    </w:lvl>
    <w:lvl w:ilvl="2">
      <w:start w:val="0"/>
      <w:numFmt w:val="bullet"/>
      <w:lvlText w:val="•"/>
      <w:lvlJc w:val="left"/>
      <w:pPr>
        <w:ind w:left="2086" w:hanging="529"/>
      </w:pPr>
      <w:rPr>
        <w:rFonts w:hint="default"/>
        <w:lang w:val="en-US" w:eastAsia="zh-CN" w:bidi="ar-SA"/>
      </w:rPr>
    </w:lvl>
    <w:lvl w:ilvl="3">
      <w:start w:val="0"/>
      <w:numFmt w:val="bullet"/>
      <w:lvlText w:val="•"/>
      <w:lvlJc w:val="left"/>
      <w:pPr>
        <w:ind w:left="2740" w:hanging="529"/>
      </w:pPr>
      <w:rPr>
        <w:rFonts w:hint="default"/>
        <w:lang w:val="en-US" w:eastAsia="zh-CN" w:bidi="ar-SA"/>
      </w:rPr>
    </w:lvl>
    <w:lvl w:ilvl="4">
      <w:start w:val="0"/>
      <w:numFmt w:val="bullet"/>
      <w:lvlText w:val="•"/>
      <w:lvlJc w:val="left"/>
      <w:pPr>
        <w:ind w:left="3393" w:hanging="529"/>
      </w:pPr>
      <w:rPr>
        <w:rFonts w:hint="default"/>
        <w:lang w:val="en-US" w:eastAsia="zh-CN" w:bidi="ar-SA"/>
      </w:rPr>
    </w:lvl>
    <w:lvl w:ilvl="5">
      <w:start w:val="0"/>
      <w:numFmt w:val="bullet"/>
      <w:lvlText w:val="•"/>
      <w:lvlJc w:val="left"/>
      <w:pPr>
        <w:ind w:left="4047" w:hanging="529"/>
      </w:pPr>
      <w:rPr>
        <w:rFonts w:hint="default"/>
        <w:lang w:val="en-US" w:eastAsia="zh-CN" w:bidi="ar-SA"/>
      </w:rPr>
    </w:lvl>
    <w:lvl w:ilvl="6">
      <w:start w:val="0"/>
      <w:numFmt w:val="bullet"/>
      <w:lvlText w:val="•"/>
      <w:lvlJc w:val="left"/>
      <w:pPr>
        <w:ind w:left="4700" w:hanging="529"/>
      </w:pPr>
      <w:rPr>
        <w:rFonts w:hint="default"/>
        <w:lang w:val="en-US" w:eastAsia="zh-CN" w:bidi="ar-SA"/>
      </w:rPr>
    </w:lvl>
    <w:lvl w:ilvl="7">
      <w:start w:val="0"/>
      <w:numFmt w:val="bullet"/>
      <w:lvlText w:val="•"/>
      <w:lvlJc w:val="left"/>
      <w:pPr>
        <w:ind w:left="5354" w:hanging="529"/>
      </w:pPr>
      <w:rPr>
        <w:rFonts w:hint="default"/>
        <w:lang w:val="en-US" w:eastAsia="zh-CN" w:bidi="ar-SA"/>
      </w:rPr>
    </w:lvl>
    <w:lvl w:ilvl="8">
      <w:start w:val="0"/>
      <w:numFmt w:val="bullet"/>
      <w:lvlText w:val="•"/>
      <w:lvlJc w:val="left"/>
      <w:pPr>
        <w:ind w:left="6007" w:hanging="529"/>
      </w:pPr>
      <w:rPr>
        <w:rFonts w:hint="default"/>
        <w:lang w:val="en-US" w:eastAsia="zh-CN" w:bidi="ar-SA"/>
      </w:rPr>
    </w:lvl>
  </w:abstractNum>
  <w:abstractNum w:abstractNumId="85">
    <w:multiLevelType w:val="hybridMultilevel"/>
    <w:lvl w:ilvl="0">
      <w:start w:val="1"/>
      <w:numFmt w:val="decimal"/>
      <w:lvlText w:val="（%1）"/>
      <w:lvlJc w:val="left"/>
      <w:pPr>
        <w:ind w:left="782"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433" w:hanging="529"/>
      </w:pPr>
      <w:rPr>
        <w:rFonts w:hint="default"/>
        <w:lang w:val="en-US" w:eastAsia="zh-CN" w:bidi="ar-SA"/>
      </w:rPr>
    </w:lvl>
    <w:lvl w:ilvl="2">
      <w:start w:val="0"/>
      <w:numFmt w:val="bullet"/>
      <w:lvlText w:val="•"/>
      <w:lvlJc w:val="left"/>
      <w:pPr>
        <w:ind w:left="2086" w:hanging="529"/>
      </w:pPr>
      <w:rPr>
        <w:rFonts w:hint="default"/>
        <w:lang w:val="en-US" w:eastAsia="zh-CN" w:bidi="ar-SA"/>
      </w:rPr>
    </w:lvl>
    <w:lvl w:ilvl="3">
      <w:start w:val="0"/>
      <w:numFmt w:val="bullet"/>
      <w:lvlText w:val="•"/>
      <w:lvlJc w:val="left"/>
      <w:pPr>
        <w:ind w:left="2740" w:hanging="529"/>
      </w:pPr>
      <w:rPr>
        <w:rFonts w:hint="default"/>
        <w:lang w:val="en-US" w:eastAsia="zh-CN" w:bidi="ar-SA"/>
      </w:rPr>
    </w:lvl>
    <w:lvl w:ilvl="4">
      <w:start w:val="0"/>
      <w:numFmt w:val="bullet"/>
      <w:lvlText w:val="•"/>
      <w:lvlJc w:val="left"/>
      <w:pPr>
        <w:ind w:left="3393" w:hanging="529"/>
      </w:pPr>
      <w:rPr>
        <w:rFonts w:hint="default"/>
        <w:lang w:val="en-US" w:eastAsia="zh-CN" w:bidi="ar-SA"/>
      </w:rPr>
    </w:lvl>
    <w:lvl w:ilvl="5">
      <w:start w:val="0"/>
      <w:numFmt w:val="bullet"/>
      <w:lvlText w:val="•"/>
      <w:lvlJc w:val="left"/>
      <w:pPr>
        <w:ind w:left="4047" w:hanging="529"/>
      </w:pPr>
      <w:rPr>
        <w:rFonts w:hint="default"/>
        <w:lang w:val="en-US" w:eastAsia="zh-CN" w:bidi="ar-SA"/>
      </w:rPr>
    </w:lvl>
    <w:lvl w:ilvl="6">
      <w:start w:val="0"/>
      <w:numFmt w:val="bullet"/>
      <w:lvlText w:val="•"/>
      <w:lvlJc w:val="left"/>
      <w:pPr>
        <w:ind w:left="4700" w:hanging="529"/>
      </w:pPr>
      <w:rPr>
        <w:rFonts w:hint="default"/>
        <w:lang w:val="en-US" w:eastAsia="zh-CN" w:bidi="ar-SA"/>
      </w:rPr>
    </w:lvl>
    <w:lvl w:ilvl="7">
      <w:start w:val="0"/>
      <w:numFmt w:val="bullet"/>
      <w:lvlText w:val="•"/>
      <w:lvlJc w:val="left"/>
      <w:pPr>
        <w:ind w:left="5354" w:hanging="529"/>
      </w:pPr>
      <w:rPr>
        <w:rFonts w:hint="default"/>
        <w:lang w:val="en-US" w:eastAsia="zh-CN" w:bidi="ar-SA"/>
      </w:rPr>
    </w:lvl>
    <w:lvl w:ilvl="8">
      <w:start w:val="0"/>
      <w:numFmt w:val="bullet"/>
      <w:lvlText w:val="•"/>
      <w:lvlJc w:val="left"/>
      <w:pPr>
        <w:ind w:left="6007" w:hanging="529"/>
      </w:pPr>
      <w:rPr>
        <w:rFonts w:hint="default"/>
        <w:lang w:val="en-US" w:eastAsia="zh-CN" w:bidi="ar-SA"/>
      </w:rPr>
    </w:lvl>
  </w:abstractNum>
  <w:abstractNum w:abstractNumId="84">
    <w:multiLevelType w:val="hybridMultilevel"/>
    <w:lvl w:ilvl="0">
      <w:start w:val="1"/>
      <w:numFmt w:val="decimal"/>
      <w:lvlText w:val="（%1）"/>
      <w:lvlJc w:val="left"/>
      <w:pPr>
        <w:ind w:left="782"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433" w:hanging="529"/>
      </w:pPr>
      <w:rPr>
        <w:rFonts w:hint="default"/>
        <w:lang w:val="en-US" w:eastAsia="zh-CN" w:bidi="ar-SA"/>
      </w:rPr>
    </w:lvl>
    <w:lvl w:ilvl="2">
      <w:start w:val="0"/>
      <w:numFmt w:val="bullet"/>
      <w:lvlText w:val="•"/>
      <w:lvlJc w:val="left"/>
      <w:pPr>
        <w:ind w:left="2086" w:hanging="529"/>
      </w:pPr>
      <w:rPr>
        <w:rFonts w:hint="default"/>
        <w:lang w:val="en-US" w:eastAsia="zh-CN" w:bidi="ar-SA"/>
      </w:rPr>
    </w:lvl>
    <w:lvl w:ilvl="3">
      <w:start w:val="0"/>
      <w:numFmt w:val="bullet"/>
      <w:lvlText w:val="•"/>
      <w:lvlJc w:val="left"/>
      <w:pPr>
        <w:ind w:left="2740" w:hanging="529"/>
      </w:pPr>
      <w:rPr>
        <w:rFonts w:hint="default"/>
        <w:lang w:val="en-US" w:eastAsia="zh-CN" w:bidi="ar-SA"/>
      </w:rPr>
    </w:lvl>
    <w:lvl w:ilvl="4">
      <w:start w:val="0"/>
      <w:numFmt w:val="bullet"/>
      <w:lvlText w:val="•"/>
      <w:lvlJc w:val="left"/>
      <w:pPr>
        <w:ind w:left="3393" w:hanging="529"/>
      </w:pPr>
      <w:rPr>
        <w:rFonts w:hint="default"/>
        <w:lang w:val="en-US" w:eastAsia="zh-CN" w:bidi="ar-SA"/>
      </w:rPr>
    </w:lvl>
    <w:lvl w:ilvl="5">
      <w:start w:val="0"/>
      <w:numFmt w:val="bullet"/>
      <w:lvlText w:val="•"/>
      <w:lvlJc w:val="left"/>
      <w:pPr>
        <w:ind w:left="4047" w:hanging="529"/>
      </w:pPr>
      <w:rPr>
        <w:rFonts w:hint="default"/>
        <w:lang w:val="en-US" w:eastAsia="zh-CN" w:bidi="ar-SA"/>
      </w:rPr>
    </w:lvl>
    <w:lvl w:ilvl="6">
      <w:start w:val="0"/>
      <w:numFmt w:val="bullet"/>
      <w:lvlText w:val="•"/>
      <w:lvlJc w:val="left"/>
      <w:pPr>
        <w:ind w:left="4700" w:hanging="529"/>
      </w:pPr>
      <w:rPr>
        <w:rFonts w:hint="default"/>
        <w:lang w:val="en-US" w:eastAsia="zh-CN" w:bidi="ar-SA"/>
      </w:rPr>
    </w:lvl>
    <w:lvl w:ilvl="7">
      <w:start w:val="0"/>
      <w:numFmt w:val="bullet"/>
      <w:lvlText w:val="•"/>
      <w:lvlJc w:val="left"/>
      <w:pPr>
        <w:ind w:left="5354" w:hanging="529"/>
      </w:pPr>
      <w:rPr>
        <w:rFonts w:hint="default"/>
        <w:lang w:val="en-US" w:eastAsia="zh-CN" w:bidi="ar-SA"/>
      </w:rPr>
    </w:lvl>
    <w:lvl w:ilvl="8">
      <w:start w:val="0"/>
      <w:numFmt w:val="bullet"/>
      <w:lvlText w:val="•"/>
      <w:lvlJc w:val="left"/>
      <w:pPr>
        <w:ind w:left="6007" w:hanging="529"/>
      </w:pPr>
      <w:rPr>
        <w:rFonts w:hint="default"/>
        <w:lang w:val="en-US" w:eastAsia="zh-CN" w:bidi="ar-SA"/>
      </w:rPr>
    </w:lvl>
  </w:abstractNum>
  <w:abstractNum w:abstractNumId="83">
    <w:multiLevelType w:val="hybridMultilevel"/>
    <w:lvl w:ilvl="0">
      <w:start w:val="1"/>
      <w:numFmt w:val="decimal"/>
      <w:lvlText w:val="（%1）"/>
      <w:lvlJc w:val="left"/>
      <w:pPr>
        <w:ind w:left="782" w:hanging="529"/>
        <w:jc w:val="left"/>
      </w:pPr>
      <w:rPr>
        <w:rFonts w:hint="default" w:ascii="仿宋" w:hAnsi="仿宋" w:eastAsia="仿宋" w:cs="仿宋"/>
        <w:b w:val="0"/>
        <w:bCs w:val="0"/>
        <w:i w:val="0"/>
        <w:iCs w:val="0"/>
        <w:spacing w:val="-3"/>
        <w:w w:val="100"/>
        <w:position w:val="1"/>
        <w:sz w:val="19"/>
        <w:szCs w:val="19"/>
        <w:lang w:val="en-US" w:eastAsia="zh-CN" w:bidi="ar-SA"/>
      </w:rPr>
    </w:lvl>
    <w:lvl w:ilvl="1">
      <w:start w:val="0"/>
      <w:numFmt w:val="bullet"/>
      <w:lvlText w:val="•"/>
      <w:lvlJc w:val="left"/>
      <w:pPr>
        <w:ind w:left="1433" w:hanging="529"/>
      </w:pPr>
      <w:rPr>
        <w:rFonts w:hint="default"/>
        <w:lang w:val="en-US" w:eastAsia="zh-CN" w:bidi="ar-SA"/>
      </w:rPr>
    </w:lvl>
    <w:lvl w:ilvl="2">
      <w:start w:val="0"/>
      <w:numFmt w:val="bullet"/>
      <w:lvlText w:val="•"/>
      <w:lvlJc w:val="left"/>
      <w:pPr>
        <w:ind w:left="2086" w:hanging="529"/>
      </w:pPr>
      <w:rPr>
        <w:rFonts w:hint="default"/>
        <w:lang w:val="en-US" w:eastAsia="zh-CN" w:bidi="ar-SA"/>
      </w:rPr>
    </w:lvl>
    <w:lvl w:ilvl="3">
      <w:start w:val="0"/>
      <w:numFmt w:val="bullet"/>
      <w:lvlText w:val="•"/>
      <w:lvlJc w:val="left"/>
      <w:pPr>
        <w:ind w:left="2740" w:hanging="529"/>
      </w:pPr>
      <w:rPr>
        <w:rFonts w:hint="default"/>
        <w:lang w:val="en-US" w:eastAsia="zh-CN" w:bidi="ar-SA"/>
      </w:rPr>
    </w:lvl>
    <w:lvl w:ilvl="4">
      <w:start w:val="0"/>
      <w:numFmt w:val="bullet"/>
      <w:lvlText w:val="•"/>
      <w:lvlJc w:val="left"/>
      <w:pPr>
        <w:ind w:left="3393" w:hanging="529"/>
      </w:pPr>
      <w:rPr>
        <w:rFonts w:hint="default"/>
        <w:lang w:val="en-US" w:eastAsia="zh-CN" w:bidi="ar-SA"/>
      </w:rPr>
    </w:lvl>
    <w:lvl w:ilvl="5">
      <w:start w:val="0"/>
      <w:numFmt w:val="bullet"/>
      <w:lvlText w:val="•"/>
      <w:lvlJc w:val="left"/>
      <w:pPr>
        <w:ind w:left="4047" w:hanging="529"/>
      </w:pPr>
      <w:rPr>
        <w:rFonts w:hint="default"/>
        <w:lang w:val="en-US" w:eastAsia="zh-CN" w:bidi="ar-SA"/>
      </w:rPr>
    </w:lvl>
    <w:lvl w:ilvl="6">
      <w:start w:val="0"/>
      <w:numFmt w:val="bullet"/>
      <w:lvlText w:val="•"/>
      <w:lvlJc w:val="left"/>
      <w:pPr>
        <w:ind w:left="4700" w:hanging="529"/>
      </w:pPr>
      <w:rPr>
        <w:rFonts w:hint="default"/>
        <w:lang w:val="en-US" w:eastAsia="zh-CN" w:bidi="ar-SA"/>
      </w:rPr>
    </w:lvl>
    <w:lvl w:ilvl="7">
      <w:start w:val="0"/>
      <w:numFmt w:val="bullet"/>
      <w:lvlText w:val="•"/>
      <w:lvlJc w:val="left"/>
      <w:pPr>
        <w:ind w:left="5354" w:hanging="529"/>
      </w:pPr>
      <w:rPr>
        <w:rFonts w:hint="default"/>
        <w:lang w:val="en-US" w:eastAsia="zh-CN" w:bidi="ar-SA"/>
      </w:rPr>
    </w:lvl>
    <w:lvl w:ilvl="8">
      <w:start w:val="0"/>
      <w:numFmt w:val="bullet"/>
      <w:lvlText w:val="•"/>
      <w:lvlJc w:val="left"/>
      <w:pPr>
        <w:ind w:left="6007" w:hanging="529"/>
      </w:pPr>
      <w:rPr>
        <w:rFonts w:hint="default"/>
        <w:lang w:val="en-US" w:eastAsia="zh-CN" w:bidi="ar-SA"/>
      </w:rPr>
    </w:lvl>
  </w:abstractNum>
  <w:abstractNum w:abstractNumId="82">
    <w:multiLevelType w:val="hybridMultilevel"/>
    <w:lvl w:ilvl="0">
      <w:start w:val="1"/>
      <w:numFmt w:val="decimal"/>
      <w:lvlText w:val="（%1）"/>
      <w:lvlJc w:val="left"/>
      <w:pPr>
        <w:ind w:left="782"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433" w:hanging="529"/>
      </w:pPr>
      <w:rPr>
        <w:rFonts w:hint="default"/>
        <w:lang w:val="en-US" w:eastAsia="zh-CN" w:bidi="ar-SA"/>
      </w:rPr>
    </w:lvl>
    <w:lvl w:ilvl="2">
      <w:start w:val="0"/>
      <w:numFmt w:val="bullet"/>
      <w:lvlText w:val="•"/>
      <w:lvlJc w:val="left"/>
      <w:pPr>
        <w:ind w:left="2086" w:hanging="529"/>
      </w:pPr>
      <w:rPr>
        <w:rFonts w:hint="default"/>
        <w:lang w:val="en-US" w:eastAsia="zh-CN" w:bidi="ar-SA"/>
      </w:rPr>
    </w:lvl>
    <w:lvl w:ilvl="3">
      <w:start w:val="0"/>
      <w:numFmt w:val="bullet"/>
      <w:lvlText w:val="•"/>
      <w:lvlJc w:val="left"/>
      <w:pPr>
        <w:ind w:left="2740" w:hanging="529"/>
      </w:pPr>
      <w:rPr>
        <w:rFonts w:hint="default"/>
        <w:lang w:val="en-US" w:eastAsia="zh-CN" w:bidi="ar-SA"/>
      </w:rPr>
    </w:lvl>
    <w:lvl w:ilvl="4">
      <w:start w:val="0"/>
      <w:numFmt w:val="bullet"/>
      <w:lvlText w:val="•"/>
      <w:lvlJc w:val="left"/>
      <w:pPr>
        <w:ind w:left="3393" w:hanging="529"/>
      </w:pPr>
      <w:rPr>
        <w:rFonts w:hint="default"/>
        <w:lang w:val="en-US" w:eastAsia="zh-CN" w:bidi="ar-SA"/>
      </w:rPr>
    </w:lvl>
    <w:lvl w:ilvl="5">
      <w:start w:val="0"/>
      <w:numFmt w:val="bullet"/>
      <w:lvlText w:val="•"/>
      <w:lvlJc w:val="left"/>
      <w:pPr>
        <w:ind w:left="4047" w:hanging="529"/>
      </w:pPr>
      <w:rPr>
        <w:rFonts w:hint="default"/>
        <w:lang w:val="en-US" w:eastAsia="zh-CN" w:bidi="ar-SA"/>
      </w:rPr>
    </w:lvl>
    <w:lvl w:ilvl="6">
      <w:start w:val="0"/>
      <w:numFmt w:val="bullet"/>
      <w:lvlText w:val="•"/>
      <w:lvlJc w:val="left"/>
      <w:pPr>
        <w:ind w:left="4700" w:hanging="529"/>
      </w:pPr>
      <w:rPr>
        <w:rFonts w:hint="default"/>
        <w:lang w:val="en-US" w:eastAsia="zh-CN" w:bidi="ar-SA"/>
      </w:rPr>
    </w:lvl>
    <w:lvl w:ilvl="7">
      <w:start w:val="0"/>
      <w:numFmt w:val="bullet"/>
      <w:lvlText w:val="•"/>
      <w:lvlJc w:val="left"/>
      <w:pPr>
        <w:ind w:left="5354" w:hanging="529"/>
      </w:pPr>
      <w:rPr>
        <w:rFonts w:hint="default"/>
        <w:lang w:val="en-US" w:eastAsia="zh-CN" w:bidi="ar-SA"/>
      </w:rPr>
    </w:lvl>
    <w:lvl w:ilvl="8">
      <w:start w:val="0"/>
      <w:numFmt w:val="bullet"/>
      <w:lvlText w:val="•"/>
      <w:lvlJc w:val="left"/>
      <w:pPr>
        <w:ind w:left="6007" w:hanging="529"/>
      </w:pPr>
      <w:rPr>
        <w:rFonts w:hint="default"/>
        <w:lang w:val="en-US" w:eastAsia="zh-CN" w:bidi="ar-SA"/>
      </w:rPr>
    </w:lvl>
  </w:abstractNum>
  <w:abstractNum w:abstractNumId="81">
    <w:multiLevelType w:val="hybridMultilevel"/>
    <w:lvl w:ilvl="0">
      <w:start w:val="1"/>
      <w:numFmt w:val="decimal"/>
      <w:lvlText w:val="（%1）"/>
      <w:lvlJc w:val="left"/>
      <w:pPr>
        <w:ind w:left="782"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433" w:hanging="529"/>
      </w:pPr>
      <w:rPr>
        <w:rFonts w:hint="default"/>
        <w:lang w:val="en-US" w:eastAsia="zh-CN" w:bidi="ar-SA"/>
      </w:rPr>
    </w:lvl>
    <w:lvl w:ilvl="2">
      <w:start w:val="0"/>
      <w:numFmt w:val="bullet"/>
      <w:lvlText w:val="•"/>
      <w:lvlJc w:val="left"/>
      <w:pPr>
        <w:ind w:left="2086" w:hanging="529"/>
      </w:pPr>
      <w:rPr>
        <w:rFonts w:hint="default"/>
        <w:lang w:val="en-US" w:eastAsia="zh-CN" w:bidi="ar-SA"/>
      </w:rPr>
    </w:lvl>
    <w:lvl w:ilvl="3">
      <w:start w:val="0"/>
      <w:numFmt w:val="bullet"/>
      <w:lvlText w:val="•"/>
      <w:lvlJc w:val="left"/>
      <w:pPr>
        <w:ind w:left="2740" w:hanging="529"/>
      </w:pPr>
      <w:rPr>
        <w:rFonts w:hint="default"/>
        <w:lang w:val="en-US" w:eastAsia="zh-CN" w:bidi="ar-SA"/>
      </w:rPr>
    </w:lvl>
    <w:lvl w:ilvl="4">
      <w:start w:val="0"/>
      <w:numFmt w:val="bullet"/>
      <w:lvlText w:val="•"/>
      <w:lvlJc w:val="left"/>
      <w:pPr>
        <w:ind w:left="3393" w:hanging="529"/>
      </w:pPr>
      <w:rPr>
        <w:rFonts w:hint="default"/>
        <w:lang w:val="en-US" w:eastAsia="zh-CN" w:bidi="ar-SA"/>
      </w:rPr>
    </w:lvl>
    <w:lvl w:ilvl="5">
      <w:start w:val="0"/>
      <w:numFmt w:val="bullet"/>
      <w:lvlText w:val="•"/>
      <w:lvlJc w:val="left"/>
      <w:pPr>
        <w:ind w:left="4047" w:hanging="529"/>
      </w:pPr>
      <w:rPr>
        <w:rFonts w:hint="default"/>
        <w:lang w:val="en-US" w:eastAsia="zh-CN" w:bidi="ar-SA"/>
      </w:rPr>
    </w:lvl>
    <w:lvl w:ilvl="6">
      <w:start w:val="0"/>
      <w:numFmt w:val="bullet"/>
      <w:lvlText w:val="•"/>
      <w:lvlJc w:val="left"/>
      <w:pPr>
        <w:ind w:left="4700" w:hanging="529"/>
      </w:pPr>
      <w:rPr>
        <w:rFonts w:hint="default"/>
        <w:lang w:val="en-US" w:eastAsia="zh-CN" w:bidi="ar-SA"/>
      </w:rPr>
    </w:lvl>
    <w:lvl w:ilvl="7">
      <w:start w:val="0"/>
      <w:numFmt w:val="bullet"/>
      <w:lvlText w:val="•"/>
      <w:lvlJc w:val="left"/>
      <w:pPr>
        <w:ind w:left="5354" w:hanging="529"/>
      </w:pPr>
      <w:rPr>
        <w:rFonts w:hint="default"/>
        <w:lang w:val="en-US" w:eastAsia="zh-CN" w:bidi="ar-SA"/>
      </w:rPr>
    </w:lvl>
    <w:lvl w:ilvl="8">
      <w:start w:val="0"/>
      <w:numFmt w:val="bullet"/>
      <w:lvlText w:val="•"/>
      <w:lvlJc w:val="left"/>
      <w:pPr>
        <w:ind w:left="6007" w:hanging="529"/>
      </w:pPr>
      <w:rPr>
        <w:rFonts w:hint="default"/>
        <w:lang w:val="en-US" w:eastAsia="zh-CN" w:bidi="ar-SA"/>
      </w:rPr>
    </w:lvl>
  </w:abstractNum>
  <w:abstractNum w:abstractNumId="80">
    <w:multiLevelType w:val="hybridMultilevel"/>
    <w:lvl w:ilvl="0">
      <w:start w:val="1"/>
      <w:numFmt w:val="decimal"/>
      <w:lvlText w:val="%1"/>
      <w:lvlJc w:val="left"/>
      <w:pPr>
        <w:ind w:left="1210" w:hanging="958"/>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2）"/>
      <w:lvlJc w:val="left"/>
      <w:pPr>
        <w:ind w:left="3316" w:hanging="529"/>
        <w:jc w:val="left"/>
      </w:pPr>
      <w:rPr>
        <w:rFonts w:hint="default" w:ascii="仿宋" w:hAnsi="仿宋" w:eastAsia="仿宋" w:cs="仿宋"/>
        <w:b w:val="0"/>
        <w:bCs w:val="0"/>
        <w:i w:val="0"/>
        <w:iCs w:val="0"/>
        <w:spacing w:val="-3"/>
        <w:w w:val="100"/>
        <w:sz w:val="19"/>
        <w:szCs w:val="19"/>
        <w:lang w:val="en-US" w:eastAsia="zh-CN" w:bidi="ar-SA"/>
      </w:rPr>
    </w:lvl>
    <w:lvl w:ilvl="2">
      <w:start w:val="0"/>
      <w:numFmt w:val="bullet"/>
      <w:lvlText w:val="•"/>
      <w:lvlJc w:val="left"/>
      <w:pPr>
        <w:ind w:left="3226" w:hanging="529"/>
      </w:pPr>
      <w:rPr>
        <w:rFonts w:hint="default"/>
        <w:lang w:val="en-US" w:eastAsia="zh-CN" w:bidi="ar-SA"/>
      </w:rPr>
    </w:lvl>
    <w:lvl w:ilvl="3">
      <w:start w:val="0"/>
      <w:numFmt w:val="bullet"/>
      <w:lvlText w:val="•"/>
      <w:lvlJc w:val="left"/>
      <w:pPr>
        <w:ind w:left="3132" w:hanging="529"/>
      </w:pPr>
      <w:rPr>
        <w:rFonts w:hint="default"/>
        <w:lang w:val="en-US" w:eastAsia="zh-CN" w:bidi="ar-SA"/>
      </w:rPr>
    </w:lvl>
    <w:lvl w:ilvl="4">
      <w:start w:val="0"/>
      <w:numFmt w:val="bullet"/>
      <w:lvlText w:val="•"/>
      <w:lvlJc w:val="left"/>
      <w:pPr>
        <w:ind w:left="3039" w:hanging="529"/>
      </w:pPr>
      <w:rPr>
        <w:rFonts w:hint="default"/>
        <w:lang w:val="en-US" w:eastAsia="zh-CN" w:bidi="ar-SA"/>
      </w:rPr>
    </w:lvl>
    <w:lvl w:ilvl="5">
      <w:start w:val="0"/>
      <w:numFmt w:val="bullet"/>
      <w:lvlText w:val="•"/>
      <w:lvlJc w:val="left"/>
      <w:pPr>
        <w:ind w:left="2945" w:hanging="529"/>
      </w:pPr>
      <w:rPr>
        <w:rFonts w:hint="default"/>
        <w:lang w:val="en-US" w:eastAsia="zh-CN" w:bidi="ar-SA"/>
      </w:rPr>
    </w:lvl>
    <w:lvl w:ilvl="6">
      <w:start w:val="0"/>
      <w:numFmt w:val="bullet"/>
      <w:lvlText w:val="•"/>
      <w:lvlJc w:val="left"/>
      <w:pPr>
        <w:ind w:left="2852" w:hanging="529"/>
      </w:pPr>
      <w:rPr>
        <w:rFonts w:hint="default"/>
        <w:lang w:val="en-US" w:eastAsia="zh-CN" w:bidi="ar-SA"/>
      </w:rPr>
    </w:lvl>
    <w:lvl w:ilvl="7">
      <w:start w:val="0"/>
      <w:numFmt w:val="bullet"/>
      <w:lvlText w:val="•"/>
      <w:lvlJc w:val="left"/>
      <w:pPr>
        <w:ind w:left="2758" w:hanging="529"/>
      </w:pPr>
      <w:rPr>
        <w:rFonts w:hint="default"/>
        <w:lang w:val="en-US" w:eastAsia="zh-CN" w:bidi="ar-SA"/>
      </w:rPr>
    </w:lvl>
    <w:lvl w:ilvl="8">
      <w:start w:val="0"/>
      <w:numFmt w:val="bullet"/>
      <w:lvlText w:val="•"/>
      <w:lvlJc w:val="left"/>
      <w:pPr>
        <w:ind w:left="2665" w:hanging="529"/>
      </w:pPr>
      <w:rPr>
        <w:rFonts w:hint="default"/>
        <w:lang w:val="en-US" w:eastAsia="zh-CN" w:bidi="ar-SA"/>
      </w:rPr>
    </w:lvl>
  </w:abstractNum>
  <w:abstractNum w:abstractNumId="79">
    <w:multiLevelType w:val="hybridMultilevel"/>
    <w:lvl w:ilvl="0">
      <w:start w:val="1"/>
      <w:numFmt w:val="decimal"/>
      <w:lvlText w:val="%1"/>
      <w:lvlJc w:val="left"/>
      <w:pPr>
        <w:ind w:left="3016" w:hanging="212"/>
        <w:jc w:val="left"/>
      </w:pPr>
      <w:rPr>
        <w:rFonts w:hint="default" w:ascii="仿宋" w:hAnsi="仿宋" w:eastAsia="仿宋" w:cs="仿宋"/>
        <w:b w:val="0"/>
        <w:bCs w:val="0"/>
        <w:i w:val="0"/>
        <w:iCs w:val="0"/>
        <w:w w:val="100"/>
        <w:sz w:val="21"/>
        <w:szCs w:val="21"/>
        <w:lang w:val="en-US" w:eastAsia="zh-CN" w:bidi="ar-SA"/>
      </w:rPr>
    </w:lvl>
    <w:lvl w:ilvl="1">
      <w:start w:val="0"/>
      <w:numFmt w:val="bullet"/>
      <w:lvlText w:val="•"/>
      <w:lvlJc w:val="left"/>
      <w:pPr>
        <w:ind w:left="3704" w:hanging="212"/>
      </w:pPr>
      <w:rPr>
        <w:rFonts w:hint="default"/>
        <w:lang w:val="en-US" w:eastAsia="zh-CN" w:bidi="ar-SA"/>
      </w:rPr>
    </w:lvl>
    <w:lvl w:ilvl="2">
      <w:start w:val="0"/>
      <w:numFmt w:val="bullet"/>
      <w:lvlText w:val="•"/>
      <w:lvlJc w:val="left"/>
      <w:pPr>
        <w:ind w:left="4389" w:hanging="212"/>
      </w:pPr>
      <w:rPr>
        <w:rFonts w:hint="default"/>
        <w:lang w:val="en-US" w:eastAsia="zh-CN" w:bidi="ar-SA"/>
      </w:rPr>
    </w:lvl>
    <w:lvl w:ilvl="3">
      <w:start w:val="0"/>
      <w:numFmt w:val="bullet"/>
      <w:lvlText w:val="•"/>
      <w:lvlJc w:val="left"/>
      <w:pPr>
        <w:ind w:left="5073" w:hanging="212"/>
      </w:pPr>
      <w:rPr>
        <w:rFonts w:hint="default"/>
        <w:lang w:val="en-US" w:eastAsia="zh-CN" w:bidi="ar-SA"/>
      </w:rPr>
    </w:lvl>
    <w:lvl w:ilvl="4">
      <w:start w:val="0"/>
      <w:numFmt w:val="bullet"/>
      <w:lvlText w:val="•"/>
      <w:lvlJc w:val="left"/>
      <w:pPr>
        <w:ind w:left="5758" w:hanging="212"/>
      </w:pPr>
      <w:rPr>
        <w:rFonts w:hint="default"/>
        <w:lang w:val="en-US" w:eastAsia="zh-CN" w:bidi="ar-SA"/>
      </w:rPr>
    </w:lvl>
    <w:lvl w:ilvl="5">
      <w:start w:val="0"/>
      <w:numFmt w:val="bullet"/>
      <w:lvlText w:val="•"/>
      <w:lvlJc w:val="left"/>
      <w:pPr>
        <w:ind w:left="6443" w:hanging="212"/>
      </w:pPr>
      <w:rPr>
        <w:rFonts w:hint="default"/>
        <w:lang w:val="en-US" w:eastAsia="zh-CN" w:bidi="ar-SA"/>
      </w:rPr>
    </w:lvl>
    <w:lvl w:ilvl="6">
      <w:start w:val="0"/>
      <w:numFmt w:val="bullet"/>
      <w:lvlText w:val="•"/>
      <w:lvlJc w:val="left"/>
      <w:pPr>
        <w:ind w:left="7127" w:hanging="212"/>
      </w:pPr>
      <w:rPr>
        <w:rFonts w:hint="default"/>
        <w:lang w:val="en-US" w:eastAsia="zh-CN" w:bidi="ar-SA"/>
      </w:rPr>
    </w:lvl>
    <w:lvl w:ilvl="7">
      <w:start w:val="0"/>
      <w:numFmt w:val="bullet"/>
      <w:lvlText w:val="•"/>
      <w:lvlJc w:val="left"/>
      <w:pPr>
        <w:ind w:left="7812" w:hanging="212"/>
      </w:pPr>
      <w:rPr>
        <w:rFonts w:hint="default"/>
        <w:lang w:val="en-US" w:eastAsia="zh-CN" w:bidi="ar-SA"/>
      </w:rPr>
    </w:lvl>
    <w:lvl w:ilvl="8">
      <w:start w:val="0"/>
      <w:numFmt w:val="bullet"/>
      <w:lvlText w:val="•"/>
      <w:lvlJc w:val="left"/>
      <w:pPr>
        <w:ind w:left="8497" w:hanging="212"/>
      </w:pPr>
      <w:rPr>
        <w:rFonts w:hint="default"/>
        <w:lang w:val="en-US" w:eastAsia="zh-CN" w:bidi="ar-SA"/>
      </w:rPr>
    </w:lvl>
  </w:abstractNum>
  <w:abstractNum w:abstractNumId="78">
    <w:multiLevelType w:val="hybridMultilevel"/>
    <w:lvl w:ilvl="0">
      <w:start w:val="3"/>
      <w:numFmt w:val="decimal"/>
      <w:lvlText w:val="（%1）"/>
      <w:lvlJc w:val="left"/>
      <w:pPr>
        <w:ind w:left="636"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3" w:hanging="529"/>
      </w:pPr>
      <w:rPr>
        <w:rFonts w:hint="default"/>
        <w:lang w:val="en-US" w:eastAsia="zh-CN" w:bidi="ar-SA"/>
      </w:rPr>
    </w:lvl>
    <w:lvl w:ilvl="5">
      <w:start w:val="0"/>
      <w:numFmt w:val="bullet"/>
      <w:lvlText w:val="•"/>
      <w:lvlJc w:val="left"/>
      <w:pPr>
        <w:ind w:left="3819" w:hanging="529"/>
      </w:pPr>
      <w:rPr>
        <w:rFonts w:hint="default"/>
        <w:lang w:val="en-US" w:eastAsia="zh-CN" w:bidi="ar-SA"/>
      </w:rPr>
    </w:lvl>
    <w:lvl w:ilvl="6">
      <w:start w:val="0"/>
      <w:numFmt w:val="bullet"/>
      <w:lvlText w:val="•"/>
      <w:lvlJc w:val="left"/>
      <w:pPr>
        <w:ind w:left="4454" w:hanging="529"/>
      </w:pPr>
      <w:rPr>
        <w:rFonts w:hint="default"/>
        <w:lang w:val="en-US" w:eastAsia="zh-CN" w:bidi="ar-SA"/>
      </w:rPr>
    </w:lvl>
    <w:lvl w:ilvl="7">
      <w:start w:val="0"/>
      <w:numFmt w:val="bullet"/>
      <w:lvlText w:val="•"/>
      <w:lvlJc w:val="left"/>
      <w:pPr>
        <w:ind w:left="5090" w:hanging="529"/>
      </w:pPr>
      <w:rPr>
        <w:rFonts w:hint="default"/>
        <w:lang w:val="en-US" w:eastAsia="zh-CN" w:bidi="ar-SA"/>
      </w:rPr>
    </w:lvl>
    <w:lvl w:ilvl="8">
      <w:start w:val="0"/>
      <w:numFmt w:val="bullet"/>
      <w:lvlText w:val="•"/>
      <w:lvlJc w:val="left"/>
      <w:pPr>
        <w:ind w:left="5726" w:hanging="529"/>
      </w:pPr>
      <w:rPr>
        <w:rFonts w:hint="default"/>
        <w:lang w:val="en-US" w:eastAsia="zh-CN" w:bidi="ar-SA"/>
      </w:rPr>
    </w:lvl>
  </w:abstractNum>
  <w:abstractNum w:abstractNumId="77">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65" w:hanging="529"/>
      </w:pPr>
      <w:rPr>
        <w:rFonts w:hint="default"/>
        <w:lang w:val="en-US" w:eastAsia="zh-CN" w:bidi="ar-SA"/>
      </w:rPr>
    </w:lvl>
    <w:lvl w:ilvl="2">
      <w:start w:val="0"/>
      <w:numFmt w:val="bullet"/>
      <w:lvlText w:val="•"/>
      <w:lvlJc w:val="left"/>
      <w:pPr>
        <w:ind w:left="1890" w:hanging="529"/>
      </w:pPr>
      <w:rPr>
        <w:rFonts w:hint="default"/>
        <w:lang w:val="en-US" w:eastAsia="zh-CN" w:bidi="ar-SA"/>
      </w:rPr>
    </w:lvl>
    <w:lvl w:ilvl="3">
      <w:start w:val="0"/>
      <w:numFmt w:val="bullet"/>
      <w:lvlText w:val="•"/>
      <w:lvlJc w:val="left"/>
      <w:pPr>
        <w:ind w:left="2516" w:hanging="529"/>
      </w:pPr>
      <w:rPr>
        <w:rFonts w:hint="default"/>
        <w:lang w:val="en-US" w:eastAsia="zh-CN" w:bidi="ar-SA"/>
      </w:rPr>
    </w:lvl>
    <w:lvl w:ilvl="4">
      <w:start w:val="0"/>
      <w:numFmt w:val="bullet"/>
      <w:lvlText w:val="•"/>
      <w:lvlJc w:val="left"/>
      <w:pPr>
        <w:ind w:left="3141" w:hanging="529"/>
      </w:pPr>
      <w:rPr>
        <w:rFonts w:hint="default"/>
        <w:lang w:val="en-US" w:eastAsia="zh-CN" w:bidi="ar-SA"/>
      </w:rPr>
    </w:lvl>
    <w:lvl w:ilvl="5">
      <w:start w:val="0"/>
      <w:numFmt w:val="bullet"/>
      <w:lvlText w:val="•"/>
      <w:lvlJc w:val="left"/>
      <w:pPr>
        <w:ind w:left="3767" w:hanging="529"/>
      </w:pPr>
      <w:rPr>
        <w:rFonts w:hint="default"/>
        <w:lang w:val="en-US" w:eastAsia="zh-CN" w:bidi="ar-SA"/>
      </w:rPr>
    </w:lvl>
    <w:lvl w:ilvl="6">
      <w:start w:val="0"/>
      <w:numFmt w:val="bullet"/>
      <w:lvlText w:val="•"/>
      <w:lvlJc w:val="left"/>
      <w:pPr>
        <w:ind w:left="4392" w:hanging="529"/>
      </w:pPr>
      <w:rPr>
        <w:rFonts w:hint="default"/>
        <w:lang w:val="en-US" w:eastAsia="zh-CN" w:bidi="ar-SA"/>
      </w:rPr>
    </w:lvl>
    <w:lvl w:ilvl="7">
      <w:start w:val="0"/>
      <w:numFmt w:val="bullet"/>
      <w:lvlText w:val="•"/>
      <w:lvlJc w:val="left"/>
      <w:pPr>
        <w:ind w:left="5017" w:hanging="529"/>
      </w:pPr>
      <w:rPr>
        <w:rFonts w:hint="default"/>
        <w:lang w:val="en-US" w:eastAsia="zh-CN" w:bidi="ar-SA"/>
      </w:rPr>
    </w:lvl>
    <w:lvl w:ilvl="8">
      <w:start w:val="0"/>
      <w:numFmt w:val="bullet"/>
      <w:lvlText w:val="•"/>
      <w:lvlJc w:val="left"/>
      <w:pPr>
        <w:ind w:left="5643" w:hanging="529"/>
      </w:pPr>
      <w:rPr>
        <w:rFonts w:hint="default"/>
        <w:lang w:val="en-US" w:eastAsia="zh-CN" w:bidi="ar-SA"/>
      </w:rPr>
    </w:lvl>
  </w:abstractNum>
  <w:abstractNum w:abstractNumId="76">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2" w:hanging="529"/>
      </w:pPr>
      <w:rPr>
        <w:rFonts w:hint="default"/>
        <w:lang w:val="en-US" w:eastAsia="zh-CN" w:bidi="ar-SA"/>
      </w:rPr>
    </w:lvl>
    <w:lvl w:ilvl="5">
      <w:start w:val="0"/>
      <w:numFmt w:val="bullet"/>
      <w:lvlText w:val="•"/>
      <w:lvlJc w:val="left"/>
      <w:pPr>
        <w:ind w:left="3818" w:hanging="529"/>
      </w:pPr>
      <w:rPr>
        <w:rFonts w:hint="default"/>
        <w:lang w:val="en-US" w:eastAsia="zh-CN" w:bidi="ar-SA"/>
      </w:rPr>
    </w:lvl>
    <w:lvl w:ilvl="6">
      <w:start w:val="0"/>
      <w:numFmt w:val="bullet"/>
      <w:lvlText w:val="•"/>
      <w:lvlJc w:val="left"/>
      <w:pPr>
        <w:ind w:left="4454" w:hanging="529"/>
      </w:pPr>
      <w:rPr>
        <w:rFonts w:hint="default"/>
        <w:lang w:val="en-US" w:eastAsia="zh-CN" w:bidi="ar-SA"/>
      </w:rPr>
    </w:lvl>
    <w:lvl w:ilvl="7">
      <w:start w:val="0"/>
      <w:numFmt w:val="bullet"/>
      <w:lvlText w:val="•"/>
      <w:lvlJc w:val="left"/>
      <w:pPr>
        <w:ind w:left="5089" w:hanging="529"/>
      </w:pPr>
      <w:rPr>
        <w:rFonts w:hint="default"/>
        <w:lang w:val="en-US" w:eastAsia="zh-CN" w:bidi="ar-SA"/>
      </w:rPr>
    </w:lvl>
    <w:lvl w:ilvl="8">
      <w:start w:val="0"/>
      <w:numFmt w:val="bullet"/>
      <w:lvlText w:val="•"/>
      <w:lvlJc w:val="left"/>
      <w:pPr>
        <w:ind w:left="5725" w:hanging="529"/>
      </w:pPr>
      <w:rPr>
        <w:rFonts w:hint="default"/>
        <w:lang w:val="en-US" w:eastAsia="zh-CN" w:bidi="ar-SA"/>
      </w:rPr>
    </w:lvl>
  </w:abstractNum>
  <w:abstractNum w:abstractNumId="75">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2" w:hanging="529"/>
      </w:pPr>
      <w:rPr>
        <w:rFonts w:hint="default"/>
        <w:lang w:val="en-US" w:eastAsia="zh-CN" w:bidi="ar-SA"/>
      </w:rPr>
    </w:lvl>
    <w:lvl w:ilvl="5">
      <w:start w:val="0"/>
      <w:numFmt w:val="bullet"/>
      <w:lvlText w:val="•"/>
      <w:lvlJc w:val="left"/>
      <w:pPr>
        <w:ind w:left="3818" w:hanging="529"/>
      </w:pPr>
      <w:rPr>
        <w:rFonts w:hint="default"/>
        <w:lang w:val="en-US" w:eastAsia="zh-CN" w:bidi="ar-SA"/>
      </w:rPr>
    </w:lvl>
    <w:lvl w:ilvl="6">
      <w:start w:val="0"/>
      <w:numFmt w:val="bullet"/>
      <w:lvlText w:val="•"/>
      <w:lvlJc w:val="left"/>
      <w:pPr>
        <w:ind w:left="4454" w:hanging="529"/>
      </w:pPr>
      <w:rPr>
        <w:rFonts w:hint="default"/>
        <w:lang w:val="en-US" w:eastAsia="zh-CN" w:bidi="ar-SA"/>
      </w:rPr>
    </w:lvl>
    <w:lvl w:ilvl="7">
      <w:start w:val="0"/>
      <w:numFmt w:val="bullet"/>
      <w:lvlText w:val="•"/>
      <w:lvlJc w:val="left"/>
      <w:pPr>
        <w:ind w:left="5089" w:hanging="529"/>
      </w:pPr>
      <w:rPr>
        <w:rFonts w:hint="default"/>
        <w:lang w:val="en-US" w:eastAsia="zh-CN" w:bidi="ar-SA"/>
      </w:rPr>
    </w:lvl>
    <w:lvl w:ilvl="8">
      <w:start w:val="0"/>
      <w:numFmt w:val="bullet"/>
      <w:lvlText w:val="•"/>
      <w:lvlJc w:val="left"/>
      <w:pPr>
        <w:ind w:left="5725" w:hanging="529"/>
      </w:pPr>
      <w:rPr>
        <w:rFonts w:hint="default"/>
        <w:lang w:val="en-US" w:eastAsia="zh-CN" w:bidi="ar-SA"/>
      </w:rPr>
    </w:lvl>
  </w:abstractNum>
  <w:abstractNum w:abstractNumId="74">
    <w:multiLevelType w:val="hybridMultilevel"/>
    <w:lvl w:ilvl="0">
      <w:start w:val="1"/>
      <w:numFmt w:val="decimal"/>
      <w:lvlText w:val="（%1）"/>
      <w:lvlJc w:val="left"/>
      <w:pPr>
        <w:ind w:left="744" w:hanging="567"/>
        <w:jc w:val="left"/>
      </w:pPr>
      <w:rPr>
        <w:rFonts w:hint="default" w:ascii="仿宋" w:hAnsi="仿宋" w:eastAsia="仿宋" w:cs="仿宋"/>
        <w:b w:val="0"/>
        <w:bCs w:val="0"/>
        <w:i w:val="0"/>
        <w:iCs w:val="0"/>
        <w:w w:val="100"/>
        <w:sz w:val="21"/>
        <w:szCs w:val="21"/>
        <w:lang w:val="en-US" w:eastAsia="zh-CN" w:bidi="ar-SA"/>
      </w:rPr>
    </w:lvl>
    <w:lvl w:ilvl="1">
      <w:start w:val="2"/>
      <w:numFmt w:val="decimal"/>
      <w:lvlText w:val="（%2）"/>
      <w:lvlJc w:val="left"/>
      <w:pPr>
        <w:ind w:left="3225" w:hanging="529"/>
        <w:jc w:val="left"/>
      </w:pPr>
      <w:rPr>
        <w:rFonts w:hint="default" w:ascii="仿宋" w:hAnsi="仿宋" w:eastAsia="仿宋" w:cs="仿宋"/>
        <w:b w:val="0"/>
        <w:bCs w:val="0"/>
        <w:i w:val="0"/>
        <w:iCs w:val="0"/>
        <w:w w:val="100"/>
        <w:sz w:val="19"/>
        <w:szCs w:val="19"/>
        <w:lang w:val="en-US" w:eastAsia="zh-CN" w:bidi="ar-SA"/>
      </w:rPr>
    </w:lvl>
    <w:lvl w:ilvl="2">
      <w:start w:val="0"/>
      <w:numFmt w:val="bullet"/>
      <w:lvlText w:val="•"/>
      <w:lvlJc w:val="left"/>
      <w:pPr>
        <w:ind w:left="3340" w:hanging="529"/>
      </w:pPr>
      <w:rPr>
        <w:rFonts w:hint="default"/>
        <w:lang w:val="en-US" w:eastAsia="zh-CN" w:bidi="ar-SA"/>
      </w:rPr>
    </w:lvl>
    <w:lvl w:ilvl="3">
      <w:start w:val="0"/>
      <w:numFmt w:val="bullet"/>
      <w:lvlText w:val="•"/>
      <w:lvlJc w:val="left"/>
      <w:pPr>
        <w:ind w:left="3827" w:hanging="529"/>
      </w:pPr>
      <w:rPr>
        <w:rFonts w:hint="default"/>
        <w:lang w:val="en-US" w:eastAsia="zh-CN" w:bidi="ar-SA"/>
      </w:rPr>
    </w:lvl>
    <w:lvl w:ilvl="4">
      <w:start w:val="0"/>
      <w:numFmt w:val="bullet"/>
      <w:lvlText w:val="•"/>
      <w:lvlJc w:val="left"/>
      <w:pPr>
        <w:ind w:left="4314" w:hanging="529"/>
      </w:pPr>
      <w:rPr>
        <w:rFonts w:hint="default"/>
        <w:lang w:val="en-US" w:eastAsia="zh-CN" w:bidi="ar-SA"/>
      </w:rPr>
    </w:lvl>
    <w:lvl w:ilvl="5">
      <w:start w:val="0"/>
      <w:numFmt w:val="bullet"/>
      <w:lvlText w:val="•"/>
      <w:lvlJc w:val="left"/>
      <w:pPr>
        <w:ind w:left="4802" w:hanging="529"/>
      </w:pPr>
      <w:rPr>
        <w:rFonts w:hint="default"/>
        <w:lang w:val="en-US" w:eastAsia="zh-CN" w:bidi="ar-SA"/>
      </w:rPr>
    </w:lvl>
    <w:lvl w:ilvl="6">
      <w:start w:val="0"/>
      <w:numFmt w:val="bullet"/>
      <w:lvlText w:val="•"/>
      <w:lvlJc w:val="left"/>
      <w:pPr>
        <w:ind w:left="5289" w:hanging="529"/>
      </w:pPr>
      <w:rPr>
        <w:rFonts w:hint="default"/>
        <w:lang w:val="en-US" w:eastAsia="zh-CN" w:bidi="ar-SA"/>
      </w:rPr>
    </w:lvl>
    <w:lvl w:ilvl="7">
      <w:start w:val="0"/>
      <w:numFmt w:val="bullet"/>
      <w:lvlText w:val="•"/>
      <w:lvlJc w:val="left"/>
      <w:pPr>
        <w:ind w:left="5777" w:hanging="529"/>
      </w:pPr>
      <w:rPr>
        <w:rFonts w:hint="default"/>
        <w:lang w:val="en-US" w:eastAsia="zh-CN" w:bidi="ar-SA"/>
      </w:rPr>
    </w:lvl>
    <w:lvl w:ilvl="8">
      <w:start w:val="0"/>
      <w:numFmt w:val="bullet"/>
      <w:lvlText w:val="•"/>
      <w:lvlJc w:val="left"/>
      <w:pPr>
        <w:ind w:left="6264" w:hanging="529"/>
      </w:pPr>
      <w:rPr>
        <w:rFonts w:hint="default"/>
        <w:lang w:val="en-US" w:eastAsia="zh-CN" w:bidi="ar-SA"/>
      </w:rPr>
    </w:lvl>
  </w:abstractNum>
  <w:abstractNum w:abstractNumId="73">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3" w:hanging="529"/>
      </w:pPr>
      <w:rPr>
        <w:rFonts w:hint="default"/>
        <w:lang w:val="en-US" w:eastAsia="zh-CN" w:bidi="ar-SA"/>
      </w:rPr>
    </w:lvl>
    <w:lvl w:ilvl="5">
      <w:start w:val="0"/>
      <w:numFmt w:val="bullet"/>
      <w:lvlText w:val="•"/>
      <w:lvlJc w:val="left"/>
      <w:pPr>
        <w:ind w:left="3819" w:hanging="529"/>
      </w:pPr>
      <w:rPr>
        <w:rFonts w:hint="default"/>
        <w:lang w:val="en-US" w:eastAsia="zh-CN" w:bidi="ar-SA"/>
      </w:rPr>
    </w:lvl>
    <w:lvl w:ilvl="6">
      <w:start w:val="0"/>
      <w:numFmt w:val="bullet"/>
      <w:lvlText w:val="•"/>
      <w:lvlJc w:val="left"/>
      <w:pPr>
        <w:ind w:left="4455" w:hanging="529"/>
      </w:pPr>
      <w:rPr>
        <w:rFonts w:hint="default"/>
        <w:lang w:val="en-US" w:eastAsia="zh-CN" w:bidi="ar-SA"/>
      </w:rPr>
    </w:lvl>
    <w:lvl w:ilvl="7">
      <w:start w:val="0"/>
      <w:numFmt w:val="bullet"/>
      <w:lvlText w:val="•"/>
      <w:lvlJc w:val="left"/>
      <w:pPr>
        <w:ind w:left="5091" w:hanging="529"/>
      </w:pPr>
      <w:rPr>
        <w:rFonts w:hint="default"/>
        <w:lang w:val="en-US" w:eastAsia="zh-CN" w:bidi="ar-SA"/>
      </w:rPr>
    </w:lvl>
    <w:lvl w:ilvl="8">
      <w:start w:val="0"/>
      <w:numFmt w:val="bullet"/>
      <w:lvlText w:val="•"/>
      <w:lvlJc w:val="left"/>
      <w:pPr>
        <w:ind w:left="5727" w:hanging="529"/>
      </w:pPr>
      <w:rPr>
        <w:rFonts w:hint="default"/>
        <w:lang w:val="en-US" w:eastAsia="zh-CN" w:bidi="ar-SA"/>
      </w:rPr>
    </w:lvl>
  </w:abstractNum>
  <w:abstractNum w:abstractNumId="72">
    <w:multiLevelType w:val="hybridMultilevel"/>
    <w:lvl w:ilvl="0">
      <w:start w:val="1"/>
      <w:numFmt w:val="decimal"/>
      <w:lvlText w:val="（%1）"/>
      <w:lvlJc w:val="left"/>
      <w:pPr>
        <w:ind w:left="706" w:hanging="529"/>
        <w:jc w:val="righ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71">
    <w:multiLevelType w:val="hybridMultilevel"/>
    <w:lvl w:ilvl="0">
      <w:start w:val="1"/>
      <w:numFmt w:val="decimal"/>
      <w:lvlText w:val="（%1）"/>
      <w:lvlJc w:val="left"/>
      <w:pPr>
        <w:ind w:left="706"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70">
    <w:multiLevelType w:val="hybridMultilevel"/>
    <w:lvl w:ilvl="0">
      <w:start w:val="83"/>
      <w:numFmt w:val="decimal"/>
      <w:lvlText w:val="%1"/>
      <w:lvlJc w:val="left"/>
      <w:pPr>
        <w:ind w:left="1210" w:hanging="958"/>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2）"/>
      <w:lvlJc w:val="left"/>
      <w:pPr>
        <w:ind w:left="3334" w:hanging="529"/>
        <w:jc w:val="left"/>
      </w:pPr>
      <w:rPr>
        <w:rFonts w:hint="default" w:ascii="仿宋" w:hAnsi="仿宋" w:eastAsia="仿宋" w:cs="仿宋"/>
        <w:b w:val="0"/>
        <w:bCs w:val="0"/>
        <w:i w:val="0"/>
        <w:iCs w:val="0"/>
        <w:spacing w:val="-3"/>
        <w:w w:val="100"/>
        <w:sz w:val="19"/>
        <w:szCs w:val="19"/>
        <w:lang w:val="en-US" w:eastAsia="zh-CN" w:bidi="ar-SA"/>
      </w:rPr>
    </w:lvl>
    <w:lvl w:ilvl="2">
      <w:start w:val="0"/>
      <w:numFmt w:val="bullet"/>
      <w:lvlText w:val="•"/>
      <w:lvlJc w:val="left"/>
      <w:pPr>
        <w:ind w:left="3256" w:hanging="529"/>
      </w:pPr>
      <w:rPr>
        <w:rFonts w:hint="default"/>
        <w:lang w:val="en-US" w:eastAsia="zh-CN" w:bidi="ar-SA"/>
      </w:rPr>
    </w:lvl>
    <w:lvl w:ilvl="3">
      <w:start w:val="0"/>
      <w:numFmt w:val="bullet"/>
      <w:lvlText w:val="•"/>
      <w:lvlJc w:val="left"/>
      <w:pPr>
        <w:ind w:left="3172" w:hanging="529"/>
      </w:pPr>
      <w:rPr>
        <w:rFonts w:hint="default"/>
        <w:lang w:val="en-US" w:eastAsia="zh-CN" w:bidi="ar-SA"/>
      </w:rPr>
    </w:lvl>
    <w:lvl w:ilvl="4">
      <w:start w:val="0"/>
      <w:numFmt w:val="bullet"/>
      <w:lvlText w:val="•"/>
      <w:lvlJc w:val="left"/>
      <w:pPr>
        <w:ind w:left="3089" w:hanging="529"/>
      </w:pPr>
      <w:rPr>
        <w:rFonts w:hint="default"/>
        <w:lang w:val="en-US" w:eastAsia="zh-CN" w:bidi="ar-SA"/>
      </w:rPr>
    </w:lvl>
    <w:lvl w:ilvl="5">
      <w:start w:val="0"/>
      <w:numFmt w:val="bullet"/>
      <w:lvlText w:val="•"/>
      <w:lvlJc w:val="left"/>
      <w:pPr>
        <w:ind w:left="3005" w:hanging="529"/>
      </w:pPr>
      <w:rPr>
        <w:rFonts w:hint="default"/>
        <w:lang w:val="en-US" w:eastAsia="zh-CN" w:bidi="ar-SA"/>
      </w:rPr>
    </w:lvl>
    <w:lvl w:ilvl="6">
      <w:start w:val="0"/>
      <w:numFmt w:val="bullet"/>
      <w:lvlText w:val="•"/>
      <w:lvlJc w:val="left"/>
      <w:pPr>
        <w:ind w:left="2921" w:hanging="529"/>
      </w:pPr>
      <w:rPr>
        <w:rFonts w:hint="default"/>
        <w:lang w:val="en-US" w:eastAsia="zh-CN" w:bidi="ar-SA"/>
      </w:rPr>
    </w:lvl>
    <w:lvl w:ilvl="7">
      <w:start w:val="0"/>
      <w:numFmt w:val="bullet"/>
      <w:lvlText w:val="•"/>
      <w:lvlJc w:val="left"/>
      <w:pPr>
        <w:ind w:left="2838" w:hanging="529"/>
      </w:pPr>
      <w:rPr>
        <w:rFonts w:hint="default"/>
        <w:lang w:val="en-US" w:eastAsia="zh-CN" w:bidi="ar-SA"/>
      </w:rPr>
    </w:lvl>
    <w:lvl w:ilvl="8">
      <w:start w:val="0"/>
      <w:numFmt w:val="bullet"/>
      <w:lvlText w:val="•"/>
      <w:lvlJc w:val="left"/>
      <w:pPr>
        <w:ind w:left="2754" w:hanging="529"/>
      </w:pPr>
      <w:rPr>
        <w:rFonts w:hint="default"/>
        <w:lang w:val="en-US" w:eastAsia="zh-CN" w:bidi="ar-SA"/>
      </w:rPr>
    </w:lvl>
  </w:abstractNum>
  <w:abstractNum w:abstractNumId="69">
    <w:multiLevelType w:val="hybridMultilevel"/>
    <w:lvl w:ilvl="0">
      <w:start w:val="2"/>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65" w:hanging="529"/>
      </w:pPr>
      <w:rPr>
        <w:rFonts w:hint="default"/>
        <w:lang w:val="en-US" w:eastAsia="zh-CN" w:bidi="ar-SA"/>
      </w:rPr>
    </w:lvl>
    <w:lvl w:ilvl="2">
      <w:start w:val="0"/>
      <w:numFmt w:val="bullet"/>
      <w:lvlText w:val="•"/>
      <w:lvlJc w:val="left"/>
      <w:pPr>
        <w:ind w:left="1890" w:hanging="529"/>
      </w:pPr>
      <w:rPr>
        <w:rFonts w:hint="default"/>
        <w:lang w:val="en-US" w:eastAsia="zh-CN" w:bidi="ar-SA"/>
      </w:rPr>
    </w:lvl>
    <w:lvl w:ilvl="3">
      <w:start w:val="0"/>
      <w:numFmt w:val="bullet"/>
      <w:lvlText w:val="•"/>
      <w:lvlJc w:val="left"/>
      <w:pPr>
        <w:ind w:left="2516" w:hanging="529"/>
      </w:pPr>
      <w:rPr>
        <w:rFonts w:hint="default"/>
        <w:lang w:val="en-US" w:eastAsia="zh-CN" w:bidi="ar-SA"/>
      </w:rPr>
    </w:lvl>
    <w:lvl w:ilvl="4">
      <w:start w:val="0"/>
      <w:numFmt w:val="bullet"/>
      <w:lvlText w:val="•"/>
      <w:lvlJc w:val="left"/>
      <w:pPr>
        <w:ind w:left="3141" w:hanging="529"/>
      </w:pPr>
      <w:rPr>
        <w:rFonts w:hint="default"/>
        <w:lang w:val="en-US" w:eastAsia="zh-CN" w:bidi="ar-SA"/>
      </w:rPr>
    </w:lvl>
    <w:lvl w:ilvl="5">
      <w:start w:val="0"/>
      <w:numFmt w:val="bullet"/>
      <w:lvlText w:val="•"/>
      <w:lvlJc w:val="left"/>
      <w:pPr>
        <w:ind w:left="3767" w:hanging="529"/>
      </w:pPr>
      <w:rPr>
        <w:rFonts w:hint="default"/>
        <w:lang w:val="en-US" w:eastAsia="zh-CN" w:bidi="ar-SA"/>
      </w:rPr>
    </w:lvl>
    <w:lvl w:ilvl="6">
      <w:start w:val="0"/>
      <w:numFmt w:val="bullet"/>
      <w:lvlText w:val="•"/>
      <w:lvlJc w:val="left"/>
      <w:pPr>
        <w:ind w:left="4392" w:hanging="529"/>
      </w:pPr>
      <w:rPr>
        <w:rFonts w:hint="default"/>
        <w:lang w:val="en-US" w:eastAsia="zh-CN" w:bidi="ar-SA"/>
      </w:rPr>
    </w:lvl>
    <w:lvl w:ilvl="7">
      <w:start w:val="0"/>
      <w:numFmt w:val="bullet"/>
      <w:lvlText w:val="•"/>
      <w:lvlJc w:val="left"/>
      <w:pPr>
        <w:ind w:left="5017" w:hanging="529"/>
      </w:pPr>
      <w:rPr>
        <w:rFonts w:hint="default"/>
        <w:lang w:val="en-US" w:eastAsia="zh-CN" w:bidi="ar-SA"/>
      </w:rPr>
    </w:lvl>
    <w:lvl w:ilvl="8">
      <w:start w:val="0"/>
      <w:numFmt w:val="bullet"/>
      <w:lvlText w:val="•"/>
      <w:lvlJc w:val="left"/>
      <w:pPr>
        <w:ind w:left="5643" w:hanging="529"/>
      </w:pPr>
      <w:rPr>
        <w:rFonts w:hint="default"/>
        <w:lang w:val="en-US" w:eastAsia="zh-CN" w:bidi="ar-SA"/>
      </w:rPr>
    </w:lvl>
  </w:abstractNum>
  <w:abstractNum w:abstractNumId="68">
    <w:multiLevelType w:val="hybridMultilevel"/>
    <w:lvl w:ilvl="0">
      <w:start w:val="1"/>
      <w:numFmt w:val="decimal"/>
      <w:lvlText w:val="（%1）"/>
      <w:lvlJc w:val="left"/>
      <w:pPr>
        <w:ind w:left="689"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3340" w:hanging="529"/>
      </w:pPr>
      <w:rPr>
        <w:rFonts w:hint="default"/>
        <w:lang w:val="en-US" w:eastAsia="zh-CN" w:bidi="ar-SA"/>
      </w:rPr>
    </w:lvl>
    <w:lvl w:ilvl="2">
      <w:start w:val="0"/>
      <w:numFmt w:val="bullet"/>
      <w:lvlText w:val="•"/>
      <w:lvlJc w:val="left"/>
      <w:pPr>
        <w:ind w:left="3773" w:hanging="529"/>
      </w:pPr>
      <w:rPr>
        <w:rFonts w:hint="default"/>
        <w:lang w:val="en-US" w:eastAsia="zh-CN" w:bidi="ar-SA"/>
      </w:rPr>
    </w:lvl>
    <w:lvl w:ilvl="3">
      <w:start w:val="0"/>
      <w:numFmt w:val="bullet"/>
      <w:lvlText w:val="•"/>
      <w:lvlJc w:val="left"/>
      <w:pPr>
        <w:ind w:left="4206" w:hanging="529"/>
      </w:pPr>
      <w:rPr>
        <w:rFonts w:hint="default"/>
        <w:lang w:val="en-US" w:eastAsia="zh-CN" w:bidi="ar-SA"/>
      </w:rPr>
    </w:lvl>
    <w:lvl w:ilvl="4">
      <w:start w:val="0"/>
      <w:numFmt w:val="bullet"/>
      <w:lvlText w:val="•"/>
      <w:lvlJc w:val="left"/>
      <w:pPr>
        <w:ind w:left="4639" w:hanging="529"/>
      </w:pPr>
      <w:rPr>
        <w:rFonts w:hint="default"/>
        <w:lang w:val="en-US" w:eastAsia="zh-CN" w:bidi="ar-SA"/>
      </w:rPr>
    </w:lvl>
    <w:lvl w:ilvl="5">
      <w:start w:val="0"/>
      <w:numFmt w:val="bullet"/>
      <w:lvlText w:val="•"/>
      <w:lvlJc w:val="left"/>
      <w:pPr>
        <w:ind w:left="5072" w:hanging="529"/>
      </w:pPr>
      <w:rPr>
        <w:rFonts w:hint="default"/>
        <w:lang w:val="en-US" w:eastAsia="zh-CN" w:bidi="ar-SA"/>
      </w:rPr>
    </w:lvl>
    <w:lvl w:ilvl="6">
      <w:start w:val="0"/>
      <w:numFmt w:val="bullet"/>
      <w:lvlText w:val="•"/>
      <w:lvlJc w:val="left"/>
      <w:pPr>
        <w:ind w:left="5506" w:hanging="529"/>
      </w:pPr>
      <w:rPr>
        <w:rFonts w:hint="default"/>
        <w:lang w:val="en-US" w:eastAsia="zh-CN" w:bidi="ar-SA"/>
      </w:rPr>
    </w:lvl>
    <w:lvl w:ilvl="7">
      <w:start w:val="0"/>
      <w:numFmt w:val="bullet"/>
      <w:lvlText w:val="•"/>
      <w:lvlJc w:val="left"/>
      <w:pPr>
        <w:ind w:left="5939" w:hanging="529"/>
      </w:pPr>
      <w:rPr>
        <w:rFonts w:hint="default"/>
        <w:lang w:val="en-US" w:eastAsia="zh-CN" w:bidi="ar-SA"/>
      </w:rPr>
    </w:lvl>
    <w:lvl w:ilvl="8">
      <w:start w:val="0"/>
      <w:numFmt w:val="bullet"/>
      <w:lvlText w:val="•"/>
      <w:lvlJc w:val="left"/>
      <w:pPr>
        <w:ind w:left="6372" w:hanging="529"/>
      </w:pPr>
      <w:rPr>
        <w:rFonts w:hint="default"/>
        <w:lang w:val="en-US" w:eastAsia="zh-CN" w:bidi="ar-SA"/>
      </w:rPr>
    </w:lvl>
  </w:abstractNum>
  <w:abstractNum w:abstractNumId="67">
    <w:multiLevelType w:val="hybridMultilevel"/>
    <w:lvl w:ilvl="0">
      <w:start w:val="77"/>
      <w:numFmt w:val="decimal"/>
      <w:lvlText w:val="%1"/>
      <w:lvlJc w:val="left"/>
      <w:pPr>
        <w:ind w:left="1210" w:hanging="958"/>
        <w:jc w:val="left"/>
      </w:pPr>
      <w:rPr>
        <w:rFonts w:hint="default" w:ascii="微软雅黑" w:hAnsi="微软雅黑" w:eastAsia="微软雅黑" w:cs="微软雅黑"/>
        <w:b/>
        <w:bCs/>
        <w:i w:val="0"/>
        <w:iCs w:val="0"/>
        <w:w w:val="81"/>
        <w:sz w:val="21"/>
        <w:szCs w:val="21"/>
        <w:lang w:val="en-US" w:eastAsia="zh-CN" w:bidi="ar-SA"/>
      </w:rPr>
    </w:lvl>
    <w:lvl w:ilvl="1">
      <w:start w:val="0"/>
      <w:numFmt w:val="bullet"/>
      <w:lvlText w:val="•"/>
      <w:lvlJc w:val="left"/>
      <w:pPr>
        <w:ind w:left="1356" w:hanging="958"/>
      </w:pPr>
      <w:rPr>
        <w:rFonts w:hint="default"/>
        <w:lang w:val="en-US" w:eastAsia="zh-CN" w:bidi="ar-SA"/>
      </w:rPr>
    </w:lvl>
    <w:lvl w:ilvl="2">
      <w:start w:val="0"/>
      <w:numFmt w:val="bullet"/>
      <w:lvlText w:val="•"/>
      <w:lvlJc w:val="left"/>
      <w:pPr>
        <w:ind w:left="1493" w:hanging="958"/>
      </w:pPr>
      <w:rPr>
        <w:rFonts w:hint="default"/>
        <w:lang w:val="en-US" w:eastAsia="zh-CN" w:bidi="ar-SA"/>
      </w:rPr>
    </w:lvl>
    <w:lvl w:ilvl="3">
      <w:start w:val="0"/>
      <w:numFmt w:val="bullet"/>
      <w:lvlText w:val="•"/>
      <w:lvlJc w:val="left"/>
      <w:pPr>
        <w:ind w:left="1630" w:hanging="958"/>
      </w:pPr>
      <w:rPr>
        <w:rFonts w:hint="default"/>
        <w:lang w:val="en-US" w:eastAsia="zh-CN" w:bidi="ar-SA"/>
      </w:rPr>
    </w:lvl>
    <w:lvl w:ilvl="4">
      <w:start w:val="0"/>
      <w:numFmt w:val="bullet"/>
      <w:lvlText w:val="•"/>
      <w:lvlJc w:val="left"/>
      <w:pPr>
        <w:ind w:left="1766" w:hanging="958"/>
      </w:pPr>
      <w:rPr>
        <w:rFonts w:hint="default"/>
        <w:lang w:val="en-US" w:eastAsia="zh-CN" w:bidi="ar-SA"/>
      </w:rPr>
    </w:lvl>
    <w:lvl w:ilvl="5">
      <w:start w:val="0"/>
      <w:numFmt w:val="bullet"/>
      <w:lvlText w:val="•"/>
      <w:lvlJc w:val="left"/>
      <w:pPr>
        <w:ind w:left="1903" w:hanging="958"/>
      </w:pPr>
      <w:rPr>
        <w:rFonts w:hint="default"/>
        <w:lang w:val="en-US" w:eastAsia="zh-CN" w:bidi="ar-SA"/>
      </w:rPr>
    </w:lvl>
    <w:lvl w:ilvl="6">
      <w:start w:val="0"/>
      <w:numFmt w:val="bullet"/>
      <w:lvlText w:val="•"/>
      <w:lvlJc w:val="left"/>
      <w:pPr>
        <w:ind w:left="2040" w:hanging="958"/>
      </w:pPr>
      <w:rPr>
        <w:rFonts w:hint="default"/>
        <w:lang w:val="en-US" w:eastAsia="zh-CN" w:bidi="ar-SA"/>
      </w:rPr>
    </w:lvl>
    <w:lvl w:ilvl="7">
      <w:start w:val="0"/>
      <w:numFmt w:val="bullet"/>
      <w:lvlText w:val="•"/>
      <w:lvlJc w:val="left"/>
      <w:pPr>
        <w:ind w:left="2177" w:hanging="958"/>
      </w:pPr>
      <w:rPr>
        <w:rFonts w:hint="default"/>
        <w:lang w:val="en-US" w:eastAsia="zh-CN" w:bidi="ar-SA"/>
      </w:rPr>
    </w:lvl>
    <w:lvl w:ilvl="8">
      <w:start w:val="0"/>
      <w:numFmt w:val="bullet"/>
      <w:lvlText w:val="•"/>
      <w:lvlJc w:val="left"/>
      <w:pPr>
        <w:ind w:left="2313" w:hanging="958"/>
      </w:pPr>
      <w:rPr>
        <w:rFonts w:hint="default"/>
        <w:lang w:val="en-US" w:eastAsia="zh-CN" w:bidi="ar-SA"/>
      </w:rPr>
    </w:lvl>
  </w:abstractNum>
  <w:abstractNum w:abstractNumId="66">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3" w:hanging="529"/>
      </w:pPr>
      <w:rPr>
        <w:rFonts w:hint="default"/>
        <w:lang w:val="en-US" w:eastAsia="zh-CN" w:bidi="ar-SA"/>
      </w:rPr>
    </w:lvl>
    <w:lvl w:ilvl="5">
      <w:start w:val="0"/>
      <w:numFmt w:val="bullet"/>
      <w:lvlText w:val="•"/>
      <w:lvlJc w:val="left"/>
      <w:pPr>
        <w:ind w:left="3819" w:hanging="529"/>
      </w:pPr>
      <w:rPr>
        <w:rFonts w:hint="default"/>
        <w:lang w:val="en-US" w:eastAsia="zh-CN" w:bidi="ar-SA"/>
      </w:rPr>
    </w:lvl>
    <w:lvl w:ilvl="6">
      <w:start w:val="0"/>
      <w:numFmt w:val="bullet"/>
      <w:lvlText w:val="•"/>
      <w:lvlJc w:val="left"/>
      <w:pPr>
        <w:ind w:left="4455" w:hanging="529"/>
      </w:pPr>
      <w:rPr>
        <w:rFonts w:hint="default"/>
        <w:lang w:val="en-US" w:eastAsia="zh-CN" w:bidi="ar-SA"/>
      </w:rPr>
    </w:lvl>
    <w:lvl w:ilvl="7">
      <w:start w:val="0"/>
      <w:numFmt w:val="bullet"/>
      <w:lvlText w:val="•"/>
      <w:lvlJc w:val="left"/>
      <w:pPr>
        <w:ind w:left="5091" w:hanging="529"/>
      </w:pPr>
      <w:rPr>
        <w:rFonts w:hint="default"/>
        <w:lang w:val="en-US" w:eastAsia="zh-CN" w:bidi="ar-SA"/>
      </w:rPr>
    </w:lvl>
    <w:lvl w:ilvl="8">
      <w:start w:val="0"/>
      <w:numFmt w:val="bullet"/>
      <w:lvlText w:val="•"/>
      <w:lvlJc w:val="left"/>
      <w:pPr>
        <w:ind w:left="5727" w:hanging="529"/>
      </w:pPr>
      <w:rPr>
        <w:rFonts w:hint="default"/>
        <w:lang w:val="en-US" w:eastAsia="zh-CN" w:bidi="ar-SA"/>
      </w:rPr>
    </w:lvl>
  </w:abstractNum>
  <w:abstractNum w:abstractNumId="65">
    <w:multiLevelType w:val="hybridMultilevel"/>
    <w:lvl w:ilvl="0">
      <w:start w:val="1"/>
      <w:numFmt w:val="decimal"/>
      <w:lvlText w:val="（%1）"/>
      <w:lvlJc w:val="left"/>
      <w:pPr>
        <w:ind w:left="689"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3280" w:hanging="529"/>
      </w:pPr>
      <w:rPr>
        <w:rFonts w:hint="default"/>
        <w:lang w:val="en-US" w:eastAsia="zh-CN" w:bidi="ar-SA"/>
      </w:rPr>
    </w:lvl>
    <w:lvl w:ilvl="2">
      <w:start w:val="0"/>
      <w:numFmt w:val="bullet"/>
      <w:lvlText w:val="•"/>
      <w:lvlJc w:val="left"/>
      <w:pPr>
        <w:ind w:left="3719" w:hanging="529"/>
      </w:pPr>
      <w:rPr>
        <w:rFonts w:hint="default"/>
        <w:lang w:val="en-US" w:eastAsia="zh-CN" w:bidi="ar-SA"/>
      </w:rPr>
    </w:lvl>
    <w:lvl w:ilvl="3">
      <w:start w:val="0"/>
      <w:numFmt w:val="bullet"/>
      <w:lvlText w:val="•"/>
      <w:lvlJc w:val="left"/>
      <w:pPr>
        <w:ind w:left="4159" w:hanging="529"/>
      </w:pPr>
      <w:rPr>
        <w:rFonts w:hint="default"/>
        <w:lang w:val="en-US" w:eastAsia="zh-CN" w:bidi="ar-SA"/>
      </w:rPr>
    </w:lvl>
    <w:lvl w:ilvl="4">
      <w:start w:val="0"/>
      <w:numFmt w:val="bullet"/>
      <w:lvlText w:val="•"/>
      <w:lvlJc w:val="left"/>
      <w:pPr>
        <w:ind w:left="4599" w:hanging="529"/>
      </w:pPr>
      <w:rPr>
        <w:rFonts w:hint="default"/>
        <w:lang w:val="en-US" w:eastAsia="zh-CN" w:bidi="ar-SA"/>
      </w:rPr>
    </w:lvl>
    <w:lvl w:ilvl="5">
      <w:start w:val="0"/>
      <w:numFmt w:val="bullet"/>
      <w:lvlText w:val="•"/>
      <w:lvlJc w:val="left"/>
      <w:pPr>
        <w:ind w:left="5039" w:hanging="529"/>
      </w:pPr>
      <w:rPr>
        <w:rFonts w:hint="default"/>
        <w:lang w:val="en-US" w:eastAsia="zh-CN" w:bidi="ar-SA"/>
      </w:rPr>
    </w:lvl>
    <w:lvl w:ilvl="6">
      <w:start w:val="0"/>
      <w:numFmt w:val="bullet"/>
      <w:lvlText w:val="•"/>
      <w:lvlJc w:val="left"/>
      <w:pPr>
        <w:ind w:left="5479" w:hanging="529"/>
      </w:pPr>
      <w:rPr>
        <w:rFonts w:hint="default"/>
        <w:lang w:val="en-US" w:eastAsia="zh-CN" w:bidi="ar-SA"/>
      </w:rPr>
    </w:lvl>
    <w:lvl w:ilvl="7">
      <w:start w:val="0"/>
      <w:numFmt w:val="bullet"/>
      <w:lvlText w:val="•"/>
      <w:lvlJc w:val="left"/>
      <w:pPr>
        <w:ind w:left="5919" w:hanging="529"/>
      </w:pPr>
      <w:rPr>
        <w:rFonts w:hint="default"/>
        <w:lang w:val="en-US" w:eastAsia="zh-CN" w:bidi="ar-SA"/>
      </w:rPr>
    </w:lvl>
    <w:lvl w:ilvl="8">
      <w:start w:val="0"/>
      <w:numFmt w:val="bullet"/>
      <w:lvlText w:val="•"/>
      <w:lvlJc w:val="left"/>
      <w:pPr>
        <w:ind w:left="6359" w:hanging="529"/>
      </w:pPr>
      <w:rPr>
        <w:rFonts w:hint="default"/>
        <w:lang w:val="en-US" w:eastAsia="zh-CN" w:bidi="ar-SA"/>
      </w:rPr>
    </w:lvl>
  </w:abstractNum>
  <w:abstractNum w:abstractNumId="64">
    <w:multiLevelType w:val="hybridMultilevel"/>
    <w:lvl w:ilvl="0">
      <w:start w:val="1"/>
      <w:numFmt w:val="decimal"/>
      <w:lvlText w:val="（%1）"/>
      <w:lvlJc w:val="left"/>
      <w:pPr>
        <w:ind w:left="723"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71" w:hanging="529"/>
      </w:pPr>
      <w:rPr>
        <w:rFonts w:hint="default"/>
        <w:lang w:val="en-US" w:eastAsia="zh-CN" w:bidi="ar-SA"/>
      </w:rPr>
    </w:lvl>
    <w:lvl w:ilvl="2">
      <w:start w:val="0"/>
      <w:numFmt w:val="bullet"/>
      <w:lvlText w:val="•"/>
      <w:lvlJc w:val="left"/>
      <w:pPr>
        <w:ind w:left="2023" w:hanging="529"/>
      </w:pPr>
      <w:rPr>
        <w:rFonts w:hint="default"/>
        <w:lang w:val="en-US" w:eastAsia="zh-CN" w:bidi="ar-SA"/>
      </w:rPr>
    </w:lvl>
    <w:lvl w:ilvl="3">
      <w:start w:val="0"/>
      <w:numFmt w:val="bullet"/>
      <w:lvlText w:val="•"/>
      <w:lvlJc w:val="left"/>
      <w:pPr>
        <w:ind w:left="2675" w:hanging="529"/>
      </w:pPr>
      <w:rPr>
        <w:rFonts w:hint="default"/>
        <w:lang w:val="en-US" w:eastAsia="zh-CN" w:bidi="ar-SA"/>
      </w:rPr>
    </w:lvl>
    <w:lvl w:ilvl="4">
      <w:start w:val="0"/>
      <w:numFmt w:val="bullet"/>
      <w:lvlText w:val="•"/>
      <w:lvlJc w:val="left"/>
      <w:pPr>
        <w:ind w:left="3327" w:hanging="529"/>
      </w:pPr>
      <w:rPr>
        <w:rFonts w:hint="default"/>
        <w:lang w:val="en-US" w:eastAsia="zh-CN" w:bidi="ar-SA"/>
      </w:rPr>
    </w:lvl>
    <w:lvl w:ilvl="5">
      <w:start w:val="0"/>
      <w:numFmt w:val="bullet"/>
      <w:lvlText w:val="•"/>
      <w:lvlJc w:val="left"/>
      <w:pPr>
        <w:ind w:left="3979" w:hanging="529"/>
      </w:pPr>
      <w:rPr>
        <w:rFonts w:hint="default"/>
        <w:lang w:val="en-US" w:eastAsia="zh-CN" w:bidi="ar-SA"/>
      </w:rPr>
    </w:lvl>
    <w:lvl w:ilvl="6">
      <w:start w:val="0"/>
      <w:numFmt w:val="bullet"/>
      <w:lvlText w:val="•"/>
      <w:lvlJc w:val="left"/>
      <w:pPr>
        <w:ind w:left="4631" w:hanging="529"/>
      </w:pPr>
      <w:rPr>
        <w:rFonts w:hint="default"/>
        <w:lang w:val="en-US" w:eastAsia="zh-CN" w:bidi="ar-SA"/>
      </w:rPr>
    </w:lvl>
    <w:lvl w:ilvl="7">
      <w:start w:val="0"/>
      <w:numFmt w:val="bullet"/>
      <w:lvlText w:val="•"/>
      <w:lvlJc w:val="left"/>
      <w:pPr>
        <w:ind w:left="5283" w:hanging="529"/>
      </w:pPr>
      <w:rPr>
        <w:rFonts w:hint="default"/>
        <w:lang w:val="en-US" w:eastAsia="zh-CN" w:bidi="ar-SA"/>
      </w:rPr>
    </w:lvl>
    <w:lvl w:ilvl="8">
      <w:start w:val="0"/>
      <w:numFmt w:val="bullet"/>
      <w:lvlText w:val="•"/>
      <w:lvlJc w:val="left"/>
      <w:pPr>
        <w:ind w:left="5935" w:hanging="529"/>
      </w:pPr>
      <w:rPr>
        <w:rFonts w:hint="default"/>
        <w:lang w:val="en-US" w:eastAsia="zh-CN" w:bidi="ar-SA"/>
      </w:rPr>
    </w:lvl>
  </w:abstractNum>
  <w:abstractNum w:abstractNumId="63">
    <w:multiLevelType w:val="hybridMultilevel"/>
    <w:lvl w:ilvl="0">
      <w:start w:val="67"/>
      <w:numFmt w:val="decimal"/>
      <w:lvlText w:val="%1"/>
      <w:lvlJc w:val="left"/>
      <w:pPr>
        <w:ind w:left="2805" w:hanging="958"/>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2）"/>
      <w:lvlJc w:val="left"/>
      <w:pPr>
        <w:ind w:left="3335" w:hanging="529"/>
        <w:jc w:val="left"/>
      </w:pPr>
      <w:rPr>
        <w:rFonts w:hint="default" w:ascii="仿宋" w:hAnsi="仿宋" w:eastAsia="仿宋" w:cs="仿宋"/>
        <w:b w:val="0"/>
        <w:bCs w:val="0"/>
        <w:i w:val="0"/>
        <w:iCs w:val="0"/>
        <w:spacing w:val="-3"/>
        <w:w w:val="100"/>
        <w:sz w:val="19"/>
        <w:szCs w:val="19"/>
        <w:lang w:val="en-US" w:eastAsia="zh-CN" w:bidi="ar-SA"/>
      </w:rPr>
    </w:lvl>
    <w:lvl w:ilvl="2">
      <w:start w:val="0"/>
      <w:numFmt w:val="bullet"/>
      <w:lvlText w:val="•"/>
      <w:lvlJc w:val="left"/>
      <w:pPr>
        <w:ind w:left="4065" w:hanging="529"/>
      </w:pPr>
      <w:rPr>
        <w:rFonts w:hint="default"/>
        <w:lang w:val="en-US" w:eastAsia="zh-CN" w:bidi="ar-SA"/>
      </w:rPr>
    </w:lvl>
    <w:lvl w:ilvl="3">
      <w:start w:val="0"/>
      <w:numFmt w:val="bullet"/>
      <w:lvlText w:val="•"/>
      <w:lvlJc w:val="left"/>
      <w:pPr>
        <w:ind w:left="4790" w:hanging="529"/>
      </w:pPr>
      <w:rPr>
        <w:rFonts w:hint="default"/>
        <w:lang w:val="en-US" w:eastAsia="zh-CN" w:bidi="ar-SA"/>
      </w:rPr>
    </w:lvl>
    <w:lvl w:ilvl="4">
      <w:start w:val="0"/>
      <w:numFmt w:val="bullet"/>
      <w:lvlText w:val="•"/>
      <w:lvlJc w:val="left"/>
      <w:pPr>
        <w:ind w:left="5515" w:hanging="529"/>
      </w:pPr>
      <w:rPr>
        <w:rFonts w:hint="default"/>
        <w:lang w:val="en-US" w:eastAsia="zh-CN" w:bidi="ar-SA"/>
      </w:rPr>
    </w:lvl>
    <w:lvl w:ilvl="5">
      <w:start w:val="0"/>
      <w:numFmt w:val="bullet"/>
      <w:lvlText w:val="•"/>
      <w:lvlJc w:val="left"/>
      <w:pPr>
        <w:ind w:left="6240" w:hanging="529"/>
      </w:pPr>
      <w:rPr>
        <w:rFonts w:hint="default"/>
        <w:lang w:val="en-US" w:eastAsia="zh-CN" w:bidi="ar-SA"/>
      </w:rPr>
    </w:lvl>
    <w:lvl w:ilvl="6">
      <w:start w:val="0"/>
      <w:numFmt w:val="bullet"/>
      <w:lvlText w:val="•"/>
      <w:lvlJc w:val="left"/>
      <w:pPr>
        <w:ind w:left="6965" w:hanging="529"/>
      </w:pPr>
      <w:rPr>
        <w:rFonts w:hint="default"/>
        <w:lang w:val="en-US" w:eastAsia="zh-CN" w:bidi="ar-SA"/>
      </w:rPr>
    </w:lvl>
    <w:lvl w:ilvl="7">
      <w:start w:val="0"/>
      <w:numFmt w:val="bullet"/>
      <w:lvlText w:val="•"/>
      <w:lvlJc w:val="left"/>
      <w:pPr>
        <w:ind w:left="7690" w:hanging="529"/>
      </w:pPr>
      <w:rPr>
        <w:rFonts w:hint="default"/>
        <w:lang w:val="en-US" w:eastAsia="zh-CN" w:bidi="ar-SA"/>
      </w:rPr>
    </w:lvl>
    <w:lvl w:ilvl="8">
      <w:start w:val="0"/>
      <w:numFmt w:val="bullet"/>
      <w:lvlText w:val="•"/>
      <w:lvlJc w:val="left"/>
      <w:pPr>
        <w:ind w:left="8416" w:hanging="529"/>
      </w:pPr>
      <w:rPr>
        <w:rFonts w:hint="default"/>
        <w:lang w:val="en-US" w:eastAsia="zh-CN" w:bidi="ar-SA"/>
      </w:rPr>
    </w:lvl>
  </w:abstractNum>
  <w:abstractNum w:abstractNumId="62">
    <w:multiLevelType w:val="hybridMultilevel"/>
    <w:lvl w:ilvl="0">
      <w:start w:val="1"/>
      <w:numFmt w:val="decimal"/>
      <w:lvlText w:val="（%1）"/>
      <w:lvlJc w:val="left"/>
      <w:pPr>
        <w:ind w:left="65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96" w:hanging="529"/>
      </w:pPr>
      <w:rPr>
        <w:rFonts w:hint="default"/>
        <w:lang w:val="en-US" w:eastAsia="zh-CN" w:bidi="ar-SA"/>
      </w:rPr>
    </w:lvl>
    <w:lvl w:ilvl="2">
      <w:start w:val="0"/>
      <w:numFmt w:val="bullet"/>
      <w:lvlText w:val="•"/>
      <w:lvlJc w:val="left"/>
      <w:pPr>
        <w:ind w:left="1932" w:hanging="529"/>
      </w:pPr>
      <w:rPr>
        <w:rFonts w:hint="default"/>
        <w:lang w:val="en-US" w:eastAsia="zh-CN" w:bidi="ar-SA"/>
      </w:rPr>
    </w:lvl>
    <w:lvl w:ilvl="3">
      <w:start w:val="0"/>
      <w:numFmt w:val="bullet"/>
      <w:lvlText w:val="•"/>
      <w:lvlJc w:val="left"/>
      <w:pPr>
        <w:ind w:left="2568" w:hanging="529"/>
      </w:pPr>
      <w:rPr>
        <w:rFonts w:hint="default"/>
        <w:lang w:val="en-US" w:eastAsia="zh-CN" w:bidi="ar-SA"/>
      </w:rPr>
    </w:lvl>
    <w:lvl w:ilvl="4">
      <w:start w:val="0"/>
      <w:numFmt w:val="bullet"/>
      <w:lvlText w:val="•"/>
      <w:lvlJc w:val="left"/>
      <w:pPr>
        <w:ind w:left="3204" w:hanging="529"/>
      </w:pPr>
      <w:rPr>
        <w:rFonts w:hint="default"/>
        <w:lang w:val="en-US" w:eastAsia="zh-CN" w:bidi="ar-SA"/>
      </w:rPr>
    </w:lvl>
    <w:lvl w:ilvl="5">
      <w:start w:val="0"/>
      <w:numFmt w:val="bullet"/>
      <w:lvlText w:val="•"/>
      <w:lvlJc w:val="left"/>
      <w:pPr>
        <w:ind w:left="3840" w:hanging="529"/>
      </w:pPr>
      <w:rPr>
        <w:rFonts w:hint="default"/>
        <w:lang w:val="en-US" w:eastAsia="zh-CN" w:bidi="ar-SA"/>
      </w:rPr>
    </w:lvl>
    <w:lvl w:ilvl="6">
      <w:start w:val="0"/>
      <w:numFmt w:val="bullet"/>
      <w:lvlText w:val="•"/>
      <w:lvlJc w:val="left"/>
      <w:pPr>
        <w:ind w:left="4476" w:hanging="529"/>
      </w:pPr>
      <w:rPr>
        <w:rFonts w:hint="default"/>
        <w:lang w:val="en-US" w:eastAsia="zh-CN" w:bidi="ar-SA"/>
      </w:rPr>
    </w:lvl>
    <w:lvl w:ilvl="7">
      <w:start w:val="0"/>
      <w:numFmt w:val="bullet"/>
      <w:lvlText w:val="•"/>
      <w:lvlJc w:val="left"/>
      <w:pPr>
        <w:ind w:left="5112" w:hanging="529"/>
      </w:pPr>
      <w:rPr>
        <w:rFonts w:hint="default"/>
        <w:lang w:val="en-US" w:eastAsia="zh-CN" w:bidi="ar-SA"/>
      </w:rPr>
    </w:lvl>
    <w:lvl w:ilvl="8">
      <w:start w:val="0"/>
      <w:numFmt w:val="bullet"/>
      <w:lvlText w:val="•"/>
      <w:lvlJc w:val="left"/>
      <w:pPr>
        <w:ind w:left="5748" w:hanging="529"/>
      </w:pPr>
      <w:rPr>
        <w:rFonts w:hint="default"/>
        <w:lang w:val="en-US" w:eastAsia="zh-CN" w:bidi="ar-SA"/>
      </w:rPr>
    </w:lvl>
  </w:abstractNum>
  <w:abstractNum w:abstractNumId="61">
    <w:multiLevelType w:val="hybridMultilevel"/>
    <w:lvl w:ilvl="0">
      <w:start w:val="1"/>
      <w:numFmt w:val="decimal"/>
      <w:lvlText w:val="（%1）"/>
      <w:lvlJc w:val="left"/>
      <w:pPr>
        <w:ind w:left="65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96" w:hanging="529"/>
      </w:pPr>
      <w:rPr>
        <w:rFonts w:hint="default"/>
        <w:lang w:val="en-US" w:eastAsia="zh-CN" w:bidi="ar-SA"/>
      </w:rPr>
    </w:lvl>
    <w:lvl w:ilvl="2">
      <w:start w:val="0"/>
      <w:numFmt w:val="bullet"/>
      <w:lvlText w:val="•"/>
      <w:lvlJc w:val="left"/>
      <w:pPr>
        <w:ind w:left="1932" w:hanging="529"/>
      </w:pPr>
      <w:rPr>
        <w:rFonts w:hint="default"/>
        <w:lang w:val="en-US" w:eastAsia="zh-CN" w:bidi="ar-SA"/>
      </w:rPr>
    </w:lvl>
    <w:lvl w:ilvl="3">
      <w:start w:val="0"/>
      <w:numFmt w:val="bullet"/>
      <w:lvlText w:val="•"/>
      <w:lvlJc w:val="left"/>
      <w:pPr>
        <w:ind w:left="2568" w:hanging="529"/>
      </w:pPr>
      <w:rPr>
        <w:rFonts w:hint="default"/>
        <w:lang w:val="en-US" w:eastAsia="zh-CN" w:bidi="ar-SA"/>
      </w:rPr>
    </w:lvl>
    <w:lvl w:ilvl="4">
      <w:start w:val="0"/>
      <w:numFmt w:val="bullet"/>
      <w:lvlText w:val="•"/>
      <w:lvlJc w:val="left"/>
      <w:pPr>
        <w:ind w:left="3204" w:hanging="529"/>
      </w:pPr>
      <w:rPr>
        <w:rFonts w:hint="default"/>
        <w:lang w:val="en-US" w:eastAsia="zh-CN" w:bidi="ar-SA"/>
      </w:rPr>
    </w:lvl>
    <w:lvl w:ilvl="5">
      <w:start w:val="0"/>
      <w:numFmt w:val="bullet"/>
      <w:lvlText w:val="•"/>
      <w:lvlJc w:val="left"/>
      <w:pPr>
        <w:ind w:left="3840" w:hanging="529"/>
      </w:pPr>
      <w:rPr>
        <w:rFonts w:hint="default"/>
        <w:lang w:val="en-US" w:eastAsia="zh-CN" w:bidi="ar-SA"/>
      </w:rPr>
    </w:lvl>
    <w:lvl w:ilvl="6">
      <w:start w:val="0"/>
      <w:numFmt w:val="bullet"/>
      <w:lvlText w:val="•"/>
      <w:lvlJc w:val="left"/>
      <w:pPr>
        <w:ind w:left="4476" w:hanging="529"/>
      </w:pPr>
      <w:rPr>
        <w:rFonts w:hint="default"/>
        <w:lang w:val="en-US" w:eastAsia="zh-CN" w:bidi="ar-SA"/>
      </w:rPr>
    </w:lvl>
    <w:lvl w:ilvl="7">
      <w:start w:val="0"/>
      <w:numFmt w:val="bullet"/>
      <w:lvlText w:val="•"/>
      <w:lvlJc w:val="left"/>
      <w:pPr>
        <w:ind w:left="5112" w:hanging="529"/>
      </w:pPr>
      <w:rPr>
        <w:rFonts w:hint="default"/>
        <w:lang w:val="en-US" w:eastAsia="zh-CN" w:bidi="ar-SA"/>
      </w:rPr>
    </w:lvl>
    <w:lvl w:ilvl="8">
      <w:start w:val="0"/>
      <w:numFmt w:val="bullet"/>
      <w:lvlText w:val="•"/>
      <w:lvlJc w:val="left"/>
      <w:pPr>
        <w:ind w:left="5748" w:hanging="529"/>
      </w:pPr>
      <w:rPr>
        <w:rFonts w:hint="default"/>
        <w:lang w:val="en-US" w:eastAsia="zh-CN" w:bidi="ar-SA"/>
      </w:rPr>
    </w:lvl>
  </w:abstractNum>
  <w:abstractNum w:abstractNumId="60">
    <w:multiLevelType w:val="hybridMultilevel"/>
    <w:lvl w:ilvl="0">
      <w:start w:val="1"/>
      <w:numFmt w:val="decimal"/>
      <w:lvlText w:val="（%1）"/>
      <w:lvlJc w:val="left"/>
      <w:pPr>
        <w:ind w:left="65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96" w:hanging="529"/>
      </w:pPr>
      <w:rPr>
        <w:rFonts w:hint="default"/>
        <w:lang w:val="en-US" w:eastAsia="zh-CN" w:bidi="ar-SA"/>
      </w:rPr>
    </w:lvl>
    <w:lvl w:ilvl="2">
      <w:start w:val="0"/>
      <w:numFmt w:val="bullet"/>
      <w:lvlText w:val="•"/>
      <w:lvlJc w:val="left"/>
      <w:pPr>
        <w:ind w:left="1932" w:hanging="529"/>
      </w:pPr>
      <w:rPr>
        <w:rFonts w:hint="default"/>
        <w:lang w:val="en-US" w:eastAsia="zh-CN" w:bidi="ar-SA"/>
      </w:rPr>
    </w:lvl>
    <w:lvl w:ilvl="3">
      <w:start w:val="0"/>
      <w:numFmt w:val="bullet"/>
      <w:lvlText w:val="•"/>
      <w:lvlJc w:val="left"/>
      <w:pPr>
        <w:ind w:left="2568" w:hanging="529"/>
      </w:pPr>
      <w:rPr>
        <w:rFonts w:hint="default"/>
        <w:lang w:val="en-US" w:eastAsia="zh-CN" w:bidi="ar-SA"/>
      </w:rPr>
    </w:lvl>
    <w:lvl w:ilvl="4">
      <w:start w:val="0"/>
      <w:numFmt w:val="bullet"/>
      <w:lvlText w:val="•"/>
      <w:lvlJc w:val="left"/>
      <w:pPr>
        <w:ind w:left="3204" w:hanging="529"/>
      </w:pPr>
      <w:rPr>
        <w:rFonts w:hint="default"/>
        <w:lang w:val="en-US" w:eastAsia="zh-CN" w:bidi="ar-SA"/>
      </w:rPr>
    </w:lvl>
    <w:lvl w:ilvl="5">
      <w:start w:val="0"/>
      <w:numFmt w:val="bullet"/>
      <w:lvlText w:val="•"/>
      <w:lvlJc w:val="left"/>
      <w:pPr>
        <w:ind w:left="3840" w:hanging="529"/>
      </w:pPr>
      <w:rPr>
        <w:rFonts w:hint="default"/>
        <w:lang w:val="en-US" w:eastAsia="zh-CN" w:bidi="ar-SA"/>
      </w:rPr>
    </w:lvl>
    <w:lvl w:ilvl="6">
      <w:start w:val="0"/>
      <w:numFmt w:val="bullet"/>
      <w:lvlText w:val="•"/>
      <w:lvlJc w:val="left"/>
      <w:pPr>
        <w:ind w:left="4476" w:hanging="529"/>
      </w:pPr>
      <w:rPr>
        <w:rFonts w:hint="default"/>
        <w:lang w:val="en-US" w:eastAsia="zh-CN" w:bidi="ar-SA"/>
      </w:rPr>
    </w:lvl>
    <w:lvl w:ilvl="7">
      <w:start w:val="0"/>
      <w:numFmt w:val="bullet"/>
      <w:lvlText w:val="•"/>
      <w:lvlJc w:val="left"/>
      <w:pPr>
        <w:ind w:left="5112" w:hanging="529"/>
      </w:pPr>
      <w:rPr>
        <w:rFonts w:hint="default"/>
        <w:lang w:val="en-US" w:eastAsia="zh-CN" w:bidi="ar-SA"/>
      </w:rPr>
    </w:lvl>
    <w:lvl w:ilvl="8">
      <w:start w:val="0"/>
      <w:numFmt w:val="bullet"/>
      <w:lvlText w:val="•"/>
      <w:lvlJc w:val="left"/>
      <w:pPr>
        <w:ind w:left="5748" w:hanging="529"/>
      </w:pPr>
      <w:rPr>
        <w:rFonts w:hint="default"/>
        <w:lang w:val="en-US" w:eastAsia="zh-CN" w:bidi="ar-SA"/>
      </w:rPr>
    </w:lvl>
  </w:abstractNum>
  <w:abstractNum w:abstractNumId="59">
    <w:multiLevelType w:val="hybridMultilevel"/>
    <w:lvl w:ilvl="0">
      <w:start w:val="1"/>
      <w:numFmt w:val="decimal"/>
      <w:lvlText w:val="（%1）"/>
      <w:lvlJc w:val="left"/>
      <w:pPr>
        <w:ind w:left="65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96" w:hanging="529"/>
      </w:pPr>
      <w:rPr>
        <w:rFonts w:hint="default"/>
        <w:lang w:val="en-US" w:eastAsia="zh-CN" w:bidi="ar-SA"/>
      </w:rPr>
    </w:lvl>
    <w:lvl w:ilvl="2">
      <w:start w:val="0"/>
      <w:numFmt w:val="bullet"/>
      <w:lvlText w:val="•"/>
      <w:lvlJc w:val="left"/>
      <w:pPr>
        <w:ind w:left="1932" w:hanging="529"/>
      </w:pPr>
      <w:rPr>
        <w:rFonts w:hint="default"/>
        <w:lang w:val="en-US" w:eastAsia="zh-CN" w:bidi="ar-SA"/>
      </w:rPr>
    </w:lvl>
    <w:lvl w:ilvl="3">
      <w:start w:val="0"/>
      <w:numFmt w:val="bullet"/>
      <w:lvlText w:val="•"/>
      <w:lvlJc w:val="left"/>
      <w:pPr>
        <w:ind w:left="2568" w:hanging="529"/>
      </w:pPr>
      <w:rPr>
        <w:rFonts w:hint="default"/>
        <w:lang w:val="en-US" w:eastAsia="zh-CN" w:bidi="ar-SA"/>
      </w:rPr>
    </w:lvl>
    <w:lvl w:ilvl="4">
      <w:start w:val="0"/>
      <w:numFmt w:val="bullet"/>
      <w:lvlText w:val="•"/>
      <w:lvlJc w:val="left"/>
      <w:pPr>
        <w:ind w:left="3204" w:hanging="529"/>
      </w:pPr>
      <w:rPr>
        <w:rFonts w:hint="default"/>
        <w:lang w:val="en-US" w:eastAsia="zh-CN" w:bidi="ar-SA"/>
      </w:rPr>
    </w:lvl>
    <w:lvl w:ilvl="5">
      <w:start w:val="0"/>
      <w:numFmt w:val="bullet"/>
      <w:lvlText w:val="•"/>
      <w:lvlJc w:val="left"/>
      <w:pPr>
        <w:ind w:left="3840" w:hanging="529"/>
      </w:pPr>
      <w:rPr>
        <w:rFonts w:hint="default"/>
        <w:lang w:val="en-US" w:eastAsia="zh-CN" w:bidi="ar-SA"/>
      </w:rPr>
    </w:lvl>
    <w:lvl w:ilvl="6">
      <w:start w:val="0"/>
      <w:numFmt w:val="bullet"/>
      <w:lvlText w:val="•"/>
      <w:lvlJc w:val="left"/>
      <w:pPr>
        <w:ind w:left="4476" w:hanging="529"/>
      </w:pPr>
      <w:rPr>
        <w:rFonts w:hint="default"/>
        <w:lang w:val="en-US" w:eastAsia="zh-CN" w:bidi="ar-SA"/>
      </w:rPr>
    </w:lvl>
    <w:lvl w:ilvl="7">
      <w:start w:val="0"/>
      <w:numFmt w:val="bullet"/>
      <w:lvlText w:val="•"/>
      <w:lvlJc w:val="left"/>
      <w:pPr>
        <w:ind w:left="5112" w:hanging="529"/>
      </w:pPr>
      <w:rPr>
        <w:rFonts w:hint="default"/>
        <w:lang w:val="en-US" w:eastAsia="zh-CN" w:bidi="ar-SA"/>
      </w:rPr>
    </w:lvl>
    <w:lvl w:ilvl="8">
      <w:start w:val="0"/>
      <w:numFmt w:val="bullet"/>
      <w:lvlText w:val="•"/>
      <w:lvlJc w:val="left"/>
      <w:pPr>
        <w:ind w:left="5748" w:hanging="529"/>
      </w:pPr>
      <w:rPr>
        <w:rFonts w:hint="default"/>
        <w:lang w:val="en-US" w:eastAsia="zh-CN" w:bidi="ar-SA"/>
      </w:rPr>
    </w:lvl>
  </w:abstractNum>
  <w:abstractNum w:abstractNumId="58">
    <w:multiLevelType w:val="hybridMultilevel"/>
    <w:lvl w:ilvl="0">
      <w:start w:val="1"/>
      <w:numFmt w:val="decimal"/>
      <w:lvlText w:val="（%1）"/>
      <w:lvlJc w:val="left"/>
      <w:pPr>
        <w:ind w:left="65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96" w:hanging="529"/>
      </w:pPr>
      <w:rPr>
        <w:rFonts w:hint="default"/>
        <w:lang w:val="en-US" w:eastAsia="zh-CN" w:bidi="ar-SA"/>
      </w:rPr>
    </w:lvl>
    <w:lvl w:ilvl="2">
      <w:start w:val="0"/>
      <w:numFmt w:val="bullet"/>
      <w:lvlText w:val="•"/>
      <w:lvlJc w:val="left"/>
      <w:pPr>
        <w:ind w:left="1932" w:hanging="529"/>
      </w:pPr>
      <w:rPr>
        <w:rFonts w:hint="default"/>
        <w:lang w:val="en-US" w:eastAsia="zh-CN" w:bidi="ar-SA"/>
      </w:rPr>
    </w:lvl>
    <w:lvl w:ilvl="3">
      <w:start w:val="0"/>
      <w:numFmt w:val="bullet"/>
      <w:lvlText w:val="•"/>
      <w:lvlJc w:val="left"/>
      <w:pPr>
        <w:ind w:left="2568" w:hanging="529"/>
      </w:pPr>
      <w:rPr>
        <w:rFonts w:hint="default"/>
        <w:lang w:val="en-US" w:eastAsia="zh-CN" w:bidi="ar-SA"/>
      </w:rPr>
    </w:lvl>
    <w:lvl w:ilvl="4">
      <w:start w:val="0"/>
      <w:numFmt w:val="bullet"/>
      <w:lvlText w:val="•"/>
      <w:lvlJc w:val="left"/>
      <w:pPr>
        <w:ind w:left="3204" w:hanging="529"/>
      </w:pPr>
      <w:rPr>
        <w:rFonts w:hint="default"/>
        <w:lang w:val="en-US" w:eastAsia="zh-CN" w:bidi="ar-SA"/>
      </w:rPr>
    </w:lvl>
    <w:lvl w:ilvl="5">
      <w:start w:val="0"/>
      <w:numFmt w:val="bullet"/>
      <w:lvlText w:val="•"/>
      <w:lvlJc w:val="left"/>
      <w:pPr>
        <w:ind w:left="3840" w:hanging="529"/>
      </w:pPr>
      <w:rPr>
        <w:rFonts w:hint="default"/>
        <w:lang w:val="en-US" w:eastAsia="zh-CN" w:bidi="ar-SA"/>
      </w:rPr>
    </w:lvl>
    <w:lvl w:ilvl="6">
      <w:start w:val="0"/>
      <w:numFmt w:val="bullet"/>
      <w:lvlText w:val="•"/>
      <w:lvlJc w:val="left"/>
      <w:pPr>
        <w:ind w:left="4476" w:hanging="529"/>
      </w:pPr>
      <w:rPr>
        <w:rFonts w:hint="default"/>
        <w:lang w:val="en-US" w:eastAsia="zh-CN" w:bidi="ar-SA"/>
      </w:rPr>
    </w:lvl>
    <w:lvl w:ilvl="7">
      <w:start w:val="0"/>
      <w:numFmt w:val="bullet"/>
      <w:lvlText w:val="•"/>
      <w:lvlJc w:val="left"/>
      <w:pPr>
        <w:ind w:left="5112" w:hanging="529"/>
      </w:pPr>
      <w:rPr>
        <w:rFonts w:hint="default"/>
        <w:lang w:val="en-US" w:eastAsia="zh-CN" w:bidi="ar-SA"/>
      </w:rPr>
    </w:lvl>
    <w:lvl w:ilvl="8">
      <w:start w:val="0"/>
      <w:numFmt w:val="bullet"/>
      <w:lvlText w:val="•"/>
      <w:lvlJc w:val="left"/>
      <w:pPr>
        <w:ind w:left="5748" w:hanging="529"/>
      </w:pPr>
      <w:rPr>
        <w:rFonts w:hint="default"/>
        <w:lang w:val="en-US" w:eastAsia="zh-CN" w:bidi="ar-SA"/>
      </w:rPr>
    </w:lvl>
  </w:abstractNum>
  <w:abstractNum w:abstractNumId="57">
    <w:multiLevelType w:val="hybridMultilevel"/>
    <w:lvl w:ilvl="0">
      <w:start w:val="1"/>
      <w:numFmt w:val="decimal"/>
      <w:lvlText w:val="（%1）"/>
      <w:lvlJc w:val="left"/>
      <w:pPr>
        <w:ind w:left="65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8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36" w:hanging="529"/>
      </w:pPr>
      <w:rPr>
        <w:rFonts w:hint="default"/>
        <w:lang w:val="en-US" w:eastAsia="zh-CN" w:bidi="ar-SA"/>
      </w:rPr>
    </w:lvl>
    <w:lvl w:ilvl="4">
      <w:start w:val="0"/>
      <w:numFmt w:val="bullet"/>
      <w:lvlText w:val="•"/>
      <w:lvlJc w:val="left"/>
      <w:pPr>
        <w:ind w:left="3162" w:hanging="529"/>
      </w:pPr>
      <w:rPr>
        <w:rFonts w:hint="default"/>
        <w:lang w:val="en-US" w:eastAsia="zh-CN" w:bidi="ar-SA"/>
      </w:rPr>
    </w:lvl>
    <w:lvl w:ilvl="5">
      <w:start w:val="0"/>
      <w:numFmt w:val="bullet"/>
      <w:lvlText w:val="•"/>
      <w:lvlJc w:val="left"/>
      <w:pPr>
        <w:ind w:left="3787" w:hanging="529"/>
      </w:pPr>
      <w:rPr>
        <w:rFonts w:hint="default"/>
        <w:lang w:val="en-US" w:eastAsia="zh-CN" w:bidi="ar-SA"/>
      </w:rPr>
    </w:lvl>
    <w:lvl w:ilvl="6">
      <w:start w:val="0"/>
      <w:numFmt w:val="bullet"/>
      <w:lvlText w:val="•"/>
      <w:lvlJc w:val="left"/>
      <w:pPr>
        <w:ind w:left="4413" w:hanging="529"/>
      </w:pPr>
      <w:rPr>
        <w:rFonts w:hint="default"/>
        <w:lang w:val="en-US" w:eastAsia="zh-CN" w:bidi="ar-SA"/>
      </w:rPr>
    </w:lvl>
    <w:lvl w:ilvl="7">
      <w:start w:val="0"/>
      <w:numFmt w:val="bullet"/>
      <w:lvlText w:val="•"/>
      <w:lvlJc w:val="left"/>
      <w:pPr>
        <w:ind w:left="5038" w:hanging="529"/>
      </w:pPr>
      <w:rPr>
        <w:rFonts w:hint="default"/>
        <w:lang w:val="en-US" w:eastAsia="zh-CN" w:bidi="ar-SA"/>
      </w:rPr>
    </w:lvl>
    <w:lvl w:ilvl="8">
      <w:start w:val="0"/>
      <w:numFmt w:val="bullet"/>
      <w:lvlText w:val="•"/>
      <w:lvlJc w:val="left"/>
      <w:pPr>
        <w:ind w:left="5664" w:hanging="529"/>
      </w:pPr>
      <w:rPr>
        <w:rFonts w:hint="default"/>
        <w:lang w:val="en-US" w:eastAsia="zh-CN" w:bidi="ar-SA"/>
      </w:rPr>
    </w:lvl>
  </w:abstractNum>
  <w:abstractNum w:abstractNumId="56">
    <w:multiLevelType w:val="hybridMultilevel"/>
    <w:lvl w:ilvl="0">
      <w:start w:val="1"/>
      <w:numFmt w:val="decimal"/>
      <w:lvlText w:val="（%1）"/>
      <w:lvlJc w:val="left"/>
      <w:pPr>
        <w:ind w:left="65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8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36" w:hanging="529"/>
      </w:pPr>
      <w:rPr>
        <w:rFonts w:hint="default"/>
        <w:lang w:val="en-US" w:eastAsia="zh-CN" w:bidi="ar-SA"/>
      </w:rPr>
    </w:lvl>
    <w:lvl w:ilvl="4">
      <w:start w:val="0"/>
      <w:numFmt w:val="bullet"/>
      <w:lvlText w:val="•"/>
      <w:lvlJc w:val="left"/>
      <w:pPr>
        <w:ind w:left="3162" w:hanging="529"/>
      </w:pPr>
      <w:rPr>
        <w:rFonts w:hint="default"/>
        <w:lang w:val="en-US" w:eastAsia="zh-CN" w:bidi="ar-SA"/>
      </w:rPr>
    </w:lvl>
    <w:lvl w:ilvl="5">
      <w:start w:val="0"/>
      <w:numFmt w:val="bullet"/>
      <w:lvlText w:val="•"/>
      <w:lvlJc w:val="left"/>
      <w:pPr>
        <w:ind w:left="3787" w:hanging="529"/>
      </w:pPr>
      <w:rPr>
        <w:rFonts w:hint="default"/>
        <w:lang w:val="en-US" w:eastAsia="zh-CN" w:bidi="ar-SA"/>
      </w:rPr>
    </w:lvl>
    <w:lvl w:ilvl="6">
      <w:start w:val="0"/>
      <w:numFmt w:val="bullet"/>
      <w:lvlText w:val="•"/>
      <w:lvlJc w:val="left"/>
      <w:pPr>
        <w:ind w:left="4413" w:hanging="529"/>
      </w:pPr>
      <w:rPr>
        <w:rFonts w:hint="default"/>
        <w:lang w:val="en-US" w:eastAsia="zh-CN" w:bidi="ar-SA"/>
      </w:rPr>
    </w:lvl>
    <w:lvl w:ilvl="7">
      <w:start w:val="0"/>
      <w:numFmt w:val="bullet"/>
      <w:lvlText w:val="•"/>
      <w:lvlJc w:val="left"/>
      <w:pPr>
        <w:ind w:left="5038" w:hanging="529"/>
      </w:pPr>
      <w:rPr>
        <w:rFonts w:hint="default"/>
        <w:lang w:val="en-US" w:eastAsia="zh-CN" w:bidi="ar-SA"/>
      </w:rPr>
    </w:lvl>
    <w:lvl w:ilvl="8">
      <w:start w:val="0"/>
      <w:numFmt w:val="bullet"/>
      <w:lvlText w:val="•"/>
      <w:lvlJc w:val="left"/>
      <w:pPr>
        <w:ind w:left="5664" w:hanging="529"/>
      </w:pPr>
      <w:rPr>
        <w:rFonts w:hint="default"/>
        <w:lang w:val="en-US" w:eastAsia="zh-CN" w:bidi="ar-SA"/>
      </w:rPr>
    </w:lvl>
  </w:abstractNum>
  <w:abstractNum w:abstractNumId="55">
    <w:multiLevelType w:val="hybridMultilevel"/>
    <w:lvl w:ilvl="0">
      <w:start w:val="1"/>
      <w:numFmt w:val="decimal"/>
      <w:lvlText w:val="（%1）"/>
      <w:lvlJc w:val="left"/>
      <w:pPr>
        <w:ind w:left="65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8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36" w:hanging="529"/>
      </w:pPr>
      <w:rPr>
        <w:rFonts w:hint="default"/>
        <w:lang w:val="en-US" w:eastAsia="zh-CN" w:bidi="ar-SA"/>
      </w:rPr>
    </w:lvl>
    <w:lvl w:ilvl="4">
      <w:start w:val="0"/>
      <w:numFmt w:val="bullet"/>
      <w:lvlText w:val="•"/>
      <w:lvlJc w:val="left"/>
      <w:pPr>
        <w:ind w:left="3162" w:hanging="529"/>
      </w:pPr>
      <w:rPr>
        <w:rFonts w:hint="default"/>
        <w:lang w:val="en-US" w:eastAsia="zh-CN" w:bidi="ar-SA"/>
      </w:rPr>
    </w:lvl>
    <w:lvl w:ilvl="5">
      <w:start w:val="0"/>
      <w:numFmt w:val="bullet"/>
      <w:lvlText w:val="•"/>
      <w:lvlJc w:val="left"/>
      <w:pPr>
        <w:ind w:left="3787" w:hanging="529"/>
      </w:pPr>
      <w:rPr>
        <w:rFonts w:hint="default"/>
        <w:lang w:val="en-US" w:eastAsia="zh-CN" w:bidi="ar-SA"/>
      </w:rPr>
    </w:lvl>
    <w:lvl w:ilvl="6">
      <w:start w:val="0"/>
      <w:numFmt w:val="bullet"/>
      <w:lvlText w:val="•"/>
      <w:lvlJc w:val="left"/>
      <w:pPr>
        <w:ind w:left="4413" w:hanging="529"/>
      </w:pPr>
      <w:rPr>
        <w:rFonts w:hint="default"/>
        <w:lang w:val="en-US" w:eastAsia="zh-CN" w:bidi="ar-SA"/>
      </w:rPr>
    </w:lvl>
    <w:lvl w:ilvl="7">
      <w:start w:val="0"/>
      <w:numFmt w:val="bullet"/>
      <w:lvlText w:val="•"/>
      <w:lvlJc w:val="left"/>
      <w:pPr>
        <w:ind w:left="5038" w:hanging="529"/>
      </w:pPr>
      <w:rPr>
        <w:rFonts w:hint="default"/>
        <w:lang w:val="en-US" w:eastAsia="zh-CN" w:bidi="ar-SA"/>
      </w:rPr>
    </w:lvl>
    <w:lvl w:ilvl="8">
      <w:start w:val="0"/>
      <w:numFmt w:val="bullet"/>
      <w:lvlText w:val="•"/>
      <w:lvlJc w:val="left"/>
      <w:pPr>
        <w:ind w:left="5664" w:hanging="529"/>
      </w:pPr>
      <w:rPr>
        <w:rFonts w:hint="default"/>
        <w:lang w:val="en-US" w:eastAsia="zh-CN" w:bidi="ar-SA"/>
      </w:rPr>
    </w:lvl>
  </w:abstractNum>
  <w:abstractNum w:abstractNumId="54">
    <w:multiLevelType w:val="hybridMultilevel"/>
    <w:lvl w:ilvl="0">
      <w:start w:val="1"/>
      <w:numFmt w:val="decimal"/>
      <w:lvlText w:val="（%1）"/>
      <w:lvlJc w:val="left"/>
      <w:pPr>
        <w:ind w:left="689"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06" w:hanging="529"/>
      </w:pPr>
      <w:rPr>
        <w:rFonts w:hint="default"/>
        <w:lang w:val="en-US" w:eastAsia="zh-CN" w:bidi="ar-SA"/>
      </w:rPr>
    </w:lvl>
    <w:lvl w:ilvl="2">
      <w:start w:val="0"/>
      <w:numFmt w:val="bullet"/>
      <w:lvlText w:val="•"/>
      <w:lvlJc w:val="left"/>
      <w:pPr>
        <w:ind w:left="1933" w:hanging="529"/>
      </w:pPr>
      <w:rPr>
        <w:rFonts w:hint="default"/>
        <w:lang w:val="en-US" w:eastAsia="zh-CN" w:bidi="ar-SA"/>
      </w:rPr>
    </w:lvl>
    <w:lvl w:ilvl="3">
      <w:start w:val="0"/>
      <w:numFmt w:val="bullet"/>
      <w:lvlText w:val="•"/>
      <w:lvlJc w:val="left"/>
      <w:pPr>
        <w:ind w:left="2560" w:hanging="529"/>
      </w:pPr>
      <w:rPr>
        <w:rFonts w:hint="default"/>
        <w:lang w:val="en-US" w:eastAsia="zh-CN" w:bidi="ar-SA"/>
      </w:rPr>
    </w:lvl>
    <w:lvl w:ilvl="4">
      <w:start w:val="0"/>
      <w:numFmt w:val="bullet"/>
      <w:lvlText w:val="•"/>
      <w:lvlJc w:val="left"/>
      <w:pPr>
        <w:ind w:left="3187" w:hanging="529"/>
      </w:pPr>
      <w:rPr>
        <w:rFonts w:hint="default"/>
        <w:lang w:val="en-US" w:eastAsia="zh-CN" w:bidi="ar-SA"/>
      </w:rPr>
    </w:lvl>
    <w:lvl w:ilvl="5">
      <w:start w:val="0"/>
      <w:numFmt w:val="bullet"/>
      <w:lvlText w:val="•"/>
      <w:lvlJc w:val="left"/>
      <w:pPr>
        <w:ind w:left="3814" w:hanging="529"/>
      </w:pPr>
      <w:rPr>
        <w:rFonts w:hint="default"/>
        <w:lang w:val="en-US" w:eastAsia="zh-CN" w:bidi="ar-SA"/>
      </w:rPr>
    </w:lvl>
    <w:lvl w:ilvl="6">
      <w:start w:val="0"/>
      <w:numFmt w:val="bullet"/>
      <w:lvlText w:val="•"/>
      <w:lvlJc w:val="left"/>
      <w:pPr>
        <w:ind w:left="4441" w:hanging="529"/>
      </w:pPr>
      <w:rPr>
        <w:rFonts w:hint="default"/>
        <w:lang w:val="en-US" w:eastAsia="zh-CN" w:bidi="ar-SA"/>
      </w:rPr>
    </w:lvl>
    <w:lvl w:ilvl="7">
      <w:start w:val="0"/>
      <w:numFmt w:val="bullet"/>
      <w:lvlText w:val="•"/>
      <w:lvlJc w:val="left"/>
      <w:pPr>
        <w:ind w:left="5068" w:hanging="529"/>
      </w:pPr>
      <w:rPr>
        <w:rFonts w:hint="default"/>
        <w:lang w:val="en-US" w:eastAsia="zh-CN" w:bidi="ar-SA"/>
      </w:rPr>
    </w:lvl>
    <w:lvl w:ilvl="8">
      <w:start w:val="0"/>
      <w:numFmt w:val="bullet"/>
      <w:lvlText w:val="•"/>
      <w:lvlJc w:val="left"/>
      <w:pPr>
        <w:ind w:left="5695" w:hanging="529"/>
      </w:pPr>
      <w:rPr>
        <w:rFonts w:hint="default"/>
        <w:lang w:val="en-US" w:eastAsia="zh-CN" w:bidi="ar-SA"/>
      </w:rPr>
    </w:lvl>
  </w:abstractNum>
  <w:abstractNum w:abstractNumId="53">
    <w:multiLevelType w:val="hybridMultilevel"/>
    <w:lvl w:ilvl="0">
      <w:start w:val="2"/>
      <w:numFmt w:val="decimal"/>
      <w:lvlText w:val="（%1）"/>
      <w:lvlJc w:val="left"/>
      <w:pPr>
        <w:ind w:left="692"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24" w:hanging="529"/>
      </w:pPr>
      <w:rPr>
        <w:rFonts w:hint="default"/>
        <w:lang w:val="en-US" w:eastAsia="zh-CN" w:bidi="ar-SA"/>
      </w:rPr>
    </w:lvl>
    <w:lvl w:ilvl="2">
      <w:start w:val="0"/>
      <w:numFmt w:val="bullet"/>
      <w:lvlText w:val="•"/>
      <w:lvlJc w:val="left"/>
      <w:pPr>
        <w:ind w:left="1949" w:hanging="529"/>
      </w:pPr>
      <w:rPr>
        <w:rFonts w:hint="default"/>
        <w:lang w:val="en-US" w:eastAsia="zh-CN" w:bidi="ar-SA"/>
      </w:rPr>
    </w:lvl>
    <w:lvl w:ilvl="3">
      <w:start w:val="0"/>
      <w:numFmt w:val="bullet"/>
      <w:lvlText w:val="•"/>
      <w:lvlJc w:val="left"/>
      <w:pPr>
        <w:ind w:left="2574" w:hanging="529"/>
      </w:pPr>
      <w:rPr>
        <w:rFonts w:hint="default"/>
        <w:lang w:val="en-US" w:eastAsia="zh-CN" w:bidi="ar-SA"/>
      </w:rPr>
    </w:lvl>
    <w:lvl w:ilvl="4">
      <w:start w:val="0"/>
      <w:numFmt w:val="bullet"/>
      <w:lvlText w:val="•"/>
      <w:lvlJc w:val="left"/>
      <w:pPr>
        <w:ind w:left="3199" w:hanging="529"/>
      </w:pPr>
      <w:rPr>
        <w:rFonts w:hint="default"/>
        <w:lang w:val="en-US" w:eastAsia="zh-CN" w:bidi="ar-SA"/>
      </w:rPr>
    </w:lvl>
    <w:lvl w:ilvl="5">
      <w:start w:val="0"/>
      <w:numFmt w:val="bullet"/>
      <w:lvlText w:val="•"/>
      <w:lvlJc w:val="left"/>
      <w:pPr>
        <w:ind w:left="3824" w:hanging="529"/>
      </w:pPr>
      <w:rPr>
        <w:rFonts w:hint="default"/>
        <w:lang w:val="en-US" w:eastAsia="zh-CN" w:bidi="ar-SA"/>
      </w:rPr>
    </w:lvl>
    <w:lvl w:ilvl="6">
      <w:start w:val="0"/>
      <w:numFmt w:val="bullet"/>
      <w:lvlText w:val="•"/>
      <w:lvlJc w:val="left"/>
      <w:pPr>
        <w:ind w:left="4449" w:hanging="529"/>
      </w:pPr>
      <w:rPr>
        <w:rFonts w:hint="default"/>
        <w:lang w:val="en-US" w:eastAsia="zh-CN" w:bidi="ar-SA"/>
      </w:rPr>
    </w:lvl>
    <w:lvl w:ilvl="7">
      <w:start w:val="0"/>
      <w:numFmt w:val="bullet"/>
      <w:lvlText w:val="•"/>
      <w:lvlJc w:val="left"/>
      <w:pPr>
        <w:ind w:left="5074" w:hanging="529"/>
      </w:pPr>
      <w:rPr>
        <w:rFonts w:hint="default"/>
        <w:lang w:val="en-US" w:eastAsia="zh-CN" w:bidi="ar-SA"/>
      </w:rPr>
    </w:lvl>
    <w:lvl w:ilvl="8">
      <w:start w:val="0"/>
      <w:numFmt w:val="bullet"/>
      <w:lvlText w:val="•"/>
      <w:lvlJc w:val="left"/>
      <w:pPr>
        <w:ind w:left="5699" w:hanging="529"/>
      </w:pPr>
      <w:rPr>
        <w:rFonts w:hint="default"/>
        <w:lang w:val="en-US" w:eastAsia="zh-CN" w:bidi="ar-SA"/>
      </w:rPr>
    </w:lvl>
  </w:abstractNum>
  <w:abstractNum w:abstractNumId="52">
    <w:multiLevelType w:val="hybridMultilevel"/>
    <w:lvl w:ilvl="0">
      <w:start w:val="1"/>
      <w:numFmt w:val="decimal"/>
      <w:lvlText w:val="（%1）"/>
      <w:lvlJc w:val="left"/>
      <w:pPr>
        <w:ind w:left="703" w:hanging="529"/>
        <w:jc w:val="left"/>
      </w:pPr>
      <w:rPr>
        <w:rFonts w:hint="default" w:ascii="仿宋" w:hAnsi="仿宋" w:eastAsia="仿宋" w:cs="仿宋"/>
        <w:b w:val="0"/>
        <w:bCs w:val="0"/>
        <w:i w:val="0"/>
        <w:iCs w:val="0"/>
        <w:spacing w:val="-3"/>
        <w:w w:val="100"/>
        <w:sz w:val="19"/>
        <w:szCs w:val="19"/>
        <w:lang w:val="en-US" w:eastAsia="zh-CN" w:bidi="ar-SA"/>
      </w:rPr>
    </w:lvl>
    <w:lvl w:ilvl="1">
      <w:start w:val="2"/>
      <w:numFmt w:val="decimal"/>
      <w:lvlText w:val="（%2）"/>
      <w:lvlJc w:val="left"/>
      <w:pPr>
        <w:ind w:left="3334" w:hanging="529"/>
        <w:jc w:val="left"/>
      </w:pPr>
      <w:rPr>
        <w:rFonts w:hint="default" w:ascii="仿宋" w:hAnsi="仿宋" w:eastAsia="仿宋" w:cs="仿宋"/>
        <w:b w:val="0"/>
        <w:bCs w:val="0"/>
        <w:i w:val="0"/>
        <w:iCs w:val="0"/>
        <w:spacing w:val="-3"/>
        <w:w w:val="100"/>
        <w:sz w:val="19"/>
        <w:szCs w:val="19"/>
        <w:lang w:val="en-US" w:eastAsia="zh-CN" w:bidi="ar-SA"/>
      </w:rPr>
    </w:lvl>
    <w:lvl w:ilvl="2">
      <w:start w:val="0"/>
      <w:numFmt w:val="bullet"/>
      <w:lvlText w:val="•"/>
      <w:lvlJc w:val="left"/>
      <w:pPr>
        <w:ind w:left="3773" w:hanging="529"/>
      </w:pPr>
      <w:rPr>
        <w:rFonts w:hint="default"/>
        <w:lang w:val="en-US" w:eastAsia="zh-CN" w:bidi="ar-SA"/>
      </w:rPr>
    </w:lvl>
    <w:lvl w:ilvl="3">
      <w:start w:val="0"/>
      <w:numFmt w:val="bullet"/>
      <w:lvlText w:val="•"/>
      <w:lvlJc w:val="left"/>
      <w:pPr>
        <w:ind w:left="4206" w:hanging="529"/>
      </w:pPr>
      <w:rPr>
        <w:rFonts w:hint="default"/>
        <w:lang w:val="en-US" w:eastAsia="zh-CN" w:bidi="ar-SA"/>
      </w:rPr>
    </w:lvl>
    <w:lvl w:ilvl="4">
      <w:start w:val="0"/>
      <w:numFmt w:val="bullet"/>
      <w:lvlText w:val="•"/>
      <w:lvlJc w:val="left"/>
      <w:pPr>
        <w:ind w:left="4639" w:hanging="529"/>
      </w:pPr>
      <w:rPr>
        <w:rFonts w:hint="default"/>
        <w:lang w:val="en-US" w:eastAsia="zh-CN" w:bidi="ar-SA"/>
      </w:rPr>
    </w:lvl>
    <w:lvl w:ilvl="5">
      <w:start w:val="0"/>
      <w:numFmt w:val="bullet"/>
      <w:lvlText w:val="•"/>
      <w:lvlJc w:val="left"/>
      <w:pPr>
        <w:ind w:left="5072" w:hanging="529"/>
      </w:pPr>
      <w:rPr>
        <w:rFonts w:hint="default"/>
        <w:lang w:val="en-US" w:eastAsia="zh-CN" w:bidi="ar-SA"/>
      </w:rPr>
    </w:lvl>
    <w:lvl w:ilvl="6">
      <w:start w:val="0"/>
      <w:numFmt w:val="bullet"/>
      <w:lvlText w:val="•"/>
      <w:lvlJc w:val="left"/>
      <w:pPr>
        <w:ind w:left="5506" w:hanging="529"/>
      </w:pPr>
      <w:rPr>
        <w:rFonts w:hint="default"/>
        <w:lang w:val="en-US" w:eastAsia="zh-CN" w:bidi="ar-SA"/>
      </w:rPr>
    </w:lvl>
    <w:lvl w:ilvl="7">
      <w:start w:val="0"/>
      <w:numFmt w:val="bullet"/>
      <w:lvlText w:val="•"/>
      <w:lvlJc w:val="left"/>
      <w:pPr>
        <w:ind w:left="5939" w:hanging="529"/>
      </w:pPr>
      <w:rPr>
        <w:rFonts w:hint="default"/>
        <w:lang w:val="en-US" w:eastAsia="zh-CN" w:bidi="ar-SA"/>
      </w:rPr>
    </w:lvl>
    <w:lvl w:ilvl="8">
      <w:start w:val="0"/>
      <w:numFmt w:val="bullet"/>
      <w:lvlText w:val="•"/>
      <w:lvlJc w:val="left"/>
      <w:pPr>
        <w:ind w:left="6372" w:hanging="529"/>
      </w:pPr>
      <w:rPr>
        <w:rFonts w:hint="default"/>
        <w:lang w:val="en-US" w:eastAsia="zh-CN" w:bidi="ar-SA"/>
      </w:rPr>
    </w:lvl>
  </w:abstractNum>
  <w:abstractNum w:abstractNumId="51">
    <w:multiLevelType w:val="hybridMultilevel"/>
    <w:lvl w:ilvl="0">
      <w:start w:val="1"/>
      <w:numFmt w:val="decimal"/>
      <w:lvlText w:val="（%1）"/>
      <w:lvlJc w:val="left"/>
      <w:pPr>
        <w:ind w:left="706"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50">
    <w:multiLevelType w:val="hybridMultilevel"/>
    <w:lvl w:ilvl="0">
      <w:start w:val="1"/>
      <w:numFmt w:val="decimal"/>
      <w:lvlText w:val="（%1）"/>
      <w:lvlJc w:val="left"/>
      <w:pPr>
        <w:ind w:left="706"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49">
    <w:multiLevelType w:val="hybridMultilevel"/>
    <w:lvl w:ilvl="0">
      <w:start w:val="1"/>
      <w:numFmt w:val="decimal"/>
      <w:lvlText w:val="（%1）"/>
      <w:lvlJc w:val="left"/>
      <w:pPr>
        <w:ind w:left="706"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48">
    <w:multiLevelType w:val="hybridMultilevel"/>
    <w:lvl w:ilvl="0">
      <w:start w:val="1"/>
      <w:numFmt w:val="decimal"/>
      <w:lvlText w:val="（%1）"/>
      <w:lvlJc w:val="left"/>
      <w:pPr>
        <w:ind w:left="706"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47">
    <w:multiLevelType w:val="hybridMultilevel"/>
    <w:lvl w:ilvl="0">
      <w:start w:val="1"/>
      <w:numFmt w:val="decimal"/>
      <w:lvlText w:val="（%1）"/>
      <w:lvlJc w:val="left"/>
      <w:pPr>
        <w:ind w:left="706"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46">
    <w:multiLevelType w:val="hybridMultilevel"/>
    <w:lvl w:ilvl="0">
      <w:start w:val="1"/>
      <w:numFmt w:val="decimal"/>
      <w:lvlText w:val="（%1）"/>
      <w:lvlJc w:val="left"/>
      <w:pPr>
        <w:ind w:left="706"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45">
    <w:multiLevelType w:val="hybridMultilevel"/>
    <w:lvl w:ilvl="0">
      <w:start w:val="40"/>
      <w:numFmt w:val="decimal"/>
      <w:lvlText w:val="%1"/>
      <w:lvlJc w:val="left"/>
      <w:pPr>
        <w:ind w:left="2805" w:hanging="958"/>
        <w:jc w:val="left"/>
      </w:pPr>
      <w:rPr>
        <w:rFonts w:hint="default" w:ascii="微软雅黑" w:hAnsi="微软雅黑" w:eastAsia="微软雅黑" w:cs="微软雅黑"/>
        <w:b/>
        <w:bCs/>
        <w:i w:val="0"/>
        <w:iCs w:val="0"/>
        <w:w w:val="81"/>
        <w:sz w:val="21"/>
        <w:szCs w:val="21"/>
        <w:lang w:val="en-US" w:eastAsia="zh-CN" w:bidi="ar-SA"/>
      </w:rPr>
    </w:lvl>
    <w:lvl w:ilvl="1">
      <w:start w:val="0"/>
      <w:numFmt w:val="bullet"/>
      <w:lvlText w:val="•"/>
      <w:lvlJc w:val="left"/>
      <w:pPr>
        <w:ind w:left="3506" w:hanging="958"/>
      </w:pPr>
      <w:rPr>
        <w:rFonts w:hint="default"/>
        <w:lang w:val="en-US" w:eastAsia="zh-CN" w:bidi="ar-SA"/>
      </w:rPr>
    </w:lvl>
    <w:lvl w:ilvl="2">
      <w:start w:val="0"/>
      <w:numFmt w:val="bullet"/>
      <w:lvlText w:val="•"/>
      <w:lvlJc w:val="left"/>
      <w:pPr>
        <w:ind w:left="4213" w:hanging="958"/>
      </w:pPr>
      <w:rPr>
        <w:rFonts w:hint="default"/>
        <w:lang w:val="en-US" w:eastAsia="zh-CN" w:bidi="ar-SA"/>
      </w:rPr>
    </w:lvl>
    <w:lvl w:ilvl="3">
      <w:start w:val="0"/>
      <w:numFmt w:val="bullet"/>
      <w:lvlText w:val="•"/>
      <w:lvlJc w:val="left"/>
      <w:pPr>
        <w:ind w:left="4919" w:hanging="958"/>
      </w:pPr>
      <w:rPr>
        <w:rFonts w:hint="default"/>
        <w:lang w:val="en-US" w:eastAsia="zh-CN" w:bidi="ar-SA"/>
      </w:rPr>
    </w:lvl>
    <w:lvl w:ilvl="4">
      <w:start w:val="0"/>
      <w:numFmt w:val="bullet"/>
      <w:lvlText w:val="•"/>
      <w:lvlJc w:val="left"/>
      <w:pPr>
        <w:ind w:left="5626" w:hanging="958"/>
      </w:pPr>
      <w:rPr>
        <w:rFonts w:hint="default"/>
        <w:lang w:val="en-US" w:eastAsia="zh-CN" w:bidi="ar-SA"/>
      </w:rPr>
    </w:lvl>
    <w:lvl w:ilvl="5">
      <w:start w:val="0"/>
      <w:numFmt w:val="bullet"/>
      <w:lvlText w:val="•"/>
      <w:lvlJc w:val="left"/>
      <w:pPr>
        <w:ind w:left="6333" w:hanging="958"/>
      </w:pPr>
      <w:rPr>
        <w:rFonts w:hint="default"/>
        <w:lang w:val="en-US" w:eastAsia="zh-CN" w:bidi="ar-SA"/>
      </w:rPr>
    </w:lvl>
    <w:lvl w:ilvl="6">
      <w:start w:val="0"/>
      <w:numFmt w:val="bullet"/>
      <w:lvlText w:val="•"/>
      <w:lvlJc w:val="left"/>
      <w:pPr>
        <w:ind w:left="7039" w:hanging="958"/>
      </w:pPr>
      <w:rPr>
        <w:rFonts w:hint="default"/>
        <w:lang w:val="en-US" w:eastAsia="zh-CN" w:bidi="ar-SA"/>
      </w:rPr>
    </w:lvl>
    <w:lvl w:ilvl="7">
      <w:start w:val="0"/>
      <w:numFmt w:val="bullet"/>
      <w:lvlText w:val="•"/>
      <w:lvlJc w:val="left"/>
      <w:pPr>
        <w:ind w:left="7746" w:hanging="958"/>
      </w:pPr>
      <w:rPr>
        <w:rFonts w:hint="default"/>
        <w:lang w:val="en-US" w:eastAsia="zh-CN" w:bidi="ar-SA"/>
      </w:rPr>
    </w:lvl>
    <w:lvl w:ilvl="8">
      <w:start w:val="0"/>
      <w:numFmt w:val="bullet"/>
      <w:lvlText w:val="•"/>
      <w:lvlJc w:val="left"/>
      <w:pPr>
        <w:ind w:left="8453" w:hanging="958"/>
      </w:pPr>
      <w:rPr>
        <w:rFonts w:hint="default"/>
        <w:lang w:val="en-US" w:eastAsia="zh-CN" w:bidi="ar-SA"/>
      </w:rPr>
    </w:lvl>
  </w:abstractNum>
  <w:abstractNum w:abstractNumId="44">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2" w:hanging="529"/>
      </w:pPr>
      <w:rPr>
        <w:rFonts w:hint="default"/>
        <w:lang w:val="en-US" w:eastAsia="zh-CN" w:bidi="ar-SA"/>
      </w:rPr>
    </w:lvl>
    <w:lvl w:ilvl="5">
      <w:start w:val="0"/>
      <w:numFmt w:val="bullet"/>
      <w:lvlText w:val="•"/>
      <w:lvlJc w:val="left"/>
      <w:pPr>
        <w:ind w:left="3818" w:hanging="529"/>
      </w:pPr>
      <w:rPr>
        <w:rFonts w:hint="default"/>
        <w:lang w:val="en-US" w:eastAsia="zh-CN" w:bidi="ar-SA"/>
      </w:rPr>
    </w:lvl>
    <w:lvl w:ilvl="6">
      <w:start w:val="0"/>
      <w:numFmt w:val="bullet"/>
      <w:lvlText w:val="•"/>
      <w:lvlJc w:val="left"/>
      <w:pPr>
        <w:ind w:left="4454" w:hanging="529"/>
      </w:pPr>
      <w:rPr>
        <w:rFonts w:hint="default"/>
        <w:lang w:val="en-US" w:eastAsia="zh-CN" w:bidi="ar-SA"/>
      </w:rPr>
    </w:lvl>
    <w:lvl w:ilvl="7">
      <w:start w:val="0"/>
      <w:numFmt w:val="bullet"/>
      <w:lvlText w:val="•"/>
      <w:lvlJc w:val="left"/>
      <w:pPr>
        <w:ind w:left="5089" w:hanging="529"/>
      </w:pPr>
      <w:rPr>
        <w:rFonts w:hint="default"/>
        <w:lang w:val="en-US" w:eastAsia="zh-CN" w:bidi="ar-SA"/>
      </w:rPr>
    </w:lvl>
    <w:lvl w:ilvl="8">
      <w:start w:val="0"/>
      <w:numFmt w:val="bullet"/>
      <w:lvlText w:val="•"/>
      <w:lvlJc w:val="left"/>
      <w:pPr>
        <w:ind w:left="5725" w:hanging="529"/>
      </w:pPr>
      <w:rPr>
        <w:rFonts w:hint="default"/>
        <w:lang w:val="en-US" w:eastAsia="zh-CN" w:bidi="ar-SA"/>
      </w:rPr>
    </w:lvl>
  </w:abstractNum>
  <w:abstractNum w:abstractNumId="43">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2" w:hanging="529"/>
      </w:pPr>
      <w:rPr>
        <w:rFonts w:hint="default"/>
        <w:lang w:val="en-US" w:eastAsia="zh-CN" w:bidi="ar-SA"/>
      </w:rPr>
    </w:lvl>
    <w:lvl w:ilvl="5">
      <w:start w:val="0"/>
      <w:numFmt w:val="bullet"/>
      <w:lvlText w:val="•"/>
      <w:lvlJc w:val="left"/>
      <w:pPr>
        <w:ind w:left="3818" w:hanging="529"/>
      </w:pPr>
      <w:rPr>
        <w:rFonts w:hint="default"/>
        <w:lang w:val="en-US" w:eastAsia="zh-CN" w:bidi="ar-SA"/>
      </w:rPr>
    </w:lvl>
    <w:lvl w:ilvl="6">
      <w:start w:val="0"/>
      <w:numFmt w:val="bullet"/>
      <w:lvlText w:val="•"/>
      <w:lvlJc w:val="left"/>
      <w:pPr>
        <w:ind w:left="4454" w:hanging="529"/>
      </w:pPr>
      <w:rPr>
        <w:rFonts w:hint="default"/>
        <w:lang w:val="en-US" w:eastAsia="zh-CN" w:bidi="ar-SA"/>
      </w:rPr>
    </w:lvl>
    <w:lvl w:ilvl="7">
      <w:start w:val="0"/>
      <w:numFmt w:val="bullet"/>
      <w:lvlText w:val="•"/>
      <w:lvlJc w:val="left"/>
      <w:pPr>
        <w:ind w:left="5089" w:hanging="529"/>
      </w:pPr>
      <w:rPr>
        <w:rFonts w:hint="default"/>
        <w:lang w:val="en-US" w:eastAsia="zh-CN" w:bidi="ar-SA"/>
      </w:rPr>
    </w:lvl>
    <w:lvl w:ilvl="8">
      <w:start w:val="0"/>
      <w:numFmt w:val="bullet"/>
      <w:lvlText w:val="•"/>
      <w:lvlJc w:val="left"/>
      <w:pPr>
        <w:ind w:left="5725" w:hanging="529"/>
      </w:pPr>
      <w:rPr>
        <w:rFonts w:hint="default"/>
        <w:lang w:val="en-US" w:eastAsia="zh-CN" w:bidi="ar-SA"/>
      </w:rPr>
    </w:lvl>
  </w:abstractNum>
  <w:abstractNum w:abstractNumId="42">
    <w:multiLevelType w:val="hybridMultilevel"/>
    <w:lvl w:ilvl="0">
      <w:start w:val="1"/>
      <w:numFmt w:val="decimal"/>
      <w:lvlText w:val="（%1）"/>
      <w:lvlJc w:val="left"/>
      <w:pPr>
        <w:ind w:left="638"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2" w:hanging="529"/>
      </w:pPr>
      <w:rPr>
        <w:rFonts w:hint="default"/>
        <w:lang w:val="en-US" w:eastAsia="zh-CN" w:bidi="ar-SA"/>
      </w:rPr>
    </w:lvl>
    <w:lvl w:ilvl="5">
      <w:start w:val="0"/>
      <w:numFmt w:val="bullet"/>
      <w:lvlText w:val="•"/>
      <w:lvlJc w:val="left"/>
      <w:pPr>
        <w:ind w:left="3818" w:hanging="529"/>
      </w:pPr>
      <w:rPr>
        <w:rFonts w:hint="default"/>
        <w:lang w:val="en-US" w:eastAsia="zh-CN" w:bidi="ar-SA"/>
      </w:rPr>
    </w:lvl>
    <w:lvl w:ilvl="6">
      <w:start w:val="0"/>
      <w:numFmt w:val="bullet"/>
      <w:lvlText w:val="•"/>
      <w:lvlJc w:val="left"/>
      <w:pPr>
        <w:ind w:left="4454" w:hanging="529"/>
      </w:pPr>
      <w:rPr>
        <w:rFonts w:hint="default"/>
        <w:lang w:val="en-US" w:eastAsia="zh-CN" w:bidi="ar-SA"/>
      </w:rPr>
    </w:lvl>
    <w:lvl w:ilvl="7">
      <w:start w:val="0"/>
      <w:numFmt w:val="bullet"/>
      <w:lvlText w:val="•"/>
      <w:lvlJc w:val="left"/>
      <w:pPr>
        <w:ind w:left="5089" w:hanging="529"/>
      </w:pPr>
      <w:rPr>
        <w:rFonts w:hint="default"/>
        <w:lang w:val="en-US" w:eastAsia="zh-CN" w:bidi="ar-SA"/>
      </w:rPr>
    </w:lvl>
    <w:lvl w:ilvl="8">
      <w:start w:val="0"/>
      <w:numFmt w:val="bullet"/>
      <w:lvlText w:val="•"/>
      <w:lvlJc w:val="left"/>
      <w:pPr>
        <w:ind w:left="5725" w:hanging="529"/>
      </w:pPr>
      <w:rPr>
        <w:rFonts w:hint="default"/>
        <w:lang w:val="en-US" w:eastAsia="zh-CN" w:bidi="ar-SA"/>
      </w:rPr>
    </w:lvl>
  </w:abstractNum>
  <w:abstractNum w:abstractNumId="41">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2" w:hanging="529"/>
      </w:pPr>
      <w:rPr>
        <w:rFonts w:hint="default"/>
        <w:lang w:val="en-US" w:eastAsia="zh-CN" w:bidi="ar-SA"/>
      </w:rPr>
    </w:lvl>
    <w:lvl w:ilvl="5">
      <w:start w:val="0"/>
      <w:numFmt w:val="bullet"/>
      <w:lvlText w:val="•"/>
      <w:lvlJc w:val="left"/>
      <w:pPr>
        <w:ind w:left="3818" w:hanging="529"/>
      </w:pPr>
      <w:rPr>
        <w:rFonts w:hint="default"/>
        <w:lang w:val="en-US" w:eastAsia="zh-CN" w:bidi="ar-SA"/>
      </w:rPr>
    </w:lvl>
    <w:lvl w:ilvl="6">
      <w:start w:val="0"/>
      <w:numFmt w:val="bullet"/>
      <w:lvlText w:val="•"/>
      <w:lvlJc w:val="left"/>
      <w:pPr>
        <w:ind w:left="4454" w:hanging="529"/>
      </w:pPr>
      <w:rPr>
        <w:rFonts w:hint="default"/>
        <w:lang w:val="en-US" w:eastAsia="zh-CN" w:bidi="ar-SA"/>
      </w:rPr>
    </w:lvl>
    <w:lvl w:ilvl="7">
      <w:start w:val="0"/>
      <w:numFmt w:val="bullet"/>
      <w:lvlText w:val="•"/>
      <w:lvlJc w:val="left"/>
      <w:pPr>
        <w:ind w:left="5089" w:hanging="529"/>
      </w:pPr>
      <w:rPr>
        <w:rFonts w:hint="default"/>
        <w:lang w:val="en-US" w:eastAsia="zh-CN" w:bidi="ar-SA"/>
      </w:rPr>
    </w:lvl>
    <w:lvl w:ilvl="8">
      <w:start w:val="0"/>
      <w:numFmt w:val="bullet"/>
      <w:lvlText w:val="•"/>
      <w:lvlJc w:val="left"/>
      <w:pPr>
        <w:ind w:left="5725" w:hanging="529"/>
      </w:pPr>
      <w:rPr>
        <w:rFonts w:hint="default"/>
        <w:lang w:val="en-US" w:eastAsia="zh-CN" w:bidi="ar-SA"/>
      </w:rPr>
    </w:lvl>
  </w:abstractNum>
  <w:abstractNum w:abstractNumId="40">
    <w:multiLevelType w:val="hybridMultilevel"/>
    <w:lvl w:ilvl="0">
      <w:start w:val="1"/>
      <w:numFmt w:val="decimal"/>
      <w:lvlText w:val="（%1）"/>
      <w:lvlJc w:val="left"/>
      <w:pPr>
        <w:ind w:left="744" w:hanging="567"/>
        <w:jc w:val="left"/>
      </w:pPr>
      <w:rPr>
        <w:rFonts w:hint="default" w:ascii="仿宋" w:hAnsi="仿宋" w:eastAsia="仿宋" w:cs="仿宋"/>
        <w:b w:val="0"/>
        <w:bCs w:val="0"/>
        <w:i w:val="0"/>
        <w:iCs w:val="0"/>
        <w:w w:val="100"/>
        <w:sz w:val="21"/>
        <w:szCs w:val="21"/>
        <w:lang w:val="en-US" w:eastAsia="zh-CN" w:bidi="ar-SA"/>
      </w:rPr>
    </w:lvl>
    <w:lvl w:ilvl="1">
      <w:start w:val="0"/>
      <w:numFmt w:val="bullet"/>
      <w:lvlText w:val="•"/>
      <w:lvlJc w:val="left"/>
      <w:pPr>
        <w:ind w:left="3340" w:hanging="567"/>
      </w:pPr>
      <w:rPr>
        <w:rFonts w:hint="default"/>
        <w:lang w:val="en-US" w:eastAsia="zh-CN" w:bidi="ar-SA"/>
      </w:rPr>
    </w:lvl>
    <w:lvl w:ilvl="2">
      <w:start w:val="0"/>
      <w:numFmt w:val="bullet"/>
      <w:lvlText w:val="•"/>
      <w:lvlJc w:val="left"/>
      <w:pPr>
        <w:ind w:left="3773" w:hanging="567"/>
      </w:pPr>
      <w:rPr>
        <w:rFonts w:hint="default"/>
        <w:lang w:val="en-US" w:eastAsia="zh-CN" w:bidi="ar-SA"/>
      </w:rPr>
    </w:lvl>
    <w:lvl w:ilvl="3">
      <w:start w:val="0"/>
      <w:numFmt w:val="bullet"/>
      <w:lvlText w:val="•"/>
      <w:lvlJc w:val="left"/>
      <w:pPr>
        <w:ind w:left="4206" w:hanging="567"/>
      </w:pPr>
      <w:rPr>
        <w:rFonts w:hint="default"/>
        <w:lang w:val="en-US" w:eastAsia="zh-CN" w:bidi="ar-SA"/>
      </w:rPr>
    </w:lvl>
    <w:lvl w:ilvl="4">
      <w:start w:val="0"/>
      <w:numFmt w:val="bullet"/>
      <w:lvlText w:val="•"/>
      <w:lvlJc w:val="left"/>
      <w:pPr>
        <w:ind w:left="4639" w:hanging="567"/>
      </w:pPr>
      <w:rPr>
        <w:rFonts w:hint="default"/>
        <w:lang w:val="en-US" w:eastAsia="zh-CN" w:bidi="ar-SA"/>
      </w:rPr>
    </w:lvl>
    <w:lvl w:ilvl="5">
      <w:start w:val="0"/>
      <w:numFmt w:val="bullet"/>
      <w:lvlText w:val="•"/>
      <w:lvlJc w:val="left"/>
      <w:pPr>
        <w:ind w:left="5072" w:hanging="567"/>
      </w:pPr>
      <w:rPr>
        <w:rFonts w:hint="default"/>
        <w:lang w:val="en-US" w:eastAsia="zh-CN" w:bidi="ar-SA"/>
      </w:rPr>
    </w:lvl>
    <w:lvl w:ilvl="6">
      <w:start w:val="0"/>
      <w:numFmt w:val="bullet"/>
      <w:lvlText w:val="•"/>
      <w:lvlJc w:val="left"/>
      <w:pPr>
        <w:ind w:left="5506" w:hanging="567"/>
      </w:pPr>
      <w:rPr>
        <w:rFonts w:hint="default"/>
        <w:lang w:val="en-US" w:eastAsia="zh-CN" w:bidi="ar-SA"/>
      </w:rPr>
    </w:lvl>
    <w:lvl w:ilvl="7">
      <w:start w:val="0"/>
      <w:numFmt w:val="bullet"/>
      <w:lvlText w:val="•"/>
      <w:lvlJc w:val="left"/>
      <w:pPr>
        <w:ind w:left="5939" w:hanging="567"/>
      </w:pPr>
      <w:rPr>
        <w:rFonts w:hint="default"/>
        <w:lang w:val="en-US" w:eastAsia="zh-CN" w:bidi="ar-SA"/>
      </w:rPr>
    </w:lvl>
    <w:lvl w:ilvl="8">
      <w:start w:val="0"/>
      <w:numFmt w:val="bullet"/>
      <w:lvlText w:val="•"/>
      <w:lvlJc w:val="left"/>
      <w:pPr>
        <w:ind w:left="6372" w:hanging="567"/>
      </w:pPr>
      <w:rPr>
        <w:rFonts w:hint="default"/>
        <w:lang w:val="en-US" w:eastAsia="zh-CN" w:bidi="ar-SA"/>
      </w:rPr>
    </w:lvl>
  </w:abstractNum>
  <w:abstractNum w:abstractNumId="39">
    <w:multiLevelType w:val="hybridMultilevel"/>
    <w:lvl w:ilvl="0">
      <w:start w:val="1"/>
      <w:numFmt w:val="decimal"/>
      <w:lvlText w:val="（%1）"/>
      <w:lvlJc w:val="left"/>
      <w:pPr>
        <w:ind w:left="702" w:hanging="529"/>
        <w:jc w:val="left"/>
      </w:pPr>
      <w:rPr>
        <w:rFonts w:hint="default" w:ascii="仿宋" w:hAnsi="仿宋" w:eastAsia="仿宋" w:cs="仿宋"/>
        <w:b w:val="0"/>
        <w:bCs w:val="0"/>
        <w:i w:val="0"/>
        <w:iCs w:val="0"/>
        <w:spacing w:val="-27"/>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2" w:hanging="529"/>
      </w:pPr>
      <w:rPr>
        <w:rFonts w:hint="default"/>
        <w:lang w:val="en-US" w:eastAsia="zh-CN" w:bidi="ar-SA"/>
      </w:rPr>
    </w:lvl>
    <w:lvl w:ilvl="7">
      <w:start w:val="0"/>
      <w:numFmt w:val="bullet"/>
      <w:lvlText w:val="•"/>
      <w:lvlJc w:val="left"/>
      <w:pPr>
        <w:ind w:left="5276" w:hanging="529"/>
      </w:pPr>
      <w:rPr>
        <w:rFonts w:hint="default"/>
        <w:lang w:val="en-US" w:eastAsia="zh-CN" w:bidi="ar-SA"/>
      </w:rPr>
    </w:lvl>
    <w:lvl w:ilvl="8">
      <w:start w:val="0"/>
      <w:numFmt w:val="bullet"/>
      <w:lvlText w:val="•"/>
      <w:lvlJc w:val="left"/>
      <w:pPr>
        <w:ind w:left="5930" w:hanging="529"/>
      </w:pPr>
      <w:rPr>
        <w:rFonts w:hint="default"/>
        <w:lang w:val="en-US" w:eastAsia="zh-CN" w:bidi="ar-SA"/>
      </w:rPr>
    </w:lvl>
  </w:abstractNum>
  <w:abstractNum w:abstractNumId="38">
    <w:multiLevelType w:val="hybridMultilevel"/>
    <w:lvl w:ilvl="0">
      <w:start w:val="1"/>
      <w:numFmt w:val="decimal"/>
      <w:lvlText w:val="（%1）"/>
      <w:lvlJc w:val="left"/>
      <w:pPr>
        <w:ind w:left="700"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6" w:hanging="529"/>
      </w:pPr>
      <w:rPr>
        <w:rFonts w:hint="default"/>
        <w:lang w:val="en-US" w:eastAsia="zh-CN" w:bidi="ar-SA"/>
      </w:rPr>
    </w:lvl>
    <w:lvl w:ilvl="3">
      <w:start w:val="0"/>
      <w:numFmt w:val="bullet"/>
      <w:lvlText w:val="•"/>
      <w:lvlJc w:val="left"/>
      <w:pPr>
        <w:ind w:left="2659" w:hanging="529"/>
      </w:pPr>
      <w:rPr>
        <w:rFonts w:hint="default"/>
        <w:lang w:val="en-US" w:eastAsia="zh-CN" w:bidi="ar-SA"/>
      </w:rPr>
    </w:lvl>
    <w:lvl w:ilvl="4">
      <w:start w:val="0"/>
      <w:numFmt w:val="bullet"/>
      <w:lvlText w:val="•"/>
      <w:lvlJc w:val="left"/>
      <w:pPr>
        <w:ind w:left="3313" w:hanging="529"/>
      </w:pPr>
      <w:rPr>
        <w:rFonts w:hint="default"/>
        <w:lang w:val="en-US" w:eastAsia="zh-CN" w:bidi="ar-SA"/>
      </w:rPr>
    </w:lvl>
    <w:lvl w:ilvl="5">
      <w:start w:val="0"/>
      <w:numFmt w:val="bullet"/>
      <w:lvlText w:val="•"/>
      <w:lvlJc w:val="left"/>
      <w:pPr>
        <w:ind w:left="3966" w:hanging="529"/>
      </w:pPr>
      <w:rPr>
        <w:rFonts w:hint="default"/>
        <w:lang w:val="en-US" w:eastAsia="zh-CN" w:bidi="ar-SA"/>
      </w:rPr>
    </w:lvl>
    <w:lvl w:ilvl="6">
      <w:start w:val="0"/>
      <w:numFmt w:val="bullet"/>
      <w:lvlText w:val="•"/>
      <w:lvlJc w:val="left"/>
      <w:pPr>
        <w:ind w:left="4619" w:hanging="529"/>
      </w:pPr>
      <w:rPr>
        <w:rFonts w:hint="default"/>
        <w:lang w:val="en-US" w:eastAsia="zh-CN" w:bidi="ar-SA"/>
      </w:rPr>
    </w:lvl>
    <w:lvl w:ilvl="7">
      <w:start w:val="0"/>
      <w:numFmt w:val="bullet"/>
      <w:lvlText w:val="•"/>
      <w:lvlJc w:val="left"/>
      <w:pPr>
        <w:ind w:left="5273" w:hanging="529"/>
      </w:pPr>
      <w:rPr>
        <w:rFonts w:hint="default"/>
        <w:lang w:val="en-US" w:eastAsia="zh-CN" w:bidi="ar-SA"/>
      </w:rPr>
    </w:lvl>
    <w:lvl w:ilvl="8">
      <w:start w:val="0"/>
      <w:numFmt w:val="bullet"/>
      <w:lvlText w:val="•"/>
      <w:lvlJc w:val="left"/>
      <w:pPr>
        <w:ind w:left="5926" w:hanging="529"/>
      </w:pPr>
      <w:rPr>
        <w:rFonts w:hint="default"/>
        <w:lang w:val="en-US" w:eastAsia="zh-CN" w:bidi="ar-SA"/>
      </w:rPr>
    </w:lvl>
  </w:abstractNum>
  <w:abstractNum w:abstractNumId="37">
    <w:multiLevelType w:val="hybridMultilevel"/>
    <w:lvl w:ilvl="0">
      <w:start w:val="1"/>
      <w:numFmt w:val="decimal"/>
      <w:lvlText w:val="（%1）"/>
      <w:lvlJc w:val="left"/>
      <w:pPr>
        <w:ind w:left="706"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36">
    <w:multiLevelType w:val="hybridMultilevel"/>
    <w:lvl w:ilvl="0">
      <w:start w:val="1"/>
      <w:numFmt w:val="decimal"/>
      <w:lvlText w:val="（%1）"/>
      <w:lvlJc w:val="left"/>
      <w:pPr>
        <w:ind w:left="703" w:hanging="529"/>
        <w:jc w:val="left"/>
      </w:pPr>
      <w:rPr>
        <w:rFonts w:hint="default" w:ascii="仿宋" w:hAnsi="仿宋" w:eastAsia="仿宋" w:cs="仿宋"/>
        <w:b w:val="0"/>
        <w:bCs w:val="0"/>
        <w:i w:val="0"/>
        <w:iCs w:val="0"/>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35">
    <w:multiLevelType w:val="hybridMultilevel"/>
    <w:lvl w:ilvl="0">
      <w:start w:val="1"/>
      <w:numFmt w:val="decimal"/>
      <w:lvlText w:val="（%1）"/>
      <w:lvlJc w:val="left"/>
      <w:pPr>
        <w:ind w:left="706"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34">
    <w:multiLevelType w:val="hybridMultilevel"/>
    <w:lvl w:ilvl="0">
      <w:start w:val="1"/>
      <w:numFmt w:val="decimal"/>
      <w:lvlText w:val="（%1）"/>
      <w:lvlJc w:val="left"/>
      <w:pPr>
        <w:ind w:left="3334"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3992" w:hanging="529"/>
      </w:pPr>
      <w:rPr>
        <w:rFonts w:hint="default"/>
        <w:lang w:val="en-US" w:eastAsia="zh-CN" w:bidi="ar-SA"/>
      </w:rPr>
    </w:lvl>
    <w:lvl w:ilvl="2">
      <w:start w:val="0"/>
      <w:numFmt w:val="bullet"/>
      <w:lvlText w:val="•"/>
      <w:lvlJc w:val="left"/>
      <w:pPr>
        <w:ind w:left="4645" w:hanging="529"/>
      </w:pPr>
      <w:rPr>
        <w:rFonts w:hint="default"/>
        <w:lang w:val="en-US" w:eastAsia="zh-CN" w:bidi="ar-SA"/>
      </w:rPr>
    </w:lvl>
    <w:lvl w:ilvl="3">
      <w:start w:val="0"/>
      <w:numFmt w:val="bullet"/>
      <w:lvlText w:val="•"/>
      <w:lvlJc w:val="left"/>
      <w:pPr>
        <w:ind w:left="5297" w:hanging="529"/>
      </w:pPr>
      <w:rPr>
        <w:rFonts w:hint="default"/>
        <w:lang w:val="en-US" w:eastAsia="zh-CN" w:bidi="ar-SA"/>
      </w:rPr>
    </w:lvl>
    <w:lvl w:ilvl="4">
      <w:start w:val="0"/>
      <w:numFmt w:val="bullet"/>
      <w:lvlText w:val="•"/>
      <w:lvlJc w:val="left"/>
      <w:pPr>
        <w:ind w:left="5950" w:hanging="529"/>
      </w:pPr>
      <w:rPr>
        <w:rFonts w:hint="default"/>
        <w:lang w:val="en-US" w:eastAsia="zh-CN" w:bidi="ar-SA"/>
      </w:rPr>
    </w:lvl>
    <w:lvl w:ilvl="5">
      <w:start w:val="0"/>
      <w:numFmt w:val="bullet"/>
      <w:lvlText w:val="•"/>
      <w:lvlJc w:val="left"/>
      <w:pPr>
        <w:ind w:left="6603" w:hanging="529"/>
      </w:pPr>
      <w:rPr>
        <w:rFonts w:hint="default"/>
        <w:lang w:val="en-US" w:eastAsia="zh-CN" w:bidi="ar-SA"/>
      </w:rPr>
    </w:lvl>
    <w:lvl w:ilvl="6">
      <w:start w:val="0"/>
      <w:numFmt w:val="bullet"/>
      <w:lvlText w:val="•"/>
      <w:lvlJc w:val="left"/>
      <w:pPr>
        <w:ind w:left="7255" w:hanging="529"/>
      </w:pPr>
      <w:rPr>
        <w:rFonts w:hint="default"/>
        <w:lang w:val="en-US" w:eastAsia="zh-CN" w:bidi="ar-SA"/>
      </w:rPr>
    </w:lvl>
    <w:lvl w:ilvl="7">
      <w:start w:val="0"/>
      <w:numFmt w:val="bullet"/>
      <w:lvlText w:val="•"/>
      <w:lvlJc w:val="left"/>
      <w:pPr>
        <w:ind w:left="7908" w:hanging="529"/>
      </w:pPr>
      <w:rPr>
        <w:rFonts w:hint="default"/>
        <w:lang w:val="en-US" w:eastAsia="zh-CN" w:bidi="ar-SA"/>
      </w:rPr>
    </w:lvl>
    <w:lvl w:ilvl="8">
      <w:start w:val="0"/>
      <w:numFmt w:val="bullet"/>
      <w:lvlText w:val="•"/>
      <w:lvlJc w:val="left"/>
      <w:pPr>
        <w:ind w:left="8561" w:hanging="529"/>
      </w:pPr>
      <w:rPr>
        <w:rFonts w:hint="default"/>
        <w:lang w:val="en-US" w:eastAsia="zh-CN" w:bidi="ar-SA"/>
      </w:rPr>
    </w:lvl>
  </w:abstractNum>
  <w:abstractNum w:abstractNumId="33">
    <w:multiLevelType w:val="hybridMultilevel"/>
    <w:lvl w:ilvl="0">
      <w:start w:val="1"/>
      <w:numFmt w:val="decimal"/>
      <w:lvlText w:val="（%1）"/>
      <w:lvlJc w:val="left"/>
      <w:pPr>
        <w:ind w:left="703" w:hanging="529"/>
        <w:jc w:val="left"/>
      </w:pPr>
      <w:rPr>
        <w:rFonts w:hint="default" w:ascii="仿宋" w:hAnsi="仿宋" w:eastAsia="仿宋" w:cs="仿宋"/>
        <w:b w:val="0"/>
        <w:bCs w:val="0"/>
        <w:i w:val="0"/>
        <w:iCs w:val="0"/>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32">
    <w:multiLevelType w:val="hybridMultilevel"/>
    <w:lvl w:ilvl="0">
      <w:start w:val="14"/>
      <w:numFmt w:val="decimal"/>
      <w:lvlText w:val="%1"/>
      <w:lvlJc w:val="left"/>
      <w:pPr>
        <w:ind w:left="2805" w:hanging="958"/>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2）"/>
      <w:lvlJc w:val="left"/>
      <w:pPr>
        <w:ind w:left="3334" w:hanging="529"/>
        <w:jc w:val="left"/>
      </w:pPr>
      <w:rPr>
        <w:rFonts w:hint="default" w:ascii="仿宋" w:hAnsi="仿宋" w:eastAsia="仿宋" w:cs="仿宋"/>
        <w:b w:val="0"/>
        <w:bCs w:val="0"/>
        <w:i w:val="0"/>
        <w:iCs w:val="0"/>
        <w:spacing w:val="-3"/>
        <w:w w:val="100"/>
        <w:sz w:val="19"/>
        <w:szCs w:val="19"/>
        <w:lang w:val="en-US" w:eastAsia="zh-CN" w:bidi="ar-SA"/>
      </w:rPr>
    </w:lvl>
    <w:lvl w:ilvl="2">
      <w:start w:val="0"/>
      <w:numFmt w:val="bullet"/>
      <w:lvlText w:val="•"/>
      <w:lvlJc w:val="left"/>
      <w:pPr>
        <w:ind w:left="4065" w:hanging="529"/>
      </w:pPr>
      <w:rPr>
        <w:rFonts w:hint="default"/>
        <w:lang w:val="en-US" w:eastAsia="zh-CN" w:bidi="ar-SA"/>
      </w:rPr>
    </w:lvl>
    <w:lvl w:ilvl="3">
      <w:start w:val="0"/>
      <w:numFmt w:val="bullet"/>
      <w:lvlText w:val="•"/>
      <w:lvlJc w:val="left"/>
      <w:pPr>
        <w:ind w:left="4790" w:hanging="529"/>
      </w:pPr>
      <w:rPr>
        <w:rFonts w:hint="default"/>
        <w:lang w:val="en-US" w:eastAsia="zh-CN" w:bidi="ar-SA"/>
      </w:rPr>
    </w:lvl>
    <w:lvl w:ilvl="4">
      <w:start w:val="0"/>
      <w:numFmt w:val="bullet"/>
      <w:lvlText w:val="•"/>
      <w:lvlJc w:val="left"/>
      <w:pPr>
        <w:ind w:left="5515" w:hanging="529"/>
      </w:pPr>
      <w:rPr>
        <w:rFonts w:hint="default"/>
        <w:lang w:val="en-US" w:eastAsia="zh-CN" w:bidi="ar-SA"/>
      </w:rPr>
    </w:lvl>
    <w:lvl w:ilvl="5">
      <w:start w:val="0"/>
      <w:numFmt w:val="bullet"/>
      <w:lvlText w:val="•"/>
      <w:lvlJc w:val="left"/>
      <w:pPr>
        <w:ind w:left="6240" w:hanging="529"/>
      </w:pPr>
      <w:rPr>
        <w:rFonts w:hint="default"/>
        <w:lang w:val="en-US" w:eastAsia="zh-CN" w:bidi="ar-SA"/>
      </w:rPr>
    </w:lvl>
    <w:lvl w:ilvl="6">
      <w:start w:val="0"/>
      <w:numFmt w:val="bullet"/>
      <w:lvlText w:val="•"/>
      <w:lvlJc w:val="left"/>
      <w:pPr>
        <w:ind w:left="6965" w:hanging="529"/>
      </w:pPr>
      <w:rPr>
        <w:rFonts w:hint="default"/>
        <w:lang w:val="en-US" w:eastAsia="zh-CN" w:bidi="ar-SA"/>
      </w:rPr>
    </w:lvl>
    <w:lvl w:ilvl="7">
      <w:start w:val="0"/>
      <w:numFmt w:val="bullet"/>
      <w:lvlText w:val="•"/>
      <w:lvlJc w:val="left"/>
      <w:pPr>
        <w:ind w:left="7690" w:hanging="529"/>
      </w:pPr>
      <w:rPr>
        <w:rFonts w:hint="default"/>
        <w:lang w:val="en-US" w:eastAsia="zh-CN" w:bidi="ar-SA"/>
      </w:rPr>
    </w:lvl>
    <w:lvl w:ilvl="8">
      <w:start w:val="0"/>
      <w:numFmt w:val="bullet"/>
      <w:lvlText w:val="•"/>
      <w:lvlJc w:val="left"/>
      <w:pPr>
        <w:ind w:left="8416" w:hanging="529"/>
      </w:pPr>
      <w:rPr>
        <w:rFonts w:hint="default"/>
        <w:lang w:val="en-US" w:eastAsia="zh-CN" w:bidi="ar-SA"/>
      </w:rPr>
    </w:lvl>
  </w:abstractNum>
  <w:abstractNum w:abstractNumId="31">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2" w:hanging="529"/>
      </w:pPr>
      <w:rPr>
        <w:rFonts w:hint="default"/>
        <w:lang w:val="en-US" w:eastAsia="zh-CN" w:bidi="ar-SA"/>
      </w:rPr>
    </w:lvl>
    <w:lvl w:ilvl="5">
      <w:start w:val="0"/>
      <w:numFmt w:val="bullet"/>
      <w:lvlText w:val="•"/>
      <w:lvlJc w:val="left"/>
      <w:pPr>
        <w:ind w:left="3818" w:hanging="529"/>
      </w:pPr>
      <w:rPr>
        <w:rFonts w:hint="default"/>
        <w:lang w:val="en-US" w:eastAsia="zh-CN" w:bidi="ar-SA"/>
      </w:rPr>
    </w:lvl>
    <w:lvl w:ilvl="6">
      <w:start w:val="0"/>
      <w:numFmt w:val="bullet"/>
      <w:lvlText w:val="•"/>
      <w:lvlJc w:val="left"/>
      <w:pPr>
        <w:ind w:left="4454" w:hanging="529"/>
      </w:pPr>
      <w:rPr>
        <w:rFonts w:hint="default"/>
        <w:lang w:val="en-US" w:eastAsia="zh-CN" w:bidi="ar-SA"/>
      </w:rPr>
    </w:lvl>
    <w:lvl w:ilvl="7">
      <w:start w:val="0"/>
      <w:numFmt w:val="bullet"/>
      <w:lvlText w:val="•"/>
      <w:lvlJc w:val="left"/>
      <w:pPr>
        <w:ind w:left="5089" w:hanging="529"/>
      </w:pPr>
      <w:rPr>
        <w:rFonts w:hint="default"/>
        <w:lang w:val="en-US" w:eastAsia="zh-CN" w:bidi="ar-SA"/>
      </w:rPr>
    </w:lvl>
    <w:lvl w:ilvl="8">
      <w:start w:val="0"/>
      <w:numFmt w:val="bullet"/>
      <w:lvlText w:val="•"/>
      <w:lvlJc w:val="left"/>
      <w:pPr>
        <w:ind w:left="5725" w:hanging="529"/>
      </w:pPr>
      <w:rPr>
        <w:rFonts w:hint="default"/>
        <w:lang w:val="en-US" w:eastAsia="zh-CN" w:bidi="ar-SA"/>
      </w:rPr>
    </w:lvl>
  </w:abstractNum>
  <w:abstractNum w:abstractNumId="30">
    <w:multiLevelType w:val="hybridMultilevel"/>
    <w:lvl w:ilvl="0">
      <w:start w:val="3"/>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2" w:hanging="529"/>
      </w:pPr>
      <w:rPr>
        <w:rFonts w:hint="default"/>
        <w:lang w:val="en-US" w:eastAsia="zh-CN" w:bidi="ar-SA"/>
      </w:rPr>
    </w:lvl>
    <w:lvl w:ilvl="5">
      <w:start w:val="0"/>
      <w:numFmt w:val="bullet"/>
      <w:lvlText w:val="•"/>
      <w:lvlJc w:val="left"/>
      <w:pPr>
        <w:ind w:left="3818" w:hanging="529"/>
      </w:pPr>
      <w:rPr>
        <w:rFonts w:hint="default"/>
        <w:lang w:val="en-US" w:eastAsia="zh-CN" w:bidi="ar-SA"/>
      </w:rPr>
    </w:lvl>
    <w:lvl w:ilvl="6">
      <w:start w:val="0"/>
      <w:numFmt w:val="bullet"/>
      <w:lvlText w:val="•"/>
      <w:lvlJc w:val="left"/>
      <w:pPr>
        <w:ind w:left="4454" w:hanging="529"/>
      </w:pPr>
      <w:rPr>
        <w:rFonts w:hint="default"/>
        <w:lang w:val="en-US" w:eastAsia="zh-CN" w:bidi="ar-SA"/>
      </w:rPr>
    </w:lvl>
    <w:lvl w:ilvl="7">
      <w:start w:val="0"/>
      <w:numFmt w:val="bullet"/>
      <w:lvlText w:val="•"/>
      <w:lvlJc w:val="left"/>
      <w:pPr>
        <w:ind w:left="5089" w:hanging="529"/>
      </w:pPr>
      <w:rPr>
        <w:rFonts w:hint="default"/>
        <w:lang w:val="en-US" w:eastAsia="zh-CN" w:bidi="ar-SA"/>
      </w:rPr>
    </w:lvl>
    <w:lvl w:ilvl="8">
      <w:start w:val="0"/>
      <w:numFmt w:val="bullet"/>
      <w:lvlText w:val="•"/>
      <w:lvlJc w:val="left"/>
      <w:pPr>
        <w:ind w:left="5725" w:hanging="529"/>
      </w:pPr>
      <w:rPr>
        <w:rFonts w:hint="default"/>
        <w:lang w:val="en-US" w:eastAsia="zh-CN" w:bidi="ar-SA"/>
      </w:rPr>
    </w:lvl>
  </w:abstractNum>
  <w:abstractNum w:abstractNumId="29">
    <w:multiLevelType w:val="hybridMultilevel"/>
    <w:lvl w:ilvl="0">
      <w:start w:val="1"/>
      <w:numFmt w:val="decimal"/>
      <w:lvlText w:val="（%1）"/>
      <w:lvlJc w:val="left"/>
      <w:pPr>
        <w:ind w:left="638"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2" w:hanging="529"/>
      </w:pPr>
      <w:rPr>
        <w:rFonts w:hint="default"/>
        <w:lang w:val="en-US" w:eastAsia="zh-CN" w:bidi="ar-SA"/>
      </w:rPr>
    </w:lvl>
    <w:lvl w:ilvl="5">
      <w:start w:val="0"/>
      <w:numFmt w:val="bullet"/>
      <w:lvlText w:val="•"/>
      <w:lvlJc w:val="left"/>
      <w:pPr>
        <w:ind w:left="3818" w:hanging="529"/>
      </w:pPr>
      <w:rPr>
        <w:rFonts w:hint="default"/>
        <w:lang w:val="en-US" w:eastAsia="zh-CN" w:bidi="ar-SA"/>
      </w:rPr>
    </w:lvl>
    <w:lvl w:ilvl="6">
      <w:start w:val="0"/>
      <w:numFmt w:val="bullet"/>
      <w:lvlText w:val="•"/>
      <w:lvlJc w:val="left"/>
      <w:pPr>
        <w:ind w:left="4454" w:hanging="529"/>
      </w:pPr>
      <w:rPr>
        <w:rFonts w:hint="default"/>
        <w:lang w:val="en-US" w:eastAsia="zh-CN" w:bidi="ar-SA"/>
      </w:rPr>
    </w:lvl>
    <w:lvl w:ilvl="7">
      <w:start w:val="0"/>
      <w:numFmt w:val="bullet"/>
      <w:lvlText w:val="•"/>
      <w:lvlJc w:val="left"/>
      <w:pPr>
        <w:ind w:left="5089" w:hanging="529"/>
      </w:pPr>
      <w:rPr>
        <w:rFonts w:hint="default"/>
        <w:lang w:val="en-US" w:eastAsia="zh-CN" w:bidi="ar-SA"/>
      </w:rPr>
    </w:lvl>
    <w:lvl w:ilvl="8">
      <w:start w:val="0"/>
      <w:numFmt w:val="bullet"/>
      <w:lvlText w:val="•"/>
      <w:lvlJc w:val="left"/>
      <w:pPr>
        <w:ind w:left="5725" w:hanging="529"/>
      </w:pPr>
      <w:rPr>
        <w:rFonts w:hint="default"/>
        <w:lang w:val="en-US" w:eastAsia="zh-CN" w:bidi="ar-SA"/>
      </w:rPr>
    </w:lvl>
  </w:abstractNum>
  <w:abstractNum w:abstractNumId="28">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2" w:hanging="529"/>
      </w:pPr>
      <w:rPr>
        <w:rFonts w:hint="default"/>
        <w:lang w:val="en-US" w:eastAsia="zh-CN" w:bidi="ar-SA"/>
      </w:rPr>
    </w:lvl>
    <w:lvl w:ilvl="5">
      <w:start w:val="0"/>
      <w:numFmt w:val="bullet"/>
      <w:lvlText w:val="•"/>
      <w:lvlJc w:val="left"/>
      <w:pPr>
        <w:ind w:left="3818" w:hanging="529"/>
      </w:pPr>
      <w:rPr>
        <w:rFonts w:hint="default"/>
        <w:lang w:val="en-US" w:eastAsia="zh-CN" w:bidi="ar-SA"/>
      </w:rPr>
    </w:lvl>
    <w:lvl w:ilvl="6">
      <w:start w:val="0"/>
      <w:numFmt w:val="bullet"/>
      <w:lvlText w:val="•"/>
      <w:lvlJc w:val="left"/>
      <w:pPr>
        <w:ind w:left="4454" w:hanging="529"/>
      </w:pPr>
      <w:rPr>
        <w:rFonts w:hint="default"/>
        <w:lang w:val="en-US" w:eastAsia="zh-CN" w:bidi="ar-SA"/>
      </w:rPr>
    </w:lvl>
    <w:lvl w:ilvl="7">
      <w:start w:val="0"/>
      <w:numFmt w:val="bullet"/>
      <w:lvlText w:val="•"/>
      <w:lvlJc w:val="left"/>
      <w:pPr>
        <w:ind w:left="5089" w:hanging="529"/>
      </w:pPr>
      <w:rPr>
        <w:rFonts w:hint="default"/>
        <w:lang w:val="en-US" w:eastAsia="zh-CN" w:bidi="ar-SA"/>
      </w:rPr>
    </w:lvl>
    <w:lvl w:ilvl="8">
      <w:start w:val="0"/>
      <w:numFmt w:val="bullet"/>
      <w:lvlText w:val="•"/>
      <w:lvlJc w:val="left"/>
      <w:pPr>
        <w:ind w:left="5725" w:hanging="529"/>
      </w:pPr>
      <w:rPr>
        <w:rFonts w:hint="default"/>
        <w:lang w:val="en-US" w:eastAsia="zh-CN" w:bidi="ar-SA"/>
      </w:rPr>
    </w:lvl>
  </w:abstractNum>
  <w:abstractNum w:abstractNumId="27">
    <w:multiLevelType w:val="hybridMultilevel"/>
    <w:lvl w:ilvl="0">
      <w:start w:val="1"/>
      <w:numFmt w:val="decimal"/>
      <w:lvlText w:val="（%1）"/>
      <w:lvlJc w:val="left"/>
      <w:pPr>
        <w:ind w:left="638"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275" w:hanging="529"/>
      </w:pPr>
      <w:rPr>
        <w:rFonts w:hint="default"/>
        <w:lang w:val="en-US" w:eastAsia="zh-CN" w:bidi="ar-SA"/>
      </w:rPr>
    </w:lvl>
    <w:lvl w:ilvl="2">
      <w:start w:val="0"/>
      <w:numFmt w:val="bullet"/>
      <w:lvlText w:val="•"/>
      <w:lvlJc w:val="left"/>
      <w:pPr>
        <w:ind w:left="1911" w:hanging="529"/>
      </w:pPr>
      <w:rPr>
        <w:rFonts w:hint="default"/>
        <w:lang w:val="en-US" w:eastAsia="zh-CN" w:bidi="ar-SA"/>
      </w:rPr>
    </w:lvl>
    <w:lvl w:ilvl="3">
      <w:start w:val="0"/>
      <w:numFmt w:val="bullet"/>
      <w:lvlText w:val="•"/>
      <w:lvlJc w:val="left"/>
      <w:pPr>
        <w:ind w:left="2547" w:hanging="529"/>
      </w:pPr>
      <w:rPr>
        <w:rFonts w:hint="default"/>
        <w:lang w:val="en-US" w:eastAsia="zh-CN" w:bidi="ar-SA"/>
      </w:rPr>
    </w:lvl>
    <w:lvl w:ilvl="4">
      <w:start w:val="0"/>
      <w:numFmt w:val="bullet"/>
      <w:lvlText w:val="•"/>
      <w:lvlJc w:val="left"/>
      <w:pPr>
        <w:ind w:left="3182" w:hanging="529"/>
      </w:pPr>
      <w:rPr>
        <w:rFonts w:hint="default"/>
        <w:lang w:val="en-US" w:eastAsia="zh-CN" w:bidi="ar-SA"/>
      </w:rPr>
    </w:lvl>
    <w:lvl w:ilvl="5">
      <w:start w:val="0"/>
      <w:numFmt w:val="bullet"/>
      <w:lvlText w:val="•"/>
      <w:lvlJc w:val="left"/>
      <w:pPr>
        <w:ind w:left="3818" w:hanging="529"/>
      </w:pPr>
      <w:rPr>
        <w:rFonts w:hint="default"/>
        <w:lang w:val="en-US" w:eastAsia="zh-CN" w:bidi="ar-SA"/>
      </w:rPr>
    </w:lvl>
    <w:lvl w:ilvl="6">
      <w:start w:val="0"/>
      <w:numFmt w:val="bullet"/>
      <w:lvlText w:val="•"/>
      <w:lvlJc w:val="left"/>
      <w:pPr>
        <w:ind w:left="4454" w:hanging="529"/>
      </w:pPr>
      <w:rPr>
        <w:rFonts w:hint="default"/>
        <w:lang w:val="en-US" w:eastAsia="zh-CN" w:bidi="ar-SA"/>
      </w:rPr>
    </w:lvl>
    <w:lvl w:ilvl="7">
      <w:start w:val="0"/>
      <w:numFmt w:val="bullet"/>
      <w:lvlText w:val="•"/>
      <w:lvlJc w:val="left"/>
      <w:pPr>
        <w:ind w:left="5089" w:hanging="529"/>
      </w:pPr>
      <w:rPr>
        <w:rFonts w:hint="default"/>
        <w:lang w:val="en-US" w:eastAsia="zh-CN" w:bidi="ar-SA"/>
      </w:rPr>
    </w:lvl>
    <w:lvl w:ilvl="8">
      <w:start w:val="0"/>
      <w:numFmt w:val="bullet"/>
      <w:lvlText w:val="•"/>
      <w:lvlJc w:val="left"/>
      <w:pPr>
        <w:ind w:left="5725" w:hanging="529"/>
      </w:pPr>
      <w:rPr>
        <w:rFonts w:hint="default"/>
        <w:lang w:val="en-US" w:eastAsia="zh-CN" w:bidi="ar-SA"/>
      </w:rPr>
    </w:lvl>
  </w:abstractNum>
  <w:abstractNum w:abstractNumId="26">
    <w:multiLevelType w:val="hybridMultilevel"/>
    <w:lvl w:ilvl="0">
      <w:start w:val="1"/>
      <w:numFmt w:val="decimal"/>
      <w:lvlText w:val="（%1）"/>
      <w:lvlJc w:val="left"/>
      <w:pPr>
        <w:ind w:left="706" w:hanging="529"/>
        <w:jc w:val="righ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53" w:hanging="529"/>
      </w:pPr>
      <w:rPr>
        <w:rFonts w:hint="default"/>
        <w:lang w:val="en-US" w:eastAsia="zh-CN" w:bidi="ar-SA"/>
      </w:rPr>
    </w:lvl>
    <w:lvl w:ilvl="2">
      <w:start w:val="0"/>
      <w:numFmt w:val="bullet"/>
      <w:lvlText w:val="•"/>
      <w:lvlJc w:val="left"/>
      <w:pPr>
        <w:ind w:left="2007" w:hanging="529"/>
      </w:pPr>
      <w:rPr>
        <w:rFonts w:hint="default"/>
        <w:lang w:val="en-US" w:eastAsia="zh-CN" w:bidi="ar-SA"/>
      </w:rPr>
    </w:lvl>
    <w:lvl w:ilvl="3">
      <w:start w:val="0"/>
      <w:numFmt w:val="bullet"/>
      <w:lvlText w:val="•"/>
      <w:lvlJc w:val="left"/>
      <w:pPr>
        <w:ind w:left="2661" w:hanging="529"/>
      </w:pPr>
      <w:rPr>
        <w:rFonts w:hint="default"/>
        <w:lang w:val="en-US" w:eastAsia="zh-CN" w:bidi="ar-SA"/>
      </w:rPr>
    </w:lvl>
    <w:lvl w:ilvl="4">
      <w:start w:val="0"/>
      <w:numFmt w:val="bullet"/>
      <w:lvlText w:val="•"/>
      <w:lvlJc w:val="left"/>
      <w:pPr>
        <w:ind w:left="3315" w:hanging="529"/>
      </w:pPr>
      <w:rPr>
        <w:rFonts w:hint="default"/>
        <w:lang w:val="en-US" w:eastAsia="zh-CN" w:bidi="ar-SA"/>
      </w:rPr>
    </w:lvl>
    <w:lvl w:ilvl="5">
      <w:start w:val="0"/>
      <w:numFmt w:val="bullet"/>
      <w:lvlText w:val="•"/>
      <w:lvlJc w:val="left"/>
      <w:pPr>
        <w:ind w:left="3969" w:hanging="529"/>
      </w:pPr>
      <w:rPr>
        <w:rFonts w:hint="default"/>
        <w:lang w:val="en-US" w:eastAsia="zh-CN" w:bidi="ar-SA"/>
      </w:rPr>
    </w:lvl>
    <w:lvl w:ilvl="6">
      <w:start w:val="0"/>
      <w:numFmt w:val="bullet"/>
      <w:lvlText w:val="•"/>
      <w:lvlJc w:val="left"/>
      <w:pPr>
        <w:ind w:left="4623" w:hanging="529"/>
      </w:pPr>
      <w:rPr>
        <w:rFonts w:hint="default"/>
        <w:lang w:val="en-US" w:eastAsia="zh-CN" w:bidi="ar-SA"/>
      </w:rPr>
    </w:lvl>
    <w:lvl w:ilvl="7">
      <w:start w:val="0"/>
      <w:numFmt w:val="bullet"/>
      <w:lvlText w:val="•"/>
      <w:lvlJc w:val="left"/>
      <w:pPr>
        <w:ind w:left="5277" w:hanging="529"/>
      </w:pPr>
      <w:rPr>
        <w:rFonts w:hint="default"/>
        <w:lang w:val="en-US" w:eastAsia="zh-CN" w:bidi="ar-SA"/>
      </w:rPr>
    </w:lvl>
    <w:lvl w:ilvl="8">
      <w:start w:val="0"/>
      <w:numFmt w:val="bullet"/>
      <w:lvlText w:val="•"/>
      <w:lvlJc w:val="left"/>
      <w:pPr>
        <w:ind w:left="5931" w:hanging="529"/>
      </w:pPr>
      <w:rPr>
        <w:rFonts w:hint="default"/>
        <w:lang w:val="en-US" w:eastAsia="zh-CN" w:bidi="ar-SA"/>
      </w:rPr>
    </w:lvl>
  </w:abstractNum>
  <w:abstractNum w:abstractNumId="25">
    <w:multiLevelType w:val="hybridMultilevel"/>
    <w:lvl w:ilvl="0">
      <w:start w:val="1"/>
      <w:numFmt w:val="decimal"/>
      <w:lvlText w:val="（%1）"/>
      <w:lvlJc w:val="left"/>
      <w:pPr>
        <w:ind w:left="706" w:hanging="529"/>
        <w:jc w:val="left"/>
      </w:pPr>
      <w:rPr>
        <w:rFonts w:hint="default" w:ascii="仿宋" w:hAnsi="仿宋" w:eastAsia="仿宋" w:cs="仿宋"/>
        <w:b w:val="0"/>
        <w:bCs w:val="0"/>
        <w:i w:val="0"/>
        <w:iCs w:val="0"/>
        <w:spacing w:val="-3"/>
        <w:w w:val="100"/>
        <w:sz w:val="19"/>
        <w:szCs w:val="19"/>
        <w:lang w:val="en-US" w:eastAsia="zh-CN" w:bidi="ar-SA"/>
      </w:rPr>
    </w:lvl>
    <w:lvl w:ilvl="1">
      <w:start w:val="2"/>
      <w:numFmt w:val="decimal"/>
      <w:lvlText w:val="（%2）"/>
      <w:lvlJc w:val="left"/>
      <w:pPr>
        <w:ind w:left="3330" w:hanging="529"/>
        <w:jc w:val="left"/>
      </w:pPr>
      <w:rPr>
        <w:rFonts w:hint="default" w:ascii="仿宋" w:hAnsi="仿宋" w:eastAsia="仿宋" w:cs="仿宋"/>
        <w:b w:val="0"/>
        <w:bCs w:val="0"/>
        <w:i w:val="0"/>
        <w:iCs w:val="0"/>
        <w:spacing w:val="-3"/>
        <w:w w:val="100"/>
        <w:sz w:val="19"/>
        <w:szCs w:val="19"/>
        <w:lang w:val="en-US" w:eastAsia="zh-CN" w:bidi="ar-SA"/>
      </w:rPr>
    </w:lvl>
    <w:lvl w:ilvl="2">
      <w:start w:val="0"/>
      <w:numFmt w:val="bullet"/>
      <w:lvlText w:val="•"/>
      <w:lvlJc w:val="left"/>
      <w:pPr>
        <w:ind w:left="3773" w:hanging="529"/>
      </w:pPr>
      <w:rPr>
        <w:rFonts w:hint="default"/>
        <w:lang w:val="en-US" w:eastAsia="zh-CN" w:bidi="ar-SA"/>
      </w:rPr>
    </w:lvl>
    <w:lvl w:ilvl="3">
      <w:start w:val="0"/>
      <w:numFmt w:val="bullet"/>
      <w:lvlText w:val="•"/>
      <w:lvlJc w:val="left"/>
      <w:pPr>
        <w:ind w:left="4206" w:hanging="529"/>
      </w:pPr>
      <w:rPr>
        <w:rFonts w:hint="default"/>
        <w:lang w:val="en-US" w:eastAsia="zh-CN" w:bidi="ar-SA"/>
      </w:rPr>
    </w:lvl>
    <w:lvl w:ilvl="4">
      <w:start w:val="0"/>
      <w:numFmt w:val="bullet"/>
      <w:lvlText w:val="•"/>
      <w:lvlJc w:val="left"/>
      <w:pPr>
        <w:ind w:left="4639" w:hanging="529"/>
      </w:pPr>
      <w:rPr>
        <w:rFonts w:hint="default"/>
        <w:lang w:val="en-US" w:eastAsia="zh-CN" w:bidi="ar-SA"/>
      </w:rPr>
    </w:lvl>
    <w:lvl w:ilvl="5">
      <w:start w:val="0"/>
      <w:numFmt w:val="bullet"/>
      <w:lvlText w:val="•"/>
      <w:lvlJc w:val="left"/>
      <w:pPr>
        <w:ind w:left="5072" w:hanging="529"/>
      </w:pPr>
      <w:rPr>
        <w:rFonts w:hint="default"/>
        <w:lang w:val="en-US" w:eastAsia="zh-CN" w:bidi="ar-SA"/>
      </w:rPr>
    </w:lvl>
    <w:lvl w:ilvl="6">
      <w:start w:val="0"/>
      <w:numFmt w:val="bullet"/>
      <w:lvlText w:val="•"/>
      <w:lvlJc w:val="left"/>
      <w:pPr>
        <w:ind w:left="5506" w:hanging="529"/>
      </w:pPr>
      <w:rPr>
        <w:rFonts w:hint="default"/>
        <w:lang w:val="en-US" w:eastAsia="zh-CN" w:bidi="ar-SA"/>
      </w:rPr>
    </w:lvl>
    <w:lvl w:ilvl="7">
      <w:start w:val="0"/>
      <w:numFmt w:val="bullet"/>
      <w:lvlText w:val="•"/>
      <w:lvlJc w:val="left"/>
      <w:pPr>
        <w:ind w:left="5939" w:hanging="529"/>
      </w:pPr>
      <w:rPr>
        <w:rFonts w:hint="default"/>
        <w:lang w:val="en-US" w:eastAsia="zh-CN" w:bidi="ar-SA"/>
      </w:rPr>
    </w:lvl>
    <w:lvl w:ilvl="8">
      <w:start w:val="0"/>
      <w:numFmt w:val="bullet"/>
      <w:lvlText w:val="•"/>
      <w:lvlJc w:val="left"/>
      <w:pPr>
        <w:ind w:left="6372" w:hanging="529"/>
      </w:pPr>
      <w:rPr>
        <w:rFonts w:hint="default"/>
        <w:lang w:val="en-US" w:eastAsia="zh-CN" w:bidi="ar-SA"/>
      </w:rPr>
    </w:lvl>
  </w:abstractNum>
  <w:abstractNum w:abstractNumId="24">
    <w:multiLevelType w:val="hybridMultilevel"/>
    <w:lvl w:ilvl="0">
      <w:start w:val="1"/>
      <w:numFmt w:val="decimal"/>
      <w:lvlText w:val="（%1）"/>
      <w:lvlJc w:val="left"/>
      <w:pPr>
        <w:ind w:left="680" w:hanging="529"/>
        <w:jc w:val="left"/>
      </w:pPr>
      <w:rPr>
        <w:rFonts w:hint="default" w:ascii="微软雅黑" w:hAnsi="微软雅黑" w:eastAsia="微软雅黑" w:cs="微软雅黑"/>
        <w:b/>
        <w:bCs/>
        <w:i w:val="0"/>
        <w:iCs w:val="0"/>
        <w:spacing w:val="-39"/>
        <w:w w:val="81"/>
        <w:sz w:val="19"/>
        <w:szCs w:val="19"/>
        <w:lang w:val="en-US" w:eastAsia="zh-CN" w:bidi="ar-SA"/>
      </w:rPr>
    </w:lvl>
    <w:lvl w:ilvl="1">
      <w:start w:val="1"/>
      <w:numFmt w:val="lowerLetter"/>
      <w:lvlText w:val="%2."/>
      <w:lvlJc w:val="left"/>
      <w:pPr>
        <w:ind w:left="678" w:hanging="317"/>
        <w:jc w:val="left"/>
      </w:pPr>
      <w:rPr>
        <w:rFonts w:hint="default" w:ascii="微软雅黑" w:hAnsi="微软雅黑" w:eastAsia="微软雅黑" w:cs="微软雅黑"/>
        <w:b/>
        <w:bCs/>
        <w:i w:val="0"/>
        <w:iCs w:val="0"/>
        <w:w w:val="116"/>
        <w:sz w:val="21"/>
        <w:szCs w:val="21"/>
        <w:lang w:val="en-US" w:eastAsia="zh-CN" w:bidi="ar-SA"/>
      </w:rPr>
    </w:lvl>
    <w:lvl w:ilvl="2">
      <w:start w:val="0"/>
      <w:numFmt w:val="bullet"/>
      <w:lvlText w:val="•"/>
      <w:lvlJc w:val="left"/>
      <w:pPr>
        <w:ind w:left="1986" w:hanging="317"/>
      </w:pPr>
      <w:rPr>
        <w:rFonts w:hint="default"/>
        <w:lang w:val="en-US" w:eastAsia="zh-CN" w:bidi="ar-SA"/>
      </w:rPr>
    </w:lvl>
    <w:lvl w:ilvl="3">
      <w:start w:val="0"/>
      <w:numFmt w:val="bullet"/>
      <w:lvlText w:val="•"/>
      <w:lvlJc w:val="left"/>
      <w:pPr>
        <w:ind w:left="2640" w:hanging="317"/>
      </w:pPr>
      <w:rPr>
        <w:rFonts w:hint="default"/>
        <w:lang w:val="en-US" w:eastAsia="zh-CN" w:bidi="ar-SA"/>
      </w:rPr>
    </w:lvl>
    <w:lvl w:ilvl="4">
      <w:start w:val="0"/>
      <w:numFmt w:val="bullet"/>
      <w:lvlText w:val="•"/>
      <w:lvlJc w:val="left"/>
      <w:pPr>
        <w:ind w:left="3293" w:hanging="317"/>
      </w:pPr>
      <w:rPr>
        <w:rFonts w:hint="default"/>
        <w:lang w:val="en-US" w:eastAsia="zh-CN" w:bidi="ar-SA"/>
      </w:rPr>
    </w:lvl>
    <w:lvl w:ilvl="5">
      <w:start w:val="0"/>
      <w:numFmt w:val="bullet"/>
      <w:lvlText w:val="•"/>
      <w:lvlJc w:val="left"/>
      <w:pPr>
        <w:ind w:left="3947" w:hanging="317"/>
      </w:pPr>
      <w:rPr>
        <w:rFonts w:hint="default"/>
        <w:lang w:val="en-US" w:eastAsia="zh-CN" w:bidi="ar-SA"/>
      </w:rPr>
    </w:lvl>
    <w:lvl w:ilvl="6">
      <w:start w:val="0"/>
      <w:numFmt w:val="bullet"/>
      <w:lvlText w:val="•"/>
      <w:lvlJc w:val="left"/>
      <w:pPr>
        <w:ind w:left="4600" w:hanging="317"/>
      </w:pPr>
      <w:rPr>
        <w:rFonts w:hint="default"/>
        <w:lang w:val="en-US" w:eastAsia="zh-CN" w:bidi="ar-SA"/>
      </w:rPr>
    </w:lvl>
    <w:lvl w:ilvl="7">
      <w:start w:val="0"/>
      <w:numFmt w:val="bullet"/>
      <w:lvlText w:val="•"/>
      <w:lvlJc w:val="left"/>
      <w:pPr>
        <w:ind w:left="5253" w:hanging="317"/>
      </w:pPr>
      <w:rPr>
        <w:rFonts w:hint="default"/>
        <w:lang w:val="en-US" w:eastAsia="zh-CN" w:bidi="ar-SA"/>
      </w:rPr>
    </w:lvl>
    <w:lvl w:ilvl="8">
      <w:start w:val="0"/>
      <w:numFmt w:val="bullet"/>
      <w:lvlText w:val="•"/>
      <w:lvlJc w:val="left"/>
      <w:pPr>
        <w:ind w:left="5907" w:hanging="317"/>
      </w:pPr>
      <w:rPr>
        <w:rFonts w:hint="default"/>
        <w:lang w:val="en-US" w:eastAsia="zh-CN" w:bidi="ar-SA"/>
      </w:rPr>
    </w:lvl>
  </w:abstractNum>
  <w:abstractNum w:abstractNumId="23">
    <w:multiLevelType w:val="hybridMultilevel"/>
    <w:lvl w:ilvl="0">
      <w:start w:val="1"/>
      <w:numFmt w:val="decimal"/>
      <w:lvlText w:val="%1"/>
      <w:lvlJc w:val="left"/>
      <w:pPr>
        <w:ind w:left="1210" w:hanging="958"/>
        <w:jc w:val="left"/>
      </w:pPr>
      <w:rPr>
        <w:rFonts w:hint="default" w:ascii="微软雅黑" w:hAnsi="微软雅黑" w:eastAsia="微软雅黑" w:cs="微软雅黑"/>
        <w:b/>
        <w:bCs/>
        <w:i w:val="0"/>
        <w:iCs w:val="0"/>
        <w:w w:val="81"/>
        <w:sz w:val="21"/>
        <w:szCs w:val="21"/>
        <w:lang w:val="en-US" w:eastAsia="zh-CN" w:bidi="ar-SA"/>
      </w:rPr>
    </w:lvl>
    <w:lvl w:ilvl="1">
      <w:start w:val="0"/>
      <w:numFmt w:val="decimal"/>
      <w:lvlText w:val="%2"/>
      <w:lvlJc w:val="left"/>
      <w:pPr>
        <w:ind w:left="510" w:hanging="159"/>
        <w:jc w:val="left"/>
      </w:pPr>
      <w:rPr>
        <w:rFonts w:hint="default" w:ascii="仿宋" w:hAnsi="仿宋" w:eastAsia="仿宋" w:cs="仿宋"/>
        <w:b w:val="0"/>
        <w:bCs w:val="0"/>
        <w:i w:val="0"/>
        <w:iCs w:val="0"/>
        <w:w w:val="100"/>
        <w:sz w:val="21"/>
        <w:szCs w:val="21"/>
        <w:lang w:val="en-US" w:eastAsia="zh-CN" w:bidi="ar-SA"/>
      </w:rPr>
    </w:lvl>
    <w:lvl w:ilvl="2">
      <w:start w:val="0"/>
      <w:numFmt w:val="bullet"/>
      <w:lvlText w:val="•"/>
      <w:lvlJc w:val="left"/>
      <w:pPr>
        <w:ind w:left="1374" w:hanging="159"/>
      </w:pPr>
      <w:rPr>
        <w:rFonts w:hint="default"/>
        <w:lang w:val="en-US" w:eastAsia="zh-CN" w:bidi="ar-SA"/>
      </w:rPr>
    </w:lvl>
    <w:lvl w:ilvl="3">
      <w:start w:val="0"/>
      <w:numFmt w:val="bullet"/>
      <w:lvlText w:val="•"/>
      <w:lvlJc w:val="left"/>
      <w:pPr>
        <w:ind w:left="1529" w:hanging="159"/>
      </w:pPr>
      <w:rPr>
        <w:rFonts w:hint="default"/>
        <w:lang w:val="en-US" w:eastAsia="zh-CN" w:bidi="ar-SA"/>
      </w:rPr>
    </w:lvl>
    <w:lvl w:ilvl="4">
      <w:start w:val="0"/>
      <w:numFmt w:val="bullet"/>
      <w:lvlText w:val="•"/>
      <w:lvlJc w:val="left"/>
      <w:pPr>
        <w:ind w:left="1684" w:hanging="159"/>
      </w:pPr>
      <w:rPr>
        <w:rFonts w:hint="default"/>
        <w:lang w:val="en-US" w:eastAsia="zh-CN" w:bidi="ar-SA"/>
      </w:rPr>
    </w:lvl>
    <w:lvl w:ilvl="5">
      <w:start w:val="0"/>
      <w:numFmt w:val="bullet"/>
      <w:lvlText w:val="•"/>
      <w:lvlJc w:val="left"/>
      <w:pPr>
        <w:ind w:left="1838" w:hanging="159"/>
      </w:pPr>
      <w:rPr>
        <w:rFonts w:hint="default"/>
        <w:lang w:val="en-US" w:eastAsia="zh-CN" w:bidi="ar-SA"/>
      </w:rPr>
    </w:lvl>
    <w:lvl w:ilvl="6">
      <w:start w:val="0"/>
      <w:numFmt w:val="bullet"/>
      <w:lvlText w:val="•"/>
      <w:lvlJc w:val="left"/>
      <w:pPr>
        <w:ind w:left="1993" w:hanging="159"/>
      </w:pPr>
      <w:rPr>
        <w:rFonts w:hint="default"/>
        <w:lang w:val="en-US" w:eastAsia="zh-CN" w:bidi="ar-SA"/>
      </w:rPr>
    </w:lvl>
    <w:lvl w:ilvl="7">
      <w:start w:val="0"/>
      <w:numFmt w:val="bullet"/>
      <w:lvlText w:val="•"/>
      <w:lvlJc w:val="left"/>
      <w:pPr>
        <w:ind w:left="2148" w:hanging="159"/>
      </w:pPr>
      <w:rPr>
        <w:rFonts w:hint="default"/>
        <w:lang w:val="en-US" w:eastAsia="zh-CN" w:bidi="ar-SA"/>
      </w:rPr>
    </w:lvl>
    <w:lvl w:ilvl="8">
      <w:start w:val="0"/>
      <w:numFmt w:val="bullet"/>
      <w:lvlText w:val="•"/>
      <w:lvlJc w:val="left"/>
      <w:pPr>
        <w:ind w:left="2302" w:hanging="159"/>
      </w:pPr>
      <w:rPr>
        <w:rFonts w:hint="default"/>
        <w:lang w:val="en-US" w:eastAsia="zh-CN" w:bidi="ar-SA"/>
      </w:rPr>
    </w:lvl>
  </w:abstractNum>
  <w:abstractNum w:abstractNumId="22">
    <w:multiLevelType w:val="hybridMultilevel"/>
    <w:lvl w:ilvl="0">
      <w:start w:val="1"/>
      <w:numFmt w:val="decimal"/>
      <w:lvlText w:val="（%1）"/>
      <w:lvlJc w:val="left"/>
      <w:pPr>
        <w:ind w:left="253" w:hanging="529"/>
        <w:jc w:val="left"/>
      </w:pPr>
      <w:rPr>
        <w:rFonts w:hint="default"/>
        <w:w w:val="81"/>
        <w:lang w:val="en-US" w:eastAsia="zh-CN" w:bidi="ar-SA"/>
      </w:rPr>
    </w:lvl>
    <w:lvl w:ilvl="1">
      <w:start w:val="0"/>
      <w:numFmt w:val="bullet"/>
      <w:lvlText w:val="•"/>
      <w:lvlJc w:val="left"/>
      <w:pPr>
        <w:ind w:left="965" w:hanging="529"/>
      </w:pPr>
      <w:rPr>
        <w:rFonts w:hint="default"/>
        <w:lang w:val="en-US" w:eastAsia="zh-CN" w:bidi="ar-SA"/>
      </w:rPr>
    </w:lvl>
    <w:lvl w:ilvl="2">
      <w:start w:val="0"/>
      <w:numFmt w:val="bullet"/>
      <w:lvlText w:val="•"/>
      <w:lvlJc w:val="left"/>
      <w:pPr>
        <w:ind w:left="1670" w:hanging="529"/>
      </w:pPr>
      <w:rPr>
        <w:rFonts w:hint="default"/>
        <w:lang w:val="en-US" w:eastAsia="zh-CN" w:bidi="ar-SA"/>
      </w:rPr>
    </w:lvl>
    <w:lvl w:ilvl="3">
      <w:start w:val="0"/>
      <w:numFmt w:val="bullet"/>
      <w:lvlText w:val="•"/>
      <w:lvlJc w:val="left"/>
      <w:pPr>
        <w:ind w:left="2376" w:hanging="529"/>
      </w:pPr>
      <w:rPr>
        <w:rFonts w:hint="default"/>
        <w:lang w:val="en-US" w:eastAsia="zh-CN" w:bidi="ar-SA"/>
      </w:rPr>
    </w:lvl>
    <w:lvl w:ilvl="4">
      <w:start w:val="0"/>
      <w:numFmt w:val="bullet"/>
      <w:lvlText w:val="•"/>
      <w:lvlJc w:val="left"/>
      <w:pPr>
        <w:ind w:left="3081" w:hanging="529"/>
      </w:pPr>
      <w:rPr>
        <w:rFonts w:hint="default"/>
        <w:lang w:val="en-US" w:eastAsia="zh-CN" w:bidi="ar-SA"/>
      </w:rPr>
    </w:lvl>
    <w:lvl w:ilvl="5">
      <w:start w:val="0"/>
      <w:numFmt w:val="bullet"/>
      <w:lvlText w:val="•"/>
      <w:lvlJc w:val="left"/>
      <w:pPr>
        <w:ind w:left="3787" w:hanging="529"/>
      </w:pPr>
      <w:rPr>
        <w:rFonts w:hint="default"/>
        <w:lang w:val="en-US" w:eastAsia="zh-CN" w:bidi="ar-SA"/>
      </w:rPr>
    </w:lvl>
    <w:lvl w:ilvl="6">
      <w:start w:val="0"/>
      <w:numFmt w:val="bullet"/>
      <w:lvlText w:val="•"/>
      <w:lvlJc w:val="left"/>
      <w:pPr>
        <w:ind w:left="4492" w:hanging="529"/>
      </w:pPr>
      <w:rPr>
        <w:rFonts w:hint="default"/>
        <w:lang w:val="en-US" w:eastAsia="zh-CN" w:bidi="ar-SA"/>
      </w:rPr>
    </w:lvl>
    <w:lvl w:ilvl="7">
      <w:start w:val="0"/>
      <w:numFmt w:val="bullet"/>
      <w:lvlText w:val="•"/>
      <w:lvlJc w:val="left"/>
      <w:pPr>
        <w:ind w:left="5198" w:hanging="529"/>
      </w:pPr>
      <w:rPr>
        <w:rFonts w:hint="default"/>
        <w:lang w:val="en-US" w:eastAsia="zh-CN" w:bidi="ar-SA"/>
      </w:rPr>
    </w:lvl>
    <w:lvl w:ilvl="8">
      <w:start w:val="0"/>
      <w:numFmt w:val="bullet"/>
      <w:lvlText w:val="•"/>
      <w:lvlJc w:val="left"/>
      <w:pPr>
        <w:ind w:left="5903" w:hanging="529"/>
      </w:pPr>
      <w:rPr>
        <w:rFonts w:hint="default"/>
        <w:lang w:val="en-US" w:eastAsia="zh-CN" w:bidi="ar-SA"/>
      </w:rPr>
    </w:lvl>
  </w:abstractNum>
  <w:abstractNum w:abstractNumId="21">
    <w:multiLevelType w:val="hybridMultilevel"/>
    <w:lvl w:ilvl="0">
      <w:start w:val="6"/>
      <w:numFmt w:val="decimal"/>
      <w:lvlText w:val="%1"/>
      <w:lvlJc w:val="left"/>
      <w:pPr>
        <w:ind w:left="1210" w:hanging="958"/>
        <w:jc w:val="left"/>
      </w:pPr>
      <w:rPr>
        <w:rFonts w:hint="default"/>
        <w:lang w:val="en-US" w:eastAsia="zh-CN" w:bidi="ar-SA"/>
      </w:rPr>
    </w:lvl>
    <w:lvl w:ilvl="1">
      <w:start w:val="1"/>
      <w:numFmt w:val="decimal"/>
      <w:lvlText w:val="%1.%2"/>
      <w:lvlJc w:val="left"/>
      <w:pPr>
        <w:ind w:left="1210" w:hanging="958"/>
        <w:jc w:val="left"/>
      </w:pPr>
      <w:rPr>
        <w:rFonts w:hint="default" w:ascii="微软雅黑" w:hAnsi="微软雅黑" w:eastAsia="微软雅黑" w:cs="微软雅黑"/>
        <w:b/>
        <w:bCs/>
        <w:i w:val="0"/>
        <w:iCs w:val="0"/>
        <w:w w:val="81"/>
        <w:sz w:val="21"/>
        <w:szCs w:val="21"/>
        <w:lang w:val="en-US" w:eastAsia="zh-CN" w:bidi="ar-SA"/>
      </w:rPr>
    </w:lvl>
    <w:lvl w:ilvl="2">
      <w:start w:val="1"/>
      <w:numFmt w:val="decimal"/>
      <w:lvlText w:val="（%3）"/>
      <w:lvlJc w:val="left"/>
      <w:pPr>
        <w:ind w:left="3334" w:hanging="529"/>
        <w:jc w:val="left"/>
      </w:pPr>
      <w:rPr>
        <w:rFonts w:hint="default" w:ascii="仿宋" w:hAnsi="仿宋" w:eastAsia="仿宋" w:cs="仿宋"/>
        <w:b w:val="0"/>
        <w:bCs w:val="0"/>
        <w:i w:val="0"/>
        <w:iCs w:val="0"/>
        <w:spacing w:val="-3"/>
        <w:w w:val="100"/>
        <w:sz w:val="19"/>
        <w:szCs w:val="19"/>
        <w:lang w:val="en-US" w:eastAsia="zh-CN" w:bidi="ar-SA"/>
      </w:rPr>
    </w:lvl>
    <w:lvl w:ilvl="3">
      <w:start w:val="0"/>
      <w:numFmt w:val="bullet"/>
      <w:lvlText w:val="•"/>
      <w:lvlJc w:val="left"/>
      <w:pPr>
        <w:ind w:left="4790" w:hanging="529"/>
      </w:pPr>
      <w:rPr>
        <w:rFonts w:hint="default"/>
        <w:lang w:val="en-US" w:eastAsia="zh-CN" w:bidi="ar-SA"/>
      </w:rPr>
    </w:lvl>
    <w:lvl w:ilvl="4">
      <w:start w:val="0"/>
      <w:numFmt w:val="bullet"/>
      <w:lvlText w:val="•"/>
      <w:lvlJc w:val="left"/>
      <w:pPr>
        <w:ind w:left="5515" w:hanging="529"/>
      </w:pPr>
      <w:rPr>
        <w:rFonts w:hint="default"/>
        <w:lang w:val="en-US" w:eastAsia="zh-CN" w:bidi="ar-SA"/>
      </w:rPr>
    </w:lvl>
    <w:lvl w:ilvl="5">
      <w:start w:val="0"/>
      <w:numFmt w:val="bullet"/>
      <w:lvlText w:val="•"/>
      <w:lvlJc w:val="left"/>
      <w:pPr>
        <w:ind w:left="6240" w:hanging="529"/>
      </w:pPr>
      <w:rPr>
        <w:rFonts w:hint="default"/>
        <w:lang w:val="en-US" w:eastAsia="zh-CN" w:bidi="ar-SA"/>
      </w:rPr>
    </w:lvl>
    <w:lvl w:ilvl="6">
      <w:start w:val="0"/>
      <w:numFmt w:val="bullet"/>
      <w:lvlText w:val="•"/>
      <w:lvlJc w:val="left"/>
      <w:pPr>
        <w:ind w:left="6965" w:hanging="529"/>
      </w:pPr>
      <w:rPr>
        <w:rFonts w:hint="default"/>
        <w:lang w:val="en-US" w:eastAsia="zh-CN" w:bidi="ar-SA"/>
      </w:rPr>
    </w:lvl>
    <w:lvl w:ilvl="7">
      <w:start w:val="0"/>
      <w:numFmt w:val="bullet"/>
      <w:lvlText w:val="•"/>
      <w:lvlJc w:val="left"/>
      <w:pPr>
        <w:ind w:left="7690" w:hanging="529"/>
      </w:pPr>
      <w:rPr>
        <w:rFonts w:hint="default"/>
        <w:lang w:val="en-US" w:eastAsia="zh-CN" w:bidi="ar-SA"/>
      </w:rPr>
    </w:lvl>
    <w:lvl w:ilvl="8">
      <w:start w:val="0"/>
      <w:numFmt w:val="bullet"/>
      <w:lvlText w:val="•"/>
      <w:lvlJc w:val="left"/>
      <w:pPr>
        <w:ind w:left="8416" w:hanging="529"/>
      </w:pPr>
      <w:rPr>
        <w:rFonts w:hint="default"/>
        <w:lang w:val="en-US" w:eastAsia="zh-CN" w:bidi="ar-SA"/>
      </w:rPr>
    </w:lvl>
  </w:abstractNum>
  <w:abstractNum w:abstractNumId="20">
    <w:multiLevelType w:val="hybridMultilevel"/>
    <w:lvl w:ilvl="0">
      <w:start w:val="5"/>
      <w:numFmt w:val="decimal"/>
      <w:lvlText w:val="%1"/>
      <w:lvlJc w:val="left"/>
      <w:pPr>
        <w:ind w:left="1210" w:hanging="958"/>
        <w:jc w:val="left"/>
      </w:pPr>
      <w:rPr>
        <w:rFonts w:hint="default"/>
        <w:lang w:val="en-US" w:eastAsia="zh-CN" w:bidi="ar-SA"/>
      </w:rPr>
    </w:lvl>
    <w:lvl w:ilvl="1">
      <w:start w:val="1"/>
      <w:numFmt w:val="decimal"/>
      <w:lvlText w:val="%1.%2"/>
      <w:lvlJc w:val="left"/>
      <w:pPr>
        <w:ind w:left="1210" w:hanging="958"/>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2949" w:hanging="958"/>
      </w:pPr>
      <w:rPr>
        <w:rFonts w:hint="default"/>
        <w:lang w:val="en-US" w:eastAsia="zh-CN" w:bidi="ar-SA"/>
      </w:rPr>
    </w:lvl>
    <w:lvl w:ilvl="3">
      <w:start w:val="0"/>
      <w:numFmt w:val="bullet"/>
      <w:lvlText w:val="•"/>
      <w:lvlJc w:val="left"/>
      <w:pPr>
        <w:ind w:left="3813" w:hanging="958"/>
      </w:pPr>
      <w:rPr>
        <w:rFonts w:hint="default"/>
        <w:lang w:val="en-US" w:eastAsia="zh-CN" w:bidi="ar-SA"/>
      </w:rPr>
    </w:lvl>
    <w:lvl w:ilvl="4">
      <w:start w:val="0"/>
      <w:numFmt w:val="bullet"/>
      <w:lvlText w:val="•"/>
      <w:lvlJc w:val="left"/>
      <w:pPr>
        <w:ind w:left="4678" w:hanging="958"/>
      </w:pPr>
      <w:rPr>
        <w:rFonts w:hint="default"/>
        <w:lang w:val="en-US" w:eastAsia="zh-CN" w:bidi="ar-SA"/>
      </w:rPr>
    </w:lvl>
    <w:lvl w:ilvl="5">
      <w:start w:val="0"/>
      <w:numFmt w:val="bullet"/>
      <w:lvlText w:val="•"/>
      <w:lvlJc w:val="left"/>
      <w:pPr>
        <w:ind w:left="5543" w:hanging="958"/>
      </w:pPr>
      <w:rPr>
        <w:rFonts w:hint="default"/>
        <w:lang w:val="en-US" w:eastAsia="zh-CN" w:bidi="ar-SA"/>
      </w:rPr>
    </w:lvl>
    <w:lvl w:ilvl="6">
      <w:start w:val="0"/>
      <w:numFmt w:val="bullet"/>
      <w:lvlText w:val="•"/>
      <w:lvlJc w:val="left"/>
      <w:pPr>
        <w:ind w:left="6407" w:hanging="958"/>
      </w:pPr>
      <w:rPr>
        <w:rFonts w:hint="default"/>
        <w:lang w:val="en-US" w:eastAsia="zh-CN" w:bidi="ar-SA"/>
      </w:rPr>
    </w:lvl>
    <w:lvl w:ilvl="7">
      <w:start w:val="0"/>
      <w:numFmt w:val="bullet"/>
      <w:lvlText w:val="•"/>
      <w:lvlJc w:val="left"/>
      <w:pPr>
        <w:ind w:left="7272" w:hanging="958"/>
      </w:pPr>
      <w:rPr>
        <w:rFonts w:hint="default"/>
        <w:lang w:val="en-US" w:eastAsia="zh-CN" w:bidi="ar-SA"/>
      </w:rPr>
    </w:lvl>
    <w:lvl w:ilvl="8">
      <w:start w:val="0"/>
      <w:numFmt w:val="bullet"/>
      <w:lvlText w:val="•"/>
      <w:lvlJc w:val="left"/>
      <w:pPr>
        <w:ind w:left="8137" w:hanging="958"/>
      </w:pPr>
      <w:rPr>
        <w:rFonts w:hint="default"/>
        <w:lang w:val="en-US" w:eastAsia="zh-CN" w:bidi="ar-SA"/>
      </w:rPr>
    </w:lvl>
  </w:abstractNum>
  <w:abstractNum w:abstractNumId="19">
    <w:multiLevelType w:val="hybridMultilevel"/>
    <w:lvl w:ilvl="0">
      <w:start w:val="4"/>
      <w:numFmt w:val="decimal"/>
      <w:lvlText w:val="%1"/>
      <w:lvlJc w:val="left"/>
      <w:pPr>
        <w:ind w:left="2805" w:hanging="958"/>
        <w:jc w:val="left"/>
      </w:pPr>
      <w:rPr>
        <w:rFonts w:hint="default"/>
        <w:lang w:val="en-US" w:eastAsia="zh-CN" w:bidi="ar-SA"/>
      </w:rPr>
    </w:lvl>
    <w:lvl w:ilvl="1">
      <w:start w:val="1"/>
      <w:numFmt w:val="decimal"/>
      <w:lvlText w:val="%1.%2"/>
      <w:lvlJc w:val="left"/>
      <w:pPr>
        <w:ind w:left="2805" w:hanging="958"/>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213" w:hanging="958"/>
      </w:pPr>
      <w:rPr>
        <w:rFonts w:hint="default"/>
        <w:lang w:val="en-US" w:eastAsia="zh-CN" w:bidi="ar-SA"/>
      </w:rPr>
    </w:lvl>
    <w:lvl w:ilvl="3">
      <w:start w:val="0"/>
      <w:numFmt w:val="bullet"/>
      <w:lvlText w:val="•"/>
      <w:lvlJc w:val="left"/>
      <w:pPr>
        <w:ind w:left="4919" w:hanging="958"/>
      </w:pPr>
      <w:rPr>
        <w:rFonts w:hint="default"/>
        <w:lang w:val="en-US" w:eastAsia="zh-CN" w:bidi="ar-SA"/>
      </w:rPr>
    </w:lvl>
    <w:lvl w:ilvl="4">
      <w:start w:val="0"/>
      <w:numFmt w:val="bullet"/>
      <w:lvlText w:val="•"/>
      <w:lvlJc w:val="left"/>
      <w:pPr>
        <w:ind w:left="5626" w:hanging="958"/>
      </w:pPr>
      <w:rPr>
        <w:rFonts w:hint="default"/>
        <w:lang w:val="en-US" w:eastAsia="zh-CN" w:bidi="ar-SA"/>
      </w:rPr>
    </w:lvl>
    <w:lvl w:ilvl="5">
      <w:start w:val="0"/>
      <w:numFmt w:val="bullet"/>
      <w:lvlText w:val="•"/>
      <w:lvlJc w:val="left"/>
      <w:pPr>
        <w:ind w:left="6333" w:hanging="958"/>
      </w:pPr>
      <w:rPr>
        <w:rFonts w:hint="default"/>
        <w:lang w:val="en-US" w:eastAsia="zh-CN" w:bidi="ar-SA"/>
      </w:rPr>
    </w:lvl>
    <w:lvl w:ilvl="6">
      <w:start w:val="0"/>
      <w:numFmt w:val="bullet"/>
      <w:lvlText w:val="•"/>
      <w:lvlJc w:val="left"/>
      <w:pPr>
        <w:ind w:left="7039" w:hanging="958"/>
      </w:pPr>
      <w:rPr>
        <w:rFonts w:hint="default"/>
        <w:lang w:val="en-US" w:eastAsia="zh-CN" w:bidi="ar-SA"/>
      </w:rPr>
    </w:lvl>
    <w:lvl w:ilvl="7">
      <w:start w:val="0"/>
      <w:numFmt w:val="bullet"/>
      <w:lvlText w:val="•"/>
      <w:lvlJc w:val="left"/>
      <w:pPr>
        <w:ind w:left="7746" w:hanging="958"/>
      </w:pPr>
      <w:rPr>
        <w:rFonts w:hint="default"/>
        <w:lang w:val="en-US" w:eastAsia="zh-CN" w:bidi="ar-SA"/>
      </w:rPr>
    </w:lvl>
    <w:lvl w:ilvl="8">
      <w:start w:val="0"/>
      <w:numFmt w:val="bullet"/>
      <w:lvlText w:val="•"/>
      <w:lvlJc w:val="left"/>
      <w:pPr>
        <w:ind w:left="8453" w:hanging="958"/>
      </w:pPr>
      <w:rPr>
        <w:rFonts w:hint="default"/>
        <w:lang w:val="en-US" w:eastAsia="zh-CN" w:bidi="ar-SA"/>
      </w:rPr>
    </w:lvl>
  </w:abstractNum>
  <w:abstractNum w:abstractNumId="18">
    <w:multiLevelType w:val="hybridMultilevel"/>
    <w:lvl w:ilvl="0">
      <w:start w:val="3"/>
      <w:numFmt w:val="decimal"/>
      <w:lvlText w:val="%1"/>
      <w:lvlJc w:val="left"/>
      <w:pPr>
        <w:ind w:left="2805" w:hanging="958"/>
        <w:jc w:val="left"/>
      </w:pPr>
      <w:rPr>
        <w:rFonts w:hint="default"/>
        <w:lang w:val="en-US" w:eastAsia="zh-CN" w:bidi="ar-SA"/>
      </w:rPr>
    </w:lvl>
    <w:lvl w:ilvl="1">
      <w:start w:val="4"/>
      <w:numFmt w:val="decimal"/>
      <w:lvlText w:val="%1.%2"/>
      <w:lvlJc w:val="left"/>
      <w:pPr>
        <w:ind w:left="2805" w:hanging="958"/>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213" w:hanging="958"/>
      </w:pPr>
      <w:rPr>
        <w:rFonts w:hint="default"/>
        <w:lang w:val="en-US" w:eastAsia="zh-CN" w:bidi="ar-SA"/>
      </w:rPr>
    </w:lvl>
    <w:lvl w:ilvl="3">
      <w:start w:val="0"/>
      <w:numFmt w:val="bullet"/>
      <w:lvlText w:val="•"/>
      <w:lvlJc w:val="left"/>
      <w:pPr>
        <w:ind w:left="4919" w:hanging="958"/>
      </w:pPr>
      <w:rPr>
        <w:rFonts w:hint="default"/>
        <w:lang w:val="en-US" w:eastAsia="zh-CN" w:bidi="ar-SA"/>
      </w:rPr>
    </w:lvl>
    <w:lvl w:ilvl="4">
      <w:start w:val="0"/>
      <w:numFmt w:val="bullet"/>
      <w:lvlText w:val="•"/>
      <w:lvlJc w:val="left"/>
      <w:pPr>
        <w:ind w:left="5626" w:hanging="958"/>
      </w:pPr>
      <w:rPr>
        <w:rFonts w:hint="default"/>
        <w:lang w:val="en-US" w:eastAsia="zh-CN" w:bidi="ar-SA"/>
      </w:rPr>
    </w:lvl>
    <w:lvl w:ilvl="5">
      <w:start w:val="0"/>
      <w:numFmt w:val="bullet"/>
      <w:lvlText w:val="•"/>
      <w:lvlJc w:val="left"/>
      <w:pPr>
        <w:ind w:left="6333" w:hanging="958"/>
      </w:pPr>
      <w:rPr>
        <w:rFonts w:hint="default"/>
        <w:lang w:val="en-US" w:eastAsia="zh-CN" w:bidi="ar-SA"/>
      </w:rPr>
    </w:lvl>
    <w:lvl w:ilvl="6">
      <w:start w:val="0"/>
      <w:numFmt w:val="bullet"/>
      <w:lvlText w:val="•"/>
      <w:lvlJc w:val="left"/>
      <w:pPr>
        <w:ind w:left="7039" w:hanging="958"/>
      </w:pPr>
      <w:rPr>
        <w:rFonts w:hint="default"/>
        <w:lang w:val="en-US" w:eastAsia="zh-CN" w:bidi="ar-SA"/>
      </w:rPr>
    </w:lvl>
    <w:lvl w:ilvl="7">
      <w:start w:val="0"/>
      <w:numFmt w:val="bullet"/>
      <w:lvlText w:val="•"/>
      <w:lvlJc w:val="left"/>
      <w:pPr>
        <w:ind w:left="7746" w:hanging="958"/>
      </w:pPr>
      <w:rPr>
        <w:rFonts w:hint="default"/>
        <w:lang w:val="en-US" w:eastAsia="zh-CN" w:bidi="ar-SA"/>
      </w:rPr>
    </w:lvl>
    <w:lvl w:ilvl="8">
      <w:start w:val="0"/>
      <w:numFmt w:val="bullet"/>
      <w:lvlText w:val="•"/>
      <w:lvlJc w:val="left"/>
      <w:pPr>
        <w:ind w:left="8453" w:hanging="958"/>
      </w:pPr>
      <w:rPr>
        <w:rFonts w:hint="default"/>
        <w:lang w:val="en-US" w:eastAsia="zh-CN" w:bidi="ar-SA"/>
      </w:rPr>
    </w:lvl>
  </w:abstractNum>
  <w:abstractNum w:abstractNumId="17">
    <w:multiLevelType w:val="hybridMultilevel"/>
    <w:lvl w:ilvl="0">
      <w:start w:val="1"/>
      <w:numFmt w:val="decimal"/>
      <w:lvlText w:val="（%1）"/>
      <w:lvlJc w:val="left"/>
      <w:pPr>
        <w:ind w:left="816"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472" w:hanging="529"/>
      </w:pPr>
      <w:rPr>
        <w:rFonts w:hint="default"/>
        <w:lang w:val="en-US" w:eastAsia="zh-CN" w:bidi="ar-SA"/>
      </w:rPr>
    </w:lvl>
    <w:lvl w:ilvl="2">
      <w:start w:val="0"/>
      <w:numFmt w:val="bullet"/>
      <w:lvlText w:val="•"/>
      <w:lvlJc w:val="left"/>
      <w:pPr>
        <w:ind w:left="2125" w:hanging="529"/>
      </w:pPr>
      <w:rPr>
        <w:rFonts w:hint="default"/>
        <w:lang w:val="en-US" w:eastAsia="zh-CN" w:bidi="ar-SA"/>
      </w:rPr>
    </w:lvl>
    <w:lvl w:ilvl="3">
      <w:start w:val="0"/>
      <w:numFmt w:val="bullet"/>
      <w:lvlText w:val="•"/>
      <w:lvlJc w:val="left"/>
      <w:pPr>
        <w:ind w:left="2778" w:hanging="529"/>
      </w:pPr>
      <w:rPr>
        <w:rFonts w:hint="default"/>
        <w:lang w:val="en-US" w:eastAsia="zh-CN" w:bidi="ar-SA"/>
      </w:rPr>
    </w:lvl>
    <w:lvl w:ilvl="4">
      <w:start w:val="0"/>
      <w:numFmt w:val="bullet"/>
      <w:lvlText w:val="•"/>
      <w:lvlJc w:val="left"/>
      <w:pPr>
        <w:ind w:left="3431" w:hanging="529"/>
      </w:pPr>
      <w:rPr>
        <w:rFonts w:hint="default"/>
        <w:lang w:val="en-US" w:eastAsia="zh-CN" w:bidi="ar-SA"/>
      </w:rPr>
    </w:lvl>
    <w:lvl w:ilvl="5">
      <w:start w:val="0"/>
      <w:numFmt w:val="bullet"/>
      <w:lvlText w:val="•"/>
      <w:lvlJc w:val="left"/>
      <w:pPr>
        <w:ind w:left="4084" w:hanging="529"/>
      </w:pPr>
      <w:rPr>
        <w:rFonts w:hint="default"/>
        <w:lang w:val="en-US" w:eastAsia="zh-CN" w:bidi="ar-SA"/>
      </w:rPr>
    </w:lvl>
    <w:lvl w:ilvl="6">
      <w:start w:val="0"/>
      <w:numFmt w:val="bullet"/>
      <w:lvlText w:val="•"/>
      <w:lvlJc w:val="left"/>
      <w:pPr>
        <w:ind w:left="4737" w:hanging="529"/>
      </w:pPr>
      <w:rPr>
        <w:rFonts w:hint="default"/>
        <w:lang w:val="en-US" w:eastAsia="zh-CN" w:bidi="ar-SA"/>
      </w:rPr>
    </w:lvl>
    <w:lvl w:ilvl="7">
      <w:start w:val="0"/>
      <w:numFmt w:val="bullet"/>
      <w:lvlText w:val="•"/>
      <w:lvlJc w:val="left"/>
      <w:pPr>
        <w:ind w:left="5389" w:hanging="529"/>
      </w:pPr>
      <w:rPr>
        <w:rFonts w:hint="default"/>
        <w:lang w:val="en-US" w:eastAsia="zh-CN" w:bidi="ar-SA"/>
      </w:rPr>
    </w:lvl>
    <w:lvl w:ilvl="8">
      <w:start w:val="0"/>
      <w:numFmt w:val="bullet"/>
      <w:lvlText w:val="•"/>
      <w:lvlJc w:val="left"/>
      <w:pPr>
        <w:ind w:left="6042" w:hanging="529"/>
      </w:pPr>
      <w:rPr>
        <w:rFonts w:hint="default"/>
        <w:lang w:val="en-US" w:eastAsia="zh-CN" w:bidi="ar-SA"/>
      </w:rPr>
    </w:lvl>
  </w:abstractNum>
  <w:abstractNum w:abstractNumId="16">
    <w:multiLevelType w:val="hybridMultilevel"/>
    <w:lvl w:ilvl="0">
      <w:start w:val="1"/>
      <w:numFmt w:val="decimal"/>
      <w:lvlText w:val="（%1）"/>
      <w:lvlJc w:val="left"/>
      <w:pPr>
        <w:ind w:left="692"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24" w:hanging="529"/>
      </w:pPr>
      <w:rPr>
        <w:rFonts w:hint="default"/>
        <w:lang w:val="en-US" w:eastAsia="zh-CN" w:bidi="ar-SA"/>
      </w:rPr>
    </w:lvl>
    <w:lvl w:ilvl="2">
      <w:start w:val="0"/>
      <w:numFmt w:val="bullet"/>
      <w:lvlText w:val="•"/>
      <w:lvlJc w:val="left"/>
      <w:pPr>
        <w:ind w:left="1949" w:hanging="529"/>
      </w:pPr>
      <w:rPr>
        <w:rFonts w:hint="default"/>
        <w:lang w:val="en-US" w:eastAsia="zh-CN" w:bidi="ar-SA"/>
      </w:rPr>
    </w:lvl>
    <w:lvl w:ilvl="3">
      <w:start w:val="0"/>
      <w:numFmt w:val="bullet"/>
      <w:lvlText w:val="•"/>
      <w:lvlJc w:val="left"/>
      <w:pPr>
        <w:ind w:left="2574" w:hanging="529"/>
      </w:pPr>
      <w:rPr>
        <w:rFonts w:hint="default"/>
        <w:lang w:val="en-US" w:eastAsia="zh-CN" w:bidi="ar-SA"/>
      </w:rPr>
    </w:lvl>
    <w:lvl w:ilvl="4">
      <w:start w:val="0"/>
      <w:numFmt w:val="bullet"/>
      <w:lvlText w:val="•"/>
      <w:lvlJc w:val="left"/>
      <w:pPr>
        <w:ind w:left="3199" w:hanging="529"/>
      </w:pPr>
      <w:rPr>
        <w:rFonts w:hint="default"/>
        <w:lang w:val="en-US" w:eastAsia="zh-CN" w:bidi="ar-SA"/>
      </w:rPr>
    </w:lvl>
    <w:lvl w:ilvl="5">
      <w:start w:val="0"/>
      <w:numFmt w:val="bullet"/>
      <w:lvlText w:val="•"/>
      <w:lvlJc w:val="left"/>
      <w:pPr>
        <w:ind w:left="3824" w:hanging="529"/>
      </w:pPr>
      <w:rPr>
        <w:rFonts w:hint="default"/>
        <w:lang w:val="en-US" w:eastAsia="zh-CN" w:bidi="ar-SA"/>
      </w:rPr>
    </w:lvl>
    <w:lvl w:ilvl="6">
      <w:start w:val="0"/>
      <w:numFmt w:val="bullet"/>
      <w:lvlText w:val="•"/>
      <w:lvlJc w:val="left"/>
      <w:pPr>
        <w:ind w:left="4449" w:hanging="529"/>
      </w:pPr>
      <w:rPr>
        <w:rFonts w:hint="default"/>
        <w:lang w:val="en-US" w:eastAsia="zh-CN" w:bidi="ar-SA"/>
      </w:rPr>
    </w:lvl>
    <w:lvl w:ilvl="7">
      <w:start w:val="0"/>
      <w:numFmt w:val="bullet"/>
      <w:lvlText w:val="•"/>
      <w:lvlJc w:val="left"/>
      <w:pPr>
        <w:ind w:left="5074" w:hanging="529"/>
      </w:pPr>
      <w:rPr>
        <w:rFonts w:hint="default"/>
        <w:lang w:val="en-US" w:eastAsia="zh-CN" w:bidi="ar-SA"/>
      </w:rPr>
    </w:lvl>
    <w:lvl w:ilvl="8">
      <w:start w:val="0"/>
      <w:numFmt w:val="bullet"/>
      <w:lvlText w:val="•"/>
      <w:lvlJc w:val="left"/>
      <w:pPr>
        <w:ind w:left="5699" w:hanging="529"/>
      </w:pPr>
      <w:rPr>
        <w:rFonts w:hint="default"/>
        <w:lang w:val="en-US" w:eastAsia="zh-CN" w:bidi="ar-SA"/>
      </w:rPr>
    </w:lvl>
  </w:abstractNum>
  <w:abstractNum w:abstractNumId="15">
    <w:multiLevelType w:val="hybridMultilevel"/>
    <w:lvl w:ilvl="0">
      <w:start w:val="1"/>
      <w:numFmt w:val="decimal"/>
      <w:lvlText w:val="（%1）"/>
      <w:lvlJc w:val="left"/>
      <w:pPr>
        <w:ind w:left="692"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324" w:hanging="529"/>
      </w:pPr>
      <w:rPr>
        <w:rFonts w:hint="default"/>
        <w:lang w:val="en-US" w:eastAsia="zh-CN" w:bidi="ar-SA"/>
      </w:rPr>
    </w:lvl>
    <w:lvl w:ilvl="2">
      <w:start w:val="0"/>
      <w:numFmt w:val="bullet"/>
      <w:lvlText w:val="•"/>
      <w:lvlJc w:val="left"/>
      <w:pPr>
        <w:ind w:left="1949" w:hanging="529"/>
      </w:pPr>
      <w:rPr>
        <w:rFonts w:hint="default"/>
        <w:lang w:val="en-US" w:eastAsia="zh-CN" w:bidi="ar-SA"/>
      </w:rPr>
    </w:lvl>
    <w:lvl w:ilvl="3">
      <w:start w:val="0"/>
      <w:numFmt w:val="bullet"/>
      <w:lvlText w:val="•"/>
      <w:lvlJc w:val="left"/>
      <w:pPr>
        <w:ind w:left="2574" w:hanging="529"/>
      </w:pPr>
      <w:rPr>
        <w:rFonts w:hint="default"/>
        <w:lang w:val="en-US" w:eastAsia="zh-CN" w:bidi="ar-SA"/>
      </w:rPr>
    </w:lvl>
    <w:lvl w:ilvl="4">
      <w:start w:val="0"/>
      <w:numFmt w:val="bullet"/>
      <w:lvlText w:val="•"/>
      <w:lvlJc w:val="left"/>
      <w:pPr>
        <w:ind w:left="3199" w:hanging="529"/>
      </w:pPr>
      <w:rPr>
        <w:rFonts w:hint="default"/>
        <w:lang w:val="en-US" w:eastAsia="zh-CN" w:bidi="ar-SA"/>
      </w:rPr>
    </w:lvl>
    <w:lvl w:ilvl="5">
      <w:start w:val="0"/>
      <w:numFmt w:val="bullet"/>
      <w:lvlText w:val="•"/>
      <w:lvlJc w:val="left"/>
      <w:pPr>
        <w:ind w:left="3824" w:hanging="529"/>
      </w:pPr>
      <w:rPr>
        <w:rFonts w:hint="default"/>
        <w:lang w:val="en-US" w:eastAsia="zh-CN" w:bidi="ar-SA"/>
      </w:rPr>
    </w:lvl>
    <w:lvl w:ilvl="6">
      <w:start w:val="0"/>
      <w:numFmt w:val="bullet"/>
      <w:lvlText w:val="•"/>
      <w:lvlJc w:val="left"/>
      <w:pPr>
        <w:ind w:left="4449" w:hanging="529"/>
      </w:pPr>
      <w:rPr>
        <w:rFonts w:hint="default"/>
        <w:lang w:val="en-US" w:eastAsia="zh-CN" w:bidi="ar-SA"/>
      </w:rPr>
    </w:lvl>
    <w:lvl w:ilvl="7">
      <w:start w:val="0"/>
      <w:numFmt w:val="bullet"/>
      <w:lvlText w:val="•"/>
      <w:lvlJc w:val="left"/>
      <w:pPr>
        <w:ind w:left="5074" w:hanging="529"/>
      </w:pPr>
      <w:rPr>
        <w:rFonts w:hint="default"/>
        <w:lang w:val="en-US" w:eastAsia="zh-CN" w:bidi="ar-SA"/>
      </w:rPr>
    </w:lvl>
    <w:lvl w:ilvl="8">
      <w:start w:val="0"/>
      <w:numFmt w:val="bullet"/>
      <w:lvlText w:val="•"/>
      <w:lvlJc w:val="left"/>
      <w:pPr>
        <w:ind w:left="5699" w:hanging="529"/>
      </w:pPr>
      <w:rPr>
        <w:rFonts w:hint="default"/>
        <w:lang w:val="en-US" w:eastAsia="zh-CN" w:bidi="ar-SA"/>
      </w:rPr>
    </w:lvl>
  </w:abstractNum>
  <w:abstractNum w:abstractNumId="14">
    <w:multiLevelType w:val="hybridMultilevel"/>
    <w:lvl w:ilvl="0">
      <w:start w:val="1"/>
      <w:numFmt w:val="decimal"/>
      <w:lvlText w:val="（%1）"/>
      <w:lvlJc w:val="left"/>
      <w:pPr>
        <w:ind w:left="915" w:hanging="62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340" w:hanging="629"/>
      </w:pPr>
      <w:rPr>
        <w:rFonts w:hint="default"/>
        <w:lang w:val="en-US" w:eastAsia="zh-CN" w:bidi="ar-SA"/>
      </w:rPr>
    </w:lvl>
    <w:lvl w:ilvl="2">
      <w:start w:val="0"/>
      <w:numFmt w:val="bullet"/>
      <w:lvlText w:val="•"/>
      <w:lvlJc w:val="left"/>
      <w:pPr>
        <w:ind w:left="3785" w:hanging="629"/>
      </w:pPr>
      <w:rPr>
        <w:rFonts w:hint="default"/>
        <w:lang w:val="en-US" w:eastAsia="zh-CN" w:bidi="ar-SA"/>
      </w:rPr>
    </w:lvl>
    <w:lvl w:ilvl="3">
      <w:start w:val="0"/>
      <w:numFmt w:val="bullet"/>
      <w:lvlText w:val="•"/>
      <w:lvlJc w:val="left"/>
      <w:pPr>
        <w:ind w:left="4230" w:hanging="629"/>
      </w:pPr>
      <w:rPr>
        <w:rFonts w:hint="default"/>
        <w:lang w:val="en-US" w:eastAsia="zh-CN" w:bidi="ar-SA"/>
      </w:rPr>
    </w:lvl>
    <w:lvl w:ilvl="4">
      <w:start w:val="0"/>
      <w:numFmt w:val="bullet"/>
      <w:lvlText w:val="•"/>
      <w:lvlJc w:val="left"/>
      <w:pPr>
        <w:ind w:left="4676" w:hanging="629"/>
      </w:pPr>
      <w:rPr>
        <w:rFonts w:hint="default"/>
        <w:lang w:val="en-US" w:eastAsia="zh-CN" w:bidi="ar-SA"/>
      </w:rPr>
    </w:lvl>
    <w:lvl w:ilvl="5">
      <w:start w:val="0"/>
      <w:numFmt w:val="bullet"/>
      <w:lvlText w:val="•"/>
      <w:lvlJc w:val="left"/>
      <w:pPr>
        <w:ind w:left="5121" w:hanging="629"/>
      </w:pPr>
      <w:rPr>
        <w:rFonts w:hint="default"/>
        <w:lang w:val="en-US" w:eastAsia="zh-CN" w:bidi="ar-SA"/>
      </w:rPr>
    </w:lvl>
    <w:lvl w:ilvl="6">
      <w:start w:val="0"/>
      <w:numFmt w:val="bullet"/>
      <w:lvlText w:val="•"/>
      <w:lvlJc w:val="left"/>
      <w:pPr>
        <w:ind w:left="5566" w:hanging="629"/>
      </w:pPr>
      <w:rPr>
        <w:rFonts w:hint="default"/>
        <w:lang w:val="en-US" w:eastAsia="zh-CN" w:bidi="ar-SA"/>
      </w:rPr>
    </w:lvl>
    <w:lvl w:ilvl="7">
      <w:start w:val="0"/>
      <w:numFmt w:val="bullet"/>
      <w:lvlText w:val="•"/>
      <w:lvlJc w:val="left"/>
      <w:pPr>
        <w:ind w:left="6012" w:hanging="629"/>
      </w:pPr>
      <w:rPr>
        <w:rFonts w:hint="default"/>
        <w:lang w:val="en-US" w:eastAsia="zh-CN" w:bidi="ar-SA"/>
      </w:rPr>
    </w:lvl>
    <w:lvl w:ilvl="8">
      <w:start w:val="0"/>
      <w:numFmt w:val="bullet"/>
      <w:lvlText w:val="•"/>
      <w:lvlJc w:val="left"/>
      <w:pPr>
        <w:ind w:left="6457" w:hanging="629"/>
      </w:pPr>
      <w:rPr>
        <w:rFonts w:hint="default"/>
        <w:lang w:val="en-US" w:eastAsia="zh-CN" w:bidi="ar-SA"/>
      </w:rPr>
    </w:lvl>
  </w:abstractNum>
  <w:abstractNum w:abstractNumId="13">
    <w:multiLevelType w:val="hybridMultilevel"/>
    <w:lvl w:ilvl="0">
      <w:start w:val="1"/>
      <w:numFmt w:val="decimal"/>
      <w:lvlText w:val="（%1）"/>
      <w:lvlJc w:val="left"/>
      <w:pPr>
        <w:ind w:left="880" w:hanging="529"/>
        <w:jc w:val="left"/>
      </w:pPr>
      <w:rPr>
        <w:rFonts w:hint="default" w:ascii="仿宋" w:hAnsi="仿宋" w:eastAsia="仿宋" w:cs="仿宋"/>
        <w:b w:val="0"/>
        <w:bCs w:val="0"/>
        <w:i w:val="0"/>
        <w:iCs w:val="0"/>
        <w:spacing w:val="-3"/>
        <w:w w:val="100"/>
        <w:sz w:val="19"/>
        <w:szCs w:val="19"/>
        <w:lang w:val="en-US" w:eastAsia="zh-CN" w:bidi="ar-SA"/>
      </w:rPr>
    </w:lvl>
    <w:lvl w:ilvl="1">
      <w:start w:val="7"/>
      <w:numFmt w:val="decimal"/>
      <w:lvlText w:val="（%2）"/>
      <w:lvlJc w:val="left"/>
      <w:pPr>
        <w:ind w:left="3429" w:hanging="624"/>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136" w:hanging="624"/>
      </w:pPr>
      <w:rPr>
        <w:rFonts w:hint="default"/>
        <w:lang w:val="en-US" w:eastAsia="zh-CN" w:bidi="ar-SA"/>
      </w:rPr>
    </w:lvl>
    <w:lvl w:ilvl="3">
      <w:start w:val="0"/>
      <w:numFmt w:val="bullet"/>
      <w:lvlText w:val="•"/>
      <w:lvlJc w:val="left"/>
      <w:pPr>
        <w:ind w:left="4852" w:hanging="624"/>
      </w:pPr>
      <w:rPr>
        <w:rFonts w:hint="default"/>
        <w:lang w:val="en-US" w:eastAsia="zh-CN" w:bidi="ar-SA"/>
      </w:rPr>
    </w:lvl>
    <w:lvl w:ilvl="4">
      <w:start w:val="0"/>
      <w:numFmt w:val="bullet"/>
      <w:lvlText w:val="•"/>
      <w:lvlJc w:val="left"/>
      <w:pPr>
        <w:ind w:left="5568" w:hanging="624"/>
      </w:pPr>
      <w:rPr>
        <w:rFonts w:hint="default"/>
        <w:lang w:val="en-US" w:eastAsia="zh-CN" w:bidi="ar-SA"/>
      </w:rPr>
    </w:lvl>
    <w:lvl w:ilvl="5">
      <w:start w:val="0"/>
      <w:numFmt w:val="bullet"/>
      <w:lvlText w:val="•"/>
      <w:lvlJc w:val="left"/>
      <w:pPr>
        <w:ind w:left="6285" w:hanging="624"/>
      </w:pPr>
      <w:rPr>
        <w:rFonts w:hint="default"/>
        <w:lang w:val="en-US" w:eastAsia="zh-CN" w:bidi="ar-SA"/>
      </w:rPr>
    </w:lvl>
    <w:lvl w:ilvl="6">
      <w:start w:val="0"/>
      <w:numFmt w:val="bullet"/>
      <w:lvlText w:val="•"/>
      <w:lvlJc w:val="left"/>
      <w:pPr>
        <w:ind w:left="7001" w:hanging="624"/>
      </w:pPr>
      <w:rPr>
        <w:rFonts w:hint="default"/>
        <w:lang w:val="en-US" w:eastAsia="zh-CN" w:bidi="ar-SA"/>
      </w:rPr>
    </w:lvl>
    <w:lvl w:ilvl="7">
      <w:start w:val="0"/>
      <w:numFmt w:val="bullet"/>
      <w:lvlText w:val="•"/>
      <w:lvlJc w:val="left"/>
      <w:pPr>
        <w:ind w:left="7717" w:hanging="624"/>
      </w:pPr>
      <w:rPr>
        <w:rFonts w:hint="default"/>
        <w:lang w:val="en-US" w:eastAsia="zh-CN" w:bidi="ar-SA"/>
      </w:rPr>
    </w:lvl>
    <w:lvl w:ilvl="8">
      <w:start w:val="0"/>
      <w:numFmt w:val="bullet"/>
      <w:lvlText w:val="•"/>
      <w:lvlJc w:val="left"/>
      <w:pPr>
        <w:ind w:left="8433" w:hanging="624"/>
      </w:pPr>
      <w:rPr>
        <w:rFonts w:hint="default"/>
        <w:lang w:val="en-US" w:eastAsia="zh-CN" w:bidi="ar-SA"/>
      </w:rPr>
    </w:lvl>
  </w:abstractNum>
  <w:abstractNum w:abstractNumId="12">
    <w:multiLevelType w:val="hybridMultilevel"/>
    <w:lvl w:ilvl="0">
      <w:start w:val="1"/>
      <w:numFmt w:val="decimal"/>
      <w:lvlText w:val="（%1）"/>
      <w:lvlJc w:val="left"/>
      <w:pPr>
        <w:ind w:left="880"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778" w:hanging="529"/>
      </w:pPr>
      <w:rPr>
        <w:rFonts w:hint="default"/>
        <w:lang w:val="en-US" w:eastAsia="zh-CN" w:bidi="ar-SA"/>
      </w:rPr>
    </w:lvl>
    <w:lvl w:ilvl="2">
      <w:start w:val="0"/>
      <w:numFmt w:val="bullet"/>
      <w:lvlText w:val="•"/>
      <w:lvlJc w:val="left"/>
      <w:pPr>
        <w:ind w:left="2677" w:hanging="529"/>
      </w:pPr>
      <w:rPr>
        <w:rFonts w:hint="default"/>
        <w:lang w:val="en-US" w:eastAsia="zh-CN" w:bidi="ar-SA"/>
      </w:rPr>
    </w:lvl>
    <w:lvl w:ilvl="3">
      <w:start w:val="0"/>
      <w:numFmt w:val="bullet"/>
      <w:lvlText w:val="•"/>
      <w:lvlJc w:val="left"/>
      <w:pPr>
        <w:ind w:left="3575" w:hanging="529"/>
      </w:pPr>
      <w:rPr>
        <w:rFonts w:hint="default"/>
        <w:lang w:val="en-US" w:eastAsia="zh-CN" w:bidi="ar-SA"/>
      </w:rPr>
    </w:lvl>
    <w:lvl w:ilvl="4">
      <w:start w:val="0"/>
      <w:numFmt w:val="bullet"/>
      <w:lvlText w:val="•"/>
      <w:lvlJc w:val="left"/>
      <w:pPr>
        <w:ind w:left="4474" w:hanging="529"/>
      </w:pPr>
      <w:rPr>
        <w:rFonts w:hint="default"/>
        <w:lang w:val="en-US" w:eastAsia="zh-CN" w:bidi="ar-SA"/>
      </w:rPr>
    </w:lvl>
    <w:lvl w:ilvl="5">
      <w:start w:val="0"/>
      <w:numFmt w:val="bullet"/>
      <w:lvlText w:val="•"/>
      <w:lvlJc w:val="left"/>
      <w:pPr>
        <w:ind w:left="5373" w:hanging="529"/>
      </w:pPr>
      <w:rPr>
        <w:rFonts w:hint="default"/>
        <w:lang w:val="en-US" w:eastAsia="zh-CN" w:bidi="ar-SA"/>
      </w:rPr>
    </w:lvl>
    <w:lvl w:ilvl="6">
      <w:start w:val="0"/>
      <w:numFmt w:val="bullet"/>
      <w:lvlText w:val="•"/>
      <w:lvlJc w:val="left"/>
      <w:pPr>
        <w:ind w:left="6271" w:hanging="529"/>
      </w:pPr>
      <w:rPr>
        <w:rFonts w:hint="default"/>
        <w:lang w:val="en-US" w:eastAsia="zh-CN" w:bidi="ar-SA"/>
      </w:rPr>
    </w:lvl>
    <w:lvl w:ilvl="7">
      <w:start w:val="0"/>
      <w:numFmt w:val="bullet"/>
      <w:lvlText w:val="•"/>
      <w:lvlJc w:val="left"/>
      <w:pPr>
        <w:ind w:left="7170" w:hanging="529"/>
      </w:pPr>
      <w:rPr>
        <w:rFonts w:hint="default"/>
        <w:lang w:val="en-US" w:eastAsia="zh-CN" w:bidi="ar-SA"/>
      </w:rPr>
    </w:lvl>
    <w:lvl w:ilvl="8">
      <w:start w:val="0"/>
      <w:numFmt w:val="bullet"/>
      <w:lvlText w:val="•"/>
      <w:lvlJc w:val="left"/>
      <w:pPr>
        <w:ind w:left="8069" w:hanging="529"/>
      </w:pPr>
      <w:rPr>
        <w:rFonts w:hint="default"/>
        <w:lang w:val="en-US" w:eastAsia="zh-CN" w:bidi="ar-SA"/>
      </w:rPr>
    </w:lvl>
  </w:abstractNum>
  <w:abstractNum w:abstractNumId="11">
    <w:multiLevelType w:val="hybridMultilevel"/>
    <w:lvl w:ilvl="0">
      <w:start w:val="1"/>
      <w:numFmt w:val="decimal"/>
      <w:lvlText w:val="（%1）"/>
      <w:lvlJc w:val="left"/>
      <w:pPr>
        <w:ind w:left="911" w:hanging="624"/>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62" w:hanging="624"/>
      </w:pPr>
      <w:rPr>
        <w:rFonts w:hint="default"/>
        <w:lang w:val="en-US" w:eastAsia="zh-CN" w:bidi="ar-SA"/>
      </w:rPr>
    </w:lvl>
    <w:lvl w:ilvl="2">
      <w:start w:val="0"/>
      <w:numFmt w:val="bullet"/>
      <w:lvlText w:val="•"/>
      <w:lvlJc w:val="left"/>
      <w:pPr>
        <w:ind w:left="2205" w:hanging="624"/>
      </w:pPr>
      <w:rPr>
        <w:rFonts w:hint="default"/>
        <w:lang w:val="en-US" w:eastAsia="zh-CN" w:bidi="ar-SA"/>
      </w:rPr>
    </w:lvl>
    <w:lvl w:ilvl="3">
      <w:start w:val="0"/>
      <w:numFmt w:val="bullet"/>
      <w:lvlText w:val="•"/>
      <w:lvlJc w:val="left"/>
      <w:pPr>
        <w:ind w:left="2848" w:hanging="624"/>
      </w:pPr>
      <w:rPr>
        <w:rFonts w:hint="default"/>
        <w:lang w:val="en-US" w:eastAsia="zh-CN" w:bidi="ar-SA"/>
      </w:rPr>
    </w:lvl>
    <w:lvl w:ilvl="4">
      <w:start w:val="0"/>
      <w:numFmt w:val="bullet"/>
      <w:lvlText w:val="•"/>
      <w:lvlJc w:val="left"/>
      <w:pPr>
        <w:ind w:left="3491" w:hanging="624"/>
      </w:pPr>
      <w:rPr>
        <w:rFonts w:hint="default"/>
        <w:lang w:val="en-US" w:eastAsia="zh-CN" w:bidi="ar-SA"/>
      </w:rPr>
    </w:lvl>
    <w:lvl w:ilvl="5">
      <w:start w:val="0"/>
      <w:numFmt w:val="bullet"/>
      <w:lvlText w:val="•"/>
      <w:lvlJc w:val="left"/>
      <w:pPr>
        <w:ind w:left="4134" w:hanging="624"/>
      </w:pPr>
      <w:rPr>
        <w:rFonts w:hint="default"/>
        <w:lang w:val="en-US" w:eastAsia="zh-CN" w:bidi="ar-SA"/>
      </w:rPr>
    </w:lvl>
    <w:lvl w:ilvl="6">
      <w:start w:val="0"/>
      <w:numFmt w:val="bullet"/>
      <w:lvlText w:val="•"/>
      <w:lvlJc w:val="left"/>
      <w:pPr>
        <w:ind w:left="4777" w:hanging="624"/>
      </w:pPr>
      <w:rPr>
        <w:rFonts w:hint="default"/>
        <w:lang w:val="en-US" w:eastAsia="zh-CN" w:bidi="ar-SA"/>
      </w:rPr>
    </w:lvl>
    <w:lvl w:ilvl="7">
      <w:start w:val="0"/>
      <w:numFmt w:val="bullet"/>
      <w:lvlText w:val="•"/>
      <w:lvlJc w:val="left"/>
      <w:pPr>
        <w:ind w:left="5419" w:hanging="624"/>
      </w:pPr>
      <w:rPr>
        <w:rFonts w:hint="default"/>
        <w:lang w:val="en-US" w:eastAsia="zh-CN" w:bidi="ar-SA"/>
      </w:rPr>
    </w:lvl>
    <w:lvl w:ilvl="8">
      <w:start w:val="0"/>
      <w:numFmt w:val="bullet"/>
      <w:lvlText w:val="•"/>
      <w:lvlJc w:val="left"/>
      <w:pPr>
        <w:ind w:left="6062" w:hanging="624"/>
      </w:pPr>
      <w:rPr>
        <w:rFonts w:hint="default"/>
        <w:lang w:val="en-US" w:eastAsia="zh-CN" w:bidi="ar-SA"/>
      </w:rPr>
    </w:lvl>
  </w:abstractNum>
  <w:abstractNum w:abstractNumId="10">
    <w:multiLevelType w:val="hybridMultilevel"/>
    <w:lvl w:ilvl="0">
      <w:start w:val="1"/>
      <w:numFmt w:val="decimal"/>
      <w:lvlText w:val="（%1）"/>
      <w:lvlJc w:val="left"/>
      <w:pPr>
        <w:ind w:left="812" w:hanging="529"/>
        <w:jc w:val="left"/>
      </w:pPr>
      <w:rPr>
        <w:rFonts w:hint="default" w:ascii="仿宋" w:hAnsi="仿宋" w:eastAsia="仿宋" w:cs="仿宋"/>
        <w:b w:val="0"/>
        <w:bCs w:val="0"/>
        <w:i w:val="0"/>
        <w:iCs w:val="0"/>
        <w:spacing w:val="-3"/>
        <w:w w:val="100"/>
        <w:sz w:val="19"/>
        <w:szCs w:val="19"/>
        <w:lang w:val="en-US" w:eastAsia="zh-CN" w:bidi="ar-SA"/>
      </w:rPr>
    </w:lvl>
    <w:lvl w:ilvl="1">
      <w:start w:val="2"/>
      <w:numFmt w:val="decimal"/>
      <w:lvlText w:val="（%2）"/>
      <w:lvlJc w:val="left"/>
      <w:pPr>
        <w:ind w:left="3436" w:hanging="632"/>
        <w:jc w:val="left"/>
      </w:pPr>
      <w:rPr>
        <w:rFonts w:hint="default" w:ascii="微软雅黑" w:hAnsi="微软雅黑" w:eastAsia="微软雅黑" w:cs="微软雅黑"/>
        <w:b/>
        <w:bCs/>
        <w:i w:val="0"/>
        <w:iCs w:val="0"/>
        <w:w w:val="81"/>
        <w:sz w:val="21"/>
        <w:szCs w:val="21"/>
        <w:lang w:val="en-US" w:eastAsia="zh-CN" w:bidi="ar-SA"/>
      </w:rPr>
    </w:lvl>
    <w:lvl w:ilvl="2">
      <w:start w:val="0"/>
      <w:numFmt w:val="bullet"/>
      <w:lvlText w:val="•"/>
      <w:lvlJc w:val="left"/>
      <w:pPr>
        <w:ind w:left="3874" w:hanging="632"/>
      </w:pPr>
      <w:rPr>
        <w:rFonts w:hint="default"/>
        <w:lang w:val="en-US" w:eastAsia="zh-CN" w:bidi="ar-SA"/>
      </w:rPr>
    </w:lvl>
    <w:lvl w:ilvl="3">
      <w:start w:val="0"/>
      <w:numFmt w:val="bullet"/>
      <w:lvlText w:val="•"/>
      <w:lvlJc w:val="left"/>
      <w:pPr>
        <w:ind w:left="4308" w:hanging="632"/>
      </w:pPr>
      <w:rPr>
        <w:rFonts w:hint="default"/>
        <w:lang w:val="en-US" w:eastAsia="zh-CN" w:bidi="ar-SA"/>
      </w:rPr>
    </w:lvl>
    <w:lvl w:ilvl="4">
      <w:start w:val="0"/>
      <w:numFmt w:val="bullet"/>
      <w:lvlText w:val="•"/>
      <w:lvlJc w:val="left"/>
      <w:pPr>
        <w:ind w:left="4742" w:hanging="632"/>
      </w:pPr>
      <w:rPr>
        <w:rFonts w:hint="default"/>
        <w:lang w:val="en-US" w:eastAsia="zh-CN" w:bidi="ar-SA"/>
      </w:rPr>
    </w:lvl>
    <w:lvl w:ilvl="5">
      <w:start w:val="0"/>
      <w:numFmt w:val="bullet"/>
      <w:lvlText w:val="•"/>
      <w:lvlJc w:val="left"/>
      <w:pPr>
        <w:ind w:left="5177" w:hanging="632"/>
      </w:pPr>
      <w:rPr>
        <w:rFonts w:hint="default"/>
        <w:lang w:val="en-US" w:eastAsia="zh-CN" w:bidi="ar-SA"/>
      </w:rPr>
    </w:lvl>
    <w:lvl w:ilvl="6">
      <w:start w:val="0"/>
      <w:numFmt w:val="bullet"/>
      <w:lvlText w:val="•"/>
      <w:lvlJc w:val="left"/>
      <w:pPr>
        <w:ind w:left="5611" w:hanging="632"/>
      </w:pPr>
      <w:rPr>
        <w:rFonts w:hint="default"/>
        <w:lang w:val="en-US" w:eastAsia="zh-CN" w:bidi="ar-SA"/>
      </w:rPr>
    </w:lvl>
    <w:lvl w:ilvl="7">
      <w:start w:val="0"/>
      <w:numFmt w:val="bullet"/>
      <w:lvlText w:val="•"/>
      <w:lvlJc w:val="left"/>
      <w:pPr>
        <w:ind w:left="6045" w:hanging="632"/>
      </w:pPr>
      <w:rPr>
        <w:rFonts w:hint="default"/>
        <w:lang w:val="en-US" w:eastAsia="zh-CN" w:bidi="ar-SA"/>
      </w:rPr>
    </w:lvl>
    <w:lvl w:ilvl="8">
      <w:start w:val="0"/>
      <w:numFmt w:val="bullet"/>
      <w:lvlText w:val="•"/>
      <w:lvlJc w:val="left"/>
      <w:pPr>
        <w:ind w:left="6479" w:hanging="632"/>
      </w:pPr>
      <w:rPr>
        <w:rFonts w:hint="default"/>
        <w:lang w:val="en-US" w:eastAsia="zh-CN" w:bidi="ar-SA"/>
      </w:rPr>
    </w:lvl>
  </w:abstractNum>
  <w:abstractNum w:abstractNumId="9">
    <w:multiLevelType w:val="hybridMultilevel"/>
    <w:lvl w:ilvl="0">
      <w:start w:val="1"/>
      <w:numFmt w:val="decimal"/>
      <w:lvlText w:val="（%1）"/>
      <w:lvlJc w:val="left"/>
      <w:pPr>
        <w:ind w:left="812" w:hanging="529"/>
        <w:jc w:val="left"/>
      </w:pPr>
      <w:rPr>
        <w:rFonts w:hint="default" w:ascii="仿宋" w:hAnsi="仿宋" w:eastAsia="仿宋" w:cs="仿宋"/>
        <w:b w:val="0"/>
        <w:bCs w:val="0"/>
        <w:i w:val="0"/>
        <w:iCs w:val="0"/>
        <w:spacing w:val="-34"/>
        <w:w w:val="100"/>
        <w:sz w:val="19"/>
        <w:szCs w:val="19"/>
        <w:lang w:val="en-US" w:eastAsia="zh-CN" w:bidi="ar-SA"/>
      </w:rPr>
    </w:lvl>
    <w:lvl w:ilvl="1">
      <w:start w:val="0"/>
      <w:numFmt w:val="bullet"/>
      <w:lvlText w:val="•"/>
      <w:lvlJc w:val="left"/>
      <w:pPr>
        <w:ind w:left="1472" w:hanging="529"/>
      </w:pPr>
      <w:rPr>
        <w:rFonts w:hint="default"/>
        <w:lang w:val="en-US" w:eastAsia="zh-CN" w:bidi="ar-SA"/>
      </w:rPr>
    </w:lvl>
    <w:lvl w:ilvl="2">
      <w:start w:val="0"/>
      <w:numFmt w:val="bullet"/>
      <w:lvlText w:val="•"/>
      <w:lvlJc w:val="left"/>
      <w:pPr>
        <w:ind w:left="2125" w:hanging="529"/>
      </w:pPr>
      <w:rPr>
        <w:rFonts w:hint="default"/>
        <w:lang w:val="en-US" w:eastAsia="zh-CN" w:bidi="ar-SA"/>
      </w:rPr>
    </w:lvl>
    <w:lvl w:ilvl="3">
      <w:start w:val="0"/>
      <w:numFmt w:val="bullet"/>
      <w:lvlText w:val="•"/>
      <w:lvlJc w:val="left"/>
      <w:pPr>
        <w:ind w:left="2778" w:hanging="529"/>
      </w:pPr>
      <w:rPr>
        <w:rFonts w:hint="default"/>
        <w:lang w:val="en-US" w:eastAsia="zh-CN" w:bidi="ar-SA"/>
      </w:rPr>
    </w:lvl>
    <w:lvl w:ilvl="4">
      <w:start w:val="0"/>
      <w:numFmt w:val="bullet"/>
      <w:lvlText w:val="•"/>
      <w:lvlJc w:val="left"/>
      <w:pPr>
        <w:ind w:left="3431" w:hanging="529"/>
      </w:pPr>
      <w:rPr>
        <w:rFonts w:hint="default"/>
        <w:lang w:val="en-US" w:eastAsia="zh-CN" w:bidi="ar-SA"/>
      </w:rPr>
    </w:lvl>
    <w:lvl w:ilvl="5">
      <w:start w:val="0"/>
      <w:numFmt w:val="bullet"/>
      <w:lvlText w:val="•"/>
      <w:lvlJc w:val="left"/>
      <w:pPr>
        <w:ind w:left="4084" w:hanging="529"/>
      </w:pPr>
      <w:rPr>
        <w:rFonts w:hint="default"/>
        <w:lang w:val="en-US" w:eastAsia="zh-CN" w:bidi="ar-SA"/>
      </w:rPr>
    </w:lvl>
    <w:lvl w:ilvl="6">
      <w:start w:val="0"/>
      <w:numFmt w:val="bullet"/>
      <w:lvlText w:val="•"/>
      <w:lvlJc w:val="left"/>
      <w:pPr>
        <w:ind w:left="4737" w:hanging="529"/>
      </w:pPr>
      <w:rPr>
        <w:rFonts w:hint="default"/>
        <w:lang w:val="en-US" w:eastAsia="zh-CN" w:bidi="ar-SA"/>
      </w:rPr>
    </w:lvl>
    <w:lvl w:ilvl="7">
      <w:start w:val="0"/>
      <w:numFmt w:val="bullet"/>
      <w:lvlText w:val="•"/>
      <w:lvlJc w:val="left"/>
      <w:pPr>
        <w:ind w:left="5389" w:hanging="529"/>
      </w:pPr>
      <w:rPr>
        <w:rFonts w:hint="default"/>
        <w:lang w:val="en-US" w:eastAsia="zh-CN" w:bidi="ar-SA"/>
      </w:rPr>
    </w:lvl>
    <w:lvl w:ilvl="8">
      <w:start w:val="0"/>
      <w:numFmt w:val="bullet"/>
      <w:lvlText w:val="•"/>
      <w:lvlJc w:val="left"/>
      <w:pPr>
        <w:ind w:left="6042" w:hanging="529"/>
      </w:pPr>
      <w:rPr>
        <w:rFonts w:hint="default"/>
        <w:lang w:val="en-US" w:eastAsia="zh-CN" w:bidi="ar-SA"/>
      </w:rPr>
    </w:lvl>
  </w:abstractNum>
  <w:abstractNum w:abstractNumId="8">
    <w:multiLevelType w:val="hybridMultilevel"/>
    <w:lvl w:ilvl="0">
      <w:start w:val="1"/>
      <w:numFmt w:val="decimal"/>
      <w:lvlText w:val="（%1）"/>
      <w:lvlJc w:val="left"/>
      <w:pPr>
        <w:ind w:left="3436" w:hanging="632"/>
        <w:jc w:val="left"/>
      </w:pPr>
      <w:rPr>
        <w:rFonts w:hint="default" w:ascii="仿宋" w:hAnsi="仿宋" w:eastAsia="仿宋" w:cs="仿宋"/>
        <w:b w:val="0"/>
        <w:bCs w:val="0"/>
        <w:i w:val="0"/>
        <w:iCs w:val="0"/>
        <w:w w:val="100"/>
        <w:sz w:val="21"/>
        <w:szCs w:val="21"/>
        <w:lang w:val="en-US" w:eastAsia="zh-CN" w:bidi="ar-SA"/>
      </w:rPr>
    </w:lvl>
    <w:lvl w:ilvl="1">
      <w:start w:val="0"/>
      <w:numFmt w:val="bullet"/>
      <w:lvlText w:val="•"/>
      <w:lvlJc w:val="left"/>
      <w:pPr>
        <w:ind w:left="4082" w:hanging="632"/>
      </w:pPr>
      <w:rPr>
        <w:rFonts w:hint="default"/>
        <w:lang w:val="en-US" w:eastAsia="zh-CN" w:bidi="ar-SA"/>
      </w:rPr>
    </w:lvl>
    <w:lvl w:ilvl="2">
      <w:start w:val="0"/>
      <w:numFmt w:val="bullet"/>
      <w:lvlText w:val="•"/>
      <w:lvlJc w:val="left"/>
      <w:pPr>
        <w:ind w:left="4725" w:hanging="632"/>
      </w:pPr>
      <w:rPr>
        <w:rFonts w:hint="default"/>
        <w:lang w:val="en-US" w:eastAsia="zh-CN" w:bidi="ar-SA"/>
      </w:rPr>
    </w:lvl>
    <w:lvl w:ilvl="3">
      <w:start w:val="0"/>
      <w:numFmt w:val="bullet"/>
      <w:lvlText w:val="•"/>
      <w:lvlJc w:val="left"/>
      <w:pPr>
        <w:ind w:left="5367" w:hanging="632"/>
      </w:pPr>
      <w:rPr>
        <w:rFonts w:hint="default"/>
        <w:lang w:val="en-US" w:eastAsia="zh-CN" w:bidi="ar-SA"/>
      </w:rPr>
    </w:lvl>
    <w:lvl w:ilvl="4">
      <w:start w:val="0"/>
      <w:numFmt w:val="bullet"/>
      <w:lvlText w:val="•"/>
      <w:lvlJc w:val="left"/>
      <w:pPr>
        <w:ind w:left="6010" w:hanging="632"/>
      </w:pPr>
      <w:rPr>
        <w:rFonts w:hint="default"/>
        <w:lang w:val="en-US" w:eastAsia="zh-CN" w:bidi="ar-SA"/>
      </w:rPr>
    </w:lvl>
    <w:lvl w:ilvl="5">
      <w:start w:val="0"/>
      <w:numFmt w:val="bullet"/>
      <w:lvlText w:val="•"/>
      <w:lvlJc w:val="left"/>
      <w:pPr>
        <w:ind w:left="6653" w:hanging="632"/>
      </w:pPr>
      <w:rPr>
        <w:rFonts w:hint="default"/>
        <w:lang w:val="en-US" w:eastAsia="zh-CN" w:bidi="ar-SA"/>
      </w:rPr>
    </w:lvl>
    <w:lvl w:ilvl="6">
      <w:start w:val="0"/>
      <w:numFmt w:val="bullet"/>
      <w:lvlText w:val="•"/>
      <w:lvlJc w:val="left"/>
      <w:pPr>
        <w:ind w:left="7295" w:hanging="632"/>
      </w:pPr>
      <w:rPr>
        <w:rFonts w:hint="default"/>
        <w:lang w:val="en-US" w:eastAsia="zh-CN" w:bidi="ar-SA"/>
      </w:rPr>
    </w:lvl>
    <w:lvl w:ilvl="7">
      <w:start w:val="0"/>
      <w:numFmt w:val="bullet"/>
      <w:lvlText w:val="•"/>
      <w:lvlJc w:val="left"/>
      <w:pPr>
        <w:ind w:left="7938" w:hanging="632"/>
      </w:pPr>
      <w:rPr>
        <w:rFonts w:hint="default"/>
        <w:lang w:val="en-US" w:eastAsia="zh-CN" w:bidi="ar-SA"/>
      </w:rPr>
    </w:lvl>
    <w:lvl w:ilvl="8">
      <w:start w:val="0"/>
      <w:numFmt w:val="bullet"/>
      <w:lvlText w:val="•"/>
      <w:lvlJc w:val="left"/>
      <w:pPr>
        <w:ind w:left="8581" w:hanging="632"/>
      </w:pPr>
      <w:rPr>
        <w:rFonts w:hint="default"/>
        <w:lang w:val="en-US" w:eastAsia="zh-CN" w:bidi="ar-SA"/>
      </w:rPr>
    </w:lvl>
  </w:abstractNum>
  <w:abstractNum w:abstractNumId="7">
    <w:multiLevelType w:val="hybridMultilevel"/>
    <w:lvl w:ilvl="0">
      <w:start w:val="1"/>
      <w:numFmt w:val="decimal"/>
      <w:lvlText w:val="（%1）"/>
      <w:lvlJc w:val="left"/>
      <w:pPr>
        <w:ind w:left="816"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2800" w:hanging="529"/>
      </w:pPr>
      <w:rPr>
        <w:rFonts w:hint="default"/>
        <w:lang w:val="en-US" w:eastAsia="zh-CN" w:bidi="ar-SA"/>
      </w:rPr>
    </w:lvl>
    <w:lvl w:ilvl="2">
      <w:start w:val="0"/>
      <w:numFmt w:val="bullet"/>
      <w:lvlText w:val="•"/>
      <w:lvlJc w:val="left"/>
      <w:pPr>
        <w:ind w:left="3305" w:hanging="529"/>
      </w:pPr>
      <w:rPr>
        <w:rFonts w:hint="default"/>
        <w:lang w:val="en-US" w:eastAsia="zh-CN" w:bidi="ar-SA"/>
      </w:rPr>
    </w:lvl>
    <w:lvl w:ilvl="3">
      <w:start w:val="0"/>
      <w:numFmt w:val="bullet"/>
      <w:lvlText w:val="•"/>
      <w:lvlJc w:val="left"/>
      <w:pPr>
        <w:ind w:left="3810" w:hanging="529"/>
      </w:pPr>
      <w:rPr>
        <w:rFonts w:hint="default"/>
        <w:lang w:val="en-US" w:eastAsia="zh-CN" w:bidi="ar-SA"/>
      </w:rPr>
    </w:lvl>
    <w:lvl w:ilvl="4">
      <w:start w:val="0"/>
      <w:numFmt w:val="bullet"/>
      <w:lvlText w:val="•"/>
      <w:lvlJc w:val="left"/>
      <w:pPr>
        <w:ind w:left="4316" w:hanging="529"/>
      </w:pPr>
      <w:rPr>
        <w:rFonts w:hint="default"/>
        <w:lang w:val="en-US" w:eastAsia="zh-CN" w:bidi="ar-SA"/>
      </w:rPr>
    </w:lvl>
    <w:lvl w:ilvl="5">
      <w:start w:val="0"/>
      <w:numFmt w:val="bullet"/>
      <w:lvlText w:val="•"/>
      <w:lvlJc w:val="left"/>
      <w:pPr>
        <w:ind w:left="4821" w:hanging="529"/>
      </w:pPr>
      <w:rPr>
        <w:rFonts w:hint="default"/>
        <w:lang w:val="en-US" w:eastAsia="zh-CN" w:bidi="ar-SA"/>
      </w:rPr>
    </w:lvl>
    <w:lvl w:ilvl="6">
      <w:start w:val="0"/>
      <w:numFmt w:val="bullet"/>
      <w:lvlText w:val="•"/>
      <w:lvlJc w:val="left"/>
      <w:pPr>
        <w:ind w:left="5326" w:hanging="529"/>
      </w:pPr>
      <w:rPr>
        <w:rFonts w:hint="default"/>
        <w:lang w:val="en-US" w:eastAsia="zh-CN" w:bidi="ar-SA"/>
      </w:rPr>
    </w:lvl>
    <w:lvl w:ilvl="7">
      <w:start w:val="0"/>
      <w:numFmt w:val="bullet"/>
      <w:lvlText w:val="•"/>
      <w:lvlJc w:val="left"/>
      <w:pPr>
        <w:ind w:left="5832" w:hanging="529"/>
      </w:pPr>
      <w:rPr>
        <w:rFonts w:hint="default"/>
        <w:lang w:val="en-US" w:eastAsia="zh-CN" w:bidi="ar-SA"/>
      </w:rPr>
    </w:lvl>
    <w:lvl w:ilvl="8">
      <w:start w:val="0"/>
      <w:numFmt w:val="bullet"/>
      <w:lvlText w:val="•"/>
      <w:lvlJc w:val="left"/>
      <w:pPr>
        <w:ind w:left="6337" w:hanging="529"/>
      </w:pPr>
      <w:rPr>
        <w:rFonts w:hint="default"/>
        <w:lang w:val="en-US" w:eastAsia="zh-CN" w:bidi="ar-SA"/>
      </w:rPr>
    </w:lvl>
  </w:abstractNum>
  <w:abstractNum w:abstractNumId="6">
    <w:multiLevelType w:val="hybridMultilevel"/>
    <w:lvl w:ilvl="0">
      <w:start w:val="1"/>
      <w:numFmt w:val="decimal"/>
      <w:lvlText w:val="（%1）"/>
      <w:lvlJc w:val="left"/>
      <w:pPr>
        <w:ind w:left="669" w:hanging="529"/>
        <w:jc w:val="left"/>
      </w:pPr>
      <w:rPr>
        <w:rFonts w:hint="default" w:ascii="仿宋" w:hAnsi="仿宋" w:eastAsia="仿宋" w:cs="仿宋"/>
        <w:b w:val="0"/>
        <w:bCs w:val="0"/>
        <w:i w:val="0"/>
        <w:iCs w:val="0"/>
        <w:spacing w:val="-3"/>
        <w:w w:val="100"/>
        <w:sz w:val="19"/>
        <w:szCs w:val="19"/>
        <w:lang w:val="en-US" w:eastAsia="zh-CN" w:bidi="ar-SA"/>
      </w:rPr>
    </w:lvl>
    <w:lvl w:ilvl="1">
      <w:start w:val="1"/>
      <w:numFmt w:val="decimal"/>
      <w:lvlText w:val="（%2）"/>
      <w:lvlJc w:val="left"/>
      <w:pPr>
        <w:ind w:left="880" w:hanging="529"/>
        <w:jc w:val="left"/>
      </w:pPr>
      <w:rPr>
        <w:rFonts w:hint="default" w:ascii="仿宋" w:hAnsi="仿宋" w:eastAsia="仿宋" w:cs="仿宋"/>
        <w:b w:val="0"/>
        <w:bCs w:val="0"/>
        <w:i w:val="0"/>
        <w:iCs w:val="0"/>
        <w:spacing w:val="-3"/>
        <w:w w:val="100"/>
        <w:sz w:val="19"/>
        <w:szCs w:val="19"/>
        <w:lang w:val="en-US" w:eastAsia="zh-CN" w:bidi="ar-SA"/>
      </w:rPr>
    </w:lvl>
    <w:lvl w:ilvl="2">
      <w:start w:val="0"/>
      <w:numFmt w:val="bullet"/>
      <w:lvlText w:val="•"/>
      <w:lvlJc w:val="left"/>
      <w:pPr>
        <w:ind w:left="1878" w:hanging="529"/>
      </w:pPr>
      <w:rPr>
        <w:rFonts w:hint="default"/>
        <w:lang w:val="en-US" w:eastAsia="zh-CN" w:bidi="ar-SA"/>
      </w:rPr>
    </w:lvl>
    <w:lvl w:ilvl="3">
      <w:start w:val="0"/>
      <w:numFmt w:val="bullet"/>
      <w:lvlText w:val="•"/>
      <w:lvlJc w:val="left"/>
      <w:pPr>
        <w:ind w:left="2876" w:hanging="529"/>
      </w:pPr>
      <w:rPr>
        <w:rFonts w:hint="default"/>
        <w:lang w:val="en-US" w:eastAsia="zh-CN" w:bidi="ar-SA"/>
      </w:rPr>
    </w:lvl>
    <w:lvl w:ilvl="4">
      <w:start w:val="0"/>
      <w:numFmt w:val="bullet"/>
      <w:lvlText w:val="•"/>
      <w:lvlJc w:val="left"/>
      <w:pPr>
        <w:ind w:left="3875" w:hanging="529"/>
      </w:pPr>
      <w:rPr>
        <w:rFonts w:hint="default"/>
        <w:lang w:val="en-US" w:eastAsia="zh-CN" w:bidi="ar-SA"/>
      </w:rPr>
    </w:lvl>
    <w:lvl w:ilvl="5">
      <w:start w:val="0"/>
      <w:numFmt w:val="bullet"/>
      <w:lvlText w:val="•"/>
      <w:lvlJc w:val="left"/>
      <w:pPr>
        <w:ind w:left="4873" w:hanging="529"/>
      </w:pPr>
      <w:rPr>
        <w:rFonts w:hint="default"/>
        <w:lang w:val="en-US" w:eastAsia="zh-CN" w:bidi="ar-SA"/>
      </w:rPr>
    </w:lvl>
    <w:lvl w:ilvl="6">
      <w:start w:val="0"/>
      <w:numFmt w:val="bullet"/>
      <w:lvlText w:val="•"/>
      <w:lvlJc w:val="left"/>
      <w:pPr>
        <w:ind w:left="5872" w:hanging="529"/>
      </w:pPr>
      <w:rPr>
        <w:rFonts w:hint="default"/>
        <w:lang w:val="en-US" w:eastAsia="zh-CN" w:bidi="ar-SA"/>
      </w:rPr>
    </w:lvl>
    <w:lvl w:ilvl="7">
      <w:start w:val="0"/>
      <w:numFmt w:val="bullet"/>
      <w:lvlText w:val="•"/>
      <w:lvlJc w:val="left"/>
      <w:pPr>
        <w:ind w:left="6870" w:hanging="529"/>
      </w:pPr>
      <w:rPr>
        <w:rFonts w:hint="default"/>
        <w:lang w:val="en-US" w:eastAsia="zh-CN" w:bidi="ar-SA"/>
      </w:rPr>
    </w:lvl>
    <w:lvl w:ilvl="8">
      <w:start w:val="0"/>
      <w:numFmt w:val="bullet"/>
      <w:lvlText w:val="•"/>
      <w:lvlJc w:val="left"/>
      <w:pPr>
        <w:ind w:left="7869" w:hanging="529"/>
      </w:pPr>
      <w:rPr>
        <w:rFonts w:hint="default"/>
        <w:lang w:val="en-US" w:eastAsia="zh-CN" w:bidi="ar-SA"/>
      </w:rPr>
    </w:lvl>
  </w:abstractNum>
  <w:abstractNum w:abstractNumId="5">
    <w:multiLevelType w:val="hybridMultilevel"/>
    <w:lvl w:ilvl="0">
      <w:start w:val="2"/>
      <w:numFmt w:val="decimal"/>
      <w:lvlText w:val="%1"/>
      <w:lvlJc w:val="left"/>
      <w:pPr>
        <w:ind w:left="1210" w:hanging="958"/>
        <w:jc w:val="left"/>
      </w:pPr>
      <w:rPr>
        <w:rFonts w:hint="default"/>
        <w:lang w:val="en-US" w:eastAsia="zh-CN" w:bidi="ar-SA"/>
      </w:rPr>
    </w:lvl>
    <w:lvl w:ilvl="1">
      <w:start w:val="1"/>
      <w:numFmt w:val="decimal"/>
      <w:lvlText w:val="%1.%2"/>
      <w:lvlJc w:val="left"/>
      <w:pPr>
        <w:ind w:left="1210" w:hanging="958"/>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334" w:hanging="529"/>
        <w:jc w:val="left"/>
      </w:pPr>
      <w:rPr>
        <w:rFonts w:hint="default" w:ascii="仿宋" w:hAnsi="仿宋" w:eastAsia="仿宋" w:cs="仿宋"/>
        <w:b w:val="0"/>
        <w:bCs w:val="0"/>
        <w:i w:val="0"/>
        <w:iCs w:val="0"/>
        <w:spacing w:val="-3"/>
        <w:w w:val="100"/>
        <w:sz w:val="19"/>
        <w:szCs w:val="19"/>
        <w:lang w:val="en-US" w:eastAsia="zh-CN" w:bidi="ar-SA"/>
      </w:rPr>
    </w:lvl>
    <w:lvl w:ilvl="3">
      <w:start w:val="0"/>
      <w:numFmt w:val="bullet"/>
      <w:lvlText w:val="•"/>
      <w:lvlJc w:val="left"/>
      <w:pPr>
        <w:ind w:left="4790" w:hanging="529"/>
      </w:pPr>
      <w:rPr>
        <w:rFonts w:hint="default"/>
        <w:lang w:val="en-US" w:eastAsia="zh-CN" w:bidi="ar-SA"/>
      </w:rPr>
    </w:lvl>
    <w:lvl w:ilvl="4">
      <w:start w:val="0"/>
      <w:numFmt w:val="bullet"/>
      <w:lvlText w:val="•"/>
      <w:lvlJc w:val="left"/>
      <w:pPr>
        <w:ind w:left="5515" w:hanging="529"/>
      </w:pPr>
      <w:rPr>
        <w:rFonts w:hint="default"/>
        <w:lang w:val="en-US" w:eastAsia="zh-CN" w:bidi="ar-SA"/>
      </w:rPr>
    </w:lvl>
    <w:lvl w:ilvl="5">
      <w:start w:val="0"/>
      <w:numFmt w:val="bullet"/>
      <w:lvlText w:val="•"/>
      <w:lvlJc w:val="left"/>
      <w:pPr>
        <w:ind w:left="6240" w:hanging="529"/>
      </w:pPr>
      <w:rPr>
        <w:rFonts w:hint="default"/>
        <w:lang w:val="en-US" w:eastAsia="zh-CN" w:bidi="ar-SA"/>
      </w:rPr>
    </w:lvl>
    <w:lvl w:ilvl="6">
      <w:start w:val="0"/>
      <w:numFmt w:val="bullet"/>
      <w:lvlText w:val="•"/>
      <w:lvlJc w:val="left"/>
      <w:pPr>
        <w:ind w:left="6965" w:hanging="529"/>
      </w:pPr>
      <w:rPr>
        <w:rFonts w:hint="default"/>
        <w:lang w:val="en-US" w:eastAsia="zh-CN" w:bidi="ar-SA"/>
      </w:rPr>
    </w:lvl>
    <w:lvl w:ilvl="7">
      <w:start w:val="0"/>
      <w:numFmt w:val="bullet"/>
      <w:lvlText w:val="•"/>
      <w:lvlJc w:val="left"/>
      <w:pPr>
        <w:ind w:left="7690" w:hanging="529"/>
      </w:pPr>
      <w:rPr>
        <w:rFonts w:hint="default"/>
        <w:lang w:val="en-US" w:eastAsia="zh-CN" w:bidi="ar-SA"/>
      </w:rPr>
    </w:lvl>
    <w:lvl w:ilvl="8">
      <w:start w:val="0"/>
      <w:numFmt w:val="bullet"/>
      <w:lvlText w:val="•"/>
      <w:lvlJc w:val="left"/>
      <w:pPr>
        <w:ind w:left="8416" w:hanging="529"/>
      </w:pPr>
      <w:rPr>
        <w:rFonts w:hint="default"/>
        <w:lang w:val="en-US" w:eastAsia="zh-CN" w:bidi="ar-SA"/>
      </w:rPr>
    </w:lvl>
  </w:abstractNum>
  <w:abstractNum w:abstractNumId="4">
    <w:multiLevelType w:val="hybridMultilevel"/>
    <w:lvl w:ilvl="0">
      <w:start w:val="1"/>
      <w:numFmt w:val="decimal"/>
      <w:lvlText w:val="（%1）"/>
      <w:lvlJc w:val="left"/>
      <w:pPr>
        <w:ind w:left="782"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433" w:hanging="529"/>
      </w:pPr>
      <w:rPr>
        <w:rFonts w:hint="default"/>
        <w:lang w:val="en-US" w:eastAsia="zh-CN" w:bidi="ar-SA"/>
      </w:rPr>
    </w:lvl>
    <w:lvl w:ilvl="2">
      <w:start w:val="0"/>
      <w:numFmt w:val="bullet"/>
      <w:lvlText w:val="•"/>
      <w:lvlJc w:val="left"/>
      <w:pPr>
        <w:ind w:left="2086" w:hanging="529"/>
      </w:pPr>
      <w:rPr>
        <w:rFonts w:hint="default"/>
        <w:lang w:val="en-US" w:eastAsia="zh-CN" w:bidi="ar-SA"/>
      </w:rPr>
    </w:lvl>
    <w:lvl w:ilvl="3">
      <w:start w:val="0"/>
      <w:numFmt w:val="bullet"/>
      <w:lvlText w:val="•"/>
      <w:lvlJc w:val="left"/>
      <w:pPr>
        <w:ind w:left="2740" w:hanging="529"/>
      </w:pPr>
      <w:rPr>
        <w:rFonts w:hint="default"/>
        <w:lang w:val="en-US" w:eastAsia="zh-CN" w:bidi="ar-SA"/>
      </w:rPr>
    </w:lvl>
    <w:lvl w:ilvl="4">
      <w:start w:val="0"/>
      <w:numFmt w:val="bullet"/>
      <w:lvlText w:val="•"/>
      <w:lvlJc w:val="left"/>
      <w:pPr>
        <w:ind w:left="3393" w:hanging="529"/>
      </w:pPr>
      <w:rPr>
        <w:rFonts w:hint="default"/>
        <w:lang w:val="en-US" w:eastAsia="zh-CN" w:bidi="ar-SA"/>
      </w:rPr>
    </w:lvl>
    <w:lvl w:ilvl="5">
      <w:start w:val="0"/>
      <w:numFmt w:val="bullet"/>
      <w:lvlText w:val="•"/>
      <w:lvlJc w:val="left"/>
      <w:pPr>
        <w:ind w:left="4047" w:hanging="529"/>
      </w:pPr>
      <w:rPr>
        <w:rFonts w:hint="default"/>
        <w:lang w:val="en-US" w:eastAsia="zh-CN" w:bidi="ar-SA"/>
      </w:rPr>
    </w:lvl>
    <w:lvl w:ilvl="6">
      <w:start w:val="0"/>
      <w:numFmt w:val="bullet"/>
      <w:lvlText w:val="•"/>
      <w:lvlJc w:val="left"/>
      <w:pPr>
        <w:ind w:left="4700" w:hanging="529"/>
      </w:pPr>
      <w:rPr>
        <w:rFonts w:hint="default"/>
        <w:lang w:val="en-US" w:eastAsia="zh-CN" w:bidi="ar-SA"/>
      </w:rPr>
    </w:lvl>
    <w:lvl w:ilvl="7">
      <w:start w:val="0"/>
      <w:numFmt w:val="bullet"/>
      <w:lvlText w:val="•"/>
      <w:lvlJc w:val="left"/>
      <w:pPr>
        <w:ind w:left="5354" w:hanging="529"/>
      </w:pPr>
      <w:rPr>
        <w:rFonts w:hint="default"/>
        <w:lang w:val="en-US" w:eastAsia="zh-CN" w:bidi="ar-SA"/>
      </w:rPr>
    </w:lvl>
    <w:lvl w:ilvl="8">
      <w:start w:val="0"/>
      <w:numFmt w:val="bullet"/>
      <w:lvlText w:val="•"/>
      <w:lvlJc w:val="left"/>
      <w:pPr>
        <w:ind w:left="6007" w:hanging="529"/>
      </w:pPr>
      <w:rPr>
        <w:rFonts w:hint="default"/>
        <w:lang w:val="en-US" w:eastAsia="zh-CN" w:bidi="ar-SA"/>
      </w:rPr>
    </w:lvl>
  </w:abstractNum>
  <w:abstractNum w:abstractNumId="3">
    <w:multiLevelType w:val="hybridMultilevel"/>
    <w:lvl w:ilvl="0">
      <w:start w:val="1"/>
      <w:numFmt w:val="decimal"/>
      <w:lvlText w:val="%1"/>
      <w:lvlJc w:val="left"/>
      <w:pPr>
        <w:ind w:left="2781" w:hanging="958"/>
        <w:jc w:val="left"/>
      </w:pPr>
      <w:rPr>
        <w:rFonts w:hint="default"/>
        <w:lang w:val="en-US" w:eastAsia="zh-CN" w:bidi="ar-SA"/>
      </w:rPr>
    </w:lvl>
    <w:lvl w:ilvl="1">
      <w:start w:val="1"/>
      <w:numFmt w:val="decimal"/>
      <w:lvlText w:val="%1.%2"/>
      <w:lvlJc w:val="left"/>
      <w:pPr>
        <w:ind w:left="2781" w:hanging="958"/>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197" w:hanging="958"/>
      </w:pPr>
      <w:rPr>
        <w:rFonts w:hint="default"/>
        <w:lang w:val="en-US" w:eastAsia="zh-CN" w:bidi="ar-SA"/>
      </w:rPr>
    </w:lvl>
    <w:lvl w:ilvl="3">
      <w:start w:val="0"/>
      <w:numFmt w:val="bullet"/>
      <w:lvlText w:val="•"/>
      <w:lvlJc w:val="left"/>
      <w:pPr>
        <w:ind w:left="4905" w:hanging="958"/>
      </w:pPr>
      <w:rPr>
        <w:rFonts w:hint="default"/>
        <w:lang w:val="en-US" w:eastAsia="zh-CN" w:bidi="ar-SA"/>
      </w:rPr>
    </w:lvl>
    <w:lvl w:ilvl="4">
      <w:start w:val="0"/>
      <w:numFmt w:val="bullet"/>
      <w:lvlText w:val="•"/>
      <w:lvlJc w:val="left"/>
      <w:pPr>
        <w:ind w:left="5614" w:hanging="958"/>
      </w:pPr>
      <w:rPr>
        <w:rFonts w:hint="default"/>
        <w:lang w:val="en-US" w:eastAsia="zh-CN" w:bidi="ar-SA"/>
      </w:rPr>
    </w:lvl>
    <w:lvl w:ilvl="5">
      <w:start w:val="0"/>
      <w:numFmt w:val="bullet"/>
      <w:lvlText w:val="•"/>
      <w:lvlJc w:val="left"/>
      <w:pPr>
        <w:ind w:left="6323" w:hanging="958"/>
      </w:pPr>
      <w:rPr>
        <w:rFonts w:hint="default"/>
        <w:lang w:val="en-US" w:eastAsia="zh-CN" w:bidi="ar-SA"/>
      </w:rPr>
    </w:lvl>
    <w:lvl w:ilvl="6">
      <w:start w:val="0"/>
      <w:numFmt w:val="bullet"/>
      <w:lvlText w:val="•"/>
      <w:lvlJc w:val="left"/>
      <w:pPr>
        <w:ind w:left="7031" w:hanging="958"/>
      </w:pPr>
      <w:rPr>
        <w:rFonts w:hint="default"/>
        <w:lang w:val="en-US" w:eastAsia="zh-CN" w:bidi="ar-SA"/>
      </w:rPr>
    </w:lvl>
    <w:lvl w:ilvl="7">
      <w:start w:val="0"/>
      <w:numFmt w:val="bullet"/>
      <w:lvlText w:val="•"/>
      <w:lvlJc w:val="left"/>
      <w:pPr>
        <w:ind w:left="7740" w:hanging="958"/>
      </w:pPr>
      <w:rPr>
        <w:rFonts w:hint="default"/>
        <w:lang w:val="en-US" w:eastAsia="zh-CN" w:bidi="ar-SA"/>
      </w:rPr>
    </w:lvl>
    <w:lvl w:ilvl="8">
      <w:start w:val="0"/>
      <w:numFmt w:val="bullet"/>
      <w:lvlText w:val="•"/>
      <w:lvlJc w:val="left"/>
      <w:pPr>
        <w:ind w:left="8449" w:hanging="958"/>
      </w:pPr>
      <w:rPr>
        <w:rFonts w:hint="default"/>
        <w:lang w:val="en-US" w:eastAsia="zh-CN" w:bidi="ar-SA"/>
      </w:rPr>
    </w:lvl>
  </w:abstractNum>
  <w:abstractNum w:abstractNumId="2">
    <w:multiLevelType w:val="hybridMultilevel"/>
    <w:lvl w:ilvl="0">
      <w:start w:val="6"/>
      <w:numFmt w:val="decimal"/>
      <w:lvlText w:val="%1."/>
      <w:lvlJc w:val="left"/>
      <w:pPr>
        <w:ind w:left="521" w:hanging="420"/>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627" w:hanging="421"/>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870" w:hanging="421"/>
      </w:pPr>
      <w:rPr>
        <w:rFonts w:hint="default"/>
        <w:lang w:val="en-US" w:eastAsia="zh-CN" w:bidi="ar-SA"/>
      </w:rPr>
    </w:lvl>
    <w:lvl w:ilvl="3">
      <w:start w:val="0"/>
      <w:numFmt w:val="bullet"/>
      <w:lvlText w:val="•"/>
      <w:lvlJc w:val="left"/>
      <w:pPr>
        <w:ind w:left="1121" w:hanging="421"/>
      </w:pPr>
      <w:rPr>
        <w:rFonts w:hint="default"/>
        <w:lang w:val="en-US" w:eastAsia="zh-CN" w:bidi="ar-SA"/>
      </w:rPr>
    </w:lvl>
    <w:lvl w:ilvl="4">
      <w:start w:val="0"/>
      <w:numFmt w:val="bullet"/>
      <w:lvlText w:val="•"/>
      <w:lvlJc w:val="left"/>
      <w:pPr>
        <w:ind w:left="1372" w:hanging="421"/>
      </w:pPr>
      <w:rPr>
        <w:rFonts w:hint="default"/>
        <w:lang w:val="en-US" w:eastAsia="zh-CN" w:bidi="ar-SA"/>
      </w:rPr>
    </w:lvl>
    <w:lvl w:ilvl="5">
      <w:start w:val="0"/>
      <w:numFmt w:val="bullet"/>
      <w:lvlText w:val="•"/>
      <w:lvlJc w:val="left"/>
      <w:pPr>
        <w:ind w:left="1623" w:hanging="421"/>
      </w:pPr>
      <w:rPr>
        <w:rFonts w:hint="default"/>
        <w:lang w:val="en-US" w:eastAsia="zh-CN" w:bidi="ar-SA"/>
      </w:rPr>
    </w:lvl>
    <w:lvl w:ilvl="6">
      <w:start w:val="0"/>
      <w:numFmt w:val="bullet"/>
      <w:lvlText w:val="•"/>
      <w:lvlJc w:val="left"/>
      <w:pPr>
        <w:ind w:left="1873" w:hanging="421"/>
      </w:pPr>
      <w:rPr>
        <w:rFonts w:hint="default"/>
        <w:lang w:val="en-US" w:eastAsia="zh-CN" w:bidi="ar-SA"/>
      </w:rPr>
    </w:lvl>
    <w:lvl w:ilvl="7">
      <w:start w:val="0"/>
      <w:numFmt w:val="bullet"/>
      <w:lvlText w:val="•"/>
      <w:lvlJc w:val="left"/>
      <w:pPr>
        <w:ind w:left="2124" w:hanging="421"/>
      </w:pPr>
      <w:rPr>
        <w:rFonts w:hint="default"/>
        <w:lang w:val="en-US" w:eastAsia="zh-CN" w:bidi="ar-SA"/>
      </w:rPr>
    </w:lvl>
    <w:lvl w:ilvl="8">
      <w:start w:val="0"/>
      <w:numFmt w:val="bullet"/>
      <w:lvlText w:val="•"/>
      <w:lvlJc w:val="left"/>
      <w:pPr>
        <w:ind w:left="2375" w:hanging="421"/>
      </w:pPr>
      <w:rPr>
        <w:rFonts w:hint="default"/>
        <w:lang w:val="en-US" w:eastAsia="zh-CN" w:bidi="ar-SA"/>
      </w:rPr>
    </w:lvl>
  </w:abstractNum>
  <w:abstractNum w:abstractNumId="1">
    <w:multiLevelType w:val="hybridMultilevel"/>
    <w:lvl w:ilvl="0">
      <w:start w:val="3"/>
      <w:numFmt w:val="decimal"/>
      <w:lvlText w:val="%1."/>
      <w:lvlJc w:val="left"/>
      <w:pPr>
        <w:ind w:left="523" w:hanging="420"/>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612" w:hanging="42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640" w:hanging="420"/>
      </w:pPr>
      <w:rPr>
        <w:rFonts w:hint="default"/>
        <w:lang w:val="en-US" w:eastAsia="zh-CN" w:bidi="ar-SA"/>
      </w:rPr>
    </w:lvl>
    <w:lvl w:ilvl="3">
      <w:start w:val="0"/>
      <w:numFmt w:val="bullet"/>
      <w:lvlText w:val="•"/>
      <w:lvlJc w:val="left"/>
      <w:pPr>
        <w:ind w:left="660" w:hanging="420"/>
      </w:pPr>
      <w:rPr>
        <w:rFonts w:hint="default"/>
        <w:lang w:val="en-US" w:eastAsia="zh-CN" w:bidi="ar-SA"/>
      </w:rPr>
    </w:lvl>
    <w:lvl w:ilvl="4">
      <w:start w:val="0"/>
      <w:numFmt w:val="bullet"/>
      <w:lvlText w:val="•"/>
      <w:lvlJc w:val="left"/>
      <w:pPr>
        <w:ind w:left="1065" w:hanging="420"/>
      </w:pPr>
      <w:rPr>
        <w:rFonts w:hint="default"/>
        <w:lang w:val="en-US" w:eastAsia="zh-CN" w:bidi="ar-SA"/>
      </w:rPr>
    </w:lvl>
    <w:lvl w:ilvl="5">
      <w:start w:val="0"/>
      <w:numFmt w:val="bullet"/>
      <w:lvlText w:val="•"/>
      <w:lvlJc w:val="left"/>
      <w:pPr>
        <w:ind w:left="1471" w:hanging="420"/>
      </w:pPr>
      <w:rPr>
        <w:rFonts w:hint="default"/>
        <w:lang w:val="en-US" w:eastAsia="zh-CN" w:bidi="ar-SA"/>
      </w:rPr>
    </w:lvl>
    <w:lvl w:ilvl="6">
      <w:start w:val="0"/>
      <w:numFmt w:val="bullet"/>
      <w:lvlText w:val="•"/>
      <w:lvlJc w:val="left"/>
      <w:pPr>
        <w:ind w:left="1876" w:hanging="420"/>
      </w:pPr>
      <w:rPr>
        <w:rFonts w:hint="default"/>
        <w:lang w:val="en-US" w:eastAsia="zh-CN" w:bidi="ar-SA"/>
      </w:rPr>
    </w:lvl>
    <w:lvl w:ilvl="7">
      <w:start w:val="0"/>
      <w:numFmt w:val="bullet"/>
      <w:lvlText w:val="•"/>
      <w:lvlJc w:val="left"/>
      <w:pPr>
        <w:ind w:left="2282" w:hanging="420"/>
      </w:pPr>
      <w:rPr>
        <w:rFonts w:hint="default"/>
        <w:lang w:val="en-US" w:eastAsia="zh-CN" w:bidi="ar-SA"/>
      </w:rPr>
    </w:lvl>
    <w:lvl w:ilvl="8">
      <w:start w:val="0"/>
      <w:numFmt w:val="bullet"/>
      <w:lvlText w:val="•"/>
      <w:lvlJc w:val="left"/>
      <w:pPr>
        <w:ind w:left="2687" w:hanging="420"/>
      </w:pPr>
      <w:rPr>
        <w:rFonts w:hint="default"/>
        <w:lang w:val="en-US" w:eastAsia="zh-CN" w:bidi="ar-SA"/>
      </w:rPr>
    </w:lvl>
  </w:abstractNum>
  <w:abstractNum w:abstractNumId="0">
    <w:multiLevelType w:val="hybridMultilevel"/>
    <w:lvl w:ilvl="0">
      <w:start w:val="1"/>
      <w:numFmt w:val="decimal"/>
      <w:lvlText w:val="%1."/>
      <w:lvlJc w:val="left"/>
      <w:pPr>
        <w:ind w:left="537" w:hanging="420"/>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647" w:hanging="425"/>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912" w:hanging="425"/>
      </w:pPr>
      <w:rPr>
        <w:rFonts w:hint="default"/>
        <w:lang w:val="en-US" w:eastAsia="zh-CN" w:bidi="ar-SA"/>
      </w:rPr>
    </w:lvl>
    <w:lvl w:ilvl="3">
      <w:start w:val="0"/>
      <w:numFmt w:val="bullet"/>
      <w:lvlText w:val="•"/>
      <w:lvlJc w:val="left"/>
      <w:pPr>
        <w:ind w:left="1184" w:hanging="425"/>
      </w:pPr>
      <w:rPr>
        <w:rFonts w:hint="default"/>
        <w:lang w:val="en-US" w:eastAsia="zh-CN" w:bidi="ar-SA"/>
      </w:rPr>
    </w:lvl>
    <w:lvl w:ilvl="4">
      <w:start w:val="0"/>
      <w:numFmt w:val="bullet"/>
      <w:lvlText w:val="•"/>
      <w:lvlJc w:val="left"/>
      <w:pPr>
        <w:ind w:left="1457" w:hanging="425"/>
      </w:pPr>
      <w:rPr>
        <w:rFonts w:hint="default"/>
        <w:lang w:val="en-US" w:eastAsia="zh-CN" w:bidi="ar-SA"/>
      </w:rPr>
    </w:lvl>
    <w:lvl w:ilvl="5">
      <w:start w:val="0"/>
      <w:numFmt w:val="bullet"/>
      <w:lvlText w:val="•"/>
      <w:lvlJc w:val="left"/>
      <w:pPr>
        <w:ind w:left="1729" w:hanging="425"/>
      </w:pPr>
      <w:rPr>
        <w:rFonts w:hint="default"/>
        <w:lang w:val="en-US" w:eastAsia="zh-CN" w:bidi="ar-SA"/>
      </w:rPr>
    </w:lvl>
    <w:lvl w:ilvl="6">
      <w:start w:val="0"/>
      <w:numFmt w:val="bullet"/>
      <w:lvlText w:val="•"/>
      <w:lvlJc w:val="left"/>
      <w:pPr>
        <w:ind w:left="2001" w:hanging="425"/>
      </w:pPr>
      <w:rPr>
        <w:rFonts w:hint="default"/>
        <w:lang w:val="en-US" w:eastAsia="zh-CN" w:bidi="ar-SA"/>
      </w:rPr>
    </w:lvl>
    <w:lvl w:ilvl="7">
      <w:start w:val="0"/>
      <w:numFmt w:val="bullet"/>
      <w:lvlText w:val="•"/>
      <w:lvlJc w:val="left"/>
      <w:pPr>
        <w:ind w:left="2274" w:hanging="425"/>
      </w:pPr>
      <w:rPr>
        <w:rFonts w:hint="default"/>
        <w:lang w:val="en-US" w:eastAsia="zh-CN" w:bidi="ar-SA"/>
      </w:rPr>
    </w:lvl>
    <w:lvl w:ilvl="8">
      <w:start w:val="0"/>
      <w:numFmt w:val="bullet"/>
      <w:lvlText w:val="•"/>
      <w:lvlJc w:val="left"/>
      <w:pPr>
        <w:ind w:left="2546" w:hanging="425"/>
      </w:pPr>
      <w:rPr>
        <w:rFonts w:hint="default"/>
        <w:lang w:val="en-US" w:eastAsia="zh-CN" w:bidi="ar-SA"/>
      </w:rPr>
    </w:lvl>
  </w:abstractNum>
  <w:num w:numId="118">
    <w:abstractNumId w:val="117"/>
  </w:num>
  <w:num w:numId="117">
    <w:abstractNumId w:val="116"/>
  </w:num>
  <w:num w:numId="116">
    <w:abstractNumId w:val="115"/>
  </w:num>
  <w:num w:numId="115">
    <w:abstractNumId w:val="114"/>
  </w: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仿宋" w:hAnsi="仿宋" w:eastAsia="仿宋" w:cs="仿宋"/>
      <w:lang w:val="en-US" w:eastAsia="zh-CN" w:bidi="ar-SA"/>
    </w:rPr>
  </w:style>
  <w:style w:styleId="BodyText" w:type="paragraph">
    <w:name w:val="Body Text"/>
    <w:basedOn w:val="Normal"/>
    <w:uiPriority w:val="1"/>
    <w:qFormat/>
    <w:pPr/>
    <w:rPr>
      <w:rFonts w:ascii="仿宋" w:hAnsi="仿宋" w:eastAsia="仿宋" w:cs="仿宋"/>
      <w:sz w:val="21"/>
      <w:szCs w:val="21"/>
      <w:lang w:val="en-US" w:eastAsia="zh-CN" w:bidi="ar-SA"/>
    </w:rPr>
  </w:style>
  <w:style w:styleId="Heading1" w:type="paragraph">
    <w:name w:val="Heading 1"/>
    <w:basedOn w:val="Normal"/>
    <w:uiPriority w:val="1"/>
    <w:qFormat/>
    <w:pPr>
      <w:spacing w:before="1" w:after="4"/>
      <w:ind w:left="253"/>
      <w:outlineLvl w:val="1"/>
    </w:pPr>
    <w:rPr>
      <w:rFonts w:ascii="微软雅黑" w:hAnsi="微软雅黑" w:eastAsia="微软雅黑" w:cs="微软雅黑"/>
      <w:b/>
      <w:bCs/>
      <w:sz w:val="24"/>
      <w:szCs w:val="24"/>
      <w:lang w:val="en-US" w:eastAsia="zh-CN" w:bidi="ar-SA"/>
    </w:rPr>
  </w:style>
  <w:style w:styleId="Heading2" w:type="paragraph">
    <w:name w:val="Heading 2"/>
    <w:basedOn w:val="Normal"/>
    <w:uiPriority w:val="1"/>
    <w:qFormat/>
    <w:pPr>
      <w:ind w:left="177"/>
      <w:outlineLvl w:val="2"/>
    </w:pPr>
    <w:rPr>
      <w:rFonts w:ascii="仿宋" w:hAnsi="仿宋" w:eastAsia="仿宋" w:cs="仿宋"/>
      <w:sz w:val="22"/>
      <w:szCs w:val="22"/>
      <w:lang w:val="en-US" w:eastAsia="zh-CN" w:bidi="ar-SA"/>
    </w:rPr>
  </w:style>
  <w:style w:styleId="Title" w:type="paragraph">
    <w:name w:val="Title"/>
    <w:basedOn w:val="Normal"/>
    <w:uiPriority w:val="1"/>
    <w:qFormat/>
    <w:pPr>
      <w:spacing w:before="24" w:line="802" w:lineRule="exact"/>
      <w:ind w:left="1456" w:right="1536"/>
      <w:jc w:val="center"/>
    </w:pPr>
    <w:rPr>
      <w:rFonts w:ascii="微软雅黑" w:hAnsi="微软雅黑" w:eastAsia="微软雅黑" w:cs="微软雅黑"/>
      <w:b/>
      <w:bCs/>
      <w:sz w:val="44"/>
      <w:szCs w:val="44"/>
      <w:lang w:val="en-US" w:eastAsia="zh-CN" w:bidi="ar-SA"/>
    </w:rPr>
  </w:style>
  <w:style w:styleId="ListParagraph" w:type="paragraph">
    <w:name w:val="List Paragraph"/>
    <w:basedOn w:val="Normal"/>
    <w:uiPriority w:val="1"/>
    <w:qFormat/>
    <w:pPr>
      <w:ind w:left="1210" w:hanging="530"/>
    </w:pPr>
    <w:rPr>
      <w:rFonts w:ascii="仿宋" w:hAnsi="仿宋" w:eastAsia="仿宋" w:cs="仿宋"/>
      <w:lang w:val="en-US" w:eastAsia="zh-CN" w:bidi="ar-SA"/>
    </w:rPr>
  </w:style>
  <w:style w:styleId="TableParagraph" w:type="paragraph">
    <w:name w:val="Table Paragraph"/>
    <w:basedOn w:val="Normal"/>
    <w:uiPriority w:val="1"/>
    <w:qFormat/>
    <w:pPr/>
    <w:rPr>
      <w:rFonts w:ascii="仿宋" w:hAnsi="仿宋" w:eastAsia="仿宋" w:cs="仿宋"/>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2023-06-05T06:39:25Z</dcterms:created>
  <dcterms:modified xsi:type="dcterms:W3CDTF">2023-06-05T06:39:25Z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