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9"/>
        <w:ind w:right="106"/>
        <w:jc w:val="right"/>
      </w:pPr>
      <w:r>
        <w:rPr/>
        <w:drawing>
          <wp:anchor distT="0" distB="0" distL="0" distR="0" allowOverlap="1" layoutInCell="1" locked="0" behindDoc="0" simplePos="0" relativeHeight="15728640">
            <wp:simplePos x="0" y="0"/>
            <wp:positionH relativeFrom="page">
              <wp:posOffset>5791200</wp:posOffset>
            </wp:positionH>
            <wp:positionV relativeFrom="paragraph">
              <wp:posOffset>250189</wp:posOffset>
            </wp:positionV>
            <wp:extent cx="723900" cy="7239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900" cy="723900"/>
                    </a:xfrm>
                    <a:prstGeom prst="rect">
                      <a:avLst/>
                    </a:prstGeom>
                  </pic:spPr>
                </pic:pic>
              </a:graphicData>
            </a:graphic>
          </wp:anchor>
        </w:drawing>
      </w:r>
      <w:r>
        <w:rPr>
          <w:spacing w:val="-2"/>
        </w:rPr>
        <w:t>泰康人寿[2018</w:t>
      </w:r>
      <w:r>
        <w:rPr>
          <w:spacing w:val="-10"/>
        </w:rPr>
        <w:t>]医疗保险 </w:t>
      </w:r>
      <w:r>
        <w:rPr>
          <w:spacing w:val="-2"/>
        </w:rPr>
        <w:t>077</w:t>
      </w:r>
      <w:r>
        <w:rPr>
          <w:spacing w:val="-27"/>
        </w:rPr>
        <w:t> 号</w:t>
      </w:r>
    </w:p>
    <w:p>
      <w:pPr>
        <w:pStyle w:val="BodyText"/>
        <w:rPr>
          <w:sz w:val="20"/>
        </w:rPr>
      </w:pPr>
    </w:p>
    <w:p>
      <w:pPr>
        <w:pStyle w:val="BodyText"/>
        <w:spacing w:before="6"/>
        <w:rPr>
          <w:sz w:val="25"/>
        </w:rPr>
      </w:pPr>
    </w:p>
    <w:p>
      <w:pPr>
        <w:spacing w:after="0"/>
        <w:rPr>
          <w:sz w:val="25"/>
        </w:rPr>
        <w:sectPr>
          <w:type w:val="continuous"/>
          <w:pgSz w:w="11910" w:h="16850"/>
          <w:pgMar w:top="520" w:bottom="280" w:left="620" w:right="720"/>
        </w:sectPr>
      </w:pPr>
    </w:p>
    <w:p>
      <w:pPr>
        <w:spacing w:line="223" w:lineRule="auto" w:before="84"/>
        <w:ind w:left="4452" w:right="0" w:hanging="720"/>
        <w:jc w:val="left"/>
        <w:rPr>
          <w:rFonts w:ascii="华文中宋" w:eastAsia="华文中宋" w:hint="eastAsia"/>
          <w:b/>
          <w:sz w:val="32"/>
        </w:rPr>
      </w:pPr>
      <w:r>
        <w:rPr>
          <w:rFonts w:ascii="华文中宋" w:eastAsia="华文中宋" w:hint="eastAsia"/>
          <w:b/>
          <w:spacing w:val="-2"/>
          <w:sz w:val="32"/>
        </w:rPr>
        <w:t>泰康惠心医</w:t>
      </w:r>
      <w:r>
        <w:rPr>
          <w:rFonts w:ascii="华文中宋" w:eastAsia="华文中宋" w:hint="eastAsia"/>
          <w:b/>
          <w:spacing w:val="-2"/>
          <w:sz w:val="32"/>
        </w:rPr>
        <w:t>疗</w:t>
      </w:r>
      <w:r>
        <w:rPr>
          <w:rFonts w:ascii="华文中宋" w:eastAsia="华文中宋" w:hint="eastAsia"/>
          <w:b/>
          <w:spacing w:val="-2"/>
          <w:sz w:val="32"/>
        </w:rPr>
        <w:t>保</w:t>
      </w:r>
      <w:r>
        <w:rPr>
          <w:rFonts w:ascii="华文中宋" w:eastAsia="华文中宋" w:hint="eastAsia"/>
          <w:b/>
          <w:spacing w:val="-2"/>
          <w:sz w:val="32"/>
        </w:rPr>
        <w:t>险条款</w:t>
      </w:r>
      <w:r>
        <w:rPr>
          <w:rFonts w:ascii="华文中宋" w:eastAsia="华文中宋" w:hint="eastAsia"/>
          <w:b/>
          <w:spacing w:val="16"/>
          <w:sz w:val="32"/>
        </w:rPr>
        <w:t>阅 读 指 引</w:t>
      </w:r>
    </w:p>
    <w:p>
      <w:pPr>
        <w:spacing w:line="240" w:lineRule="auto" w:before="0"/>
        <w:rPr>
          <w:rFonts w:ascii="华文中宋"/>
          <w:b/>
          <w:sz w:val="20"/>
        </w:rPr>
      </w:pPr>
      <w:r>
        <w:rPr/>
        <w:br w:type="column"/>
      </w:r>
      <w:r>
        <w:rPr>
          <w:rFonts w:ascii="华文中宋"/>
          <w:b/>
          <w:sz w:val="20"/>
        </w:rPr>
      </w:r>
    </w:p>
    <w:p>
      <w:pPr>
        <w:pStyle w:val="BodyText"/>
        <w:spacing w:before="12"/>
        <w:rPr>
          <w:rFonts w:ascii="华文中宋"/>
          <w:b/>
          <w:sz w:val="23"/>
        </w:rPr>
      </w:pPr>
    </w:p>
    <w:p>
      <w:pPr>
        <w:pStyle w:val="BodyText"/>
        <w:ind w:left="1075"/>
      </w:pPr>
      <w:r>
        <w:rPr>
          <w:spacing w:val="-3"/>
        </w:rPr>
        <w:t>请扫描以查询验证条款</w:t>
      </w:r>
    </w:p>
    <w:p>
      <w:pPr>
        <w:spacing w:after="0"/>
        <w:sectPr>
          <w:type w:val="continuous"/>
          <w:pgSz w:w="11910" w:h="16850"/>
          <w:pgMar w:top="520" w:bottom="280" w:left="620" w:right="720"/>
          <w:cols w:num="2" w:equalWidth="0">
            <w:col w:w="6935" w:space="40"/>
            <w:col w:w="3595"/>
          </w:cols>
        </w:sectPr>
      </w:pPr>
    </w:p>
    <w:p>
      <w:pPr>
        <w:pStyle w:val="BodyText"/>
        <w:spacing w:line="199" w:lineRule="auto" w:before="17"/>
        <w:ind w:left="1130"/>
      </w:pPr>
      <w:r>
        <w:rPr>
          <w:spacing w:val="-149"/>
        </w:rPr>
        <w:t>本</w:t>
      </w:r>
      <w:r>
        <w:rPr>
          <w:spacing w:val="-63"/>
          <w:position w:val="-7"/>
        </w:rPr>
        <w:t>．</w:t>
      </w:r>
      <w:r>
        <w:rPr>
          <w:spacing w:val="-149"/>
        </w:rPr>
        <w:t>阅</w:t>
      </w:r>
      <w:r>
        <w:rPr>
          <w:spacing w:val="-63"/>
          <w:position w:val="-7"/>
        </w:rPr>
        <w:t>．</w:t>
      </w:r>
      <w:r>
        <w:rPr>
          <w:spacing w:val="-152"/>
        </w:rPr>
        <w:t>读</w:t>
      </w:r>
      <w:r>
        <w:rPr>
          <w:spacing w:val="-63"/>
          <w:position w:val="-7"/>
        </w:rPr>
        <w:t>．</w:t>
      </w:r>
      <w:r>
        <w:rPr>
          <w:spacing w:val="-149"/>
        </w:rPr>
        <w:t>指</w:t>
      </w:r>
      <w:r>
        <w:rPr>
          <w:spacing w:val="-63"/>
          <w:position w:val="-7"/>
        </w:rPr>
        <w:t>．</w:t>
      </w:r>
      <w:r>
        <w:rPr>
          <w:spacing w:val="-152"/>
        </w:rPr>
        <w:t>引</w:t>
      </w:r>
      <w:r>
        <w:rPr>
          <w:spacing w:val="-63"/>
          <w:position w:val="-7"/>
        </w:rPr>
        <w:t>．</w:t>
      </w:r>
      <w:r>
        <w:rPr>
          <w:spacing w:val="-150"/>
        </w:rPr>
        <w:t>有</w:t>
      </w:r>
      <w:r>
        <w:rPr>
          <w:spacing w:val="-63"/>
          <w:position w:val="-7"/>
        </w:rPr>
        <w:t>．</w:t>
      </w:r>
      <w:r>
        <w:rPr>
          <w:spacing w:val="-152"/>
        </w:rPr>
        <w:t>助</w:t>
      </w:r>
      <w:r>
        <w:rPr>
          <w:spacing w:val="-63"/>
          <w:position w:val="-7"/>
        </w:rPr>
        <w:t>．</w:t>
      </w:r>
      <w:r>
        <w:rPr>
          <w:spacing w:val="-150"/>
        </w:rPr>
        <w:t>于</w:t>
      </w:r>
      <w:r>
        <w:rPr>
          <w:spacing w:val="-63"/>
          <w:position w:val="-7"/>
        </w:rPr>
        <w:t>．</w:t>
      </w:r>
      <w:r>
        <w:rPr>
          <w:spacing w:val="-152"/>
        </w:rPr>
        <w:t>您</w:t>
      </w:r>
      <w:r>
        <w:rPr>
          <w:spacing w:val="-63"/>
          <w:position w:val="-7"/>
        </w:rPr>
        <w:t>．</w:t>
      </w:r>
      <w:r>
        <w:rPr>
          <w:spacing w:val="-150"/>
        </w:rPr>
        <w:t>理</w:t>
      </w:r>
      <w:r>
        <w:rPr>
          <w:spacing w:val="-63"/>
          <w:position w:val="-7"/>
        </w:rPr>
        <w:t>．</w:t>
      </w:r>
      <w:r>
        <w:rPr>
          <w:spacing w:val="-152"/>
        </w:rPr>
        <w:t>解</w:t>
      </w:r>
      <w:r>
        <w:rPr>
          <w:spacing w:val="-62"/>
          <w:position w:val="-7"/>
        </w:rPr>
        <w:t>．</w:t>
      </w:r>
      <w:r>
        <w:rPr>
          <w:spacing w:val="-149"/>
        </w:rPr>
        <w:t>条</w:t>
      </w:r>
      <w:r>
        <w:rPr>
          <w:spacing w:val="-63"/>
          <w:position w:val="-7"/>
        </w:rPr>
        <w:t>．</w:t>
      </w:r>
      <w:r>
        <w:rPr>
          <w:spacing w:val="-149"/>
        </w:rPr>
        <w:t>款</w:t>
      </w:r>
      <w:r>
        <w:rPr>
          <w:spacing w:val="-93"/>
          <w:position w:val="-7"/>
        </w:rPr>
        <w:t>．</w:t>
      </w:r>
      <w:r>
        <w:rPr>
          <w:spacing w:val="-93"/>
        </w:rPr>
        <w:t>，</w:t>
      </w:r>
      <w:r>
        <w:rPr>
          <w:spacing w:val="-93"/>
          <w:position w:val="-7"/>
        </w:rPr>
        <w:t>．</w:t>
      </w:r>
      <w:r>
        <w:rPr>
          <w:spacing w:val="-149"/>
        </w:rPr>
        <w:t>对</w:t>
      </w:r>
      <w:r>
        <w:rPr>
          <w:spacing w:val="-63"/>
          <w:position w:val="-7"/>
        </w:rPr>
        <w:t>．</w:t>
      </w:r>
      <w:r>
        <w:rPr>
          <w:spacing w:val="-152"/>
        </w:rPr>
        <w:t>本</w:t>
      </w:r>
      <w:r>
        <w:rPr>
          <w:spacing w:val="-63"/>
          <w:position w:val="-7"/>
        </w:rPr>
        <w:t>．</w:t>
      </w:r>
      <w:r>
        <w:rPr>
          <w:spacing w:val="-149"/>
        </w:rPr>
        <w:t>合</w:t>
      </w:r>
      <w:r>
        <w:rPr>
          <w:spacing w:val="-63"/>
          <w:position w:val="-7"/>
        </w:rPr>
        <w:t>．</w:t>
      </w:r>
      <w:r>
        <w:rPr>
          <w:spacing w:val="-152"/>
        </w:rPr>
        <w:t>同</w:t>
      </w:r>
      <w:r>
        <w:rPr>
          <w:spacing w:val="-63"/>
          <w:position w:val="-7"/>
        </w:rPr>
        <w:t>．</w:t>
      </w:r>
      <w:r>
        <w:rPr>
          <w:spacing w:val="-149"/>
        </w:rPr>
        <w:t>内</w:t>
      </w:r>
      <w:r>
        <w:rPr>
          <w:spacing w:val="-63"/>
          <w:position w:val="-7"/>
        </w:rPr>
        <w:t>．</w:t>
      </w:r>
      <w:r>
        <w:rPr>
          <w:spacing w:val="-152"/>
        </w:rPr>
        <w:t>容</w:t>
      </w:r>
      <w:r>
        <w:rPr>
          <w:spacing w:val="-63"/>
          <w:position w:val="-7"/>
        </w:rPr>
        <w:t>．</w:t>
      </w:r>
      <w:r>
        <w:rPr>
          <w:spacing w:val="-149"/>
        </w:rPr>
        <w:t>的</w:t>
      </w:r>
      <w:r>
        <w:rPr>
          <w:spacing w:val="-63"/>
          <w:position w:val="-7"/>
        </w:rPr>
        <w:t>．</w:t>
      </w:r>
      <w:r>
        <w:rPr>
          <w:spacing w:val="-152"/>
        </w:rPr>
        <w:t>解</w:t>
      </w:r>
      <w:r>
        <w:rPr>
          <w:spacing w:val="-63"/>
          <w:position w:val="-7"/>
        </w:rPr>
        <w:t>．</w:t>
      </w:r>
      <w:r>
        <w:rPr>
          <w:spacing w:val="-150"/>
        </w:rPr>
        <w:t>释</w:t>
      </w:r>
      <w:r>
        <w:rPr>
          <w:spacing w:val="-63"/>
          <w:position w:val="-7"/>
        </w:rPr>
        <w:t>．</w:t>
      </w:r>
      <w:r>
        <w:rPr>
          <w:spacing w:val="-150"/>
        </w:rPr>
        <w:t>凡</w:t>
      </w:r>
      <w:r>
        <w:rPr>
          <w:spacing w:val="-63"/>
          <w:position w:val="-7"/>
        </w:rPr>
        <w:t>．</w:t>
      </w:r>
      <w:r>
        <w:rPr>
          <w:spacing w:val="-152"/>
        </w:rPr>
        <w:t>条</w:t>
      </w:r>
      <w:r>
        <w:rPr>
          <w:spacing w:val="-63"/>
          <w:position w:val="-7"/>
        </w:rPr>
        <w:t>．</w:t>
      </w:r>
      <w:r>
        <w:rPr>
          <w:spacing w:val="-149"/>
        </w:rPr>
        <w:t>款</w:t>
      </w:r>
      <w:r>
        <w:rPr>
          <w:spacing w:val="-63"/>
          <w:position w:val="-7"/>
        </w:rPr>
        <w:t>．</w:t>
      </w:r>
      <w:r>
        <w:rPr>
          <w:spacing w:val="-152"/>
        </w:rPr>
        <w:t>已</w:t>
      </w:r>
      <w:r>
        <w:rPr>
          <w:spacing w:val="-63"/>
          <w:position w:val="-7"/>
        </w:rPr>
        <w:t>．</w:t>
      </w:r>
      <w:r>
        <w:rPr>
          <w:spacing w:val="-149"/>
        </w:rPr>
        <w:t>有</w:t>
      </w:r>
      <w:r>
        <w:rPr>
          <w:spacing w:val="-63"/>
          <w:position w:val="-7"/>
        </w:rPr>
        <w:t>．</w:t>
      </w:r>
      <w:r>
        <w:rPr>
          <w:spacing w:val="-152"/>
        </w:rPr>
        <w:t>约</w:t>
      </w:r>
      <w:r>
        <w:rPr>
          <w:spacing w:val="-63"/>
          <w:position w:val="-7"/>
        </w:rPr>
        <w:t>．</w:t>
      </w:r>
      <w:r>
        <w:rPr>
          <w:spacing w:val="-149"/>
        </w:rPr>
        <w:t>定</w:t>
      </w:r>
      <w:r>
        <w:rPr>
          <w:spacing w:val="-63"/>
          <w:position w:val="-7"/>
        </w:rPr>
        <w:t>．</w:t>
      </w:r>
      <w:r>
        <w:rPr>
          <w:spacing w:val="-152"/>
        </w:rPr>
        <w:t>的</w:t>
      </w:r>
      <w:r>
        <w:rPr>
          <w:spacing w:val="-92"/>
          <w:position w:val="-7"/>
        </w:rPr>
        <w:t>．</w:t>
      </w:r>
      <w:r>
        <w:rPr>
          <w:spacing w:val="-92"/>
        </w:rPr>
        <w:t>，</w:t>
      </w:r>
      <w:r>
        <w:rPr>
          <w:spacing w:val="-92"/>
          <w:position w:val="-7"/>
        </w:rPr>
        <w:t>．</w:t>
      </w:r>
      <w:r>
        <w:rPr>
          <w:spacing w:val="-152"/>
        </w:rPr>
        <w:t>以</w:t>
      </w:r>
      <w:r>
        <w:rPr>
          <w:spacing w:val="-63"/>
          <w:position w:val="-7"/>
        </w:rPr>
        <w:t>．</w:t>
      </w:r>
      <w:r>
        <w:rPr>
          <w:spacing w:val="-150"/>
        </w:rPr>
        <w:t>条</w:t>
      </w:r>
      <w:r>
        <w:rPr>
          <w:spacing w:val="-63"/>
          <w:position w:val="-7"/>
        </w:rPr>
        <w:t>．</w:t>
      </w:r>
      <w:r>
        <w:rPr>
          <w:spacing w:val="-150"/>
        </w:rPr>
        <w:t>款</w:t>
      </w:r>
      <w:r>
        <w:rPr>
          <w:spacing w:val="-63"/>
          <w:position w:val="-7"/>
        </w:rPr>
        <w:t>．</w:t>
      </w:r>
      <w:r>
        <w:rPr>
          <w:spacing w:val="-152"/>
        </w:rPr>
        <w:t>约</w:t>
      </w:r>
      <w:r>
        <w:rPr>
          <w:spacing w:val="-63"/>
          <w:position w:val="-7"/>
        </w:rPr>
        <w:t>．</w:t>
      </w:r>
      <w:r>
        <w:rPr>
          <w:spacing w:val="-149"/>
        </w:rPr>
        <w:t>定</w:t>
      </w:r>
      <w:r>
        <w:rPr>
          <w:spacing w:val="-63"/>
          <w:position w:val="-7"/>
        </w:rPr>
        <w:t>．</w:t>
      </w:r>
      <w:r>
        <w:rPr>
          <w:spacing w:val="-151"/>
        </w:rPr>
        <w:t>为</w:t>
      </w:r>
      <w:r>
        <w:rPr>
          <w:spacing w:val="-63"/>
          <w:position w:val="-7"/>
        </w:rPr>
        <w:t>．</w:t>
      </w:r>
      <w:r>
        <w:rPr>
          <w:spacing w:val="-149"/>
        </w:rPr>
        <w:t>准</w:t>
      </w:r>
      <w:r>
        <w:rPr>
          <w:spacing w:val="-63"/>
          <w:position w:val="-7"/>
        </w:rPr>
        <w:t>．</w:t>
      </w:r>
      <w:r>
        <w:rPr>
          <w:spacing w:val="-151"/>
        </w:rPr>
        <w:t>。</w:t>
      </w:r>
      <w:r>
        <w:rPr>
          <w:spacing w:val="-10"/>
          <w:position w:val="-7"/>
        </w:rPr>
        <w:t>．</w:t>
      </w:r>
    </w:p>
    <w:p>
      <w:pPr>
        <w:pStyle w:val="Heading3"/>
        <w:tabs>
          <w:tab w:pos="1163" w:val="left" w:leader="none"/>
        </w:tabs>
        <w:spacing w:line="486" w:lineRule="exact" w:before="0"/>
        <w:ind w:left="152" w:firstLine="0"/>
      </w:pPr>
      <w:r>
        <w:rPr/>
        <w:drawing>
          <wp:anchor distT="0" distB="0" distL="0" distR="0" allowOverlap="1" layoutInCell="1" locked="0" behindDoc="0" simplePos="0" relativeHeight="15729152">
            <wp:simplePos x="0" y="0"/>
            <wp:positionH relativeFrom="page">
              <wp:posOffset>400811</wp:posOffset>
            </wp:positionH>
            <wp:positionV relativeFrom="paragraph">
              <wp:posOffset>9002</wp:posOffset>
            </wp:positionV>
            <wp:extent cx="6757162" cy="816350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757162" cy="8163509"/>
                    </a:xfrm>
                    <a:prstGeom prst="rect">
                      <a:avLst/>
                    </a:prstGeom>
                  </pic:spPr>
                </pic:pic>
              </a:graphicData>
            </a:graphic>
          </wp:anchor>
        </w:drawing>
      </w: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4"/>
        </w:rPr>
        <w:t>您拥有的重要权益</w:t>
      </w:r>
    </w:p>
    <w:p>
      <w:pPr>
        <w:pStyle w:val="ListParagraph"/>
        <w:numPr>
          <w:ilvl w:val="0"/>
          <w:numId w:val="1"/>
        </w:numPr>
        <w:tabs>
          <w:tab w:pos="1144" w:val="left" w:leader="none"/>
          <w:tab w:pos="1145" w:val="left" w:leader="none"/>
          <w:tab w:pos="10073" w:val="right" w:leader="dot"/>
        </w:tabs>
        <w:spacing w:line="219" w:lineRule="exact" w:before="0" w:after="0"/>
        <w:ind w:left="1144" w:right="0" w:hanging="421"/>
        <w:jc w:val="left"/>
        <w:rPr>
          <w:sz w:val="21"/>
        </w:rPr>
      </w:pPr>
      <w:r>
        <w:rPr>
          <w:spacing w:val="-2"/>
          <w:sz w:val="21"/>
        </w:rPr>
        <w:t>本</w:t>
      </w:r>
      <w:r>
        <w:rPr>
          <w:spacing w:val="-2"/>
          <w:sz w:val="21"/>
        </w:rPr>
        <w:t>合</w:t>
      </w:r>
      <w:r>
        <w:rPr>
          <w:spacing w:val="-2"/>
          <w:sz w:val="21"/>
        </w:rPr>
        <w:t>同提供的保障在保险</w:t>
      </w:r>
      <w:r>
        <w:rPr>
          <w:spacing w:val="-2"/>
          <w:sz w:val="21"/>
        </w:rPr>
        <w:t>责</w:t>
      </w:r>
      <w:r>
        <w:rPr>
          <w:spacing w:val="-2"/>
          <w:sz w:val="21"/>
        </w:rPr>
        <w:t>任</w:t>
      </w:r>
      <w:r>
        <w:rPr>
          <w:spacing w:val="-2"/>
          <w:sz w:val="21"/>
        </w:rPr>
        <w:t>条款中</w:t>
      </w:r>
      <w:r>
        <w:rPr>
          <w:spacing w:val="-2"/>
          <w:sz w:val="21"/>
        </w:rPr>
        <w:t>列</w:t>
      </w:r>
      <w:r>
        <w:rPr>
          <w:spacing w:val="-10"/>
          <w:sz w:val="21"/>
        </w:rPr>
        <w:t>明</w:t>
      </w:r>
      <w:r>
        <w:rPr>
          <w:rFonts w:ascii="Times New Roman" w:hAnsi="Times New Roman" w:eastAsia="Times New Roman"/>
          <w:sz w:val="21"/>
        </w:rPr>
        <w:tab/>
      </w:r>
      <w:r>
        <w:rPr>
          <w:spacing w:val="-5"/>
          <w:sz w:val="21"/>
        </w:rPr>
        <w:t>2.4</w:t>
      </w:r>
    </w:p>
    <w:p>
      <w:pPr>
        <w:pStyle w:val="ListParagraph"/>
        <w:numPr>
          <w:ilvl w:val="0"/>
          <w:numId w:val="1"/>
        </w:numPr>
        <w:tabs>
          <w:tab w:pos="1144" w:val="left" w:leader="none"/>
          <w:tab w:pos="1145" w:val="left" w:leader="none"/>
          <w:tab w:pos="10071" w:val="right" w:leader="dot"/>
        </w:tabs>
        <w:spacing w:line="205" w:lineRule="exact" w:before="0" w:after="0"/>
        <w:ind w:left="1144" w:right="0" w:hanging="421"/>
        <w:jc w:val="left"/>
        <w:rPr>
          <w:sz w:val="21"/>
        </w:rPr>
      </w:pPr>
      <w:r>
        <w:rPr>
          <w:spacing w:val="-2"/>
          <w:sz w:val="21"/>
        </w:rPr>
        <w:t>您有解除合同的</w:t>
      </w:r>
      <w:r>
        <w:rPr>
          <w:spacing w:val="-2"/>
          <w:sz w:val="21"/>
        </w:rPr>
        <w:t>权</w:t>
      </w:r>
      <w:r>
        <w:rPr>
          <w:spacing w:val="-10"/>
          <w:sz w:val="21"/>
        </w:rPr>
        <w:t>利</w:t>
      </w:r>
      <w:r>
        <w:rPr>
          <w:rFonts w:ascii="Times New Roman" w:hAnsi="Times New Roman" w:eastAsia="Times New Roman"/>
          <w:sz w:val="21"/>
        </w:rPr>
        <w:tab/>
      </w:r>
      <w:r>
        <w:rPr>
          <w:spacing w:val="-5"/>
          <w:sz w:val="21"/>
        </w:rPr>
        <w:t>5.1</w:t>
      </w:r>
    </w:p>
    <w:p>
      <w:pPr>
        <w:pStyle w:val="Heading3"/>
        <w:tabs>
          <w:tab w:pos="1163" w:val="left" w:leader="none"/>
        </w:tabs>
        <w:spacing w:line="455" w:lineRule="exact" w:before="0"/>
        <w:ind w:left="152" w:firstLine="0"/>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3"/>
        </w:rPr>
        <w:t>您应当特别注意的事项</w:t>
      </w:r>
    </w:p>
    <w:p>
      <w:pPr>
        <w:pStyle w:val="ListParagraph"/>
        <w:numPr>
          <w:ilvl w:val="0"/>
          <w:numId w:val="1"/>
        </w:numPr>
        <w:tabs>
          <w:tab w:pos="1144" w:val="left" w:leader="none"/>
          <w:tab w:pos="1145" w:val="left" w:leader="none"/>
          <w:tab w:pos="10071" w:val="right" w:leader="dot"/>
        </w:tabs>
        <w:spacing w:line="219" w:lineRule="exact" w:before="0" w:after="0"/>
        <w:ind w:left="1144" w:right="0" w:hanging="421"/>
        <w:jc w:val="left"/>
        <w:rPr>
          <w:sz w:val="21"/>
        </w:rPr>
      </w:pPr>
      <w:r>
        <w:rPr>
          <w:spacing w:val="-2"/>
          <w:sz w:val="21"/>
        </w:rPr>
        <w:t>本</w:t>
      </w:r>
      <w:r>
        <w:rPr>
          <w:spacing w:val="-2"/>
          <w:sz w:val="21"/>
        </w:rPr>
        <w:t>合</w:t>
      </w:r>
      <w:r>
        <w:rPr>
          <w:spacing w:val="-2"/>
          <w:sz w:val="21"/>
        </w:rPr>
        <w:t>同的保险期间为1</w:t>
      </w:r>
      <w:r>
        <w:rPr>
          <w:spacing w:val="-10"/>
          <w:sz w:val="21"/>
        </w:rPr>
        <w:t>年</w:t>
      </w:r>
      <w:r>
        <w:rPr>
          <w:rFonts w:ascii="Times New Roman" w:hAnsi="Times New Roman" w:eastAsia="Times New Roman"/>
          <w:sz w:val="21"/>
        </w:rPr>
        <w:tab/>
      </w:r>
      <w:r>
        <w:rPr>
          <w:spacing w:val="-5"/>
          <w:sz w:val="21"/>
        </w:rPr>
        <w:t>2.2</w:t>
      </w:r>
    </w:p>
    <w:p>
      <w:pPr>
        <w:pStyle w:val="ListParagraph"/>
        <w:numPr>
          <w:ilvl w:val="0"/>
          <w:numId w:val="1"/>
        </w:numPr>
        <w:tabs>
          <w:tab w:pos="1144" w:val="left" w:leader="none"/>
          <w:tab w:pos="1145" w:val="left" w:leader="none"/>
          <w:tab w:pos="10071" w:val="right" w:leader="dot"/>
        </w:tabs>
        <w:spacing w:line="248" w:lineRule="exact" w:before="0" w:after="0"/>
        <w:ind w:left="1144" w:right="0" w:hanging="421"/>
        <w:jc w:val="left"/>
        <w:rPr>
          <w:sz w:val="21"/>
        </w:rPr>
      </w:pPr>
      <w:r>
        <w:rPr>
          <w:spacing w:val="-2"/>
          <w:sz w:val="21"/>
        </w:rPr>
        <w:t>本</w:t>
      </w:r>
      <w:r>
        <w:rPr>
          <w:spacing w:val="-2"/>
          <w:sz w:val="21"/>
        </w:rPr>
        <w:t>合</w:t>
      </w:r>
      <w:r>
        <w:rPr>
          <w:spacing w:val="-2"/>
          <w:sz w:val="21"/>
        </w:rPr>
        <w:t>同设有等待</w:t>
      </w:r>
      <w:r>
        <w:rPr>
          <w:spacing w:val="-10"/>
          <w:sz w:val="21"/>
        </w:rPr>
        <w:t>期</w:t>
      </w:r>
      <w:r>
        <w:rPr>
          <w:rFonts w:ascii="Times New Roman" w:hAnsi="Times New Roman" w:eastAsia="Times New Roman"/>
          <w:sz w:val="21"/>
        </w:rPr>
        <w:tab/>
      </w:r>
      <w:r>
        <w:rPr>
          <w:spacing w:val="-5"/>
          <w:sz w:val="21"/>
        </w:rPr>
        <w:t>2.3</w:t>
      </w:r>
    </w:p>
    <w:p>
      <w:pPr>
        <w:pStyle w:val="ListParagraph"/>
        <w:numPr>
          <w:ilvl w:val="0"/>
          <w:numId w:val="1"/>
        </w:numPr>
        <w:tabs>
          <w:tab w:pos="1144" w:val="left" w:leader="none"/>
          <w:tab w:pos="1145" w:val="left" w:leader="none"/>
          <w:tab w:pos="10073" w:val="right" w:leader="dot"/>
        </w:tabs>
        <w:spacing w:line="247" w:lineRule="exact" w:before="0" w:after="0"/>
        <w:ind w:left="1144" w:right="0" w:hanging="421"/>
        <w:jc w:val="left"/>
        <w:rPr>
          <w:sz w:val="21"/>
        </w:rPr>
      </w:pPr>
      <w:r>
        <w:rPr>
          <w:spacing w:val="-2"/>
          <w:sz w:val="21"/>
        </w:rPr>
        <w:t>我们给付保险金时遵循补</w:t>
      </w:r>
      <w:r>
        <w:rPr>
          <w:spacing w:val="-2"/>
          <w:sz w:val="21"/>
        </w:rPr>
        <w:t>偿</w:t>
      </w:r>
      <w:r>
        <w:rPr>
          <w:spacing w:val="-2"/>
          <w:sz w:val="21"/>
        </w:rPr>
        <w:t>原</w:t>
      </w:r>
      <w:r>
        <w:rPr>
          <w:spacing w:val="-10"/>
          <w:sz w:val="21"/>
        </w:rPr>
        <w:t>则</w:t>
      </w:r>
      <w:r>
        <w:rPr>
          <w:rFonts w:ascii="Times New Roman" w:hAnsi="Times New Roman" w:eastAsia="Times New Roman"/>
          <w:sz w:val="21"/>
        </w:rPr>
        <w:tab/>
      </w:r>
      <w:r>
        <w:rPr>
          <w:spacing w:val="-5"/>
          <w:sz w:val="21"/>
        </w:rPr>
        <w:t>2.5</w:t>
      </w:r>
    </w:p>
    <w:p>
      <w:pPr>
        <w:pStyle w:val="ListParagraph"/>
        <w:numPr>
          <w:ilvl w:val="0"/>
          <w:numId w:val="1"/>
        </w:numPr>
        <w:tabs>
          <w:tab w:pos="1144" w:val="left" w:leader="none"/>
          <w:tab w:pos="1145" w:val="left" w:leader="none"/>
          <w:tab w:pos="10073" w:val="right" w:leader="dot"/>
        </w:tabs>
        <w:spacing w:line="248" w:lineRule="exact" w:before="0" w:after="0"/>
        <w:ind w:left="1144" w:right="0" w:hanging="421"/>
        <w:jc w:val="left"/>
        <w:rPr>
          <w:sz w:val="21"/>
        </w:rPr>
      </w:pPr>
      <w:r>
        <w:rPr>
          <w:spacing w:val="-2"/>
          <w:sz w:val="21"/>
        </w:rPr>
        <w:t>在</w:t>
      </w:r>
      <w:r>
        <w:rPr>
          <w:spacing w:val="-2"/>
          <w:sz w:val="21"/>
        </w:rPr>
        <w:t>某</w:t>
      </w:r>
      <w:r>
        <w:rPr>
          <w:spacing w:val="-2"/>
          <w:sz w:val="21"/>
        </w:rPr>
        <w:t>些情况下，我们不承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w w:val="95"/>
          <w:sz w:val="21"/>
        </w:rPr>
        <w:t>2.6</w:t>
      </w:r>
    </w:p>
    <w:p>
      <w:pPr>
        <w:pStyle w:val="ListParagraph"/>
        <w:numPr>
          <w:ilvl w:val="0"/>
          <w:numId w:val="1"/>
        </w:numPr>
        <w:tabs>
          <w:tab w:pos="1144" w:val="left" w:leader="none"/>
          <w:tab w:pos="1145" w:val="left" w:leader="none"/>
          <w:tab w:pos="10073" w:val="right" w:leader="dot"/>
        </w:tabs>
        <w:spacing w:line="249" w:lineRule="exact" w:before="0" w:after="0"/>
        <w:ind w:left="1144" w:right="0" w:hanging="421"/>
        <w:jc w:val="left"/>
        <w:rPr>
          <w:sz w:val="21"/>
        </w:rPr>
      </w:pPr>
      <w:r>
        <w:rPr>
          <w:spacing w:val="-2"/>
          <w:sz w:val="21"/>
        </w:rPr>
        <w:t>保</w:t>
      </w:r>
      <w:r>
        <w:rPr>
          <w:spacing w:val="-2"/>
          <w:sz w:val="21"/>
        </w:rPr>
        <w:t>险</w:t>
      </w:r>
      <w:r>
        <w:rPr>
          <w:spacing w:val="-2"/>
          <w:sz w:val="21"/>
        </w:rPr>
        <w:t>事故发生后，请您及</w:t>
      </w:r>
      <w:r>
        <w:rPr>
          <w:spacing w:val="-2"/>
          <w:sz w:val="21"/>
        </w:rPr>
        <w:t>时</w:t>
      </w:r>
      <w:r>
        <w:rPr>
          <w:spacing w:val="-2"/>
          <w:sz w:val="21"/>
        </w:rPr>
        <w:t>通</w:t>
      </w:r>
      <w:r>
        <w:rPr>
          <w:spacing w:val="-2"/>
          <w:sz w:val="21"/>
        </w:rPr>
        <w:t>知我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144" w:val="left" w:leader="none"/>
          <w:tab w:pos="1145" w:val="left" w:leader="none"/>
          <w:tab w:pos="10071" w:val="right" w:leader="dot"/>
        </w:tabs>
        <w:spacing w:line="248" w:lineRule="exact" w:before="0" w:after="0"/>
        <w:ind w:left="1144" w:right="0" w:hanging="421"/>
        <w:jc w:val="left"/>
        <w:rPr>
          <w:sz w:val="21"/>
        </w:rPr>
      </w:pPr>
      <w:r>
        <w:rPr>
          <w:spacing w:val="-2"/>
          <w:sz w:val="21"/>
        </w:rPr>
        <w:t>您</w:t>
      </w:r>
      <w:r>
        <w:rPr>
          <w:spacing w:val="-2"/>
          <w:sz w:val="21"/>
        </w:rPr>
        <w:t>有</w:t>
      </w:r>
      <w:r>
        <w:rPr>
          <w:spacing w:val="-2"/>
          <w:sz w:val="21"/>
        </w:rPr>
        <w:t>如实告知的</w:t>
      </w:r>
      <w:r>
        <w:rPr>
          <w:spacing w:val="-2"/>
          <w:sz w:val="21"/>
        </w:rPr>
        <w:t>义</w:t>
      </w:r>
      <w:r>
        <w:rPr>
          <w:spacing w:val="-10"/>
          <w:sz w:val="21"/>
        </w:rPr>
        <w:t>务</w:t>
      </w:r>
      <w:r>
        <w:rPr>
          <w:rFonts w:ascii="Times New Roman" w:hAnsi="Times New Roman" w:eastAsia="Times New Roman"/>
          <w:sz w:val="21"/>
        </w:rPr>
        <w:tab/>
      </w:r>
      <w:r>
        <w:rPr>
          <w:spacing w:val="-5"/>
          <w:sz w:val="21"/>
        </w:rPr>
        <w:t>6.1</w:t>
      </w:r>
    </w:p>
    <w:p>
      <w:pPr>
        <w:pStyle w:val="ListParagraph"/>
        <w:numPr>
          <w:ilvl w:val="0"/>
          <w:numId w:val="1"/>
        </w:numPr>
        <w:tabs>
          <w:tab w:pos="1144" w:val="left" w:leader="none"/>
          <w:tab w:pos="1145" w:val="left" w:leader="none"/>
          <w:tab w:pos="9862" w:val="right" w:leader="dot"/>
        </w:tabs>
        <w:spacing w:line="248" w:lineRule="exact" w:before="0" w:after="0"/>
        <w:ind w:left="1144" w:right="0" w:hanging="421"/>
        <w:jc w:val="left"/>
        <w:rPr>
          <w:sz w:val="21"/>
        </w:rPr>
      </w:pPr>
      <w:r>
        <w:rPr>
          <w:spacing w:val="-2"/>
          <w:sz w:val="21"/>
        </w:rPr>
        <w:t>本</w:t>
      </w:r>
      <w:r>
        <w:rPr>
          <w:spacing w:val="-2"/>
          <w:sz w:val="21"/>
        </w:rPr>
        <w:t>合</w:t>
      </w:r>
      <w:r>
        <w:rPr>
          <w:spacing w:val="-2"/>
          <w:sz w:val="21"/>
        </w:rPr>
        <w:t>同对重大疾病进行了</w:t>
      </w:r>
      <w:r>
        <w:rPr>
          <w:spacing w:val="-2"/>
          <w:sz w:val="21"/>
        </w:rPr>
        <w:t>明</w:t>
      </w:r>
      <w:r>
        <w:rPr>
          <w:spacing w:val="-2"/>
          <w:sz w:val="21"/>
        </w:rPr>
        <w:t>确</w:t>
      </w:r>
      <w:r>
        <w:rPr>
          <w:spacing w:val="-2"/>
          <w:sz w:val="21"/>
        </w:rPr>
        <w:t>定义，请您仔细</w:t>
      </w:r>
      <w:r>
        <w:rPr>
          <w:spacing w:val="-2"/>
          <w:sz w:val="21"/>
        </w:rPr>
        <w:t>阅</w:t>
      </w:r>
      <w:r>
        <w:rPr>
          <w:spacing w:val="-10"/>
          <w:sz w:val="21"/>
        </w:rPr>
        <w:t>读</w:t>
      </w:r>
      <w:r>
        <w:rPr>
          <w:rFonts w:ascii="Times New Roman" w:hAnsi="Times New Roman" w:eastAsia="Times New Roman"/>
          <w:sz w:val="21"/>
        </w:rPr>
        <w:tab/>
      </w:r>
      <w:r>
        <w:rPr>
          <w:spacing w:val="-10"/>
          <w:sz w:val="21"/>
        </w:rPr>
        <w:t>7</w:t>
      </w:r>
    </w:p>
    <w:p>
      <w:pPr>
        <w:pStyle w:val="ListParagraph"/>
        <w:numPr>
          <w:ilvl w:val="0"/>
          <w:numId w:val="1"/>
        </w:numPr>
        <w:tabs>
          <w:tab w:pos="1144" w:val="left" w:leader="none"/>
          <w:tab w:pos="1145" w:val="left" w:leader="none"/>
          <w:tab w:pos="9865" w:val="right" w:leader="dot"/>
        </w:tabs>
        <w:spacing w:line="225" w:lineRule="exact" w:before="0" w:after="0"/>
        <w:ind w:left="1144" w:right="0" w:hanging="421"/>
        <w:jc w:val="left"/>
        <w:rPr>
          <w:sz w:val="21"/>
        </w:rPr>
      </w:pPr>
      <w:r>
        <w:rPr>
          <w:spacing w:val="-2"/>
          <w:sz w:val="21"/>
        </w:rPr>
        <w:t>我们对一些重要术语进行</w:t>
      </w:r>
      <w:r>
        <w:rPr>
          <w:spacing w:val="-2"/>
          <w:sz w:val="21"/>
        </w:rPr>
        <w:t>了</w:t>
      </w:r>
      <w:r>
        <w:rPr>
          <w:spacing w:val="-2"/>
          <w:sz w:val="21"/>
        </w:rPr>
        <w:t>解</w:t>
      </w:r>
      <w:r>
        <w:rPr>
          <w:spacing w:val="-2"/>
          <w:sz w:val="21"/>
        </w:rPr>
        <w:t>释，并作了显著标识，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sz w:val="21"/>
        </w:rPr>
        <w:t>8</w:t>
      </w:r>
    </w:p>
    <w:p>
      <w:pPr>
        <w:tabs>
          <w:tab w:pos="1163" w:val="left" w:leader="none"/>
        </w:tabs>
        <w:spacing w:line="432" w:lineRule="exact" w:before="0"/>
        <w:ind w:left="152"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条款是保险合同的重要内容，为充分保障您的权益，请您仔细阅读本条款。</w:t>
      </w:r>
    </w:p>
    <w:p>
      <w:pPr>
        <w:tabs>
          <w:tab w:pos="1163" w:val="left" w:leader="none"/>
        </w:tabs>
        <w:spacing w:line="417" w:lineRule="exact" w:before="0"/>
        <w:ind w:left="152" w:right="0" w:firstLine="0"/>
        <w:jc w:val="left"/>
        <w:rPr>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b/>
          <w:spacing w:val="-3"/>
          <w:sz w:val="21"/>
        </w:rPr>
        <w:t>条款目录</w:t>
      </w:r>
    </w:p>
    <w:p>
      <w:pPr>
        <w:spacing w:after="0" w:line="417" w:lineRule="exact"/>
        <w:jc w:val="left"/>
        <w:rPr>
          <w:sz w:val="21"/>
        </w:rPr>
        <w:sectPr>
          <w:type w:val="continuous"/>
          <w:pgSz w:w="11910" w:h="16850"/>
          <w:pgMar w:top="520" w:bottom="280" w:left="620" w:right="720"/>
        </w:sectPr>
      </w:pPr>
    </w:p>
    <w:p>
      <w:pPr>
        <w:pStyle w:val="Heading3"/>
        <w:numPr>
          <w:ilvl w:val="0"/>
          <w:numId w:val="2"/>
        </w:numPr>
        <w:tabs>
          <w:tab w:pos="444" w:val="left" w:leader="none"/>
        </w:tabs>
        <w:spacing w:line="230" w:lineRule="exact" w:before="0" w:after="0"/>
        <w:ind w:left="443" w:right="0" w:hanging="289"/>
        <w:jc w:val="left"/>
      </w:pPr>
      <w:r>
        <w:rPr>
          <w:spacing w:val="-2"/>
        </w:rPr>
        <w:t>您与我们订立的合同</w:t>
      </w:r>
    </w:p>
    <w:p>
      <w:pPr>
        <w:pStyle w:val="ListParagraph"/>
        <w:numPr>
          <w:ilvl w:val="1"/>
          <w:numId w:val="2"/>
        </w:numPr>
        <w:tabs>
          <w:tab w:pos="723" w:val="left" w:leader="none"/>
        </w:tabs>
        <w:spacing w:line="247" w:lineRule="exact" w:before="0" w:after="0"/>
        <w:ind w:left="722" w:right="0" w:hanging="424"/>
        <w:jc w:val="left"/>
        <w:rPr>
          <w:sz w:val="21"/>
        </w:rPr>
      </w:pPr>
      <w:r>
        <w:rPr>
          <w:spacing w:val="-4"/>
          <w:sz w:val="21"/>
        </w:rPr>
        <w:t>合同构成</w:t>
      </w:r>
    </w:p>
    <w:p>
      <w:pPr>
        <w:pStyle w:val="ListParagraph"/>
        <w:numPr>
          <w:ilvl w:val="1"/>
          <w:numId w:val="2"/>
        </w:numPr>
        <w:tabs>
          <w:tab w:pos="723" w:val="left" w:leader="none"/>
        </w:tabs>
        <w:spacing w:line="248" w:lineRule="exact" w:before="0" w:after="0"/>
        <w:ind w:left="722" w:right="0" w:hanging="424"/>
        <w:jc w:val="left"/>
        <w:rPr>
          <w:sz w:val="21"/>
        </w:rPr>
      </w:pPr>
      <w:r>
        <w:rPr>
          <w:spacing w:val="-4"/>
          <w:sz w:val="21"/>
        </w:rPr>
        <w:t>合同成立及生效</w:t>
      </w:r>
    </w:p>
    <w:p>
      <w:pPr>
        <w:pStyle w:val="ListParagraph"/>
        <w:numPr>
          <w:ilvl w:val="1"/>
          <w:numId w:val="2"/>
        </w:numPr>
        <w:tabs>
          <w:tab w:pos="723" w:val="left" w:leader="none"/>
        </w:tabs>
        <w:spacing w:line="248" w:lineRule="exact" w:before="0" w:after="0"/>
        <w:ind w:left="722" w:right="0" w:hanging="424"/>
        <w:jc w:val="left"/>
        <w:rPr>
          <w:sz w:val="21"/>
        </w:rPr>
      </w:pPr>
      <w:r>
        <w:rPr>
          <w:spacing w:val="-4"/>
          <w:sz w:val="21"/>
        </w:rPr>
        <w:t>投保年龄</w:t>
      </w:r>
    </w:p>
    <w:p>
      <w:pPr>
        <w:pStyle w:val="Heading3"/>
        <w:numPr>
          <w:ilvl w:val="0"/>
          <w:numId w:val="2"/>
        </w:numPr>
        <w:tabs>
          <w:tab w:pos="444" w:val="left" w:leader="none"/>
        </w:tabs>
        <w:spacing w:line="258" w:lineRule="exact" w:before="0" w:after="0"/>
        <w:ind w:left="443" w:right="0" w:hanging="289"/>
        <w:jc w:val="left"/>
      </w:pPr>
      <w:r>
        <w:rPr>
          <w:spacing w:val="-2"/>
        </w:rPr>
        <w:t>我们提供的保障</w:t>
      </w:r>
    </w:p>
    <w:p>
      <w:pPr>
        <w:pStyle w:val="ListParagraph"/>
        <w:numPr>
          <w:ilvl w:val="0"/>
          <w:numId w:val="3"/>
        </w:numPr>
        <w:tabs>
          <w:tab w:pos="444" w:val="left" w:leader="none"/>
        </w:tabs>
        <w:spacing w:line="230" w:lineRule="exact" w:before="0" w:after="0"/>
        <w:ind w:left="443" w:right="0" w:hanging="289"/>
        <w:jc w:val="left"/>
        <w:rPr>
          <w:b/>
          <w:sz w:val="21"/>
        </w:rPr>
      </w:pPr>
      <w:r>
        <w:rPr>
          <w:b/>
          <w:sz w:val="21"/>
        </w:rPr>
        <w:br w:type="column"/>
      </w:r>
      <w:r>
        <w:rPr>
          <w:b/>
          <w:spacing w:val="-5"/>
          <w:sz w:val="21"/>
        </w:rPr>
        <w:t>释义</w:t>
      </w:r>
    </w:p>
    <w:p>
      <w:pPr>
        <w:pStyle w:val="ListParagraph"/>
        <w:numPr>
          <w:ilvl w:val="1"/>
          <w:numId w:val="3"/>
        </w:numPr>
        <w:tabs>
          <w:tab w:pos="722" w:val="left" w:leader="none"/>
        </w:tabs>
        <w:spacing w:line="247" w:lineRule="exact" w:before="0" w:after="0"/>
        <w:ind w:left="721" w:right="0" w:hanging="431"/>
        <w:jc w:val="left"/>
        <w:rPr>
          <w:sz w:val="21"/>
        </w:rPr>
      </w:pPr>
      <w:r>
        <w:rPr>
          <w:spacing w:val="-4"/>
          <w:sz w:val="21"/>
        </w:rPr>
        <w:t>合法有效</w:t>
      </w:r>
    </w:p>
    <w:p>
      <w:pPr>
        <w:pStyle w:val="ListParagraph"/>
        <w:numPr>
          <w:ilvl w:val="1"/>
          <w:numId w:val="3"/>
        </w:numPr>
        <w:tabs>
          <w:tab w:pos="722" w:val="left" w:leader="none"/>
        </w:tabs>
        <w:spacing w:line="248" w:lineRule="exact" w:before="0" w:after="0"/>
        <w:ind w:left="721" w:right="0" w:hanging="431"/>
        <w:jc w:val="left"/>
        <w:rPr>
          <w:sz w:val="21"/>
        </w:rPr>
      </w:pPr>
      <w:r>
        <w:rPr>
          <w:spacing w:val="-5"/>
          <w:sz w:val="21"/>
        </w:rPr>
        <w:t>周岁</w:t>
      </w:r>
    </w:p>
    <w:p>
      <w:pPr>
        <w:pStyle w:val="ListParagraph"/>
        <w:numPr>
          <w:ilvl w:val="1"/>
          <w:numId w:val="3"/>
        </w:numPr>
        <w:tabs>
          <w:tab w:pos="722" w:val="left" w:leader="none"/>
        </w:tabs>
        <w:spacing w:line="248" w:lineRule="exact" w:before="0" w:after="0"/>
        <w:ind w:left="721" w:right="0" w:hanging="431"/>
        <w:jc w:val="left"/>
        <w:rPr>
          <w:sz w:val="21"/>
        </w:rPr>
      </w:pPr>
      <w:r>
        <w:rPr>
          <w:spacing w:val="-4"/>
          <w:sz w:val="21"/>
        </w:rPr>
        <w:t>意外伤害</w:t>
      </w:r>
    </w:p>
    <w:p>
      <w:pPr>
        <w:pStyle w:val="ListParagraph"/>
        <w:numPr>
          <w:ilvl w:val="1"/>
          <w:numId w:val="3"/>
        </w:numPr>
        <w:tabs>
          <w:tab w:pos="722" w:val="left" w:leader="none"/>
        </w:tabs>
        <w:spacing w:line="258" w:lineRule="exact" w:before="0" w:after="0"/>
        <w:ind w:left="721" w:right="0" w:hanging="431"/>
        <w:jc w:val="left"/>
        <w:rPr>
          <w:sz w:val="21"/>
        </w:rPr>
      </w:pPr>
      <w:r>
        <w:rPr>
          <w:spacing w:val="-5"/>
          <w:sz w:val="21"/>
        </w:rPr>
        <w:t>住院</w:t>
      </w:r>
    </w:p>
    <w:p>
      <w:pPr>
        <w:pStyle w:val="ListParagraph"/>
        <w:numPr>
          <w:ilvl w:val="1"/>
          <w:numId w:val="4"/>
        </w:numPr>
        <w:tabs>
          <w:tab w:pos="691" w:val="left" w:leader="none"/>
        </w:tabs>
        <w:spacing w:line="230" w:lineRule="exact" w:before="0" w:after="0"/>
        <w:ind w:left="690" w:right="0" w:hanging="536"/>
        <w:jc w:val="left"/>
        <w:rPr>
          <w:sz w:val="21"/>
        </w:rPr>
      </w:pPr>
      <w:r>
        <w:rPr>
          <w:sz w:val="21"/>
        </w:rPr>
        <w:br w:type="column"/>
      </w:r>
      <w:r>
        <w:rPr>
          <w:spacing w:val="-3"/>
          <w:sz w:val="21"/>
        </w:rPr>
        <w:t>无合法有效驾驶证驾驶</w:t>
      </w:r>
    </w:p>
    <w:p>
      <w:pPr>
        <w:pStyle w:val="ListParagraph"/>
        <w:numPr>
          <w:ilvl w:val="1"/>
          <w:numId w:val="4"/>
        </w:numPr>
        <w:tabs>
          <w:tab w:pos="691" w:val="left" w:leader="none"/>
        </w:tabs>
        <w:spacing w:line="247" w:lineRule="exact" w:before="0" w:after="0"/>
        <w:ind w:left="690" w:right="0" w:hanging="536"/>
        <w:jc w:val="left"/>
        <w:rPr>
          <w:sz w:val="21"/>
        </w:rPr>
      </w:pPr>
      <w:r>
        <w:rPr>
          <w:spacing w:val="-4"/>
          <w:sz w:val="21"/>
        </w:rPr>
        <w:t>无合法有效行驶证</w:t>
      </w:r>
    </w:p>
    <w:p>
      <w:pPr>
        <w:pStyle w:val="ListParagraph"/>
        <w:numPr>
          <w:ilvl w:val="1"/>
          <w:numId w:val="4"/>
        </w:numPr>
        <w:tabs>
          <w:tab w:pos="691" w:val="left" w:leader="none"/>
        </w:tabs>
        <w:spacing w:line="248" w:lineRule="exact" w:before="0" w:after="0"/>
        <w:ind w:left="690" w:right="0" w:hanging="536"/>
        <w:jc w:val="left"/>
        <w:rPr>
          <w:sz w:val="21"/>
        </w:rPr>
      </w:pPr>
      <w:r>
        <w:rPr>
          <w:spacing w:val="-5"/>
          <w:sz w:val="21"/>
        </w:rPr>
        <w:t>机动车</w:t>
      </w:r>
    </w:p>
    <w:p>
      <w:pPr>
        <w:pStyle w:val="ListParagraph"/>
        <w:numPr>
          <w:ilvl w:val="1"/>
          <w:numId w:val="4"/>
        </w:numPr>
        <w:tabs>
          <w:tab w:pos="691" w:val="left" w:leader="none"/>
        </w:tabs>
        <w:spacing w:line="248" w:lineRule="exact" w:before="0" w:after="0"/>
        <w:ind w:left="690" w:right="0" w:hanging="536"/>
        <w:jc w:val="left"/>
        <w:rPr>
          <w:sz w:val="21"/>
        </w:rPr>
      </w:pPr>
      <w:r>
        <w:rPr>
          <w:spacing w:val="-5"/>
          <w:sz w:val="21"/>
        </w:rPr>
        <w:t>潜水</w:t>
      </w:r>
    </w:p>
    <w:p>
      <w:pPr>
        <w:pStyle w:val="ListParagraph"/>
        <w:numPr>
          <w:ilvl w:val="1"/>
          <w:numId w:val="4"/>
        </w:numPr>
        <w:tabs>
          <w:tab w:pos="691" w:val="left" w:leader="none"/>
        </w:tabs>
        <w:spacing w:line="258" w:lineRule="exact" w:before="0" w:after="0"/>
        <w:ind w:left="690" w:right="0" w:hanging="536"/>
        <w:jc w:val="left"/>
        <w:rPr>
          <w:sz w:val="21"/>
        </w:rPr>
      </w:pPr>
      <w:r>
        <w:rPr>
          <w:spacing w:val="-5"/>
          <w:sz w:val="21"/>
        </w:rPr>
        <w:t>攀岩</w:t>
      </w:r>
    </w:p>
    <w:p>
      <w:pPr>
        <w:spacing w:after="0" w:line="258" w:lineRule="exact"/>
        <w:jc w:val="left"/>
        <w:rPr>
          <w:sz w:val="21"/>
        </w:rPr>
        <w:sectPr>
          <w:type w:val="continuous"/>
          <w:pgSz w:w="11910" w:h="16850"/>
          <w:pgMar w:top="520" w:bottom="280" w:left="620" w:right="720"/>
          <w:cols w:num="3" w:equalWidth="0">
            <w:col w:w="2385" w:space="1060"/>
            <w:col w:w="1605" w:space="2358"/>
            <w:col w:w="3162"/>
          </w:cols>
        </w:sectPr>
      </w:pPr>
    </w:p>
    <w:tbl>
      <w:tblPr>
        <w:tblW w:w="0" w:type="auto"/>
        <w:jc w:val="left"/>
        <w:tblInd w:w="1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63"/>
        <w:gridCol w:w="2823"/>
        <w:gridCol w:w="672"/>
        <w:gridCol w:w="3225"/>
        <w:gridCol w:w="654"/>
        <w:gridCol w:w="2418"/>
      </w:tblGrid>
      <w:tr>
        <w:trPr>
          <w:trHeight w:val="230" w:hRule="atLeast"/>
        </w:trPr>
        <w:tc>
          <w:tcPr>
            <w:tcW w:w="563" w:type="dxa"/>
          </w:tcPr>
          <w:p>
            <w:pPr>
              <w:pStyle w:val="TableParagraph"/>
              <w:spacing w:line="210" w:lineRule="exact"/>
              <w:ind w:right="50"/>
              <w:jc w:val="right"/>
              <w:rPr>
                <w:sz w:val="21"/>
              </w:rPr>
            </w:pPr>
            <w:r>
              <w:rPr>
                <w:spacing w:val="-5"/>
                <w:sz w:val="21"/>
              </w:rPr>
              <w:t>2.1</w:t>
            </w:r>
          </w:p>
        </w:tc>
        <w:tc>
          <w:tcPr>
            <w:tcW w:w="2823" w:type="dxa"/>
          </w:tcPr>
          <w:p>
            <w:pPr>
              <w:pStyle w:val="TableParagraph"/>
              <w:spacing w:line="210" w:lineRule="exact"/>
              <w:ind w:left="53"/>
              <w:rPr>
                <w:sz w:val="21"/>
              </w:rPr>
            </w:pPr>
            <w:r>
              <w:rPr>
                <w:spacing w:val="-2"/>
                <w:sz w:val="21"/>
              </w:rPr>
              <w:t>保险金额</w:t>
            </w:r>
            <w:r>
              <w:rPr>
                <w:b/>
                <w:spacing w:val="-2"/>
                <w:sz w:val="21"/>
              </w:rPr>
              <w:t>、</w:t>
            </w:r>
            <w:r>
              <w:rPr>
                <w:spacing w:val="-4"/>
                <w:sz w:val="21"/>
              </w:rPr>
              <w:t>年度给付限额</w:t>
            </w:r>
          </w:p>
        </w:tc>
        <w:tc>
          <w:tcPr>
            <w:tcW w:w="672" w:type="dxa"/>
          </w:tcPr>
          <w:p>
            <w:pPr>
              <w:pStyle w:val="TableParagraph"/>
              <w:spacing w:line="210" w:lineRule="exact"/>
              <w:ind w:left="245"/>
              <w:rPr>
                <w:sz w:val="21"/>
              </w:rPr>
            </w:pPr>
            <w:r>
              <w:rPr>
                <w:spacing w:val="-5"/>
                <w:sz w:val="21"/>
              </w:rPr>
              <w:t>8.5</w:t>
            </w:r>
          </w:p>
        </w:tc>
        <w:tc>
          <w:tcPr>
            <w:tcW w:w="3225" w:type="dxa"/>
          </w:tcPr>
          <w:p>
            <w:pPr>
              <w:pStyle w:val="TableParagraph"/>
              <w:spacing w:line="210" w:lineRule="exact"/>
              <w:ind w:left="3"/>
              <w:rPr>
                <w:sz w:val="21"/>
              </w:rPr>
            </w:pPr>
            <w:r>
              <w:rPr>
                <w:spacing w:val="-4"/>
                <w:sz w:val="21"/>
              </w:rPr>
              <w:t>同一次住院</w:t>
            </w:r>
          </w:p>
        </w:tc>
        <w:tc>
          <w:tcPr>
            <w:tcW w:w="654" w:type="dxa"/>
          </w:tcPr>
          <w:p>
            <w:pPr>
              <w:pStyle w:val="TableParagraph"/>
              <w:spacing w:line="210" w:lineRule="exact"/>
              <w:ind w:right="54"/>
              <w:jc w:val="right"/>
              <w:rPr>
                <w:sz w:val="21"/>
              </w:rPr>
            </w:pPr>
            <w:r>
              <w:rPr>
                <w:spacing w:val="-4"/>
                <w:sz w:val="21"/>
              </w:rPr>
              <w:t>8.40</w:t>
            </w:r>
          </w:p>
        </w:tc>
        <w:tc>
          <w:tcPr>
            <w:tcW w:w="2418" w:type="dxa"/>
          </w:tcPr>
          <w:p>
            <w:pPr>
              <w:pStyle w:val="TableParagraph"/>
              <w:spacing w:line="210" w:lineRule="exact"/>
              <w:ind w:left="56"/>
              <w:rPr>
                <w:sz w:val="21"/>
              </w:rPr>
            </w:pPr>
            <w:r>
              <w:rPr>
                <w:spacing w:val="-5"/>
                <w:sz w:val="21"/>
              </w:rPr>
              <w:t>探险</w:t>
            </w:r>
          </w:p>
        </w:tc>
      </w:tr>
      <w:tr>
        <w:trPr>
          <w:trHeight w:val="248" w:hRule="atLeast"/>
        </w:trPr>
        <w:tc>
          <w:tcPr>
            <w:tcW w:w="563" w:type="dxa"/>
          </w:tcPr>
          <w:p>
            <w:pPr>
              <w:pStyle w:val="TableParagraph"/>
              <w:spacing w:line="228" w:lineRule="exact"/>
              <w:ind w:right="50"/>
              <w:jc w:val="right"/>
              <w:rPr>
                <w:sz w:val="21"/>
              </w:rPr>
            </w:pPr>
            <w:r>
              <w:rPr>
                <w:spacing w:val="-5"/>
                <w:sz w:val="21"/>
              </w:rPr>
              <w:t>2.2</w:t>
            </w:r>
          </w:p>
        </w:tc>
        <w:tc>
          <w:tcPr>
            <w:tcW w:w="2823" w:type="dxa"/>
          </w:tcPr>
          <w:p>
            <w:pPr>
              <w:pStyle w:val="TableParagraph"/>
              <w:spacing w:line="228" w:lineRule="exact"/>
              <w:ind w:left="53"/>
              <w:rPr>
                <w:sz w:val="21"/>
              </w:rPr>
            </w:pPr>
            <w:r>
              <w:rPr>
                <w:spacing w:val="-4"/>
                <w:sz w:val="21"/>
              </w:rPr>
              <w:t>保险期间</w:t>
            </w:r>
          </w:p>
        </w:tc>
        <w:tc>
          <w:tcPr>
            <w:tcW w:w="672" w:type="dxa"/>
          </w:tcPr>
          <w:p>
            <w:pPr>
              <w:pStyle w:val="TableParagraph"/>
              <w:spacing w:line="228" w:lineRule="exact"/>
              <w:ind w:left="245"/>
              <w:rPr>
                <w:sz w:val="21"/>
              </w:rPr>
            </w:pPr>
            <w:r>
              <w:rPr>
                <w:spacing w:val="-5"/>
                <w:sz w:val="21"/>
              </w:rPr>
              <w:t>8.6</w:t>
            </w:r>
          </w:p>
        </w:tc>
        <w:tc>
          <w:tcPr>
            <w:tcW w:w="3225" w:type="dxa"/>
          </w:tcPr>
          <w:p>
            <w:pPr>
              <w:pStyle w:val="TableParagraph"/>
              <w:spacing w:line="228" w:lineRule="exact"/>
              <w:ind w:left="3"/>
              <w:rPr>
                <w:sz w:val="21"/>
              </w:rPr>
            </w:pPr>
            <w:r>
              <w:rPr>
                <w:spacing w:val="-4"/>
                <w:sz w:val="21"/>
              </w:rPr>
              <w:t>保险期间内累计</w:t>
            </w:r>
          </w:p>
        </w:tc>
        <w:tc>
          <w:tcPr>
            <w:tcW w:w="654" w:type="dxa"/>
          </w:tcPr>
          <w:p>
            <w:pPr>
              <w:pStyle w:val="TableParagraph"/>
              <w:spacing w:line="228" w:lineRule="exact"/>
              <w:ind w:right="54"/>
              <w:jc w:val="right"/>
              <w:rPr>
                <w:sz w:val="21"/>
              </w:rPr>
            </w:pPr>
            <w:r>
              <w:rPr>
                <w:spacing w:val="-4"/>
                <w:sz w:val="21"/>
              </w:rPr>
              <w:t>8.41</w:t>
            </w:r>
          </w:p>
        </w:tc>
        <w:tc>
          <w:tcPr>
            <w:tcW w:w="2418" w:type="dxa"/>
          </w:tcPr>
          <w:p>
            <w:pPr>
              <w:pStyle w:val="TableParagraph"/>
              <w:spacing w:line="228" w:lineRule="exact"/>
              <w:ind w:left="56"/>
              <w:rPr>
                <w:sz w:val="21"/>
              </w:rPr>
            </w:pPr>
            <w:r>
              <w:rPr>
                <w:spacing w:val="-4"/>
                <w:sz w:val="21"/>
              </w:rPr>
              <w:t>武术比赛</w:t>
            </w:r>
          </w:p>
        </w:tc>
      </w:tr>
      <w:tr>
        <w:trPr>
          <w:trHeight w:val="247" w:hRule="atLeast"/>
        </w:trPr>
        <w:tc>
          <w:tcPr>
            <w:tcW w:w="563" w:type="dxa"/>
          </w:tcPr>
          <w:p>
            <w:pPr>
              <w:pStyle w:val="TableParagraph"/>
              <w:spacing w:line="227" w:lineRule="exact"/>
              <w:ind w:right="50"/>
              <w:jc w:val="right"/>
              <w:rPr>
                <w:sz w:val="21"/>
              </w:rPr>
            </w:pPr>
            <w:r>
              <w:rPr>
                <w:spacing w:val="-5"/>
                <w:sz w:val="21"/>
              </w:rPr>
              <w:t>2.3</w:t>
            </w:r>
          </w:p>
        </w:tc>
        <w:tc>
          <w:tcPr>
            <w:tcW w:w="2823" w:type="dxa"/>
          </w:tcPr>
          <w:p>
            <w:pPr>
              <w:pStyle w:val="TableParagraph"/>
              <w:spacing w:line="227" w:lineRule="exact"/>
              <w:ind w:left="53"/>
              <w:rPr>
                <w:sz w:val="21"/>
              </w:rPr>
            </w:pPr>
            <w:r>
              <w:rPr>
                <w:spacing w:val="-4"/>
                <w:sz w:val="21"/>
              </w:rPr>
              <w:t>等待期</w:t>
            </w:r>
          </w:p>
        </w:tc>
        <w:tc>
          <w:tcPr>
            <w:tcW w:w="672" w:type="dxa"/>
          </w:tcPr>
          <w:p>
            <w:pPr>
              <w:pStyle w:val="TableParagraph"/>
              <w:spacing w:line="227" w:lineRule="exact"/>
              <w:ind w:left="245"/>
              <w:rPr>
                <w:sz w:val="21"/>
              </w:rPr>
            </w:pPr>
            <w:r>
              <w:rPr>
                <w:spacing w:val="-5"/>
                <w:sz w:val="21"/>
              </w:rPr>
              <w:t>8.7</w:t>
            </w:r>
          </w:p>
        </w:tc>
        <w:tc>
          <w:tcPr>
            <w:tcW w:w="3225" w:type="dxa"/>
          </w:tcPr>
          <w:p>
            <w:pPr>
              <w:pStyle w:val="TableParagraph"/>
              <w:spacing w:line="227" w:lineRule="exact"/>
              <w:ind w:left="3"/>
              <w:rPr>
                <w:sz w:val="21"/>
              </w:rPr>
            </w:pPr>
            <w:r>
              <w:rPr>
                <w:spacing w:val="-4"/>
                <w:sz w:val="21"/>
              </w:rPr>
              <w:t>社会基本医疗保险</w:t>
            </w:r>
          </w:p>
        </w:tc>
        <w:tc>
          <w:tcPr>
            <w:tcW w:w="654" w:type="dxa"/>
          </w:tcPr>
          <w:p>
            <w:pPr>
              <w:pStyle w:val="TableParagraph"/>
              <w:spacing w:line="227" w:lineRule="exact"/>
              <w:ind w:right="54"/>
              <w:jc w:val="right"/>
              <w:rPr>
                <w:sz w:val="21"/>
              </w:rPr>
            </w:pPr>
            <w:r>
              <w:rPr>
                <w:spacing w:val="-4"/>
                <w:sz w:val="21"/>
              </w:rPr>
              <w:t>8.42</w:t>
            </w:r>
          </w:p>
        </w:tc>
        <w:tc>
          <w:tcPr>
            <w:tcW w:w="2418" w:type="dxa"/>
          </w:tcPr>
          <w:p>
            <w:pPr>
              <w:pStyle w:val="TableParagraph"/>
              <w:spacing w:line="227" w:lineRule="exact"/>
              <w:ind w:left="56"/>
              <w:rPr>
                <w:sz w:val="21"/>
              </w:rPr>
            </w:pPr>
            <w:r>
              <w:rPr>
                <w:spacing w:val="-4"/>
                <w:sz w:val="21"/>
              </w:rPr>
              <w:t>特技表演</w:t>
            </w:r>
          </w:p>
        </w:tc>
      </w:tr>
      <w:tr>
        <w:trPr>
          <w:trHeight w:val="248" w:hRule="atLeast"/>
        </w:trPr>
        <w:tc>
          <w:tcPr>
            <w:tcW w:w="563" w:type="dxa"/>
          </w:tcPr>
          <w:p>
            <w:pPr>
              <w:pStyle w:val="TableParagraph"/>
              <w:spacing w:line="229" w:lineRule="exact"/>
              <w:ind w:right="50"/>
              <w:jc w:val="right"/>
              <w:rPr>
                <w:sz w:val="21"/>
              </w:rPr>
            </w:pPr>
            <w:r>
              <w:rPr>
                <w:spacing w:val="-5"/>
                <w:sz w:val="21"/>
              </w:rPr>
              <w:t>2.4</w:t>
            </w:r>
          </w:p>
        </w:tc>
        <w:tc>
          <w:tcPr>
            <w:tcW w:w="2823" w:type="dxa"/>
          </w:tcPr>
          <w:p>
            <w:pPr>
              <w:pStyle w:val="TableParagraph"/>
              <w:spacing w:line="229" w:lineRule="exact"/>
              <w:ind w:left="53"/>
              <w:rPr>
                <w:sz w:val="21"/>
              </w:rPr>
            </w:pPr>
            <w:r>
              <w:rPr>
                <w:spacing w:val="-4"/>
                <w:sz w:val="21"/>
              </w:rPr>
              <w:t>保险责任</w:t>
            </w:r>
          </w:p>
        </w:tc>
        <w:tc>
          <w:tcPr>
            <w:tcW w:w="672" w:type="dxa"/>
          </w:tcPr>
          <w:p>
            <w:pPr>
              <w:pStyle w:val="TableParagraph"/>
              <w:spacing w:line="229" w:lineRule="exact"/>
              <w:ind w:left="245"/>
              <w:rPr>
                <w:sz w:val="21"/>
              </w:rPr>
            </w:pPr>
            <w:r>
              <w:rPr>
                <w:spacing w:val="-5"/>
                <w:sz w:val="21"/>
              </w:rPr>
              <w:t>8.8</w:t>
            </w:r>
          </w:p>
        </w:tc>
        <w:tc>
          <w:tcPr>
            <w:tcW w:w="3225" w:type="dxa"/>
          </w:tcPr>
          <w:p>
            <w:pPr>
              <w:pStyle w:val="TableParagraph"/>
              <w:spacing w:line="229" w:lineRule="exact"/>
              <w:ind w:left="3"/>
              <w:rPr>
                <w:sz w:val="21"/>
              </w:rPr>
            </w:pPr>
            <w:r>
              <w:rPr>
                <w:spacing w:val="-4"/>
                <w:sz w:val="21"/>
              </w:rPr>
              <w:t>公费医疗</w:t>
            </w:r>
          </w:p>
        </w:tc>
        <w:tc>
          <w:tcPr>
            <w:tcW w:w="654" w:type="dxa"/>
          </w:tcPr>
          <w:p>
            <w:pPr>
              <w:pStyle w:val="TableParagraph"/>
              <w:spacing w:line="229" w:lineRule="exact"/>
              <w:ind w:right="54"/>
              <w:jc w:val="right"/>
              <w:rPr>
                <w:sz w:val="21"/>
              </w:rPr>
            </w:pPr>
            <w:r>
              <w:rPr>
                <w:spacing w:val="-4"/>
                <w:sz w:val="21"/>
              </w:rPr>
              <w:t>8.43</w:t>
            </w:r>
          </w:p>
        </w:tc>
        <w:tc>
          <w:tcPr>
            <w:tcW w:w="2418" w:type="dxa"/>
          </w:tcPr>
          <w:p>
            <w:pPr>
              <w:pStyle w:val="TableParagraph"/>
              <w:spacing w:line="229" w:lineRule="exact"/>
              <w:ind w:left="56"/>
              <w:rPr>
                <w:sz w:val="21"/>
              </w:rPr>
            </w:pPr>
            <w:r>
              <w:rPr>
                <w:spacing w:val="-4"/>
                <w:sz w:val="21"/>
              </w:rPr>
              <w:t>质子治疗</w:t>
            </w:r>
          </w:p>
        </w:tc>
      </w:tr>
      <w:tr>
        <w:trPr>
          <w:trHeight w:val="248" w:hRule="atLeast"/>
        </w:trPr>
        <w:tc>
          <w:tcPr>
            <w:tcW w:w="563" w:type="dxa"/>
          </w:tcPr>
          <w:p>
            <w:pPr>
              <w:pStyle w:val="TableParagraph"/>
              <w:spacing w:line="228" w:lineRule="exact"/>
              <w:ind w:right="50"/>
              <w:jc w:val="right"/>
              <w:rPr>
                <w:sz w:val="21"/>
              </w:rPr>
            </w:pPr>
            <w:r>
              <w:rPr>
                <w:spacing w:val="-5"/>
                <w:sz w:val="21"/>
              </w:rPr>
              <w:t>2.5</w:t>
            </w:r>
          </w:p>
        </w:tc>
        <w:tc>
          <w:tcPr>
            <w:tcW w:w="2823" w:type="dxa"/>
          </w:tcPr>
          <w:p>
            <w:pPr>
              <w:pStyle w:val="TableParagraph"/>
              <w:spacing w:line="228" w:lineRule="exact"/>
              <w:ind w:left="53"/>
              <w:rPr>
                <w:sz w:val="21"/>
              </w:rPr>
            </w:pPr>
            <w:r>
              <w:rPr>
                <w:spacing w:val="-4"/>
                <w:sz w:val="21"/>
              </w:rPr>
              <w:t>补偿原则</w:t>
            </w:r>
          </w:p>
        </w:tc>
        <w:tc>
          <w:tcPr>
            <w:tcW w:w="672" w:type="dxa"/>
          </w:tcPr>
          <w:p>
            <w:pPr>
              <w:pStyle w:val="TableParagraph"/>
              <w:spacing w:line="228" w:lineRule="exact"/>
              <w:ind w:left="245"/>
              <w:rPr>
                <w:sz w:val="21"/>
              </w:rPr>
            </w:pPr>
            <w:r>
              <w:rPr>
                <w:spacing w:val="-5"/>
                <w:sz w:val="21"/>
              </w:rPr>
              <w:t>8.9</w:t>
            </w:r>
          </w:p>
        </w:tc>
        <w:tc>
          <w:tcPr>
            <w:tcW w:w="3225" w:type="dxa"/>
          </w:tcPr>
          <w:p>
            <w:pPr>
              <w:pStyle w:val="TableParagraph"/>
              <w:spacing w:line="228" w:lineRule="exact"/>
              <w:ind w:left="3"/>
              <w:rPr>
                <w:sz w:val="21"/>
              </w:rPr>
            </w:pPr>
            <w:r>
              <w:rPr>
                <w:spacing w:val="-5"/>
                <w:sz w:val="21"/>
              </w:rPr>
              <w:t>医院</w:t>
            </w:r>
          </w:p>
        </w:tc>
        <w:tc>
          <w:tcPr>
            <w:tcW w:w="654" w:type="dxa"/>
          </w:tcPr>
          <w:p>
            <w:pPr>
              <w:pStyle w:val="TableParagraph"/>
              <w:spacing w:line="228" w:lineRule="exact"/>
              <w:ind w:right="54"/>
              <w:jc w:val="right"/>
              <w:rPr>
                <w:sz w:val="21"/>
              </w:rPr>
            </w:pPr>
            <w:r>
              <w:rPr>
                <w:spacing w:val="-4"/>
                <w:sz w:val="21"/>
              </w:rPr>
              <w:t>8.44</w:t>
            </w:r>
          </w:p>
        </w:tc>
        <w:tc>
          <w:tcPr>
            <w:tcW w:w="2418" w:type="dxa"/>
          </w:tcPr>
          <w:p>
            <w:pPr>
              <w:pStyle w:val="TableParagraph"/>
              <w:spacing w:line="228" w:lineRule="exact"/>
              <w:ind w:left="56"/>
              <w:rPr>
                <w:sz w:val="21"/>
              </w:rPr>
            </w:pPr>
            <w:r>
              <w:rPr>
                <w:spacing w:val="-4"/>
                <w:sz w:val="21"/>
              </w:rPr>
              <w:t>重离子治疗</w:t>
            </w:r>
          </w:p>
        </w:tc>
      </w:tr>
      <w:tr>
        <w:trPr>
          <w:trHeight w:val="229" w:hRule="atLeast"/>
        </w:trPr>
        <w:tc>
          <w:tcPr>
            <w:tcW w:w="563" w:type="dxa"/>
          </w:tcPr>
          <w:p>
            <w:pPr>
              <w:pStyle w:val="TableParagraph"/>
              <w:spacing w:line="209" w:lineRule="exact"/>
              <w:ind w:right="50"/>
              <w:jc w:val="right"/>
              <w:rPr>
                <w:sz w:val="21"/>
              </w:rPr>
            </w:pPr>
            <w:r>
              <w:rPr>
                <w:spacing w:val="-5"/>
                <w:sz w:val="21"/>
              </w:rPr>
              <w:t>2.6</w:t>
            </w:r>
          </w:p>
        </w:tc>
        <w:tc>
          <w:tcPr>
            <w:tcW w:w="2823" w:type="dxa"/>
          </w:tcPr>
          <w:p>
            <w:pPr>
              <w:pStyle w:val="TableParagraph"/>
              <w:spacing w:line="209" w:lineRule="exact"/>
              <w:ind w:left="53"/>
              <w:rPr>
                <w:sz w:val="21"/>
              </w:rPr>
            </w:pPr>
            <w:r>
              <w:rPr>
                <w:spacing w:val="-4"/>
                <w:sz w:val="21"/>
              </w:rPr>
              <w:t>责任免除</w:t>
            </w:r>
          </w:p>
        </w:tc>
        <w:tc>
          <w:tcPr>
            <w:tcW w:w="672" w:type="dxa"/>
          </w:tcPr>
          <w:p>
            <w:pPr>
              <w:pStyle w:val="TableParagraph"/>
              <w:spacing w:line="209" w:lineRule="exact"/>
              <w:ind w:left="245"/>
              <w:rPr>
                <w:sz w:val="21"/>
              </w:rPr>
            </w:pPr>
            <w:r>
              <w:rPr>
                <w:spacing w:val="-4"/>
                <w:sz w:val="21"/>
              </w:rPr>
              <w:t>8.10</w:t>
            </w:r>
          </w:p>
        </w:tc>
        <w:tc>
          <w:tcPr>
            <w:tcW w:w="3225" w:type="dxa"/>
          </w:tcPr>
          <w:p>
            <w:pPr>
              <w:pStyle w:val="TableParagraph"/>
              <w:spacing w:line="209" w:lineRule="exact"/>
              <w:ind w:left="109"/>
              <w:rPr>
                <w:sz w:val="21"/>
              </w:rPr>
            </w:pPr>
            <w:r>
              <w:rPr>
                <w:spacing w:val="-4"/>
                <w:sz w:val="21"/>
              </w:rPr>
              <w:t>初次确诊</w:t>
            </w:r>
          </w:p>
        </w:tc>
        <w:tc>
          <w:tcPr>
            <w:tcW w:w="654" w:type="dxa"/>
          </w:tcPr>
          <w:p>
            <w:pPr>
              <w:pStyle w:val="TableParagraph"/>
              <w:spacing w:line="209" w:lineRule="exact"/>
              <w:ind w:right="54"/>
              <w:jc w:val="right"/>
              <w:rPr>
                <w:sz w:val="21"/>
              </w:rPr>
            </w:pPr>
            <w:r>
              <w:rPr>
                <w:spacing w:val="-4"/>
                <w:sz w:val="21"/>
              </w:rPr>
              <w:t>8.45</w:t>
            </w:r>
          </w:p>
        </w:tc>
        <w:tc>
          <w:tcPr>
            <w:tcW w:w="2418" w:type="dxa"/>
          </w:tcPr>
          <w:p>
            <w:pPr>
              <w:pStyle w:val="TableParagraph"/>
              <w:spacing w:line="209" w:lineRule="exact"/>
              <w:ind w:left="56"/>
              <w:rPr>
                <w:sz w:val="21"/>
              </w:rPr>
            </w:pPr>
            <w:r>
              <w:rPr>
                <w:spacing w:val="-4"/>
                <w:sz w:val="21"/>
              </w:rPr>
              <w:t>有效身份证件</w:t>
            </w:r>
          </w:p>
        </w:tc>
      </w:tr>
      <w:tr>
        <w:trPr>
          <w:trHeight w:val="247" w:hRule="atLeast"/>
        </w:trPr>
        <w:tc>
          <w:tcPr>
            <w:tcW w:w="3386" w:type="dxa"/>
            <w:gridSpan w:val="2"/>
          </w:tcPr>
          <w:p>
            <w:pPr>
              <w:pStyle w:val="TableParagraph"/>
              <w:spacing w:line="220" w:lineRule="exact" w:before="7"/>
              <w:ind w:left="50"/>
              <w:rPr>
                <w:b/>
                <w:sz w:val="21"/>
              </w:rPr>
            </w:pPr>
            <w:r>
              <w:rPr>
                <w:b/>
                <w:w w:val="95"/>
                <w:sz w:val="21"/>
              </w:rPr>
              <w:t>3.</w:t>
            </w:r>
            <w:r>
              <w:rPr>
                <w:b/>
                <w:spacing w:val="30"/>
                <w:sz w:val="21"/>
              </w:rPr>
              <w:t> </w:t>
            </w:r>
            <w:r>
              <w:rPr>
                <w:b/>
                <w:w w:val="95"/>
                <w:sz w:val="21"/>
              </w:rPr>
              <w:t>保</w:t>
            </w:r>
            <w:r>
              <w:rPr>
                <w:b/>
                <w:w w:val="95"/>
                <w:sz w:val="21"/>
              </w:rPr>
              <w:t>险</w:t>
            </w:r>
            <w:r>
              <w:rPr>
                <w:b/>
                <w:w w:val="95"/>
                <w:sz w:val="21"/>
              </w:rPr>
              <w:t>金</w:t>
            </w:r>
            <w:r>
              <w:rPr>
                <w:b/>
                <w:w w:val="95"/>
                <w:sz w:val="21"/>
              </w:rPr>
              <w:t>的</w:t>
            </w:r>
            <w:r>
              <w:rPr>
                <w:b/>
                <w:spacing w:val="-5"/>
                <w:w w:val="95"/>
                <w:sz w:val="21"/>
              </w:rPr>
              <w:t>申请</w:t>
            </w:r>
          </w:p>
        </w:tc>
        <w:tc>
          <w:tcPr>
            <w:tcW w:w="672" w:type="dxa"/>
          </w:tcPr>
          <w:p>
            <w:pPr>
              <w:pStyle w:val="TableParagraph"/>
              <w:spacing w:line="220" w:lineRule="exact" w:before="7"/>
              <w:ind w:left="245"/>
              <w:rPr>
                <w:sz w:val="21"/>
              </w:rPr>
            </w:pPr>
            <w:r>
              <w:rPr>
                <w:spacing w:val="-4"/>
                <w:sz w:val="21"/>
              </w:rPr>
              <w:t>8.11</w:t>
            </w:r>
          </w:p>
        </w:tc>
        <w:tc>
          <w:tcPr>
            <w:tcW w:w="3225" w:type="dxa"/>
          </w:tcPr>
          <w:p>
            <w:pPr>
              <w:pStyle w:val="TableParagraph"/>
              <w:spacing w:line="220" w:lineRule="exact" w:before="7"/>
              <w:ind w:left="109"/>
              <w:rPr>
                <w:sz w:val="21"/>
              </w:rPr>
            </w:pPr>
            <w:r>
              <w:rPr>
                <w:spacing w:val="-4"/>
                <w:sz w:val="21"/>
              </w:rPr>
              <w:t>主要诊断</w:t>
            </w:r>
          </w:p>
        </w:tc>
        <w:tc>
          <w:tcPr>
            <w:tcW w:w="654" w:type="dxa"/>
          </w:tcPr>
          <w:p>
            <w:pPr>
              <w:pStyle w:val="TableParagraph"/>
              <w:spacing w:line="220" w:lineRule="exact" w:before="7"/>
              <w:ind w:right="54"/>
              <w:jc w:val="right"/>
              <w:rPr>
                <w:sz w:val="21"/>
              </w:rPr>
            </w:pPr>
            <w:r>
              <w:rPr>
                <w:spacing w:val="-4"/>
                <w:sz w:val="21"/>
              </w:rPr>
              <w:t>8.46</w:t>
            </w:r>
          </w:p>
        </w:tc>
        <w:tc>
          <w:tcPr>
            <w:tcW w:w="2418" w:type="dxa"/>
          </w:tcPr>
          <w:p>
            <w:pPr>
              <w:pStyle w:val="TableParagraph"/>
              <w:spacing w:line="220" w:lineRule="exact" w:before="7"/>
              <w:ind w:left="56"/>
              <w:rPr>
                <w:sz w:val="21"/>
              </w:rPr>
            </w:pPr>
            <w:r>
              <w:rPr>
                <w:spacing w:val="-4"/>
                <w:sz w:val="21"/>
              </w:rPr>
              <w:t>专科医生</w:t>
            </w:r>
          </w:p>
        </w:tc>
      </w:tr>
      <w:tr>
        <w:trPr>
          <w:trHeight w:val="267" w:hRule="atLeast"/>
        </w:trPr>
        <w:tc>
          <w:tcPr>
            <w:tcW w:w="563" w:type="dxa"/>
          </w:tcPr>
          <w:p>
            <w:pPr>
              <w:pStyle w:val="TableParagraph"/>
              <w:spacing w:line="238" w:lineRule="exact" w:before="10"/>
              <w:ind w:right="50"/>
              <w:jc w:val="right"/>
              <w:rPr>
                <w:sz w:val="21"/>
              </w:rPr>
            </w:pPr>
            <w:r>
              <w:rPr>
                <w:spacing w:val="-5"/>
                <w:sz w:val="21"/>
              </w:rPr>
              <w:t>3.1</w:t>
            </w:r>
          </w:p>
        </w:tc>
        <w:tc>
          <w:tcPr>
            <w:tcW w:w="2823" w:type="dxa"/>
          </w:tcPr>
          <w:p>
            <w:pPr>
              <w:pStyle w:val="TableParagraph"/>
              <w:spacing w:line="238" w:lineRule="exact" w:before="10"/>
              <w:ind w:left="53"/>
              <w:rPr>
                <w:sz w:val="21"/>
              </w:rPr>
            </w:pPr>
            <w:r>
              <w:rPr>
                <w:spacing w:val="-4"/>
                <w:sz w:val="21"/>
              </w:rPr>
              <w:t>受益人</w:t>
            </w:r>
          </w:p>
        </w:tc>
        <w:tc>
          <w:tcPr>
            <w:tcW w:w="672" w:type="dxa"/>
          </w:tcPr>
          <w:p>
            <w:pPr>
              <w:pStyle w:val="TableParagraph"/>
              <w:spacing w:line="238" w:lineRule="exact" w:before="10"/>
              <w:ind w:left="245"/>
              <w:rPr>
                <w:sz w:val="21"/>
              </w:rPr>
            </w:pPr>
            <w:r>
              <w:rPr>
                <w:spacing w:val="-4"/>
                <w:sz w:val="21"/>
              </w:rPr>
              <w:t>8.12</w:t>
            </w:r>
          </w:p>
        </w:tc>
        <w:tc>
          <w:tcPr>
            <w:tcW w:w="3225" w:type="dxa"/>
          </w:tcPr>
          <w:p>
            <w:pPr>
              <w:pStyle w:val="TableParagraph"/>
              <w:spacing w:line="238" w:lineRule="exact" w:before="10"/>
              <w:ind w:left="109"/>
              <w:rPr>
                <w:sz w:val="21"/>
              </w:rPr>
            </w:pPr>
            <w:r>
              <w:rPr>
                <w:spacing w:val="-4"/>
                <w:sz w:val="21"/>
              </w:rPr>
              <w:t>符合通常惯例</w:t>
            </w:r>
          </w:p>
        </w:tc>
        <w:tc>
          <w:tcPr>
            <w:tcW w:w="654" w:type="dxa"/>
          </w:tcPr>
          <w:p>
            <w:pPr>
              <w:pStyle w:val="TableParagraph"/>
              <w:spacing w:line="238" w:lineRule="exact" w:before="10"/>
              <w:ind w:right="54"/>
              <w:jc w:val="right"/>
              <w:rPr>
                <w:sz w:val="21"/>
              </w:rPr>
            </w:pPr>
            <w:r>
              <w:rPr>
                <w:spacing w:val="-4"/>
                <w:sz w:val="21"/>
              </w:rPr>
              <w:t>8.47</w:t>
            </w:r>
          </w:p>
        </w:tc>
        <w:tc>
          <w:tcPr>
            <w:tcW w:w="2418" w:type="dxa"/>
          </w:tcPr>
          <w:p>
            <w:pPr>
              <w:pStyle w:val="TableParagraph"/>
              <w:spacing w:line="238" w:lineRule="exact" w:before="10"/>
              <w:ind w:left="56"/>
              <w:rPr>
                <w:sz w:val="21"/>
              </w:rPr>
            </w:pPr>
            <w:r>
              <w:rPr>
                <w:spacing w:val="-4"/>
                <w:sz w:val="21"/>
              </w:rPr>
              <w:t>现金价值</w:t>
            </w:r>
          </w:p>
        </w:tc>
      </w:tr>
      <w:tr>
        <w:trPr>
          <w:trHeight w:val="247" w:hRule="atLeast"/>
        </w:trPr>
        <w:tc>
          <w:tcPr>
            <w:tcW w:w="563" w:type="dxa"/>
          </w:tcPr>
          <w:p>
            <w:pPr>
              <w:pStyle w:val="TableParagraph"/>
              <w:spacing w:line="227" w:lineRule="exact"/>
              <w:ind w:right="50"/>
              <w:jc w:val="right"/>
              <w:rPr>
                <w:sz w:val="21"/>
              </w:rPr>
            </w:pPr>
            <w:r>
              <w:rPr>
                <w:spacing w:val="-5"/>
                <w:sz w:val="21"/>
              </w:rPr>
              <w:t>3.2</w:t>
            </w:r>
          </w:p>
        </w:tc>
        <w:tc>
          <w:tcPr>
            <w:tcW w:w="2823" w:type="dxa"/>
          </w:tcPr>
          <w:p>
            <w:pPr>
              <w:pStyle w:val="TableParagraph"/>
              <w:spacing w:line="227" w:lineRule="exact"/>
              <w:ind w:left="53"/>
              <w:rPr>
                <w:sz w:val="21"/>
              </w:rPr>
            </w:pPr>
            <w:r>
              <w:rPr>
                <w:spacing w:val="-4"/>
                <w:sz w:val="21"/>
              </w:rPr>
              <w:t>保险事故通知</w:t>
            </w:r>
          </w:p>
        </w:tc>
        <w:tc>
          <w:tcPr>
            <w:tcW w:w="672" w:type="dxa"/>
          </w:tcPr>
          <w:p>
            <w:pPr>
              <w:pStyle w:val="TableParagraph"/>
              <w:spacing w:line="227" w:lineRule="exact"/>
              <w:ind w:left="245"/>
              <w:rPr>
                <w:sz w:val="21"/>
              </w:rPr>
            </w:pPr>
            <w:r>
              <w:rPr>
                <w:spacing w:val="-4"/>
                <w:sz w:val="21"/>
              </w:rPr>
              <w:t>8.13</w:t>
            </w:r>
          </w:p>
        </w:tc>
        <w:tc>
          <w:tcPr>
            <w:tcW w:w="3225" w:type="dxa"/>
          </w:tcPr>
          <w:p>
            <w:pPr>
              <w:pStyle w:val="TableParagraph"/>
              <w:spacing w:line="227" w:lineRule="exact"/>
              <w:ind w:left="109"/>
              <w:rPr>
                <w:sz w:val="21"/>
              </w:rPr>
            </w:pPr>
            <w:r>
              <w:rPr>
                <w:spacing w:val="-4"/>
                <w:sz w:val="21"/>
              </w:rPr>
              <w:t>医学必需</w:t>
            </w:r>
          </w:p>
        </w:tc>
        <w:tc>
          <w:tcPr>
            <w:tcW w:w="654" w:type="dxa"/>
          </w:tcPr>
          <w:p>
            <w:pPr>
              <w:pStyle w:val="TableParagraph"/>
              <w:spacing w:line="227" w:lineRule="exact"/>
              <w:ind w:right="54"/>
              <w:jc w:val="right"/>
              <w:rPr>
                <w:sz w:val="21"/>
              </w:rPr>
            </w:pPr>
            <w:r>
              <w:rPr>
                <w:spacing w:val="-4"/>
                <w:sz w:val="21"/>
              </w:rPr>
              <w:t>8.48</w:t>
            </w:r>
          </w:p>
        </w:tc>
        <w:tc>
          <w:tcPr>
            <w:tcW w:w="2418" w:type="dxa"/>
          </w:tcPr>
          <w:p>
            <w:pPr>
              <w:pStyle w:val="TableParagraph"/>
              <w:spacing w:line="227" w:lineRule="exact"/>
              <w:ind w:left="56"/>
              <w:rPr>
                <w:sz w:val="21"/>
              </w:rPr>
            </w:pPr>
            <w:r>
              <w:rPr>
                <w:spacing w:val="-4"/>
                <w:sz w:val="21"/>
              </w:rPr>
              <w:t>净保险费</w:t>
            </w:r>
          </w:p>
        </w:tc>
      </w:tr>
      <w:tr>
        <w:trPr>
          <w:trHeight w:val="248" w:hRule="atLeast"/>
        </w:trPr>
        <w:tc>
          <w:tcPr>
            <w:tcW w:w="563" w:type="dxa"/>
          </w:tcPr>
          <w:p>
            <w:pPr>
              <w:pStyle w:val="TableParagraph"/>
              <w:spacing w:line="228" w:lineRule="exact"/>
              <w:ind w:right="50"/>
              <w:jc w:val="right"/>
              <w:rPr>
                <w:sz w:val="21"/>
              </w:rPr>
            </w:pPr>
            <w:r>
              <w:rPr>
                <w:spacing w:val="-5"/>
                <w:sz w:val="21"/>
              </w:rPr>
              <w:t>3.3</w:t>
            </w:r>
          </w:p>
        </w:tc>
        <w:tc>
          <w:tcPr>
            <w:tcW w:w="2823" w:type="dxa"/>
          </w:tcPr>
          <w:p>
            <w:pPr>
              <w:pStyle w:val="TableParagraph"/>
              <w:spacing w:line="228" w:lineRule="exact"/>
              <w:ind w:left="53"/>
              <w:rPr>
                <w:sz w:val="21"/>
              </w:rPr>
            </w:pPr>
            <w:r>
              <w:rPr>
                <w:spacing w:val="-4"/>
                <w:sz w:val="21"/>
              </w:rPr>
              <w:t>保险金申请</w:t>
            </w:r>
          </w:p>
        </w:tc>
        <w:tc>
          <w:tcPr>
            <w:tcW w:w="672" w:type="dxa"/>
          </w:tcPr>
          <w:p>
            <w:pPr>
              <w:pStyle w:val="TableParagraph"/>
              <w:spacing w:line="228" w:lineRule="exact"/>
              <w:ind w:left="245"/>
              <w:rPr>
                <w:sz w:val="21"/>
              </w:rPr>
            </w:pPr>
            <w:r>
              <w:rPr>
                <w:spacing w:val="-4"/>
                <w:sz w:val="21"/>
              </w:rPr>
              <w:t>8.14</w:t>
            </w:r>
          </w:p>
        </w:tc>
        <w:tc>
          <w:tcPr>
            <w:tcW w:w="3225" w:type="dxa"/>
          </w:tcPr>
          <w:p>
            <w:pPr>
              <w:pStyle w:val="TableParagraph"/>
              <w:spacing w:line="228" w:lineRule="exact"/>
              <w:ind w:left="109"/>
              <w:rPr>
                <w:sz w:val="21"/>
              </w:rPr>
            </w:pPr>
            <w:r>
              <w:rPr>
                <w:spacing w:val="-4"/>
                <w:sz w:val="21"/>
              </w:rPr>
              <w:t>住院医疗费用</w:t>
            </w:r>
          </w:p>
        </w:tc>
        <w:tc>
          <w:tcPr>
            <w:tcW w:w="654" w:type="dxa"/>
          </w:tcPr>
          <w:p>
            <w:pPr>
              <w:pStyle w:val="TableParagraph"/>
              <w:spacing w:line="228" w:lineRule="exact"/>
              <w:ind w:right="54"/>
              <w:jc w:val="right"/>
              <w:rPr>
                <w:sz w:val="21"/>
              </w:rPr>
            </w:pPr>
            <w:r>
              <w:rPr>
                <w:spacing w:val="-4"/>
                <w:sz w:val="21"/>
              </w:rPr>
              <w:t>8.49</w:t>
            </w:r>
          </w:p>
        </w:tc>
        <w:tc>
          <w:tcPr>
            <w:tcW w:w="2418" w:type="dxa"/>
          </w:tcPr>
          <w:p>
            <w:pPr>
              <w:pStyle w:val="TableParagraph"/>
              <w:spacing w:line="228" w:lineRule="exact"/>
              <w:ind w:left="56"/>
              <w:rPr>
                <w:sz w:val="21"/>
              </w:rPr>
            </w:pPr>
            <w:r>
              <w:rPr>
                <w:spacing w:val="-4"/>
                <w:sz w:val="21"/>
              </w:rPr>
              <w:t>肢体机能完全丧失</w:t>
            </w:r>
          </w:p>
        </w:tc>
      </w:tr>
      <w:tr>
        <w:trPr>
          <w:trHeight w:val="230" w:hRule="atLeast"/>
        </w:trPr>
        <w:tc>
          <w:tcPr>
            <w:tcW w:w="563" w:type="dxa"/>
          </w:tcPr>
          <w:p>
            <w:pPr>
              <w:pStyle w:val="TableParagraph"/>
              <w:spacing w:line="210" w:lineRule="exact"/>
              <w:ind w:right="50"/>
              <w:jc w:val="right"/>
              <w:rPr>
                <w:sz w:val="21"/>
              </w:rPr>
            </w:pPr>
            <w:r>
              <w:rPr>
                <w:spacing w:val="-5"/>
                <w:sz w:val="21"/>
              </w:rPr>
              <w:t>3.4</w:t>
            </w:r>
          </w:p>
        </w:tc>
        <w:tc>
          <w:tcPr>
            <w:tcW w:w="2823" w:type="dxa"/>
          </w:tcPr>
          <w:p>
            <w:pPr>
              <w:pStyle w:val="TableParagraph"/>
              <w:spacing w:line="210" w:lineRule="exact"/>
              <w:ind w:left="53"/>
              <w:rPr>
                <w:sz w:val="21"/>
              </w:rPr>
            </w:pPr>
            <w:r>
              <w:rPr>
                <w:spacing w:val="-4"/>
                <w:sz w:val="21"/>
              </w:rPr>
              <w:t>保险金给付</w:t>
            </w:r>
          </w:p>
        </w:tc>
        <w:tc>
          <w:tcPr>
            <w:tcW w:w="672" w:type="dxa"/>
          </w:tcPr>
          <w:p>
            <w:pPr>
              <w:pStyle w:val="TableParagraph"/>
              <w:spacing w:line="210" w:lineRule="exact"/>
              <w:ind w:left="245"/>
              <w:rPr>
                <w:sz w:val="21"/>
              </w:rPr>
            </w:pPr>
            <w:r>
              <w:rPr>
                <w:spacing w:val="-4"/>
                <w:sz w:val="21"/>
              </w:rPr>
              <w:t>8.15</w:t>
            </w:r>
          </w:p>
        </w:tc>
        <w:tc>
          <w:tcPr>
            <w:tcW w:w="3225" w:type="dxa"/>
          </w:tcPr>
          <w:p>
            <w:pPr>
              <w:pStyle w:val="TableParagraph"/>
              <w:spacing w:line="210" w:lineRule="exact"/>
              <w:ind w:left="109"/>
              <w:rPr>
                <w:sz w:val="21"/>
              </w:rPr>
            </w:pPr>
            <w:r>
              <w:rPr>
                <w:spacing w:val="-4"/>
                <w:sz w:val="21"/>
              </w:rPr>
              <w:t>门诊医疗费用</w:t>
            </w:r>
          </w:p>
        </w:tc>
        <w:tc>
          <w:tcPr>
            <w:tcW w:w="654" w:type="dxa"/>
          </w:tcPr>
          <w:p>
            <w:pPr>
              <w:pStyle w:val="TableParagraph"/>
              <w:spacing w:line="210" w:lineRule="exact"/>
              <w:ind w:right="54"/>
              <w:jc w:val="right"/>
              <w:rPr>
                <w:sz w:val="21"/>
              </w:rPr>
            </w:pPr>
            <w:r>
              <w:rPr>
                <w:spacing w:val="-4"/>
                <w:sz w:val="21"/>
              </w:rPr>
              <w:t>8.50</w:t>
            </w:r>
          </w:p>
        </w:tc>
        <w:tc>
          <w:tcPr>
            <w:tcW w:w="2418" w:type="dxa"/>
          </w:tcPr>
          <w:p>
            <w:pPr>
              <w:pStyle w:val="TableParagraph"/>
              <w:spacing w:line="210" w:lineRule="exact"/>
              <w:ind w:left="56"/>
              <w:rPr>
                <w:sz w:val="21"/>
              </w:rPr>
            </w:pPr>
            <w:r>
              <w:rPr>
                <w:spacing w:val="-3"/>
                <w:sz w:val="21"/>
              </w:rPr>
              <w:t>语言能力或咀嚼吞咽能力</w:t>
            </w:r>
          </w:p>
        </w:tc>
      </w:tr>
      <w:tr>
        <w:trPr>
          <w:trHeight w:val="247" w:hRule="atLeast"/>
        </w:trPr>
        <w:tc>
          <w:tcPr>
            <w:tcW w:w="3386" w:type="dxa"/>
            <w:gridSpan w:val="2"/>
          </w:tcPr>
          <w:p>
            <w:pPr>
              <w:pStyle w:val="TableParagraph"/>
              <w:spacing w:line="220" w:lineRule="exact" w:before="7"/>
              <w:ind w:left="50"/>
              <w:rPr>
                <w:b/>
                <w:sz w:val="21"/>
              </w:rPr>
            </w:pPr>
            <w:r>
              <w:rPr>
                <w:b/>
                <w:w w:val="95"/>
                <w:sz w:val="21"/>
              </w:rPr>
              <w:t>4.</w:t>
            </w:r>
            <w:r>
              <w:rPr>
                <w:b/>
                <w:spacing w:val="30"/>
                <w:sz w:val="21"/>
              </w:rPr>
              <w:t> </w:t>
            </w:r>
            <w:r>
              <w:rPr>
                <w:b/>
                <w:w w:val="95"/>
                <w:sz w:val="21"/>
              </w:rPr>
              <w:t>保</w:t>
            </w:r>
            <w:r>
              <w:rPr>
                <w:b/>
                <w:w w:val="95"/>
                <w:sz w:val="21"/>
              </w:rPr>
              <w:t>险</w:t>
            </w:r>
            <w:r>
              <w:rPr>
                <w:b/>
                <w:w w:val="95"/>
                <w:sz w:val="21"/>
              </w:rPr>
              <w:t>费</w:t>
            </w:r>
            <w:r>
              <w:rPr>
                <w:b/>
                <w:w w:val="95"/>
                <w:sz w:val="21"/>
              </w:rPr>
              <w:t>的</w:t>
            </w:r>
            <w:r>
              <w:rPr>
                <w:b/>
                <w:spacing w:val="-5"/>
                <w:w w:val="95"/>
                <w:sz w:val="21"/>
              </w:rPr>
              <w:t>交纳</w:t>
            </w:r>
          </w:p>
        </w:tc>
        <w:tc>
          <w:tcPr>
            <w:tcW w:w="672" w:type="dxa"/>
          </w:tcPr>
          <w:p>
            <w:pPr>
              <w:pStyle w:val="TableParagraph"/>
              <w:spacing w:line="220" w:lineRule="exact" w:before="7"/>
              <w:ind w:left="245"/>
              <w:rPr>
                <w:sz w:val="21"/>
              </w:rPr>
            </w:pPr>
            <w:r>
              <w:rPr>
                <w:spacing w:val="-4"/>
                <w:sz w:val="21"/>
              </w:rPr>
              <w:t>8.16</w:t>
            </w:r>
          </w:p>
        </w:tc>
        <w:tc>
          <w:tcPr>
            <w:tcW w:w="3225" w:type="dxa"/>
          </w:tcPr>
          <w:p>
            <w:pPr>
              <w:pStyle w:val="TableParagraph"/>
              <w:spacing w:line="220" w:lineRule="exact" w:before="7"/>
              <w:ind w:left="109"/>
              <w:rPr>
                <w:sz w:val="21"/>
              </w:rPr>
            </w:pPr>
            <w:r>
              <w:rPr>
                <w:spacing w:val="-4"/>
                <w:sz w:val="21"/>
              </w:rPr>
              <w:t>化学疗法</w:t>
            </w:r>
          </w:p>
        </w:tc>
        <w:tc>
          <w:tcPr>
            <w:tcW w:w="3072" w:type="dxa"/>
            <w:gridSpan w:val="2"/>
          </w:tcPr>
          <w:p>
            <w:pPr>
              <w:pStyle w:val="TableParagraph"/>
              <w:spacing w:line="220" w:lineRule="exact" w:before="7"/>
              <w:ind w:left="743"/>
              <w:rPr>
                <w:sz w:val="21"/>
              </w:rPr>
            </w:pPr>
            <w:r>
              <w:rPr>
                <w:spacing w:val="-4"/>
                <w:sz w:val="21"/>
              </w:rPr>
              <w:t>完全丧失</w:t>
            </w:r>
          </w:p>
        </w:tc>
      </w:tr>
      <w:tr>
        <w:trPr>
          <w:trHeight w:val="266" w:hRule="atLeast"/>
        </w:trPr>
        <w:tc>
          <w:tcPr>
            <w:tcW w:w="563" w:type="dxa"/>
          </w:tcPr>
          <w:p>
            <w:pPr>
              <w:pStyle w:val="TableParagraph"/>
              <w:spacing w:line="239" w:lineRule="exact" w:before="7"/>
              <w:ind w:right="50"/>
              <w:jc w:val="right"/>
              <w:rPr>
                <w:sz w:val="21"/>
              </w:rPr>
            </w:pPr>
            <w:r>
              <w:rPr>
                <w:spacing w:val="-5"/>
                <w:sz w:val="21"/>
              </w:rPr>
              <w:t>4.1</w:t>
            </w:r>
          </w:p>
        </w:tc>
        <w:tc>
          <w:tcPr>
            <w:tcW w:w="2823" w:type="dxa"/>
          </w:tcPr>
          <w:p>
            <w:pPr>
              <w:pStyle w:val="TableParagraph"/>
              <w:spacing w:line="239" w:lineRule="exact" w:before="7"/>
              <w:ind w:left="53"/>
              <w:rPr>
                <w:sz w:val="21"/>
              </w:rPr>
            </w:pPr>
            <w:r>
              <w:rPr>
                <w:spacing w:val="-4"/>
                <w:sz w:val="21"/>
              </w:rPr>
              <w:t>保险费的交纳</w:t>
            </w:r>
          </w:p>
        </w:tc>
        <w:tc>
          <w:tcPr>
            <w:tcW w:w="672" w:type="dxa"/>
          </w:tcPr>
          <w:p>
            <w:pPr>
              <w:pStyle w:val="TableParagraph"/>
              <w:spacing w:line="239" w:lineRule="exact" w:before="7"/>
              <w:ind w:left="245"/>
              <w:rPr>
                <w:sz w:val="21"/>
              </w:rPr>
            </w:pPr>
            <w:r>
              <w:rPr>
                <w:spacing w:val="-4"/>
                <w:sz w:val="21"/>
              </w:rPr>
              <w:t>8.17</w:t>
            </w:r>
          </w:p>
        </w:tc>
        <w:tc>
          <w:tcPr>
            <w:tcW w:w="3225" w:type="dxa"/>
          </w:tcPr>
          <w:p>
            <w:pPr>
              <w:pStyle w:val="TableParagraph"/>
              <w:spacing w:line="239" w:lineRule="exact" w:before="7"/>
              <w:ind w:left="109"/>
              <w:rPr>
                <w:sz w:val="21"/>
              </w:rPr>
            </w:pPr>
            <w:r>
              <w:rPr>
                <w:spacing w:val="-4"/>
                <w:sz w:val="21"/>
              </w:rPr>
              <w:t>放射疗法</w:t>
            </w:r>
          </w:p>
        </w:tc>
        <w:tc>
          <w:tcPr>
            <w:tcW w:w="654" w:type="dxa"/>
          </w:tcPr>
          <w:p>
            <w:pPr>
              <w:pStyle w:val="TableParagraph"/>
              <w:spacing w:line="239" w:lineRule="exact" w:before="7"/>
              <w:ind w:right="54"/>
              <w:jc w:val="right"/>
              <w:rPr>
                <w:sz w:val="21"/>
              </w:rPr>
            </w:pPr>
            <w:r>
              <w:rPr>
                <w:spacing w:val="-4"/>
                <w:sz w:val="21"/>
              </w:rPr>
              <w:t>8.51</w:t>
            </w:r>
          </w:p>
        </w:tc>
        <w:tc>
          <w:tcPr>
            <w:tcW w:w="2418" w:type="dxa"/>
          </w:tcPr>
          <w:p>
            <w:pPr>
              <w:pStyle w:val="TableParagraph"/>
              <w:spacing w:line="239" w:lineRule="exact" w:before="7"/>
              <w:ind w:left="56"/>
              <w:rPr>
                <w:sz w:val="21"/>
              </w:rPr>
            </w:pPr>
            <w:r>
              <w:rPr>
                <w:spacing w:val="-3"/>
                <w:sz w:val="21"/>
              </w:rPr>
              <w:t>六项基本日常生活活动</w:t>
            </w:r>
          </w:p>
        </w:tc>
      </w:tr>
      <w:tr>
        <w:trPr>
          <w:trHeight w:val="248" w:hRule="atLeast"/>
        </w:trPr>
        <w:tc>
          <w:tcPr>
            <w:tcW w:w="563" w:type="dxa"/>
          </w:tcPr>
          <w:p>
            <w:pPr>
              <w:pStyle w:val="TableParagraph"/>
              <w:spacing w:line="228" w:lineRule="exact"/>
              <w:ind w:right="50"/>
              <w:jc w:val="right"/>
              <w:rPr>
                <w:sz w:val="21"/>
              </w:rPr>
            </w:pPr>
            <w:r>
              <w:rPr>
                <w:spacing w:val="-5"/>
                <w:sz w:val="21"/>
              </w:rPr>
              <w:t>4.2</w:t>
            </w:r>
          </w:p>
        </w:tc>
        <w:tc>
          <w:tcPr>
            <w:tcW w:w="2823" w:type="dxa"/>
          </w:tcPr>
          <w:p>
            <w:pPr>
              <w:pStyle w:val="TableParagraph"/>
              <w:spacing w:line="228" w:lineRule="exact"/>
              <w:ind w:left="53"/>
              <w:rPr>
                <w:sz w:val="21"/>
              </w:rPr>
            </w:pPr>
            <w:r>
              <w:rPr>
                <w:spacing w:val="-4"/>
                <w:sz w:val="21"/>
              </w:rPr>
              <w:t>保险费率调整</w:t>
            </w:r>
          </w:p>
        </w:tc>
        <w:tc>
          <w:tcPr>
            <w:tcW w:w="672" w:type="dxa"/>
          </w:tcPr>
          <w:p>
            <w:pPr>
              <w:pStyle w:val="TableParagraph"/>
              <w:spacing w:line="228" w:lineRule="exact"/>
              <w:ind w:left="245"/>
              <w:rPr>
                <w:sz w:val="21"/>
              </w:rPr>
            </w:pPr>
            <w:r>
              <w:rPr>
                <w:spacing w:val="-4"/>
                <w:sz w:val="21"/>
              </w:rPr>
              <w:t>8.18</w:t>
            </w:r>
          </w:p>
        </w:tc>
        <w:tc>
          <w:tcPr>
            <w:tcW w:w="3225" w:type="dxa"/>
          </w:tcPr>
          <w:p>
            <w:pPr>
              <w:pStyle w:val="TableParagraph"/>
              <w:spacing w:line="228" w:lineRule="exact"/>
              <w:ind w:left="109"/>
              <w:rPr>
                <w:sz w:val="21"/>
              </w:rPr>
            </w:pPr>
            <w:r>
              <w:rPr>
                <w:spacing w:val="-4"/>
                <w:sz w:val="21"/>
              </w:rPr>
              <w:t>肿瘤免疫疗法</w:t>
            </w:r>
          </w:p>
        </w:tc>
        <w:tc>
          <w:tcPr>
            <w:tcW w:w="654" w:type="dxa"/>
          </w:tcPr>
          <w:p>
            <w:pPr>
              <w:pStyle w:val="TableParagraph"/>
              <w:spacing w:line="228" w:lineRule="exact"/>
              <w:ind w:right="54"/>
              <w:jc w:val="right"/>
              <w:rPr>
                <w:sz w:val="21"/>
              </w:rPr>
            </w:pPr>
            <w:r>
              <w:rPr>
                <w:spacing w:val="-4"/>
                <w:sz w:val="21"/>
              </w:rPr>
              <w:t>8.52</w:t>
            </w:r>
          </w:p>
        </w:tc>
        <w:tc>
          <w:tcPr>
            <w:tcW w:w="2418" w:type="dxa"/>
          </w:tcPr>
          <w:p>
            <w:pPr>
              <w:pStyle w:val="TableParagraph"/>
              <w:spacing w:line="228" w:lineRule="exact"/>
              <w:ind w:left="56"/>
              <w:rPr>
                <w:sz w:val="21"/>
              </w:rPr>
            </w:pPr>
            <w:r>
              <w:rPr>
                <w:spacing w:val="-4"/>
                <w:sz w:val="21"/>
              </w:rPr>
              <w:t>永久不可逆</w:t>
            </w:r>
          </w:p>
        </w:tc>
      </w:tr>
      <w:tr>
        <w:trPr>
          <w:trHeight w:val="247" w:hRule="atLeast"/>
        </w:trPr>
        <w:tc>
          <w:tcPr>
            <w:tcW w:w="563" w:type="dxa"/>
          </w:tcPr>
          <w:p>
            <w:pPr>
              <w:pStyle w:val="TableParagraph"/>
              <w:spacing w:line="227" w:lineRule="exact"/>
              <w:ind w:right="50"/>
              <w:jc w:val="right"/>
              <w:rPr>
                <w:sz w:val="21"/>
              </w:rPr>
            </w:pPr>
            <w:r>
              <w:rPr>
                <w:spacing w:val="-5"/>
                <w:sz w:val="21"/>
              </w:rPr>
              <w:t>4.3</w:t>
            </w:r>
          </w:p>
        </w:tc>
        <w:tc>
          <w:tcPr>
            <w:tcW w:w="2823" w:type="dxa"/>
          </w:tcPr>
          <w:p>
            <w:pPr>
              <w:pStyle w:val="TableParagraph"/>
              <w:spacing w:line="227" w:lineRule="exact"/>
              <w:ind w:left="53"/>
              <w:rPr>
                <w:sz w:val="21"/>
              </w:rPr>
            </w:pPr>
            <w:r>
              <w:rPr>
                <w:spacing w:val="-5"/>
                <w:sz w:val="21"/>
              </w:rPr>
              <w:t>续保</w:t>
            </w:r>
          </w:p>
        </w:tc>
        <w:tc>
          <w:tcPr>
            <w:tcW w:w="672" w:type="dxa"/>
          </w:tcPr>
          <w:p>
            <w:pPr>
              <w:pStyle w:val="TableParagraph"/>
              <w:spacing w:line="227" w:lineRule="exact"/>
              <w:ind w:left="245"/>
              <w:rPr>
                <w:sz w:val="21"/>
              </w:rPr>
            </w:pPr>
            <w:r>
              <w:rPr>
                <w:spacing w:val="-4"/>
                <w:sz w:val="21"/>
              </w:rPr>
              <w:t>8.19</w:t>
            </w:r>
          </w:p>
        </w:tc>
        <w:tc>
          <w:tcPr>
            <w:tcW w:w="3225" w:type="dxa"/>
          </w:tcPr>
          <w:p>
            <w:pPr>
              <w:pStyle w:val="TableParagraph"/>
              <w:spacing w:line="227" w:lineRule="exact"/>
              <w:ind w:left="109"/>
              <w:rPr>
                <w:sz w:val="21"/>
              </w:rPr>
            </w:pPr>
            <w:r>
              <w:rPr>
                <w:spacing w:val="-4"/>
                <w:sz w:val="21"/>
              </w:rPr>
              <w:t>肿瘤内分泌疗法</w:t>
            </w:r>
          </w:p>
        </w:tc>
        <w:tc>
          <w:tcPr>
            <w:tcW w:w="654" w:type="dxa"/>
          </w:tcPr>
          <w:p>
            <w:pPr>
              <w:pStyle w:val="TableParagraph"/>
              <w:spacing w:line="227" w:lineRule="exact"/>
              <w:ind w:right="54"/>
              <w:jc w:val="right"/>
              <w:rPr>
                <w:sz w:val="21"/>
              </w:rPr>
            </w:pPr>
            <w:r>
              <w:rPr>
                <w:spacing w:val="-4"/>
                <w:sz w:val="21"/>
              </w:rPr>
              <w:t>8.53</w:t>
            </w:r>
          </w:p>
        </w:tc>
        <w:tc>
          <w:tcPr>
            <w:tcW w:w="2418" w:type="dxa"/>
          </w:tcPr>
          <w:p>
            <w:pPr>
              <w:pStyle w:val="TableParagraph"/>
              <w:spacing w:line="227" w:lineRule="exact"/>
              <w:ind w:left="56"/>
              <w:rPr>
                <w:sz w:val="21"/>
              </w:rPr>
            </w:pPr>
            <w:r>
              <w:rPr>
                <w:spacing w:val="-4"/>
                <w:sz w:val="21"/>
              </w:rPr>
              <w:t>床位费及膳食费</w:t>
            </w:r>
          </w:p>
        </w:tc>
      </w:tr>
      <w:tr>
        <w:trPr>
          <w:trHeight w:val="248" w:hRule="atLeast"/>
        </w:trPr>
        <w:tc>
          <w:tcPr>
            <w:tcW w:w="563" w:type="dxa"/>
          </w:tcPr>
          <w:p>
            <w:pPr>
              <w:pStyle w:val="TableParagraph"/>
              <w:spacing w:line="228" w:lineRule="exact"/>
              <w:ind w:right="50"/>
              <w:jc w:val="right"/>
              <w:rPr>
                <w:sz w:val="21"/>
              </w:rPr>
            </w:pPr>
            <w:r>
              <w:rPr>
                <w:spacing w:val="-5"/>
                <w:sz w:val="21"/>
              </w:rPr>
              <w:t>4.4</w:t>
            </w:r>
          </w:p>
        </w:tc>
        <w:tc>
          <w:tcPr>
            <w:tcW w:w="2823" w:type="dxa"/>
          </w:tcPr>
          <w:p>
            <w:pPr>
              <w:pStyle w:val="TableParagraph"/>
              <w:spacing w:line="228" w:lineRule="exact"/>
              <w:ind w:left="53"/>
              <w:rPr>
                <w:sz w:val="21"/>
              </w:rPr>
            </w:pPr>
            <w:r>
              <w:rPr>
                <w:spacing w:val="-4"/>
                <w:sz w:val="21"/>
              </w:rPr>
              <w:t>新续保合同交费期</w:t>
            </w:r>
          </w:p>
        </w:tc>
        <w:tc>
          <w:tcPr>
            <w:tcW w:w="672" w:type="dxa"/>
          </w:tcPr>
          <w:p>
            <w:pPr>
              <w:pStyle w:val="TableParagraph"/>
              <w:spacing w:line="228" w:lineRule="exact"/>
              <w:ind w:left="245"/>
              <w:rPr>
                <w:sz w:val="21"/>
              </w:rPr>
            </w:pPr>
            <w:r>
              <w:rPr>
                <w:spacing w:val="-4"/>
                <w:sz w:val="21"/>
              </w:rPr>
              <w:t>8.20</w:t>
            </w:r>
          </w:p>
        </w:tc>
        <w:tc>
          <w:tcPr>
            <w:tcW w:w="3225" w:type="dxa"/>
          </w:tcPr>
          <w:p>
            <w:pPr>
              <w:pStyle w:val="TableParagraph"/>
              <w:spacing w:line="228" w:lineRule="exact"/>
              <w:ind w:left="109"/>
              <w:rPr>
                <w:sz w:val="21"/>
              </w:rPr>
            </w:pPr>
            <w:r>
              <w:rPr>
                <w:spacing w:val="-4"/>
                <w:sz w:val="21"/>
              </w:rPr>
              <w:t>肿瘤靶向疗法</w:t>
            </w:r>
          </w:p>
        </w:tc>
        <w:tc>
          <w:tcPr>
            <w:tcW w:w="654" w:type="dxa"/>
          </w:tcPr>
          <w:p>
            <w:pPr>
              <w:pStyle w:val="TableParagraph"/>
              <w:spacing w:line="228" w:lineRule="exact"/>
              <w:ind w:right="54"/>
              <w:jc w:val="right"/>
              <w:rPr>
                <w:sz w:val="21"/>
              </w:rPr>
            </w:pPr>
            <w:r>
              <w:rPr>
                <w:spacing w:val="-4"/>
                <w:sz w:val="21"/>
              </w:rPr>
              <w:t>8.54</w:t>
            </w:r>
          </w:p>
        </w:tc>
        <w:tc>
          <w:tcPr>
            <w:tcW w:w="2418" w:type="dxa"/>
          </w:tcPr>
          <w:p>
            <w:pPr>
              <w:pStyle w:val="TableParagraph"/>
              <w:spacing w:line="228" w:lineRule="exact"/>
              <w:ind w:left="56"/>
              <w:rPr>
                <w:sz w:val="21"/>
              </w:rPr>
            </w:pPr>
            <w:r>
              <w:rPr>
                <w:spacing w:val="-4"/>
                <w:sz w:val="21"/>
              </w:rPr>
              <w:t>监护人陪护床位费</w:t>
            </w:r>
          </w:p>
        </w:tc>
      </w:tr>
      <w:tr>
        <w:trPr>
          <w:trHeight w:val="248" w:hRule="atLeast"/>
        </w:trPr>
        <w:tc>
          <w:tcPr>
            <w:tcW w:w="563" w:type="dxa"/>
          </w:tcPr>
          <w:p>
            <w:pPr>
              <w:pStyle w:val="TableParagraph"/>
              <w:spacing w:line="229" w:lineRule="exact"/>
              <w:ind w:right="50"/>
              <w:jc w:val="right"/>
              <w:rPr>
                <w:sz w:val="21"/>
              </w:rPr>
            </w:pPr>
            <w:r>
              <w:rPr>
                <w:spacing w:val="-5"/>
                <w:sz w:val="21"/>
              </w:rPr>
              <w:t>4.5</w:t>
            </w:r>
          </w:p>
        </w:tc>
        <w:tc>
          <w:tcPr>
            <w:tcW w:w="2823" w:type="dxa"/>
          </w:tcPr>
          <w:p>
            <w:pPr>
              <w:pStyle w:val="TableParagraph"/>
              <w:spacing w:line="229" w:lineRule="exact"/>
              <w:ind w:left="53"/>
              <w:rPr>
                <w:sz w:val="21"/>
              </w:rPr>
            </w:pPr>
            <w:r>
              <w:rPr>
                <w:spacing w:val="-3"/>
                <w:sz w:val="21"/>
              </w:rPr>
              <w:t>社会基本医疗保险或者公费</w:t>
            </w:r>
          </w:p>
        </w:tc>
        <w:tc>
          <w:tcPr>
            <w:tcW w:w="672" w:type="dxa"/>
          </w:tcPr>
          <w:p>
            <w:pPr>
              <w:pStyle w:val="TableParagraph"/>
              <w:spacing w:line="229" w:lineRule="exact"/>
              <w:ind w:left="245"/>
              <w:rPr>
                <w:sz w:val="21"/>
              </w:rPr>
            </w:pPr>
            <w:r>
              <w:rPr>
                <w:spacing w:val="-4"/>
                <w:sz w:val="21"/>
              </w:rPr>
              <w:t>8.21</w:t>
            </w:r>
          </w:p>
        </w:tc>
        <w:tc>
          <w:tcPr>
            <w:tcW w:w="3225" w:type="dxa"/>
          </w:tcPr>
          <w:p>
            <w:pPr>
              <w:pStyle w:val="TableParagraph"/>
              <w:spacing w:line="229" w:lineRule="exact"/>
              <w:ind w:left="109"/>
              <w:rPr>
                <w:sz w:val="21"/>
              </w:rPr>
            </w:pPr>
            <w:r>
              <w:rPr>
                <w:spacing w:val="-5"/>
                <w:sz w:val="21"/>
              </w:rPr>
              <w:t>肾透析</w:t>
            </w:r>
          </w:p>
        </w:tc>
        <w:tc>
          <w:tcPr>
            <w:tcW w:w="654" w:type="dxa"/>
          </w:tcPr>
          <w:p>
            <w:pPr>
              <w:pStyle w:val="TableParagraph"/>
              <w:spacing w:line="229" w:lineRule="exact"/>
              <w:ind w:right="54"/>
              <w:jc w:val="right"/>
              <w:rPr>
                <w:sz w:val="21"/>
              </w:rPr>
            </w:pPr>
            <w:r>
              <w:rPr>
                <w:spacing w:val="-4"/>
                <w:sz w:val="21"/>
              </w:rPr>
              <w:t>8.55</w:t>
            </w:r>
          </w:p>
        </w:tc>
        <w:tc>
          <w:tcPr>
            <w:tcW w:w="2418" w:type="dxa"/>
          </w:tcPr>
          <w:p>
            <w:pPr>
              <w:pStyle w:val="TableParagraph"/>
              <w:spacing w:line="229" w:lineRule="exact"/>
              <w:ind w:left="56"/>
              <w:rPr>
                <w:sz w:val="21"/>
              </w:rPr>
            </w:pPr>
            <w:r>
              <w:rPr>
                <w:spacing w:val="-4"/>
                <w:sz w:val="21"/>
              </w:rPr>
              <w:t>重症监护室床位费</w:t>
            </w:r>
          </w:p>
        </w:tc>
      </w:tr>
      <w:tr>
        <w:trPr>
          <w:trHeight w:val="247" w:hRule="atLeast"/>
        </w:trPr>
        <w:tc>
          <w:tcPr>
            <w:tcW w:w="563" w:type="dxa"/>
          </w:tcPr>
          <w:p>
            <w:pPr>
              <w:pStyle w:val="TableParagraph"/>
              <w:rPr>
                <w:rFonts w:ascii="Times New Roman"/>
                <w:sz w:val="18"/>
              </w:rPr>
            </w:pPr>
          </w:p>
        </w:tc>
        <w:tc>
          <w:tcPr>
            <w:tcW w:w="2823" w:type="dxa"/>
          </w:tcPr>
          <w:p>
            <w:pPr>
              <w:pStyle w:val="TableParagraph"/>
              <w:spacing w:line="228" w:lineRule="exact"/>
              <w:ind w:left="51"/>
              <w:rPr>
                <w:sz w:val="21"/>
              </w:rPr>
            </w:pPr>
            <w:r>
              <w:rPr>
                <w:spacing w:val="-4"/>
                <w:sz w:val="21"/>
              </w:rPr>
              <w:t>医疗状态变更</w:t>
            </w:r>
          </w:p>
        </w:tc>
        <w:tc>
          <w:tcPr>
            <w:tcW w:w="672" w:type="dxa"/>
          </w:tcPr>
          <w:p>
            <w:pPr>
              <w:pStyle w:val="TableParagraph"/>
              <w:spacing w:line="228" w:lineRule="exact"/>
              <w:ind w:left="245"/>
              <w:rPr>
                <w:sz w:val="21"/>
              </w:rPr>
            </w:pPr>
            <w:r>
              <w:rPr>
                <w:spacing w:val="-4"/>
                <w:sz w:val="21"/>
              </w:rPr>
              <w:t>8.22</w:t>
            </w:r>
          </w:p>
        </w:tc>
        <w:tc>
          <w:tcPr>
            <w:tcW w:w="3225" w:type="dxa"/>
          </w:tcPr>
          <w:p>
            <w:pPr>
              <w:pStyle w:val="TableParagraph"/>
              <w:spacing w:line="228" w:lineRule="exact"/>
              <w:ind w:left="109"/>
              <w:rPr>
                <w:sz w:val="21"/>
              </w:rPr>
            </w:pPr>
            <w:r>
              <w:rPr>
                <w:spacing w:val="-4"/>
                <w:sz w:val="21"/>
              </w:rPr>
              <w:t>门急诊医疗费用</w:t>
            </w:r>
          </w:p>
        </w:tc>
        <w:tc>
          <w:tcPr>
            <w:tcW w:w="654" w:type="dxa"/>
          </w:tcPr>
          <w:p>
            <w:pPr>
              <w:pStyle w:val="TableParagraph"/>
              <w:spacing w:line="228" w:lineRule="exact"/>
              <w:ind w:right="54"/>
              <w:jc w:val="right"/>
              <w:rPr>
                <w:sz w:val="21"/>
              </w:rPr>
            </w:pPr>
            <w:r>
              <w:rPr>
                <w:spacing w:val="-4"/>
                <w:sz w:val="21"/>
              </w:rPr>
              <w:t>8.56</w:t>
            </w:r>
          </w:p>
        </w:tc>
        <w:tc>
          <w:tcPr>
            <w:tcW w:w="2418" w:type="dxa"/>
          </w:tcPr>
          <w:p>
            <w:pPr>
              <w:pStyle w:val="TableParagraph"/>
              <w:spacing w:line="228" w:lineRule="exact"/>
              <w:ind w:left="56"/>
              <w:rPr>
                <w:sz w:val="21"/>
              </w:rPr>
            </w:pPr>
            <w:r>
              <w:rPr>
                <w:spacing w:val="-5"/>
                <w:sz w:val="21"/>
              </w:rPr>
              <w:t>药品费</w:t>
            </w:r>
          </w:p>
        </w:tc>
      </w:tr>
      <w:tr>
        <w:trPr>
          <w:trHeight w:val="229" w:hRule="atLeast"/>
        </w:trPr>
        <w:tc>
          <w:tcPr>
            <w:tcW w:w="563" w:type="dxa"/>
          </w:tcPr>
          <w:p>
            <w:pPr>
              <w:pStyle w:val="TableParagraph"/>
              <w:spacing w:line="209" w:lineRule="exact"/>
              <w:ind w:right="50"/>
              <w:jc w:val="right"/>
              <w:rPr>
                <w:sz w:val="21"/>
              </w:rPr>
            </w:pPr>
            <w:r>
              <w:rPr>
                <w:spacing w:val="-5"/>
                <w:sz w:val="21"/>
              </w:rPr>
              <w:t>4.6</w:t>
            </w:r>
          </w:p>
        </w:tc>
        <w:tc>
          <w:tcPr>
            <w:tcW w:w="2823" w:type="dxa"/>
          </w:tcPr>
          <w:p>
            <w:pPr>
              <w:pStyle w:val="TableParagraph"/>
              <w:spacing w:line="209" w:lineRule="exact"/>
              <w:ind w:left="53"/>
              <w:rPr>
                <w:sz w:val="21"/>
              </w:rPr>
            </w:pPr>
            <w:r>
              <w:rPr>
                <w:spacing w:val="-4"/>
                <w:sz w:val="21"/>
              </w:rPr>
              <w:t>停售处理</w:t>
            </w:r>
          </w:p>
        </w:tc>
        <w:tc>
          <w:tcPr>
            <w:tcW w:w="672" w:type="dxa"/>
          </w:tcPr>
          <w:p>
            <w:pPr>
              <w:pStyle w:val="TableParagraph"/>
              <w:spacing w:line="209" w:lineRule="exact"/>
              <w:ind w:left="245"/>
              <w:rPr>
                <w:sz w:val="21"/>
              </w:rPr>
            </w:pPr>
            <w:r>
              <w:rPr>
                <w:spacing w:val="-4"/>
                <w:sz w:val="21"/>
              </w:rPr>
              <w:t>8.23</w:t>
            </w:r>
          </w:p>
        </w:tc>
        <w:tc>
          <w:tcPr>
            <w:tcW w:w="3225" w:type="dxa"/>
          </w:tcPr>
          <w:p>
            <w:pPr>
              <w:pStyle w:val="TableParagraph"/>
              <w:spacing w:line="209" w:lineRule="exact"/>
              <w:ind w:left="109"/>
              <w:rPr>
                <w:sz w:val="21"/>
              </w:rPr>
            </w:pPr>
            <w:r>
              <w:rPr>
                <w:spacing w:val="-3"/>
                <w:sz w:val="21"/>
              </w:rPr>
              <w:t>医疗保险金的计算方法</w:t>
            </w:r>
          </w:p>
        </w:tc>
        <w:tc>
          <w:tcPr>
            <w:tcW w:w="654" w:type="dxa"/>
          </w:tcPr>
          <w:p>
            <w:pPr>
              <w:pStyle w:val="TableParagraph"/>
              <w:spacing w:line="209" w:lineRule="exact"/>
              <w:ind w:right="54"/>
              <w:jc w:val="right"/>
              <w:rPr>
                <w:sz w:val="21"/>
              </w:rPr>
            </w:pPr>
            <w:r>
              <w:rPr>
                <w:spacing w:val="-4"/>
                <w:sz w:val="21"/>
              </w:rPr>
              <w:t>8.57</w:t>
            </w:r>
          </w:p>
        </w:tc>
        <w:tc>
          <w:tcPr>
            <w:tcW w:w="2418" w:type="dxa"/>
          </w:tcPr>
          <w:p>
            <w:pPr>
              <w:pStyle w:val="TableParagraph"/>
              <w:spacing w:line="209" w:lineRule="exact"/>
              <w:ind w:left="56"/>
              <w:rPr>
                <w:sz w:val="21"/>
              </w:rPr>
            </w:pPr>
            <w:r>
              <w:rPr>
                <w:spacing w:val="-5"/>
                <w:sz w:val="21"/>
              </w:rPr>
              <w:t>治疗费</w:t>
            </w:r>
          </w:p>
        </w:tc>
      </w:tr>
      <w:tr>
        <w:trPr>
          <w:trHeight w:val="267" w:hRule="atLeast"/>
        </w:trPr>
        <w:tc>
          <w:tcPr>
            <w:tcW w:w="3386" w:type="dxa"/>
            <w:gridSpan w:val="2"/>
          </w:tcPr>
          <w:p>
            <w:pPr>
              <w:pStyle w:val="TableParagraph"/>
              <w:spacing w:line="238" w:lineRule="exact" w:before="10"/>
              <w:ind w:left="50"/>
              <w:rPr>
                <w:b/>
                <w:sz w:val="21"/>
              </w:rPr>
            </w:pPr>
            <w:r>
              <w:rPr>
                <w:b/>
                <w:w w:val="95"/>
                <w:sz w:val="21"/>
              </w:rPr>
              <w:t>5.</w:t>
            </w:r>
            <w:r>
              <w:rPr>
                <w:b/>
                <w:spacing w:val="10"/>
                <w:sz w:val="21"/>
              </w:rPr>
              <w:t> </w:t>
            </w:r>
            <w:r>
              <w:rPr>
                <w:b/>
                <w:w w:val="95"/>
                <w:sz w:val="21"/>
              </w:rPr>
              <w:t>合</w:t>
            </w:r>
            <w:r>
              <w:rPr>
                <w:b/>
                <w:w w:val="95"/>
                <w:sz w:val="21"/>
              </w:rPr>
              <w:t>同</w:t>
            </w:r>
            <w:r>
              <w:rPr>
                <w:b/>
                <w:w w:val="95"/>
                <w:sz w:val="21"/>
              </w:rPr>
              <w:t>解</w:t>
            </w:r>
            <w:r>
              <w:rPr>
                <w:b/>
                <w:spacing w:val="-10"/>
                <w:w w:val="95"/>
                <w:sz w:val="21"/>
              </w:rPr>
              <w:t>除</w:t>
            </w:r>
          </w:p>
        </w:tc>
        <w:tc>
          <w:tcPr>
            <w:tcW w:w="672" w:type="dxa"/>
          </w:tcPr>
          <w:p>
            <w:pPr>
              <w:pStyle w:val="TableParagraph"/>
              <w:spacing w:line="238" w:lineRule="exact" w:before="10"/>
              <w:ind w:left="245"/>
              <w:rPr>
                <w:sz w:val="21"/>
              </w:rPr>
            </w:pPr>
            <w:r>
              <w:rPr>
                <w:spacing w:val="-4"/>
                <w:sz w:val="21"/>
              </w:rPr>
              <w:t>8.24</w:t>
            </w:r>
          </w:p>
        </w:tc>
        <w:tc>
          <w:tcPr>
            <w:tcW w:w="3225" w:type="dxa"/>
          </w:tcPr>
          <w:p>
            <w:pPr>
              <w:pStyle w:val="TableParagraph"/>
              <w:spacing w:line="238" w:lineRule="exact" w:before="10"/>
              <w:ind w:left="109"/>
              <w:rPr>
                <w:sz w:val="21"/>
              </w:rPr>
            </w:pPr>
            <w:r>
              <w:rPr>
                <w:spacing w:val="-4"/>
                <w:sz w:val="21"/>
              </w:rPr>
              <w:t>中国境外</w:t>
            </w:r>
          </w:p>
        </w:tc>
        <w:tc>
          <w:tcPr>
            <w:tcW w:w="654" w:type="dxa"/>
          </w:tcPr>
          <w:p>
            <w:pPr>
              <w:pStyle w:val="TableParagraph"/>
              <w:spacing w:line="238" w:lineRule="exact" w:before="10"/>
              <w:ind w:right="54"/>
              <w:jc w:val="right"/>
              <w:rPr>
                <w:sz w:val="21"/>
              </w:rPr>
            </w:pPr>
            <w:r>
              <w:rPr>
                <w:spacing w:val="-4"/>
                <w:sz w:val="21"/>
              </w:rPr>
              <w:t>8.58</w:t>
            </w:r>
          </w:p>
        </w:tc>
        <w:tc>
          <w:tcPr>
            <w:tcW w:w="2418" w:type="dxa"/>
          </w:tcPr>
          <w:p>
            <w:pPr>
              <w:pStyle w:val="TableParagraph"/>
              <w:spacing w:line="238" w:lineRule="exact" w:before="10"/>
              <w:ind w:left="56"/>
              <w:rPr>
                <w:sz w:val="21"/>
              </w:rPr>
            </w:pPr>
            <w:r>
              <w:rPr>
                <w:spacing w:val="-5"/>
                <w:sz w:val="21"/>
              </w:rPr>
              <w:t>护理费</w:t>
            </w:r>
          </w:p>
        </w:tc>
      </w:tr>
      <w:tr>
        <w:trPr>
          <w:trHeight w:val="247" w:hRule="atLeast"/>
        </w:trPr>
        <w:tc>
          <w:tcPr>
            <w:tcW w:w="3386" w:type="dxa"/>
            <w:gridSpan w:val="2"/>
          </w:tcPr>
          <w:p>
            <w:pPr>
              <w:pStyle w:val="TableParagraph"/>
              <w:spacing w:line="227" w:lineRule="exact"/>
              <w:ind w:left="194"/>
              <w:rPr>
                <w:sz w:val="21"/>
              </w:rPr>
            </w:pPr>
            <w:r>
              <w:rPr>
                <w:sz w:val="21"/>
              </w:rPr>
              <w:t>5.1</w:t>
            </w:r>
            <w:r>
              <w:rPr>
                <w:spacing w:val="-4"/>
                <w:sz w:val="21"/>
              </w:rPr>
              <w:t> 您解除合同的手续及风险</w:t>
            </w:r>
          </w:p>
        </w:tc>
        <w:tc>
          <w:tcPr>
            <w:tcW w:w="672" w:type="dxa"/>
          </w:tcPr>
          <w:p>
            <w:pPr>
              <w:pStyle w:val="TableParagraph"/>
              <w:spacing w:line="227" w:lineRule="exact"/>
              <w:ind w:left="245"/>
              <w:rPr>
                <w:sz w:val="21"/>
              </w:rPr>
            </w:pPr>
            <w:r>
              <w:rPr>
                <w:spacing w:val="-4"/>
                <w:sz w:val="21"/>
              </w:rPr>
              <w:t>8.25</w:t>
            </w:r>
          </w:p>
        </w:tc>
        <w:tc>
          <w:tcPr>
            <w:tcW w:w="3225" w:type="dxa"/>
          </w:tcPr>
          <w:p>
            <w:pPr>
              <w:pStyle w:val="TableParagraph"/>
              <w:spacing w:line="227" w:lineRule="exact"/>
              <w:ind w:left="109"/>
              <w:rPr>
                <w:sz w:val="21"/>
              </w:rPr>
            </w:pPr>
            <w:r>
              <w:rPr>
                <w:spacing w:val="-5"/>
                <w:sz w:val="21"/>
              </w:rPr>
              <w:t>既往症</w:t>
            </w:r>
          </w:p>
        </w:tc>
        <w:tc>
          <w:tcPr>
            <w:tcW w:w="654" w:type="dxa"/>
          </w:tcPr>
          <w:p>
            <w:pPr>
              <w:pStyle w:val="TableParagraph"/>
              <w:spacing w:line="227" w:lineRule="exact"/>
              <w:ind w:right="54"/>
              <w:jc w:val="right"/>
              <w:rPr>
                <w:sz w:val="21"/>
              </w:rPr>
            </w:pPr>
            <w:r>
              <w:rPr>
                <w:spacing w:val="-4"/>
                <w:sz w:val="21"/>
              </w:rPr>
              <w:t>8.59</w:t>
            </w:r>
          </w:p>
        </w:tc>
        <w:tc>
          <w:tcPr>
            <w:tcW w:w="2418" w:type="dxa"/>
          </w:tcPr>
          <w:p>
            <w:pPr>
              <w:pStyle w:val="TableParagraph"/>
              <w:spacing w:line="227" w:lineRule="exact"/>
              <w:ind w:left="56"/>
              <w:rPr>
                <w:sz w:val="21"/>
              </w:rPr>
            </w:pPr>
            <w:r>
              <w:rPr>
                <w:spacing w:val="-4"/>
                <w:sz w:val="21"/>
              </w:rPr>
              <w:t>检查化验</w:t>
            </w:r>
          </w:p>
        </w:tc>
      </w:tr>
      <w:tr>
        <w:trPr>
          <w:trHeight w:val="229" w:hRule="atLeast"/>
        </w:trPr>
        <w:tc>
          <w:tcPr>
            <w:tcW w:w="3386" w:type="dxa"/>
            <w:gridSpan w:val="2"/>
          </w:tcPr>
          <w:p>
            <w:pPr>
              <w:pStyle w:val="TableParagraph"/>
              <w:spacing w:line="209" w:lineRule="exact"/>
              <w:ind w:left="50"/>
              <w:rPr>
                <w:b/>
                <w:sz w:val="21"/>
              </w:rPr>
            </w:pPr>
            <w:r>
              <w:rPr>
                <w:b/>
                <w:w w:val="95"/>
                <w:sz w:val="21"/>
              </w:rPr>
              <w:t>6.</w:t>
            </w:r>
            <w:r>
              <w:rPr>
                <w:b/>
                <w:spacing w:val="61"/>
                <w:sz w:val="21"/>
              </w:rPr>
              <w:t> </w:t>
            </w:r>
            <w:r>
              <w:rPr>
                <w:b/>
                <w:w w:val="95"/>
                <w:sz w:val="21"/>
              </w:rPr>
              <w:t>其</w:t>
            </w:r>
            <w:r>
              <w:rPr>
                <w:b/>
                <w:w w:val="95"/>
                <w:sz w:val="21"/>
              </w:rPr>
              <w:t>他</w:t>
            </w:r>
            <w:r>
              <w:rPr>
                <w:b/>
                <w:w w:val="95"/>
                <w:sz w:val="21"/>
              </w:rPr>
              <w:t>需</w:t>
            </w:r>
            <w:r>
              <w:rPr>
                <w:b/>
                <w:w w:val="95"/>
                <w:sz w:val="21"/>
              </w:rPr>
              <w:t>要</w:t>
            </w:r>
            <w:r>
              <w:rPr>
                <w:b/>
                <w:w w:val="95"/>
                <w:sz w:val="21"/>
              </w:rPr>
              <w:t>关</w:t>
            </w:r>
            <w:r>
              <w:rPr>
                <w:b/>
                <w:w w:val="95"/>
                <w:sz w:val="21"/>
              </w:rPr>
              <w:t>注</w:t>
            </w:r>
            <w:r>
              <w:rPr>
                <w:b/>
                <w:w w:val="95"/>
                <w:sz w:val="21"/>
              </w:rPr>
              <w:t>的</w:t>
            </w:r>
            <w:r>
              <w:rPr>
                <w:b/>
                <w:w w:val="95"/>
                <w:sz w:val="21"/>
              </w:rPr>
              <w:t>事</w:t>
            </w:r>
            <w:r>
              <w:rPr>
                <w:b/>
                <w:spacing w:val="-10"/>
                <w:w w:val="95"/>
                <w:sz w:val="21"/>
              </w:rPr>
              <w:t>项</w:t>
            </w:r>
          </w:p>
        </w:tc>
        <w:tc>
          <w:tcPr>
            <w:tcW w:w="672" w:type="dxa"/>
          </w:tcPr>
          <w:p>
            <w:pPr>
              <w:pStyle w:val="TableParagraph"/>
              <w:spacing w:line="209" w:lineRule="exact"/>
              <w:ind w:left="245"/>
              <w:rPr>
                <w:sz w:val="21"/>
              </w:rPr>
            </w:pPr>
            <w:r>
              <w:rPr>
                <w:spacing w:val="-4"/>
                <w:sz w:val="21"/>
              </w:rPr>
              <w:t>8.26</w:t>
            </w:r>
          </w:p>
        </w:tc>
        <w:tc>
          <w:tcPr>
            <w:tcW w:w="3225" w:type="dxa"/>
          </w:tcPr>
          <w:p>
            <w:pPr>
              <w:pStyle w:val="TableParagraph"/>
              <w:spacing w:line="209" w:lineRule="exact"/>
              <w:ind w:left="109"/>
              <w:rPr>
                <w:sz w:val="21"/>
              </w:rPr>
            </w:pPr>
            <w:r>
              <w:rPr>
                <w:spacing w:val="-5"/>
                <w:sz w:val="21"/>
              </w:rPr>
              <w:t>医生</w:t>
            </w:r>
          </w:p>
        </w:tc>
        <w:tc>
          <w:tcPr>
            <w:tcW w:w="654" w:type="dxa"/>
          </w:tcPr>
          <w:p>
            <w:pPr>
              <w:pStyle w:val="TableParagraph"/>
              <w:spacing w:line="209" w:lineRule="exact"/>
              <w:ind w:right="54"/>
              <w:jc w:val="right"/>
              <w:rPr>
                <w:sz w:val="21"/>
              </w:rPr>
            </w:pPr>
            <w:r>
              <w:rPr>
                <w:spacing w:val="-4"/>
                <w:sz w:val="21"/>
              </w:rPr>
              <w:t>8.60</w:t>
            </w:r>
          </w:p>
        </w:tc>
        <w:tc>
          <w:tcPr>
            <w:tcW w:w="2418" w:type="dxa"/>
          </w:tcPr>
          <w:p>
            <w:pPr>
              <w:pStyle w:val="TableParagraph"/>
              <w:spacing w:line="209" w:lineRule="exact"/>
              <w:ind w:left="56"/>
              <w:rPr>
                <w:sz w:val="21"/>
              </w:rPr>
            </w:pPr>
            <w:r>
              <w:rPr>
                <w:spacing w:val="-5"/>
                <w:sz w:val="21"/>
              </w:rPr>
              <w:t>手术费</w:t>
            </w:r>
          </w:p>
        </w:tc>
      </w:tr>
      <w:tr>
        <w:trPr>
          <w:trHeight w:val="267" w:hRule="atLeast"/>
        </w:trPr>
        <w:tc>
          <w:tcPr>
            <w:tcW w:w="563" w:type="dxa"/>
          </w:tcPr>
          <w:p>
            <w:pPr>
              <w:pStyle w:val="TableParagraph"/>
              <w:spacing w:line="238" w:lineRule="exact" w:before="10"/>
              <w:ind w:right="57"/>
              <w:jc w:val="right"/>
              <w:rPr>
                <w:sz w:val="21"/>
              </w:rPr>
            </w:pPr>
            <w:r>
              <w:rPr>
                <w:spacing w:val="-5"/>
                <w:sz w:val="21"/>
              </w:rPr>
              <w:t>6.1</w:t>
            </w:r>
          </w:p>
        </w:tc>
        <w:tc>
          <w:tcPr>
            <w:tcW w:w="2823" w:type="dxa"/>
          </w:tcPr>
          <w:p>
            <w:pPr>
              <w:pStyle w:val="TableParagraph"/>
              <w:spacing w:line="238" w:lineRule="exact" w:before="10"/>
              <w:ind w:left="53"/>
              <w:rPr>
                <w:sz w:val="21"/>
              </w:rPr>
            </w:pPr>
            <w:r>
              <w:rPr>
                <w:spacing w:val="-3"/>
                <w:sz w:val="21"/>
              </w:rPr>
              <w:t>明确说明与如实告知</w:t>
            </w:r>
          </w:p>
        </w:tc>
        <w:tc>
          <w:tcPr>
            <w:tcW w:w="672" w:type="dxa"/>
          </w:tcPr>
          <w:p>
            <w:pPr>
              <w:pStyle w:val="TableParagraph"/>
              <w:spacing w:line="238" w:lineRule="exact" w:before="10"/>
              <w:ind w:left="245"/>
              <w:rPr>
                <w:sz w:val="21"/>
              </w:rPr>
            </w:pPr>
            <w:r>
              <w:rPr>
                <w:spacing w:val="-4"/>
                <w:sz w:val="21"/>
              </w:rPr>
              <w:t>8.27</w:t>
            </w:r>
          </w:p>
        </w:tc>
        <w:tc>
          <w:tcPr>
            <w:tcW w:w="3225" w:type="dxa"/>
          </w:tcPr>
          <w:p>
            <w:pPr>
              <w:pStyle w:val="TableParagraph"/>
              <w:spacing w:line="238" w:lineRule="exact" w:before="10"/>
              <w:ind w:left="109"/>
              <w:rPr>
                <w:sz w:val="21"/>
              </w:rPr>
            </w:pPr>
            <w:r>
              <w:rPr>
                <w:spacing w:val="-4"/>
                <w:sz w:val="21"/>
              </w:rPr>
              <w:t>遗传性疾病</w:t>
            </w:r>
          </w:p>
        </w:tc>
        <w:tc>
          <w:tcPr>
            <w:tcW w:w="654" w:type="dxa"/>
          </w:tcPr>
          <w:p>
            <w:pPr>
              <w:pStyle w:val="TableParagraph"/>
              <w:spacing w:line="238" w:lineRule="exact" w:before="10"/>
              <w:ind w:right="54"/>
              <w:jc w:val="right"/>
              <w:rPr>
                <w:sz w:val="21"/>
              </w:rPr>
            </w:pPr>
            <w:r>
              <w:rPr>
                <w:spacing w:val="-4"/>
                <w:sz w:val="21"/>
              </w:rPr>
              <w:t>8.61</w:t>
            </w:r>
          </w:p>
        </w:tc>
        <w:tc>
          <w:tcPr>
            <w:tcW w:w="2418" w:type="dxa"/>
          </w:tcPr>
          <w:p>
            <w:pPr>
              <w:pStyle w:val="TableParagraph"/>
              <w:spacing w:line="238" w:lineRule="exact" w:before="10"/>
              <w:ind w:left="56"/>
              <w:rPr>
                <w:sz w:val="21"/>
              </w:rPr>
            </w:pPr>
            <w:r>
              <w:rPr>
                <w:spacing w:val="-2"/>
                <w:sz w:val="21"/>
              </w:rPr>
              <w:t>医生费（诊疗费</w:t>
            </w:r>
            <w:r>
              <w:rPr>
                <w:spacing w:val="-10"/>
                <w:sz w:val="21"/>
              </w:rPr>
              <w:t>）</w:t>
            </w:r>
          </w:p>
        </w:tc>
      </w:tr>
      <w:tr>
        <w:trPr>
          <w:trHeight w:val="247" w:hRule="atLeast"/>
        </w:trPr>
        <w:tc>
          <w:tcPr>
            <w:tcW w:w="563" w:type="dxa"/>
          </w:tcPr>
          <w:p>
            <w:pPr>
              <w:pStyle w:val="TableParagraph"/>
              <w:spacing w:line="227" w:lineRule="exact"/>
              <w:ind w:right="57"/>
              <w:jc w:val="right"/>
              <w:rPr>
                <w:sz w:val="21"/>
              </w:rPr>
            </w:pPr>
            <w:r>
              <w:rPr>
                <w:spacing w:val="-5"/>
                <w:sz w:val="21"/>
              </w:rPr>
              <w:t>6.2</w:t>
            </w:r>
          </w:p>
        </w:tc>
        <w:tc>
          <w:tcPr>
            <w:tcW w:w="2823" w:type="dxa"/>
          </w:tcPr>
          <w:p>
            <w:pPr>
              <w:pStyle w:val="TableParagraph"/>
              <w:spacing w:line="227" w:lineRule="exact"/>
              <w:ind w:left="53"/>
              <w:rPr>
                <w:sz w:val="21"/>
              </w:rPr>
            </w:pPr>
            <w:r>
              <w:rPr>
                <w:spacing w:val="-4"/>
                <w:sz w:val="21"/>
              </w:rPr>
              <w:t>年龄性别错误</w:t>
            </w:r>
          </w:p>
        </w:tc>
        <w:tc>
          <w:tcPr>
            <w:tcW w:w="672" w:type="dxa"/>
          </w:tcPr>
          <w:p>
            <w:pPr>
              <w:pStyle w:val="TableParagraph"/>
              <w:spacing w:line="227" w:lineRule="exact"/>
              <w:ind w:left="245"/>
              <w:rPr>
                <w:sz w:val="21"/>
              </w:rPr>
            </w:pPr>
            <w:r>
              <w:rPr>
                <w:spacing w:val="-4"/>
                <w:sz w:val="21"/>
              </w:rPr>
              <w:t>8.28</w:t>
            </w:r>
          </w:p>
        </w:tc>
        <w:tc>
          <w:tcPr>
            <w:tcW w:w="3225" w:type="dxa"/>
          </w:tcPr>
          <w:p>
            <w:pPr>
              <w:pStyle w:val="TableParagraph"/>
              <w:spacing w:line="227" w:lineRule="exact"/>
              <w:ind w:left="109"/>
              <w:rPr>
                <w:sz w:val="21"/>
              </w:rPr>
            </w:pPr>
            <w:r>
              <w:rPr>
                <w:spacing w:val="-3"/>
                <w:sz w:val="21"/>
              </w:rPr>
              <w:t>先天性畸形、变形和染色体异常</w:t>
            </w:r>
          </w:p>
        </w:tc>
        <w:tc>
          <w:tcPr>
            <w:tcW w:w="654" w:type="dxa"/>
          </w:tcPr>
          <w:p>
            <w:pPr>
              <w:pStyle w:val="TableParagraph"/>
              <w:spacing w:line="227" w:lineRule="exact"/>
              <w:ind w:right="54"/>
              <w:jc w:val="right"/>
              <w:rPr>
                <w:sz w:val="21"/>
              </w:rPr>
            </w:pPr>
            <w:r>
              <w:rPr>
                <w:spacing w:val="-4"/>
                <w:sz w:val="21"/>
              </w:rPr>
              <w:t>8.62</w:t>
            </w:r>
          </w:p>
        </w:tc>
        <w:tc>
          <w:tcPr>
            <w:tcW w:w="2418" w:type="dxa"/>
          </w:tcPr>
          <w:p>
            <w:pPr>
              <w:pStyle w:val="TableParagraph"/>
              <w:spacing w:line="227" w:lineRule="exact"/>
              <w:ind w:left="56"/>
              <w:rPr>
                <w:sz w:val="21"/>
              </w:rPr>
            </w:pPr>
            <w:r>
              <w:rPr>
                <w:spacing w:val="-5"/>
                <w:sz w:val="21"/>
              </w:rPr>
              <w:t>材料费</w:t>
            </w:r>
          </w:p>
        </w:tc>
      </w:tr>
      <w:tr>
        <w:trPr>
          <w:trHeight w:val="248" w:hRule="atLeast"/>
        </w:trPr>
        <w:tc>
          <w:tcPr>
            <w:tcW w:w="563" w:type="dxa"/>
          </w:tcPr>
          <w:p>
            <w:pPr>
              <w:pStyle w:val="TableParagraph"/>
              <w:spacing w:line="228" w:lineRule="exact"/>
              <w:ind w:right="57"/>
              <w:jc w:val="right"/>
              <w:rPr>
                <w:sz w:val="21"/>
              </w:rPr>
            </w:pPr>
            <w:r>
              <w:rPr>
                <w:spacing w:val="-5"/>
                <w:sz w:val="21"/>
              </w:rPr>
              <w:t>6.3</w:t>
            </w:r>
          </w:p>
        </w:tc>
        <w:tc>
          <w:tcPr>
            <w:tcW w:w="2823" w:type="dxa"/>
          </w:tcPr>
          <w:p>
            <w:pPr>
              <w:pStyle w:val="TableParagraph"/>
              <w:spacing w:line="228" w:lineRule="exact"/>
              <w:ind w:left="53"/>
              <w:rPr>
                <w:sz w:val="21"/>
              </w:rPr>
            </w:pPr>
            <w:r>
              <w:rPr>
                <w:spacing w:val="-3"/>
                <w:sz w:val="21"/>
              </w:rPr>
              <w:t>职业或者工种的确定与变更</w:t>
            </w:r>
          </w:p>
        </w:tc>
        <w:tc>
          <w:tcPr>
            <w:tcW w:w="672" w:type="dxa"/>
          </w:tcPr>
          <w:p>
            <w:pPr>
              <w:pStyle w:val="TableParagraph"/>
              <w:spacing w:line="228" w:lineRule="exact"/>
              <w:ind w:left="245"/>
              <w:rPr>
                <w:sz w:val="21"/>
              </w:rPr>
            </w:pPr>
            <w:r>
              <w:rPr>
                <w:spacing w:val="-4"/>
                <w:sz w:val="21"/>
              </w:rPr>
              <w:t>8.29</w:t>
            </w:r>
          </w:p>
        </w:tc>
        <w:tc>
          <w:tcPr>
            <w:tcW w:w="3225" w:type="dxa"/>
          </w:tcPr>
          <w:p>
            <w:pPr>
              <w:pStyle w:val="TableParagraph"/>
              <w:spacing w:line="228" w:lineRule="exact"/>
              <w:ind w:left="109"/>
              <w:rPr>
                <w:sz w:val="21"/>
              </w:rPr>
            </w:pPr>
            <w:r>
              <w:rPr>
                <w:spacing w:val="-3"/>
                <w:sz w:val="21"/>
              </w:rPr>
              <w:t>感染艾滋病病毒或者患艾滋病</w:t>
            </w:r>
          </w:p>
        </w:tc>
        <w:tc>
          <w:tcPr>
            <w:tcW w:w="654" w:type="dxa"/>
          </w:tcPr>
          <w:p>
            <w:pPr>
              <w:pStyle w:val="TableParagraph"/>
              <w:spacing w:line="228" w:lineRule="exact"/>
              <w:ind w:right="54"/>
              <w:jc w:val="right"/>
              <w:rPr>
                <w:sz w:val="21"/>
              </w:rPr>
            </w:pPr>
            <w:r>
              <w:rPr>
                <w:spacing w:val="-4"/>
                <w:sz w:val="21"/>
              </w:rPr>
              <w:t>8.63</w:t>
            </w:r>
          </w:p>
        </w:tc>
        <w:tc>
          <w:tcPr>
            <w:tcW w:w="2418" w:type="dxa"/>
          </w:tcPr>
          <w:p>
            <w:pPr>
              <w:pStyle w:val="TableParagraph"/>
              <w:spacing w:line="228" w:lineRule="exact"/>
              <w:ind w:left="56"/>
              <w:rPr>
                <w:sz w:val="21"/>
              </w:rPr>
            </w:pPr>
            <w:r>
              <w:rPr>
                <w:spacing w:val="-4"/>
                <w:sz w:val="21"/>
              </w:rPr>
              <w:t>器官移植费</w:t>
            </w:r>
          </w:p>
        </w:tc>
      </w:tr>
      <w:tr>
        <w:trPr>
          <w:trHeight w:val="248" w:hRule="atLeast"/>
        </w:trPr>
        <w:tc>
          <w:tcPr>
            <w:tcW w:w="563" w:type="dxa"/>
          </w:tcPr>
          <w:p>
            <w:pPr>
              <w:pStyle w:val="TableParagraph"/>
              <w:spacing w:line="228" w:lineRule="exact"/>
              <w:ind w:right="57"/>
              <w:jc w:val="right"/>
              <w:rPr>
                <w:sz w:val="21"/>
              </w:rPr>
            </w:pPr>
            <w:r>
              <w:rPr>
                <w:spacing w:val="-5"/>
                <w:sz w:val="21"/>
              </w:rPr>
              <w:t>6.4</w:t>
            </w:r>
          </w:p>
        </w:tc>
        <w:tc>
          <w:tcPr>
            <w:tcW w:w="2823" w:type="dxa"/>
          </w:tcPr>
          <w:p>
            <w:pPr>
              <w:pStyle w:val="TableParagraph"/>
              <w:spacing w:line="228" w:lineRule="exact"/>
              <w:ind w:left="53"/>
              <w:rPr>
                <w:sz w:val="21"/>
              </w:rPr>
            </w:pPr>
            <w:r>
              <w:rPr>
                <w:spacing w:val="-4"/>
                <w:sz w:val="21"/>
              </w:rPr>
              <w:t>合同内容变更</w:t>
            </w:r>
          </w:p>
        </w:tc>
        <w:tc>
          <w:tcPr>
            <w:tcW w:w="672" w:type="dxa"/>
          </w:tcPr>
          <w:p>
            <w:pPr>
              <w:pStyle w:val="TableParagraph"/>
              <w:spacing w:line="228" w:lineRule="exact"/>
              <w:ind w:left="245"/>
              <w:rPr>
                <w:sz w:val="21"/>
              </w:rPr>
            </w:pPr>
            <w:r>
              <w:rPr>
                <w:spacing w:val="-4"/>
                <w:sz w:val="21"/>
              </w:rPr>
              <w:t>8.30</w:t>
            </w:r>
          </w:p>
        </w:tc>
        <w:tc>
          <w:tcPr>
            <w:tcW w:w="3225" w:type="dxa"/>
          </w:tcPr>
          <w:p>
            <w:pPr>
              <w:pStyle w:val="TableParagraph"/>
              <w:spacing w:line="228" w:lineRule="exact"/>
              <w:ind w:left="109"/>
              <w:rPr>
                <w:sz w:val="21"/>
              </w:rPr>
            </w:pPr>
            <w:r>
              <w:rPr>
                <w:spacing w:val="-4"/>
                <w:sz w:val="21"/>
              </w:rPr>
              <w:t>康复治疗</w:t>
            </w:r>
          </w:p>
        </w:tc>
        <w:tc>
          <w:tcPr>
            <w:tcW w:w="654" w:type="dxa"/>
          </w:tcPr>
          <w:p>
            <w:pPr>
              <w:pStyle w:val="TableParagraph"/>
              <w:spacing w:line="228" w:lineRule="exact"/>
              <w:ind w:right="54"/>
              <w:jc w:val="right"/>
              <w:rPr>
                <w:sz w:val="21"/>
              </w:rPr>
            </w:pPr>
            <w:r>
              <w:rPr>
                <w:spacing w:val="-4"/>
                <w:sz w:val="21"/>
              </w:rPr>
              <w:t>8.64</w:t>
            </w:r>
          </w:p>
        </w:tc>
        <w:tc>
          <w:tcPr>
            <w:tcW w:w="2418" w:type="dxa"/>
          </w:tcPr>
          <w:p>
            <w:pPr>
              <w:pStyle w:val="TableParagraph"/>
              <w:spacing w:line="228" w:lineRule="exact"/>
              <w:ind w:left="56"/>
              <w:rPr>
                <w:sz w:val="21"/>
              </w:rPr>
            </w:pPr>
            <w:r>
              <w:rPr>
                <w:spacing w:val="-4"/>
                <w:sz w:val="21"/>
              </w:rPr>
              <w:t>救护车使用费</w:t>
            </w:r>
          </w:p>
        </w:tc>
      </w:tr>
      <w:tr>
        <w:trPr>
          <w:trHeight w:val="247" w:hRule="atLeast"/>
        </w:trPr>
        <w:tc>
          <w:tcPr>
            <w:tcW w:w="563" w:type="dxa"/>
          </w:tcPr>
          <w:p>
            <w:pPr>
              <w:pStyle w:val="TableParagraph"/>
              <w:spacing w:line="227" w:lineRule="exact"/>
              <w:ind w:right="57"/>
              <w:jc w:val="right"/>
              <w:rPr>
                <w:sz w:val="21"/>
              </w:rPr>
            </w:pPr>
            <w:r>
              <w:rPr>
                <w:spacing w:val="-5"/>
                <w:sz w:val="21"/>
              </w:rPr>
              <w:t>6.5</w:t>
            </w:r>
          </w:p>
        </w:tc>
        <w:tc>
          <w:tcPr>
            <w:tcW w:w="2823" w:type="dxa"/>
          </w:tcPr>
          <w:p>
            <w:pPr>
              <w:pStyle w:val="TableParagraph"/>
              <w:spacing w:line="227" w:lineRule="exact"/>
              <w:ind w:left="53"/>
              <w:rPr>
                <w:sz w:val="21"/>
              </w:rPr>
            </w:pPr>
            <w:r>
              <w:rPr>
                <w:spacing w:val="-4"/>
                <w:sz w:val="21"/>
              </w:rPr>
              <w:t>联系方式变更</w:t>
            </w:r>
          </w:p>
        </w:tc>
        <w:tc>
          <w:tcPr>
            <w:tcW w:w="672" w:type="dxa"/>
          </w:tcPr>
          <w:p>
            <w:pPr>
              <w:pStyle w:val="TableParagraph"/>
              <w:spacing w:line="227" w:lineRule="exact"/>
              <w:ind w:left="245"/>
              <w:rPr>
                <w:sz w:val="21"/>
              </w:rPr>
            </w:pPr>
            <w:r>
              <w:rPr>
                <w:spacing w:val="-4"/>
                <w:sz w:val="21"/>
              </w:rPr>
              <w:t>8.31</w:t>
            </w:r>
          </w:p>
        </w:tc>
        <w:tc>
          <w:tcPr>
            <w:tcW w:w="3225" w:type="dxa"/>
          </w:tcPr>
          <w:p>
            <w:pPr>
              <w:pStyle w:val="TableParagraph"/>
              <w:spacing w:line="227" w:lineRule="exact"/>
              <w:ind w:left="109"/>
              <w:rPr>
                <w:sz w:val="21"/>
              </w:rPr>
            </w:pPr>
            <w:r>
              <w:rPr>
                <w:spacing w:val="-4"/>
                <w:sz w:val="21"/>
              </w:rPr>
              <w:t>牙齿治疗</w:t>
            </w:r>
          </w:p>
        </w:tc>
        <w:tc>
          <w:tcPr>
            <w:tcW w:w="654" w:type="dxa"/>
          </w:tcPr>
          <w:p>
            <w:pPr>
              <w:pStyle w:val="TableParagraph"/>
              <w:spacing w:line="227" w:lineRule="exact"/>
              <w:ind w:right="54"/>
              <w:jc w:val="right"/>
              <w:rPr>
                <w:sz w:val="21"/>
              </w:rPr>
            </w:pPr>
            <w:r>
              <w:rPr>
                <w:spacing w:val="-4"/>
                <w:sz w:val="21"/>
              </w:rPr>
              <w:t>8.65</w:t>
            </w:r>
          </w:p>
        </w:tc>
        <w:tc>
          <w:tcPr>
            <w:tcW w:w="2418" w:type="dxa"/>
          </w:tcPr>
          <w:p>
            <w:pPr>
              <w:pStyle w:val="TableParagraph"/>
              <w:spacing w:line="227" w:lineRule="exact"/>
              <w:ind w:left="56"/>
              <w:rPr>
                <w:sz w:val="21"/>
              </w:rPr>
            </w:pPr>
            <w:r>
              <w:rPr>
                <w:spacing w:val="-4"/>
                <w:sz w:val="21"/>
              </w:rPr>
              <w:t>手术植入材料</w:t>
            </w:r>
          </w:p>
        </w:tc>
      </w:tr>
      <w:tr>
        <w:trPr>
          <w:trHeight w:val="248" w:hRule="atLeast"/>
        </w:trPr>
        <w:tc>
          <w:tcPr>
            <w:tcW w:w="563" w:type="dxa"/>
          </w:tcPr>
          <w:p>
            <w:pPr>
              <w:pStyle w:val="TableParagraph"/>
              <w:spacing w:line="228" w:lineRule="exact"/>
              <w:ind w:right="57"/>
              <w:jc w:val="right"/>
              <w:rPr>
                <w:sz w:val="21"/>
              </w:rPr>
            </w:pPr>
            <w:r>
              <w:rPr>
                <w:spacing w:val="-5"/>
                <w:sz w:val="21"/>
              </w:rPr>
              <w:t>6.6</w:t>
            </w:r>
          </w:p>
        </w:tc>
        <w:tc>
          <w:tcPr>
            <w:tcW w:w="2823" w:type="dxa"/>
          </w:tcPr>
          <w:p>
            <w:pPr>
              <w:pStyle w:val="TableParagraph"/>
              <w:spacing w:line="228" w:lineRule="exact"/>
              <w:ind w:left="53"/>
              <w:rPr>
                <w:sz w:val="21"/>
              </w:rPr>
            </w:pPr>
            <w:r>
              <w:rPr>
                <w:spacing w:val="-4"/>
                <w:sz w:val="21"/>
              </w:rPr>
              <w:t>争议处理</w:t>
            </w:r>
          </w:p>
        </w:tc>
        <w:tc>
          <w:tcPr>
            <w:tcW w:w="672" w:type="dxa"/>
          </w:tcPr>
          <w:p>
            <w:pPr>
              <w:pStyle w:val="TableParagraph"/>
              <w:spacing w:line="228" w:lineRule="exact"/>
              <w:ind w:left="245"/>
              <w:rPr>
                <w:sz w:val="21"/>
              </w:rPr>
            </w:pPr>
            <w:r>
              <w:rPr>
                <w:spacing w:val="-4"/>
                <w:sz w:val="21"/>
              </w:rPr>
              <w:t>8.32</w:t>
            </w:r>
          </w:p>
        </w:tc>
        <w:tc>
          <w:tcPr>
            <w:tcW w:w="3225" w:type="dxa"/>
          </w:tcPr>
          <w:p>
            <w:pPr>
              <w:pStyle w:val="TableParagraph"/>
              <w:spacing w:line="228" w:lineRule="exact"/>
              <w:ind w:left="109"/>
              <w:rPr>
                <w:sz w:val="21"/>
              </w:rPr>
            </w:pPr>
            <w:r>
              <w:rPr>
                <w:spacing w:val="-5"/>
                <w:sz w:val="21"/>
              </w:rPr>
              <w:t>醉酒</w:t>
            </w:r>
          </w:p>
        </w:tc>
        <w:tc>
          <w:tcPr>
            <w:tcW w:w="654" w:type="dxa"/>
          </w:tcPr>
          <w:p>
            <w:pPr>
              <w:pStyle w:val="TableParagraph"/>
              <w:spacing w:line="228" w:lineRule="exact"/>
              <w:ind w:right="54"/>
              <w:jc w:val="right"/>
              <w:rPr>
                <w:sz w:val="21"/>
              </w:rPr>
            </w:pPr>
            <w:r>
              <w:rPr>
                <w:spacing w:val="-4"/>
                <w:sz w:val="21"/>
              </w:rPr>
              <w:t>8.66</w:t>
            </w:r>
          </w:p>
        </w:tc>
        <w:tc>
          <w:tcPr>
            <w:tcW w:w="2418" w:type="dxa"/>
          </w:tcPr>
          <w:p>
            <w:pPr>
              <w:pStyle w:val="TableParagraph"/>
              <w:spacing w:line="228" w:lineRule="exact"/>
              <w:ind w:left="56"/>
              <w:rPr>
                <w:sz w:val="21"/>
              </w:rPr>
            </w:pPr>
            <w:r>
              <w:rPr>
                <w:spacing w:val="-5"/>
                <w:sz w:val="21"/>
              </w:rPr>
              <w:t>护士</w:t>
            </w:r>
          </w:p>
        </w:tc>
      </w:tr>
      <w:tr>
        <w:trPr>
          <w:trHeight w:val="230" w:hRule="atLeast"/>
        </w:trPr>
        <w:tc>
          <w:tcPr>
            <w:tcW w:w="563" w:type="dxa"/>
          </w:tcPr>
          <w:p>
            <w:pPr>
              <w:pStyle w:val="TableParagraph"/>
              <w:spacing w:line="210" w:lineRule="exact"/>
              <w:ind w:right="57"/>
              <w:jc w:val="right"/>
              <w:rPr>
                <w:sz w:val="21"/>
              </w:rPr>
            </w:pPr>
            <w:r>
              <w:rPr>
                <w:spacing w:val="-5"/>
                <w:sz w:val="21"/>
              </w:rPr>
              <w:t>6.7</w:t>
            </w:r>
          </w:p>
        </w:tc>
        <w:tc>
          <w:tcPr>
            <w:tcW w:w="2823" w:type="dxa"/>
          </w:tcPr>
          <w:p>
            <w:pPr>
              <w:pStyle w:val="TableParagraph"/>
              <w:spacing w:line="210" w:lineRule="exact"/>
              <w:ind w:left="53"/>
              <w:rPr>
                <w:sz w:val="21"/>
              </w:rPr>
            </w:pPr>
            <w:r>
              <w:rPr>
                <w:spacing w:val="-4"/>
                <w:sz w:val="21"/>
              </w:rPr>
              <w:t>保险事故鉴定</w:t>
            </w:r>
          </w:p>
        </w:tc>
        <w:tc>
          <w:tcPr>
            <w:tcW w:w="672" w:type="dxa"/>
          </w:tcPr>
          <w:p>
            <w:pPr>
              <w:pStyle w:val="TableParagraph"/>
              <w:spacing w:line="210" w:lineRule="exact"/>
              <w:ind w:left="245"/>
              <w:rPr>
                <w:sz w:val="21"/>
              </w:rPr>
            </w:pPr>
            <w:r>
              <w:rPr>
                <w:spacing w:val="-4"/>
                <w:sz w:val="21"/>
              </w:rPr>
              <w:t>8.33</w:t>
            </w:r>
          </w:p>
        </w:tc>
        <w:tc>
          <w:tcPr>
            <w:tcW w:w="3225" w:type="dxa"/>
          </w:tcPr>
          <w:p>
            <w:pPr>
              <w:pStyle w:val="TableParagraph"/>
              <w:spacing w:line="210" w:lineRule="exact"/>
              <w:ind w:left="109"/>
              <w:rPr>
                <w:sz w:val="21"/>
              </w:rPr>
            </w:pPr>
            <w:r>
              <w:rPr>
                <w:spacing w:val="-5"/>
                <w:sz w:val="21"/>
              </w:rPr>
              <w:t>毒品</w:t>
            </w:r>
          </w:p>
        </w:tc>
        <w:tc>
          <w:tcPr>
            <w:tcW w:w="654" w:type="dxa"/>
          </w:tcPr>
          <w:p>
            <w:pPr>
              <w:pStyle w:val="TableParagraph"/>
              <w:rPr>
                <w:rFonts w:ascii="Times New Roman"/>
                <w:sz w:val="16"/>
              </w:rPr>
            </w:pPr>
          </w:p>
        </w:tc>
        <w:tc>
          <w:tcPr>
            <w:tcW w:w="2418" w:type="dxa"/>
          </w:tcPr>
          <w:p>
            <w:pPr>
              <w:pStyle w:val="TableParagraph"/>
              <w:rPr>
                <w:rFonts w:ascii="Times New Roman"/>
                <w:sz w:val="16"/>
              </w:rPr>
            </w:pPr>
          </w:p>
        </w:tc>
      </w:tr>
      <w:tr>
        <w:trPr>
          <w:trHeight w:val="247" w:hRule="atLeast"/>
        </w:trPr>
        <w:tc>
          <w:tcPr>
            <w:tcW w:w="3386" w:type="dxa"/>
            <w:gridSpan w:val="2"/>
          </w:tcPr>
          <w:p>
            <w:pPr>
              <w:pStyle w:val="TableParagraph"/>
              <w:spacing w:line="220" w:lineRule="exact" w:before="7"/>
              <w:ind w:left="50"/>
              <w:rPr>
                <w:b/>
                <w:sz w:val="21"/>
              </w:rPr>
            </w:pPr>
            <w:r>
              <w:rPr>
                <w:b/>
                <w:w w:val="95"/>
                <w:sz w:val="21"/>
              </w:rPr>
              <w:t>7.</w:t>
            </w:r>
            <w:r>
              <w:rPr>
                <w:b/>
                <w:spacing w:val="31"/>
                <w:sz w:val="21"/>
              </w:rPr>
              <w:t> </w:t>
            </w:r>
            <w:r>
              <w:rPr>
                <w:b/>
                <w:w w:val="95"/>
                <w:sz w:val="21"/>
              </w:rPr>
              <w:t>重</w:t>
            </w:r>
            <w:r>
              <w:rPr>
                <w:b/>
                <w:w w:val="95"/>
                <w:sz w:val="21"/>
              </w:rPr>
              <w:t>大</w:t>
            </w:r>
            <w:r>
              <w:rPr>
                <w:b/>
                <w:w w:val="95"/>
                <w:sz w:val="21"/>
              </w:rPr>
              <w:t>疾</w:t>
            </w:r>
            <w:r>
              <w:rPr>
                <w:b/>
                <w:w w:val="95"/>
                <w:sz w:val="21"/>
              </w:rPr>
              <w:t>病</w:t>
            </w:r>
            <w:r>
              <w:rPr>
                <w:b/>
                <w:w w:val="95"/>
                <w:sz w:val="21"/>
              </w:rPr>
              <w:t>定</w:t>
            </w:r>
            <w:r>
              <w:rPr>
                <w:b/>
                <w:spacing w:val="-10"/>
                <w:w w:val="95"/>
                <w:sz w:val="21"/>
              </w:rPr>
              <w:t>义</w:t>
            </w:r>
          </w:p>
        </w:tc>
        <w:tc>
          <w:tcPr>
            <w:tcW w:w="672" w:type="dxa"/>
          </w:tcPr>
          <w:p>
            <w:pPr>
              <w:pStyle w:val="TableParagraph"/>
              <w:spacing w:line="220" w:lineRule="exact" w:before="7"/>
              <w:ind w:left="245"/>
              <w:rPr>
                <w:sz w:val="21"/>
              </w:rPr>
            </w:pPr>
            <w:r>
              <w:rPr>
                <w:spacing w:val="-4"/>
                <w:sz w:val="21"/>
              </w:rPr>
              <w:t>8.34</w:t>
            </w:r>
          </w:p>
        </w:tc>
        <w:tc>
          <w:tcPr>
            <w:tcW w:w="6297" w:type="dxa"/>
            <w:gridSpan w:val="3"/>
          </w:tcPr>
          <w:p>
            <w:pPr>
              <w:pStyle w:val="TableParagraph"/>
              <w:spacing w:line="220" w:lineRule="exact" w:before="7"/>
              <w:ind w:left="109"/>
              <w:rPr>
                <w:sz w:val="21"/>
              </w:rPr>
            </w:pPr>
            <w:r>
              <w:rPr>
                <w:spacing w:val="-4"/>
                <w:sz w:val="21"/>
              </w:rPr>
              <w:t>酒后驾驶</w:t>
            </w:r>
          </w:p>
        </w:tc>
      </w:tr>
    </w:tbl>
    <w:p>
      <w:pPr>
        <w:spacing w:after="0" w:line="220" w:lineRule="exact"/>
        <w:rPr>
          <w:sz w:val="21"/>
        </w:rPr>
        <w:sectPr>
          <w:type w:val="continuous"/>
          <w:pgSz w:w="11910" w:h="16850"/>
          <w:pgMar w:top="520" w:bottom="280" w:left="620" w:right="720"/>
        </w:sectPr>
      </w:pPr>
    </w:p>
    <w:p>
      <w:pPr>
        <w:spacing w:line="273" w:lineRule="auto" w:before="31"/>
        <w:ind w:left="3732" w:right="3311" w:hanging="322"/>
        <w:jc w:val="left"/>
        <w:rPr>
          <w:rFonts w:ascii="华文中宋" w:eastAsia="华文中宋" w:hint="eastAsia"/>
          <w:b/>
          <w:sz w:val="32"/>
        </w:rPr>
      </w:pPr>
      <w:r>
        <w:rPr>
          <w:rFonts w:ascii="华文中宋" w:eastAsia="华文中宋" w:hint="eastAsia"/>
          <w:b/>
          <w:spacing w:val="-2"/>
          <w:sz w:val="32"/>
        </w:rPr>
        <w:t>泰康人寿保</w:t>
      </w:r>
      <w:r>
        <w:rPr>
          <w:rFonts w:ascii="华文中宋" w:eastAsia="华文中宋" w:hint="eastAsia"/>
          <w:b/>
          <w:spacing w:val="-2"/>
          <w:sz w:val="32"/>
        </w:rPr>
        <w:t>险</w:t>
      </w:r>
      <w:r>
        <w:rPr>
          <w:rFonts w:ascii="华文中宋" w:eastAsia="华文中宋" w:hint="eastAsia"/>
          <w:b/>
          <w:spacing w:val="-2"/>
          <w:sz w:val="32"/>
        </w:rPr>
        <w:t>有</w:t>
      </w:r>
      <w:r>
        <w:rPr>
          <w:rFonts w:ascii="华文中宋" w:eastAsia="华文中宋" w:hint="eastAsia"/>
          <w:b/>
          <w:spacing w:val="-2"/>
          <w:sz w:val="32"/>
        </w:rPr>
        <w:t>限责任公司</w:t>
      </w:r>
      <w:r>
        <w:rPr>
          <w:rFonts w:ascii="华文中宋" w:eastAsia="华文中宋" w:hint="eastAsia"/>
          <w:b/>
          <w:spacing w:val="-2"/>
          <w:sz w:val="32"/>
        </w:rPr>
        <w:t>泰康惠心医</w:t>
      </w:r>
      <w:r>
        <w:rPr>
          <w:rFonts w:ascii="华文中宋" w:eastAsia="华文中宋" w:hint="eastAsia"/>
          <w:b/>
          <w:spacing w:val="-2"/>
          <w:sz w:val="32"/>
        </w:rPr>
        <w:t>疗</w:t>
      </w:r>
      <w:r>
        <w:rPr>
          <w:rFonts w:ascii="华文中宋" w:eastAsia="华文中宋" w:hint="eastAsia"/>
          <w:b/>
          <w:spacing w:val="-2"/>
          <w:sz w:val="32"/>
        </w:rPr>
        <w:t>保</w:t>
      </w:r>
      <w:r>
        <w:rPr>
          <w:rFonts w:ascii="华文中宋" w:eastAsia="华文中宋" w:hint="eastAsia"/>
          <w:b/>
          <w:spacing w:val="-2"/>
          <w:sz w:val="32"/>
        </w:rPr>
        <w:t>险</w:t>
      </w:r>
      <w:r>
        <w:rPr>
          <w:rFonts w:ascii="华文中宋" w:eastAsia="华文中宋" w:hint="eastAsia"/>
          <w:b/>
          <w:spacing w:val="-2"/>
          <w:sz w:val="32"/>
        </w:rPr>
        <w:t>条</w:t>
      </w:r>
      <w:r>
        <w:rPr>
          <w:rFonts w:ascii="华文中宋" w:eastAsia="华文中宋" w:hint="eastAsia"/>
          <w:b/>
          <w:spacing w:val="-2"/>
          <w:sz w:val="32"/>
        </w:rPr>
        <w:t>款</w:t>
      </w:r>
    </w:p>
    <w:p>
      <w:pPr>
        <w:pStyle w:val="BodyText"/>
        <w:spacing w:line="242" w:lineRule="auto" w:before="355"/>
        <w:ind w:left="512" w:right="410"/>
        <w:jc w:val="both"/>
      </w:pPr>
      <w:r>
        <w:rPr>
          <w:spacing w:val="-24"/>
        </w:rPr>
        <w:t>在本条款中，“您”指投保人，“我们”、“本公司”均指在保险单上签章的泰康人寿保险有限责任公司的分</w:t>
      </w:r>
      <w:r>
        <w:rPr>
          <w:spacing w:val="-20"/>
        </w:rPr>
        <w:t>公司，“本合同”指您与我们之间订立的“泰康惠心医疗保险合同”，“被保险人”指本合同的被保险人，</w:t>
      </w:r>
      <w:r>
        <w:rPr>
          <w:spacing w:val="-2"/>
        </w:rPr>
        <w:t>投保人、被保险人的姓名在保险单上载明。</w:t>
      </w:r>
    </w:p>
    <w:p>
      <w:pPr>
        <w:pStyle w:val="BodyText"/>
        <w:spacing w:before="10"/>
        <w:rPr>
          <w:sz w:val="25"/>
        </w:rPr>
      </w:pPr>
    </w:p>
    <w:p>
      <w:pPr>
        <w:pStyle w:val="Heading2"/>
        <w:numPr>
          <w:ilvl w:val="2"/>
          <w:numId w:val="4"/>
        </w:numPr>
        <w:tabs>
          <w:tab w:pos="1139" w:val="left" w:leader="none"/>
          <w:tab w:pos="1140" w:val="left" w:leader="none"/>
        </w:tabs>
        <w:spacing w:line="240" w:lineRule="auto" w:before="0" w:after="4"/>
        <w:ind w:left="1139" w:right="0" w:hanging="661"/>
        <w:jc w:val="left"/>
      </w:pPr>
      <w:r>
        <w:rPr>
          <w:w w:val="95"/>
        </w:rPr>
        <w:t>您与我</w:t>
      </w:r>
      <w:r>
        <w:rPr>
          <w:w w:val="95"/>
        </w:rPr>
        <w:t>们</w:t>
      </w:r>
      <w:r>
        <w:rPr>
          <w:w w:val="95"/>
        </w:rPr>
        <w:t>订</w:t>
      </w:r>
      <w:r>
        <w:rPr>
          <w:spacing w:val="-3"/>
          <w:w w:val="95"/>
        </w:rPr>
        <w:t>立的合同</w:t>
      </w:r>
    </w:p>
    <w:p>
      <w:pPr>
        <w:pStyle w:val="BodyText"/>
        <w:spacing w:line="20" w:lineRule="exact"/>
        <w:ind w:left="371"/>
        <w:rPr>
          <w:sz w:val="2"/>
        </w:rPr>
      </w:pPr>
      <w:r>
        <w:rPr>
          <w:sz w:val="2"/>
        </w:rPr>
        <w:drawing>
          <wp:inline distT="0" distB="0" distL="0" distR="0">
            <wp:extent cx="6301227" cy="6096"/>
            <wp:effectExtent l="0" t="0" r="0" b="0"/>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6301227" cy="6096"/>
                    </a:xfrm>
                    <a:prstGeom prst="rect">
                      <a:avLst/>
                    </a:prstGeom>
                  </pic:spPr>
                </pic:pic>
              </a:graphicData>
            </a:graphic>
          </wp:inline>
        </w:drawing>
      </w:r>
      <w:r>
        <w:rPr>
          <w:sz w:val="2"/>
        </w:rPr>
      </w:r>
    </w:p>
    <w:p>
      <w:pPr>
        <w:pStyle w:val="ListParagraph"/>
        <w:numPr>
          <w:ilvl w:val="3"/>
          <w:numId w:val="4"/>
        </w:numPr>
        <w:tabs>
          <w:tab w:pos="1140" w:val="left" w:leader="none"/>
        </w:tabs>
        <w:spacing w:line="242" w:lineRule="auto" w:before="211" w:after="0"/>
        <w:ind w:left="2608" w:right="370" w:hanging="2130"/>
        <w:jc w:val="both"/>
        <w:rPr>
          <w:sz w:val="21"/>
        </w:rPr>
      </w:pPr>
      <w:r>
        <w:rPr>
          <w:b/>
          <w:spacing w:val="102"/>
          <w:sz w:val="21"/>
        </w:rPr>
        <w:t>合同构成 </w:t>
      </w:r>
      <w:r>
        <w:rPr>
          <w:sz w:val="21"/>
        </w:rPr>
        <w:t>本合同是您与我们约定保险权利义务关系的协议，包括本保险条款、保险单或者其他保险凭证、投保单、与本合同有关的投保文件、</w:t>
      </w:r>
      <w:r>
        <w:rPr>
          <w:b/>
          <w:sz w:val="21"/>
        </w:rPr>
        <w:t>合法有效</w:t>
      </w:r>
      <w:r>
        <w:rPr>
          <w:sz w:val="21"/>
        </w:rPr>
        <w:t>（</w:t>
      </w:r>
      <w:r>
        <w:rPr>
          <w:spacing w:val="-6"/>
          <w:sz w:val="21"/>
        </w:rPr>
        <w:t>见 </w:t>
      </w:r>
      <w:r>
        <w:rPr>
          <w:sz w:val="21"/>
        </w:rPr>
        <w:t>8.1）的声明、批</w:t>
      </w:r>
      <w:r>
        <w:rPr>
          <w:spacing w:val="-2"/>
          <w:sz w:val="21"/>
        </w:rPr>
        <w:t>注、批单及其他您与我们共同认可的书面或者电子协议。</w:t>
      </w:r>
    </w:p>
    <w:p>
      <w:pPr>
        <w:pStyle w:val="BodyText"/>
        <w:spacing w:before="7"/>
        <w:rPr>
          <w:sz w:val="12"/>
        </w:rPr>
      </w:pPr>
    </w:p>
    <w:p>
      <w:pPr>
        <w:spacing w:after="0"/>
        <w:rPr>
          <w:sz w:val="12"/>
        </w:rPr>
        <w:sectPr>
          <w:pgSz w:w="11910" w:h="16850"/>
          <w:pgMar w:top="1080" w:bottom="280" w:left="620" w:right="720"/>
        </w:sectPr>
      </w:pPr>
    </w:p>
    <w:p>
      <w:pPr>
        <w:pStyle w:val="Heading3"/>
        <w:numPr>
          <w:ilvl w:val="3"/>
          <w:numId w:val="4"/>
        </w:numPr>
        <w:tabs>
          <w:tab w:pos="1139" w:val="left" w:leader="none"/>
          <w:tab w:pos="1140" w:val="left" w:leader="none"/>
        </w:tabs>
        <w:spacing w:line="244" w:lineRule="auto" w:before="71" w:after="0"/>
        <w:ind w:left="1139" w:right="0" w:hanging="661"/>
        <w:jc w:val="left"/>
      </w:pPr>
      <w:r>
        <w:rPr>
          <w:spacing w:val="-2"/>
        </w:rPr>
        <w:t>合同成立及</w:t>
      </w:r>
      <w:r>
        <w:rPr>
          <w:spacing w:val="-6"/>
        </w:rPr>
        <w:t>生效</w:t>
      </w:r>
    </w:p>
    <w:p>
      <w:pPr>
        <w:pStyle w:val="BodyText"/>
        <w:spacing w:before="71"/>
        <w:ind w:left="372"/>
      </w:pPr>
      <w:r>
        <w:rPr/>
        <w:br w:type="column"/>
      </w:r>
      <w:r>
        <w:rPr>
          <w:spacing w:val="-3"/>
        </w:rPr>
        <w:t>您提出保险申请且我们同意承保，本合同成立。</w:t>
      </w:r>
    </w:p>
    <w:p>
      <w:pPr>
        <w:pStyle w:val="BodyText"/>
        <w:spacing w:before="65"/>
        <w:ind w:left="372"/>
      </w:pPr>
      <w:r>
        <w:rPr>
          <w:spacing w:val="-3"/>
        </w:rPr>
        <w:t>本合同的成立日、生效日以保险单记载的日期为准。</w:t>
      </w:r>
    </w:p>
    <w:p>
      <w:pPr>
        <w:spacing w:after="0"/>
        <w:sectPr>
          <w:type w:val="continuous"/>
          <w:pgSz w:w="11910" w:h="16850"/>
          <w:pgMar w:top="520" w:bottom="280" w:left="620" w:right="720"/>
          <w:cols w:num="2" w:equalWidth="0">
            <w:col w:w="2196" w:space="40"/>
            <w:col w:w="8334"/>
          </w:cols>
        </w:sectPr>
      </w:pPr>
    </w:p>
    <w:p>
      <w:pPr>
        <w:pStyle w:val="BodyText"/>
        <w:spacing w:before="7"/>
        <w:rPr>
          <w:sz w:val="12"/>
        </w:rPr>
      </w:pPr>
    </w:p>
    <w:p>
      <w:pPr>
        <w:pStyle w:val="ListParagraph"/>
        <w:numPr>
          <w:ilvl w:val="3"/>
          <w:numId w:val="4"/>
        </w:numPr>
        <w:tabs>
          <w:tab w:pos="1139" w:val="left" w:leader="none"/>
          <w:tab w:pos="1140" w:val="left" w:leader="none"/>
          <w:tab w:pos="2601" w:val="left" w:leader="none"/>
        </w:tabs>
        <w:spacing w:line="240" w:lineRule="auto" w:before="72" w:after="0"/>
        <w:ind w:left="1139" w:right="0" w:hanging="661"/>
        <w:jc w:val="left"/>
        <w:rPr>
          <w:sz w:val="21"/>
        </w:rPr>
      </w:pPr>
      <w:r>
        <w:rPr>
          <w:b/>
          <w:sz w:val="21"/>
        </w:rPr>
        <w:t>投保年</w:t>
      </w:r>
      <w:r>
        <w:rPr>
          <w:b/>
          <w:spacing w:val="-10"/>
          <w:sz w:val="21"/>
        </w:rPr>
        <w:t>龄</w:t>
      </w:r>
      <w:r>
        <w:rPr>
          <w:b/>
          <w:sz w:val="21"/>
        </w:rPr>
        <w:tab/>
      </w:r>
      <w:r>
        <w:rPr>
          <w:spacing w:val="-2"/>
          <w:sz w:val="21"/>
        </w:rPr>
        <w:t>投</w:t>
      </w:r>
      <w:r>
        <w:rPr>
          <w:spacing w:val="-2"/>
          <w:sz w:val="21"/>
        </w:rPr>
        <w:t>保</w:t>
      </w:r>
      <w:r>
        <w:rPr>
          <w:spacing w:val="-2"/>
          <w:sz w:val="21"/>
        </w:rPr>
        <w:t>年龄指您投保时被保</w:t>
      </w:r>
      <w:r>
        <w:rPr>
          <w:spacing w:val="-2"/>
          <w:sz w:val="21"/>
        </w:rPr>
        <w:t>险</w:t>
      </w:r>
      <w:r>
        <w:rPr>
          <w:spacing w:val="-2"/>
          <w:sz w:val="21"/>
        </w:rPr>
        <w:t>人</w:t>
      </w:r>
      <w:r>
        <w:rPr>
          <w:spacing w:val="-2"/>
          <w:sz w:val="21"/>
        </w:rPr>
        <w:t>的年龄，以</w:t>
      </w:r>
      <w:r>
        <w:rPr>
          <w:b/>
          <w:spacing w:val="-2"/>
          <w:sz w:val="21"/>
        </w:rPr>
        <w:t>周</w:t>
      </w:r>
      <w:r>
        <w:rPr>
          <w:b/>
          <w:spacing w:val="-2"/>
          <w:sz w:val="21"/>
        </w:rPr>
        <w:t>岁</w:t>
      </w:r>
      <w:r>
        <w:rPr>
          <w:spacing w:val="-2"/>
          <w:sz w:val="21"/>
        </w:rPr>
        <w:t>（见</w:t>
      </w:r>
      <w:r>
        <w:rPr>
          <w:spacing w:val="-31"/>
          <w:sz w:val="21"/>
        </w:rPr>
        <w:t> </w:t>
      </w:r>
      <w:r>
        <w:rPr>
          <w:spacing w:val="-2"/>
          <w:sz w:val="21"/>
        </w:rPr>
        <w:t>8.2）计算</w:t>
      </w:r>
      <w:r>
        <w:rPr>
          <w:spacing w:val="-10"/>
          <w:sz w:val="21"/>
        </w:rPr>
        <w:t>。</w:t>
      </w:r>
    </w:p>
    <w:p>
      <w:pPr>
        <w:pStyle w:val="BodyText"/>
        <w:rPr>
          <w:sz w:val="18"/>
        </w:rPr>
      </w:pPr>
    </w:p>
    <w:p>
      <w:pPr>
        <w:pStyle w:val="Heading2"/>
        <w:numPr>
          <w:ilvl w:val="2"/>
          <w:numId w:val="4"/>
        </w:numPr>
        <w:tabs>
          <w:tab w:pos="1139" w:val="left" w:leader="none"/>
          <w:tab w:pos="1140" w:val="left" w:leader="none"/>
        </w:tabs>
        <w:spacing w:line="240" w:lineRule="auto" w:before="0" w:after="4"/>
        <w:ind w:left="1139" w:right="0" w:hanging="661"/>
        <w:jc w:val="left"/>
      </w:pPr>
      <w:r>
        <w:rPr>
          <w:w w:val="95"/>
        </w:rPr>
        <w:t>我们提</w:t>
      </w:r>
      <w:r>
        <w:rPr>
          <w:w w:val="95"/>
        </w:rPr>
        <w:t>供</w:t>
      </w:r>
      <w:r>
        <w:rPr>
          <w:w w:val="95"/>
        </w:rPr>
        <w:t>的</w:t>
      </w:r>
      <w:r>
        <w:rPr>
          <w:spacing w:val="-5"/>
          <w:w w:val="95"/>
        </w:rPr>
        <w:t>保障</w:t>
      </w:r>
    </w:p>
    <w:p>
      <w:pPr>
        <w:pStyle w:val="BodyText"/>
        <w:spacing w:line="20" w:lineRule="exact"/>
        <w:ind w:left="371"/>
        <w:rPr>
          <w:sz w:val="2"/>
        </w:rPr>
      </w:pPr>
      <w:r>
        <w:rPr>
          <w:sz w:val="2"/>
        </w:rPr>
        <w:drawing>
          <wp:inline distT="0" distB="0" distL="0" distR="0">
            <wp:extent cx="6301227" cy="6096"/>
            <wp:effectExtent l="0" t="0" r="0" b="0"/>
            <wp:docPr id="7" name="image3.png"/>
            <wp:cNvGraphicFramePr>
              <a:graphicFrameLocks noChangeAspect="1"/>
            </wp:cNvGraphicFramePr>
            <a:graphic>
              <a:graphicData uri="http://schemas.openxmlformats.org/drawingml/2006/picture">
                <pic:pic>
                  <pic:nvPicPr>
                    <pic:cNvPr id="8" name="image3.png"/>
                    <pic:cNvPicPr/>
                  </pic:nvPicPr>
                  <pic:blipFill>
                    <a:blip r:embed="rId7" cstate="print"/>
                    <a:stretch>
                      <a:fillRect/>
                    </a:stretch>
                  </pic:blipFill>
                  <pic:spPr>
                    <a:xfrm>
                      <a:off x="0" y="0"/>
                      <a:ext cx="6301227" cy="6096"/>
                    </a:xfrm>
                    <a:prstGeom prst="rect">
                      <a:avLst/>
                    </a:prstGeom>
                  </pic:spPr>
                </pic:pic>
              </a:graphicData>
            </a:graphic>
          </wp:inline>
        </w:drawing>
      </w:r>
      <w:r>
        <w:rPr>
          <w:sz w:val="2"/>
        </w:rPr>
      </w:r>
    </w:p>
    <w:p>
      <w:pPr>
        <w:pStyle w:val="BodyText"/>
        <w:spacing w:before="11"/>
        <w:rPr>
          <w:b/>
          <w:sz w:val="10"/>
        </w:rPr>
      </w:pPr>
    </w:p>
    <w:p>
      <w:pPr>
        <w:spacing w:after="0"/>
        <w:rPr>
          <w:sz w:val="10"/>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0" w:lineRule="auto" w:before="72" w:after="0"/>
        <w:ind w:left="1139" w:right="0" w:hanging="661"/>
        <w:jc w:val="left"/>
      </w:pPr>
      <w:r>
        <w:rPr>
          <w:spacing w:val="-5"/>
        </w:rPr>
        <w:t>保险金额、年</w:t>
      </w:r>
    </w:p>
    <w:p>
      <w:pPr>
        <w:spacing w:before="2"/>
        <w:ind w:left="1139" w:right="0" w:firstLine="0"/>
        <w:jc w:val="left"/>
        <w:rPr>
          <w:b/>
          <w:sz w:val="21"/>
        </w:rPr>
      </w:pPr>
      <w:r>
        <w:rPr>
          <w:b/>
          <w:spacing w:val="-2"/>
          <w:sz w:val="21"/>
        </w:rPr>
        <w:t>度给付限额</w:t>
      </w:r>
    </w:p>
    <w:p>
      <w:pPr>
        <w:pStyle w:val="BodyText"/>
        <w:spacing w:line="242" w:lineRule="auto" w:before="72"/>
        <w:ind w:left="173" w:right="373"/>
      </w:pPr>
      <w:r>
        <w:rPr/>
        <w:br w:type="column"/>
      </w:r>
      <w:r>
        <w:rPr>
          <w:spacing w:val="-2"/>
        </w:rPr>
        <w:t>本合同的保险金额、重大疾病医疗保险金的年度给付限额及非因重大疾病医疗保险</w:t>
      </w:r>
      <w:r>
        <w:rPr>
          <w:spacing w:val="-2"/>
        </w:rPr>
        <w:t>金的年度给付限额由您在投保时与我们约定，并在保险单上载明。</w:t>
      </w:r>
    </w:p>
    <w:p>
      <w:pPr>
        <w:pStyle w:val="BodyText"/>
        <w:spacing w:line="242" w:lineRule="auto" w:before="61"/>
        <w:ind w:left="173" w:right="373"/>
        <w:rPr>
          <w:rFonts w:ascii="黑体" w:eastAsia="黑体"/>
        </w:rPr>
      </w:pPr>
      <w:r>
        <w:rPr>
          <w:rFonts w:ascii="黑体" w:eastAsia="黑体"/>
          <w:spacing w:val="-2"/>
        </w:rPr>
        <w:t>本合同约定的保险金额、重大疾病医疗保险金的年度给付限额及非因重大疾病医疗</w:t>
      </w:r>
      <w:r>
        <w:rPr>
          <w:rFonts w:ascii="黑体" w:eastAsia="黑体"/>
          <w:spacing w:val="-2"/>
        </w:rPr>
        <w:t>保险金的年度给付限额见本合同附表 </w:t>
      </w:r>
      <w:r>
        <w:rPr>
          <w:rFonts w:ascii="黑体" w:eastAsia="黑体"/>
        </w:rPr>
        <w:t>1</w:t>
      </w:r>
      <w:r>
        <w:rPr>
          <w:rFonts w:ascii="黑体" w:eastAsia="黑体"/>
          <w:spacing w:val="-6"/>
        </w:rPr>
        <w:t> 所示。</w:t>
      </w:r>
    </w:p>
    <w:p>
      <w:pPr>
        <w:spacing w:after="0" w:line="242" w:lineRule="auto"/>
        <w:rPr>
          <w:rFonts w:ascii="黑体" w:eastAsia="黑体"/>
        </w:rPr>
        <w:sectPr>
          <w:type w:val="continuous"/>
          <w:pgSz w:w="11910" w:h="16850"/>
          <w:pgMar w:top="520" w:bottom="280" w:left="620" w:right="720"/>
          <w:cols w:num="2" w:equalWidth="0">
            <w:col w:w="2395" w:space="40"/>
            <w:col w:w="8135"/>
          </w:cols>
        </w:sectPr>
      </w:pPr>
    </w:p>
    <w:p>
      <w:pPr>
        <w:pStyle w:val="BodyText"/>
        <w:spacing w:before="7"/>
        <w:rPr>
          <w:rFonts w:ascii="黑体"/>
          <w:sz w:val="12"/>
        </w:rPr>
      </w:pPr>
    </w:p>
    <w:p>
      <w:pPr>
        <w:pStyle w:val="ListParagraph"/>
        <w:numPr>
          <w:ilvl w:val="3"/>
          <w:numId w:val="4"/>
        </w:numPr>
        <w:tabs>
          <w:tab w:pos="1140" w:val="left" w:leader="none"/>
        </w:tabs>
        <w:spacing w:line="242" w:lineRule="auto" w:before="71" w:after="0"/>
        <w:ind w:left="2608" w:right="372" w:hanging="2130"/>
        <w:jc w:val="both"/>
        <w:rPr>
          <w:rFonts w:ascii="黑体" w:eastAsia="黑体"/>
          <w:sz w:val="21"/>
        </w:rPr>
      </w:pPr>
      <w:r>
        <w:rPr>
          <w:b/>
          <w:spacing w:val="91"/>
          <w:sz w:val="21"/>
        </w:rPr>
        <w:t>保险期间 </w:t>
      </w:r>
      <w:r>
        <w:rPr>
          <w:spacing w:val="-3"/>
          <w:sz w:val="21"/>
        </w:rPr>
        <w:t>本合同的保险期间为 </w:t>
      </w:r>
      <w:r>
        <w:rPr>
          <w:sz w:val="21"/>
        </w:rPr>
        <w:t>1</w:t>
      </w:r>
      <w:r>
        <w:rPr>
          <w:spacing w:val="-5"/>
          <w:sz w:val="21"/>
        </w:rPr>
        <w:t> 年，自本合同生效日零时开始。本合同保险期间届满，</w:t>
      </w:r>
      <w:r>
        <w:rPr>
          <w:rFonts w:ascii="黑体" w:eastAsia="黑体"/>
          <w:sz w:val="21"/>
        </w:rPr>
        <w:t>您若</w:t>
      </w:r>
      <w:r>
        <w:rPr>
          <w:rFonts w:ascii="黑体" w:eastAsia="黑体"/>
          <w:spacing w:val="-2"/>
          <w:sz w:val="21"/>
        </w:rPr>
        <w:t>继续投保本保险，则新续保合同自本合同期满日次日零时起生效，新续保合同的保</w:t>
      </w:r>
      <w:r>
        <w:rPr>
          <w:rFonts w:ascii="黑体" w:eastAsia="黑体"/>
          <w:spacing w:val="-2"/>
          <w:sz w:val="21"/>
        </w:rPr>
        <w:t>险期间为新的保险期间，有效期为 </w:t>
      </w:r>
      <w:r>
        <w:rPr>
          <w:rFonts w:ascii="黑体" w:eastAsia="黑体"/>
          <w:sz w:val="21"/>
        </w:rPr>
        <w:t>1</w:t>
      </w:r>
      <w:r>
        <w:rPr>
          <w:rFonts w:ascii="黑体" w:eastAsia="黑体"/>
          <w:spacing w:val="-5"/>
          <w:sz w:val="21"/>
        </w:rPr>
        <w:t> 年。每次续保，均依此类推。</w:t>
      </w:r>
    </w:p>
    <w:p>
      <w:pPr>
        <w:pStyle w:val="BodyText"/>
        <w:spacing w:before="1"/>
        <w:rPr>
          <w:rFonts w:ascii="黑体"/>
          <w:sz w:val="18"/>
        </w:rPr>
      </w:pPr>
    </w:p>
    <w:p>
      <w:pPr>
        <w:pStyle w:val="ListParagraph"/>
        <w:numPr>
          <w:ilvl w:val="3"/>
          <w:numId w:val="4"/>
        </w:numPr>
        <w:tabs>
          <w:tab w:pos="1139" w:val="left" w:leader="none"/>
          <w:tab w:pos="1140" w:val="left" w:leader="none"/>
          <w:tab w:pos="2608" w:val="left" w:leader="none"/>
        </w:tabs>
        <w:spacing w:line="242" w:lineRule="auto" w:before="0" w:after="0"/>
        <w:ind w:left="2608" w:right="370" w:hanging="2130"/>
        <w:jc w:val="left"/>
        <w:rPr>
          <w:rFonts w:ascii="黑体" w:eastAsia="黑体"/>
          <w:sz w:val="21"/>
        </w:rPr>
      </w:pPr>
      <w:r>
        <w:rPr>
          <w:b/>
          <w:spacing w:val="-4"/>
          <w:sz w:val="21"/>
        </w:rPr>
        <w:t>等</w:t>
      </w:r>
      <w:r>
        <w:rPr>
          <w:b/>
          <w:spacing w:val="-4"/>
          <w:sz w:val="21"/>
        </w:rPr>
        <w:t>待</w:t>
      </w:r>
      <w:r>
        <w:rPr>
          <w:b/>
          <w:spacing w:val="-4"/>
          <w:sz w:val="21"/>
        </w:rPr>
        <w:t>期</w:t>
      </w:r>
      <w:r>
        <w:rPr>
          <w:b/>
          <w:sz w:val="21"/>
        </w:rPr>
        <w:tab/>
      </w:r>
      <w:r>
        <w:rPr>
          <w:rFonts w:ascii="黑体" w:eastAsia="黑体"/>
          <w:sz w:val="21"/>
        </w:rPr>
        <w:t>您为被保险人首次投保或</w:t>
      </w:r>
      <w:r>
        <w:rPr>
          <w:rFonts w:ascii="黑体" w:eastAsia="黑体"/>
          <w:sz w:val="21"/>
        </w:rPr>
        <w:t>者中断后再次投保本保险时</w:t>
      </w:r>
      <w:r>
        <w:rPr>
          <w:rFonts w:ascii="黑体" w:eastAsia="黑体"/>
          <w:spacing w:val="-87"/>
          <w:sz w:val="21"/>
        </w:rPr>
        <w:t>，</w:t>
      </w:r>
      <w:r>
        <w:rPr>
          <w:rFonts w:ascii="黑体" w:eastAsia="黑体"/>
          <w:sz w:val="21"/>
        </w:rPr>
        <w:t>自本合同生效之日起</w:t>
      </w:r>
      <w:r>
        <w:rPr>
          <w:rFonts w:ascii="黑体" w:eastAsia="黑体"/>
          <w:spacing w:val="-53"/>
          <w:sz w:val="21"/>
        </w:rPr>
        <w:t> </w:t>
      </w:r>
      <w:r>
        <w:rPr>
          <w:rFonts w:ascii="黑体" w:eastAsia="黑体"/>
          <w:sz w:val="21"/>
        </w:rPr>
        <w:t>30</w:t>
      </w:r>
      <w:r>
        <w:rPr>
          <w:rFonts w:ascii="黑体" w:eastAsia="黑体"/>
          <w:spacing w:val="-53"/>
          <w:sz w:val="21"/>
        </w:rPr>
        <w:t> </w:t>
      </w:r>
      <w:r>
        <w:rPr>
          <w:rFonts w:ascii="黑体" w:eastAsia="黑体"/>
          <w:sz w:val="21"/>
        </w:rPr>
        <w:t>日为</w:t>
      </w:r>
      <w:r>
        <w:rPr>
          <w:rFonts w:ascii="黑体" w:eastAsia="黑体"/>
          <w:spacing w:val="-4"/>
          <w:sz w:val="21"/>
        </w:rPr>
        <w:t>等</w:t>
      </w:r>
      <w:r>
        <w:rPr>
          <w:rFonts w:ascii="黑体" w:eastAsia="黑体"/>
          <w:spacing w:val="-4"/>
          <w:sz w:val="21"/>
        </w:rPr>
        <w:t>待</w:t>
      </w:r>
      <w:r>
        <w:rPr>
          <w:rFonts w:ascii="黑体" w:eastAsia="黑体"/>
          <w:spacing w:val="-4"/>
          <w:sz w:val="21"/>
        </w:rPr>
        <w:t>期。</w:t>
      </w:r>
    </w:p>
    <w:p>
      <w:pPr>
        <w:pStyle w:val="BodyText"/>
        <w:spacing w:line="242" w:lineRule="auto" w:before="62"/>
        <w:ind w:left="2608" w:right="370"/>
        <w:rPr>
          <w:rFonts w:ascii="黑体" w:eastAsia="黑体"/>
        </w:rPr>
      </w:pPr>
      <w:r>
        <w:rPr>
          <w:rFonts w:ascii="黑体" w:eastAsia="黑体"/>
        </w:rPr>
        <w:t>被保险人在等待期内非因</w:t>
      </w:r>
      <w:r>
        <w:rPr>
          <w:rFonts w:ascii="黑体" w:eastAsia="黑体" w:hint="eastAsia"/>
          <w:b/>
        </w:rPr>
        <w:t>意外伤害</w:t>
      </w:r>
      <w:r>
        <w:rPr>
          <w:rFonts w:ascii="黑体" w:eastAsia="黑体"/>
        </w:rPr>
        <w:t>（</w:t>
      </w:r>
      <w:r>
        <w:rPr>
          <w:rFonts w:ascii="黑体" w:eastAsia="黑体"/>
          <w:spacing w:val="-6"/>
        </w:rPr>
        <w:t>见 </w:t>
      </w:r>
      <w:r>
        <w:rPr>
          <w:rFonts w:ascii="黑体" w:eastAsia="黑体"/>
        </w:rPr>
        <w:t>8.3）罹患本合同所定义的重大疾病，我们</w:t>
      </w:r>
      <w:r>
        <w:rPr>
          <w:rFonts w:ascii="黑体" w:eastAsia="黑体"/>
          <w:spacing w:val="-2"/>
        </w:rPr>
        <w:t>向您无息退还保险费，本合同终止。</w:t>
      </w:r>
    </w:p>
    <w:p>
      <w:pPr>
        <w:pStyle w:val="BodyText"/>
        <w:spacing w:line="242" w:lineRule="auto" w:before="61"/>
        <w:ind w:left="2608" w:right="264"/>
        <w:rPr>
          <w:rFonts w:ascii="黑体" w:eastAsia="黑体"/>
        </w:rPr>
      </w:pPr>
      <w:r>
        <w:rPr>
          <w:rFonts w:ascii="黑体" w:eastAsia="黑体"/>
          <w:spacing w:val="3"/>
          <w:w w:val="100"/>
        </w:rPr>
        <w:t>被保险人在等待期内非因意外伤害罹患除本合同所定义的重大疾病以外的其他疾</w:t>
      </w:r>
      <w:r>
        <w:rPr>
          <w:rFonts w:ascii="黑体" w:eastAsia="黑体"/>
          <w:spacing w:val="-11"/>
          <w:w w:val="100"/>
        </w:rPr>
        <w:t>病，并接受下列治疗，无论是否延续至等待期后，我们均不承担给付保险金的责任，</w:t>
      </w:r>
      <w:r>
        <w:rPr>
          <w:rFonts w:ascii="黑体" w:eastAsia="黑体"/>
          <w:spacing w:val="-6"/>
          <w:w w:val="100"/>
        </w:rPr>
        <w:t>但本合同继续有效。</w:t>
      </w:r>
    </w:p>
    <w:p>
      <w:pPr>
        <w:pStyle w:val="ListParagraph"/>
        <w:numPr>
          <w:ilvl w:val="4"/>
          <w:numId w:val="4"/>
        </w:numPr>
        <w:tabs>
          <w:tab w:pos="3329" w:val="left" w:leader="none"/>
        </w:tabs>
        <w:spacing w:line="244" w:lineRule="auto" w:before="61" w:after="0"/>
        <w:ind w:left="3328" w:right="269" w:hanging="720"/>
        <w:jc w:val="left"/>
        <w:rPr>
          <w:rFonts w:ascii="黑体" w:eastAsia="黑体"/>
          <w:sz w:val="20"/>
        </w:rPr>
      </w:pPr>
      <w:r>
        <w:rPr>
          <w:rFonts w:ascii="黑体" w:eastAsia="黑体"/>
          <w:sz w:val="21"/>
        </w:rPr>
        <w:t>接受</w:t>
      </w:r>
      <w:r>
        <w:rPr>
          <w:rFonts w:ascii="黑体" w:eastAsia="黑体" w:hint="eastAsia"/>
          <w:b/>
          <w:sz w:val="21"/>
        </w:rPr>
        <w:t>住院</w:t>
      </w:r>
      <w:r>
        <w:rPr>
          <w:rFonts w:ascii="黑体" w:eastAsia="黑体"/>
          <w:sz w:val="21"/>
        </w:rPr>
        <w:t>（见 8.4）治疗，或者与该住院治疗原因相同的所有治疗，或者与该住院视为</w:t>
      </w:r>
      <w:r>
        <w:rPr>
          <w:rFonts w:ascii="黑体" w:eastAsia="黑体" w:hint="eastAsia"/>
          <w:b/>
          <w:sz w:val="21"/>
        </w:rPr>
        <w:t>同一次住院</w:t>
      </w:r>
      <w:r>
        <w:rPr>
          <w:rFonts w:ascii="黑体" w:eastAsia="黑体"/>
          <w:sz w:val="21"/>
        </w:rPr>
        <w:t>（</w:t>
      </w:r>
      <w:r>
        <w:rPr>
          <w:rFonts w:ascii="黑体" w:eastAsia="黑体"/>
          <w:spacing w:val="-21"/>
          <w:sz w:val="21"/>
        </w:rPr>
        <w:t>见 </w:t>
      </w:r>
      <w:r>
        <w:rPr>
          <w:rFonts w:ascii="黑体" w:eastAsia="黑体"/>
          <w:sz w:val="21"/>
        </w:rPr>
        <w:t>8.5）的治疗；</w:t>
      </w:r>
    </w:p>
    <w:p>
      <w:pPr>
        <w:pStyle w:val="ListParagraph"/>
        <w:numPr>
          <w:ilvl w:val="4"/>
          <w:numId w:val="4"/>
        </w:numPr>
        <w:tabs>
          <w:tab w:pos="3329" w:val="left" w:leader="none"/>
        </w:tabs>
        <w:spacing w:line="240" w:lineRule="auto" w:before="56" w:after="0"/>
        <w:ind w:left="3328" w:right="0" w:hanging="721"/>
        <w:jc w:val="left"/>
        <w:rPr>
          <w:rFonts w:ascii="黑体" w:eastAsia="黑体"/>
          <w:sz w:val="20"/>
        </w:rPr>
      </w:pPr>
      <w:r>
        <w:rPr>
          <w:rFonts w:ascii="黑体" w:eastAsia="黑体"/>
          <w:spacing w:val="-3"/>
          <w:sz w:val="21"/>
        </w:rPr>
        <w:t>接受特殊门诊治疗，或者与该特殊门诊治疗原因相同的所有治疗；</w:t>
      </w:r>
    </w:p>
    <w:p>
      <w:pPr>
        <w:pStyle w:val="ListParagraph"/>
        <w:numPr>
          <w:ilvl w:val="4"/>
          <w:numId w:val="4"/>
        </w:numPr>
        <w:tabs>
          <w:tab w:pos="3329" w:val="left" w:leader="none"/>
        </w:tabs>
        <w:spacing w:line="240" w:lineRule="auto" w:before="65" w:after="0"/>
        <w:ind w:left="3328" w:right="0" w:hanging="721"/>
        <w:jc w:val="left"/>
        <w:rPr>
          <w:rFonts w:ascii="黑体" w:eastAsia="黑体"/>
          <w:sz w:val="20"/>
        </w:rPr>
      </w:pPr>
      <w:r>
        <w:rPr>
          <w:rFonts w:ascii="黑体" w:eastAsia="黑体"/>
          <w:spacing w:val="-3"/>
          <w:sz w:val="21"/>
        </w:rPr>
        <w:t>接受门急诊治疗，或者与该门急诊治疗原因相同的所有治疗。</w:t>
      </w:r>
    </w:p>
    <w:p>
      <w:pPr>
        <w:pStyle w:val="BodyText"/>
        <w:spacing w:line="242" w:lineRule="auto" w:before="62"/>
        <w:ind w:left="2608" w:right="264"/>
        <w:rPr>
          <w:rFonts w:ascii="黑体" w:eastAsia="黑体"/>
        </w:rPr>
      </w:pPr>
      <w:r>
        <w:rPr>
          <w:rFonts w:ascii="黑体" w:eastAsia="黑体"/>
          <w:spacing w:val="-3"/>
          <w:w w:val="100"/>
        </w:rPr>
        <w:t>被保险人因接受上述治疗发生的医疗费用均不计入本合同</w:t>
      </w:r>
      <w:r>
        <w:rPr>
          <w:rFonts w:ascii="黑体" w:eastAsia="黑体" w:hint="eastAsia"/>
          <w:b/>
          <w:spacing w:val="-7"/>
          <w:w w:val="100"/>
        </w:rPr>
        <w:t>保险期间内累计</w:t>
      </w:r>
      <w:r>
        <w:rPr>
          <w:rFonts w:ascii="黑体" w:eastAsia="黑体"/>
          <w:spacing w:val="-3"/>
          <w:w w:val="100"/>
        </w:rPr>
        <w:t>（</w:t>
      </w:r>
      <w:r>
        <w:rPr>
          <w:rFonts w:ascii="黑体" w:eastAsia="黑体"/>
          <w:w w:val="100"/>
        </w:rPr>
        <w:t>见</w:t>
      </w:r>
      <w:r>
        <w:rPr>
          <w:rFonts w:ascii="黑体" w:eastAsia="黑体"/>
          <w:spacing w:val="-53"/>
        </w:rPr>
        <w:t> </w:t>
      </w:r>
      <w:r>
        <w:rPr>
          <w:rFonts w:ascii="黑体" w:eastAsia="黑体"/>
          <w:w w:val="100"/>
        </w:rPr>
        <w:t>8.</w:t>
      </w:r>
      <w:r>
        <w:rPr>
          <w:rFonts w:ascii="黑体" w:eastAsia="黑体"/>
          <w:spacing w:val="-3"/>
          <w:w w:val="100"/>
        </w:rPr>
        <w:t>6</w:t>
      </w:r>
      <w:r>
        <w:rPr>
          <w:rFonts w:ascii="黑体" w:eastAsia="黑体"/>
          <w:w w:val="100"/>
        </w:rPr>
        <w:t>）</w:t>
      </w:r>
      <w:r>
        <w:rPr>
          <w:rFonts w:ascii="黑体" w:eastAsia="黑体"/>
          <w:spacing w:val="-3"/>
          <w:w w:val="100"/>
        </w:rPr>
        <w:t>医疗费用，因接受上述治疗从其他途径已获得的医疗费用补偿均不计入本合同保险期间内累计从其他途径已获得的医疗费用补偿。</w:t>
      </w:r>
    </w:p>
    <w:p>
      <w:pPr>
        <w:pStyle w:val="BodyText"/>
        <w:spacing w:line="242" w:lineRule="auto" w:before="63"/>
        <w:ind w:left="2608" w:right="370"/>
        <w:jc w:val="both"/>
      </w:pPr>
      <w:r>
        <w:rPr>
          <w:spacing w:val="-6"/>
        </w:rPr>
        <w:t>从其他途径已获得的费用补偿包含已从</w:t>
      </w:r>
      <w:r>
        <w:rPr>
          <w:b/>
          <w:spacing w:val="-6"/>
        </w:rPr>
        <w:t>社会基本医疗保险</w:t>
      </w:r>
      <w:r>
        <w:rPr>
          <w:spacing w:val="-6"/>
        </w:rPr>
        <w:t>（见 8.7）、</w:t>
      </w:r>
      <w:r>
        <w:rPr>
          <w:b/>
          <w:spacing w:val="-6"/>
        </w:rPr>
        <w:t>公费医疗</w:t>
      </w:r>
      <w:r>
        <w:rPr>
          <w:spacing w:val="-6"/>
        </w:rPr>
        <w:t>（见</w:t>
      </w:r>
      <w:r>
        <w:rPr>
          <w:spacing w:val="-6"/>
        </w:rPr>
        <w:t> </w:t>
      </w:r>
      <w:r>
        <w:rPr>
          <w:spacing w:val="-4"/>
        </w:rPr>
        <w:t>8.8）、除本合同之外的商业性医疗费用补偿型医疗保险、其他政府机构或者社会福</w:t>
      </w:r>
      <w:r>
        <w:rPr>
          <w:spacing w:val="-2"/>
        </w:rPr>
        <w:t>利机构获得的医疗费用补偿。</w:t>
      </w:r>
    </w:p>
    <w:p>
      <w:pPr>
        <w:pStyle w:val="BodyText"/>
        <w:spacing w:line="242" w:lineRule="auto" w:before="61"/>
        <w:ind w:left="2608" w:right="373"/>
      </w:pPr>
      <w:r>
        <w:rPr>
          <w:spacing w:val="-2"/>
        </w:rPr>
        <w:t>被保险人因意外伤害发生保险事故的，保险责任无等待期；您为被保险人续保本保</w:t>
      </w:r>
      <w:r>
        <w:rPr>
          <w:spacing w:val="-2"/>
        </w:rPr>
        <w:t>险时，该续保合同无等待期。</w:t>
      </w:r>
    </w:p>
    <w:p>
      <w:pPr>
        <w:spacing w:after="0" w:line="242" w:lineRule="auto"/>
        <w:sectPr>
          <w:type w:val="continuous"/>
          <w:pgSz w:w="11910" w:h="16850"/>
          <w:pgMar w:top="520" w:bottom="280" w:left="620" w:right="720"/>
        </w:sectPr>
      </w:pPr>
    </w:p>
    <w:p>
      <w:pPr>
        <w:pStyle w:val="ListParagraph"/>
        <w:numPr>
          <w:ilvl w:val="3"/>
          <w:numId w:val="4"/>
        </w:numPr>
        <w:tabs>
          <w:tab w:pos="1140" w:val="left" w:leader="none"/>
        </w:tabs>
        <w:spacing w:line="244" w:lineRule="auto" w:before="43" w:after="0"/>
        <w:ind w:left="2608" w:right="372" w:hanging="2130"/>
        <w:jc w:val="both"/>
        <w:rPr>
          <w:sz w:val="21"/>
        </w:rPr>
      </w:pPr>
      <w:r>
        <w:rPr>
          <w:b/>
          <w:spacing w:val="101"/>
          <w:sz w:val="21"/>
        </w:rPr>
        <w:t>保险责任 </w:t>
      </w:r>
      <w:r>
        <w:rPr>
          <w:sz w:val="21"/>
        </w:rPr>
        <w:t>在本合同保险期间内，我们承担重大疾病医疗保险金和非因重大疾病医疗保险金责</w:t>
      </w:r>
      <w:r>
        <w:rPr>
          <w:spacing w:val="-2"/>
          <w:sz w:val="21"/>
        </w:rPr>
        <w:t>任，重大疾病医疗保险金和非因重大疾病医疗保险金统称为医疗保险金。</w:t>
      </w:r>
    </w:p>
    <w:p>
      <w:pPr>
        <w:spacing w:before="158"/>
        <w:ind w:left="1139" w:right="0" w:firstLine="0"/>
        <w:jc w:val="both"/>
        <w:rPr>
          <w:sz w:val="21"/>
        </w:rPr>
      </w:pPr>
      <w:r>
        <w:rPr>
          <w:rFonts w:ascii="Microsoft JhengHei" w:eastAsia="Microsoft JhengHei"/>
          <w:b/>
          <w:spacing w:val="57"/>
          <w:sz w:val="21"/>
        </w:rPr>
        <w:t>医疗保险金 </w:t>
      </w:r>
      <w:r>
        <w:rPr>
          <w:spacing w:val="-1"/>
          <w:sz w:val="21"/>
        </w:rPr>
        <w:t>一、重大疾病医疗保险金</w:t>
      </w:r>
    </w:p>
    <w:p>
      <w:pPr>
        <w:pStyle w:val="BodyText"/>
        <w:spacing w:line="242" w:lineRule="auto" w:before="16"/>
        <w:ind w:left="2608" w:right="370"/>
        <w:jc w:val="both"/>
        <w:rPr>
          <w:rFonts w:ascii="黑体" w:hAnsi="黑体" w:eastAsia="黑体"/>
        </w:rPr>
      </w:pPr>
      <w:r>
        <w:rPr>
          <w:spacing w:val="-2"/>
        </w:rPr>
        <w:t>如果被保险人在等待期后经</w:t>
      </w:r>
      <w:r>
        <w:rPr>
          <w:b/>
          <w:spacing w:val="-2"/>
        </w:rPr>
        <w:t>医院</w:t>
      </w:r>
      <w:r>
        <w:rPr>
          <w:spacing w:val="-2"/>
        </w:rPr>
        <w:t>（</w:t>
      </w:r>
      <w:r>
        <w:rPr>
          <w:spacing w:val="-12"/>
        </w:rPr>
        <w:t>见 </w:t>
      </w:r>
      <w:r>
        <w:rPr>
          <w:spacing w:val="-2"/>
        </w:rPr>
        <w:t>8.9）</w:t>
      </w:r>
      <w:r>
        <w:rPr>
          <w:b/>
          <w:spacing w:val="-2"/>
        </w:rPr>
        <w:t>初次确诊</w:t>
      </w:r>
      <w:r>
        <w:rPr>
          <w:spacing w:val="-2"/>
        </w:rPr>
        <w:t>（</w:t>
      </w:r>
      <w:r>
        <w:rPr>
          <w:spacing w:val="-12"/>
        </w:rPr>
        <w:t>见 </w:t>
      </w:r>
      <w:r>
        <w:rPr>
          <w:spacing w:val="-2"/>
        </w:rPr>
        <w:t>8.10）罹患本合同所定义</w:t>
      </w:r>
      <w:r>
        <w:rPr>
          <w:spacing w:val="-2"/>
        </w:rPr>
        <w:t>的重大疾病必须在医院接受治疗的，且该治疗的</w:t>
      </w:r>
      <w:r>
        <w:rPr>
          <w:b/>
          <w:spacing w:val="-2"/>
        </w:rPr>
        <w:t>主要诊断</w:t>
      </w:r>
      <w:r>
        <w:rPr>
          <w:spacing w:val="-2"/>
        </w:rPr>
        <w:t>（</w:t>
      </w:r>
      <w:r>
        <w:rPr>
          <w:spacing w:val="-14"/>
        </w:rPr>
        <w:t>见 </w:t>
      </w:r>
      <w:r>
        <w:rPr>
          <w:spacing w:val="-2"/>
        </w:rPr>
        <w:t>8.11）为本合同所定</w:t>
      </w:r>
      <w:r>
        <w:rPr>
          <w:spacing w:val="-2"/>
        </w:rPr>
        <w:t>义的重大疾病，对被保险人因治疗重大疾病而发生的</w:t>
      </w:r>
      <w:r>
        <w:rPr>
          <w:b/>
          <w:spacing w:val="-2"/>
        </w:rPr>
        <w:t>符合通常惯例</w:t>
      </w:r>
      <w:r>
        <w:rPr>
          <w:spacing w:val="-2"/>
        </w:rPr>
        <w:t>（</w:t>
      </w:r>
      <w:r>
        <w:rPr>
          <w:spacing w:val="-14"/>
        </w:rPr>
        <w:t>见 </w:t>
      </w:r>
      <w:r>
        <w:rPr>
          <w:spacing w:val="-2"/>
        </w:rPr>
        <w:t>8.12）的且</w:t>
      </w:r>
      <w:r>
        <w:rPr>
          <w:b/>
          <w:spacing w:val="-2"/>
        </w:rPr>
        <w:t>医学必需</w:t>
      </w:r>
      <w:r>
        <w:rPr>
          <w:spacing w:val="-2"/>
        </w:rPr>
        <w:t>（</w:t>
      </w:r>
      <w:r>
        <w:rPr>
          <w:spacing w:val="-14"/>
        </w:rPr>
        <w:t>见 </w:t>
      </w:r>
      <w:r>
        <w:rPr>
          <w:spacing w:val="-2"/>
        </w:rPr>
        <w:t>8.13）的合理医疗费用（</w:t>
      </w:r>
      <w:r>
        <w:rPr>
          <w:spacing w:val="-9"/>
        </w:rPr>
        <w:t>以下简称“重大疾病合理医疗费用”</w:t>
      </w:r>
      <w:r>
        <w:rPr>
          <w:spacing w:val="-108"/>
        </w:rPr>
        <w:t>）</w:t>
      </w:r>
      <w:r>
        <w:rPr>
          <w:spacing w:val="-8"/>
        </w:rPr>
        <w:t>，</w:t>
      </w:r>
      <w:r>
        <w:rPr>
          <w:rFonts w:ascii="黑体" w:hAnsi="黑体" w:eastAsia="黑体"/>
          <w:spacing w:val="-2"/>
        </w:rPr>
        <w:t>我们</w:t>
      </w:r>
      <w:r>
        <w:rPr>
          <w:rFonts w:ascii="黑体" w:hAnsi="黑体" w:eastAsia="黑体"/>
          <w:spacing w:val="-2"/>
        </w:rPr>
        <w:t>按照本合同合理医疗费用的说明、重大疾病医疗保险金的计算方法的约定，给付重</w:t>
      </w:r>
      <w:r>
        <w:rPr>
          <w:rFonts w:ascii="黑体" w:hAnsi="黑体" w:eastAsia="黑体"/>
          <w:spacing w:val="-2"/>
        </w:rPr>
        <w:t>大疾病医疗保险金。</w:t>
      </w:r>
    </w:p>
    <w:p>
      <w:pPr>
        <w:pStyle w:val="BodyText"/>
        <w:spacing w:line="244" w:lineRule="auto" w:before="62"/>
        <w:ind w:left="2608" w:right="373"/>
        <w:rPr>
          <w:rFonts w:ascii="黑体" w:eastAsia="黑体"/>
        </w:rPr>
      </w:pPr>
      <w:r>
        <w:rPr>
          <w:rFonts w:ascii="黑体" w:eastAsia="黑体"/>
          <w:spacing w:val="-2"/>
        </w:rPr>
        <w:t>本合同保险期间内累计给付的重大疾病医疗保险金之和以重大疾病医疗保险金的年</w:t>
      </w:r>
      <w:r>
        <w:rPr>
          <w:rFonts w:ascii="黑体" w:eastAsia="黑体"/>
          <w:spacing w:val="-2"/>
        </w:rPr>
        <w:t>度给付限额为限。</w:t>
      </w:r>
    </w:p>
    <w:p>
      <w:pPr>
        <w:pStyle w:val="BodyText"/>
        <w:spacing w:before="56"/>
        <w:ind w:left="2608"/>
      </w:pPr>
      <w:r>
        <w:rPr>
          <w:spacing w:val="-3"/>
        </w:rPr>
        <w:t>二、非因重大疾病医疗保险金</w:t>
      </w:r>
    </w:p>
    <w:p>
      <w:pPr>
        <w:pStyle w:val="BodyText"/>
        <w:spacing w:line="242" w:lineRule="auto" w:before="64"/>
        <w:ind w:left="2608" w:right="373"/>
        <w:jc w:val="both"/>
      </w:pPr>
      <w:r>
        <w:rPr>
          <w:spacing w:val="-2"/>
        </w:rPr>
        <w:t>如果被保险人在等待期后经医院确诊非因重大疾病必须在医院接受治疗的，对被保</w:t>
      </w:r>
      <w:r>
        <w:rPr>
          <w:spacing w:val="-2"/>
        </w:rPr>
        <w:t>险人发生的符合通常惯例的且医学必需的合理医疗费用（以下简称“非因重大疾病</w:t>
      </w:r>
      <w:r>
        <w:rPr>
          <w:spacing w:val="-2"/>
        </w:rPr>
        <w:t>合理医疗费用</w:t>
      </w:r>
      <w:r>
        <w:rPr>
          <w:spacing w:val="-106"/>
        </w:rPr>
        <w:t>”）</w:t>
      </w:r>
      <w:r>
        <w:rPr/>
        <w:t>，</w:t>
      </w:r>
      <w:r>
        <w:rPr>
          <w:rFonts w:ascii="黑体" w:hAnsi="黑体" w:eastAsia="黑体"/>
          <w:spacing w:val="-2"/>
        </w:rPr>
        <w:t>我们按照本合同合理医疗费用的说明、非因重大疾病医疗保险金</w:t>
      </w:r>
      <w:r>
        <w:rPr>
          <w:rFonts w:ascii="黑体" w:hAnsi="黑体" w:eastAsia="黑体"/>
          <w:spacing w:val="-2"/>
        </w:rPr>
        <w:t>的计算方法的约定，给付非因重大疾病医疗保险金</w:t>
      </w:r>
      <w:r>
        <w:rPr>
          <w:spacing w:val="-2"/>
        </w:rPr>
        <w:t>。</w:t>
      </w:r>
    </w:p>
    <w:p>
      <w:pPr>
        <w:pStyle w:val="BodyText"/>
        <w:spacing w:line="242" w:lineRule="auto" w:before="64"/>
        <w:ind w:left="2608" w:right="372"/>
        <w:rPr>
          <w:rFonts w:ascii="黑体" w:eastAsia="黑体"/>
        </w:rPr>
      </w:pPr>
      <w:r>
        <w:rPr>
          <w:rFonts w:ascii="黑体" w:eastAsia="黑体"/>
          <w:spacing w:val="-2"/>
        </w:rPr>
        <w:t>本合同保险期间内累计给付的非因重大疾病医疗保险金之和以非因重大疾病医疗保</w:t>
      </w:r>
      <w:r>
        <w:rPr>
          <w:rFonts w:ascii="黑体" w:eastAsia="黑体"/>
          <w:spacing w:val="-2"/>
        </w:rPr>
        <w:t>险金的年度给付限额为限。</w:t>
      </w:r>
    </w:p>
    <w:p>
      <w:pPr>
        <w:pStyle w:val="BodyText"/>
        <w:spacing w:before="61"/>
        <w:ind w:left="2608"/>
        <w:rPr>
          <w:rFonts w:ascii="黑体" w:eastAsia="黑体"/>
        </w:rPr>
      </w:pPr>
      <w:r>
        <w:rPr>
          <w:rFonts w:ascii="黑体" w:eastAsia="黑体"/>
          <w:spacing w:val="-3"/>
        </w:rPr>
        <w:t>本合同保险期间内累计给付的医疗保险金之和以本合同的保险金额为限。</w:t>
      </w:r>
    </w:p>
    <w:p>
      <w:pPr>
        <w:pStyle w:val="BodyText"/>
        <w:spacing w:before="7"/>
        <w:rPr>
          <w:rFonts w:ascii="黑体"/>
          <w:sz w:val="12"/>
        </w:rPr>
      </w:pPr>
    </w:p>
    <w:p>
      <w:pPr>
        <w:spacing w:after="0"/>
        <w:rPr>
          <w:rFonts w:ascii="黑体"/>
          <w:sz w:val="12"/>
        </w:rPr>
        <w:sectPr>
          <w:pgSz w:w="11910" w:h="16850"/>
          <w:pgMar w:top="1320" w:bottom="280" w:left="620" w:right="720"/>
        </w:sectPr>
      </w:pPr>
    </w:p>
    <w:p>
      <w:pPr>
        <w:pStyle w:val="Heading3"/>
        <w:spacing w:line="170" w:lineRule="auto" w:before="83"/>
        <w:ind w:firstLine="0"/>
        <w:rPr>
          <w:rFonts w:ascii="Microsoft JhengHei" w:eastAsia="Microsoft JhengHei"/>
        </w:rPr>
      </w:pPr>
      <w:r>
        <w:rPr>
          <w:rFonts w:ascii="Microsoft JhengHei" w:eastAsia="Microsoft JhengHei"/>
          <w:spacing w:val="-2"/>
        </w:rPr>
        <w:t>合理医疗费</w:t>
      </w:r>
      <w:r>
        <w:rPr>
          <w:rFonts w:ascii="Microsoft JhengHei" w:eastAsia="Microsoft JhengHei"/>
          <w:spacing w:val="-4"/>
        </w:rPr>
        <w:t>用的说明</w:t>
      </w:r>
    </w:p>
    <w:p>
      <w:pPr>
        <w:pStyle w:val="BodyText"/>
        <w:spacing w:line="297" w:lineRule="auto" w:before="72"/>
        <w:ind w:left="372" w:right="1018"/>
      </w:pPr>
      <w:r>
        <w:rPr/>
        <w:br w:type="column"/>
      </w:r>
      <w:r>
        <w:rPr>
          <w:spacing w:val="-2"/>
        </w:rPr>
        <w:t>重大疾病合理医疗费用及非因重大疾病合理医疗费用统称为合理医疗费用。</w:t>
      </w:r>
      <w:r>
        <w:rPr>
          <w:spacing w:val="-2"/>
        </w:rPr>
        <w:t>合理医疗费用种类及其对应的治疗方式说明如下表所示：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7"/>
        </w:rPr>
      </w:pPr>
    </w:p>
    <w:p>
      <w:pPr>
        <w:pStyle w:val="BodyText"/>
        <w:spacing w:line="244" w:lineRule="auto"/>
        <w:ind w:left="372" w:right="378"/>
        <w:rPr>
          <w:rFonts w:ascii="黑体" w:eastAsia="黑体"/>
        </w:rPr>
      </w:pPr>
      <w:r>
        <w:rPr/>
        <w:pict>
          <v:shapetype id="_x0000_t202" o:spt="202" coordsize="21600,21600" path="m,l,21600r21600,l21600,xe">
            <v:stroke joinstyle="miter"/>
            <v:path gradientshapeok="t" o:connecttype="rect"/>
          </v:shapetype>
          <v:shape style="position:absolute;margin-left:161.419998pt;margin-top:-206.599991pt;width:378.8pt;height:203.45pt;mso-position-horizontal-relative:page;mso-position-vertical-relative:paragraph;z-index:15729664" type="#_x0000_t202" id="docshape1" filled="false" stroked="false">
            <v:textbox inset="0,0,0,0">
              <w:txbxContent>
                <w:tbl>
                  <w:tblPr>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291"/>
                    <w:gridCol w:w="4275"/>
                  </w:tblGrid>
                  <w:tr>
                    <w:trPr>
                      <w:trHeight w:val="333" w:hRule="atLeast"/>
                    </w:trPr>
                    <w:tc>
                      <w:tcPr>
                        <w:tcW w:w="3291" w:type="dxa"/>
                      </w:tcPr>
                      <w:p>
                        <w:pPr>
                          <w:pStyle w:val="TableParagraph"/>
                          <w:spacing w:line="252" w:lineRule="exact" w:before="61"/>
                          <w:ind w:left="107"/>
                          <w:rPr>
                            <w:sz w:val="21"/>
                          </w:rPr>
                        </w:pPr>
                        <w:r>
                          <w:rPr>
                            <w:spacing w:val="-4"/>
                            <w:sz w:val="21"/>
                          </w:rPr>
                          <w:t>合理医疗费用种类</w:t>
                        </w:r>
                      </w:p>
                    </w:tc>
                    <w:tc>
                      <w:tcPr>
                        <w:tcW w:w="4275" w:type="dxa"/>
                      </w:tcPr>
                      <w:p>
                        <w:pPr>
                          <w:pStyle w:val="TableParagraph"/>
                          <w:spacing w:line="252" w:lineRule="exact" w:before="61"/>
                          <w:ind w:left="105"/>
                          <w:rPr>
                            <w:sz w:val="21"/>
                          </w:rPr>
                        </w:pPr>
                        <w:r>
                          <w:rPr>
                            <w:spacing w:val="-4"/>
                            <w:sz w:val="21"/>
                          </w:rPr>
                          <w:t>治疗方式说明</w:t>
                        </w:r>
                      </w:p>
                    </w:tc>
                  </w:tr>
                  <w:tr>
                    <w:trPr>
                      <w:trHeight w:val="330" w:hRule="atLeast"/>
                    </w:trPr>
                    <w:tc>
                      <w:tcPr>
                        <w:tcW w:w="3291" w:type="dxa"/>
                      </w:tcPr>
                      <w:p>
                        <w:pPr>
                          <w:pStyle w:val="TableParagraph"/>
                          <w:spacing w:line="250" w:lineRule="exact" w:before="61"/>
                          <w:ind w:left="107"/>
                          <w:rPr>
                            <w:sz w:val="21"/>
                          </w:rPr>
                        </w:pPr>
                        <w:r>
                          <w:rPr>
                            <w:sz w:val="21"/>
                          </w:rPr>
                          <w:t>1.</w:t>
                        </w:r>
                        <w:r>
                          <w:rPr>
                            <w:spacing w:val="-5"/>
                            <w:sz w:val="21"/>
                          </w:rPr>
                          <w:t> </w:t>
                        </w:r>
                        <w:r>
                          <w:rPr>
                            <w:b/>
                            <w:sz w:val="21"/>
                          </w:rPr>
                          <w:t>住院医疗费用</w:t>
                        </w:r>
                        <w:r>
                          <w:rPr>
                            <w:sz w:val="21"/>
                          </w:rPr>
                          <w:t>（</w:t>
                        </w:r>
                        <w:r>
                          <w:rPr>
                            <w:spacing w:val="-27"/>
                            <w:sz w:val="21"/>
                          </w:rPr>
                          <w:t>见 </w:t>
                        </w:r>
                        <w:r>
                          <w:rPr>
                            <w:spacing w:val="-2"/>
                            <w:sz w:val="21"/>
                          </w:rPr>
                          <w:t>8.14）</w:t>
                        </w:r>
                      </w:p>
                    </w:tc>
                    <w:tc>
                      <w:tcPr>
                        <w:tcW w:w="4275" w:type="dxa"/>
                      </w:tcPr>
                      <w:p>
                        <w:pPr>
                          <w:pStyle w:val="TableParagraph"/>
                          <w:spacing w:line="250" w:lineRule="exact" w:before="61"/>
                          <w:ind w:left="105"/>
                          <w:rPr>
                            <w:sz w:val="21"/>
                          </w:rPr>
                        </w:pPr>
                        <w:r>
                          <w:rPr>
                            <w:spacing w:val="-4"/>
                            <w:sz w:val="21"/>
                          </w:rPr>
                          <w:t>接受住院治疗</w:t>
                        </w:r>
                      </w:p>
                    </w:tc>
                  </w:tr>
                  <w:tr>
                    <w:trPr>
                      <w:trHeight w:val="2479" w:hRule="atLeast"/>
                    </w:trPr>
                    <w:tc>
                      <w:tcPr>
                        <w:tcW w:w="3291" w:type="dxa"/>
                      </w:tcPr>
                      <w:p>
                        <w:pPr>
                          <w:pStyle w:val="TableParagraph"/>
                          <w:spacing w:before="61"/>
                          <w:ind w:left="107"/>
                          <w:rPr>
                            <w:sz w:val="21"/>
                          </w:rPr>
                        </w:pPr>
                        <w:r>
                          <w:rPr>
                            <w:sz w:val="21"/>
                          </w:rPr>
                          <w:t>2.</w:t>
                        </w:r>
                        <w:r>
                          <w:rPr>
                            <w:spacing w:val="-3"/>
                            <w:sz w:val="21"/>
                          </w:rPr>
                          <w:t> 特殊</w:t>
                        </w:r>
                        <w:r>
                          <w:rPr>
                            <w:b/>
                            <w:sz w:val="21"/>
                          </w:rPr>
                          <w:t>门诊医疗费用</w:t>
                        </w:r>
                        <w:r>
                          <w:rPr>
                            <w:sz w:val="21"/>
                          </w:rPr>
                          <w:t>（</w:t>
                        </w:r>
                        <w:r>
                          <w:rPr>
                            <w:spacing w:val="-27"/>
                            <w:sz w:val="21"/>
                          </w:rPr>
                          <w:t>见 </w:t>
                        </w:r>
                        <w:r>
                          <w:rPr>
                            <w:spacing w:val="-4"/>
                            <w:sz w:val="21"/>
                          </w:rPr>
                          <w:t>8.15）</w:t>
                        </w:r>
                      </w:p>
                    </w:tc>
                    <w:tc>
                      <w:tcPr>
                        <w:tcW w:w="4275" w:type="dxa"/>
                      </w:tcPr>
                      <w:p>
                        <w:pPr>
                          <w:pStyle w:val="TableParagraph"/>
                          <w:spacing w:before="61"/>
                          <w:ind w:left="105"/>
                          <w:rPr>
                            <w:sz w:val="21"/>
                          </w:rPr>
                        </w:pPr>
                        <w:r>
                          <w:rPr>
                            <w:spacing w:val="-3"/>
                            <w:sz w:val="21"/>
                          </w:rPr>
                          <w:t>接受如下门诊治疗：</w:t>
                        </w:r>
                      </w:p>
                      <w:p>
                        <w:pPr>
                          <w:pStyle w:val="TableParagraph"/>
                          <w:numPr>
                            <w:ilvl w:val="0"/>
                            <w:numId w:val="5"/>
                          </w:numPr>
                          <w:tabs>
                            <w:tab w:pos="633" w:val="left" w:leader="none"/>
                          </w:tabs>
                          <w:spacing w:line="242" w:lineRule="auto" w:before="65" w:after="0"/>
                          <w:ind w:left="105" w:right="20" w:firstLine="0"/>
                          <w:jc w:val="left"/>
                          <w:rPr>
                            <w:sz w:val="21"/>
                          </w:rPr>
                        </w:pPr>
                        <w:r>
                          <w:rPr>
                            <w:spacing w:val="-2"/>
                            <w:sz w:val="21"/>
                          </w:rPr>
                          <w:t>门诊恶性肿瘤治疗，包括</w:t>
                        </w:r>
                        <w:r>
                          <w:rPr>
                            <w:b/>
                            <w:spacing w:val="-2"/>
                            <w:sz w:val="21"/>
                          </w:rPr>
                          <w:t>化学疗法</w:t>
                        </w:r>
                        <w:r>
                          <w:rPr>
                            <w:spacing w:val="-2"/>
                            <w:sz w:val="21"/>
                          </w:rPr>
                          <w:t>（见</w:t>
                        </w:r>
                        <w:r>
                          <w:rPr>
                            <w:spacing w:val="-2"/>
                            <w:sz w:val="21"/>
                          </w:rPr>
                          <w:t> </w:t>
                        </w:r>
                        <w:r>
                          <w:rPr>
                            <w:sz w:val="21"/>
                          </w:rPr>
                          <w:t>8.16）、</w:t>
                        </w:r>
                        <w:r>
                          <w:rPr>
                            <w:b/>
                            <w:sz w:val="21"/>
                          </w:rPr>
                          <w:t>放射疗法</w:t>
                        </w:r>
                        <w:r>
                          <w:rPr>
                            <w:sz w:val="21"/>
                          </w:rPr>
                          <w:t>（</w:t>
                        </w:r>
                        <w:r>
                          <w:rPr>
                            <w:spacing w:val="-13"/>
                            <w:sz w:val="21"/>
                          </w:rPr>
                          <w:t>见 </w:t>
                        </w:r>
                        <w:r>
                          <w:rPr>
                            <w:sz w:val="21"/>
                          </w:rPr>
                          <w:t>8.17）、</w:t>
                        </w:r>
                        <w:r>
                          <w:rPr>
                            <w:b/>
                            <w:sz w:val="21"/>
                          </w:rPr>
                          <w:t>肿瘤免疫疗</w:t>
                        </w:r>
                        <w:r>
                          <w:rPr>
                            <w:b/>
                            <w:spacing w:val="-8"/>
                            <w:sz w:val="21"/>
                          </w:rPr>
                          <w:t>法</w:t>
                        </w:r>
                        <w:r>
                          <w:rPr>
                            <w:spacing w:val="-8"/>
                            <w:sz w:val="21"/>
                          </w:rPr>
                          <w:t>（</w:t>
                        </w:r>
                        <w:r>
                          <w:rPr>
                            <w:spacing w:val="-32"/>
                            <w:sz w:val="21"/>
                          </w:rPr>
                          <w:t>见 </w:t>
                        </w:r>
                        <w:r>
                          <w:rPr>
                            <w:spacing w:val="-8"/>
                            <w:sz w:val="21"/>
                          </w:rPr>
                          <w:t>8.18）、</w:t>
                        </w:r>
                        <w:r>
                          <w:rPr>
                            <w:b/>
                            <w:spacing w:val="-8"/>
                            <w:sz w:val="21"/>
                          </w:rPr>
                          <w:t>肿瘤内分泌疗法</w:t>
                        </w:r>
                        <w:r>
                          <w:rPr>
                            <w:spacing w:val="-8"/>
                            <w:sz w:val="21"/>
                          </w:rPr>
                          <w:t>（</w:t>
                        </w:r>
                        <w:r>
                          <w:rPr>
                            <w:spacing w:val="-31"/>
                            <w:sz w:val="21"/>
                          </w:rPr>
                          <w:t>见 </w:t>
                        </w:r>
                        <w:r>
                          <w:rPr>
                            <w:spacing w:val="-8"/>
                            <w:sz w:val="21"/>
                          </w:rPr>
                          <w:t>8.19）</w:t>
                        </w:r>
                        <w:r>
                          <w:rPr>
                            <w:spacing w:val="-8"/>
                            <w:sz w:val="21"/>
                          </w:rPr>
                          <w:t>、</w:t>
                        </w:r>
                        <w:r>
                          <w:rPr>
                            <w:b/>
                            <w:sz w:val="21"/>
                          </w:rPr>
                          <w:t>肿瘤靶向疗法</w:t>
                        </w:r>
                        <w:r>
                          <w:rPr>
                            <w:sz w:val="21"/>
                          </w:rPr>
                          <w:t>（</w:t>
                        </w:r>
                        <w:r>
                          <w:rPr>
                            <w:spacing w:val="-21"/>
                            <w:sz w:val="21"/>
                          </w:rPr>
                          <w:t>见 </w:t>
                        </w:r>
                        <w:r>
                          <w:rPr>
                            <w:sz w:val="21"/>
                          </w:rPr>
                          <w:t>8.20）</w:t>
                        </w:r>
                      </w:p>
                      <w:p>
                        <w:pPr>
                          <w:pStyle w:val="TableParagraph"/>
                          <w:numPr>
                            <w:ilvl w:val="0"/>
                            <w:numId w:val="5"/>
                          </w:numPr>
                          <w:tabs>
                            <w:tab w:pos="635" w:val="left" w:leader="none"/>
                          </w:tabs>
                          <w:spacing w:line="240" w:lineRule="auto" w:before="62" w:after="0"/>
                          <w:ind w:left="634" w:right="0" w:hanging="530"/>
                          <w:jc w:val="left"/>
                          <w:rPr>
                            <w:sz w:val="21"/>
                          </w:rPr>
                        </w:pPr>
                        <w:r>
                          <w:rPr>
                            <w:spacing w:val="-2"/>
                            <w:sz w:val="21"/>
                          </w:rPr>
                          <w:t>门诊</w:t>
                        </w:r>
                        <w:r>
                          <w:rPr>
                            <w:b/>
                            <w:spacing w:val="-2"/>
                            <w:sz w:val="21"/>
                          </w:rPr>
                          <w:t>肾透析</w:t>
                        </w:r>
                        <w:r>
                          <w:rPr>
                            <w:spacing w:val="-2"/>
                            <w:sz w:val="21"/>
                          </w:rPr>
                          <w:t>（</w:t>
                        </w:r>
                        <w:r>
                          <w:rPr>
                            <w:spacing w:val="-24"/>
                            <w:sz w:val="21"/>
                          </w:rPr>
                          <w:t>见 </w:t>
                        </w:r>
                        <w:r>
                          <w:rPr>
                            <w:spacing w:val="-2"/>
                            <w:sz w:val="21"/>
                          </w:rPr>
                          <w:t>8.21）</w:t>
                        </w:r>
                      </w:p>
                      <w:p>
                        <w:pPr>
                          <w:pStyle w:val="TableParagraph"/>
                          <w:numPr>
                            <w:ilvl w:val="0"/>
                            <w:numId w:val="5"/>
                          </w:numPr>
                          <w:tabs>
                            <w:tab w:pos="635" w:val="left" w:leader="none"/>
                          </w:tabs>
                          <w:spacing w:line="240" w:lineRule="auto" w:before="62" w:after="0"/>
                          <w:ind w:left="634" w:right="0" w:hanging="530"/>
                          <w:jc w:val="left"/>
                          <w:rPr>
                            <w:sz w:val="21"/>
                          </w:rPr>
                        </w:pPr>
                        <w:r>
                          <w:rPr>
                            <w:spacing w:val="-3"/>
                            <w:sz w:val="21"/>
                          </w:rPr>
                          <w:t>器官移植后的门诊抗排异治疗</w:t>
                        </w:r>
                      </w:p>
                      <w:p>
                        <w:pPr>
                          <w:pStyle w:val="TableParagraph"/>
                          <w:numPr>
                            <w:ilvl w:val="0"/>
                            <w:numId w:val="5"/>
                          </w:numPr>
                          <w:tabs>
                            <w:tab w:pos="635" w:val="left" w:leader="none"/>
                          </w:tabs>
                          <w:spacing w:line="250" w:lineRule="exact" w:before="65" w:after="0"/>
                          <w:ind w:left="634" w:right="0" w:hanging="530"/>
                          <w:jc w:val="left"/>
                          <w:rPr>
                            <w:sz w:val="21"/>
                          </w:rPr>
                        </w:pPr>
                        <w:r>
                          <w:rPr>
                            <w:spacing w:val="-4"/>
                            <w:sz w:val="21"/>
                          </w:rPr>
                          <w:t>门诊手术治疗</w:t>
                        </w:r>
                      </w:p>
                    </w:tc>
                  </w:tr>
                  <w:tr>
                    <w:trPr>
                      <w:trHeight w:val="877" w:hRule="atLeast"/>
                    </w:trPr>
                    <w:tc>
                      <w:tcPr>
                        <w:tcW w:w="3291" w:type="dxa"/>
                      </w:tcPr>
                      <w:p>
                        <w:pPr>
                          <w:pStyle w:val="TableParagraph"/>
                          <w:spacing w:line="244" w:lineRule="auto" w:before="61"/>
                          <w:ind w:left="107" w:right="96"/>
                          <w:rPr>
                            <w:sz w:val="21"/>
                          </w:rPr>
                        </w:pPr>
                        <w:r>
                          <w:rPr>
                            <w:sz w:val="21"/>
                          </w:rPr>
                          <w:t>3.</w:t>
                        </w:r>
                        <w:r>
                          <w:rPr>
                            <w:spacing w:val="-4"/>
                            <w:sz w:val="21"/>
                          </w:rPr>
                          <w:t> 住院前后</w:t>
                        </w:r>
                        <w:r>
                          <w:rPr>
                            <w:b/>
                            <w:sz w:val="21"/>
                          </w:rPr>
                          <w:t>门急诊医疗费用</w:t>
                        </w:r>
                        <w:r>
                          <w:rPr>
                            <w:sz w:val="21"/>
                          </w:rPr>
                          <w:t>（</w:t>
                        </w:r>
                        <w:r>
                          <w:rPr>
                            <w:sz w:val="21"/>
                          </w:rPr>
                          <w:t>见 </w:t>
                        </w:r>
                        <w:r>
                          <w:rPr>
                            <w:spacing w:val="-2"/>
                            <w:sz w:val="21"/>
                          </w:rPr>
                          <w:t>8.22）</w:t>
                        </w:r>
                      </w:p>
                    </w:tc>
                    <w:tc>
                      <w:tcPr>
                        <w:tcW w:w="4275" w:type="dxa"/>
                      </w:tcPr>
                      <w:p>
                        <w:pPr>
                          <w:pStyle w:val="TableParagraph"/>
                          <w:spacing w:before="61"/>
                          <w:ind w:left="105"/>
                          <w:rPr>
                            <w:rFonts w:ascii="黑体" w:eastAsia="黑体"/>
                            <w:sz w:val="21"/>
                          </w:rPr>
                        </w:pPr>
                        <w:r>
                          <w:rPr>
                            <w:rFonts w:ascii="黑体" w:eastAsia="黑体"/>
                            <w:spacing w:val="-13"/>
                            <w:sz w:val="21"/>
                          </w:rPr>
                          <w:t>在住院前 </w:t>
                        </w:r>
                        <w:r>
                          <w:rPr>
                            <w:rFonts w:ascii="黑体" w:eastAsia="黑体"/>
                            <w:spacing w:val="-4"/>
                            <w:sz w:val="21"/>
                          </w:rPr>
                          <w:t>7</w:t>
                        </w:r>
                        <w:r>
                          <w:rPr>
                            <w:rFonts w:ascii="黑体" w:eastAsia="黑体"/>
                            <w:spacing w:val="-27"/>
                            <w:sz w:val="21"/>
                          </w:rPr>
                          <w:t> 日</w:t>
                        </w:r>
                        <w:r>
                          <w:rPr>
                            <w:rFonts w:ascii="黑体" w:eastAsia="黑体"/>
                            <w:spacing w:val="-4"/>
                            <w:sz w:val="21"/>
                          </w:rPr>
                          <w:t>（含住院当日）</w:t>
                        </w:r>
                        <w:r>
                          <w:rPr>
                            <w:rFonts w:ascii="黑体" w:eastAsia="黑体"/>
                            <w:spacing w:val="-14"/>
                            <w:sz w:val="21"/>
                          </w:rPr>
                          <w:t>和出院后 </w:t>
                        </w:r>
                        <w:r>
                          <w:rPr>
                            <w:rFonts w:ascii="黑体" w:eastAsia="黑体"/>
                            <w:spacing w:val="-4"/>
                            <w:sz w:val="21"/>
                          </w:rPr>
                          <w:t>30</w:t>
                        </w:r>
                        <w:r>
                          <w:rPr>
                            <w:rFonts w:ascii="黑体" w:eastAsia="黑体"/>
                            <w:spacing w:val="-29"/>
                            <w:sz w:val="21"/>
                          </w:rPr>
                          <w:t> 日</w:t>
                        </w:r>
                      </w:p>
                      <w:p>
                        <w:pPr>
                          <w:pStyle w:val="TableParagraph"/>
                          <w:spacing w:line="270" w:lineRule="atLeast"/>
                          <w:ind w:left="105" w:right="99"/>
                          <w:rPr>
                            <w:rFonts w:ascii="黑体" w:eastAsia="黑体"/>
                            <w:sz w:val="21"/>
                          </w:rPr>
                        </w:pPr>
                        <w:r>
                          <w:rPr>
                            <w:rFonts w:ascii="黑体" w:eastAsia="黑体"/>
                            <w:spacing w:val="-2"/>
                            <w:sz w:val="21"/>
                          </w:rPr>
                          <w:t>（含出院当日）接受与该住院原因相同的门</w:t>
                        </w:r>
                        <w:r>
                          <w:rPr>
                            <w:rFonts w:ascii="黑体" w:eastAsia="黑体"/>
                            <w:spacing w:val="-4"/>
                            <w:sz w:val="21"/>
                          </w:rPr>
                          <w:t>急诊治疗</w:t>
                        </w:r>
                      </w:p>
                    </w:tc>
                  </w:tr>
                </w:tbl>
                <w:p>
                  <w:pPr>
                    <w:pStyle w:val="BodyText"/>
                  </w:pPr>
                </w:p>
              </w:txbxContent>
            </v:textbox>
            <w10:wrap type="none"/>
          </v:shape>
        </w:pict>
      </w:r>
      <w:r>
        <w:rPr>
          <w:rFonts w:ascii="黑体" w:eastAsia="黑体"/>
          <w:spacing w:val="3"/>
          <w:w w:val="100"/>
        </w:rPr>
        <w:t>住院前后门急诊医疗费用不包括被保险人接受特殊门诊治疗而发生的门诊医疗费用。</w:t>
      </w:r>
    </w:p>
    <w:p>
      <w:pPr>
        <w:pStyle w:val="BodyText"/>
        <w:spacing w:line="242" w:lineRule="auto" w:before="57"/>
        <w:ind w:left="372" w:right="370"/>
        <w:jc w:val="both"/>
        <w:rPr>
          <w:rFonts w:ascii="黑体" w:eastAsia="黑体"/>
        </w:rPr>
      </w:pPr>
      <w:r>
        <w:rPr>
          <w:rFonts w:ascii="黑体" w:eastAsia="黑体"/>
          <w:spacing w:val="-2"/>
        </w:rPr>
        <w:t>对于同一次住院治疗或者本合同保险期间内多次住院治疗，累计给付天数最高以 180</w:t>
      </w:r>
      <w:r>
        <w:rPr>
          <w:rFonts w:ascii="黑体" w:eastAsia="黑体"/>
          <w:spacing w:val="-6"/>
        </w:rPr>
        <w:t> 日为限，本合同保险期间内累计住院超过 </w:t>
      </w:r>
      <w:r>
        <w:rPr>
          <w:rFonts w:ascii="黑体" w:eastAsia="黑体"/>
          <w:spacing w:val="-2"/>
        </w:rPr>
        <w:t>180</w:t>
      </w:r>
      <w:r>
        <w:rPr>
          <w:rFonts w:ascii="黑体" w:eastAsia="黑体"/>
          <w:spacing w:val="-5"/>
        </w:rPr>
        <w:t> 日发生的医疗费用，不属于保险</w:t>
      </w:r>
      <w:r>
        <w:rPr>
          <w:rFonts w:ascii="黑体" w:eastAsia="黑体"/>
          <w:spacing w:val="-2"/>
        </w:rPr>
        <w:t>责任范围。</w:t>
      </w:r>
    </w:p>
    <w:p>
      <w:pPr>
        <w:pStyle w:val="BodyText"/>
        <w:spacing w:line="242" w:lineRule="auto" w:before="61"/>
        <w:ind w:left="372" w:right="265"/>
        <w:rPr>
          <w:rFonts w:ascii="黑体" w:eastAsia="黑体"/>
        </w:rPr>
      </w:pPr>
      <w:r>
        <w:rPr>
          <w:spacing w:val="-7"/>
        </w:rPr>
        <w:t>如果被保险人接受保险责任范围内的住院治疗，且在本合同期满日治疗仍未结束的，</w:t>
      </w:r>
      <w:r>
        <w:rPr>
          <w:spacing w:val="-2"/>
        </w:rPr>
        <w:t>对于被保险人该次住院治疗在本合同期满日次日起 </w:t>
      </w:r>
      <w:r>
        <w:rPr/>
        <w:t>30</w:t>
      </w:r>
      <w:r>
        <w:rPr>
          <w:spacing w:val="-12"/>
        </w:rPr>
        <w:t> 日内发生的医疗费用，我们仍</w:t>
      </w:r>
      <w:r>
        <w:rPr/>
        <w:t>在本合同约定的保险责任范围内承担给付医疗保险金的责任, </w:t>
      </w:r>
      <w:r>
        <w:rPr>
          <w:rFonts w:ascii="黑体" w:eastAsia="黑体"/>
        </w:rPr>
        <w:t>对于被保险人该次住</w:t>
      </w:r>
      <w:r>
        <w:rPr>
          <w:rFonts w:ascii="黑体" w:eastAsia="黑体"/>
          <w:spacing w:val="-2"/>
        </w:rPr>
        <w:t>院治疗在本合同期满日次日起 </w:t>
      </w:r>
      <w:r>
        <w:rPr>
          <w:rFonts w:ascii="黑体" w:eastAsia="黑体"/>
        </w:rPr>
        <w:t>30</w:t>
      </w:r>
      <w:r>
        <w:rPr>
          <w:rFonts w:ascii="黑体" w:eastAsia="黑体"/>
          <w:spacing w:val="-12"/>
        </w:rPr>
        <w:t> 日后发生的医疗费用，我们不再承担给付医疗保险</w:t>
      </w:r>
      <w:r>
        <w:rPr>
          <w:rFonts w:ascii="黑体" w:eastAsia="黑体"/>
          <w:spacing w:val="-2"/>
        </w:rPr>
        <w:t>金的责任。</w:t>
      </w:r>
    </w:p>
    <w:p>
      <w:pPr>
        <w:spacing w:after="0" w:line="242" w:lineRule="auto"/>
        <w:rPr>
          <w:rFonts w:ascii="黑体" w:eastAsia="黑体"/>
        </w:rPr>
        <w:sectPr>
          <w:type w:val="continuous"/>
          <w:pgSz w:w="11910" w:h="16850"/>
          <w:pgMar w:top="520" w:bottom="280" w:left="620" w:right="720"/>
          <w:cols w:num="2" w:equalWidth="0">
            <w:col w:w="2196" w:space="40"/>
            <w:col w:w="8334"/>
          </w:cols>
        </w:sectPr>
      </w:pPr>
    </w:p>
    <w:p>
      <w:pPr>
        <w:pStyle w:val="BodyText"/>
        <w:spacing w:before="9"/>
        <w:rPr>
          <w:rFonts w:ascii="黑体"/>
          <w:sz w:val="12"/>
        </w:rPr>
      </w:pPr>
    </w:p>
    <w:p>
      <w:pPr>
        <w:tabs>
          <w:tab w:pos="2608" w:val="left" w:leader="none"/>
        </w:tabs>
        <w:spacing w:before="4"/>
        <w:ind w:left="1139" w:right="0" w:firstLine="0"/>
        <w:jc w:val="left"/>
        <w:rPr>
          <w:rFonts w:ascii="黑体" w:eastAsia="黑体"/>
          <w:sz w:val="21"/>
        </w:rPr>
      </w:pPr>
      <w:r>
        <w:rPr>
          <w:rFonts w:ascii="Microsoft JhengHei" w:eastAsia="Microsoft JhengHei"/>
          <w:b/>
          <w:position w:val="1"/>
          <w:sz w:val="21"/>
        </w:rPr>
        <w:t>医疗保险</w:t>
      </w:r>
      <w:r>
        <w:rPr>
          <w:rFonts w:ascii="Microsoft JhengHei" w:eastAsia="Microsoft JhengHei"/>
          <w:b/>
          <w:spacing w:val="-10"/>
          <w:position w:val="1"/>
          <w:sz w:val="21"/>
        </w:rPr>
        <w:t>金</w:t>
      </w:r>
      <w:r>
        <w:rPr>
          <w:rFonts w:ascii="Microsoft JhengHei" w:eastAsia="Microsoft JhengHei"/>
          <w:b/>
          <w:position w:val="1"/>
          <w:sz w:val="21"/>
        </w:rPr>
        <w:tab/>
      </w:r>
      <w:r>
        <w:rPr>
          <w:rFonts w:ascii="黑体" w:eastAsia="黑体"/>
          <w:spacing w:val="-2"/>
          <w:sz w:val="21"/>
        </w:rPr>
        <w:t>一</w:t>
      </w:r>
      <w:r>
        <w:rPr>
          <w:rFonts w:ascii="黑体" w:eastAsia="黑体"/>
          <w:spacing w:val="-2"/>
          <w:sz w:val="21"/>
        </w:rPr>
        <w:t>、</w:t>
      </w:r>
      <w:r>
        <w:rPr>
          <w:rFonts w:ascii="黑体" w:eastAsia="黑体"/>
          <w:spacing w:val="-2"/>
          <w:sz w:val="21"/>
        </w:rPr>
        <w:t>重大疾病医疗保险金</w:t>
      </w:r>
      <w:r>
        <w:rPr>
          <w:rFonts w:ascii="黑体" w:eastAsia="黑体"/>
          <w:spacing w:val="-2"/>
          <w:sz w:val="21"/>
        </w:rPr>
        <w:t>的</w:t>
      </w:r>
      <w:r>
        <w:rPr>
          <w:rFonts w:ascii="黑体" w:eastAsia="黑体"/>
          <w:spacing w:val="-2"/>
          <w:sz w:val="21"/>
        </w:rPr>
        <w:t>计</w:t>
      </w:r>
      <w:r>
        <w:rPr>
          <w:rFonts w:ascii="黑体" w:eastAsia="黑体"/>
          <w:spacing w:val="-2"/>
          <w:sz w:val="21"/>
        </w:rPr>
        <w:t>算</w:t>
      </w:r>
      <w:r>
        <w:rPr>
          <w:rFonts w:ascii="黑体" w:eastAsia="黑体"/>
          <w:spacing w:val="-2"/>
          <w:sz w:val="21"/>
        </w:rPr>
        <w:t>方</w:t>
      </w:r>
      <w:r>
        <w:rPr>
          <w:rFonts w:ascii="黑体" w:eastAsia="黑体"/>
          <w:spacing w:val="-10"/>
          <w:sz w:val="21"/>
        </w:rPr>
        <w:t>法</w:t>
      </w:r>
    </w:p>
    <w:p>
      <w:pPr>
        <w:spacing w:after="0"/>
        <w:jc w:val="left"/>
        <w:rPr>
          <w:rFonts w:ascii="黑体" w:eastAsia="黑体"/>
          <w:sz w:val="21"/>
        </w:rPr>
        <w:sectPr>
          <w:type w:val="continuous"/>
          <w:pgSz w:w="11910" w:h="16850"/>
          <w:pgMar w:top="520" w:bottom="280" w:left="620" w:right="720"/>
        </w:sectPr>
      </w:pPr>
    </w:p>
    <w:p>
      <w:pPr>
        <w:pStyle w:val="Heading3"/>
        <w:spacing w:line="348" w:lineRule="exact" w:before="0"/>
        <w:ind w:firstLine="0"/>
        <w:rPr>
          <w:rFonts w:ascii="Microsoft JhengHei" w:eastAsia="Microsoft JhengHei"/>
        </w:rPr>
      </w:pPr>
      <w:r>
        <w:rPr>
          <w:rFonts w:ascii="Microsoft JhengHei" w:eastAsia="Microsoft JhengHei"/>
          <w:spacing w:val="-2"/>
        </w:rPr>
        <w:t>的计算方法</w:t>
      </w:r>
    </w:p>
    <w:p>
      <w:pPr>
        <w:pStyle w:val="BodyText"/>
        <w:spacing w:line="247" w:lineRule="exact"/>
        <w:ind w:left="1139"/>
      </w:pPr>
      <w:r>
        <w:rPr/>
        <w:t>（</w:t>
      </w:r>
      <w:r>
        <w:rPr>
          <w:spacing w:val="-27"/>
        </w:rPr>
        <w:t>见 </w:t>
      </w:r>
      <w:r>
        <w:rPr>
          <w:spacing w:val="-2"/>
        </w:rPr>
        <w:t>8.23）</w:t>
      </w:r>
    </w:p>
    <w:p>
      <w:pPr>
        <w:pStyle w:val="BodyText"/>
        <w:spacing w:line="242" w:lineRule="auto" w:before="113"/>
        <w:ind w:left="324" w:right="370"/>
        <w:jc w:val="both"/>
        <w:rPr>
          <w:rFonts w:ascii="黑体" w:hAnsi="黑体" w:eastAsia="黑体"/>
        </w:rPr>
      </w:pPr>
      <w:r>
        <w:rPr/>
        <w:br w:type="column"/>
      </w:r>
      <w:r>
        <w:rPr>
          <w:rFonts w:ascii="黑体" w:hAnsi="黑体" w:eastAsia="黑体"/>
          <w:spacing w:val="-4"/>
        </w:rPr>
        <w:t>重大疾病医疗保险金＝（每次治疗发生的重大疾病合理医疗费用-每次治疗从社会基</w:t>
      </w:r>
      <w:r>
        <w:rPr>
          <w:rFonts w:ascii="黑体" w:hAnsi="黑体" w:eastAsia="黑体"/>
          <w:spacing w:val="-2"/>
        </w:rPr>
        <w:t>本医疗保险和公费医疗已获得的重大疾病医疗费用补偿金额）×每次治疗对应的给</w:t>
      </w:r>
      <w:r>
        <w:rPr>
          <w:rFonts w:ascii="黑体" w:hAnsi="黑体" w:eastAsia="黑体"/>
          <w:spacing w:val="-4"/>
        </w:rPr>
        <w:t>付比例</w:t>
      </w:r>
    </w:p>
    <w:p>
      <w:pPr>
        <w:pStyle w:val="BodyText"/>
        <w:spacing w:before="63"/>
        <w:ind w:left="324"/>
      </w:pPr>
      <w:r>
        <w:rPr>
          <w:spacing w:val="-3"/>
        </w:rPr>
        <w:t>其中每次治疗对应的给付比例按照以下方式确定：</w:t>
      </w:r>
    </w:p>
    <w:tbl>
      <w:tblPr>
        <w:tblW w:w="0" w:type="auto"/>
        <w:jc w:val="left"/>
        <w:tblInd w:w="3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374"/>
        <w:gridCol w:w="1198"/>
      </w:tblGrid>
      <w:tr>
        <w:trPr>
          <w:trHeight w:val="333" w:hRule="atLeast"/>
        </w:trPr>
        <w:tc>
          <w:tcPr>
            <w:tcW w:w="6374" w:type="dxa"/>
          </w:tcPr>
          <w:p>
            <w:pPr>
              <w:pStyle w:val="TableParagraph"/>
              <w:spacing w:line="250" w:lineRule="exact" w:before="63"/>
              <w:ind w:left="2754" w:right="2746"/>
              <w:jc w:val="center"/>
              <w:rPr>
                <w:rFonts w:ascii="黑体" w:eastAsia="黑体"/>
                <w:sz w:val="21"/>
              </w:rPr>
            </w:pPr>
            <w:r>
              <w:rPr>
                <w:rFonts w:ascii="黑体" w:eastAsia="黑体"/>
                <w:spacing w:val="-4"/>
                <w:sz w:val="21"/>
              </w:rPr>
              <w:t>给付条件</w:t>
            </w:r>
          </w:p>
        </w:tc>
        <w:tc>
          <w:tcPr>
            <w:tcW w:w="1198" w:type="dxa"/>
          </w:tcPr>
          <w:p>
            <w:pPr>
              <w:pStyle w:val="TableParagraph"/>
              <w:spacing w:line="250" w:lineRule="exact" w:before="63"/>
              <w:ind w:left="105"/>
              <w:rPr>
                <w:rFonts w:ascii="黑体" w:eastAsia="黑体"/>
                <w:sz w:val="21"/>
              </w:rPr>
            </w:pPr>
            <w:r>
              <w:rPr>
                <w:rFonts w:ascii="黑体" w:eastAsia="黑体"/>
                <w:spacing w:val="-4"/>
                <w:sz w:val="21"/>
              </w:rPr>
              <w:t>给付比例</w:t>
            </w:r>
          </w:p>
        </w:tc>
      </w:tr>
      <w:tr>
        <w:trPr>
          <w:trHeight w:val="604" w:hRule="atLeast"/>
        </w:trPr>
        <w:tc>
          <w:tcPr>
            <w:tcW w:w="6374" w:type="dxa"/>
          </w:tcPr>
          <w:p>
            <w:pPr>
              <w:pStyle w:val="TableParagraph"/>
              <w:spacing w:line="270" w:lineRule="atLeast" w:before="44"/>
              <w:ind w:left="107" w:right="100"/>
              <w:rPr>
                <w:sz w:val="21"/>
              </w:rPr>
            </w:pPr>
            <w:r>
              <w:rPr>
                <w:spacing w:val="-2"/>
                <w:sz w:val="21"/>
              </w:rPr>
              <w:t>如果被保险人以拥有社会基本医疗保险、公费医疗的状态投保，且</w:t>
            </w:r>
            <w:r>
              <w:rPr>
                <w:spacing w:val="-2"/>
                <w:sz w:val="21"/>
              </w:rPr>
              <w:t>已从社会基本医疗保险或者公费医疗获得该次治疗的医疗费用补偿</w:t>
            </w:r>
          </w:p>
        </w:tc>
        <w:tc>
          <w:tcPr>
            <w:tcW w:w="1198" w:type="dxa"/>
          </w:tcPr>
          <w:p>
            <w:pPr>
              <w:pStyle w:val="TableParagraph"/>
              <w:spacing w:before="5"/>
              <w:rPr>
                <w:sz w:val="15"/>
              </w:rPr>
            </w:pPr>
          </w:p>
          <w:p>
            <w:pPr>
              <w:pStyle w:val="TableParagraph"/>
              <w:ind w:left="385"/>
              <w:rPr>
                <w:rFonts w:ascii="黑体"/>
                <w:sz w:val="21"/>
              </w:rPr>
            </w:pPr>
            <w:r>
              <w:rPr>
                <w:rFonts w:ascii="黑体"/>
                <w:spacing w:val="-4"/>
                <w:sz w:val="21"/>
              </w:rPr>
              <w:t>100%</w:t>
            </w:r>
          </w:p>
        </w:tc>
      </w:tr>
      <w:tr>
        <w:trPr>
          <w:trHeight w:val="604" w:hRule="atLeast"/>
        </w:trPr>
        <w:tc>
          <w:tcPr>
            <w:tcW w:w="6374" w:type="dxa"/>
          </w:tcPr>
          <w:p>
            <w:pPr>
              <w:pStyle w:val="TableParagraph"/>
              <w:spacing w:line="270" w:lineRule="atLeast" w:before="44"/>
              <w:ind w:left="107" w:right="97"/>
              <w:rPr>
                <w:rFonts w:ascii="黑体" w:eastAsia="黑体"/>
                <w:sz w:val="21"/>
              </w:rPr>
            </w:pPr>
            <w:r>
              <w:rPr>
                <w:rFonts w:ascii="黑体" w:eastAsia="黑体"/>
                <w:spacing w:val="-2"/>
                <w:sz w:val="21"/>
              </w:rPr>
              <w:t>如果被保险人以拥有社会基本医疗保险、公费医疗的状态投保，但</w:t>
            </w:r>
            <w:r>
              <w:rPr>
                <w:rFonts w:ascii="黑体" w:eastAsia="黑体"/>
                <w:spacing w:val="-2"/>
                <w:sz w:val="21"/>
              </w:rPr>
              <w:t>未从社会基本医疗保险或者公费医疗获得该次治疗的医疗费用补偿</w:t>
            </w:r>
          </w:p>
        </w:tc>
        <w:tc>
          <w:tcPr>
            <w:tcW w:w="1198" w:type="dxa"/>
          </w:tcPr>
          <w:p>
            <w:pPr>
              <w:pStyle w:val="TableParagraph"/>
              <w:spacing w:before="5"/>
              <w:rPr>
                <w:sz w:val="15"/>
              </w:rPr>
            </w:pPr>
          </w:p>
          <w:p>
            <w:pPr>
              <w:pStyle w:val="TableParagraph"/>
              <w:ind w:left="427" w:right="421"/>
              <w:jc w:val="center"/>
              <w:rPr>
                <w:rFonts w:ascii="黑体"/>
                <w:sz w:val="21"/>
              </w:rPr>
            </w:pPr>
            <w:r>
              <w:rPr>
                <w:rFonts w:ascii="黑体"/>
                <w:spacing w:val="-5"/>
                <w:sz w:val="21"/>
              </w:rPr>
              <w:t>60%</w:t>
            </w:r>
          </w:p>
        </w:tc>
      </w:tr>
      <w:tr>
        <w:trPr>
          <w:trHeight w:val="333" w:hRule="atLeast"/>
        </w:trPr>
        <w:tc>
          <w:tcPr>
            <w:tcW w:w="6374" w:type="dxa"/>
          </w:tcPr>
          <w:p>
            <w:pPr>
              <w:pStyle w:val="TableParagraph"/>
              <w:spacing w:line="252" w:lineRule="exact" w:before="61"/>
              <w:ind w:left="107"/>
              <w:rPr>
                <w:sz w:val="21"/>
              </w:rPr>
            </w:pPr>
            <w:r>
              <w:rPr>
                <w:spacing w:val="-3"/>
                <w:sz w:val="21"/>
              </w:rPr>
              <w:t>如果被保险人以无社会基本医疗保险、公费医疗的状态投保</w:t>
            </w:r>
          </w:p>
        </w:tc>
        <w:tc>
          <w:tcPr>
            <w:tcW w:w="1198" w:type="dxa"/>
          </w:tcPr>
          <w:p>
            <w:pPr>
              <w:pStyle w:val="TableParagraph"/>
              <w:spacing w:line="252" w:lineRule="exact" w:before="61"/>
              <w:ind w:left="385"/>
              <w:rPr>
                <w:rFonts w:ascii="黑体"/>
                <w:sz w:val="21"/>
              </w:rPr>
            </w:pPr>
            <w:r>
              <w:rPr>
                <w:rFonts w:ascii="黑体"/>
                <w:spacing w:val="-4"/>
                <w:sz w:val="21"/>
              </w:rPr>
              <w:t>100%</w:t>
            </w:r>
          </w:p>
        </w:tc>
      </w:tr>
    </w:tbl>
    <w:p>
      <w:pPr>
        <w:pStyle w:val="BodyText"/>
        <w:spacing w:line="244" w:lineRule="auto" w:before="62"/>
        <w:ind w:left="324" w:right="373"/>
        <w:rPr>
          <w:rFonts w:ascii="黑体" w:eastAsia="黑体"/>
        </w:rPr>
      </w:pPr>
      <w:r>
        <w:rPr>
          <w:rFonts w:ascii="黑体" w:eastAsia="黑体"/>
          <w:spacing w:val="-2"/>
        </w:rPr>
        <w:t>被保险人住院及与该住院原因相同的住院前后门急诊可视为同一次治疗，特殊门诊</w:t>
      </w:r>
      <w:r>
        <w:rPr>
          <w:rFonts w:ascii="黑体" w:eastAsia="黑体"/>
          <w:spacing w:val="-2"/>
        </w:rPr>
        <w:t>不可与住院及住院前后门急诊视为同一次治疗。</w:t>
      </w:r>
    </w:p>
    <w:p>
      <w:pPr>
        <w:pStyle w:val="BodyText"/>
        <w:spacing w:before="56"/>
        <w:ind w:left="324"/>
        <w:rPr>
          <w:rFonts w:ascii="黑体" w:eastAsia="黑体"/>
        </w:rPr>
      </w:pPr>
      <w:r>
        <w:rPr>
          <w:rFonts w:ascii="黑体" w:eastAsia="黑体"/>
          <w:spacing w:val="-3"/>
        </w:rPr>
        <w:t>二、非因重大疾病医疗保险金的计算方法：</w:t>
      </w:r>
    </w:p>
    <w:p>
      <w:pPr>
        <w:pStyle w:val="BodyText"/>
        <w:spacing w:line="242" w:lineRule="auto" w:before="77"/>
        <w:ind w:left="324" w:right="370"/>
        <w:jc w:val="both"/>
        <w:rPr>
          <w:rFonts w:ascii="黑体" w:eastAsia="黑体"/>
        </w:rPr>
      </w:pPr>
      <w:r>
        <w:rPr>
          <w:rFonts w:ascii="黑体" w:eastAsia="黑体"/>
          <w:spacing w:val="-3"/>
          <w:w w:val="100"/>
        </w:rPr>
        <w:t>非因重大疾病医疗保险金</w:t>
      </w:r>
      <w:r>
        <w:rPr>
          <w:rFonts w:ascii="黑体" w:eastAsia="黑体"/>
          <w:w w:val="100"/>
        </w:rPr>
        <w:t>＝</w:t>
      </w:r>
      <w:r>
        <w:rPr>
          <w:rFonts w:ascii="黑体" w:eastAsia="黑体"/>
          <w:spacing w:val="-3"/>
          <w:w w:val="100"/>
        </w:rPr>
        <w:t>本合同保险期间内累计的按比例计算的非因重大疾病合理医疗费用-非因重大疾病医疗保险金的年度免赔额-本合同保险期间内累计从社会</w:t>
      </w:r>
      <w:r>
        <w:rPr>
          <w:rFonts w:ascii="黑体" w:eastAsia="黑体"/>
          <w:spacing w:val="2"/>
          <w:w w:val="100"/>
        </w:rPr>
        <w:t>基本医疗保险和公费医疗已获得的非因重大疾病医疗费用补偿金额-本合同保险期</w:t>
      </w:r>
      <w:r>
        <w:rPr>
          <w:rFonts w:ascii="黑体" w:eastAsia="黑体"/>
          <w:spacing w:val="-3"/>
          <w:w w:val="100"/>
        </w:rPr>
        <w:t>间内累计我们已给付的非因重大疾病医疗保险金</w:t>
      </w:r>
    </w:p>
    <w:p>
      <w:pPr>
        <w:pStyle w:val="BodyText"/>
        <w:spacing w:before="60"/>
        <w:ind w:left="324"/>
      </w:pPr>
      <w:r>
        <w:rPr>
          <w:spacing w:val="-4"/>
        </w:rPr>
        <w:t>其中：</w:t>
      </w:r>
    </w:p>
    <w:p>
      <w:pPr>
        <w:pStyle w:val="ListParagraph"/>
        <w:numPr>
          <w:ilvl w:val="0"/>
          <w:numId w:val="6"/>
        </w:numPr>
        <w:tabs>
          <w:tab w:pos="1045" w:val="left" w:leader="none"/>
        </w:tabs>
        <w:spacing w:line="240" w:lineRule="auto" w:before="64" w:after="0"/>
        <w:ind w:left="1044" w:right="0" w:hanging="721"/>
        <w:jc w:val="left"/>
        <w:rPr>
          <w:rFonts w:ascii="黑体" w:eastAsia="黑体"/>
          <w:sz w:val="20"/>
        </w:rPr>
      </w:pPr>
      <w:r>
        <w:rPr>
          <w:rFonts w:ascii="黑体" w:eastAsia="黑体"/>
          <w:spacing w:val="-3"/>
          <w:sz w:val="21"/>
        </w:rPr>
        <w:t>按比例计算的非因重大疾病合理医疗费用按照以下方式确定：</w:t>
      </w:r>
    </w:p>
    <w:p>
      <w:pPr>
        <w:pStyle w:val="BodyText"/>
        <w:spacing w:line="244" w:lineRule="auto" w:before="63"/>
        <w:ind w:left="1059" w:right="375"/>
        <w:rPr>
          <w:rFonts w:ascii="黑体" w:hAnsi="黑体" w:eastAsia="黑体"/>
        </w:rPr>
      </w:pPr>
      <w:r>
        <w:rPr>
          <w:rFonts w:ascii="黑体" w:hAnsi="黑体" w:eastAsia="黑体"/>
          <w:spacing w:val="-2"/>
        </w:rPr>
        <w:t>按比例计算的非因重大疾病合理医疗费用=每次治疗发生的非因重大疾病合</w:t>
      </w:r>
      <w:r>
        <w:rPr>
          <w:rFonts w:ascii="黑体" w:hAnsi="黑体" w:eastAsia="黑体"/>
          <w:spacing w:val="-2"/>
        </w:rPr>
        <w:t>理医疗费用×每次治疗对应的给付比例</w:t>
      </w:r>
    </w:p>
    <w:p>
      <w:pPr>
        <w:pStyle w:val="BodyText"/>
        <w:spacing w:line="244" w:lineRule="auto" w:before="56"/>
        <w:ind w:left="1059" w:right="376"/>
        <w:rPr>
          <w:rFonts w:ascii="黑体" w:eastAsia="黑体"/>
        </w:rPr>
      </w:pPr>
      <w:r>
        <w:rPr>
          <w:rFonts w:ascii="黑体" w:eastAsia="黑体"/>
          <w:spacing w:val="-2"/>
        </w:rPr>
        <w:t>该给付比例的确定方法同重大疾病医疗保险金的计算方法中给付比例的确</w:t>
      </w:r>
      <w:r>
        <w:rPr>
          <w:rFonts w:ascii="黑体" w:eastAsia="黑体"/>
          <w:spacing w:val="-4"/>
        </w:rPr>
        <w:t>定方法。</w:t>
      </w:r>
    </w:p>
    <w:p>
      <w:pPr>
        <w:pStyle w:val="ListParagraph"/>
        <w:numPr>
          <w:ilvl w:val="0"/>
          <w:numId w:val="6"/>
        </w:numPr>
        <w:tabs>
          <w:tab w:pos="1062" w:val="left" w:leader="none"/>
        </w:tabs>
        <w:spacing w:line="240" w:lineRule="auto" w:before="19" w:after="0"/>
        <w:ind w:left="1061" w:right="0" w:hanging="738"/>
        <w:jc w:val="left"/>
        <w:rPr>
          <w:rFonts w:ascii="黑体" w:eastAsia="黑体"/>
          <w:sz w:val="21"/>
        </w:rPr>
      </w:pPr>
      <w:r>
        <w:rPr>
          <w:rFonts w:ascii="黑体" w:eastAsia="黑体"/>
          <w:spacing w:val="-4"/>
          <w:sz w:val="21"/>
        </w:rPr>
        <w:t>本合同约定的非因重大疾病医疗保险金的年度免赔额见本合同附表 </w:t>
      </w:r>
      <w:r>
        <w:rPr>
          <w:rFonts w:ascii="黑体" w:eastAsia="黑体"/>
          <w:spacing w:val="-2"/>
          <w:sz w:val="21"/>
        </w:rPr>
        <w:t>1</w:t>
      </w:r>
      <w:r>
        <w:rPr>
          <w:rFonts w:ascii="黑体" w:eastAsia="黑体"/>
          <w:spacing w:val="-16"/>
          <w:sz w:val="21"/>
        </w:rPr>
        <w:t> 所示。</w:t>
      </w:r>
    </w:p>
    <w:p>
      <w:pPr>
        <w:spacing w:after="0" w:line="240" w:lineRule="auto"/>
        <w:jc w:val="left"/>
        <w:rPr>
          <w:rFonts w:ascii="黑体" w:eastAsia="黑体"/>
          <w:sz w:val="21"/>
        </w:rPr>
        <w:sectPr>
          <w:pgSz w:w="11910" w:h="16850"/>
          <w:pgMar w:top="1080" w:bottom="280" w:left="620" w:right="720"/>
          <w:cols w:num="2" w:equalWidth="0">
            <w:col w:w="2244" w:space="40"/>
            <w:col w:w="8286"/>
          </w:cols>
        </w:sectPr>
      </w:pPr>
    </w:p>
    <w:p>
      <w:pPr>
        <w:pStyle w:val="BodyText"/>
        <w:spacing w:before="10"/>
        <w:rPr>
          <w:rFonts w:ascii="黑体"/>
          <w:sz w:val="12"/>
        </w:rPr>
      </w:pPr>
    </w:p>
    <w:p>
      <w:pPr>
        <w:pStyle w:val="ListParagraph"/>
        <w:numPr>
          <w:ilvl w:val="3"/>
          <w:numId w:val="4"/>
        </w:numPr>
        <w:tabs>
          <w:tab w:pos="1140" w:val="left" w:leader="none"/>
        </w:tabs>
        <w:spacing w:line="242" w:lineRule="auto" w:before="72" w:after="0"/>
        <w:ind w:left="2608" w:right="373" w:hanging="2130"/>
        <w:jc w:val="both"/>
        <w:rPr>
          <w:rFonts w:ascii="黑体" w:eastAsia="黑体"/>
          <w:sz w:val="21"/>
        </w:rPr>
      </w:pPr>
      <w:r>
        <w:rPr>
          <w:b/>
          <w:spacing w:val="-1"/>
          <w:w w:val="100"/>
          <w:sz w:val="21"/>
        </w:rPr>
        <w:t>补偿原则</w:t>
      </w:r>
      <w:r>
        <w:rPr>
          <w:b/>
          <w:spacing w:val="-2"/>
          <w:sz w:val="21"/>
        </w:rPr>
        <w:t>      </w:t>
      </w:r>
      <w:r>
        <w:rPr>
          <w:rFonts w:ascii="黑体" w:eastAsia="黑体"/>
          <w:spacing w:val="-3"/>
          <w:w w:val="100"/>
          <w:sz w:val="21"/>
        </w:rPr>
        <w:t>我们在向受益人给付保险金时，若被保险人发生的属于本合同保险责任范围内的医</w:t>
      </w:r>
      <w:r>
        <w:rPr>
          <w:rFonts w:ascii="黑体" w:eastAsia="黑体"/>
          <w:spacing w:val="-4"/>
          <w:w w:val="100"/>
          <w:sz w:val="21"/>
        </w:rPr>
        <w:t>疗费用已通过其他途径获得了补偿，且其他途径的补偿金额与我们按本合同约定给</w:t>
      </w:r>
      <w:r>
        <w:rPr>
          <w:rFonts w:ascii="黑体" w:eastAsia="黑体"/>
          <w:spacing w:val="-4"/>
          <w:w w:val="100"/>
          <w:sz w:val="21"/>
        </w:rPr>
        <w:t>付的保险金之和超过了被保险人实际发生的医疗费用，我们将按被保险人实际发生的医疗费用扣除其他途径的补偿金额后的余额向受益人给付保险金，即包括本合同</w:t>
      </w:r>
      <w:r>
        <w:rPr>
          <w:rFonts w:ascii="黑体" w:eastAsia="黑体"/>
          <w:spacing w:val="3"/>
          <w:w w:val="100"/>
          <w:sz w:val="21"/>
        </w:rPr>
        <w:t>在内的各种途径所给付的所有补偿金额之和不得超过被保险人实际发生的医疗费用。</w:t>
      </w:r>
    </w:p>
    <w:p>
      <w:pPr>
        <w:pStyle w:val="BodyText"/>
        <w:spacing w:before="3"/>
        <w:rPr>
          <w:rFonts w:ascii="黑体"/>
          <w:sz w:val="18"/>
        </w:rPr>
      </w:pPr>
    </w:p>
    <w:p>
      <w:pPr>
        <w:pStyle w:val="ListParagraph"/>
        <w:numPr>
          <w:ilvl w:val="3"/>
          <w:numId w:val="4"/>
        </w:numPr>
        <w:tabs>
          <w:tab w:pos="1139" w:val="left" w:leader="none"/>
          <w:tab w:pos="1140" w:val="left" w:leader="none"/>
          <w:tab w:pos="2601" w:val="left" w:leader="none"/>
        </w:tabs>
        <w:spacing w:line="242" w:lineRule="auto" w:before="1" w:after="0"/>
        <w:ind w:left="2601" w:right="185" w:hanging="2122"/>
        <w:jc w:val="left"/>
        <w:rPr>
          <w:rFonts w:ascii="黑体" w:eastAsia="黑体"/>
          <w:sz w:val="21"/>
        </w:rPr>
      </w:pPr>
      <w:r>
        <w:rPr>
          <w:b/>
          <w:w w:val="100"/>
          <w:sz w:val="21"/>
        </w:rPr>
        <w:t>责任免除</w:t>
      </w:r>
      <w:r>
        <w:rPr>
          <w:b/>
          <w:sz w:val="21"/>
        </w:rPr>
        <w:tab/>
      </w:r>
      <w:r>
        <w:rPr>
          <w:rFonts w:ascii="黑体" w:eastAsia="黑体"/>
          <w:w w:val="100"/>
          <w:sz w:val="21"/>
        </w:rPr>
        <w:t>因下</w:t>
      </w:r>
      <w:r>
        <w:rPr>
          <w:rFonts w:ascii="黑体" w:eastAsia="黑体"/>
          <w:spacing w:val="-3"/>
          <w:w w:val="100"/>
          <w:sz w:val="21"/>
        </w:rPr>
        <w:t>列</w:t>
      </w:r>
      <w:r>
        <w:rPr>
          <w:rFonts w:ascii="黑体" w:eastAsia="黑体"/>
          <w:w w:val="100"/>
          <w:sz w:val="21"/>
        </w:rPr>
        <w:t>情</w:t>
      </w:r>
      <w:r>
        <w:rPr>
          <w:rFonts w:ascii="黑体" w:eastAsia="黑体"/>
          <w:spacing w:val="-3"/>
          <w:w w:val="100"/>
          <w:sz w:val="21"/>
        </w:rPr>
        <w:t>形</w:t>
      </w:r>
      <w:r>
        <w:rPr>
          <w:rFonts w:ascii="黑体" w:eastAsia="黑体"/>
          <w:w w:val="100"/>
          <w:sz w:val="21"/>
        </w:rPr>
        <w:t>之</w:t>
      </w:r>
      <w:r>
        <w:rPr>
          <w:rFonts w:ascii="黑体" w:eastAsia="黑体"/>
          <w:spacing w:val="-3"/>
          <w:w w:val="100"/>
          <w:sz w:val="21"/>
        </w:rPr>
        <w:t>一</w:t>
      </w:r>
      <w:r>
        <w:rPr>
          <w:rFonts w:ascii="黑体" w:eastAsia="黑体"/>
          <w:w w:val="100"/>
          <w:sz w:val="21"/>
        </w:rPr>
        <w:t>导</w:t>
      </w:r>
      <w:r>
        <w:rPr>
          <w:rFonts w:ascii="黑体" w:eastAsia="黑体"/>
          <w:spacing w:val="-3"/>
          <w:w w:val="100"/>
          <w:sz w:val="21"/>
        </w:rPr>
        <w:t>致</w:t>
      </w:r>
      <w:r>
        <w:rPr>
          <w:rFonts w:ascii="黑体" w:eastAsia="黑体"/>
          <w:w w:val="100"/>
          <w:sz w:val="21"/>
        </w:rPr>
        <w:t>被</w:t>
      </w:r>
      <w:r>
        <w:rPr>
          <w:rFonts w:ascii="黑体" w:eastAsia="黑体"/>
          <w:spacing w:val="-3"/>
          <w:w w:val="100"/>
          <w:sz w:val="21"/>
        </w:rPr>
        <w:t>保</w:t>
      </w:r>
      <w:r>
        <w:rPr>
          <w:rFonts w:ascii="黑体" w:eastAsia="黑体"/>
          <w:w w:val="100"/>
          <w:sz w:val="21"/>
        </w:rPr>
        <w:t>险人</w:t>
      </w:r>
      <w:r>
        <w:rPr>
          <w:rFonts w:ascii="黑体" w:eastAsia="黑体"/>
          <w:spacing w:val="-3"/>
          <w:w w:val="100"/>
          <w:sz w:val="21"/>
        </w:rPr>
        <w:t>发</w:t>
      </w:r>
      <w:r>
        <w:rPr>
          <w:rFonts w:ascii="黑体" w:eastAsia="黑体"/>
          <w:w w:val="100"/>
          <w:sz w:val="21"/>
        </w:rPr>
        <w:t>生</w:t>
      </w:r>
      <w:r>
        <w:rPr>
          <w:rFonts w:ascii="黑体" w:eastAsia="黑体"/>
          <w:spacing w:val="-3"/>
          <w:w w:val="100"/>
          <w:sz w:val="21"/>
        </w:rPr>
        <w:t>医</w:t>
      </w:r>
      <w:r>
        <w:rPr>
          <w:rFonts w:ascii="黑体" w:eastAsia="黑体"/>
          <w:w w:val="100"/>
          <w:sz w:val="21"/>
        </w:rPr>
        <w:t>疗</w:t>
      </w:r>
      <w:r>
        <w:rPr>
          <w:rFonts w:ascii="黑体" w:eastAsia="黑体"/>
          <w:spacing w:val="-3"/>
          <w:w w:val="100"/>
          <w:sz w:val="21"/>
        </w:rPr>
        <w:t>费</w:t>
      </w:r>
      <w:r>
        <w:rPr>
          <w:rFonts w:ascii="黑体" w:eastAsia="黑体"/>
          <w:w w:val="100"/>
          <w:sz w:val="21"/>
        </w:rPr>
        <w:t>用</w:t>
      </w:r>
      <w:r>
        <w:rPr>
          <w:rFonts w:ascii="黑体" w:eastAsia="黑体"/>
          <w:spacing w:val="-3"/>
          <w:w w:val="100"/>
          <w:sz w:val="21"/>
        </w:rPr>
        <w:t>的</w:t>
      </w:r>
      <w:r>
        <w:rPr>
          <w:rFonts w:ascii="黑体" w:eastAsia="黑体"/>
          <w:w w:val="100"/>
          <w:sz w:val="21"/>
        </w:rPr>
        <w:t>，</w:t>
      </w:r>
      <w:r>
        <w:rPr>
          <w:rFonts w:ascii="黑体" w:eastAsia="黑体"/>
          <w:spacing w:val="-3"/>
          <w:w w:val="100"/>
          <w:sz w:val="21"/>
        </w:rPr>
        <w:t>我</w:t>
      </w:r>
      <w:r>
        <w:rPr>
          <w:rFonts w:ascii="黑体" w:eastAsia="黑体"/>
          <w:w w:val="100"/>
          <w:sz w:val="21"/>
        </w:rPr>
        <w:t>们不</w:t>
      </w:r>
      <w:r>
        <w:rPr>
          <w:rFonts w:ascii="黑体" w:eastAsia="黑体"/>
          <w:spacing w:val="-3"/>
          <w:w w:val="100"/>
          <w:sz w:val="21"/>
        </w:rPr>
        <w:t>承</w:t>
      </w:r>
      <w:r>
        <w:rPr>
          <w:rFonts w:ascii="黑体" w:eastAsia="黑体"/>
          <w:w w:val="100"/>
          <w:sz w:val="21"/>
        </w:rPr>
        <w:t>担</w:t>
      </w:r>
      <w:r>
        <w:rPr>
          <w:rFonts w:ascii="黑体" w:eastAsia="黑体"/>
          <w:spacing w:val="-3"/>
          <w:w w:val="100"/>
          <w:sz w:val="21"/>
        </w:rPr>
        <w:t>给</w:t>
      </w:r>
      <w:r>
        <w:rPr>
          <w:rFonts w:ascii="黑体" w:eastAsia="黑体"/>
          <w:w w:val="100"/>
          <w:sz w:val="21"/>
        </w:rPr>
        <w:t>付</w:t>
      </w:r>
      <w:r>
        <w:rPr>
          <w:rFonts w:ascii="黑体" w:eastAsia="黑体"/>
          <w:spacing w:val="-3"/>
          <w:w w:val="100"/>
          <w:sz w:val="21"/>
        </w:rPr>
        <w:t>医</w:t>
      </w:r>
      <w:r>
        <w:rPr>
          <w:rFonts w:ascii="黑体" w:eastAsia="黑体"/>
          <w:w w:val="100"/>
          <w:sz w:val="21"/>
        </w:rPr>
        <w:t>疗</w:t>
      </w:r>
      <w:r>
        <w:rPr>
          <w:rFonts w:ascii="黑体" w:eastAsia="黑体"/>
          <w:spacing w:val="-3"/>
          <w:w w:val="100"/>
          <w:sz w:val="21"/>
        </w:rPr>
        <w:t>保</w:t>
      </w:r>
      <w:r>
        <w:rPr>
          <w:rFonts w:ascii="黑体" w:eastAsia="黑体"/>
          <w:w w:val="100"/>
          <w:sz w:val="21"/>
        </w:rPr>
        <w:t>险</w:t>
      </w:r>
      <w:r>
        <w:rPr>
          <w:rFonts w:ascii="黑体" w:eastAsia="黑体"/>
          <w:spacing w:val="-3"/>
          <w:w w:val="100"/>
          <w:sz w:val="21"/>
        </w:rPr>
        <w:t>金</w:t>
      </w:r>
      <w:r>
        <w:rPr>
          <w:rFonts w:ascii="黑体" w:eastAsia="黑体"/>
          <w:w w:val="100"/>
          <w:sz w:val="21"/>
        </w:rPr>
        <w:t>的责</w:t>
      </w:r>
      <w:r>
        <w:rPr>
          <w:rFonts w:ascii="黑体" w:eastAsia="黑体"/>
          <w:spacing w:val="-3"/>
          <w:w w:val="100"/>
          <w:sz w:val="21"/>
        </w:rPr>
        <w:t>任</w:t>
      </w:r>
      <w:r>
        <w:rPr>
          <w:rFonts w:ascii="黑体" w:eastAsia="黑体"/>
          <w:w w:val="100"/>
          <w:sz w:val="21"/>
        </w:rPr>
        <w:t>，且该</w:t>
      </w:r>
      <w:r>
        <w:rPr>
          <w:rFonts w:ascii="黑体" w:eastAsia="黑体"/>
          <w:spacing w:val="-3"/>
          <w:w w:val="100"/>
          <w:sz w:val="21"/>
        </w:rPr>
        <w:t>次</w:t>
      </w:r>
      <w:r>
        <w:rPr>
          <w:rFonts w:ascii="黑体" w:eastAsia="黑体"/>
          <w:w w:val="100"/>
          <w:sz w:val="21"/>
        </w:rPr>
        <w:t>发</w:t>
      </w:r>
      <w:r>
        <w:rPr>
          <w:rFonts w:ascii="黑体" w:eastAsia="黑体"/>
          <w:spacing w:val="-3"/>
          <w:w w:val="100"/>
          <w:sz w:val="21"/>
        </w:rPr>
        <w:t>生</w:t>
      </w:r>
      <w:r>
        <w:rPr>
          <w:rFonts w:ascii="黑体" w:eastAsia="黑体"/>
          <w:w w:val="100"/>
          <w:sz w:val="21"/>
        </w:rPr>
        <w:t>的</w:t>
      </w:r>
      <w:r>
        <w:rPr>
          <w:rFonts w:ascii="黑体" w:eastAsia="黑体"/>
          <w:spacing w:val="-3"/>
          <w:w w:val="100"/>
          <w:sz w:val="21"/>
        </w:rPr>
        <w:t>医</w:t>
      </w:r>
      <w:r>
        <w:rPr>
          <w:rFonts w:ascii="黑体" w:eastAsia="黑体"/>
          <w:w w:val="100"/>
          <w:sz w:val="21"/>
        </w:rPr>
        <w:t>疗</w:t>
      </w:r>
      <w:r>
        <w:rPr>
          <w:rFonts w:ascii="黑体" w:eastAsia="黑体"/>
          <w:spacing w:val="-3"/>
          <w:w w:val="100"/>
          <w:sz w:val="21"/>
        </w:rPr>
        <w:t>费</w:t>
      </w:r>
      <w:r>
        <w:rPr>
          <w:rFonts w:ascii="黑体" w:eastAsia="黑体"/>
          <w:w w:val="100"/>
          <w:sz w:val="21"/>
        </w:rPr>
        <w:t>用</w:t>
      </w:r>
      <w:r>
        <w:rPr>
          <w:rFonts w:ascii="黑体" w:eastAsia="黑体"/>
          <w:spacing w:val="-3"/>
          <w:w w:val="100"/>
          <w:sz w:val="21"/>
        </w:rPr>
        <w:t>不</w:t>
      </w:r>
      <w:r>
        <w:rPr>
          <w:rFonts w:ascii="黑体" w:eastAsia="黑体"/>
          <w:w w:val="100"/>
          <w:sz w:val="21"/>
        </w:rPr>
        <w:t>计入</w:t>
      </w:r>
      <w:r>
        <w:rPr>
          <w:rFonts w:ascii="黑体" w:eastAsia="黑体"/>
          <w:spacing w:val="-3"/>
          <w:w w:val="100"/>
          <w:sz w:val="21"/>
        </w:rPr>
        <w:t>本</w:t>
      </w:r>
      <w:r>
        <w:rPr>
          <w:rFonts w:ascii="黑体" w:eastAsia="黑体"/>
          <w:w w:val="100"/>
          <w:sz w:val="21"/>
        </w:rPr>
        <w:t>合</w:t>
      </w:r>
      <w:r>
        <w:rPr>
          <w:rFonts w:ascii="黑体" w:eastAsia="黑体"/>
          <w:spacing w:val="-3"/>
          <w:w w:val="100"/>
          <w:sz w:val="21"/>
        </w:rPr>
        <w:t>同</w:t>
      </w:r>
      <w:r>
        <w:rPr>
          <w:rFonts w:ascii="黑体" w:eastAsia="黑体"/>
          <w:w w:val="100"/>
          <w:sz w:val="21"/>
        </w:rPr>
        <w:t>保</w:t>
      </w:r>
      <w:r>
        <w:rPr>
          <w:rFonts w:ascii="黑体" w:eastAsia="黑体"/>
          <w:spacing w:val="-3"/>
          <w:w w:val="100"/>
          <w:sz w:val="21"/>
        </w:rPr>
        <w:t>险</w:t>
      </w:r>
      <w:r>
        <w:rPr>
          <w:rFonts w:ascii="黑体" w:eastAsia="黑体"/>
          <w:w w:val="100"/>
          <w:sz w:val="21"/>
        </w:rPr>
        <w:t>期</w:t>
      </w:r>
      <w:r>
        <w:rPr>
          <w:rFonts w:ascii="黑体" w:eastAsia="黑体"/>
          <w:spacing w:val="-3"/>
          <w:w w:val="100"/>
          <w:sz w:val="21"/>
        </w:rPr>
        <w:t>间</w:t>
      </w:r>
      <w:r>
        <w:rPr>
          <w:rFonts w:ascii="黑体" w:eastAsia="黑体"/>
          <w:w w:val="100"/>
          <w:sz w:val="21"/>
        </w:rPr>
        <w:t>内</w:t>
      </w:r>
      <w:r>
        <w:rPr>
          <w:rFonts w:ascii="黑体" w:eastAsia="黑体"/>
          <w:spacing w:val="-3"/>
          <w:w w:val="100"/>
          <w:sz w:val="21"/>
        </w:rPr>
        <w:t>累</w:t>
      </w:r>
      <w:r>
        <w:rPr>
          <w:rFonts w:ascii="黑体" w:eastAsia="黑体"/>
          <w:w w:val="100"/>
          <w:sz w:val="21"/>
        </w:rPr>
        <w:t>计合</w:t>
      </w:r>
      <w:r>
        <w:rPr>
          <w:rFonts w:ascii="黑体" w:eastAsia="黑体"/>
          <w:spacing w:val="-3"/>
          <w:w w:val="100"/>
          <w:sz w:val="21"/>
        </w:rPr>
        <w:t>理</w:t>
      </w:r>
      <w:r>
        <w:rPr>
          <w:rFonts w:ascii="黑体" w:eastAsia="黑体"/>
          <w:w w:val="100"/>
          <w:sz w:val="21"/>
        </w:rPr>
        <w:t>医</w:t>
      </w:r>
      <w:r>
        <w:rPr>
          <w:rFonts w:ascii="黑体" w:eastAsia="黑体"/>
          <w:spacing w:val="-3"/>
          <w:w w:val="100"/>
          <w:sz w:val="21"/>
        </w:rPr>
        <w:t>疗</w:t>
      </w:r>
      <w:r>
        <w:rPr>
          <w:rFonts w:ascii="黑体" w:eastAsia="黑体"/>
          <w:w w:val="100"/>
          <w:sz w:val="21"/>
        </w:rPr>
        <w:t>费</w:t>
      </w:r>
      <w:r>
        <w:rPr>
          <w:rFonts w:ascii="黑体" w:eastAsia="黑体"/>
          <w:spacing w:val="-3"/>
          <w:w w:val="100"/>
          <w:sz w:val="21"/>
        </w:rPr>
        <w:t>用</w:t>
      </w:r>
      <w:r>
        <w:rPr>
          <w:rFonts w:ascii="黑体" w:eastAsia="黑体"/>
          <w:spacing w:val="-82"/>
          <w:w w:val="100"/>
          <w:sz w:val="21"/>
        </w:rPr>
        <w:t>，</w:t>
      </w:r>
      <w:r>
        <w:rPr>
          <w:rFonts w:ascii="黑体" w:eastAsia="黑体"/>
          <w:spacing w:val="-3"/>
          <w:w w:val="100"/>
          <w:sz w:val="21"/>
        </w:rPr>
        <w:t>该</w:t>
      </w:r>
      <w:r>
        <w:rPr>
          <w:rFonts w:ascii="黑体" w:eastAsia="黑体"/>
          <w:w w:val="100"/>
          <w:sz w:val="21"/>
        </w:rPr>
        <w:t>次</w:t>
      </w:r>
      <w:r>
        <w:rPr>
          <w:rFonts w:ascii="黑体" w:eastAsia="黑体"/>
          <w:spacing w:val="-3"/>
          <w:w w:val="100"/>
          <w:sz w:val="21"/>
        </w:rPr>
        <w:t>从其</w:t>
      </w:r>
      <w:r>
        <w:rPr>
          <w:rFonts w:ascii="黑体" w:eastAsia="黑体"/>
          <w:w w:val="100"/>
          <w:sz w:val="21"/>
        </w:rPr>
        <w:t>他途径</w:t>
      </w:r>
      <w:r>
        <w:rPr>
          <w:rFonts w:ascii="黑体" w:eastAsia="黑体"/>
          <w:spacing w:val="2"/>
          <w:w w:val="100"/>
          <w:sz w:val="21"/>
        </w:rPr>
        <w:t>已获得的医疗费用补偿不计入本合同保险期间内累计从其他途径已获得的医疗</w:t>
      </w:r>
      <w:r>
        <w:rPr>
          <w:rFonts w:ascii="黑体" w:eastAsia="黑体"/>
          <w:spacing w:val="4"/>
          <w:w w:val="100"/>
          <w:sz w:val="21"/>
        </w:rPr>
        <w:t>费</w:t>
      </w:r>
      <w:r>
        <w:rPr>
          <w:rFonts w:ascii="黑体" w:eastAsia="黑体"/>
          <w:w w:val="100"/>
          <w:sz w:val="21"/>
        </w:rPr>
        <w:t>用补偿：</w:t>
      </w:r>
    </w:p>
    <w:p>
      <w:pPr>
        <w:pStyle w:val="ListParagraph"/>
        <w:numPr>
          <w:ilvl w:val="0"/>
          <w:numId w:val="7"/>
        </w:numPr>
        <w:tabs>
          <w:tab w:pos="3329" w:val="left" w:leader="none"/>
        </w:tabs>
        <w:spacing w:line="240" w:lineRule="auto" w:before="62" w:after="0"/>
        <w:ind w:left="3328" w:right="0" w:hanging="721"/>
        <w:jc w:val="both"/>
        <w:rPr>
          <w:rFonts w:ascii="黑体" w:eastAsia="黑体"/>
          <w:sz w:val="21"/>
        </w:rPr>
      </w:pPr>
      <w:r>
        <w:rPr>
          <w:rFonts w:ascii="黑体" w:eastAsia="黑体"/>
          <w:spacing w:val="-2"/>
          <w:sz w:val="21"/>
        </w:rPr>
        <w:t>在</w:t>
      </w:r>
      <w:r>
        <w:rPr>
          <w:rFonts w:ascii="黑体" w:eastAsia="黑体" w:hint="eastAsia"/>
          <w:b/>
          <w:spacing w:val="-2"/>
          <w:sz w:val="21"/>
        </w:rPr>
        <w:t>中国境外</w:t>
      </w:r>
      <w:r>
        <w:rPr>
          <w:rFonts w:ascii="黑体" w:eastAsia="黑体"/>
          <w:spacing w:val="-2"/>
          <w:sz w:val="21"/>
        </w:rPr>
        <w:t>（</w:t>
      </w:r>
      <w:r>
        <w:rPr>
          <w:rFonts w:ascii="黑体" w:eastAsia="黑体"/>
          <w:spacing w:val="-18"/>
          <w:sz w:val="21"/>
        </w:rPr>
        <w:t>见 </w:t>
      </w:r>
      <w:r>
        <w:rPr>
          <w:rFonts w:ascii="黑体" w:eastAsia="黑体"/>
          <w:spacing w:val="-2"/>
          <w:sz w:val="21"/>
        </w:rPr>
        <w:t>8.24）</w:t>
      </w:r>
      <w:r>
        <w:rPr>
          <w:rFonts w:ascii="黑体" w:eastAsia="黑体"/>
          <w:spacing w:val="-3"/>
          <w:sz w:val="21"/>
        </w:rPr>
        <w:t>的国家或者地区接受治疗；</w:t>
      </w:r>
    </w:p>
    <w:p>
      <w:pPr>
        <w:pStyle w:val="ListParagraph"/>
        <w:numPr>
          <w:ilvl w:val="0"/>
          <w:numId w:val="7"/>
        </w:numPr>
        <w:tabs>
          <w:tab w:pos="3329" w:val="left" w:leader="none"/>
        </w:tabs>
        <w:spacing w:line="244" w:lineRule="auto" w:before="62" w:after="0"/>
        <w:ind w:left="3328" w:right="267" w:hanging="720"/>
        <w:jc w:val="both"/>
        <w:rPr>
          <w:rFonts w:ascii="黑体" w:eastAsia="黑体"/>
          <w:sz w:val="21"/>
        </w:rPr>
      </w:pPr>
      <w:r>
        <w:rPr>
          <w:rFonts w:ascii="黑体" w:eastAsia="黑体"/>
          <w:spacing w:val="-2"/>
          <w:sz w:val="21"/>
        </w:rPr>
        <w:t>未以书面形式或者双方认可的其他形式告知的</w:t>
      </w:r>
      <w:r>
        <w:rPr>
          <w:rFonts w:ascii="黑体" w:eastAsia="黑体" w:hint="eastAsia"/>
          <w:b/>
          <w:spacing w:val="-2"/>
          <w:sz w:val="21"/>
        </w:rPr>
        <w:t>既往症</w:t>
      </w:r>
      <w:r>
        <w:rPr>
          <w:rFonts w:ascii="黑体" w:eastAsia="黑体"/>
          <w:spacing w:val="-2"/>
          <w:sz w:val="21"/>
        </w:rPr>
        <w:t>（</w:t>
      </w:r>
      <w:r>
        <w:rPr>
          <w:rFonts w:ascii="黑体" w:eastAsia="黑体"/>
          <w:spacing w:val="-14"/>
          <w:sz w:val="21"/>
        </w:rPr>
        <w:t>见 </w:t>
      </w:r>
      <w:r>
        <w:rPr>
          <w:rFonts w:ascii="黑体" w:eastAsia="黑体"/>
          <w:spacing w:val="17"/>
          <w:sz w:val="21"/>
        </w:rPr>
        <w:t>8</w:t>
      </w:r>
      <w:r>
        <w:rPr>
          <w:rFonts w:ascii="黑体" w:eastAsia="黑体"/>
          <w:spacing w:val="19"/>
          <w:sz w:val="21"/>
        </w:rPr>
        <w:t>.2</w:t>
      </w:r>
      <w:r>
        <w:rPr>
          <w:rFonts w:ascii="黑体" w:eastAsia="黑体"/>
          <w:spacing w:val="16"/>
          <w:sz w:val="21"/>
        </w:rPr>
        <w:t>5</w:t>
      </w:r>
      <w:r>
        <w:rPr>
          <w:rFonts w:ascii="黑体" w:eastAsia="黑体"/>
          <w:spacing w:val="-85"/>
          <w:sz w:val="21"/>
        </w:rPr>
        <w:t>）</w:t>
      </w:r>
      <w:r>
        <w:rPr>
          <w:rFonts w:ascii="黑体" w:eastAsia="黑体"/>
          <w:spacing w:val="-2"/>
          <w:sz w:val="21"/>
        </w:rPr>
        <w:t>、本合同特</w:t>
      </w:r>
      <w:r>
        <w:rPr>
          <w:rFonts w:ascii="黑体" w:eastAsia="黑体"/>
          <w:spacing w:val="-2"/>
          <w:sz w:val="21"/>
        </w:rPr>
        <w:t>别约定除外的疾病；</w:t>
      </w:r>
    </w:p>
    <w:p>
      <w:pPr>
        <w:pStyle w:val="ListParagraph"/>
        <w:numPr>
          <w:ilvl w:val="0"/>
          <w:numId w:val="7"/>
        </w:numPr>
        <w:tabs>
          <w:tab w:pos="3329" w:val="left" w:leader="none"/>
        </w:tabs>
        <w:spacing w:line="244" w:lineRule="auto" w:before="57" w:after="0"/>
        <w:ind w:left="3328" w:right="269" w:hanging="720"/>
        <w:jc w:val="both"/>
        <w:rPr>
          <w:rFonts w:ascii="黑体" w:eastAsia="黑体"/>
          <w:sz w:val="21"/>
        </w:rPr>
      </w:pPr>
      <w:r>
        <w:rPr>
          <w:rFonts w:ascii="黑体" w:eastAsia="黑体"/>
          <w:spacing w:val="-2"/>
          <w:sz w:val="21"/>
        </w:rPr>
        <w:t>非医院药房购买的药品、未经</w:t>
      </w:r>
      <w:r>
        <w:rPr>
          <w:rFonts w:ascii="黑体" w:eastAsia="黑体" w:hint="eastAsia"/>
          <w:b/>
          <w:spacing w:val="-2"/>
          <w:sz w:val="21"/>
        </w:rPr>
        <w:t>医生</w:t>
      </w:r>
      <w:r>
        <w:rPr>
          <w:rFonts w:ascii="黑体" w:eastAsia="黑体"/>
          <w:spacing w:val="-2"/>
          <w:sz w:val="21"/>
        </w:rPr>
        <w:t>（</w:t>
      </w:r>
      <w:r>
        <w:rPr>
          <w:rFonts w:ascii="黑体" w:eastAsia="黑体"/>
          <w:spacing w:val="-14"/>
          <w:sz w:val="21"/>
        </w:rPr>
        <w:t>见 </w:t>
      </w:r>
      <w:r>
        <w:rPr>
          <w:rFonts w:ascii="黑体" w:eastAsia="黑体"/>
          <w:spacing w:val="-2"/>
          <w:sz w:val="21"/>
        </w:rPr>
        <w:t>8.26）处方自行购买的药品、医生开</w:t>
      </w:r>
      <w:r>
        <w:rPr>
          <w:rFonts w:ascii="黑体" w:eastAsia="黑体"/>
          <w:spacing w:val="-4"/>
          <w:sz w:val="21"/>
        </w:rPr>
        <w:t>具的超过 </w:t>
      </w:r>
      <w:r>
        <w:rPr>
          <w:rFonts w:ascii="黑体" w:eastAsia="黑体"/>
          <w:sz w:val="21"/>
        </w:rPr>
        <w:t>30</w:t>
      </w:r>
      <w:r>
        <w:rPr>
          <w:rFonts w:ascii="黑体" w:eastAsia="黑体"/>
          <w:spacing w:val="-5"/>
          <w:sz w:val="21"/>
        </w:rPr>
        <w:t> 天部分的药品费用；</w:t>
      </w:r>
    </w:p>
    <w:p>
      <w:pPr>
        <w:pStyle w:val="ListParagraph"/>
        <w:numPr>
          <w:ilvl w:val="0"/>
          <w:numId w:val="7"/>
        </w:numPr>
        <w:tabs>
          <w:tab w:pos="3329" w:val="left" w:leader="none"/>
        </w:tabs>
        <w:spacing w:line="242" w:lineRule="auto" w:before="56" w:after="0"/>
        <w:ind w:left="3328" w:right="164" w:hanging="720"/>
        <w:jc w:val="both"/>
        <w:rPr>
          <w:rFonts w:ascii="黑体" w:eastAsia="黑体"/>
          <w:sz w:val="21"/>
        </w:rPr>
      </w:pPr>
      <w:r>
        <w:rPr>
          <w:rFonts w:ascii="黑体" w:eastAsia="黑体" w:hint="eastAsia"/>
          <w:b/>
          <w:spacing w:val="-2"/>
          <w:sz w:val="21"/>
        </w:rPr>
        <w:t>遗传性疾病</w:t>
      </w:r>
      <w:r>
        <w:rPr>
          <w:rFonts w:ascii="黑体" w:eastAsia="黑体"/>
          <w:spacing w:val="-2"/>
          <w:sz w:val="21"/>
        </w:rPr>
        <w:t>（</w:t>
      </w:r>
      <w:r>
        <w:rPr>
          <w:rFonts w:ascii="黑体" w:eastAsia="黑体"/>
          <w:spacing w:val="-13"/>
          <w:sz w:val="21"/>
        </w:rPr>
        <w:t>见 </w:t>
      </w:r>
      <w:r>
        <w:rPr>
          <w:rFonts w:ascii="黑体" w:eastAsia="黑体"/>
          <w:spacing w:val="-2"/>
          <w:sz w:val="21"/>
        </w:rPr>
        <w:t>8.27）、</w:t>
      </w:r>
      <w:r>
        <w:rPr>
          <w:rFonts w:ascii="黑体" w:eastAsia="黑体" w:hint="eastAsia"/>
          <w:b/>
          <w:spacing w:val="-2"/>
          <w:sz w:val="21"/>
        </w:rPr>
        <w:t>先天性畸形、变形和染色体异常</w:t>
      </w:r>
      <w:r>
        <w:rPr>
          <w:rFonts w:ascii="黑体" w:eastAsia="黑体"/>
          <w:spacing w:val="-2"/>
          <w:sz w:val="21"/>
        </w:rPr>
        <w:t>（</w:t>
      </w:r>
      <w:r>
        <w:rPr>
          <w:rFonts w:ascii="黑体" w:eastAsia="黑体"/>
          <w:spacing w:val="-12"/>
          <w:sz w:val="21"/>
        </w:rPr>
        <w:t>见 </w:t>
      </w:r>
      <w:r>
        <w:rPr>
          <w:rFonts w:ascii="黑体" w:eastAsia="黑体"/>
          <w:spacing w:val="-2"/>
          <w:sz w:val="21"/>
        </w:rPr>
        <w:t>8.28）（以世</w:t>
      </w:r>
      <w:r>
        <w:rPr>
          <w:rFonts w:ascii="黑体" w:eastAsia="黑体"/>
          <w:spacing w:val="-13"/>
          <w:sz w:val="21"/>
        </w:rPr>
        <w:t>界卫生组织颁布的《疾病和有关健康问题的国际统计分类</w:t>
      </w:r>
      <w:r>
        <w:rPr>
          <w:rFonts w:ascii="黑体" w:eastAsia="黑体"/>
          <w:spacing w:val="-4"/>
          <w:sz w:val="21"/>
        </w:rPr>
        <w:t>（ICD-10）</w:t>
      </w:r>
      <w:r>
        <w:rPr>
          <w:rFonts w:ascii="黑体" w:eastAsia="黑体"/>
          <w:spacing w:val="-22"/>
          <w:sz w:val="21"/>
        </w:rPr>
        <w:t>》为准</w:t>
      </w:r>
      <w:r>
        <w:rPr>
          <w:rFonts w:ascii="黑体" w:eastAsia="黑体"/>
          <w:spacing w:val="-4"/>
          <w:sz w:val="21"/>
        </w:rPr>
        <w:t>）；</w:t>
      </w:r>
    </w:p>
    <w:p>
      <w:pPr>
        <w:pStyle w:val="ListParagraph"/>
        <w:numPr>
          <w:ilvl w:val="0"/>
          <w:numId w:val="7"/>
        </w:numPr>
        <w:tabs>
          <w:tab w:pos="3329" w:val="left" w:leader="none"/>
        </w:tabs>
        <w:spacing w:line="242" w:lineRule="auto" w:before="61" w:after="0"/>
        <w:ind w:left="3328" w:right="267" w:hanging="720"/>
        <w:jc w:val="both"/>
        <w:rPr>
          <w:rFonts w:ascii="黑体" w:eastAsia="黑体"/>
          <w:sz w:val="21"/>
        </w:rPr>
      </w:pPr>
      <w:r>
        <w:rPr>
          <w:rFonts w:ascii="黑体" w:eastAsia="黑体" w:hint="eastAsia"/>
          <w:b/>
          <w:spacing w:val="-2"/>
          <w:sz w:val="21"/>
        </w:rPr>
        <w:t>感染艾滋病病毒或者患艾滋病</w:t>
      </w:r>
      <w:r>
        <w:rPr>
          <w:rFonts w:ascii="黑体" w:eastAsia="黑体"/>
          <w:spacing w:val="-2"/>
          <w:sz w:val="21"/>
        </w:rPr>
        <w:t>（</w:t>
      </w:r>
      <w:r>
        <w:rPr>
          <w:rFonts w:ascii="黑体" w:eastAsia="黑体"/>
          <w:spacing w:val="-14"/>
          <w:sz w:val="21"/>
        </w:rPr>
        <w:t>见 </w:t>
      </w:r>
      <w:r>
        <w:rPr>
          <w:rFonts w:ascii="黑体" w:eastAsia="黑体"/>
          <w:spacing w:val="15"/>
          <w:sz w:val="21"/>
        </w:rPr>
        <w:t>8.2</w:t>
      </w:r>
      <w:r>
        <w:rPr>
          <w:rFonts w:ascii="黑体" w:eastAsia="黑体"/>
          <w:spacing w:val="12"/>
          <w:sz w:val="21"/>
        </w:rPr>
        <w:t>9</w:t>
      </w:r>
      <w:r>
        <w:rPr>
          <w:rFonts w:ascii="黑体" w:eastAsia="黑体"/>
          <w:spacing w:val="-89"/>
          <w:sz w:val="21"/>
        </w:rPr>
        <w:t>）</w:t>
      </w:r>
      <w:r>
        <w:rPr>
          <w:rFonts w:ascii="黑体" w:eastAsia="黑体"/>
          <w:spacing w:val="15"/>
          <w:sz w:val="21"/>
        </w:rPr>
        <w:t>（</w:t>
      </w:r>
      <w:r>
        <w:rPr>
          <w:rFonts w:ascii="黑体" w:eastAsia="黑体"/>
          <w:spacing w:val="-2"/>
          <w:sz w:val="21"/>
        </w:rPr>
        <w:t>因职业关系导致的感染艾滋病病</w:t>
      </w:r>
      <w:r>
        <w:rPr>
          <w:rFonts w:ascii="黑体" w:eastAsia="黑体"/>
          <w:spacing w:val="-2"/>
          <w:sz w:val="21"/>
        </w:rPr>
        <w:t>毒或患艾滋病</w:t>
      </w:r>
      <w:r>
        <w:rPr>
          <w:rFonts w:ascii="黑体" w:eastAsia="黑体" w:hint="eastAsia"/>
          <w:b/>
          <w:spacing w:val="-2"/>
          <w:sz w:val="21"/>
        </w:rPr>
        <w:t>、</w:t>
      </w:r>
      <w:r>
        <w:rPr>
          <w:rFonts w:ascii="黑体" w:eastAsia="黑体"/>
          <w:spacing w:val="-2"/>
          <w:sz w:val="21"/>
        </w:rPr>
        <w:t>经输血导致的感染艾滋病病毒或患艾滋病、因器官移植导致</w:t>
      </w:r>
      <w:r>
        <w:rPr>
          <w:rFonts w:ascii="黑体" w:eastAsia="黑体"/>
          <w:spacing w:val="-2"/>
          <w:sz w:val="21"/>
        </w:rPr>
        <w:t>的感染艾滋病病毒或患艾滋病均除外）、性病、精神和行为障碍（以世界卫</w:t>
      </w:r>
      <w:r>
        <w:rPr>
          <w:rFonts w:ascii="黑体" w:eastAsia="黑体"/>
          <w:spacing w:val="-2"/>
          <w:sz w:val="21"/>
        </w:rPr>
        <w:t>生组织颁布的《疾病和有关健康问题的国际统计分类（ICD-10）》为准）；</w:t>
      </w:r>
    </w:p>
    <w:p>
      <w:pPr>
        <w:pStyle w:val="ListParagraph"/>
        <w:numPr>
          <w:ilvl w:val="0"/>
          <w:numId w:val="7"/>
        </w:numPr>
        <w:tabs>
          <w:tab w:pos="3329" w:val="left" w:leader="none"/>
        </w:tabs>
        <w:spacing w:line="242" w:lineRule="auto" w:before="63" w:after="0"/>
        <w:ind w:left="3328" w:right="267" w:hanging="720"/>
        <w:jc w:val="both"/>
        <w:rPr>
          <w:rFonts w:ascii="黑体" w:eastAsia="黑体"/>
          <w:sz w:val="21"/>
        </w:rPr>
      </w:pPr>
      <w:r>
        <w:rPr>
          <w:rFonts w:ascii="黑体" w:eastAsia="黑体"/>
          <w:spacing w:val="-4"/>
          <w:sz w:val="21"/>
        </w:rPr>
        <w:t>不孕不育治疗、避孕、节育（含绝育</w:t>
      </w:r>
      <w:r>
        <w:rPr>
          <w:rFonts w:ascii="黑体" w:eastAsia="黑体"/>
          <w:spacing w:val="-106"/>
          <w:sz w:val="21"/>
        </w:rPr>
        <w:t>）</w:t>
      </w:r>
      <w:r>
        <w:rPr>
          <w:rFonts w:ascii="黑体" w:eastAsia="黑体"/>
          <w:spacing w:val="-4"/>
          <w:sz w:val="21"/>
        </w:rPr>
        <w:t>、子宫体腔内妊娠、产前产后检查、流产、堕胎、分娩（含难产</w:t>
      </w:r>
      <w:r>
        <w:rPr>
          <w:rFonts w:ascii="黑体" w:eastAsia="黑体"/>
          <w:spacing w:val="-108"/>
          <w:sz w:val="21"/>
        </w:rPr>
        <w:t>）</w:t>
      </w:r>
      <w:r>
        <w:rPr>
          <w:rFonts w:ascii="黑体" w:eastAsia="黑体"/>
          <w:spacing w:val="-4"/>
          <w:sz w:val="21"/>
        </w:rPr>
        <w:t>、变性手术、人体试验、人工生殖，或者由前述任</w:t>
      </w:r>
    </w:p>
    <w:p>
      <w:pPr>
        <w:spacing w:after="0" w:line="242" w:lineRule="auto"/>
        <w:jc w:val="both"/>
        <w:rPr>
          <w:rFonts w:ascii="黑体" w:eastAsia="黑体"/>
          <w:sz w:val="21"/>
        </w:rPr>
        <w:sectPr>
          <w:type w:val="continuous"/>
          <w:pgSz w:w="11910" w:h="16850"/>
          <w:pgMar w:top="520" w:bottom="280" w:left="620" w:right="720"/>
        </w:sectPr>
      </w:pPr>
    </w:p>
    <w:p>
      <w:pPr>
        <w:pStyle w:val="BodyText"/>
        <w:spacing w:before="53"/>
        <w:ind w:left="3328"/>
        <w:rPr>
          <w:rFonts w:ascii="黑体" w:eastAsia="黑体"/>
        </w:rPr>
      </w:pPr>
      <w:r>
        <w:rPr>
          <w:rFonts w:ascii="黑体" w:eastAsia="黑体"/>
          <w:spacing w:val="-3"/>
        </w:rPr>
        <w:t>一原因引起的并发症；</w:t>
      </w:r>
    </w:p>
    <w:p>
      <w:pPr>
        <w:pStyle w:val="ListParagraph"/>
        <w:numPr>
          <w:ilvl w:val="0"/>
          <w:numId w:val="7"/>
        </w:numPr>
        <w:tabs>
          <w:tab w:pos="3329" w:val="left" w:leader="none"/>
        </w:tabs>
        <w:spacing w:line="242" w:lineRule="auto" w:before="64" w:after="0"/>
        <w:ind w:left="3328" w:right="267" w:hanging="720"/>
        <w:jc w:val="both"/>
        <w:rPr>
          <w:rFonts w:ascii="黑体" w:eastAsia="黑体"/>
          <w:sz w:val="21"/>
        </w:rPr>
      </w:pPr>
      <w:r>
        <w:rPr>
          <w:rFonts w:ascii="黑体" w:eastAsia="黑体"/>
          <w:spacing w:val="-2"/>
          <w:sz w:val="21"/>
        </w:rPr>
        <w:t>《中华人民共和国传染病防治法》规定的甲类及乙类法定传染病（不含病毒</w:t>
      </w:r>
      <w:r>
        <w:rPr>
          <w:rFonts w:ascii="黑体" w:eastAsia="黑体"/>
          <w:spacing w:val="-2"/>
          <w:sz w:val="21"/>
        </w:rPr>
        <w:t>性肝炎</w:t>
      </w:r>
      <w:r>
        <w:rPr>
          <w:rFonts w:ascii="黑体" w:eastAsia="黑体"/>
          <w:spacing w:val="-63"/>
          <w:sz w:val="21"/>
        </w:rPr>
        <w:t>）</w:t>
      </w:r>
      <w:r>
        <w:rPr>
          <w:rFonts w:ascii="黑体" w:eastAsia="黑体"/>
          <w:spacing w:val="-10"/>
          <w:sz w:val="21"/>
        </w:rPr>
        <w:t>，或者国家有关法律、法规、规范性法律文件规定的法定传染病。前</w:t>
      </w:r>
      <w:r>
        <w:rPr>
          <w:rFonts w:ascii="黑体" w:eastAsia="黑体"/>
          <w:spacing w:val="-2"/>
          <w:sz w:val="21"/>
        </w:rPr>
        <w:t>述传染病定义以被保险人入院当日《中华人民共和国传染病防治法》或者国</w:t>
      </w:r>
      <w:r>
        <w:rPr>
          <w:rFonts w:ascii="黑体" w:eastAsia="黑体"/>
          <w:spacing w:val="-2"/>
          <w:sz w:val="21"/>
        </w:rPr>
        <w:t>家有关法律、法规、规范性法律文件的规定为准；</w:t>
      </w:r>
    </w:p>
    <w:p>
      <w:pPr>
        <w:pStyle w:val="ListParagraph"/>
        <w:numPr>
          <w:ilvl w:val="0"/>
          <w:numId w:val="7"/>
        </w:numPr>
        <w:tabs>
          <w:tab w:pos="3329" w:val="left" w:leader="none"/>
        </w:tabs>
        <w:spacing w:line="242" w:lineRule="auto" w:before="63" w:after="0"/>
        <w:ind w:left="3328" w:right="272" w:hanging="720"/>
        <w:jc w:val="both"/>
        <w:rPr>
          <w:rFonts w:ascii="黑体" w:eastAsia="黑体"/>
          <w:sz w:val="21"/>
        </w:rPr>
      </w:pPr>
      <w:r>
        <w:rPr>
          <w:rFonts w:ascii="黑体" w:eastAsia="黑体"/>
          <w:spacing w:val="-2"/>
          <w:sz w:val="21"/>
        </w:rPr>
        <w:t>疗养、</w:t>
      </w:r>
      <w:r>
        <w:rPr>
          <w:rFonts w:ascii="黑体" w:eastAsia="黑体" w:hint="eastAsia"/>
          <w:b/>
          <w:spacing w:val="-2"/>
          <w:sz w:val="21"/>
        </w:rPr>
        <w:t>康复治疗</w:t>
      </w:r>
      <w:r>
        <w:rPr>
          <w:rFonts w:ascii="黑体" w:eastAsia="黑体"/>
          <w:spacing w:val="-2"/>
          <w:sz w:val="21"/>
        </w:rPr>
        <w:t>（</w:t>
      </w:r>
      <w:r>
        <w:rPr>
          <w:rFonts w:ascii="黑体" w:eastAsia="黑体"/>
          <w:spacing w:val="-14"/>
          <w:sz w:val="21"/>
        </w:rPr>
        <w:t>见 </w:t>
      </w:r>
      <w:r>
        <w:rPr>
          <w:rFonts w:ascii="黑体" w:eastAsia="黑体"/>
          <w:spacing w:val="20"/>
          <w:sz w:val="21"/>
        </w:rPr>
        <w:t>8</w:t>
      </w:r>
      <w:r>
        <w:rPr>
          <w:rFonts w:ascii="黑体" w:eastAsia="黑体"/>
          <w:spacing w:val="17"/>
          <w:sz w:val="21"/>
        </w:rPr>
        <w:t>.</w:t>
      </w:r>
      <w:r>
        <w:rPr>
          <w:rFonts w:ascii="黑体" w:eastAsia="黑体"/>
          <w:spacing w:val="20"/>
          <w:sz w:val="21"/>
        </w:rPr>
        <w:t>3</w:t>
      </w:r>
      <w:r>
        <w:rPr>
          <w:rFonts w:ascii="黑体" w:eastAsia="黑体"/>
          <w:spacing w:val="17"/>
          <w:sz w:val="21"/>
        </w:rPr>
        <w:t>0</w:t>
      </w:r>
      <w:r>
        <w:rPr>
          <w:rFonts w:ascii="黑体" w:eastAsia="黑体"/>
          <w:spacing w:val="-84"/>
          <w:sz w:val="21"/>
        </w:rPr>
        <w:t>）</w:t>
      </w:r>
      <w:r>
        <w:rPr>
          <w:rFonts w:ascii="黑体" w:eastAsia="黑体"/>
          <w:spacing w:val="-2"/>
          <w:sz w:val="21"/>
        </w:rPr>
        <w:t>、心理治疗、美容、矫形、视力矫正手术、</w:t>
      </w:r>
      <w:r>
        <w:rPr>
          <w:rFonts w:ascii="黑体" w:eastAsia="黑体" w:hint="eastAsia"/>
          <w:b/>
          <w:spacing w:val="-2"/>
          <w:sz w:val="21"/>
        </w:rPr>
        <w:t>牙齿</w:t>
      </w:r>
      <w:r>
        <w:rPr>
          <w:rFonts w:ascii="黑体" w:eastAsia="黑体" w:hint="eastAsia"/>
          <w:b/>
          <w:sz w:val="21"/>
        </w:rPr>
        <w:t>治疗</w:t>
      </w:r>
      <w:r>
        <w:rPr>
          <w:rFonts w:ascii="黑体" w:eastAsia="黑体"/>
          <w:sz w:val="21"/>
        </w:rPr>
        <w:t>（</w:t>
      </w:r>
      <w:r>
        <w:rPr>
          <w:rFonts w:ascii="黑体" w:eastAsia="黑体"/>
          <w:spacing w:val="-23"/>
          <w:sz w:val="21"/>
        </w:rPr>
        <w:t>见 </w:t>
      </w:r>
      <w:r>
        <w:rPr>
          <w:rFonts w:ascii="黑体" w:eastAsia="黑体"/>
          <w:spacing w:val="21"/>
          <w:sz w:val="21"/>
        </w:rPr>
        <w:t>8.3</w:t>
      </w:r>
      <w:r>
        <w:rPr>
          <w:rFonts w:ascii="黑体" w:eastAsia="黑体"/>
          <w:spacing w:val="18"/>
          <w:sz w:val="21"/>
        </w:rPr>
        <w:t>1</w:t>
      </w:r>
      <w:r>
        <w:rPr>
          <w:rFonts w:ascii="黑体" w:eastAsia="黑体"/>
          <w:spacing w:val="-85"/>
          <w:sz w:val="21"/>
        </w:rPr>
        <w:t>）</w:t>
      </w:r>
      <w:r>
        <w:rPr>
          <w:rFonts w:ascii="黑体" w:eastAsia="黑体"/>
          <w:sz w:val="21"/>
        </w:rPr>
        <w:t>、安装义肢、安装义眼、非意外事故所致的整容手术；</w:t>
      </w:r>
    </w:p>
    <w:p>
      <w:pPr>
        <w:pStyle w:val="ListParagraph"/>
        <w:numPr>
          <w:ilvl w:val="0"/>
          <w:numId w:val="7"/>
        </w:numPr>
        <w:tabs>
          <w:tab w:pos="3329" w:val="left" w:leader="none"/>
        </w:tabs>
        <w:spacing w:line="240" w:lineRule="auto" w:before="62" w:after="0"/>
        <w:ind w:left="3328" w:right="0" w:hanging="721"/>
        <w:jc w:val="both"/>
        <w:rPr>
          <w:rFonts w:ascii="黑体" w:eastAsia="黑体"/>
          <w:sz w:val="21"/>
        </w:rPr>
      </w:pPr>
      <w:r>
        <w:rPr>
          <w:rFonts w:ascii="黑体" w:eastAsia="黑体"/>
          <w:spacing w:val="-3"/>
          <w:sz w:val="21"/>
        </w:rPr>
        <w:t>投保人对被保险人的故意杀害、故意伤害；</w:t>
      </w:r>
    </w:p>
    <w:p>
      <w:pPr>
        <w:pStyle w:val="ListParagraph"/>
        <w:numPr>
          <w:ilvl w:val="0"/>
          <w:numId w:val="7"/>
        </w:numPr>
        <w:tabs>
          <w:tab w:pos="3329" w:val="left" w:leader="none"/>
        </w:tabs>
        <w:spacing w:line="244" w:lineRule="auto" w:before="62" w:after="0"/>
        <w:ind w:left="3328" w:right="370" w:hanging="720"/>
        <w:jc w:val="left"/>
        <w:rPr>
          <w:rFonts w:ascii="黑体" w:eastAsia="黑体"/>
          <w:sz w:val="21"/>
        </w:rPr>
      </w:pPr>
      <w:r>
        <w:rPr>
          <w:rFonts w:ascii="黑体" w:eastAsia="黑体"/>
          <w:spacing w:val="-2"/>
          <w:sz w:val="21"/>
        </w:rPr>
        <w:t>被保险人故意自伤、故意犯罪、抗拒依法采取的刑事强制措施或者自杀(但</w:t>
      </w:r>
      <w:r>
        <w:rPr>
          <w:rFonts w:ascii="黑体" w:eastAsia="黑体"/>
          <w:spacing w:val="-2"/>
          <w:sz w:val="21"/>
        </w:rPr>
        <w:t>被保险人自杀时为无民事行为能力人的除外)；</w:t>
      </w:r>
    </w:p>
    <w:p>
      <w:pPr>
        <w:pStyle w:val="ListParagraph"/>
        <w:numPr>
          <w:ilvl w:val="0"/>
          <w:numId w:val="7"/>
        </w:numPr>
        <w:tabs>
          <w:tab w:pos="3329" w:val="left" w:leader="none"/>
        </w:tabs>
        <w:spacing w:line="240" w:lineRule="auto" w:before="56" w:after="0"/>
        <w:ind w:left="3328" w:right="0" w:hanging="721"/>
        <w:jc w:val="left"/>
        <w:rPr>
          <w:rFonts w:ascii="黑体" w:eastAsia="黑体"/>
          <w:sz w:val="21"/>
        </w:rPr>
      </w:pPr>
      <w:r>
        <w:rPr>
          <w:rFonts w:ascii="黑体" w:eastAsia="黑体"/>
          <w:spacing w:val="-6"/>
          <w:sz w:val="21"/>
        </w:rPr>
        <w:t>被保险人</w:t>
      </w:r>
      <w:r>
        <w:rPr>
          <w:rFonts w:ascii="黑体" w:eastAsia="黑体" w:hint="eastAsia"/>
          <w:b/>
          <w:spacing w:val="-6"/>
          <w:sz w:val="21"/>
        </w:rPr>
        <w:t>醉酒</w:t>
      </w:r>
      <w:r>
        <w:rPr>
          <w:rFonts w:ascii="黑体" w:eastAsia="黑体"/>
          <w:spacing w:val="-6"/>
          <w:sz w:val="21"/>
        </w:rPr>
        <w:t>（</w:t>
      </w:r>
      <w:r>
        <w:rPr>
          <w:rFonts w:ascii="黑体" w:eastAsia="黑体"/>
          <w:spacing w:val="-24"/>
          <w:sz w:val="21"/>
        </w:rPr>
        <w:t>见 </w:t>
      </w:r>
      <w:r>
        <w:rPr>
          <w:rFonts w:ascii="黑体" w:eastAsia="黑体"/>
          <w:spacing w:val="12"/>
          <w:sz w:val="21"/>
        </w:rPr>
        <w:t>8.3</w:t>
      </w:r>
      <w:r>
        <w:rPr>
          <w:rFonts w:ascii="黑体" w:eastAsia="黑体"/>
          <w:spacing w:val="9"/>
          <w:sz w:val="21"/>
        </w:rPr>
        <w:t>2</w:t>
      </w:r>
      <w:r>
        <w:rPr>
          <w:rFonts w:ascii="黑体" w:eastAsia="黑体"/>
          <w:spacing w:val="-96"/>
          <w:sz w:val="21"/>
        </w:rPr>
        <w:t>）</w:t>
      </w:r>
      <w:r>
        <w:rPr>
          <w:rFonts w:ascii="黑体" w:eastAsia="黑体"/>
          <w:spacing w:val="-6"/>
          <w:sz w:val="21"/>
        </w:rPr>
        <w:t>，主动吸食或者注射</w:t>
      </w:r>
      <w:r>
        <w:rPr>
          <w:rFonts w:ascii="黑体" w:eastAsia="黑体" w:hint="eastAsia"/>
          <w:b/>
          <w:spacing w:val="-6"/>
          <w:sz w:val="21"/>
        </w:rPr>
        <w:t>毒品</w:t>
      </w:r>
      <w:r>
        <w:rPr>
          <w:rFonts w:ascii="黑体" w:eastAsia="黑体"/>
          <w:spacing w:val="-6"/>
          <w:sz w:val="21"/>
        </w:rPr>
        <w:t>（</w:t>
      </w:r>
      <w:r>
        <w:rPr>
          <w:rFonts w:ascii="黑体" w:eastAsia="黑体"/>
          <w:spacing w:val="-22"/>
          <w:sz w:val="21"/>
        </w:rPr>
        <w:t>见 </w:t>
      </w:r>
      <w:r>
        <w:rPr>
          <w:rFonts w:ascii="黑体" w:eastAsia="黑体"/>
          <w:spacing w:val="9"/>
          <w:sz w:val="21"/>
        </w:rPr>
        <w:t>8</w:t>
      </w:r>
      <w:r>
        <w:rPr>
          <w:rFonts w:ascii="黑体" w:eastAsia="黑体"/>
          <w:spacing w:val="12"/>
          <w:sz w:val="21"/>
        </w:rPr>
        <w:t>.33</w:t>
      </w:r>
      <w:r>
        <w:rPr>
          <w:rFonts w:ascii="黑体" w:eastAsia="黑体"/>
          <w:spacing w:val="-96"/>
          <w:sz w:val="21"/>
        </w:rPr>
        <w:t>）</w:t>
      </w:r>
      <w:r>
        <w:rPr>
          <w:rFonts w:ascii="黑体" w:eastAsia="黑体"/>
          <w:spacing w:val="12"/>
          <w:sz w:val="21"/>
        </w:rPr>
        <w:t>；</w:t>
      </w:r>
    </w:p>
    <w:p>
      <w:pPr>
        <w:pStyle w:val="ListParagraph"/>
        <w:numPr>
          <w:ilvl w:val="0"/>
          <w:numId w:val="7"/>
        </w:numPr>
        <w:tabs>
          <w:tab w:pos="3329" w:val="left" w:leader="none"/>
        </w:tabs>
        <w:spacing w:line="240" w:lineRule="auto" w:before="64" w:after="0"/>
        <w:ind w:left="3328" w:right="0" w:hanging="721"/>
        <w:jc w:val="left"/>
        <w:rPr>
          <w:rFonts w:ascii="黑体" w:eastAsia="黑体"/>
          <w:sz w:val="21"/>
        </w:rPr>
      </w:pPr>
      <w:r>
        <w:rPr>
          <w:rFonts w:ascii="黑体" w:eastAsia="黑体"/>
          <w:spacing w:val="-3"/>
          <w:sz w:val="21"/>
        </w:rPr>
        <w:t>被保险人挑衅或者故意行为而导致的打斗、被袭击、被谋杀；</w:t>
      </w:r>
    </w:p>
    <w:p>
      <w:pPr>
        <w:pStyle w:val="ListParagraph"/>
        <w:numPr>
          <w:ilvl w:val="0"/>
          <w:numId w:val="7"/>
        </w:numPr>
        <w:tabs>
          <w:tab w:pos="3329" w:val="left" w:leader="none"/>
        </w:tabs>
        <w:spacing w:line="244" w:lineRule="auto" w:before="62" w:after="0"/>
        <w:ind w:left="3328" w:right="267" w:hanging="720"/>
        <w:jc w:val="both"/>
        <w:rPr>
          <w:rFonts w:ascii="黑体" w:eastAsia="黑体"/>
          <w:sz w:val="21"/>
        </w:rPr>
      </w:pPr>
      <w:r>
        <w:rPr>
          <w:rFonts w:ascii="黑体" w:eastAsia="黑体"/>
          <w:w w:val="95"/>
          <w:sz w:val="21"/>
        </w:rPr>
        <w:t>被</w:t>
      </w:r>
      <w:r>
        <w:rPr>
          <w:rFonts w:ascii="黑体" w:eastAsia="黑体"/>
          <w:w w:val="95"/>
          <w:sz w:val="21"/>
        </w:rPr>
        <w:t>保</w:t>
      </w:r>
      <w:r>
        <w:rPr>
          <w:rFonts w:ascii="黑体" w:eastAsia="黑体"/>
          <w:w w:val="95"/>
          <w:sz w:val="21"/>
        </w:rPr>
        <w:t>险人</w:t>
      </w:r>
      <w:r>
        <w:rPr>
          <w:rFonts w:ascii="黑体" w:eastAsia="黑体" w:hint="eastAsia"/>
          <w:b/>
          <w:w w:val="95"/>
          <w:sz w:val="21"/>
        </w:rPr>
        <w:t>酒</w:t>
      </w:r>
      <w:r>
        <w:rPr>
          <w:rFonts w:ascii="黑体" w:eastAsia="黑体" w:hint="eastAsia"/>
          <w:b/>
          <w:w w:val="95"/>
          <w:sz w:val="21"/>
        </w:rPr>
        <w:t>后</w:t>
      </w:r>
      <w:r>
        <w:rPr>
          <w:rFonts w:ascii="黑体" w:eastAsia="黑体" w:hint="eastAsia"/>
          <w:b/>
          <w:w w:val="95"/>
          <w:sz w:val="21"/>
        </w:rPr>
        <w:t>驾</w:t>
      </w:r>
      <w:r>
        <w:rPr>
          <w:rFonts w:ascii="黑体" w:eastAsia="黑体" w:hint="eastAsia"/>
          <w:b/>
          <w:w w:val="95"/>
          <w:sz w:val="21"/>
        </w:rPr>
        <w:t>驶</w:t>
      </w:r>
      <w:r>
        <w:rPr>
          <w:rFonts w:ascii="黑体" w:eastAsia="黑体"/>
          <w:w w:val="95"/>
          <w:sz w:val="21"/>
        </w:rPr>
        <w:t>（</w:t>
      </w:r>
      <w:r>
        <w:rPr>
          <w:rFonts w:ascii="黑体" w:eastAsia="黑体"/>
          <w:w w:val="95"/>
          <w:sz w:val="21"/>
        </w:rPr>
        <w:t>见</w:t>
      </w:r>
      <w:r>
        <w:rPr>
          <w:rFonts w:ascii="黑体" w:eastAsia="黑体"/>
          <w:w w:val="95"/>
          <w:sz w:val="21"/>
        </w:rPr>
        <w:t> 8.34）、</w:t>
      </w:r>
      <w:r>
        <w:rPr>
          <w:rFonts w:ascii="黑体" w:eastAsia="黑体" w:hint="eastAsia"/>
          <w:b/>
          <w:w w:val="95"/>
          <w:sz w:val="21"/>
        </w:rPr>
        <w:t>无</w:t>
      </w:r>
      <w:r>
        <w:rPr>
          <w:rFonts w:ascii="黑体" w:eastAsia="黑体" w:hint="eastAsia"/>
          <w:b/>
          <w:w w:val="95"/>
          <w:sz w:val="21"/>
        </w:rPr>
        <w:t>合</w:t>
      </w:r>
      <w:r>
        <w:rPr>
          <w:rFonts w:ascii="黑体" w:eastAsia="黑体" w:hint="eastAsia"/>
          <w:b/>
          <w:w w:val="95"/>
          <w:sz w:val="21"/>
        </w:rPr>
        <w:t>法</w:t>
      </w:r>
      <w:r>
        <w:rPr>
          <w:rFonts w:ascii="黑体" w:eastAsia="黑体" w:hint="eastAsia"/>
          <w:b/>
          <w:w w:val="95"/>
          <w:sz w:val="21"/>
        </w:rPr>
        <w:t>有</w:t>
      </w:r>
      <w:r>
        <w:rPr>
          <w:rFonts w:ascii="黑体" w:eastAsia="黑体" w:hint="eastAsia"/>
          <w:b/>
          <w:w w:val="95"/>
          <w:sz w:val="21"/>
        </w:rPr>
        <w:t>效</w:t>
      </w:r>
      <w:r>
        <w:rPr>
          <w:rFonts w:ascii="黑体" w:eastAsia="黑体" w:hint="eastAsia"/>
          <w:b/>
          <w:w w:val="95"/>
          <w:sz w:val="21"/>
        </w:rPr>
        <w:t>驾</w:t>
      </w:r>
      <w:r>
        <w:rPr>
          <w:rFonts w:ascii="黑体" w:eastAsia="黑体" w:hint="eastAsia"/>
          <w:b/>
          <w:w w:val="95"/>
          <w:sz w:val="21"/>
        </w:rPr>
        <w:t>驶</w:t>
      </w:r>
      <w:r>
        <w:rPr>
          <w:rFonts w:ascii="黑体" w:eastAsia="黑体" w:hint="eastAsia"/>
          <w:b/>
          <w:w w:val="95"/>
          <w:sz w:val="21"/>
        </w:rPr>
        <w:t>证驾驶</w:t>
      </w:r>
      <w:r>
        <w:rPr>
          <w:rFonts w:ascii="黑体" w:eastAsia="黑体"/>
          <w:w w:val="95"/>
          <w:sz w:val="21"/>
        </w:rPr>
        <w:t>（</w:t>
      </w:r>
      <w:r>
        <w:rPr>
          <w:rFonts w:ascii="黑体" w:eastAsia="黑体"/>
          <w:w w:val="95"/>
          <w:sz w:val="21"/>
        </w:rPr>
        <w:t>见</w:t>
      </w:r>
      <w:r>
        <w:rPr>
          <w:rFonts w:ascii="黑体" w:eastAsia="黑体"/>
          <w:w w:val="95"/>
          <w:sz w:val="21"/>
        </w:rPr>
        <w:t> 8.35），或者</w:t>
      </w:r>
      <w:r>
        <w:rPr>
          <w:rFonts w:ascii="黑体" w:eastAsia="黑体"/>
          <w:w w:val="95"/>
          <w:sz w:val="21"/>
        </w:rPr>
        <w:t>驾</w:t>
      </w:r>
      <w:r>
        <w:rPr>
          <w:rFonts w:ascii="黑体" w:eastAsia="黑体"/>
          <w:sz w:val="21"/>
        </w:rPr>
        <w:t>驶</w:t>
      </w:r>
      <w:r>
        <w:rPr>
          <w:rFonts w:ascii="黑体" w:eastAsia="黑体" w:hint="eastAsia"/>
          <w:b/>
          <w:sz w:val="21"/>
        </w:rPr>
        <w:t>无合法有效行驶证</w:t>
      </w:r>
      <w:r>
        <w:rPr>
          <w:rFonts w:ascii="黑体" w:eastAsia="黑体"/>
          <w:sz w:val="21"/>
        </w:rPr>
        <w:t>（</w:t>
      </w:r>
      <w:r>
        <w:rPr>
          <w:rFonts w:ascii="黑体" w:eastAsia="黑体"/>
          <w:spacing w:val="-14"/>
          <w:sz w:val="21"/>
        </w:rPr>
        <w:t>见 </w:t>
      </w:r>
      <w:r>
        <w:rPr>
          <w:rFonts w:ascii="黑体" w:eastAsia="黑体"/>
          <w:sz w:val="21"/>
        </w:rPr>
        <w:t>8.36）的</w:t>
      </w:r>
      <w:r>
        <w:rPr>
          <w:rFonts w:ascii="黑体" w:eastAsia="黑体" w:hint="eastAsia"/>
          <w:b/>
          <w:sz w:val="21"/>
        </w:rPr>
        <w:t>机动车</w:t>
      </w:r>
      <w:r>
        <w:rPr>
          <w:rFonts w:ascii="黑体" w:eastAsia="黑体"/>
          <w:sz w:val="21"/>
        </w:rPr>
        <w:t>（</w:t>
      </w:r>
      <w:r>
        <w:rPr>
          <w:rFonts w:ascii="黑体" w:eastAsia="黑体"/>
          <w:spacing w:val="-12"/>
          <w:sz w:val="21"/>
        </w:rPr>
        <w:t>见 </w:t>
      </w:r>
      <w:r>
        <w:rPr>
          <w:rFonts w:ascii="黑体" w:eastAsia="黑体"/>
          <w:spacing w:val="18"/>
          <w:sz w:val="21"/>
        </w:rPr>
        <w:t>8.</w:t>
      </w:r>
      <w:r>
        <w:rPr>
          <w:rFonts w:ascii="黑体" w:eastAsia="黑体"/>
          <w:spacing w:val="15"/>
          <w:sz w:val="21"/>
        </w:rPr>
        <w:t>37</w:t>
      </w:r>
      <w:r>
        <w:rPr>
          <w:rFonts w:ascii="黑体" w:eastAsia="黑体"/>
          <w:spacing w:val="-88"/>
          <w:sz w:val="21"/>
        </w:rPr>
        <w:t>）</w:t>
      </w:r>
      <w:r>
        <w:rPr>
          <w:rFonts w:ascii="黑体" w:eastAsia="黑体"/>
          <w:spacing w:val="18"/>
          <w:sz w:val="21"/>
        </w:rPr>
        <w:t>；</w:t>
      </w:r>
    </w:p>
    <w:p>
      <w:pPr>
        <w:pStyle w:val="ListParagraph"/>
        <w:numPr>
          <w:ilvl w:val="0"/>
          <w:numId w:val="7"/>
        </w:numPr>
        <w:tabs>
          <w:tab w:pos="3329" w:val="left" w:leader="none"/>
        </w:tabs>
        <w:spacing w:line="242" w:lineRule="auto" w:before="57" w:after="0"/>
        <w:ind w:left="3328" w:right="269" w:hanging="720"/>
        <w:jc w:val="both"/>
        <w:rPr>
          <w:rFonts w:ascii="黑体" w:eastAsia="黑体"/>
          <w:sz w:val="21"/>
        </w:rPr>
      </w:pPr>
      <w:r>
        <w:rPr>
          <w:rFonts w:ascii="黑体" w:eastAsia="黑体"/>
          <w:spacing w:val="-10"/>
          <w:sz w:val="21"/>
        </w:rPr>
        <w:t>被保险人从事下列高风险运动：</w:t>
      </w:r>
      <w:r>
        <w:rPr>
          <w:rFonts w:ascii="黑体" w:eastAsia="黑体" w:hint="eastAsia"/>
          <w:b/>
          <w:spacing w:val="-10"/>
          <w:sz w:val="21"/>
        </w:rPr>
        <w:t>潜水</w:t>
      </w:r>
      <w:r>
        <w:rPr>
          <w:rFonts w:ascii="黑体" w:eastAsia="黑体"/>
          <w:spacing w:val="-10"/>
          <w:sz w:val="21"/>
        </w:rPr>
        <w:t>（</w:t>
      </w:r>
      <w:r>
        <w:rPr>
          <w:rFonts w:ascii="黑体" w:eastAsia="黑体"/>
          <w:spacing w:val="-14"/>
          <w:sz w:val="21"/>
        </w:rPr>
        <w:t>见 </w:t>
      </w:r>
      <w:r>
        <w:rPr>
          <w:rFonts w:ascii="黑体" w:eastAsia="黑体"/>
          <w:spacing w:val="11"/>
          <w:sz w:val="21"/>
        </w:rPr>
        <w:t>8.3</w:t>
      </w:r>
      <w:r>
        <w:rPr>
          <w:rFonts w:ascii="黑体" w:eastAsia="黑体"/>
          <w:spacing w:val="8"/>
          <w:sz w:val="21"/>
        </w:rPr>
        <w:t>8</w:t>
      </w:r>
      <w:r>
        <w:rPr>
          <w:rFonts w:ascii="黑体" w:eastAsia="黑体"/>
          <w:spacing w:val="-95"/>
          <w:sz w:val="21"/>
        </w:rPr>
        <w:t>）</w:t>
      </w:r>
      <w:r>
        <w:rPr>
          <w:rFonts w:ascii="黑体" w:eastAsia="黑体"/>
          <w:spacing w:val="-10"/>
          <w:sz w:val="21"/>
        </w:rPr>
        <w:t>、跳伞、</w:t>
      </w:r>
      <w:r>
        <w:rPr>
          <w:rFonts w:ascii="黑体" w:eastAsia="黑体" w:hint="eastAsia"/>
          <w:b/>
          <w:spacing w:val="-10"/>
          <w:sz w:val="21"/>
        </w:rPr>
        <w:t>攀岩</w:t>
      </w:r>
      <w:r>
        <w:rPr>
          <w:rFonts w:ascii="黑体" w:eastAsia="黑体"/>
          <w:spacing w:val="-10"/>
          <w:sz w:val="21"/>
        </w:rPr>
        <w:t>（</w:t>
      </w:r>
      <w:r>
        <w:rPr>
          <w:rFonts w:ascii="黑体" w:eastAsia="黑体"/>
          <w:spacing w:val="-13"/>
          <w:sz w:val="21"/>
        </w:rPr>
        <w:t>见 </w:t>
      </w:r>
      <w:r>
        <w:rPr>
          <w:rFonts w:ascii="黑体" w:eastAsia="黑体"/>
          <w:spacing w:val="12"/>
          <w:sz w:val="21"/>
        </w:rPr>
        <w:t>8</w:t>
      </w:r>
      <w:r>
        <w:rPr>
          <w:rFonts w:ascii="黑体" w:eastAsia="黑体"/>
          <w:spacing w:val="9"/>
          <w:sz w:val="21"/>
        </w:rPr>
        <w:t>.</w:t>
      </w:r>
      <w:r>
        <w:rPr>
          <w:rFonts w:ascii="黑体" w:eastAsia="黑体"/>
          <w:spacing w:val="12"/>
          <w:sz w:val="21"/>
        </w:rPr>
        <w:t>39</w:t>
      </w:r>
      <w:r>
        <w:rPr>
          <w:rFonts w:ascii="黑体" w:eastAsia="黑体"/>
          <w:spacing w:val="-96"/>
          <w:sz w:val="21"/>
        </w:rPr>
        <w:t>）</w:t>
      </w:r>
      <w:r>
        <w:rPr>
          <w:rFonts w:ascii="黑体" w:eastAsia="黑体"/>
          <w:spacing w:val="-10"/>
          <w:sz w:val="21"/>
        </w:rPr>
        <w:t>、驾</w:t>
      </w:r>
      <w:r>
        <w:rPr>
          <w:rFonts w:ascii="黑体" w:eastAsia="黑体"/>
          <w:w w:val="95"/>
          <w:sz w:val="21"/>
        </w:rPr>
        <w:t>驶</w:t>
      </w:r>
      <w:r>
        <w:rPr>
          <w:rFonts w:ascii="黑体" w:eastAsia="黑体"/>
          <w:w w:val="95"/>
          <w:sz w:val="21"/>
        </w:rPr>
        <w:t>滑</w:t>
      </w:r>
      <w:r>
        <w:rPr>
          <w:rFonts w:ascii="黑体" w:eastAsia="黑体"/>
          <w:w w:val="95"/>
          <w:sz w:val="21"/>
        </w:rPr>
        <w:t>翔机或者滑</w:t>
      </w:r>
      <w:r>
        <w:rPr>
          <w:rFonts w:ascii="黑体" w:eastAsia="黑体"/>
          <w:w w:val="95"/>
          <w:sz w:val="21"/>
        </w:rPr>
        <w:t>翔</w:t>
      </w:r>
      <w:r>
        <w:rPr>
          <w:rFonts w:ascii="黑体" w:eastAsia="黑体"/>
          <w:w w:val="95"/>
          <w:sz w:val="21"/>
        </w:rPr>
        <w:t>伞</w:t>
      </w:r>
      <w:r>
        <w:rPr>
          <w:rFonts w:ascii="黑体" w:eastAsia="黑体"/>
          <w:w w:val="95"/>
          <w:sz w:val="21"/>
        </w:rPr>
        <w:t>、</w:t>
      </w:r>
      <w:r>
        <w:rPr>
          <w:rFonts w:ascii="黑体" w:eastAsia="黑体" w:hint="eastAsia"/>
          <w:b/>
          <w:w w:val="95"/>
          <w:sz w:val="21"/>
        </w:rPr>
        <w:t>探险</w:t>
      </w:r>
      <w:r>
        <w:rPr>
          <w:rFonts w:ascii="黑体" w:eastAsia="黑体"/>
          <w:w w:val="95"/>
          <w:sz w:val="21"/>
        </w:rPr>
        <w:t>（</w:t>
      </w:r>
      <w:r>
        <w:rPr>
          <w:rFonts w:ascii="黑体" w:eastAsia="黑体"/>
          <w:spacing w:val="-11"/>
          <w:w w:val="95"/>
          <w:sz w:val="21"/>
        </w:rPr>
        <w:t>见 </w:t>
      </w:r>
      <w:r>
        <w:rPr>
          <w:rFonts w:ascii="黑体" w:eastAsia="黑体"/>
          <w:spacing w:val="21"/>
          <w:w w:val="95"/>
          <w:sz w:val="21"/>
        </w:rPr>
        <w:t>8</w:t>
      </w:r>
      <w:r>
        <w:rPr>
          <w:rFonts w:ascii="黑体" w:eastAsia="黑体"/>
          <w:spacing w:val="18"/>
          <w:w w:val="95"/>
          <w:sz w:val="21"/>
        </w:rPr>
        <w:t>.</w:t>
      </w:r>
      <w:r>
        <w:rPr>
          <w:rFonts w:ascii="黑体" w:eastAsia="黑体"/>
          <w:spacing w:val="21"/>
          <w:w w:val="95"/>
          <w:sz w:val="21"/>
        </w:rPr>
        <w:t>40</w:t>
      </w:r>
      <w:r>
        <w:rPr>
          <w:rFonts w:ascii="黑体" w:eastAsia="黑体"/>
          <w:spacing w:val="-85"/>
          <w:w w:val="95"/>
          <w:sz w:val="21"/>
        </w:rPr>
        <w:t>）</w:t>
      </w:r>
      <w:r>
        <w:rPr>
          <w:rFonts w:ascii="黑体" w:eastAsia="黑体"/>
          <w:w w:val="95"/>
          <w:sz w:val="21"/>
        </w:rPr>
        <w:t>、</w:t>
      </w:r>
      <w:r>
        <w:rPr>
          <w:rFonts w:ascii="黑体" w:eastAsia="黑体"/>
          <w:w w:val="95"/>
          <w:sz w:val="21"/>
        </w:rPr>
        <w:t>摔</w:t>
      </w:r>
      <w:r>
        <w:rPr>
          <w:rFonts w:ascii="黑体" w:eastAsia="黑体"/>
          <w:w w:val="95"/>
          <w:sz w:val="21"/>
        </w:rPr>
        <w:t>跤</w:t>
      </w:r>
      <w:r>
        <w:rPr>
          <w:rFonts w:ascii="黑体" w:eastAsia="黑体"/>
          <w:w w:val="95"/>
          <w:sz w:val="21"/>
        </w:rPr>
        <w:t>、</w:t>
      </w:r>
      <w:r>
        <w:rPr>
          <w:rFonts w:ascii="黑体" w:eastAsia="黑体" w:hint="eastAsia"/>
          <w:b/>
          <w:w w:val="95"/>
          <w:sz w:val="21"/>
        </w:rPr>
        <w:t>武</w:t>
      </w:r>
      <w:r>
        <w:rPr>
          <w:rFonts w:ascii="黑体" w:eastAsia="黑体" w:hint="eastAsia"/>
          <w:b/>
          <w:w w:val="95"/>
          <w:sz w:val="21"/>
        </w:rPr>
        <w:t>术</w:t>
      </w:r>
      <w:r>
        <w:rPr>
          <w:rFonts w:ascii="黑体" w:eastAsia="黑体" w:hint="eastAsia"/>
          <w:b/>
          <w:w w:val="95"/>
          <w:sz w:val="21"/>
        </w:rPr>
        <w:t>比</w:t>
      </w:r>
      <w:r>
        <w:rPr>
          <w:rFonts w:ascii="黑体" w:eastAsia="黑体" w:hint="eastAsia"/>
          <w:b/>
          <w:w w:val="95"/>
          <w:sz w:val="21"/>
        </w:rPr>
        <w:t>赛</w:t>
      </w:r>
      <w:r>
        <w:rPr>
          <w:rFonts w:ascii="黑体" w:eastAsia="黑体"/>
          <w:w w:val="95"/>
          <w:sz w:val="21"/>
        </w:rPr>
        <w:t>（</w:t>
      </w:r>
      <w:r>
        <w:rPr>
          <w:rFonts w:ascii="黑体" w:eastAsia="黑体"/>
          <w:spacing w:val="-11"/>
          <w:w w:val="95"/>
          <w:sz w:val="21"/>
        </w:rPr>
        <w:t>见 </w:t>
      </w:r>
      <w:r>
        <w:rPr>
          <w:rFonts w:ascii="黑体" w:eastAsia="黑体"/>
          <w:spacing w:val="21"/>
          <w:w w:val="95"/>
          <w:sz w:val="21"/>
        </w:rPr>
        <w:t>8</w:t>
      </w:r>
      <w:r>
        <w:rPr>
          <w:rFonts w:ascii="黑体" w:eastAsia="黑体"/>
          <w:spacing w:val="18"/>
          <w:w w:val="95"/>
          <w:sz w:val="21"/>
        </w:rPr>
        <w:t>.</w:t>
      </w:r>
      <w:r>
        <w:rPr>
          <w:rFonts w:ascii="黑体" w:eastAsia="黑体"/>
          <w:spacing w:val="21"/>
          <w:w w:val="95"/>
          <w:sz w:val="21"/>
        </w:rPr>
        <w:t>41</w:t>
      </w:r>
      <w:r>
        <w:rPr>
          <w:rFonts w:ascii="黑体" w:eastAsia="黑体"/>
          <w:spacing w:val="-85"/>
          <w:w w:val="95"/>
          <w:sz w:val="21"/>
        </w:rPr>
        <w:t>）</w:t>
      </w:r>
      <w:r>
        <w:rPr>
          <w:rFonts w:ascii="黑体" w:eastAsia="黑体"/>
          <w:w w:val="95"/>
          <w:sz w:val="21"/>
        </w:rPr>
        <w:t>、</w:t>
      </w:r>
      <w:r>
        <w:rPr>
          <w:rFonts w:ascii="黑体" w:eastAsia="黑体" w:hint="eastAsia"/>
          <w:b/>
          <w:w w:val="95"/>
          <w:sz w:val="21"/>
        </w:rPr>
        <w:t>特</w:t>
      </w:r>
      <w:r>
        <w:rPr>
          <w:rFonts w:ascii="黑体" w:eastAsia="黑体" w:hint="eastAsia"/>
          <w:b/>
          <w:w w:val="95"/>
          <w:sz w:val="21"/>
        </w:rPr>
        <w:t>技</w:t>
      </w:r>
      <w:r>
        <w:rPr>
          <w:rFonts w:ascii="黑体" w:eastAsia="黑体" w:hint="eastAsia"/>
          <w:b/>
          <w:w w:val="95"/>
          <w:sz w:val="21"/>
        </w:rPr>
        <w:t>表</w:t>
      </w:r>
      <w:r>
        <w:rPr>
          <w:rFonts w:ascii="黑体" w:eastAsia="黑体" w:hint="eastAsia"/>
          <w:b/>
          <w:sz w:val="21"/>
        </w:rPr>
        <w:t>演</w:t>
      </w:r>
      <w:r>
        <w:rPr>
          <w:rFonts w:ascii="黑体" w:eastAsia="黑体"/>
          <w:sz w:val="21"/>
        </w:rPr>
        <w:t>（</w:t>
      </w:r>
      <w:r>
        <w:rPr>
          <w:rFonts w:ascii="黑体" w:eastAsia="黑体"/>
          <w:spacing w:val="-23"/>
          <w:sz w:val="21"/>
        </w:rPr>
        <w:t>见 </w:t>
      </w:r>
      <w:r>
        <w:rPr>
          <w:rFonts w:ascii="黑体" w:eastAsia="黑体"/>
          <w:spacing w:val="21"/>
          <w:sz w:val="21"/>
        </w:rPr>
        <w:t>8.42</w:t>
      </w:r>
      <w:r>
        <w:rPr>
          <w:rFonts w:ascii="黑体" w:eastAsia="黑体"/>
          <w:spacing w:val="-87"/>
          <w:sz w:val="21"/>
        </w:rPr>
        <w:t>）</w:t>
      </w:r>
      <w:r>
        <w:rPr>
          <w:rFonts w:ascii="黑体" w:eastAsia="黑体"/>
          <w:sz w:val="21"/>
        </w:rPr>
        <w:t>、赛马、赛车；</w:t>
      </w:r>
    </w:p>
    <w:p>
      <w:pPr>
        <w:pStyle w:val="ListParagraph"/>
        <w:numPr>
          <w:ilvl w:val="0"/>
          <w:numId w:val="7"/>
        </w:numPr>
        <w:tabs>
          <w:tab w:pos="3329" w:val="left" w:leader="none"/>
        </w:tabs>
        <w:spacing w:line="240" w:lineRule="auto" w:before="63" w:after="0"/>
        <w:ind w:left="3328" w:right="0" w:hanging="721"/>
        <w:jc w:val="both"/>
        <w:rPr>
          <w:rFonts w:ascii="黑体" w:eastAsia="黑体"/>
          <w:sz w:val="21"/>
        </w:rPr>
      </w:pPr>
      <w:r>
        <w:rPr>
          <w:rFonts w:ascii="黑体" w:eastAsia="黑体"/>
          <w:spacing w:val="-3"/>
          <w:sz w:val="21"/>
        </w:rPr>
        <w:t>战争、军事行动、暴乱、武装叛乱、核爆炸、核辐射、核污染；</w:t>
      </w:r>
    </w:p>
    <w:p>
      <w:pPr>
        <w:pStyle w:val="ListParagraph"/>
        <w:numPr>
          <w:ilvl w:val="0"/>
          <w:numId w:val="7"/>
        </w:numPr>
        <w:tabs>
          <w:tab w:pos="3329" w:val="left" w:leader="none"/>
        </w:tabs>
        <w:spacing w:line="244" w:lineRule="auto" w:before="62" w:after="0"/>
        <w:ind w:left="3328" w:right="271" w:hanging="720"/>
        <w:jc w:val="left"/>
        <w:rPr>
          <w:rFonts w:ascii="黑体" w:eastAsia="黑体"/>
          <w:sz w:val="21"/>
        </w:rPr>
      </w:pPr>
      <w:r>
        <w:rPr>
          <w:rFonts w:ascii="黑体" w:eastAsia="黑体"/>
          <w:spacing w:val="-2"/>
          <w:sz w:val="21"/>
        </w:rPr>
        <w:t>未经科学或者医学认可的试验性或者研究性治疗及其产生的后果所产生的费</w:t>
      </w:r>
      <w:r>
        <w:rPr>
          <w:rFonts w:ascii="黑体" w:eastAsia="黑体"/>
          <w:spacing w:val="-6"/>
          <w:sz w:val="21"/>
        </w:rPr>
        <w:t>用；</w:t>
      </w:r>
    </w:p>
    <w:p>
      <w:pPr>
        <w:pStyle w:val="ListParagraph"/>
        <w:numPr>
          <w:ilvl w:val="0"/>
          <w:numId w:val="7"/>
        </w:numPr>
        <w:tabs>
          <w:tab w:pos="3329" w:val="left" w:leader="none"/>
        </w:tabs>
        <w:spacing w:line="244" w:lineRule="auto" w:before="56" w:after="0"/>
        <w:ind w:left="3328" w:right="269" w:hanging="720"/>
        <w:jc w:val="left"/>
        <w:rPr>
          <w:rFonts w:ascii="黑体" w:eastAsia="黑体"/>
          <w:sz w:val="21"/>
        </w:rPr>
      </w:pPr>
      <w:r>
        <w:rPr>
          <w:rFonts w:ascii="黑体" w:eastAsia="黑体"/>
          <w:spacing w:val="-2"/>
          <w:sz w:val="21"/>
        </w:rPr>
        <w:t>未被治疗所在地权威部门批准的治疗，未获得治疗所在地政府许可或者批准</w:t>
      </w:r>
      <w:r>
        <w:rPr>
          <w:rFonts w:ascii="黑体" w:eastAsia="黑体"/>
          <w:spacing w:val="-2"/>
          <w:sz w:val="21"/>
        </w:rPr>
        <w:t>的药品或者药物；</w:t>
      </w:r>
    </w:p>
    <w:p>
      <w:pPr>
        <w:pStyle w:val="ListParagraph"/>
        <w:numPr>
          <w:ilvl w:val="0"/>
          <w:numId w:val="7"/>
        </w:numPr>
        <w:tabs>
          <w:tab w:pos="3329" w:val="left" w:leader="none"/>
        </w:tabs>
        <w:spacing w:line="242" w:lineRule="auto" w:before="56" w:after="0"/>
        <w:ind w:left="3328" w:right="271" w:hanging="720"/>
        <w:jc w:val="left"/>
        <w:rPr>
          <w:rFonts w:ascii="黑体" w:eastAsia="黑体"/>
          <w:sz w:val="21"/>
        </w:rPr>
      </w:pPr>
      <w:r>
        <w:rPr>
          <w:rFonts w:ascii="黑体" w:eastAsia="黑体"/>
          <w:spacing w:val="-2"/>
          <w:sz w:val="21"/>
        </w:rPr>
        <w:t>各类医疗鉴定，包括但不限于医疗事故鉴定、精神病鉴定、孕妇胎儿性别鉴</w:t>
      </w:r>
      <w:r>
        <w:rPr>
          <w:rFonts w:ascii="黑体" w:eastAsia="黑体"/>
          <w:spacing w:val="-2"/>
          <w:sz w:val="21"/>
        </w:rPr>
        <w:t>定、验伤鉴定、亲子鉴定、遗传基因鉴定费用；</w:t>
      </w:r>
    </w:p>
    <w:p>
      <w:pPr>
        <w:pStyle w:val="ListParagraph"/>
        <w:numPr>
          <w:ilvl w:val="0"/>
          <w:numId w:val="7"/>
        </w:numPr>
        <w:tabs>
          <w:tab w:pos="3329" w:val="left" w:leader="none"/>
        </w:tabs>
        <w:spacing w:line="240" w:lineRule="auto" w:before="61" w:after="0"/>
        <w:ind w:left="3328" w:right="0" w:hanging="721"/>
        <w:jc w:val="left"/>
        <w:rPr>
          <w:rFonts w:ascii="黑体" w:eastAsia="黑体"/>
          <w:sz w:val="21"/>
        </w:rPr>
      </w:pPr>
      <w:r>
        <w:rPr>
          <w:rFonts w:ascii="黑体" w:eastAsia="黑体" w:hint="eastAsia"/>
          <w:b/>
          <w:spacing w:val="-10"/>
          <w:sz w:val="21"/>
        </w:rPr>
        <w:t>质子治疗</w:t>
      </w:r>
      <w:r>
        <w:rPr>
          <w:rFonts w:ascii="黑体" w:eastAsia="黑体"/>
          <w:spacing w:val="-10"/>
          <w:sz w:val="21"/>
        </w:rPr>
        <w:t>（</w:t>
      </w:r>
      <w:r>
        <w:rPr>
          <w:rFonts w:ascii="黑体" w:eastAsia="黑体"/>
          <w:spacing w:val="-28"/>
          <w:sz w:val="21"/>
        </w:rPr>
        <w:t>见 </w:t>
      </w:r>
      <w:r>
        <w:rPr>
          <w:rFonts w:ascii="黑体" w:eastAsia="黑体"/>
          <w:spacing w:val="11"/>
          <w:sz w:val="21"/>
        </w:rPr>
        <w:t>8.</w:t>
      </w:r>
      <w:r>
        <w:rPr>
          <w:rFonts w:ascii="黑体" w:eastAsia="黑体"/>
          <w:spacing w:val="8"/>
          <w:sz w:val="21"/>
        </w:rPr>
        <w:t>4</w:t>
      </w:r>
      <w:r>
        <w:rPr>
          <w:rFonts w:ascii="黑体" w:eastAsia="黑体"/>
          <w:spacing w:val="11"/>
          <w:sz w:val="21"/>
        </w:rPr>
        <w:t>3</w:t>
      </w:r>
      <w:r>
        <w:rPr>
          <w:rFonts w:ascii="黑体" w:eastAsia="黑体"/>
          <w:spacing w:val="-95"/>
          <w:sz w:val="21"/>
        </w:rPr>
        <w:t>）</w:t>
      </w:r>
      <w:r>
        <w:rPr>
          <w:rFonts w:ascii="黑体" w:eastAsia="黑体"/>
          <w:spacing w:val="-10"/>
          <w:sz w:val="21"/>
        </w:rPr>
        <w:t>、</w:t>
      </w:r>
      <w:r>
        <w:rPr>
          <w:rFonts w:ascii="黑体" w:eastAsia="黑体" w:hint="eastAsia"/>
          <w:b/>
          <w:spacing w:val="-10"/>
          <w:sz w:val="21"/>
        </w:rPr>
        <w:t>重离子治疗</w:t>
      </w:r>
      <w:r>
        <w:rPr>
          <w:rFonts w:ascii="黑体" w:eastAsia="黑体"/>
          <w:spacing w:val="-10"/>
          <w:sz w:val="21"/>
        </w:rPr>
        <w:t>（</w:t>
      </w:r>
      <w:r>
        <w:rPr>
          <w:rFonts w:ascii="黑体" w:eastAsia="黑体"/>
          <w:spacing w:val="-27"/>
          <w:sz w:val="21"/>
        </w:rPr>
        <w:t>见 </w:t>
      </w:r>
      <w:r>
        <w:rPr>
          <w:rFonts w:ascii="黑体" w:eastAsia="黑体"/>
          <w:spacing w:val="11"/>
          <w:sz w:val="21"/>
        </w:rPr>
        <w:t>8.</w:t>
      </w:r>
      <w:r>
        <w:rPr>
          <w:rFonts w:ascii="黑体" w:eastAsia="黑体"/>
          <w:spacing w:val="8"/>
          <w:sz w:val="21"/>
        </w:rPr>
        <w:t>4</w:t>
      </w:r>
      <w:r>
        <w:rPr>
          <w:rFonts w:ascii="黑体" w:eastAsia="黑体"/>
          <w:spacing w:val="11"/>
          <w:sz w:val="21"/>
        </w:rPr>
        <w:t>4</w:t>
      </w:r>
      <w:r>
        <w:rPr>
          <w:rFonts w:ascii="黑体" w:eastAsia="黑体"/>
          <w:spacing w:val="-95"/>
          <w:sz w:val="21"/>
        </w:rPr>
        <w:t>）</w:t>
      </w:r>
      <w:r>
        <w:rPr>
          <w:rFonts w:ascii="黑体" w:eastAsia="黑体"/>
          <w:spacing w:val="-10"/>
          <w:sz w:val="21"/>
        </w:rPr>
        <w:t>。</w:t>
      </w:r>
    </w:p>
    <w:p>
      <w:pPr>
        <w:pStyle w:val="BodyText"/>
        <w:spacing w:before="12"/>
        <w:rPr>
          <w:rFonts w:ascii="黑体"/>
          <w:sz w:val="12"/>
        </w:rPr>
      </w:pPr>
    </w:p>
    <w:p>
      <w:pPr>
        <w:pStyle w:val="Heading2"/>
        <w:numPr>
          <w:ilvl w:val="2"/>
          <w:numId w:val="4"/>
        </w:numPr>
        <w:tabs>
          <w:tab w:pos="1139" w:val="left" w:leader="none"/>
          <w:tab w:pos="1140" w:val="left" w:leader="none"/>
        </w:tabs>
        <w:spacing w:line="240" w:lineRule="auto" w:before="66" w:after="4"/>
        <w:ind w:left="1139" w:right="0" w:hanging="661"/>
        <w:jc w:val="left"/>
      </w:pPr>
      <w:r>
        <w:rPr>
          <w:w w:val="95"/>
        </w:rPr>
        <w:t>保险金</w:t>
      </w:r>
      <w:r>
        <w:rPr>
          <w:w w:val="95"/>
        </w:rPr>
        <w:t>的</w:t>
      </w:r>
      <w:r>
        <w:rPr>
          <w:w w:val="95"/>
        </w:rPr>
        <w:t>申</w:t>
      </w:r>
      <w:r>
        <w:rPr>
          <w:spacing w:val="-10"/>
          <w:w w:val="95"/>
        </w:rPr>
        <w:t>请</w:t>
      </w:r>
    </w:p>
    <w:p>
      <w:pPr>
        <w:pStyle w:val="BodyText"/>
        <w:spacing w:line="20" w:lineRule="exact"/>
        <w:ind w:left="371"/>
        <w:rPr>
          <w:sz w:val="2"/>
        </w:rPr>
      </w:pPr>
      <w:r>
        <w:rPr>
          <w:sz w:val="2"/>
        </w:rPr>
        <w:drawing>
          <wp:inline distT="0" distB="0" distL="0" distR="0">
            <wp:extent cx="6301227" cy="6096"/>
            <wp:effectExtent l="0" t="0" r="0" b="0"/>
            <wp:docPr id="9" name="image3.png"/>
            <wp:cNvGraphicFramePr>
              <a:graphicFrameLocks noChangeAspect="1"/>
            </wp:cNvGraphicFramePr>
            <a:graphic>
              <a:graphicData uri="http://schemas.openxmlformats.org/drawingml/2006/picture">
                <pic:pic>
                  <pic:nvPicPr>
                    <pic:cNvPr id="10" name="image3.png"/>
                    <pic:cNvPicPr/>
                  </pic:nvPicPr>
                  <pic:blipFill>
                    <a:blip r:embed="rId7" cstate="print"/>
                    <a:stretch>
                      <a:fillRect/>
                    </a:stretch>
                  </pic:blipFill>
                  <pic:spPr>
                    <a:xfrm>
                      <a:off x="0" y="0"/>
                      <a:ext cx="6301227" cy="6096"/>
                    </a:xfrm>
                    <a:prstGeom prst="rect">
                      <a:avLst/>
                    </a:prstGeom>
                  </pic:spPr>
                </pic:pic>
              </a:graphicData>
            </a:graphic>
          </wp:inline>
        </w:drawing>
      </w:r>
      <w:r>
        <w:rPr>
          <w:sz w:val="2"/>
        </w:rPr>
      </w:r>
    </w:p>
    <w:p>
      <w:pPr>
        <w:pStyle w:val="ListParagraph"/>
        <w:numPr>
          <w:ilvl w:val="3"/>
          <w:numId w:val="4"/>
        </w:numPr>
        <w:tabs>
          <w:tab w:pos="1139" w:val="left" w:leader="none"/>
          <w:tab w:pos="1140" w:val="left" w:leader="none"/>
          <w:tab w:pos="2608" w:val="left" w:leader="none"/>
        </w:tabs>
        <w:spacing w:line="240" w:lineRule="auto" w:before="211" w:after="0"/>
        <w:ind w:left="1139" w:right="0" w:hanging="661"/>
        <w:jc w:val="left"/>
        <w:rPr>
          <w:sz w:val="21"/>
        </w:rPr>
      </w:pPr>
      <w:r>
        <w:rPr>
          <w:b/>
          <w:sz w:val="21"/>
        </w:rPr>
        <w:t>受益</w:t>
      </w:r>
      <w:r>
        <w:rPr>
          <w:b/>
          <w:spacing w:val="-10"/>
          <w:sz w:val="21"/>
        </w:rPr>
        <w:t>人</w:t>
      </w:r>
      <w:r>
        <w:rPr>
          <w:b/>
          <w:sz w:val="21"/>
        </w:rPr>
        <w:tab/>
      </w:r>
      <w:r>
        <w:rPr>
          <w:spacing w:val="-2"/>
          <w:sz w:val="21"/>
        </w:rPr>
        <w:t>除</w:t>
      </w:r>
      <w:r>
        <w:rPr>
          <w:spacing w:val="-2"/>
          <w:sz w:val="21"/>
        </w:rPr>
        <w:t>另</w:t>
      </w:r>
      <w:r>
        <w:rPr>
          <w:spacing w:val="-2"/>
          <w:sz w:val="21"/>
        </w:rPr>
        <w:t>有指定外，本合同的</w:t>
      </w:r>
      <w:r>
        <w:rPr>
          <w:spacing w:val="-2"/>
          <w:sz w:val="21"/>
        </w:rPr>
        <w:t>医</w:t>
      </w:r>
      <w:r>
        <w:rPr>
          <w:spacing w:val="-2"/>
          <w:sz w:val="21"/>
        </w:rPr>
        <w:t>疗</w:t>
      </w:r>
      <w:r>
        <w:rPr>
          <w:spacing w:val="-2"/>
          <w:sz w:val="21"/>
        </w:rPr>
        <w:t>保险金受益人为被保</w:t>
      </w:r>
      <w:r>
        <w:rPr>
          <w:spacing w:val="-2"/>
          <w:sz w:val="21"/>
        </w:rPr>
        <w:t>险</w:t>
      </w:r>
      <w:r>
        <w:rPr>
          <w:spacing w:val="-2"/>
          <w:sz w:val="21"/>
        </w:rPr>
        <w:t>人</w:t>
      </w:r>
      <w:r>
        <w:rPr>
          <w:spacing w:val="-2"/>
          <w:sz w:val="21"/>
        </w:rPr>
        <w:t>本</w:t>
      </w:r>
      <w:r>
        <w:rPr>
          <w:spacing w:val="-2"/>
          <w:sz w:val="21"/>
        </w:rPr>
        <w:t>人</w:t>
      </w:r>
      <w:r>
        <w:rPr>
          <w:spacing w:val="-10"/>
          <w:sz w:val="21"/>
        </w:rPr>
        <w:t>。</w:t>
      </w:r>
    </w:p>
    <w:p>
      <w:pPr>
        <w:pStyle w:val="BodyText"/>
        <w:spacing w:before="7"/>
        <w:rPr>
          <w:sz w:val="12"/>
        </w:rPr>
      </w:pPr>
    </w:p>
    <w:p>
      <w:pPr>
        <w:spacing w:after="0"/>
        <w:rPr>
          <w:sz w:val="12"/>
        </w:rPr>
        <w:sectPr>
          <w:pgSz w:w="11910" w:h="16850"/>
          <w:pgMar w:top="1080" w:bottom="280" w:left="620" w:right="720"/>
        </w:sectPr>
      </w:pPr>
    </w:p>
    <w:p>
      <w:pPr>
        <w:pStyle w:val="Heading3"/>
        <w:numPr>
          <w:ilvl w:val="3"/>
          <w:numId w:val="4"/>
        </w:numPr>
        <w:tabs>
          <w:tab w:pos="1139" w:val="left" w:leader="none"/>
          <w:tab w:pos="1140" w:val="left" w:leader="none"/>
        </w:tabs>
        <w:spacing w:line="244" w:lineRule="auto" w:before="72" w:after="0"/>
        <w:ind w:left="1139" w:right="0" w:hanging="661"/>
        <w:jc w:val="left"/>
      </w:pPr>
      <w:r>
        <w:rPr>
          <w:spacing w:val="-2"/>
        </w:rPr>
        <w:t>保险事故通</w:t>
      </w:r>
      <w:r>
        <w:rPr>
          <w:spacing w:val="-10"/>
        </w:rPr>
        <w:t>知</w:t>
      </w:r>
    </w:p>
    <w:p>
      <w:pPr>
        <w:pStyle w:val="BodyText"/>
        <w:spacing w:line="242" w:lineRule="auto" w:before="72"/>
        <w:ind w:left="372" w:right="370"/>
        <w:jc w:val="both"/>
        <w:rPr>
          <w:rFonts w:ascii="黑体" w:eastAsia="黑体"/>
        </w:rPr>
      </w:pPr>
      <w:r>
        <w:rPr/>
        <w:br w:type="column"/>
      </w:r>
      <w:r>
        <w:rPr>
          <w:rFonts w:ascii="黑体" w:eastAsia="黑体"/>
          <w:spacing w:val="-4"/>
        </w:rPr>
        <w:t>您或者受益人知道保险事故发生后应当在 </w:t>
      </w:r>
      <w:r>
        <w:rPr>
          <w:rFonts w:ascii="黑体" w:eastAsia="黑体"/>
          <w:spacing w:val="-2"/>
        </w:rPr>
        <w:t>10</w:t>
      </w:r>
      <w:r>
        <w:rPr>
          <w:rFonts w:ascii="黑体" w:eastAsia="黑体"/>
          <w:spacing w:val="-13"/>
        </w:rPr>
        <w:t> 日内通知我们。故意或者因重大过失未</w:t>
      </w:r>
      <w:r>
        <w:rPr>
          <w:rFonts w:ascii="黑体" w:eastAsia="黑体"/>
          <w:spacing w:val="-2"/>
        </w:rPr>
        <w:t>及时通知，致使保险事故的性质、原因、损失程度等难以确定的，我们对无法确定</w:t>
      </w:r>
      <w:r>
        <w:rPr>
          <w:rFonts w:ascii="黑体" w:eastAsia="黑体"/>
          <w:spacing w:val="-2"/>
        </w:rPr>
        <w:t>的部分不承担给付保险金的责任，但我们通过其他途径已经及时知道或者应当及时</w:t>
      </w:r>
      <w:r>
        <w:rPr>
          <w:rFonts w:ascii="黑体" w:eastAsia="黑体"/>
          <w:spacing w:val="-2"/>
        </w:rPr>
        <w:t>知道保险事故发生或者虽未及时通知但不影响我们确定保险事故的性质、原因、损</w:t>
      </w:r>
      <w:r>
        <w:rPr>
          <w:rFonts w:ascii="黑体" w:eastAsia="黑体"/>
          <w:spacing w:val="-2"/>
        </w:rPr>
        <w:t>失程度的除外。</w:t>
      </w:r>
    </w:p>
    <w:p>
      <w:pPr>
        <w:spacing w:after="0" w:line="242" w:lineRule="auto"/>
        <w:jc w:val="both"/>
        <w:rPr>
          <w:rFonts w:ascii="黑体" w:eastAsia="黑体"/>
        </w:rPr>
        <w:sectPr>
          <w:type w:val="continuous"/>
          <w:pgSz w:w="11910" w:h="16850"/>
          <w:pgMar w:top="520" w:bottom="280" w:left="620" w:right="720"/>
          <w:cols w:num="2" w:equalWidth="0">
            <w:col w:w="2196" w:space="40"/>
            <w:col w:w="8334"/>
          </w:cols>
        </w:sectPr>
      </w:pPr>
    </w:p>
    <w:p>
      <w:pPr>
        <w:pStyle w:val="BodyText"/>
        <w:spacing w:before="7"/>
        <w:rPr>
          <w:rFonts w:ascii="黑体"/>
          <w:sz w:val="12"/>
        </w:rPr>
      </w:pPr>
    </w:p>
    <w:p>
      <w:pPr>
        <w:pStyle w:val="ListParagraph"/>
        <w:numPr>
          <w:ilvl w:val="3"/>
          <w:numId w:val="4"/>
        </w:numPr>
        <w:tabs>
          <w:tab w:pos="1140" w:val="left" w:leader="none"/>
        </w:tabs>
        <w:spacing w:line="244" w:lineRule="auto" w:before="72" w:after="0"/>
        <w:ind w:left="2601" w:right="372" w:hanging="2122"/>
        <w:jc w:val="both"/>
        <w:rPr>
          <w:sz w:val="21"/>
        </w:rPr>
      </w:pPr>
      <w:r>
        <w:rPr>
          <w:b/>
          <w:spacing w:val="49"/>
          <w:sz w:val="21"/>
        </w:rPr>
        <w:t>保险金申请 </w:t>
      </w:r>
      <w:r>
        <w:rPr>
          <w:sz w:val="21"/>
        </w:rPr>
        <w:t>在申请保险金时，受益人作为申请人须填写领取保险金申请书，并须提供下列证明</w:t>
      </w:r>
      <w:r>
        <w:rPr>
          <w:spacing w:val="-2"/>
          <w:sz w:val="21"/>
        </w:rPr>
        <w:t>和资料的原件：</w:t>
      </w:r>
    </w:p>
    <w:p>
      <w:pPr>
        <w:pStyle w:val="ListParagraph"/>
        <w:numPr>
          <w:ilvl w:val="0"/>
          <w:numId w:val="8"/>
        </w:numPr>
        <w:tabs>
          <w:tab w:pos="3322" w:val="left" w:leader="none"/>
        </w:tabs>
        <w:spacing w:line="240" w:lineRule="auto" w:before="56" w:after="0"/>
        <w:ind w:left="3321" w:right="0" w:hanging="721"/>
        <w:jc w:val="both"/>
        <w:rPr>
          <w:sz w:val="21"/>
        </w:rPr>
      </w:pPr>
      <w:r>
        <w:rPr>
          <w:spacing w:val="-4"/>
          <w:sz w:val="21"/>
        </w:rPr>
        <w:t>本合同；</w:t>
      </w:r>
    </w:p>
    <w:p>
      <w:pPr>
        <w:pStyle w:val="ListParagraph"/>
        <w:numPr>
          <w:ilvl w:val="0"/>
          <w:numId w:val="8"/>
        </w:numPr>
        <w:tabs>
          <w:tab w:pos="3322" w:val="left" w:leader="none"/>
        </w:tabs>
        <w:spacing w:line="240" w:lineRule="auto" w:before="65" w:after="0"/>
        <w:ind w:left="3321" w:right="0" w:hanging="721"/>
        <w:jc w:val="both"/>
        <w:rPr>
          <w:sz w:val="21"/>
        </w:rPr>
      </w:pPr>
      <w:r>
        <w:rPr>
          <w:spacing w:val="-2"/>
          <w:sz w:val="21"/>
        </w:rPr>
        <w:t>受益人的</w:t>
      </w:r>
      <w:r>
        <w:rPr>
          <w:b/>
          <w:spacing w:val="-2"/>
          <w:sz w:val="21"/>
        </w:rPr>
        <w:t>有效身份证件</w:t>
      </w:r>
      <w:r>
        <w:rPr>
          <w:spacing w:val="-2"/>
          <w:sz w:val="21"/>
        </w:rPr>
        <w:t>（</w:t>
      </w:r>
      <w:r>
        <w:rPr>
          <w:spacing w:val="-21"/>
          <w:sz w:val="21"/>
        </w:rPr>
        <w:t>见 </w:t>
      </w:r>
      <w:r>
        <w:rPr>
          <w:spacing w:val="33"/>
          <w:sz w:val="21"/>
        </w:rPr>
        <w:t>8.</w:t>
      </w:r>
      <w:r>
        <w:rPr>
          <w:spacing w:val="31"/>
          <w:sz w:val="21"/>
        </w:rPr>
        <w:t>4</w:t>
      </w:r>
      <w:r>
        <w:rPr>
          <w:spacing w:val="33"/>
          <w:sz w:val="21"/>
        </w:rPr>
        <w:t>5</w:t>
      </w:r>
      <w:r>
        <w:rPr>
          <w:spacing w:val="-73"/>
          <w:sz w:val="21"/>
        </w:rPr>
        <w:t>）；</w:t>
      </w:r>
    </w:p>
    <w:p>
      <w:pPr>
        <w:pStyle w:val="ListParagraph"/>
        <w:numPr>
          <w:ilvl w:val="0"/>
          <w:numId w:val="8"/>
        </w:numPr>
        <w:tabs>
          <w:tab w:pos="3322" w:val="left" w:leader="none"/>
        </w:tabs>
        <w:spacing w:line="244" w:lineRule="auto" w:before="62" w:after="0"/>
        <w:ind w:left="3321" w:right="370" w:hanging="720"/>
        <w:jc w:val="both"/>
        <w:rPr>
          <w:sz w:val="21"/>
        </w:rPr>
      </w:pPr>
      <w:r>
        <w:rPr>
          <w:sz w:val="21"/>
        </w:rPr>
        <w:t>由医院</w:t>
      </w:r>
      <w:r>
        <w:rPr>
          <w:b/>
          <w:sz w:val="21"/>
        </w:rPr>
        <w:t>专科医生</w:t>
      </w:r>
      <w:r>
        <w:rPr>
          <w:sz w:val="21"/>
        </w:rPr>
        <w:t>（见 8.46）出具的被保险人的诊断证明、医院出具的医疗</w:t>
      </w:r>
      <w:r>
        <w:rPr>
          <w:spacing w:val="-2"/>
          <w:sz w:val="21"/>
        </w:rPr>
        <w:t>费用收据或者发票，我们留存其原件；</w:t>
      </w:r>
    </w:p>
    <w:p>
      <w:pPr>
        <w:pStyle w:val="ListParagraph"/>
        <w:numPr>
          <w:ilvl w:val="0"/>
          <w:numId w:val="8"/>
        </w:numPr>
        <w:tabs>
          <w:tab w:pos="3322" w:val="left" w:leader="none"/>
        </w:tabs>
        <w:spacing w:line="242" w:lineRule="auto" w:before="56" w:after="0"/>
        <w:ind w:left="3321" w:right="370" w:hanging="720"/>
        <w:jc w:val="both"/>
        <w:rPr>
          <w:sz w:val="21"/>
        </w:rPr>
      </w:pPr>
      <w:r>
        <w:rPr>
          <w:spacing w:val="-7"/>
          <w:w w:val="100"/>
          <w:sz w:val="21"/>
        </w:rPr>
        <w:t>医院出具的被保险人的处方、医疗费用清单、门诊及住院病历、入出院记录</w:t>
      </w:r>
      <w:r>
        <w:rPr>
          <w:spacing w:val="1"/>
          <w:w w:val="100"/>
          <w:sz w:val="21"/>
        </w:rPr>
        <w:t>以及与诊断证明相关的病理显微镜检查、血液检验及其他科学方法检验报告；</w:t>
      </w:r>
    </w:p>
    <w:p>
      <w:pPr>
        <w:pStyle w:val="ListParagraph"/>
        <w:numPr>
          <w:ilvl w:val="0"/>
          <w:numId w:val="8"/>
        </w:numPr>
        <w:tabs>
          <w:tab w:pos="3322" w:val="left" w:leader="none"/>
        </w:tabs>
        <w:spacing w:line="242" w:lineRule="auto" w:before="63" w:after="0"/>
        <w:ind w:left="3321" w:right="372" w:hanging="720"/>
        <w:jc w:val="both"/>
        <w:rPr>
          <w:sz w:val="21"/>
        </w:rPr>
      </w:pPr>
      <w:r>
        <w:rPr>
          <w:spacing w:val="-6"/>
          <w:sz w:val="21"/>
        </w:rPr>
        <w:t>首次申请非因重大疾病医疗保险金时，应提供被保险人在本合同保险期间内</w:t>
      </w:r>
      <w:r>
        <w:rPr>
          <w:spacing w:val="-2"/>
          <w:sz w:val="21"/>
        </w:rPr>
        <w:t>历次治疗的上述第（3）和第（4）项医疗资料；</w:t>
      </w:r>
    </w:p>
    <w:p>
      <w:pPr>
        <w:pStyle w:val="ListParagraph"/>
        <w:numPr>
          <w:ilvl w:val="0"/>
          <w:numId w:val="8"/>
        </w:numPr>
        <w:tabs>
          <w:tab w:pos="3322" w:val="left" w:leader="none"/>
        </w:tabs>
        <w:spacing w:line="242" w:lineRule="auto" w:before="61" w:after="0"/>
        <w:ind w:left="3321" w:right="372" w:hanging="720"/>
        <w:jc w:val="both"/>
        <w:rPr>
          <w:sz w:val="21"/>
        </w:rPr>
      </w:pPr>
      <w:r>
        <w:rPr>
          <w:spacing w:val="-2"/>
          <w:sz w:val="21"/>
        </w:rPr>
        <w:t>如果已从其他途经获得了补偿，则须提供从其他途径报销的凭证，我们留存</w:t>
      </w:r>
      <w:r>
        <w:rPr>
          <w:spacing w:val="-4"/>
          <w:sz w:val="21"/>
        </w:rPr>
        <w:t>其原件；</w:t>
      </w:r>
    </w:p>
    <w:p>
      <w:pPr>
        <w:spacing w:after="0" w:line="242" w:lineRule="auto"/>
        <w:jc w:val="both"/>
        <w:rPr>
          <w:sz w:val="21"/>
        </w:rPr>
        <w:sectPr>
          <w:type w:val="continuous"/>
          <w:pgSz w:w="11910" w:h="16850"/>
          <w:pgMar w:top="520" w:bottom="280" w:left="620" w:right="720"/>
        </w:sectPr>
      </w:pPr>
    </w:p>
    <w:p>
      <w:pPr>
        <w:pStyle w:val="ListParagraph"/>
        <w:numPr>
          <w:ilvl w:val="0"/>
          <w:numId w:val="8"/>
        </w:numPr>
        <w:tabs>
          <w:tab w:pos="3322" w:val="left" w:leader="none"/>
        </w:tabs>
        <w:spacing w:line="240" w:lineRule="auto" w:before="53" w:after="0"/>
        <w:ind w:left="3321" w:right="0" w:hanging="721"/>
        <w:jc w:val="left"/>
        <w:rPr>
          <w:sz w:val="21"/>
        </w:rPr>
      </w:pPr>
      <w:r>
        <w:rPr>
          <w:spacing w:val="-3"/>
          <w:sz w:val="21"/>
        </w:rPr>
        <w:t>所能提供的与确认保险事故的性质、原因等有关的其他证明和资料。</w:t>
      </w:r>
    </w:p>
    <w:p>
      <w:pPr>
        <w:pStyle w:val="BodyText"/>
        <w:spacing w:line="242" w:lineRule="auto" w:before="64"/>
        <w:ind w:left="2608" w:right="373"/>
      </w:pPr>
      <w:r>
        <w:rPr>
          <w:spacing w:val="-2"/>
        </w:rPr>
        <w:t>以上证明和资料不完整的，我们将及时一次性通知受益人补充提供有关的证明和资</w:t>
      </w:r>
      <w:r>
        <w:rPr>
          <w:spacing w:val="-6"/>
        </w:rPr>
        <w:t>料。</w:t>
      </w:r>
    </w:p>
    <w:p>
      <w:pPr>
        <w:pStyle w:val="BodyText"/>
        <w:spacing w:line="242" w:lineRule="auto" w:before="62"/>
        <w:ind w:left="2601" w:right="267"/>
      </w:pPr>
      <w:r>
        <w:rPr>
          <w:spacing w:val="-10"/>
        </w:rPr>
        <w:t>委托他人领取保险金时，受托人还必须提供本人的有效身份证件及委托人亲笔签名的</w:t>
      </w:r>
      <w:r>
        <w:rPr>
          <w:spacing w:val="-2"/>
        </w:rPr>
        <w:t>授权委托书。</w:t>
      </w:r>
    </w:p>
    <w:p>
      <w:pPr>
        <w:pStyle w:val="BodyText"/>
        <w:spacing w:line="242" w:lineRule="auto" w:before="61"/>
        <w:ind w:left="2601" w:right="273"/>
      </w:pPr>
      <w:r>
        <w:rPr>
          <w:spacing w:val="1"/>
          <w:w w:val="100"/>
        </w:rPr>
        <w:t>保险金作为被保险人遗产时，继承人还必须提供可证明其合法继承权的相关权利文件。</w:t>
      </w:r>
    </w:p>
    <w:p>
      <w:pPr>
        <w:pStyle w:val="BodyText"/>
        <w:spacing w:line="242" w:lineRule="auto" w:before="62"/>
        <w:ind w:left="2601" w:right="373"/>
        <w:jc w:val="both"/>
      </w:pPr>
      <w:r>
        <w:rPr>
          <w:spacing w:val="-2"/>
        </w:rPr>
        <w:t>受益人或者继承人为无民事行为能力人或者限制民事行为能力人时，由其合法监护</w:t>
      </w:r>
      <w:r>
        <w:rPr>
          <w:spacing w:val="-2"/>
        </w:rPr>
        <w:t>人代其申请领取保险金，其合法监护人还必须提供受益人或者继承人为无民事行为</w:t>
      </w:r>
      <w:r>
        <w:rPr>
          <w:spacing w:val="-2"/>
        </w:rPr>
        <w:t>能力人或者限制民事行为能力人的证明和监护人具有合法监护权的证明。</w:t>
      </w:r>
    </w:p>
    <w:p>
      <w:pPr>
        <w:pStyle w:val="BodyText"/>
        <w:rPr>
          <w:sz w:val="18"/>
        </w:rPr>
      </w:pPr>
    </w:p>
    <w:p>
      <w:pPr>
        <w:pStyle w:val="ListParagraph"/>
        <w:numPr>
          <w:ilvl w:val="3"/>
          <w:numId w:val="4"/>
        </w:numPr>
        <w:tabs>
          <w:tab w:pos="1139" w:val="left" w:leader="none"/>
          <w:tab w:pos="1140" w:val="left" w:leader="none"/>
          <w:tab w:pos="2608" w:val="left" w:leader="none"/>
        </w:tabs>
        <w:spacing w:line="242" w:lineRule="auto" w:before="0" w:after="0"/>
        <w:ind w:left="2608" w:right="264" w:hanging="2130"/>
        <w:jc w:val="left"/>
        <w:rPr>
          <w:sz w:val="21"/>
        </w:rPr>
      </w:pPr>
      <w:r>
        <w:rPr>
          <w:b/>
          <w:spacing w:val="-2"/>
          <w:sz w:val="21"/>
        </w:rPr>
        <w:t>保险</w:t>
      </w:r>
      <w:r>
        <w:rPr>
          <w:b/>
          <w:spacing w:val="-2"/>
          <w:sz w:val="21"/>
        </w:rPr>
        <w:t>金</w:t>
      </w:r>
      <w:r>
        <w:rPr>
          <w:b/>
          <w:spacing w:val="-2"/>
          <w:sz w:val="21"/>
        </w:rPr>
        <w:t>给</w:t>
      </w:r>
      <w:r>
        <w:rPr>
          <w:b/>
          <w:spacing w:val="-2"/>
          <w:sz w:val="21"/>
        </w:rPr>
        <w:t>付</w:t>
      </w:r>
      <w:r>
        <w:rPr>
          <w:b/>
          <w:sz w:val="21"/>
        </w:rPr>
        <w:tab/>
      </w:r>
      <w:r>
        <w:rPr>
          <w:sz w:val="21"/>
        </w:rPr>
        <w:t>我们在收到领取保险金申</w:t>
      </w:r>
      <w:r>
        <w:rPr>
          <w:sz w:val="21"/>
        </w:rPr>
        <w:t>请书及本合同约定的证明</w:t>
      </w:r>
      <w:r>
        <w:rPr>
          <w:sz w:val="21"/>
        </w:rPr>
        <w:t>和资料后</w:t>
      </w:r>
      <w:r>
        <w:rPr>
          <w:spacing w:val="-85"/>
          <w:sz w:val="21"/>
        </w:rPr>
        <w:t>，</w:t>
      </w:r>
      <w:r>
        <w:rPr>
          <w:sz w:val="21"/>
        </w:rPr>
        <w:t>将在</w:t>
      </w:r>
      <w:r>
        <w:rPr>
          <w:spacing w:val="-53"/>
          <w:sz w:val="21"/>
        </w:rPr>
        <w:t> </w:t>
      </w:r>
      <w:r>
        <w:rPr>
          <w:sz w:val="21"/>
        </w:rPr>
        <w:t>5</w:t>
      </w:r>
      <w:r>
        <w:rPr>
          <w:spacing w:val="-54"/>
          <w:sz w:val="21"/>
        </w:rPr>
        <w:t> </w:t>
      </w:r>
      <w:r>
        <w:rPr>
          <w:sz w:val="21"/>
        </w:rPr>
        <w:t>日内作出核定；情形复杂的，在</w:t>
      </w:r>
      <w:r>
        <w:rPr>
          <w:spacing w:val="-55"/>
          <w:sz w:val="21"/>
        </w:rPr>
        <w:t> </w:t>
      </w:r>
      <w:r>
        <w:rPr>
          <w:sz w:val="21"/>
        </w:rPr>
        <w:t>30</w:t>
      </w:r>
      <w:r>
        <w:rPr>
          <w:spacing w:val="-53"/>
          <w:sz w:val="21"/>
        </w:rPr>
        <w:t> </w:t>
      </w:r>
      <w:r>
        <w:rPr>
          <w:sz w:val="21"/>
        </w:rPr>
        <w:t>日内作</w:t>
      </w:r>
      <w:r>
        <w:rPr>
          <w:sz w:val="21"/>
        </w:rPr>
        <w:t>出核定。对属于保险责任的，我们在与受益人达成给付保险金的协议后</w:t>
      </w:r>
      <w:r>
        <w:rPr>
          <w:spacing w:val="-20"/>
          <w:sz w:val="21"/>
        </w:rPr>
        <w:t> </w:t>
      </w:r>
      <w:r>
        <w:rPr>
          <w:sz w:val="21"/>
        </w:rPr>
        <w:t>10</w:t>
      </w:r>
      <w:r>
        <w:rPr>
          <w:spacing w:val="-21"/>
          <w:sz w:val="21"/>
        </w:rPr>
        <w:t> </w:t>
      </w:r>
      <w:r>
        <w:rPr>
          <w:sz w:val="21"/>
        </w:rPr>
        <w:t>日内，履</w:t>
      </w:r>
      <w:r>
        <w:rPr>
          <w:sz w:val="21"/>
        </w:rPr>
        <w:t>行给付保险金义</w:t>
      </w:r>
      <w:r>
        <w:rPr>
          <w:sz w:val="21"/>
        </w:rPr>
        <w:t>务。</w:t>
      </w:r>
    </w:p>
    <w:p>
      <w:pPr>
        <w:pStyle w:val="BodyText"/>
        <w:spacing w:line="242" w:lineRule="auto" w:before="64"/>
        <w:ind w:left="2608" w:right="373"/>
        <w:jc w:val="both"/>
      </w:pPr>
      <w:r>
        <w:rPr>
          <w:spacing w:val="-2"/>
        </w:rPr>
        <w:t>我们未及时履行前款约定义务的，对属于保险责任的，除支付保险金外，应当赔偿</w:t>
      </w:r>
      <w:r>
        <w:rPr>
          <w:spacing w:val="-2"/>
        </w:rPr>
        <w:t>受益人因此受到的利息损失。利息按照我们确定的利率按单利计算，且我们确定的</w:t>
      </w:r>
      <w:r>
        <w:rPr>
          <w:spacing w:val="-2"/>
        </w:rPr>
        <w:t>利率不低于中国人民银行公布的金融机构人民币活期存款基准利率。</w:t>
      </w:r>
    </w:p>
    <w:p>
      <w:pPr>
        <w:pStyle w:val="BodyText"/>
        <w:spacing w:line="242" w:lineRule="auto" w:before="61"/>
        <w:ind w:left="2608" w:right="370"/>
        <w:jc w:val="both"/>
      </w:pPr>
      <w:r>
        <w:rPr>
          <w:spacing w:val="-3"/>
        </w:rPr>
        <w:t>对不属于保险责任的，我们自作出核定之日起 </w:t>
      </w:r>
      <w:r>
        <w:rPr>
          <w:spacing w:val="-2"/>
        </w:rPr>
        <w:t>3</w:t>
      </w:r>
      <w:r>
        <w:rPr>
          <w:spacing w:val="-6"/>
        </w:rPr>
        <w:t> 日内向受益人发出拒绝给付保险金</w:t>
      </w:r>
      <w:r>
        <w:rPr>
          <w:spacing w:val="-2"/>
        </w:rPr>
        <w:t>通知书并说明理由。</w:t>
      </w:r>
    </w:p>
    <w:p>
      <w:pPr>
        <w:pStyle w:val="Heading2"/>
        <w:numPr>
          <w:ilvl w:val="2"/>
          <w:numId w:val="4"/>
        </w:numPr>
        <w:tabs>
          <w:tab w:pos="1139" w:val="left" w:leader="none"/>
          <w:tab w:pos="1140" w:val="left" w:leader="none"/>
        </w:tabs>
        <w:spacing w:line="240" w:lineRule="auto" w:before="60" w:after="4"/>
        <w:ind w:left="1139" w:right="0" w:hanging="661"/>
        <w:jc w:val="left"/>
      </w:pPr>
      <w:r>
        <w:rPr>
          <w:w w:val="95"/>
        </w:rPr>
        <w:t>保险费</w:t>
      </w:r>
      <w:r>
        <w:rPr>
          <w:w w:val="95"/>
        </w:rPr>
        <w:t>的</w:t>
      </w:r>
      <w:r>
        <w:rPr>
          <w:w w:val="95"/>
        </w:rPr>
        <w:t>交</w:t>
      </w:r>
      <w:r>
        <w:rPr>
          <w:spacing w:val="-10"/>
          <w:w w:val="95"/>
        </w:rPr>
        <w:t>纳</w:t>
      </w:r>
    </w:p>
    <w:p>
      <w:pPr>
        <w:pStyle w:val="BodyText"/>
        <w:spacing w:line="20" w:lineRule="exact"/>
        <w:ind w:left="371"/>
        <w:rPr>
          <w:sz w:val="2"/>
        </w:rPr>
      </w:pPr>
      <w:r>
        <w:rPr>
          <w:sz w:val="2"/>
        </w:rPr>
        <w:drawing>
          <wp:inline distT="0" distB="0" distL="0" distR="0">
            <wp:extent cx="6301621" cy="6096"/>
            <wp:effectExtent l="0" t="0" r="0" b="0"/>
            <wp:docPr id="11" name="image3.png"/>
            <wp:cNvGraphicFramePr>
              <a:graphicFrameLocks noChangeAspect="1"/>
            </wp:cNvGraphicFramePr>
            <a:graphic>
              <a:graphicData uri="http://schemas.openxmlformats.org/drawingml/2006/picture">
                <pic:pic>
                  <pic:nvPicPr>
                    <pic:cNvPr id="12" name="image3.png"/>
                    <pic:cNvPicPr/>
                  </pic:nvPicPr>
                  <pic:blipFill>
                    <a:blip r:embed="rId7" cstate="print"/>
                    <a:stretch>
                      <a:fillRect/>
                    </a:stretch>
                  </pic:blipFill>
                  <pic:spPr>
                    <a:xfrm>
                      <a:off x="0" y="0"/>
                      <a:ext cx="6301621" cy="6096"/>
                    </a:xfrm>
                    <a:prstGeom prst="rect">
                      <a:avLst/>
                    </a:prstGeom>
                  </pic:spPr>
                </pic:pic>
              </a:graphicData>
            </a:graphic>
          </wp:inline>
        </w:drawing>
      </w:r>
      <w:r>
        <w:rPr>
          <w:sz w:val="2"/>
        </w:rPr>
      </w:r>
    </w:p>
    <w:p>
      <w:pPr>
        <w:pStyle w:val="BodyText"/>
        <w:spacing w:before="9"/>
        <w:rPr>
          <w:b/>
          <w:sz w:val="10"/>
        </w:rPr>
      </w:pPr>
    </w:p>
    <w:p>
      <w:pPr>
        <w:spacing w:after="0"/>
        <w:rPr>
          <w:sz w:val="10"/>
        </w:rPr>
        <w:sectPr>
          <w:pgSz w:w="11910" w:h="16850"/>
          <w:pgMar w:top="1140" w:bottom="280" w:left="620" w:right="720"/>
        </w:sectPr>
      </w:pPr>
    </w:p>
    <w:p>
      <w:pPr>
        <w:pStyle w:val="Heading3"/>
        <w:numPr>
          <w:ilvl w:val="3"/>
          <w:numId w:val="4"/>
        </w:numPr>
        <w:tabs>
          <w:tab w:pos="1139" w:val="left" w:leader="none"/>
          <w:tab w:pos="1140" w:val="left" w:leader="none"/>
        </w:tabs>
        <w:spacing w:line="244" w:lineRule="auto" w:before="72" w:after="0"/>
        <w:ind w:left="1139" w:right="0" w:hanging="661"/>
        <w:jc w:val="left"/>
      </w:pPr>
      <w:r>
        <w:rPr>
          <w:spacing w:val="-2"/>
        </w:rPr>
        <w:t>保险费的交</w:t>
      </w:r>
      <w:r>
        <w:rPr>
          <w:spacing w:val="-10"/>
        </w:rPr>
        <w:t>纳</w:t>
      </w:r>
    </w:p>
    <w:p>
      <w:pPr>
        <w:pStyle w:val="BodyText"/>
        <w:spacing w:line="244" w:lineRule="auto" w:before="72"/>
        <w:ind w:left="365" w:right="273"/>
      </w:pPr>
      <w:r>
        <w:rPr/>
        <w:br w:type="column"/>
      </w:r>
      <w:r>
        <w:rPr>
          <w:spacing w:val="1"/>
          <w:w w:val="100"/>
        </w:rPr>
        <w:t>本合同的保险费按照被保险人的年龄和被保险人的社会基本医疗保险或者公费医疗</w:t>
      </w:r>
      <w:r>
        <w:rPr>
          <w:spacing w:val="-3"/>
          <w:w w:val="100"/>
        </w:rPr>
        <w:t>状态确定，并在保险单上载明。</w:t>
      </w:r>
    </w:p>
    <w:p>
      <w:pPr>
        <w:pStyle w:val="BodyText"/>
        <w:spacing w:line="242" w:lineRule="auto" w:before="56"/>
        <w:ind w:left="365" w:right="267"/>
        <w:jc w:val="both"/>
        <w:rPr>
          <w:rFonts w:ascii="黑体" w:eastAsia="黑体"/>
        </w:rPr>
      </w:pPr>
      <w:r>
        <w:rPr>
          <w:spacing w:val="-6"/>
        </w:rPr>
        <w:t>新续保合同的保险费将根据被保险人的实际年龄、被保险人的社会基本医疗保险或者</w:t>
      </w:r>
      <w:r>
        <w:rPr>
          <w:spacing w:val="-4"/>
        </w:rPr>
        <w:t>公费医疗状态确定。</w:t>
      </w:r>
      <w:r>
        <w:rPr>
          <w:rFonts w:ascii="黑体" w:eastAsia="黑体"/>
          <w:spacing w:val="-5"/>
        </w:rPr>
        <w:t>您为被保险人新续保合同时，我们有权根据本合同 </w:t>
      </w:r>
      <w:r>
        <w:rPr>
          <w:rFonts w:ascii="黑体" w:eastAsia="黑体"/>
          <w:spacing w:val="-4"/>
        </w:rPr>
        <w:t>4.2</w:t>
      </w:r>
      <w:r>
        <w:rPr>
          <w:rFonts w:ascii="黑体" w:eastAsia="黑体"/>
          <w:spacing w:val="-8"/>
        </w:rPr>
        <w:t> 条的约定</w:t>
      </w:r>
      <w:r>
        <w:rPr>
          <w:rFonts w:ascii="黑体" w:eastAsia="黑体"/>
          <w:spacing w:val="-2"/>
        </w:rPr>
        <w:t>调整新续保合同的保险费率。</w:t>
      </w:r>
    </w:p>
    <w:p>
      <w:pPr>
        <w:pStyle w:val="BodyText"/>
        <w:spacing w:before="63"/>
        <w:ind w:left="372"/>
      </w:pPr>
      <w:r>
        <w:rPr>
          <w:spacing w:val="-3"/>
        </w:rPr>
        <w:t>您在投保时应一次性交纳本合同的保险费。</w:t>
      </w:r>
    </w:p>
    <w:p>
      <w:pPr>
        <w:spacing w:after="0"/>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4" w:lineRule="auto" w:before="72" w:after="0"/>
        <w:ind w:left="1139" w:right="0" w:hanging="661"/>
        <w:jc w:val="left"/>
      </w:pPr>
      <w:r>
        <w:rPr>
          <w:spacing w:val="-2"/>
        </w:rPr>
        <w:t>保险费率调</w:t>
      </w:r>
      <w:r>
        <w:rPr>
          <w:spacing w:val="-10"/>
        </w:rPr>
        <w:t>整</w:t>
      </w:r>
    </w:p>
    <w:p>
      <w:pPr>
        <w:pStyle w:val="BodyText"/>
        <w:spacing w:line="242" w:lineRule="auto" w:before="72"/>
        <w:ind w:left="372" w:right="373"/>
        <w:jc w:val="both"/>
        <w:rPr>
          <w:rFonts w:ascii="黑体" w:eastAsia="黑体"/>
        </w:rPr>
      </w:pPr>
      <w:r>
        <w:rPr/>
        <w:br w:type="column"/>
      </w:r>
      <w:r>
        <w:rPr>
          <w:rFonts w:ascii="黑体" w:eastAsia="黑体"/>
          <w:spacing w:val="-2"/>
        </w:rPr>
        <w:t>您为被保险人新续保合同时，我们有权根据本合同计算费率所用的计算基础与实际</w:t>
      </w:r>
      <w:r>
        <w:rPr>
          <w:rFonts w:ascii="黑体" w:eastAsia="黑体"/>
          <w:spacing w:val="-2"/>
        </w:rPr>
        <w:t>情况的偏差程度，决定是否调整保险费率。保险费率的调整适用于本保险的所有被</w:t>
      </w:r>
      <w:r>
        <w:rPr>
          <w:rFonts w:ascii="黑体" w:eastAsia="黑体"/>
          <w:spacing w:val="-2"/>
        </w:rPr>
        <w:t>保险人或者同一投保年龄、同一投保区域等某一类人群的被保险人。</w:t>
      </w:r>
    </w:p>
    <w:p>
      <w:pPr>
        <w:pStyle w:val="BodyText"/>
        <w:spacing w:line="242" w:lineRule="auto" w:before="63"/>
        <w:ind w:left="372" w:right="373"/>
        <w:jc w:val="both"/>
        <w:rPr>
          <w:rFonts w:ascii="黑体" w:eastAsia="黑体"/>
        </w:rPr>
      </w:pPr>
      <w:r>
        <w:rPr>
          <w:rFonts w:ascii="黑体" w:eastAsia="黑体"/>
          <w:spacing w:val="-2"/>
        </w:rPr>
        <w:t>我们进行保险费率调整后，您为被保险人续保合同时，须自保险费率调整后的首个</w:t>
      </w:r>
      <w:r>
        <w:rPr>
          <w:rFonts w:ascii="黑体" w:eastAsia="黑体"/>
          <w:spacing w:val="-2"/>
        </w:rPr>
        <w:t>新续保合同的生效日起按照新的保险费率支付保险费，保险费率调整前您已经支付</w:t>
      </w:r>
      <w:r>
        <w:rPr>
          <w:rFonts w:ascii="黑体" w:eastAsia="黑体"/>
          <w:spacing w:val="-2"/>
        </w:rPr>
        <w:t>的保险费不受影响。</w:t>
      </w:r>
    </w:p>
    <w:p>
      <w:pPr>
        <w:pStyle w:val="BodyText"/>
        <w:spacing w:line="242" w:lineRule="auto" w:before="61"/>
        <w:ind w:left="372" w:right="373"/>
        <w:jc w:val="both"/>
        <w:rPr>
          <w:rFonts w:ascii="黑体" w:eastAsia="黑体"/>
        </w:rPr>
      </w:pPr>
      <w:r>
        <w:rPr>
          <w:spacing w:val="-2"/>
        </w:rPr>
        <w:t>若您选择了自动申请续保，如果我们调整保险费率，我们将以书面形式或者双方认</w:t>
      </w:r>
      <w:r>
        <w:rPr>
          <w:spacing w:val="-2"/>
        </w:rPr>
        <w:t>可的其他形式通知您，</w:t>
      </w:r>
      <w:r>
        <w:rPr>
          <w:rFonts w:ascii="黑体" w:eastAsia="黑体"/>
          <w:spacing w:val="-2"/>
        </w:rPr>
        <w:t>如果您不接受保险费率调整且不再继续投保本合同，您须在</w:t>
      </w:r>
      <w:r>
        <w:rPr>
          <w:rFonts w:ascii="黑体" w:eastAsia="黑体"/>
          <w:spacing w:val="-1"/>
        </w:rPr>
        <w:t>本合同期满日前以书面形式通知我们，本合同自期满日的 </w:t>
      </w:r>
      <w:r>
        <w:rPr>
          <w:rFonts w:ascii="黑体" w:eastAsia="黑体"/>
        </w:rPr>
        <w:t>24</w:t>
      </w:r>
      <w:r>
        <w:rPr>
          <w:rFonts w:ascii="黑体" w:eastAsia="黑体"/>
          <w:spacing w:val="-5"/>
        </w:rPr>
        <w:t> 时起效力终止。</w:t>
      </w:r>
    </w:p>
    <w:p>
      <w:pPr>
        <w:spacing w:after="0" w:line="242" w:lineRule="auto"/>
        <w:jc w:val="both"/>
        <w:rPr>
          <w:rFonts w:ascii="黑体" w:eastAsia="黑体"/>
        </w:rPr>
        <w:sectPr>
          <w:type w:val="continuous"/>
          <w:pgSz w:w="11910" w:h="16850"/>
          <w:pgMar w:top="520" w:bottom="280" w:left="620" w:right="720"/>
          <w:cols w:num="2" w:equalWidth="0">
            <w:col w:w="2196" w:space="40"/>
            <w:col w:w="8334"/>
          </w:cols>
        </w:sectPr>
      </w:pPr>
    </w:p>
    <w:p>
      <w:pPr>
        <w:pStyle w:val="BodyText"/>
        <w:spacing w:before="6"/>
        <w:rPr>
          <w:rFonts w:ascii="黑体"/>
          <w:sz w:val="12"/>
        </w:rPr>
      </w:pPr>
    </w:p>
    <w:p>
      <w:pPr>
        <w:pStyle w:val="ListParagraph"/>
        <w:numPr>
          <w:ilvl w:val="3"/>
          <w:numId w:val="4"/>
        </w:numPr>
        <w:tabs>
          <w:tab w:pos="1140" w:val="left" w:leader="none"/>
        </w:tabs>
        <w:spacing w:line="242" w:lineRule="auto" w:before="71" w:after="0"/>
        <w:ind w:left="2608" w:right="373" w:hanging="2130"/>
        <w:jc w:val="both"/>
        <w:rPr>
          <w:sz w:val="21"/>
        </w:rPr>
      </w:pPr>
      <w:r>
        <w:rPr>
          <w:b/>
          <w:sz w:val="21"/>
        </w:rPr>
        <w:t>续保</w:t>
      </w:r>
      <w:r>
        <w:rPr>
          <w:b/>
          <w:spacing w:val="929"/>
          <w:sz w:val="21"/>
        </w:rPr>
        <w:t> </w:t>
      </w:r>
      <w:r>
        <w:rPr>
          <w:sz w:val="21"/>
        </w:rPr>
        <w:t>若您选择了自动申请续保，每一保险期间届满之前，若我们未收到您停止继续投保</w:t>
      </w:r>
      <w:r>
        <w:rPr>
          <w:spacing w:val="-2"/>
          <w:sz w:val="21"/>
        </w:rPr>
        <w:t>本合同的书面申请，我们将为您继续续保本合同，在按续保时对应的费率收取保险</w:t>
      </w:r>
      <w:r>
        <w:rPr>
          <w:spacing w:val="-2"/>
          <w:sz w:val="21"/>
        </w:rPr>
        <w:t>费后本合同将延续有效。每次续保，均按前述规则类推。</w:t>
      </w:r>
    </w:p>
    <w:p>
      <w:pPr>
        <w:pStyle w:val="BodyText"/>
        <w:spacing w:before="64"/>
        <w:ind w:left="2608"/>
        <w:rPr>
          <w:rFonts w:ascii="黑体" w:eastAsia="黑体"/>
        </w:rPr>
      </w:pPr>
      <w:r>
        <w:rPr>
          <w:rFonts w:ascii="黑体" w:eastAsia="黑体"/>
          <w:spacing w:val="-3"/>
        </w:rPr>
        <w:t>但若发生下列情形之一的，我们不再接受继续投保本合同：</w:t>
      </w:r>
    </w:p>
    <w:p>
      <w:pPr>
        <w:pStyle w:val="ListParagraph"/>
        <w:numPr>
          <w:ilvl w:val="0"/>
          <w:numId w:val="9"/>
        </w:numPr>
        <w:tabs>
          <w:tab w:pos="3322" w:val="left" w:leader="none"/>
        </w:tabs>
        <w:spacing w:line="240" w:lineRule="auto" w:before="62" w:after="0"/>
        <w:ind w:left="3321" w:right="0" w:hanging="721"/>
        <w:jc w:val="left"/>
        <w:rPr>
          <w:rFonts w:ascii="黑体" w:eastAsia="黑体"/>
          <w:sz w:val="21"/>
        </w:rPr>
      </w:pPr>
      <w:r>
        <w:rPr>
          <w:rFonts w:ascii="黑体" w:eastAsia="黑体"/>
          <w:spacing w:val="-4"/>
          <w:sz w:val="21"/>
        </w:rPr>
        <w:t>本保险已停售；</w:t>
      </w:r>
    </w:p>
    <w:p>
      <w:pPr>
        <w:pStyle w:val="ListParagraph"/>
        <w:numPr>
          <w:ilvl w:val="0"/>
          <w:numId w:val="9"/>
        </w:numPr>
        <w:tabs>
          <w:tab w:pos="3322" w:val="left" w:leader="none"/>
        </w:tabs>
        <w:spacing w:line="240" w:lineRule="auto" w:before="65" w:after="0"/>
        <w:ind w:left="3321" w:right="0" w:hanging="721"/>
        <w:jc w:val="left"/>
        <w:rPr>
          <w:rFonts w:ascii="黑体" w:eastAsia="黑体"/>
          <w:sz w:val="21"/>
        </w:rPr>
      </w:pPr>
      <w:r>
        <w:rPr>
          <w:rFonts w:ascii="黑体" w:eastAsia="黑体"/>
          <w:spacing w:val="-6"/>
          <w:sz w:val="21"/>
        </w:rPr>
        <w:t>续保时被保险人的年龄超过 </w:t>
      </w:r>
      <w:r>
        <w:rPr>
          <w:rFonts w:ascii="黑体" w:eastAsia="黑体"/>
          <w:spacing w:val="-2"/>
          <w:sz w:val="21"/>
        </w:rPr>
        <w:t>100</w:t>
      </w:r>
      <w:r>
        <w:rPr>
          <w:rFonts w:ascii="黑体" w:eastAsia="黑体"/>
          <w:spacing w:val="-16"/>
          <w:sz w:val="21"/>
        </w:rPr>
        <w:t> 周岁；</w:t>
      </w:r>
    </w:p>
    <w:p>
      <w:pPr>
        <w:pStyle w:val="ListParagraph"/>
        <w:numPr>
          <w:ilvl w:val="0"/>
          <w:numId w:val="9"/>
        </w:numPr>
        <w:tabs>
          <w:tab w:pos="3322" w:val="left" w:leader="none"/>
        </w:tabs>
        <w:spacing w:line="240" w:lineRule="auto" w:before="62" w:after="0"/>
        <w:ind w:left="3321" w:right="0" w:hanging="721"/>
        <w:jc w:val="left"/>
        <w:rPr>
          <w:rFonts w:ascii="黑体" w:eastAsia="黑体"/>
          <w:sz w:val="21"/>
        </w:rPr>
      </w:pPr>
      <w:r>
        <w:rPr>
          <w:rFonts w:ascii="黑体" w:eastAsia="黑体"/>
          <w:spacing w:val="-4"/>
          <w:sz w:val="21"/>
        </w:rPr>
        <w:t>被保险人身故；</w:t>
      </w:r>
    </w:p>
    <w:p>
      <w:pPr>
        <w:pStyle w:val="ListParagraph"/>
        <w:numPr>
          <w:ilvl w:val="0"/>
          <w:numId w:val="9"/>
        </w:numPr>
        <w:tabs>
          <w:tab w:pos="3322" w:val="left" w:leader="none"/>
        </w:tabs>
        <w:spacing w:line="240" w:lineRule="auto" w:before="64" w:after="0"/>
        <w:ind w:left="3321" w:right="0" w:hanging="721"/>
        <w:jc w:val="left"/>
        <w:rPr>
          <w:rFonts w:ascii="黑体" w:eastAsia="黑体"/>
          <w:sz w:val="21"/>
        </w:rPr>
      </w:pPr>
      <w:r>
        <w:rPr>
          <w:rFonts w:ascii="黑体" w:eastAsia="黑体"/>
          <w:spacing w:val="-3"/>
          <w:sz w:val="21"/>
        </w:rPr>
        <w:t>本合同在您申请续保时已因其他条款所列情况而导致效力终止；</w:t>
      </w:r>
    </w:p>
    <w:p>
      <w:pPr>
        <w:pStyle w:val="ListParagraph"/>
        <w:numPr>
          <w:ilvl w:val="0"/>
          <w:numId w:val="9"/>
        </w:numPr>
        <w:tabs>
          <w:tab w:pos="3322" w:val="left" w:leader="none"/>
        </w:tabs>
        <w:spacing w:line="240" w:lineRule="auto" w:before="63" w:after="0"/>
        <w:ind w:left="3321" w:right="0" w:hanging="721"/>
        <w:jc w:val="left"/>
        <w:rPr>
          <w:rFonts w:ascii="黑体" w:eastAsia="黑体"/>
          <w:sz w:val="21"/>
        </w:rPr>
      </w:pPr>
      <w:r>
        <w:rPr>
          <w:rFonts w:ascii="黑体" w:eastAsia="黑体"/>
          <w:spacing w:val="-3"/>
          <w:sz w:val="21"/>
        </w:rPr>
        <w:t>被保险人不如实告知、欺诈等其他我们认为不符合续保条件的情形。</w:t>
      </w:r>
    </w:p>
    <w:p>
      <w:pPr>
        <w:pStyle w:val="BodyText"/>
        <w:spacing w:line="242" w:lineRule="auto" w:before="64"/>
        <w:ind w:left="2601" w:right="267"/>
        <w:rPr>
          <w:rFonts w:ascii="黑体" w:eastAsia="黑体"/>
        </w:rPr>
      </w:pPr>
      <w:r>
        <w:rPr>
          <w:rFonts w:ascii="黑体" w:eastAsia="黑体"/>
          <w:spacing w:val="-10"/>
        </w:rPr>
        <w:t>若我们不再接受续保，我们将在本合同期满日前以书面形式或者双方认可的其他形式</w:t>
      </w:r>
      <w:r>
        <w:rPr>
          <w:rFonts w:ascii="黑体" w:eastAsia="黑体"/>
          <w:spacing w:val="-4"/>
        </w:rPr>
        <w:t>通知您。</w:t>
      </w:r>
    </w:p>
    <w:p>
      <w:pPr>
        <w:spacing w:after="0" w:line="242" w:lineRule="auto"/>
        <w:rPr>
          <w:rFonts w:ascii="黑体" w:eastAsia="黑体"/>
        </w:rPr>
        <w:sectPr>
          <w:type w:val="continuous"/>
          <w:pgSz w:w="11910" w:h="16850"/>
          <w:pgMar w:top="520" w:bottom="280" w:left="620" w:right="720"/>
        </w:sectPr>
      </w:pPr>
    </w:p>
    <w:p>
      <w:pPr>
        <w:pStyle w:val="BodyText"/>
        <w:spacing w:line="244" w:lineRule="auto" w:before="53"/>
        <w:ind w:left="2601" w:right="267"/>
        <w:rPr>
          <w:rFonts w:ascii="黑体" w:eastAsia="黑体"/>
        </w:rPr>
      </w:pPr>
      <w:r>
        <w:rPr>
          <w:rFonts w:ascii="黑体" w:eastAsia="黑体"/>
          <w:spacing w:val="-4"/>
        </w:rPr>
        <w:t>若您未选择自动申请续保，且未在新续保合同交费期期满日前，向我们提出继续投保</w:t>
      </w:r>
      <w:r>
        <w:rPr>
          <w:rFonts w:ascii="黑体" w:eastAsia="黑体"/>
          <w:spacing w:val="-1"/>
        </w:rPr>
        <w:t>本合同的书面申请的，本合同自新续保合同交费期期满日的 </w:t>
      </w:r>
      <w:r>
        <w:rPr>
          <w:rFonts w:ascii="黑体" w:eastAsia="黑体"/>
        </w:rPr>
        <w:t>24</w:t>
      </w:r>
      <w:r>
        <w:rPr>
          <w:rFonts w:ascii="黑体" w:eastAsia="黑体"/>
          <w:spacing w:val="-5"/>
        </w:rPr>
        <w:t> 时起效力终止。</w:t>
      </w:r>
    </w:p>
    <w:p>
      <w:pPr>
        <w:pStyle w:val="BodyText"/>
        <w:spacing w:before="1"/>
        <w:rPr>
          <w:rFonts w:ascii="黑体"/>
          <w:sz w:val="12"/>
        </w:rPr>
      </w:pPr>
    </w:p>
    <w:p>
      <w:pPr>
        <w:spacing w:after="0"/>
        <w:rPr>
          <w:rFonts w:ascii="黑体"/>
          <w:sz w:val="12"/>
        </w:rPr>
        <w:sectPr>
          <w:pgSz w:w="11910" w:h="16850"/>
          <w:pgMar w:top="1140" w:bottom="280" w:left="620" w:right="720"/>
        </w:sectPr>
      </w:pPr>
    </w:p>
    <w:p>
      <w:pPr>
        <w:pStyle w:val="Heading3"/>
        <w:numPr>
          <w:ilvl w:val="3"/>
          <w:numId w:val="4"/>
        </w:numPr>
        <w:tabs>
          <w:tab w:pos="1139" w:val="left" w:leader="none"/>
          <w:tab w:pos="1140" w:val="left" w:leader="none"/>
        </w:tabs>
        <w:spacing w:line="244" w:lineRule="auto" w:before="72" w:after="0"/>
        <w:ind w:left="1139" w:right="0" w:hanging="661"/>
        <w:jc w:val="left"/>
      </w:pPr>
      <w:r>
        <w:rPr>
          <w:spacing w:val="-2"/>
        </w:rPr>
        <w:t>新续保合同</w:t>
      </w:r>
      <w:r>
        <w:rPr>
          <w:spacing w:val="-4"/>
        </w:rPr>
        <w:t>交费期</w:t>
      </w:r>
    </w:p>
    <w:p>
      <w:pPr>
        <w:pStyle w:val="BodyText"/>
        <w:spacing w:line="242" w:lineRule="auto" w:before="72"/>
        <w:ind w:left="372" w:right="370"/>
        <w:jc w:val="both"/>
        <w:rPr>
          <w:rFonts w:ascii="黑体" w:eastAsia="黑体"/>
        </w:rPr>
      </w:pPr>
      <w:r>
        <w:rPr/>
        <w:br w:type="column"/>
      </w:r>
      <w:r>
        <w:rPr>
          <w:spacing w:val="-5"/>
        </w:rPr>
        <w:t>在保险期间期满时，若您和我们均同意续保，则自本合同期满日次日起 </w:t>
      </w:r>
      <w:r>
        <w:rPr>
          <w:spacing w:val="-4"/>
        </w:rPr>
        <w:t>60</w:t>
      </w:r>
      <w:r>
        <w:rPr>
          <w:spacing w:val="-8"/>
        </w:rPr>
        <w:t> 日为新续</w:t>
      </w:r>
      <w:r>
        <w:rPr>
          <w:spacing w:val="-2"/>
        </w:rPr>
        <w:t>保合同交费期。交费期内发生保险事故的，我们承担保险责任，</w:t>
      </w:r>
      <w:r>
        <w:rPr>
          <w:rFonts w:ascii="黑体" w:eastAsia="黑体"/>
          <w:spacing w:val="-2"/>
        </w:rPr>
        <w:t>但在给付保险金时</w:t>
      </w:r>
      <w:r>
        <w:rPr>
          <w:rFonts w:ascii="黑体" w:eastAsia="黑体"/>
          <w:spacing w:val="-2"/>
        </w:rPr>
        <w:t>会扣除您欠交的新续保合同的保险费。如果您未在交费期内交纳该新续保合同的保</w:t>
      </w:r>
      <w:r>
        <w:rPr>
          <w:rFonts w:ascii="黑体" w:eastAsia="黑体"/>
          <w:spacing w:val="-2"/>
        </w:rPr>
        <w:t>险费，新续保的合同自交费期期满日的 </w:t>
      </w:r>
      <w:r>
        <w:rPr>
          <w:rFonts w:ascii="黑体" w:eastAsia="黑体"/>
        </w:rPr>
        <w:t>24</w:t>
      </w:r>
      <w:r>
        <w:rPr>
          <w:rFonts w:ascii="黑体" w:eastAsia="黑体"/>
          <w:spacing w:val="-5"/>
        </w:rPr>
        <w:t> 时起效力终止。</w:t>
      </w:r>
    </w:p>
    <w:p>
      <w:pPr>
        <w:spacing w:after="0" w:line="242" w:lineRule="auto"/>
        <w:jc w:val="both"/>
        <w:rPr>
          <w:rFonts w:ascii="黑体" w:eastAsia="黑体"/>
        </w:rPr>
        <w:sectPr>
          <w:type w:val="continuous"/>
          <w:pgSz w:w="11910" w:h="16850"/>
          <w:pgMar w:top="520" w:bottom="280" w:left="620" w:right="720"/>
          <w:cols w:num="2" w:equalWidth="0">
            <w:col w:w="2196" w:space="40"/>
            <w:col w:w="8334"/>
          </w:cols>
        </w:sectPr>
      </w:pPr>
    </w:p>
    <w:p>
      <w:pPr>
        <w:pStyle w:val="BodyText"/>
        <w:spacing w:before="7"/>
        <w:rPr>
          <w:rFonts w:ascii="黑体"/>
          <w:sz w:val="12"/>
        </w:rPr>
      </w:pPr>
    </w:p>
    <w:p>
      <w:pPr>
        <w:spacing w:after="0"/>
        <w:rPr>
          <w:rFonts w:ascii="黑体"/>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61"/>
        <w:jc w:val="both"/>
      </w:pPr>
      <w:r>
        <w:rPr>
          <w:spacing w:val="-2"/>
        </w:rPr>
        <w:t>社会基本医</w:t>
      </w:r>
      <w:r>
        <w:rPr>
          <w:spacing w:val="-2"/>
        </w:rPr>
        <w:t>疗保险或者</w:t>
      </w:r>
      <w:r>
        <w:rPr>
          <w:spacing w:val="-2"/>
        </w:rPr>
        <w:t>公费医疗状</w:t>
      </w:r>
      <w:r>
        <w:rPr>
          <w:spacing w:val="-4"/>
        </w:rPr>
        <w:t>态变更</w:t>
      </w:r>
    </w:p>
    <w:p>
      <w:pPr>
        <w:pStyle w:val="BodyText"/>
        <w:spacing w:line="242" w:lineRule="auto" w:before="72"/>
        <w:ind w:left="372" w:right="370"/>
        <w:jc w:val="both"/>
      </w:pPr>
      <w:r>
        <w:rPr/>
        <w:br w:type="column"/>
      </w:r>
      <w:r>
        <w:rPr>
          <w:spacing w:val="-2"/>
        </w:rPr>
        <w:t>如果被保险人是否拥有社会基本医疗保险或者公费医疗的状态发生了变更，您须在</w:t>
      </w:r>
      <w:r>
        <w:rPr>
          <w:spacing w:val="-2"/>
        </w:rPr>
        <w:t>新续保合同时变更被保险人的社会基本医疗保险或者公费医疗状态，</w:t>
      </w:r>
      <w:r>
        <w:rPr>
          <w:rFonts w:ascii="黑体" w:eastAsia="黑体"/>
          <w:spacing w:val="-2"/>
        </w:rPr>
        <w:t>且须于续保前</w:t>
      </w:r>
      <w:r>
        <w:rPr>
          <w:rFonts w:ascii="黑体" w:eastAsia="黑体"/>
          <w:spacing w:val="-4"/>
        </w:rPr>
        <w:t>有效的保险合同的保险期间届满前 </w:t>
      </w:r>
      <w:r>
        <w:rPr>
          <w:rFonts w:ascii="黑体" w:eastAsia="黑体"/>
          <w:spacing w:val="-2"/>
        </w:rPr>
        <w:t>30</w:t>
      </w:r>
      <w:r>
        <w:rPr>
          <w:rFonts w:ascii="黑体" w:eastAsia="黑体"/>
          <w:spacing w:val="-17"/>
        </w:rPr>
        <w:t> 日内通知我们。</w:t>
      </w:r>
      <w:r>
        <w:rPr>
          <w:spacing w:val="-2"/>
        </w:rPr>
        <w:t>我们将以书面形式或者双方认</w:t>
      </w:r>
      <w:r>
        <w:rPr>
          <w:spacing w:val="-2"/>
        </w:rPr>
        <w:t>可的其他形式确认您变更社会基本医疗保险或者公费医疗状态的申请，您须自社会</w:t>
      </w:r>
      <w:r>
        <w:rPr>
          <w:spacing w:val="-2"/>
        </w:rPr>
        <w:t>基本医疗保险或者公费医疗状态变更后的首个新续保合同生效日起按照新的保险费</w:t>
      </w:r>
      <w:r>
        <w:rPr>
          <w:spacing w:val="-2"/>
        </w:rPr>
        <w:t>率支付保险费，社会基本医疗保险或者公费医疗状态变更前您已经支付的保险费不</w:t>
      </w:r>
      <w:r>
        <w:rPr>
          <w:spacing w:val="-4"/>
        </w:rPr>
        <w:t>受影响。</w:t>
      </w:r>
    </w:p>
    <w:p>
      <w:pPr>
        <w:pStyle w:val="BodyText"/>
        <w:spacing w:line="244" w:lineRule="auto" w:before="64"/>
        <w:ind w:left="372" w:right="373"/>
        <w:jc w:val="both"/>
        <w:rPr>
          <w:rFonts w:ascii="黑体" w:eastAsia="黑体"/>
        </w:rPr>
      </w:pPr>
      <w:r>
        <w:rPr>
          <w:spacing w:val="-1"/>
        </w:rPr>
        <w:t>我们将在每个有效的保险合同的保险期间届满前 </w:t>
      </w:r>
      <w:r>
        <w:rPr/>
        <w:t>30</w:t>
      </w:r>
      <w:r>
        <w:rPr>
          <w:spacing w:val="-3"/>
        </w:rPr>
        <w:t> 日内受理变更社会基本医疗保</w:t>
      </w:r>
      <w:r>
        <w:rPr>
          <w:spacing w:val="-2"/>
        </w:rPr>
        <w:t>险或者公费医疗状态的申请，</w:t>
      </w:r>
      <w:r>
        <w:rPr>
          <w:rFonts w:ascii="黑体" w:eastAsia="黑体"/>
          <w:spacing w:val="-2"/>
        </w:rPr>
        <w:t>其他时间我们不受理该申请。</w:t>
      </w:r>
    </w:p>
    <w:p>
      <w:pPr>
        <w:spacing w:after="0" w:line="244" w:lineRule="auto"/>
        <w:jc w:val="both"/>
        <w:rPr>
          <w:rFonts w:ascii="黑体" w:eastAsia="黑体"/>
        </w:rPr>
        <w:sectPr>
          <w:type w:val="continuous"/>
          <w:pgSz w:w="11910" w:h="16850"/>
          <w:pgMar w:top="520" w:bottom="280" w:left="620" w:right="720"/>
          <w:cols w:num="2" w:equalWidth="0">
            <w:col w:w="2196" w:space="40"/>
            <w:col w:w="8334"/>
          </w:cols>
        </w:sectPr>
      </w:pPr>
    </w:p>
    <w:p>
      <w:pPr>
        <w:pStyle w:val="BodyText"/>
        <w:spacing w:before="1"/>
        <w:rPr>
          <w:rFonts w:ascii="黑体"/>
          <w:sz w:val="12"/>
        </w:rPr>
      </w:pPr>
    </w:p>
    <w:p>
      <w:pPr>
        <w:pStyle w:val="ListParagraph"/>
        <w:numPr>
          <w:ilvl w:val="3"/>
          <w:numId w:val="4"/>
        </w:numPr>
        <w:tabs>
          <w:tab w:pos="1140" w:val="left" w:leader="none"/>
        </w:tabs>
        <w:spacing w:line="242" w:lineRule="auto" w:before="72" w:after="0"/>
        <w:ind w:left="2608" w:right="373" w:hanging="2130"/>
        <w:jc w:val="both"/>
        <w:rPr>
          <w:rFonts w:ascii="黑体" w:eastAsia="黑体"/>
          <w:sz w:val="21"/>
        </w:rPr>
      </w:pPr>
      <w:r>
        <w:rPr>
          <w:b/>
          <w:spacing w:val="101"/>
          <w:sz w:val="21"/>
        </w:rPr>
        <w:t>停售处理 </w:t>
      </w:r>
      <w:r>
        <w:rPr>
          <w:rFonts w:ascii="黑体" w:eastAsia="黑体"/>
          <w:sz w:val="21"/>
        </w:rPr>
        <w:t>当国家的社会医疗保障制度或者相关监管政策发生重大变化，或者计算费率所用的</w:t>
      </w:r>
      <w:r>
        <w:rPr>
          <w:rFonts w:ascii="黑体" w:eastAsia="黑体"/>
          <w:spacing w:val="-2"/>
          <w:sz w:val="21"/>
        </w:rPr>
        <w:t>计算基础与实际情况发生重大偏差，致使本保险不再适合销售时，我们有权停止销</w:t>
      </w:r>
      <w:r>
        <w:rPr>
          <w:rFonts w:ascii="黑体" w:eastAsia="黑体"/>
          <w:spacing w:val="-4"/>
          <w:sz w:val="21"/>
        </w:rPr>
        <w:t>售本保险。</w:t>
      </w:r>
    </w:p>
    <w:p>
      <w:pPr>
        <w:pStyle w:val="BodyText"/>
        <w:spacing w:line="242" w:lineRule="auto" w:before="63"/>
        <w:ind w:left="2608" w:right="373"/>
        <w:rPr>
          <w:rFonts w:ascii="黑体" w:eastAsia="黑体"/>
        </w:rPr>
      </w:pPr>
      <w:r>
        <w:rPr>
          <w:rFonts w:ascii="黑体" w:eastAsia="黑体"/>
          <w:spacing w:val="-2"/>
        </w:rPr>
        <w:t>若我们停止销售本保险，我们将在本合同期满日前以书面形式或者双方认可的其他</w:t>
      </w:r>
      <w:r>
        <w:rPr>
          <w:rFonts w:ascii="黑体" w:eastAsia="黑体"/>
          <w:spacing w:val="-2"/>
        </w:rPr>
        <w:t>形式通知您。本保险停止销售后，我们有权不再为您办理相关续保手续。</w:t>
      </w:r>
    </w:p>
    <w:p>
      <w:pPr>
        <w:pStyle w:val="BodyText"/>
        <w:spacing w:before="10"/>
        <w:rPr>
          <w:rFonts w:ascii="黑体"/>
          <w:sz w:val="17"/>
        </w:rPr>
      </w:pPr>
    </w:p>
    <w:p>
      <w:pPr>
        <w:pStyle w:val="Heading2"/>
        <w:numPr>
          <w:ilvl w:val="2"/>
          <w:numId w:val="4"/>
        </w:numPr>
        <w:tabs>
          <w:tab w:pos="1139" w:val="left" w:leader="none"/>
          <w:tab w:pos="1140" w:val="left" w:leader="none"/>
        </w:tabs>
        <w:spacing w:line="240" w:lineRule="auto" w:before="0" w:after="4"/>
        <w:ind w:left="1139" w:right="0" w:hanging="661"/>
        <w:jc w:val="left"/>
      </w:pPr>
      <w:r>
        <w:rPr>
          <w:spacing w:val="-3"/>
          <w:w w:val="95"/>
        </w:rPr>
        <w:t>合同解除</w:t>
      </w:r>
    </w:p>
    <w:p>
      <w:pPr>
        <w:pStyle w:val="BodyText"/>
        <w:spacing w:line="20" w:lineRule="exact"/>
        <w:ind w:left="371"/>
        <w:rPr>
          <w:sz w:val="2"/>
        </w:rPr>
      </w:pPr>
      <w:r>
        <w:rPr>
          <w:sz w:val="2"/>
        </w:rPr>
        <w:drawing>
          <wp:inline distT="0" distB="0" distL="0" distR="0">
            <wp:extent cx="6301621" cy="6096"/>
            <wp:effectExtent l="0" t="0" r="0" b="0"/>
            <wp:docPr id="13" name="image4.png"/>
            <wp:cNvGraphicFramePr>
              <a:graphicFrameLocks noChangeAspect="1"/>
            </wp:cNvGraphicFramePr>
            <a:graphic>
              <a:graphicData uri="http://schemas.openxmlformats.org/drawingml/2006/picture">
                <pic:pic>
                  <pic:nvPicPr>
                    <pic:cNvPr id="14" name="image4.png"/>
                    <pic:cNvPicPr/>
                  </pic:nvPicPr>
                  <pic:blipFill>
                    <a:blip r:embed="rId8" cstate="print"/>
                    <a:stretch>
                      <a:fillRect/>
                    </a:stretch>
                  </pic:blipFill>
                  <pic:spPr>
                    <a:xfrm>
                      <a:off x="0" y="0"/>
                      <a:ext cx="6301621" cy="6096"/>
                    </a:xfrm>
                    <a:prstGeom prst="rect">
                      <a:avLst/>
                    </a:prstGeom>
                  </pic:spPr>
                </pic:pic>
              </a:graphicData>
            </a:graphic>
          </wp:inline>
        </w:drawing>
      </w:r>
      <w:r>
        <w:rPr>
          <w:sz w:val="2"/>
        </w:rPr>
      </w:r>
    </w:p>
    <w:p>
      <w:pPr>
        <w:pStyle w:val="BodyText"/>
        <w:spacing w:before="11"/>
        <w:rPr>
          <w:b/>
          <w:sz w:val="10"/>
        </w:rPr>
      </w:pPr>
    </w:p>
    <w:p>
      <w:pPr>
        <w:spacing w:after="0"/>
        <w:rPr>
          <w:sz w:val="10"/>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61"/>
        <w:jc w:val="both"/>
      </w:pPr>
      <w:r>
        <w:rPr>
          <w:spacing w:val="-2"/>
        </w:rPr>
        <w:t>您解除合同</w:t>
      </w:r>
      <w:r>
        <w:rPr>
          <w:spacing w:val="-2"/>
        </w:rPr>
        <w:t>的手续及风</w:t>
      </w:r>
      <w:r>
        <w:rPr>
          <w:spacing w:val="-10"/>
        </w:rPr>
        <w:t>险</w:t>
      </w:r>
    </w:p>
    <w:p>
      <w:pPr>
        <w:pStyle w:val="BodyText"/>
        <w:spacing w:line="242" w:lineRule="auto" w:before="72"/>
        <w:ind w:left="372" w:right="373"/>
      </w:pPr>
      <w:r>
        <w:rPr/>
        <w:br w:type="column"/>
      </w:r>
      <w:r>
        <w:rPr>
          <w:spacing w:val="-2"/>
        </w:rPr>
        <w:t>如果被保险人未发生保险事故，且您要求解除本合同，请填写解除合同申请书并向</w:t>
      </w:r>
      <w:r>
        <w:rPr>
          <w:spacing w:val="-2"/>
        </w:rPr>
        <w:t>我们提供下列资料的原件：</w:t>
      </w:r>
    </w:p>
    <w:p>
      <w:pPr>
        <w:pStyle w:val="ListParagraph"/>
        <w:numPr>
          <w:ilvl w:val="0"/>
          <w:numId w:val="10"/>
        </w:numPr>
        <w:tabs>
          <w:tab w:pos="1108" w:val="left" w:leader="none"/>
        </w:tabs>
        <w:spacing w:line="240" w:lineRule="auto" w:before="62" w:after="0"/>
        <w:ind w:left="1107" w:right="0" w:hanging="736"/>
        <w:jc w:val="left"/>
        <w:rPr>
          <w:sz w:val="21"/>
        </w:rPr>
      </w:pPr>
      <w:r>
        <w:rPr>
          <w:spacing w:val="-4"/>
          <w:sz w:val="21"/>
        </w:rPr>
        <w:t>本合同；</w:t>
      </w:r>
    </w:p>
    <w:p>
      <w:pPr>
        <w:pStyle w:val="ListParagraph"/>
        <w:numPr>
          <w:ilvl w:val="0"/>
          <w:numId w:val="10"/>
        </w:numPr>
        <w:tabs>
          <w:tab w:pos="1108" w:val="left" w:leader="none"/>
        </w:tabs>
        <w:spacing w:line="240" w:lineRule="auto" w:before="62" w:after="0"/>
        <w:ind w:left="1107" w:right="0" w:hanging="736"/>
        <w:jc w:val="left"/>
        <w:rPr>
          <w:sz w:val="21"/>
        </w:rPr>
      </w:pPr>
      <w:r>
        <w:rPr>
          <w:spacing w:val="-3"/>
          <w:sz w:val="21"/>
        </w:rPr>
        <w:t>您的有效身份证件。</w:t>
      </w:r>
    </w:p>
    <w:p>
      <w:pPr>
        <w:pStyle w:val="BodyText"/>
        <w:spacing w:line="242" w:lineRule="auto" w:before="65"/>
        <w:ind w:left="372" w:right="373"/>
      </w:pPr>
      <w:r>
        <w:rPr>
          <w:spacing w:val="-2"/>
        </w:rPr>
        <w:t>自我们收到解除合同申请书时起，本合同终止。我们自收到解除合同申请书之日起 </w:t>
      </w:r>
      <w:r>
        <w:rPr/>
        <w:t>30</w:t>
      </w:r>
      <w:r>
        <w:rPr>
          <w:spacing w:val="-6"/>
        </w:rPr>
        <w:t> 日内向您退还本合同终止时的</w:t>
      </w:r>
      <w:r>
        <w:rPr>
          <w:b/>
        </w:rPr>
        <w:t>现金价值</w:t>
      </w:r>
      <w:r>
        <w:rPr/>
        <w:t>（</w:t>
      </w:r>
      <w:r>
        <w:rPr>
          <w:spacing w:val="-14"/>
        </w:rPr>
        <w:t>见 </w:t>
      </w:r>
      <w:r>
        <w:rPr>
          <w:spacing w:val="19"/>
        </w:rPr>
        <w:t>8</w:t>
      </w:r>
      <w:r>
        <w:rPr>
          <w:spacing w:val="22"/>
        </w:rPr>
        <w:t>.4</w:t>
      </w:r>
      <w:r>
        <w:rPr>
          <w:spacing w:val="19"/>
        </w:rPr>
        <w:t>7</w:t>
      </w:r>
      <w:r>
        <w:rPr>
          <w:spacing w:val="-84"/>
        </w:rPr>
        <w:t>）</w:t>
      </w:r>
      <w:r>
        <w:rPr/>
        <w:t>。</w:t>
      </w:r>
    </w:p>
    <w:p>
      <w:pPr>
        <w:pStyle w:val="BodyText"/>
        <w:spacing w:before="61"/>
        <w:ind w:left="365"/>
        <w:rPr>
          <w:rFonts w:ascii="黑体" w:eastAsia="黑体"/>
        </w:rPr>
      </w:pPr>
      <w:r>
        <w:rPr>
          <w:rFonts w:ascii="黑体" w:eastAsia="黑体"/>
          <w:spacing w:val="-3"/>
        </w:rPr>
        <w:t>您解除合同会遭受一定损失。如果已发生保险金给付的，您不得要求解除本合同。</w:t>
      </w:r>
    </w:p>
    <w:p>
      <w:pPr>
        <w:spacing w:after="0"/>
        <w:rPr>
          <w:rFonts w:ascii="黑体" w:eastAsia="黑体"/>
        </w:rPr>
        <w:sectPr>
          <w:type w:val="continuous"/>
          <w:pgSz w:w="11910" w:h="16850"/>
          <w:pgMar w:top="520" w:bottom="280" w:left="620" w:right="720"/>
          <w:cols w:num="2" w:equalWidth="0">
            <w:col w:w="2196" w:space="40"/>
            <w:col w:w="8334"/>
          </w:cols>
        </w:sectPr>
      </w:pPr>
    </w:p>
    <w:p>
      <w:pPr>
        <w:pStyle w:val="BodyText"/>
        <w:spacing w:before="11"/>
        <w:rPr>
          <w:rFonts w:ascii="黑体"/>
          <w:sz w:val="12"/>
        </w:rPr>
      </w:pPr>
    </w:p>
    <w:p>
      <w:pPr>
        <w:pStyle w:val="Heading2"/>
        <w:numPr>
          <w:ilvl w:val="2"/>
          <w:numId w:val="4"/>
        </w:numPr>
        <w:tabs>
          <w:tab w:pos="1139" w:val="left" w:leader="none"/>
          <w:tab w:pos="1140" w:val="left" w:leader="none"/>
        </w:tabs>
        <w:spacing w:line="240" w:lineRule="auto" w:before="66" w:after="4"/>
        <w:ind w:left="1139" w:right="0" w:hanging="661"/>
        <w:jc w:val="left"/>
      </w:pPr>
      <w:r>
        <w:rPr>
          <w:w w:val="95"/>
        </w:rPr>
        <w:t>其他需</w:t>
      </w:r>
      <w:r>
        <w:rPr>
          <w:w w:val="95"/>
        </w:rPr>
        <w:t>要</w:t>
      </w:r>
      <w:r>
        <w:rPr>
          <w:w w:val="95"/>
        </w:rPr>
        <w:t>关</w:t>
      </w:r>
      <w:r>
        <w:rPr>
          <w:spacing w:val="-3"/>
          <w:w w:val="95"/>
        </w:rPr>
        <w:t>注的事项</w:t>
      </w:r>
    </w:p>
    <w:p>
      <w:pPr>
        <w:pStyle w:val="BodyText"/>
        <w:spacing w:line="20" w:lineRule="exact"/>
        <w:ind w:left="371"/>
        <w:rPr>
          <w:sz w:val="2"/>
        </w:rPr>
      </w:pPr>
      <w:r>
        <w:rPr>
          <w:sz w:val="2"/>
        </w:rPr>
        <w:drawing>
          <wp:inline distT="0" distB="0" distL="0" distR="0">
            <wp:extent cx="6300833" cy="6096"/>
            <wp:effectExtent l="0" t="0" r="0" b="0"/>
            <wp:docPr id="15" name="image4.png"/>
            <wp:cNvGraphicFramePr>
              <a:graphicFrameLocks noChangeAspect="1"/>
            </wp:cNvGraphicFramePr>
            <a:graphic>
              <a:graphicData uri="http://schemas.openxmlformats.org/drawingml/2006/picture">
                <pic:pic>
                  <pic:nvPicPr>
                    <pic:cNvPr id="16" name="image4.png"/>
                    <pic:cNvPicPr/>
                  </pic:nvPicPr>
                  <pic:blipFill>
                    <a:blip r:embed="rId8" cstate="print"/>
                    <a:stretch>
                      <a:fillRect/>
                    </a:stretch>
                  </pic:blipFill>
                  <pic:spPr>
                    <a:xfrm>
                      <a:off x="0" y="0"/>
                      <a:ext cx="6300833" cy="6096"/>
                    </a:xfrm>
                    <a:prstGeom prst="rect">
                      <a:avLst/>
                    </a:prstGeom>
                  </pic:spPr>
                </pic:pic>
              </a:graphicData>
            </a:graphic>
          </wp:inline>
        </w:drawing>
      </w:r>
      <w:r>
        <w:rPr>
          <w:sz w:val="2"/>
        </w:rPr>
      </w:r>
    </w:p>
    <w:p>
      <w:pPr>
        <w:pStyle w:val="BodyText"/>
        <w:spacing w:before="11"/>
        <w:rPr>
          <w:b/>
          <w:sz w:val="10"/>
        </w:rPr>
      </w:pPr>
    </w:p>
    <w:p>
      <w:pPr>
        <w:spacing w:after="0"/>
        <w:rPr>
          <w:sz w:val="10"/>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2" w:lineRule="auto" w:before="72" w:after="0"/>
        <w:ind w:left="1139" w:right="0" w:hanging="661"/>
        <w:jc w:val="left"/>
      </w:pPr>
      <w:r>
        <w:rPr>
          <w:spacing w:val="-2"/>
        </w:rPr>
        <w:t>明确说明与</w:t>
      </w:r>
      <w:r>
        <w:rPr>
          <w:spacing w:val="-4"/>
        </w:rPr>
        <w:t>如实告知</w:t>
      </w:r>
    </w:p>
    <w:p>
      <w:pPr>
        <w:pStyle w:val="BodyText"/>
        <w:spacing w:line="242" w:lineRule="auto" w:before="72"/>
        <w:ind w:left="372" w:right="373"/>
        <w:jc w:val="both"/>
      </w:pPr>
      <w:r>
        <w:rPr/>
        <w:br w:type="column"/>
      </w:r>
      <w:r>
        <w:rPr>
          <w:spacing w:val="-2"/>
        </w:rPr>
        <w:t>订立本合同时，我们应当向您说明本合同的内容。对保险条款中免除我们责任的条</w:t>
      </w:r>
      <w:r>
        <w:rPr>
          <w:spacing w:val="-2"/>
        </w:rPr>
        <w:t>款，我们在订立合同时应当在投保单、保险单或者其他保险凭证上作出足以引起您</w:t>
      </w:r>
      <w:r>
        <w:rPr>
          <w:spacing w:val="-2"/>
        </w:rPr>
        <w:t>注意的提示，并对该条款的内容以书面或者口头形式向您作出明确说明，未作提示</w:t>
      </w:r>
      <w:r>
        <w:rPr>
          <w:spacing w:val="-2"/>
        </w:rPr>
        <w:t>或者明确说明的，该条款不产生效力。</w:t>
      </w:r>
    </w:p>
    <w:p>
      <w:pPr>
        <w:pStyle w:val="BodyText"/>
        <w:spacing w:before="61"/>
        <w:ind w:left="372"/>
      </w:pPr>
      <w:r>
        <w:rPr>
          <w:spacing w:val="-3"/>
        </w:rPr>
        <w:t>我们会就您和被保险人的有关情况提出书面询问，您应当如实告知。</w:t>
      </w:r>
    </w:p>
    <w:p>
      <w:pPr>
        <w:pStyle w:val="BodyText"/>
        <w:spacing w:line="242" w:lineRule="auto" w:before="65"/>
        <w:ind w:left="372" w:right="373"/>
        <w:rPr>
          <w:rFonts w:ascii="黑体" w:eastAsia="黑体"/>
        </w:rPr>
      </w:pPr>
      <w:r>
        <w:rPr>
          <w:rFonts w:ascii="黑体" w:eastAsia="黑体"/>
          <w:spacing w:val="-2"/>
        </w:rPr>
        <w:t>如果您故意或者因重大过失未履行前款约定的如实告知义务，足以影响我们决定是</w:t>
      </w:r>
      <w:r>
        <w:rPr>
          <w:rFonts w:ascii="黑体" w:eastAsia="黑体"/>
          <w:spacing w:val="-2"/>
        </w:rPr>
        <w:t>否同意承保、续保或者提高保险费率的，我们有权解除本合同。</w:t>
      </w:r>
    </w:p>
    <w:p>
      <w:pPr>
        <w:pStyle w:val="BodyText"/>
        <w:spacing w:line="242" w:lineRule="auto" w:before="61"/>
        <w:ind w:left="372" w:right="373"/>
        <w:rPr>
          <w:rFonts w:ascii="黑体" w:eastAsia="黑体"/>
        </w:rPr>
      </w:pPr>
      <w:r>
        <w:rPr>
          <w:rFonts w:ascii="黑体" w:eastAsia="黑体"/>
          <w:spacing w:val="-2"/>
        </w:rPr>
        <w:t>如果您故意不履行如实告知义务，对于本合同解除前发生的保险事故，我们不承担</w:t>
      </w:r>
      <w:r>
        <w:rPr>
          <w:rFonts w:ascii="黑体" w:eastAsia="黑体"/>
          <w:spacing w:val="-2"/>
        </w:rPr>
        <w:t>给付保险金的责任，并不退还保险费。</w:t>
      </w:r>
    </w:p>
    <w:p>
      <w:pPr>
        <w:pStyle w:val="BodyText"/>
        <w:spacing w:line="242" w:lineRule="auto" w:before="61"/>
        <w:ind w:left="372" w:right="373"/>
        <w:jc w:val="both"/>
        <w:rPr>
          <w:rFonts w:ascii="黑体" w:eastAsia="黑体"/>
        </w:rPr>
      </w:pPr>
      <w:r>
        <w:rPr>
          <w:rFonts w:ascii="黑体" w:eastAsia="黑体"/>
          <w:spacing w:val="-2"/>
        </w:rPr>
        <w:t>如果您因重大过失未履行如实告知义务，对保险事故的发生有严重影响的，对于本</w:t>
      </w:r>
      <w:r>
        <w:rPr>
          <w:rFonts w:ascii="黑体" w:eastAsia="黑体"/>
          <w:spacing w:val="-2"/>
        </w:rPr>
        <w:t>合同解除前发生的保险事故，我们不承担给付保险金的责任，但应当向您退还保险</w:t>
      </w:r>
      <w:r>
        <w:rPr>
          <w:rFonts w:ascii="黑体" w:eastAsia="黑体"/>
          <w:spacing w:val="-6"/>
        </w:rPr>
        <w:t>费。</w:t>
      </w:r>
    </w:p>
    <w:p>
      <w:pPr>
        <w:pStyle w:val="BodyText"/>
        <w:spacing w:line="242" w:lineRule="auto" w:before="61"/>
        <w:ind w:left="372" w:right="373"/>
        <w:jc w:val="both"/>
      </w:pPr>
      <w:r>
        <w:rPr>
          <w:spacing w:val="-2"/>
        </w:rPr>
        <w:t>我们在合同订立时已经知道您未如实告知的情况的，我们不得以您未履行如实告知</w:t>
      </w:r>
      <w:r>
        <w:rPr>
          <w:spacing w:val="-2"/>
        </w:rPr>
        <w:t>义务为由解除合同；发生保险事故的，我们不得以您未履行如实告知义务为由不承</w:t>
      </w:r>
      <w:r>
        <w:rPr>
          <w:spacing w:val="-2"/>
        </w:rPr>
        <w:t>担保险责任。</w:t>
      </w:r>
    </w:p>
    <w:p>
      <w:pPr>
        <w:spacing w:after="0" w:line="242" w:lineRule="auto"/>
        <w:jc w:val="both"/>
        <w:sectPr>
          <w:type w:val="continuous"/>
          <w:pgSz w:w="11910" w:h="16850"/>
          <w:pgMar w:top="520" w:bottom="280" w:left="620" w:right="720"/>
          <w:cols w:num="2" w:equalWidth="0">
            <w:col w:w="2196" w:space="40"/>
            <w:col w:w="8334"/>
          </w:cols>
        </w:sectPr>
      </w:pPr>
    </w:p>
    <w:p>
      <w:pPr>
        <w:pStyle w:val="Heading3"/>
        <w:numPr>
          <w:ilvl w:val="3"/>
          <w:numId w:val="4"/>
        </w:numPr>
        <w:tabs>
          <w:tab w:pos="1139" w:val="left" w:leader="none"/>
          <w:tab w:pos="1140" w:val="left" w:leader="none"/>
        </w:tabs>
        <w:spacing w:line="244" w:lineRule="auto" w:before="53" w:after="0"/>
        <w:ind w:left="1139" w:right="0" w:hanging="661"/>
        <w:jc w:val="left"/>
      </w:pPr>
      <w:r>
        <w:rPr>
          <w:spacing w:val="-2"/>
        </w:rPr>
        <w:t>年龄性别错</w:t>
      </w:r>
      <w:r>
        <w:rPr>
          <w:spacing w:val="-10"/>
        </w:rPr>
        <w:t>误</w:t>
      </w:r>
    </w:p>
    <w:p>
      <w:pPr>
        <w:pStyle w:val="BodyText"/>
        <w:spacing w:line="244" w:lineRule="auto" w:before="53"/>
        <w:ind w:left="365" w:right="372"/>
      </w:pPr>
      <w:r>
        <w:rPr/>
        <w:br w:type="column"/>
      </w:r>
      <w:r>
        <w:rPr>
          <w:spacing w:val="-2"/>
        </w:rPr>
        <w:t>您在申请投保时，应将与有效身份证件相符的被保险人的出生日期和性别在投保单</w:t>
      </w:r>
      <w:r>
        <w:rPr>
          <w:spacing w:val="-2"/>
        </w:rPr>
        <w:t>上填明，如果发生错误按照下列方式办理：</w:t>
      </w:r>
    </w:p>
    <w:p>
      <w:pPr>
        <w:pStyle w:val="ListParagraph"/>
        <w:numPr>
          <w:ilvl w:val="0"/>
          <w:numId w:val="11"/>
        </w:numPr>
        <w:tabs>
          <w:tab w:pos="1086" w:val="left" w:leader="none"/>
        </w:tabs>
        <w:spacing w:line="242" w:lineRule="auto" w:before="56" w:after="0"/>
        <w:ind w:left="1085" w:right="306" w:hanging="720"/>
        <w:jc w:val="both"/>
        <w:rPr>
          <w:rFonts w:ascii="黑体" w:eastAsia="黑体"/>
          <w:sz w:val="21"/>
        </w:rPr>
      </w:pPr>
      <w:r>
        <w:rPr>
          <w:rFonts w:ascii="黑体" w:eastAsia="黑体"/>
          <w:spacing w:val="-7"/>
          <w:sz w:val="21"/>
        </w:rPr>
        <w:t>您申报的被保险人年龄不真实，并且其真实年龄不符合本合同约定投保年龄</w:t>
      </w:r>
      <w:r>
        <w:rPr>
          <w:rFonts w:ascii="黑体" w:eastAsia="黑体"/>
          <w:spacing w:val="-2"/>
          <w:sz w:val="21"/>
        </w:rPr>
        <w:t>限制的，我们有权解除本合同，</w:t>
      </w:r>
      <w:r>
        <w:rPr>
          <w:spacing w:val="-2"/>
          <w:sz w:val="21"/>
        </w:rPr>
        <w:t>合同解除权自我们知道有解除事由之日起超</w:t>
      </w:r>
      <w:r>
        <w:rPr>
          <w:spacing w:val="-7"/>
          <w:sz w:val="21"/>
        </w:rPr>
        <w:t>过 </w:t>
      </w:r>
      <w:r>
        <w:rPr>
          <w:sz w:val="21"/>
        </w:rPr>
        <w:t>30</w:t>
      </w:r>
      <w:r>
        <w:rPr>
          <w:spacing w:val="-4"/>
          <w:sz w:val="21"/>
        </w:rPr>
        <w:t> 日不行使而消灭。</w:t>
      </w:r>
      <w:r>
        <w:rPr>
          <w:rFonts w:ascii="黑体" w:eastAsia="黑体"/>
          <w:sz w:val="21"/>
        </w:rPr>
        <w:t>对于解除本合同的，本合同自解除之日起终止，我</w:t>
      </w:r>
      <w:r>
        <w:rPr>
          <w:rFonts w:ascii="黑体" w:eastAsia="黑体"/>
          <w:spacing w:val="-2"/>
          <w:sz w:val="21"/>
        </w:rPr>
        <w:t>们向您退还本合同终止时的现金价值。对于本合同解除前发生的保险事故，</w:t>
      </w:r>
      <w:r>
        <w:rPr>
          <w:rFonts w:ascii="黑体" w:eastAsia="黑体"/>
          <w:spacing w:val="-2"/>
          <w:sz w:val="21"/>
        </w:rPr>
        <w:t>我们不承担给付保险金的责任。</w:t>
      </w:r>
    </w:p>
    <w:p>
      <w:pPr>
        <w:pStyle w:val="ListParagraph"/>
        <w:numPr>
          <w:ilvl w:val="0"/>
          <w:numId w:val="11"/>
        </w:numPr>
        <w:tabs>
          <w:tab w:pos="1086" w:val="left" w:leader="none"/>
        </w:tabs>
        <w:spacing w:line="242" w:lineRule="auto" w:before="65" w:after="0"/>
        <w:ind w:left="1085" w:right="371" w:hanging="720"/>
        <w:jc w:val="both"/>
        <w:rPr>
          <w:rFonts w:ascii="黑体" w:eastAsia="黑体"/>
          <w:sz w:val="21"/>
        </w:rPr>
      </w:pPr>
      <w:r>
        <w:rPr>
          <w:rFonts w:ascii="黑体" w:eastAsia="黑体"/>
          <w:spacing w:val="-6"/>
          <w:sz w:val="21"/>
        </w:rPr>
        <w:t>您申报的被保险人年龄或者性别不真实，致使您实交保险费少于应交保险费</w:t>
      </w:r>
      <w:r>
        <w:rPr>
          <w:rFonts w:ascii="黑体" w:eastAsia="黑体"/>
          <w:spacing w:val="-2"/>
          <w:sz w:val="21"/>
        </w:rPr>
        <w:t>的，我们有权更正并要求您补交保险费。如果已经发生保险事故，在给付保</w:t>
      </w:r>
      <w:r>
        <w:rPr>
          <w:rFonts w:ascii="黑体" w:eastAsia="黑体"/>
          <w:spacing w:val="-2"/>
          <w:sz w:val="21"/>
        </w:rPr>
        <w:t>险金时按实交保险费和应交保险费的比例给付。</w:t>
      </w:r>
    </w:p>
    <w:p>
      <w:pPr>
        <w:pStyle w:val="ListParagraph"/>
        <w:numPr>
          <w:ilvl w:val="0"/>
          <w:numId w:val="11"/>
        </w:numPr>
        <w:tabs>
          <w:tab w:pos="1086" w:val="left" w:leader="none"/>
        </w:tabs>
        <w:spacing w:line="244" w:lineRule="auto" w:before="60" w:after="0"/>
        <w:ind w:left="1085" w:right="375" w:hanging="720"/>
        <w:jc w:val="both"/>
        <w:rPr>
          <w:sz w:val="21"/>
        </w:rPr>
      </w:pPr>
      <w:r>
        <w:rPr>
          <w:spacing w:val="-6"/>
          <w:sz w:val="21"/>
        </w:rPr>
        <w:t>您申报的被保险人年龄或者性别不真实，致使您实交保险费多于应交保险费</w:t>
      </w:r>
      <w:r>
        <w:rPr>
          <w:spacing w:val="-2"/>
          <w:sz w:val="21"/>
        </w:rPr>
        <w:t>的，我们向您无息退还多收的保险费。</w:t>
      </w:r>
    </w:p>
    <w:p>
      <w:pPr>
        <w:spacing w:after="0" w:line="244" w:lineRule="auto"/>
        <w:jc w:val="both"/>
        <w:rPr>
          <w:sz w:val="21"/>
        </w:rPr>
        <w:sectPr>
          <w:pgSz w:w="11910" w:h="16850"/>
          <w:pgMar w:top="1140" w:bottom="280" w:left="620" w:right="720"/>
          <w:cols w:num="2" w:equalWidth="0">
            <w:col w:w="2196" w:space="40"/>
            <w:col w:w="8334"/>
          </w:cols>
        </w:sectPr>
      </w:pPr>
    </w:p>
    <w:p>
      <w:pPr>
        <w:pStyle w:val="BodyText"/>
        <w:spacing w:before="1"/>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61"/>
        <w:jc w:val="both"/>
      </w:pPr>
      <w:r>
        <w:rPr>
          <w:spacing w:val="-2"/>
        </w:rPr>
        <w:t>职业或者工</w:t>
      </w:r>
      <w:r>
        <w:rPr>
          <w:spacing w:val="-2"/>
        </w:rPr>
        <w:t>种的确定与</w:t>
      </w:r>
      <w:r>
        <w:rPr>
          <w:spacing w:val="-6"/>
        </w:rPr>
        <w:t>变更</w:t>
      </w:r>
    </w:p>
    <w:p>
      <w:pPr>
        <w:pStyle w:val="BodyText"/>
        <w:spacing w:line="244" w:lineRule="auto" w:before="72"/>
        <w:ind w:left="372" w:right="373"/>
      </w:pPr>
      <w:r>
        <w:rPr/>
        <w:br w:type="column"/>
      </w:r>
      <w:r>
        <w:rPr>
          <w:spacing w:val="-2"/>
        </w:rPr>
        <w:t>我们将按照事先公布的职业分类表确定被保险人的职业分类，您可以通过我们的服</w:t>
      </w:r>
      <w:r>
        <w:rPr>
          <w:spacing w:val="-2"/>
        </w:rPr>
        <w:t>务场所工作人员查询到此表。</w:t>
      </w:r>
    </w:p>
    <w:p>
      <w:pPr>
        <w:pStyle w:val="BodyText"/>
        <w:spacing w:line="242" w:lineRule="auto" w:before="56"/>
        <w:ind w:left="372" w:right="370"/>
        <w:jc w:val="both"/>
        <w:rPr>
          <w:rFonts w:ascii="黑体" w:eastAsia="黑体"/>
        </w:rPr>
      </w:pPr>
      <w:r>
        <w:rPr>
          <w:spacing w:val="-5"/>
        </w:rPr>
        <w:t>被保险人变更其职业或者工种时，您应于 </w:t>
      </w:r>
      <w:r>
        <w:rPr>
          <w:spacing w:val="-4"/>
        </w:rPr>
        <w:t>10</w:t>
      </w:r>
      <w:r>
        <w:rPr>
          <w:spacing w:val="-8"/>
        </w:rPr>
        <w:t> 日内以书面形式通知我们。被保险人所</w:t>
      </w:r>
      <w:r>
        <w:rPr>
          <w:spacing w:val="-2"/>
        </w:rPr>
        <w:t>变更的职业或者工种依照职业分类其危险程度降低时，我们自接到通知之日起，向</w:t>
      </w:r>
      <w:r>
        <w:rPr>
          <w:spacing w:val="-2"/>
        </w:rPr>
        <w:t>您退还职业类别变更前后的与剩余保险期间相对应的</w:t>
      </w:r>
      <w:r>
        <w:rPr>
          <w:b/>
          <w:spacing w:val="-2"/>
        </w:rPr>
        <w:t>净保险费</w:t>
      </w:r>
      <w:r>
        <w:rPr>
          <w:spacing w:val="-2"/>
        </w:rPr>
        <w:t>（</w:t>
      </w:r>
      <w:r>
        <w:rPr>
          <w:spacing w:val="-14"/>
        </w:rPr>
        <w:t>见 </w:t>
      </w:r>
      <w:r>
        <w:rPr>
          <w:spacing w:val="-2"/>
        </w:rPr>
        <w:t>8.48）差额；其</w:t>
      </w:r>
      <w:r>
        <w:rPr>
          <w:spacing w:val="-2"/>
        </w:rPr>
        <w:t>危险程度增加时，我们自接到通知之日起，向您增收职业类别变更前后的与剩余保</w:t>
      </w:r>
      <w:r>
        <w:rPr>
          <w:spacing w:val="-2"/>
        </w:rPr>
        <w:t>险期间相对应的净保险费差额。</w:t>
      </w:r>
      <w:r>
        <w:rPr>
          <w:rFonts w:ascii="黑体" w:eastAsia="黑体"/>
          <w:spacing w:val="-2"/>
        </w:rPr>
        <w:t>但被保险人所变更的职业或者工种依照我们职业分</w:t>
      </w:r>
      <w:r>
        <w:rPr>
          <w:rFonts w:ascii="黑体" w:eastAsia="黑体"/>
          <w:spacing w:val="-2"/>
        </w:rPr>
        <w:t>类在本合同拒保范围内的，我们对该被保险人所承担保险责任自接到通知之日起终</w:t>
      </w:r>
      <w:r>
        <w:rPr>
          <w:rFonts w:ascii="黑体" w:eastAsia="黑体"/>
          <w:spacing w:val="-2"/>
        </w:rPr>
        <w:t>止，并按约定退还本合同终止时的现金价值。</w:t>
      </w:r>
    </w:p>
    <w:p>
      <w:pPr>
        <w:pStyle w:val="BodyText"/>
        <w:spacing w:line="242" w:lineRule="auto" w:before="64"/>
        <w:ind w:left="372" w:right="373"/>
        <w:jc w:val="both"/>
      </w:pPr>
      <w:r>
        <w:rPr>
          <w:spacing w:val="-2"/>
        </w:rPr>
        <w:t>被保险人的职业或者工种变更之后，依照职业分类表其危险程度增加而未依前项约</w:t>
      </w:r>
      <w:r>
        <w:rPr>
          <w:spacing w:val="-2"/>
        </w:rPr>
        <w:t>定通知我们而发生保险事故的，我们按实收保险费与应收保险费的比例计算给付保</w:t>
      </w:r>
      <w:r>
        <w:rPr>
          <w:spacing w:val="-2"/>
        </w:rPr>
        <w:t>险金，</w:t>
      </w:r>
      <w:r>
        <w:rPr>
          <w:rFonts w:ascii="黑体" w:eastAsia="黑体"/>
          <w:spacing w:val="-2"/>
        </w:rPr>
        <w:t>但被保险人职业或者工种变更之后在本合同拒保范围内的，我们不承担给付</w:t>
      </w:r>
      <w:r>
        <w:rPr>
          <w:rFonts w:ascii="黑体" w:eastAsia="黑体"/>
          <w:spacing w:val="-2"/>
        </w:rPr>
        <w:t>保险金责任，并按本合同约定退还本合同终止时的现金价值</w:t>
      </w:r>
      <w:r>
        <w:rPr>
          <w:spacing w:val="-2"/>
        </w:rPr>
        <w:t>，本合同终止。</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8"/>
        <w:rPr>
          <w:sz w:val="12"/>
        </w:rPr>
      </w:pPr>
    </w:p>
    <w:p>
      <w:pPr>
        <w:spacing w:after="0"/>
        <w:rPr>
          <w:sz w:val="12"/>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4" w:lineRule="auto" w:before="71" w:after="0"/>
        <w:ind w:left="1139" w:right="0" w:hanging="661"/>
        <w:jc w:val="left"/>
      </w:pPr>
      <w:r>
        <w:rPr>
          <w:spacing w:val="-2"/>
        </w:rPr>
        <w:t>合同内容变</w:t>
      </w:r>
      <w:r>
        <w:rPr>
          <w:spacing w:val="-10"/>
        </w:rPr>
        <w:t>更</w:t>
      </w:r>
    </w:p>
    <w:p>
      <w:pPr>
        <w:pStyle w:val="BodyText"/>
        <w:spacing w:line="242" w:lineRule="auto" w:before="71"/>
        <w:ind w:left="372" w:right="373"/>
        <w:jc w:val="both"/>
      </w:pPr>
      <w:r>
        <w:rPr/>
        <w:br w:type="column"/>
      </w:r>
      <w:r>
        <w:rPr>
          <w:spacing w:val="-2"/>
        </w:rPr>
        <w:t>在本合同有效期内，经您与我们协商一致，可以变更本合同的有关内容。变更本合</w:t>
      </w:r>
      <w:r>
        <w:rPr>
          <w:spacing w:val="-2"/>
        </w:rPr>
        <w:t>同的，应当由我们在保险单或者其他保险凭证上批注或者附贴批单，或者由您与我</w:t>
      </w:r>
      <w:r>
        <w:rPr>
          <w:spacing w:val="-2"/>
        </w:rPr>
        <w:t>们订立书面的变更协议。</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4" w:lineRule="auto" w:before="72" w:after="0"/>
        <w:ind w:left="1139" w:right="0" w:hanging="661"/>
        <w:jc w:val="left"/>
      </w:pPr>
      <w:r>
        <w:rPr>
          <w:spacing w:val="-2"/>
        </w:rPr>
        <w:t>联系方式变</w:t>
      </w:r>
      <w:r>
        <w:rPr>
          <w:spacing w:val="-10"/>
        </w:rPr>
        <w:t>更</w:t>
      </w:r>
    </w:p>
    <w:p>
      <w:pPr>
        <w:pStyle w:val="BodyText"/>
        <w:spacing w:line="242" w:lineRule="auto" w:before="72"/>
        <w:ind w:left="372" w:right="373"/>
        <w:jc w:val="both"/>
        <w:rPr>
          <w:rFonts w:ascii="黑体" w:eastAsia="黑体"/>
        </w:rPr>
      </w:pPr>
      <w:r>
        <w:rPr/>
        <w:br w:type="column"/>
      </w:r>
      <w:r>
        <w:rPr>
          <w:spacing w:val="-2"/>
        </w:rPr>
        <w:t>为了保障您的合法权益，您的住所、通讯地址、电话或者电子邮件等联系方式变更</w:t>
      </w:r>
      <w:r>
        <w:rPr>
          <w:spacing w:val="-2"/>
        </w:rPr>
        <w:t>时，请及时以书面形式或者双方认可的其他形式通知我们。如果您未以书面形式或</w:t>
      </w:r>
      <w:r>
        <w:rPr>
          <w:spacing w:val="-2"/>
        </w:rPr>
        <w:t>者双方认可的其他形式通知我们，</w:t>
      </w:r>
      <w:r>
        <w:rPr>
          <w:rFonts w:ascii="黑体" w:eastAsia="黑体"/>
          <w:spacing w:val="-2"/>
        </w:rPr>
        <w:t>我们按本合同载明的最后住所、通讯地址、电话</w:t>
      </w:r>
      <w:r>
        <w:rPr>
          <w:rFonts w:ascii="黑体" w:eastAsia="黑体"/>
          <w:spacing w:val="-2"/>
        </w:rPr>
        <w:t>或者电子邮件发送的有关通知，均视为已送达给您。</w:t>
      </w:r>
    </w:p>
    <w:p>
      <w:pPr>
        <w:spacing w:after="0" w:line="242" w:lineRule="auto"/>
        <w:jc w:val="both"/>
        <w:rPr>
          <w:rFonts w:ascii="黑体" w:eastAsia="黑体"/>
        </w:rPr>
        <w:sectPr>
          <w:type w:val="continuous"/>
          <w:pgSz w:w="11910" w:h="16850"/>
          <w:pgMar w:top="520" w:bottom="280" w:left="620" w:right="720"/>
          <w:cols w:num="2" w:equalWidth="0">
            <w:col w:w="2196" w:space="40"/>
            <w:col w:w="8334"/>
          </w:cols>
        </w:sectPr>
      </w:pPr>
    </w:p>
    <w:p>
      <w:pPr>
        <w:pStyle w:val="BodyText"/>
        <w:spacing w:before="7"/>
        <w:rPr>
          <w:rFonts w:ascii="黑体"/>
          <w:sz w:val="12"/>
        </w:rPr>
      </w:pPr>
    </w:p>
    <w:p>
      <w:pPr>
        <w:pStyle w:val="ListParagraph"/>
        <w:numPr>
          <w:ilvl w:val="3"/>
          <w:numId w:val="4"/>
        </w:numPr>
        <w:tabs>
          <w:tab w:pos="1139" w:val="left" w:leader="none"/>
          <w:tab w:pos="1140" w:val="left" w:leader="none"/>
          <w:tab w:pos="2608" w:val="left" w:leader="none"/>
        </w:tabs>
        <w:spacing w:line="244" w:lineRule="auto" w:before="72" w:after="0"/>
        <w:ind w:left="2608" w:right="372" w:hanging="2130"/>
        <w:jc w:val="left"/>
        <w:rPr>
          <w:sz w:val="21"/>
        </w:rPr>
      </w:pPr>
      <w:r>
        <w:rPr>
          <w:b/>
          <w:spacing w:val="-4"/>
          <w:sz w:val="21"/>
        </w:rPr>
        <w:t>争</w:t>
      </w:r>
      <w:r>
        <w:rPr>
          <w:b/>
          <w:spacing w:val="-4"/>
          <w:sz w:val="21"/>
        </w:rPr>
        <w:t>议</w:t>
      </w:r>
      <w:r>
        <w:rPr>
          <w:b/>
          <w:spacing w:val="-4"/>
          <w:sz w:val="21"/>
        </w:rPr>
        <w:t>处理</w:t>
      </w:r>
      <w:r>
        <w:rPr>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，双方</w:t>
      </w:r>
      <w:r>
        <w:rPr>
          <w:spacing w:val="-2"/>
          <w:sz w:val="21"/>
        </w:rPr>
        <w:t>发</w:t>
      </w:r>
      <w:r>
        <w:rPr>
          <w:spacing w:val="-2"/>
          <w:sz w:val="21"/>
        </w:rPr>
        <w:t>生</w:t>
      </w:r>
      <w:r>
        <w:rPr>
          <w:spacing w:val="-2"/>
          <w:sz w:val="21"/>
        </w:rPr>
        <w:t>争</w:t>
      </w:r>
      <w:r>
        <w:rPr>
          <w:spacing w:val="-2"/>
          <w:sz w:val="21"/>
        </w:rPr>
        <w:t>议</w:t>
      </w:r>
      <w:r>
        <w:rPr>
          <w:spacing w:val="-2"/>
          <w:sz w:val="21"/>
        </w:rPr>
        <w:t>时，</w:t>
      </w:r>
      <w:r>
        <w:rPr>
          <w:spacing w:val="-2"/>
          <w:sz w:val="21"/>
        </w:rPr>
        <w:t>可</w:t>
      </w:r>
      <w:r>
        <w:rPr>
          <w:spacing w:val="-2"/>
          <w:sz w:val="21"/>
        </w:rPr>
        <w:t>以</w:t>
      </w:r>
      <w:r>
        <w:rPr>
          <w:spacing w:val="-2"/>
          <w:sz w:val="21"/>
        </w:rPr>
        <w:t>从下列</w:t>
      </w:r>
      <w:r>
        <w:rPr>
          <w:spacing w:val="-2"/>
          <w:sz w:val="21"/>
        </w:rPr>
        <w:t>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种争议</w:t>
      </w:r>
      <w:r>
        <w:rPr>
          <w:spacing w:val="-2"/>
          <w:sz w:val="21"/>
        </w:rPr>
        <w:t>处</w:t>
      </w:r>
      <w:r>
        <w:rPr>
          <w:spacing w:val="-2"/>
          <w:sz w:val="21"/>
        </w:rPr>
        <w:t>理</w:t>
      </w:r>
      <w:r>
        <w:rPr>
          <w:spacing w:val="-2"/>
          <w:sz w:val="21"/>
        </w:rPr>
        <w:t>方</w:t>
      </w:r>
      <w:r>
        <w:rPr>
          <w:spacing w:val="-6"/>
          <w:sz w:val="21"/>
        </w:rPr>
        <w:t>式</w:t>
      </w:r>
      <w:r>
        <w:rPr>
          <w:spacing w:val="-6"/>
          <w:sz w:val="21"/>
        </w:rPr>
        <w:t>：</w:t>
      </w:r>
    </w:p>
    <w:p>
      <w:pPr>
        <w:pStyle w:val="ListParagraph"/>
        <w:numPr>
          <w:ilvl w:val="0"/>
          <w:numId w:val="12"/>
        </w:numPr>
        <w:tabs>
          <w:tab w:pos="3322" w:val="left" w:leader="none"/>
          <w:tab w:pos="9980" w:val="left" w:leader="none"/>
        </w:tabs>
        <w:spacing w:line="244" w:lineRule="auto" w:before="56" w:after="0"/>
        <w:ind w:left="3321" w:right="372" w:hanging="720"/>
        <w:jc w:val="left"/>
        <w:rPr>
          <w:sz w:val="21"/>
        </w:rPr>
      </w:pPr>
      <w:r>
        <w:rPr>
          <w:spacing w:val="-2"/>
          <w:sz w:val="21"/>
        </w:rPr>
        <w:t>因</w:t>
      </w:r>
      <w:r>
        <w:rPr>
          <w:spacing w:val="-2"/>
          <w:sz w:val="21"/>
        </w:rPr>
        <w:t>履</w:t>
      </w:r>
      <w:r>
        <w:rPr>
          <w:spacing w:val="-2"/>
          <w:sz w:val="21"/>
        </w:rPr>
        <w:t>行</w:t>
      </w:r>
      <w:r>
        <w:rPr>
          <w:spacing w:val="-2"/>
          <w:sz w:val="21"/>
        </w:rPr>
        <w:t>本</w:t>
      </w:r>
      <w:r>
        <w:rPr>
          <w:spacing w:val="-2"/>
          <w:sz w:val="21"/>
        </w:rPr>
        <w:t>合</w:t>
      </w:r>
      <w:r>
        <w:rPr>
          <w:spacing w:val="-2"/>
          <w:sz w:val="21"/>
        </w:rPr>
        <w:t>同</w:t>
      </w:r>
      <w:r>
        <w:rPr>
          <w:spacing w:val="-2"/>
          <w:sz w:val="21"/>
        </w:rPr>
        <w:t>发</w:t>
      </w:r>
      <w:r>
        <w:rPr>
          <w:spacing w:val="-2"/>
          <w:sz w:val="21"/>
        </w:rPr>
        <w:t>生</w:t>
      </w:r>
      <w:r>
        <w:rPr>
          <w:spacing w:val="-2"/>
          <w:sz w:val="21"/>
        </w:rPr>
        <w:t>的</w:t>
      </w:r>
      <w:r>
        <w:rPr>
          <w:spacing w:val="-2"/>
          <w:sz w:val="21"/>
        </w:rPr>
        <w:t>争</w:t>
      </w:r>
      <w:r>
        <w:rPr>
          <w:spacing w:val="-2"/>
          <w:sz w:val="21"/>
        </w:rPr>
        <w:t>议</w:t>
      </w:r>
      <w:r>
        <w:rPr>
          <w:spacing w:val="-2"/>
          <w:sz w:val="21"/>
        </w:rPr>
        <w:t>，</w:t>
      </w:r>
      <w:r>
        <w:rPr>
          <w:spacing w:val="-2"/>
          <w:sz w:val="21"/>
        </w:rPr>
        <w:t>由</w:t>
      </w:r>
      <w:r>
        <w:rPr>
          <w:spacing w:val="-2"/>
          <w:sz w:val="21"/>
        </w:rPr>
        <w:t>双</w:t>
      </w:r>
      <w:r>
        <w:rPr>
          <w:spacing w:val="-2"/>
          <w:sz w:val="21"/>
        </w:rPr>
        <w:t>方</w:t>
      </w:r>
      <w:r>
        <w:rPr>
          <w:spacing w:val="-2"/>
          <w:sz w:val="21"/>
        </w:rPr>
        <w:t>协</w:t>
      </w:r>
      <w:r>
        <w:rPr>
          <w:spacing w:val="-2"/>
          <w:sz w:val="21"/>
        </w:rPr>
        <w:t>商</w:t>
      </w:r>
      <w:r>
        <w:rPr>
          <w:spacing w:val="-2"/>
          <w:sz w:val="21"/>
        </w:rPr>
        <w:t>解</w:t>
      </w:r>
      <w:r>
        <w:rPr>
          <w:spacing w:val="-2"/>
          <w:sz w:val="21"/>
        </w:rPr>
        <w:t>决</w:t>
      </w:r>
      <w:r>
        <w:rPr>
          <w:spacing w:val="-2"/>
          <w:sz w:val="21"/>
        </w:rPr>
        <w:t>，</w:t>
      </w:r>
      <w:r>
        <w:rPr>
          <w:spacing w:val="-2"/>
          <w:sz w:val="21"/>
        </w:rPr>
        <w:t>协</w:t>
      </w:r>
      <w:r>
        <w:rPr>
          <w:spacing w:val="-2"/>
          <w:sz w:val="21"/>
        </w:rPr>
        <w:t>商</w:t>
      </w:r>
      <w:r>
        <w:rPr>
          <w:spacing w:val="-2"/>
          <w:sz w:val="21"/>
        </w:rPr>
        <w:t>不</w:t>
      </w:r>
      <w:r>
        <w:rPr>
          <w:spacing w:val="-2"/>
          <w:sz w:val="21"/>
        </w:rPr>
        <w:t>成</w:t>
      </w:r>
      <w:r>
        <w:rPr>
          <w:spacing w:val="-2"/>
          <w:sz w:val="21"/>
        </w:rPr>
        <w:t>的</w:t>
      </w:r>
      <w:r>
        <w:rPr>
          <w:spacing w:val="-2"/>
          <w:sz w:val="21"/>
        </w:rPr>
        <w:t>，提交</w:t>
      </w:r>
      <w:r>
        <w:rPr>
          <w:rFonts w:ascii="Times New Roman" w:eastAsia="Times New Roman"/>
          <w:sz w:val="21"/>
          <w:u w:val="single"/>
        </w:rPr>
        <w:tab/>
      </w:r>
      <w:r>
        <w:rPr>
          <w:spacing w:val="-10"/>
          <w:sz w:val="21"/>
        </w:rPr>
        <w:t>仲</w:t>
      </w:r>
      <w:r>
        <w:rPr>
          <w:spacing w:val="-2"/>
          <w:sz w:val="21"/>
        </w:rPr>
        <w:t>裁</w:t>
      </w:r>
      <w:r>
        <w:rPr>
          <w:spacing w:val="-2"/>
          <w:sz w:val="21"/>
        </w:rPr>
        <w:t>委</w:t>
      </w:r>
      <w:r>
        <w:rPr>
          <w:spacing w:val="-2"/>
          <w:sz w:val="21"/>
        </w:rPr>
        <w:t>员会仲</w:t>
      </w:r>
      <w:r>
        <w:rPr>
          <w:spacing w:val="-2"/>
          <w:sz w:val="21"/>
        </w:rPr>
        <w:t>裁</w:t>
      </w:r>
      <w:r>
        <w:rPr>
          <w:spacing w:val="-2"/>
          <w:sz w:val="21"/>
        </w:rPr>
        <w:t>；</w:t>
      </w:r>
    </w:p>
    <w:p>
      <w:pPr>
        <w:pStyle w:val="ListParagraph"/>
        <w:numPr>
          <w:ilvl w:val="0"/>
          <w:numId w:val="12"/>
        </w:numPr>
        <w:tabs>
          <w:tab w:pos="3322" w:val="left" w:leader="none"/>
        </w:tabs>
        <w:spacing w:line="242" w:lineRule="auto" w:before="56" w:after="0"/>
        <w:ind w:left="3321" w:right="370" w:hanging="720"/>
        <w:jc w:val="left"/>
        <w:rPr>
          <w:sz w:val="21"/>
        </w:rPr>
      </w:pPr>
      <w:r>
        <w:rPr>
          <w:spacing w:val="-2"/>
          <w:sz w:val="21"/>
        </w:rPr>
        <w:t>因履行本合同发生的争议，由双方协商解决，协商不成的，依法向人民法院</w:t>
      </w:r>
      <w:r>
        <w:rPr>
          <w:spacing w:val="-4"/>
          <w:sz w:val="21"/>
        </w:rPr>
        <w:t>起诉。</w:t>
      </w:r>
    </w:p>
    <w:p>
      <w:pPr>
        <w:pStyle w:val="BodyText"/>
        <w:spacing w:before="7"/>
        <w:rPr>
          <w:sz w:val="12"/>
        </w:rPr>
      </w:pPr>
    </w:p>
    <w:p>
      <w:pPr>
        <w:spacing w:after="0"/>
        <w:rPr>
          <w:sz w:val="12"/>
        </w:rPr>
        <w:sectPr>
          <w:type w:val="continuous"/>
          <w:pgSz w:w="11910" w:h="16850"/>
          <w:pgMar w:top="520" w:bottom="280" w:left="620" w:right="720"/>
        </w:sectPr>
      </w:pPr>
    </w:p>
    <w:p>
      <w:pPr>
        <w:pStyle w:val="ListParagraph"/>
        <w:numPr>
          <w:ilvl w:val="3"/>
          <w:numId w:val="4"/>
        </w:numPr>
        <w:tabs>
          <w:tab w:pos="1139" w:val="left" w:leader="none"/>
          <w:tab w:pos="1140" w:val="left" w:leader="none"/>
        </w:tabs>
        <w:spacing w:line="242" w:lineRule="auto" w:before="71" w:after="0"/>
        <w:ind w:left="1139" w:right="386" w:hanging="661"/>
        <w:jc w:val="left"/>
        <w:rPr>
          <w:b/>
          <w:sz w:val="21"/>
        </w:rPr>
      </w:pPr>
      <w:r>
        <w:rPr>
          <w:b/>
          <w:spacing w:val="-2"/>
          <w:sz w:val="21"/>
        </w:rPr>
        <w:t>保险事故鉴</w:t>
      </w:r>
      <w:r>
        <w:rPr>
          <w:b/>
          <w:spacing w:val="-10"/>
          <w:sz w:val="21"/>
        </w:rPr>
        <w:t>定</w:t>
      </w:r>
    </w:p>
    <w:p>
      <w:pPr>
        <w:pStyle w:val="BodyText"/>
        <w:spacing w:before="9"/>
        <w:rPr>
          <w:b/>
          <w:sz w:val="15"/>
        </w:rPr>
      </w:pPr>
    </w:p>
    <w:p>
      <w:pPr>
        <w:pStyle w:val="Heading2"/>
        <w:numPr>
          <w:ilvl w:val="2"/>
          <w:numId w:val="4"/>
        </w:numPr>
        <w:tabs>
          <w:tab w:pos="1139" w:val="left" w:leader="none"/>
          <w:tab w:pos="1140" w:val="left" w:leader="none"/>
        </w:tabs>
        <w:spacing w:line="240" w:lineRule="auto" w:before="0" w:after="0"/>
        <w:ind w:left="1139" w:right="0" w:hanging="661"/>
        <w:jc w:val="left"/>
      </w:pPr>
      <w:r>
        <w:rPr>
          <w:w w:val="95"/>
        </w:rPr>
        <w:t>重大疾</w:t>
      </w:r>
      <w:r>
        <w:rPr>
          <w:w w:val="95"/>
        </w:rPr>
        <w:t>病</w:t>
      </w:r>
      <w:r>
        <w:rPr>
          <w:w w:val="95"/>
        </w:rPr>
        <w:t>定</w:t>
      </w:r>
      <w:r>
        <w:rPr>
          <w:spacing w:val="-10"/>
          <w:w w:val="95"/>
        </w:rPr>
        <w:t>义</w:t>
      </w:r>
    </w:p>
    <w:p>
      <w:pPr>
        <w:pStyle w:val="BodyText"/>
        <w:spacing w:line="242" w:lineRule="auto" w:before="71"/>
        <w:ind w:left="-16" w:right="373"/>
      </w:pPr>
      <w:r>
        <w:rPr/>
        <w:br w:type="column"/>
      </w:r>
      <w:r>
        <w:rPr>
          <w:spacing w:val="-2"/>
        </w:rPr>
        <w:t>如果被保险人发生保险事故，您和我们均可以委托保险公估机构等依法设立的独立</w:t>
      </w:r>
      <w:r>
        <w:rPr>
          <w:spacing w:val="-2"/>
        </w:rPr>
        <w:t>评估机构或者具有相关专业知识的人员，对保险事故进行评估和鉴定。</w:t>
      </w:r>
    </w:p>
    <w:p>
      <w:pPr>
        <w:spacing w:after="0" w:line="242" w:lineRule="auto"/>
        <w:sectPr>
          <w:type w:val="continuous"/>
          <w:pgSz w:w="11910" w:h="16850"/>
          <w:pgMar w:top="520" w:bottom="280" w:left="620" w:right="720"/>
          <w:cols w:num="2" w:equalWidth="0">
            <w:col w:w="2585" w:space="40"/>
            <w:col w:w="7945"/>
          </w:cols>
        </w:sectPr>
      </w:pPr>
    </w:p>
    <w:p>
      <w:pPr>
        <w:pStyle w:val="BodyText"/>
        <w:spacing w:line="20" w:lineRule="exact"/>
        <w:ind w:left="371"/>
        <w:rPr>
          <w:sz w:val="2"/>
        </w:rPr>
      </w:pPr>
      <w:r>
        <w:rPr>
          <w:sz w:val="2"/>
        </w:rPr>
        <w:drawing>
          <wp:inline distT="0" distB="0" distL="0" distR="0">
            <wp:extent cx="6300884" cy="6095"/>
            <wp:effectExtent l="0" t="0" r="0" b="0"/>
            <wp:docPr id="17" name="image5.png"/>
            <wp:cNvGraphicFramePr>
              <a:graphicFrameLocks noChangeAspect="1"/>
            </wp:cNvGraphicFramePr>
            <a:graphic>
              <a:graphicData uri="http://schemas.openxmlformats.org/drawingml/2006/picture">
                <pic:pic>
                  <pic:nvPicPr>
                    <pic:cNvPr id="18" name="image5.png"/>
                    <pic:cNvPicPr/>
                  </pic:nvPicPr>
                  <pic:blipFill>
                    <a:blip r:embed="rId9" cstate="print"/>
                    <a:stretch>
                      <a:fillRect/>
                    </a:stretch>
                  </pic:blipFill>
                  <pic:spPr>
                    <a:xfrm>
                      <a:off x="0" y="0"/>
                      <a:ext cx="6300884" cy="6095"/>
                    </a:xfrm>
                    <a:prstGeom prst="rect">
                      <a:avLst/>
                    </a:prstGeom>
                  </pic:spPr>
                </pic:pic>
              </a:graphicData>
            </a:graphic>
          </wp:inline>
        </w:drawing>
      </w:r>
      <w:r>
        <w:rPr>
          <w:sz w:val="2"/>
        </w:rPr>
      </w:r>
    </w:p>
    <w:p>
      <w:pPr>
        <w:pStyle w:val="BodyText"/>
        <w:spacing w:before="1"/>
        <w:rPr>
          <w:sz w:val="11"/>
        </w:rPr>
      </w:pPr>
    </w:p>
    <w:p>
      <w:pPr>
        <w:pStyle w:val="ListParagraph"/>
        <w:numPr>
          <w:ilvl w:val="3"/>
          <w:numId w:val="4"/>
        </w:numPr>
        <w:tabs>
          <w:tab w:pos="1139" w:val="left" w:leader="none"/>
          <w:tab w:pos="1140" w:val="left" w:leader="none"/>
          <w:tab w:pos="2608" w:val="left" w:leader="none"/>
        </w:tabs>
        <w:spacing w:line="242" w:lineRule="auto" w:before="71" w:after="0"/>
        <w:ind w:left="2608" w:right="265" w:hanging="2130"/>
        <w:jc w:val="left"/>
        <w:rPr>
          <w:sz w:val="21"/>
        </w:rPr>
      </w:pPr>
      <w:r>
        <w:rPr>
          <w:b/>
          <w:w w:val="100"/>
          <w:sz w:val="21"/>
        </w:rPr>
        <w:t>恶性肿瘤</w:t>
      </w:r>
      <w:r>
        <w:rPr>
          <w:b/>
          <w:sz w:val="21"/>
        </w:rPr>
        <w:tab/>
      </w:r>
      <w:r>
        <w:rPr>
          <w:w w:val="100"/>
          <w:sz w:val="21"/>
        </w:rPr>
        <w:t>指恶</w:t>
      </w:r>
      <w:r>
        <w:rPr>
          <w:spacing w:val="-3"/>
          <w:w w:val="100"/>
          <w:sz w:val="21"/>
        </w:rPr>
        <w:t>性</w:t>
      </w:r>
      <w:r>
        <w:rPr>
          <w:w w:val="100"/>
          <w:sz w:val="21"/>
        </w:rPr>
        <w:t>细</w:t>
      </w:r>
      <w:r>
        <w:rPr>
          <w:spacing w:val="-3"/>
          <w:w w:val="100"/>
          <w:sz w:val="21"/>
        </w:rPr>
        <w:t>胞</w:t>
      </w:r>
      <w:r>
        <w:rPr>
          <w:w w:val="100"/>
          <w:sz w:val="21"/>
        </w:rPr>
        <w:t>不</w:t>
      </w:r>
      <w:r>
        <w:rPr>
          <w:spacing w:val="-3"/>
          <w:w w:val="100"/>
          <w:sz w:val="21"/>
        </w:rPr>
        <w:t>受</w:t>
      </w:r>
      <w:r>
        <w:rPr>
          <w:w w:val="100"/>
          <w:sz w:val="21"/>
        </w:rPr>
        <w:t>控</w:t>
      </w:r>
      <w:r>
        <w:rPr>
          <w:spacing w:val="-3"/>
          <w:w w:val="100"/>
          <w:sz w:val="21"/>
        </w:rPr>
        <w:t>制</w:t>
      </w:r>
      <w:r>
        <w:rPr>
          <w:w w:val="100"/>
          <w:sz w:val="21"/>
        </w:rPr>
        <w:t>的</w:t>
      </w:r>
      <w:r>
        <w:rPr>
          <w:spacing w:val="-3"/>
          <w:w w:val="100"/>
          <w:sz w:val="21"/>
        </w:rPr>
        <w:t>进</w:t>
      </w:r>
      <w:r>
        <w:rPr>
          <w:w w:val="100"/>
          <w:sz w:val="21"/>
        </w:rPr>
        <w:t>行性</w:t>
      </w:r>
      <w:r>
        <w:rPr>
          <w:spacing w:val="-3"/>
          <w:w w:val="100"/>
          <w:sz w:val="21"/>
        </w:rPr>
        <w:t>增</w:t>
      </w:r>
      <w:r>
        <w:rPr>
          <w:w w:val="100"/>
          <w:sz w:val="21"/>
        </w:rPr>
        <w:t>长</w:t>
      </w:r>
      <w:r>
        <w:rPr>
          <w:spacing w:val="-3"/>
          <w:w w:val="100"/>
          <w:sz w:val="21"/>
        </w:rPr>
        <w:t>和</w:t>
      </w:r>
      <w:r>
        <w:rPr>
          <w:w w:val="100"/>
          <w:sz w:val="21"/>
        </w:rPr>
        <w:t>扩</w:t>
      </w:r>
      <w:r>
        <w:rPr>
          <w:spacing w:val="-3"/>
          <w:w w:val="100"/>
          <w:sz w:val="21"/>
        </w:rPr>
        <w:t>散</w:t>
      </w:r>
      <w:r>
        <w:rPr>
          <w:spacing w:val="-44"/>
          <w:w w:val="100"/>
          <w:sz w:val="21"/>
        </w:rPr>
        <w:t>，</w:t>
      </w:r>
      <w:r>
        <w:rPr>
          <w:spacing w:val="-3"/>
          <w:w w:val="100"/>
          <w:sz w:val="21"/>
        </w:rPr>
        <w:t>浸</w:t>
      </w:r>
      <w:r>
        <w:rPr>
          <w:w w:val="100"/>
          <w:sz w:val="21"/>
        </w:rPr>
        <w:t>润</w:t>
      </w:r>
      <w:r>
        <w:rPr>
          <w:spacing w:val="-3"/>
          <w:w w:val="100"/>
          <w:sz w:val="21"/>
        </w:rPr>
        <w:t>和</w:t>
      </w:r>
      <w:r>
        <w:rPr>
          <w:w w:val="100"/>
          <w:sz w:val="21"/>
        </w:rPr>
        <w:t>破坏</w:t>
      </w:r>
      <w:r>
        <w:rPr>
          <w:spacing w:val="-3"/>
          <w:w w:val="100"/>
          <w:sz w:val="21"/>
        </w:rPr>
        <w:t>周</w:t>
      </w:r>
      <w:r>
        <w:rPr>
          <w:w w:val="100"/>
          <w:sz w:val="21"/>
        </w:rPr>
        <w:t>围</w:t>
      </w:r>
      <w:r>
        <w:rPr>
          <w:spacing w:val="-3"/>
          <w:w w:val="100"/>
          <w:sz w:val="21"/>
        </w:rPr>
        <w:t>正</w:t>
      </w:r>
      <w:r>
        <w:rPr>
          <w:w w:val="100"/>
          <w:sz w:val="21"/>
        </w:rPr>
        <w:t>常</w:t>
      </w:r>
      <w:r>
        <w:rPr>
          <w:spacing w:val="-3"/>
          <w:w w:val="100"/>
          <w:sz w:val="21"/>
        </w:rPr>
        <w:t>组</w:t>
      </w:r>
      <w:r>
        <w:rPr>
          <w:w w:val="100"/>
          <w:sz w:val="21"/>
        </w:rPr>
        <w:t>织</w:t>
      </w:r>
      <w:r>
        <w:rPr>
          <w:spacing w:val="-46"/>
          <w:w w:val="100"/>
          <w:sz w:val="21"/>
        </w:rPr>
        <w:t>，</w:t>
      </w:r>
      <w:r>
        <w:rPr>
          <w:w w:val="100"/>
          <w:sz w:val="21"/>
        </w:rPr>
        <w:t>可</w:t>
      </w:r>
      <w:r>
        <w:rPr>
          <w:spacing w:val="-3"/>
          <w:w w:val="100"/>
          <w:sz w:val="21"/>
        </w:rPr>
        <w:t>以</w:t>
      </w:r>
      <w:r>
        <w:rPr>
          <w:w w:val="100"/>
          <w:sz w:val="21"/>
        </w:rPr>
        <w:t>经血</w:t>
      </w:r>
      <w:r>
        <w:rPr>
          <w:spacing w:val="-3"/>
          <w:w w:val="100"/>
          <w:sz w:val="21"/>
        </w:rPr>
        <w:t>管</w:t>
      </w:r>
      <w:r>
        <w:rPr>
          <w:w w:val="100"/>
          <w:sz w:val="21"/>
        </w:rPr>
        <w:t>、淋巴管和</w:t>
      </w:r>
      <w:r>
        <w:rPr>
          <w:spacing w:val="-3"/>
          <w:w w:val="100"/>
          <w:sz w:val="21"/>
        </w:rPr>
        <w:t>体</w:t>
      </w:r>
      <w:r>
        <w:rPr>
          <w:w w:val="100"/>
          <w:sz w:val="21"/>
        </w:rPr>
        <w:t>腔扩散</w:t>
      </w:r>
      <w:r>
        <w:rPr>
          <w:spacing w:val="-3"/>
          <w:w w:val="100"/>
          <w:sz w:val="21"/>
        </w:rPr>
        <w:t>转</w:t>
      </w:r>
      <w:r>
        <w:rPr>
          <w:w w:val="100"/>
          <w:sz w:val="21"/>
        </w:rPr>
        <w:t>移</w:t>
      </w:r>
      <w:r>
        <w:rPr>
          <w:spacing w:val="-3"/>
          <w:w w:val="100"/>
          <w:sz w:val="21"/>
        </w:rPr>
        <w:t>到</w:t>
      </w:r>
      <w:r>
        <w:rPr>
          <w:w w:val="100"/>
          <w:sz w:val="21"/>
        </w:rPr>
        <w:t>身体其它</w:t>
      </w:r>
      <w:r>
        <w:rPr>
          <w:spacing w:val="-3"/>
          <w:w w:val="100"/>
          <w:sz w:val="21"/>
        </w:rPr>
        <w:t>部</w:t>
      </w:r>
      <w:r>
        <w:rPr>
          <w:w w:val="100"/>
          <w:sz w:val="21"/>
        </w:rPr>
        <w:t>位的疾</w:t>
      </w:r>
      <w:r>
        <w:rPr>
          <w:spacing w:val="-3"/>
          <w:w w:val="100"/>
          <w:sz w:val="21"/>
        </w:rPr>
        <w:t>病</w:t>
      </w:r>
      <w:r>
        <w:rPr>
          <w:w w:val="100"/>
          <w:sz w:val="21"/>
        </w:rPr>
        <w:t>。</w:t>
      </w:r>
      <w:r>
        <w:rPr>
          <w:spacing w:val="-3"/>
          <w:w w:val="100"/>
          <w:sz w:val="21"/>
        </w:rPr>
        <w:t>经</w:t>
      </w:r>
      <w:r>
        <w:rPr>
          <w:w w:val="100"/>
          <w:sz w:val="21"/>
        </w:rPr>
        <w:t>病理学检</w:t>
      </w:r>
      <w:r>
        <w:rPr>
          <w:spacing w:val="-3"/>
          <w:w w:val="100"/>
          <w:sz w:val="21"/>
        </w:rPr>
        <w:t>查</w:t>
      </w:r>
      <w:r>
        <w:rPr>
          <w:w w:val="100"/>
          <w:sz w:val="21"/>
        </w:rPr>
        <w:t>结果明</w:t>
      </w:r>
      <w:r>
        <w:rPr>
          <w:spacing w:val="-3"/>
          <w:w w:val="100"/>
          <w:sz w:val="21"/>
        </w:rPr>
        <w:t>确</w:t>
      </w:r>
      <w:r>
        <w:rPr>
          <w:w w:val="100"/>
          <w:sz w:val="21"/>
        </w:rPr>
        <w:t>诊</w:t>
      </w:r>
      <w:r>
        <w:rPr>
          <w:spacing w:val="-3"/>
          <w:w w:val="100"/>
          <w:sz w:val="21"/>
        </w:rPr>
        <w:t>断</w:t>
      </w:r>
      <w:r>
        <w:rPr>
          <w:w w:val="100"/>
          <w:sz w:val="21"/>
        </w:rPr>
        <w:t>，临床诊断</w:t>
      </w:r>
      <w:r>
        <w:rPr>
          <w:spacing w:val="-3"/>
          <w:w w:val="100"/>
          <w:sz w:val="21"/>
        </w:rPr>
        <w:t>属</w:t>
      </w:r>
      <w:r>
        <w:rPr>
          <w:w w:val="100"/>
          <w:sz w:val="21"/>
        </w:rPr>
        <w:t>于</w:t>
      </w:r>
      <w:r>
        <w:rPr>
          <w:spacing w:val="-3"/>
          <w:w w:val="100"/>
          <w:sz w:val="21"/>
        </w:rPr>
        <w:t>世</w:t>
      </w:r>
      <w:r>
        <w:rPr>
          <w:w w:val="100"/>
          <w:sz w:val="21"/>
        </w:rPr>
        <w:t>界</w:t>
      </w:r>
      <w:r>
        <w:rPr>
          <w:spacing w:val="-3"/>
          <w:w w:val="100"/>
          <w:sz w:val="21"/>
        </w:rPr>
        <w:t>卫</w:t>
      </w:r>
      <w:r>
        <w:rPr>
          <w:w w:val="100"/>
          <w:sz w:val="21"/>
        </w:rPr>
        <w:t>生</w:t>
      </w:r>
      <w:r>
        <w:rPr>
          <w:spacing w:val="-3"/>
          <w:w w:val="100"/>
          <w:sz w:val="21"/>
        </w:rPr>
        <w:t>组</w:t>
      </w:r>
      <w:r>
        <w:rPr>
          <w:spacing w:val="-29"/>
          <w:w w:val="100"/>
          <w:sz w:val="21"/>
        </w:rPr>
        <w:t>织</w:t>
      </w:r>
      <w:r>
        <w:rPr>
          <w:spacing w:val="-3"/>
          <w:w w:val="100"/>
          <w:sz w:val="21"/>
        </w:rPr>
        <w:t>《</w:t>
      </w:r>
      <w:r>
        <w:rPr>
          <w:w w:val="100"/>
          <w:sz w:val="21"/>
        </w:rPr>
        <w:t>疾病</w:t>
      </w:r>
      <w:r>
        <w:rPr>
          <w:spacing w:val="-3"/>
          <w:w w:val="100"/>
          <w:sz w:val="21"/>
        </w:rPr>
        <w:t>和</w:t>
      </w:r>
      <w:r>
        <w:rPr>
          <w:w w:val="100"/>
          <w:sz w:val="21"/>
        </w:rPr>
        <w:t>有</w:t>
      </w:r>
      <w:r>
        <w:rPr>
          <w:spacing w:val="-3"/>
          <w:w w:val="100"/>
          <w:sz w:val="21"/>
        </w:rPr>
        <w:t>关</w:t>
      </w:r>
      <w:r>
        <w:rPr>
          <w:w w:val="100"/>
          <w:sz w:val="21"/>
        </w:rPr>
        <w:t>健</w:t>
      </w:r>
      <w:r>
        <w:rPr>
          <w:spacing w:val="-3"/>
          <w:w w:val="100"/>
          <w:sz w:val="21"/>
        </w:rPr>
        <w:t>康</w:t>
      </w:r>
      <w:r>
        <w:rPr>
          <w:w w:val="100"/>
          <w:sz w:val="21"/>
        </w:rPr>
        <w:t>问</w:t>
      </w:r>
      <w:r>
        <w:rPr>
          <w:spacing w:val="-3"/>
          <w:w w:val="100"/>
          <w:sz w:val="21"/>
        </w:rPr>
        <w:t>题</w:t>
      </w:r>
      <w:r>
        <w:rPr>
          <w:w w:val="100"/>
          <w:sz w:val="21"/>
        </w:rPr>
        <w:t>的</w:t>
      </w:r>
      <w:r>
        <w:rPr>
          <w:spacing w:val="-3"/>
          <w:w w:val="100"/>
          <w:sz w:val="21"/>
        </w:rPr>
        <w:t>国</w:t>
      </w:r>
      <w:r>
        <w:rPr>
          <w:w w:val="100"/>
          <w:sz w:val="21"/>
        </w:rPr>
        <w:t>际统</w:t>
      </w:r>
      <w:r>
        <w:rPr>
          <w:spacing w:val="-3"/>
          <w:w w:val="100"/>
          <w:sz w:val="21"/>
        </w:rPr>
        <w:t>计</w:t>
      </w:r>
      <w:r>
        <w:rPr>
          <w:w w:val="100"/>
          <w:sz w:val="21"/>
        </w:rPr>
        <w:t>分</w:t>
      </w:r>
      <w:r>
        <w:rPr>
          <w:spacing w:val="-3"/>
          <w:w w:val="100"/>
          <w:sz w:val="21"/>
        </w:rPr>
        <w:t>类</w:t>
      </w:r>
      <w:r>
        <w:rPr>
          <w:spacing w:val="-135"/>
          <w:w w:val="100"/>
          <w:sz w:val="21"/>
        </w:rPr>
        <w:t>》</w:t>
      </w:r>
      <w:r>
        <w:rPr>
          <w:spacing w:val="-1"/>
          <w:w w:val="100"/>
          <w:sz w:val="21"/>
        </w:rPr>
        <w:t>（</w:t>
      </w:r>
      <w:r>
        <w:rPr>
          <w:spacing w:val="-3"/>
          <w:w w:val="100"/>
          <w:sz w:val="21"/>
        </w:rPr>
        <w:t>I</w:t>
      </w:r>
      <w:r>
        <w:rPr>
          <w:w w:val="100"/>
          <w:sz w:val="21"/>
        </w:rPr>
        <w:t>CD-1</w:t>
      </w:r>
      <w:r>
        <w:rPr>
          <w:spacing w:val="-3"/>
          <w:w w:val="100"/>
          <w:sz w:val="21"/>
        </w:rPr>
        <w:t>0</w:t>
      </w:r>
      <w:r>
        <w:rPr>
          <w:spacing w:val="-29"/>
          <w:w w:val="100"/>
          <w:sz w:val="21"/>
        </w:rPr>
        <w:t>）</w:t>
      </w:r>
      <w:r>
        <w:rPr>
          <w:spacing w:val="-3"/>
          <w:w w:val="100"/>
          <w:sz w:val="21"/>
        </w:rPr>
        <w:t>的</w:t>
      </w:r>
      <w:r>
        <w:rPr>
          <w:w w:val="100"/>
          <w:sz w:val="21"/>
        </w:rPr>
        <w:t>恶</w:t>
      </w:r>
      <w:r>
        <w:rPr>
          <w:spacing w:val="-3"/>
          <w:w w:val="100"/>
          <w:sz w:val="21"/>
        </w:rPr>
        <w:t>性</w:t>
      </w:r>
      <w:r>
        <w:rPr>
          <w:w w:val="100"/>
          <w:sz w:val="21"/>
        </w:rPr>
        <w:t>肿瘤范</w:t>
      </w:r>
      <w:r>
        <w:rPr>
          <w:spacing w:val="-3"/>
          <w:w w:val="100"/>
          <w:sz w:val="21"/>
        </w:rPr>
        <w:t>畴</w:t>
      </w:r>
      <w:r>
        <w:rPr>
          <w:w w:val="100"/>
          <w:sz w:val="21"/>
        </w:rPr>
        <w:t>。</w:t>
      </w:r>
    </w:p>
    <w:p>
      <w:pPr>
        <w:spacing w:after="0" w:line="242" w:lineRule="auto"/>
        <w:jc w:val="left"/>
        <w:rPr>
          <w:sz w:val="21"/>
        </w:rPr>
        <w:sectPr>
          <w:type w:val="continuous"/>
          <w:pgSz w:w="11910" w:h="16850"/>
          <w:pgMar w:top="520" w:bottom="280" w:left="620" w:right="720"/>
        </w:sectPr>
      </w:pPr>
    </w:p>
    <w:p>
      <w:pPr>
        <w:pStyle w:val="BodyText"/>
        <w:spacing w:before="53"/>
        <w:ind w:left="2608"/>
        <w:rPr>
          <w:rFonts w:ascii="黑体" w:eastAsia="黑体"/>
        </w:rPr>
      </w:pPr>
      <w:r>
        <w:rPr>
          <w:rFonts w:ascii="黑体" w:eastAsia="黑体"/>
          <w:spacing w:val="-3"/>
        </w:rPr>
        <w:t>下列疾病不在本合同所定义的重大疾病范围内：</w:t>
      </w:r>
    </w:p>
    <w:p>
      <w:pPr>
        <w:pStyle w:val="ListParagraph"/>
        <w:numPr>
          <w:ilvl w:val="0"/>
          <w:numId w:val="13"/>
        </w:numPr>
        <w:tabs>
          <w:tab w:pos="3343" w:val="left" w:leader="none"/>
        </w:tabs>
        <w:spacing w:line="240" w:lineRule="auto" w:before="64" w:after="0"/>
        <w:ind w:left="3342" w:right="0" w:hanging="735"/>
        <w:jc w:val="left"/>
        <w:rPr>
          <w:rFonts w:ascii="黑体" w:eastAsia="黑体"/>
          <w:sz w:val="21"/>
        </w:rPr>
      </w:pPr>
      <w:r>
        <w:rPr>
          <w:rFonts w:ascii="黑体" w:eastAsia="黑体"/>
          <w:spacing w:val="-4"/>
          <w:sz w:val="21"/>
        </w:rPr>
        <w:t>原位癌；</w:t>
      </w:r>
    </w:p>
    <w:p>
      <w:pPr>
        <w:pStyle w:val="ListParagraph"/>
        <w:numPr>
          <w:ilvl w:val="0"/>
          <w:numId w:val="13"/>
        </w:numPr>
        <w:tabs>
          <w:tab w:pos="3343" w:val="left" w:leader="none"/>
        </w:tabs>
        <w:spacing w:line="240" w:lineRule="auto" w:before="63" w:after="0"/>
        <w:ind w:left="3342" w:right="0" w:hanging="735"/>
        <w:jc w:val="left"/>
        <w:rPr>
          <w:rFonts w:ascii="黑体" w:eastAsia="黑体"/>
          <w:sz w:val="21"/>
        </w:rPr>
      </w:pPr>
      <w:r>
        <w:rPr>
          <w:rFonts w:ascii="黑体" w:eastAsia="黑体"/>
          <w:spacing w:val="-14"/>
          <w:sz w:val="21"/>
        </w:rPr>
        <w:t>相当于 </w:t>
      </w:r>
      <w:r>
        <w:rPr>
          <w:rFonts w:ascii="黑体" w:eastAsia="黑体"/>
          <w:spacing w:val="-2"/>
          <w:sz w:val="21"/>
        </w:rPr>
        <w:t>Binet</w:t>
      </w:r>
      <w:r>
        <w:rPr>
          <w:rFonts w:ascii="黑体" w:eastAsia="黑体"/>
          <w:spacing w:val="-18"/>
          <w:sz w:val="21"/>
        </w:rPr>
        <w:t> 分期方案 </w:t>
      </w:r>
      <w:r>
        <w:rPr>
          <w:rFonts w:ascii="黑体" w:eastAsia="黑体"/>
          <w:spacing w:val="-2"/>
          <w:sz w:val="21"/>
        </w:rPr>
        <w:t>A</w:t>
      </w:r>
      <w:r>
        <w:rPr>
          <w:rFonts w:ascii="黑体" w:eastAsia="黑体"/>
          <w:spacing w:val="-10"/>
          <w:sz w:val="21"/>
        </w:rPr>
        <w:t> 期程度的慢性淋巴细胞白血病；</w:t>
      </w:r>
    </w:p>
    <w:p>
      <w:pPr>
        <w:pStyle w:val="ListParagraph"/>
        <w:numPr>
          <w:ilvl w:val="0"/>
          <w:numId w:val="13"/>
        </w:numPr>
        <w:tabs>
          <w:tab w:pos="3343" w:val="left" w:leader="none"/>
        </w:tabs>
        <w:spacing w:line="240" w:lineRule="auto" w:before="65" w:after="0"/>
        <w:ind w:left="3342" w:right="0" w:hanging="735"/>
        <w:jc w:val="left"/>
        <w:rPr>
          <w:rFonts w:ascii="黑体" w:hAnsi="黑体" w:eastAsia="黑体"/>
          <w:sz w:val="21"/>
        </w:rPr>
      </w:pPr>
      <w:r>
        <w:rPr>
          <w:rFonts w:ascii="黑体" w:hAnsi="黑体" w:eastAsia="黑体"/>
          <w:spacing w:val="-14"/>
          <w:sz w:val="21"/>
        </w:rPr>
        <w:t>相当于 </w:t>
      </w:r>
      <w:r>
        <w:rPr>
          <w:rFonts w:ascii="黑体" w:hAnsi="黑体" w:eastAsia="黑体"/>
          <w:spacing w:val="-2"/>
          <w:sz w:val="21"/>
        </w:rPr>
        <w:t>Ann</w:t>
      </w:r>
      <w:r>
        <w:rPr>
          <w:rFonts w:ascii="黑体" w:hAnsi="黑体" w:eastAsia="黑体"/>
          <w:spacing w:val="10"/>
          <w:sz w:val="21"/>
        </w:rPr>
        <w:t> </w:t>
      </w:r>
      <w:r>
        <w:rPr>
          <w:rFonts w:ascii="黑体" w:hAnsi="黑体" w:eastAsia="黑体"/>
          <w:spacing w:val="-2"/>
          <w:sz w:val="21"/>
        </w:rPr>
        <w:t>Arbor</w:t>
      </w:r>
      <w:r>
        <w:rPr>
          <w:rFonts w:ascii="黑体" w:hAnsi="黑体" w:eastAsia="黑体"/>
          <w:spacing w:val="-10"/>
          <w:sz w:val="21"/>
        </w:rPr>
        <w:t> 分期方案Ⅰ期程度的何杰金氏病；</w:t>
      </w:r>
    </w:p>
    <w:p>
      <w:pPr>
        <w:pStyle w:val="ListParagraph"/>
        <w:numPr>
          <w:ilvl w:val="0"/>
          <w:numId w:val="13"/>
        </w:numPr>
        <w:tabs>
          <w:tab w:pos="3343" w:val="left" w:leader="none"/>
        </w:tabs>
        <w:spacing w:line="240" w:lineRule="auto" w:before="62" w:after="0"/>
        <w:ind w:left="3342" w:right="0" w:hanging="735"/>
        <w:jc w:val="left"/>
        <w:rPr>
          <w:rFonts w:ascii="黑体" w:eastAsia="黑体"/>
          <w:sz w:val="21"/>
        </w:rPr>
      </w:pPr>
      <w:r>
        <w:rPr>
          <w:rFonts w:ascii="黑体" w:eastAsia="黑体"/>
          <w:spacing w:val="-2"/>
          <w:sz w:val="21"/>
        </w:rPr>
        <w:t>皮肤癌（不包括恶性黑色素瘤及已发生转移的皮肤癌</w:t>
      </w:r>
      <w:r>
        <w:rPr>
          <w:rFonts w:ascii="黑体" w:eastAsia="黑体"/>
          <w:spacing w:val="-111"/>
          <w:sz w:val="21"/>
        </w:rPr>
        <w:t>）</w:t>
      </w:r>
      <w:r>
        <w:rPr>
          <w:rFonts w:ascii="黑体" w:eastAsia="黑体"/>
          <w:spacing w:val="-5"/>
          <w:sz w:val="21"/>
        </w:rPr>
        <w:t>；</w:t>
      </w:r>
    </w:p>
    <w:p>
      <w:pPr>
        <w:pStyle w:val="ListParagraph"/>
        <w:numPr>
          <w:ilvl w:val="0"/>
          <w:numId w:val="13"/>
        </w:numPr>
        <w:tabs>
          <w:tab w:pos="3343" w:val="left" w:leader="none"/>
        </w:tabs>
        <w:spacing w:line="240" w:lineRule="auto" w:before="64" w:after="0"/>
        <w:ind w:left="3342" w:right="0" w:hanging="735"/>
        <w:jc w:val="left"/>
        <w:rPr>
          <w:rFonts w:ascii="黑体" w:eastAsia="黑体"/>
          <w:sz w:val="21"/>
        </w:rPr>
      </w:pPr>
      <w:r>
        <w:rPr>
          <w:rFonts w:ascii="黑体" w:eastAsia="黑体"/>
          <w:position w:val="1"/>
          <w:sz w:val="21"/>
        </w:rPr>
        <w:t>TNM</w:t>
      </w:r>
      <w:r>
        <w:rPr>
          <w:rFonts w:ascii="黑体" w:eastAsia="黑体"/>
          <w:spacing w:val="-7"/>
          <w:position w:val="1"/>
          <w:sz w:val="21"/>
        </w:rPr>
        <w:t> 分期为</w:t>
      </w:r>
      <w:r>
        <w:rPr>
          <w:rFonts w:ascii="黑体" w:eastAsia="黑体"/>
          <w:position w:val="1"/>
          <w:sz w:val="21"/>
        </w:rPr>
        <w:t>T</w:t>
      </w:r>
      <w:r>
        <w:rPr>
          <w:rFonts w:ascii="黑体" w:eastAsia="黑体"/>
          <w:sz w:val="11"/>
        </w:rPr>
        <w:t>1</w:t>
      </w:r>
      <w:r>
        <w:rPr>
          <w:rFonts w:ascii="黑体" w:eastAsia="黑体"/>
          <w:position w:val="1"/>
          <w:sz w:val="21"/>
        </w:rPr>
        <w:t>N</w:t>
      </w:r>
      <w:r>
        <w:rPr>
          <w:rFonts w:ascii="黑体" w:eastAsia="黑体"/>
          <w:sz w:val="11"/>
        </w:rPr>
        <w:t>0</w:t>
      </w:r>
      <w:r>
        <w:rPr>
          <w:rFonts w:ascii="黑体" w:eastAsia="黑体"/>
          <w:position w:val="1"/>
          <w:sz w:val="21"/>
        </w:rPr>
        <w:t>M</w:t>
      </w:r>
      <w:r>
        <w:rPr>
          <w:rFonts w:ascii="黑体" w:eastAsia="黑体"/>
          <w:sz w:val="11"/>
        </w:rPr>
        <w:t>0</w:t>
      </w:r>
      <w:r>
        <w:rPr>
          <w:rFonts w:ascii="黑体" w:eastAsia="黑体"/>
          <w:spacing w:val="-28"/>
          <w:sz w:val="11"/>
        </w:rPr>
        <w:t> </w:t>
      </w:r>
      <w:r>
        <w:rPr>
          <w:rFonts w:ascii="黑体" w:eastAsia="黑体"/>
          <w:spacing w:val="-1"/>
          <w:position w:val="1"/>
          <w:sz w:val="21"/>
        </w:rPr>
        <w:t>期或更轻分期的前列腺癌；</w:t>
      </w:r>
    </w:p>
    <w:p>
      <w:pPr>
        <w:pStyle w:val="ListParagraph"/>
        <w:numPr>
          <w:ilvl w:val="0"/>
          <w:numId w:val="13"/>
        </w:numPr>
        <w:tabs>
          <w:tab w:pos="3343" w:val="left" w:leader="none"/>
        </w:tabs>
        <w:spacing w:line="240" w:lineRule="auto" w:before="62" w:after="0"/>
        <w:ind w:left="3342" w:right="0" w:hanging="735"/>
        <w:jc w:val="left"/>
        <w:rPr>
          <w:rFonts w:ascii="黑体" w:eastAsia="黑体"/>
          <w:sz w:val="21"/>
        </w:rPr>
      </w:pPr>
      <w:r>
        <w:rPr>
          <w:rFonts w:ascii="黑体" w:eastAsia="黑体"/>
          <w:spacing w:val="-3"/>
          <w:sz w:val="21"/>
        </w:rPr>
        <w:t>感染艾滋病病毒或患艾滋病期间所患恶性肿瘤。</w:t>
      </w:r>
    </w:p>
    <w:p>
      <w:pPr>
        <w:pStyle w:val="BodyText"/>
        <w:spacing w:before="10"/>
        <w:rPr>
          <w:rFonts w:ascii="黑体"/>
          <w:sz w:val="12"/>
        </w:rPr>
      </w:pPr>
    </w:p>
    <w:p>
      <w:pPr>
        <w:spacing w:after="0"/>
        <w:rPr>
          <w:rFonts w:ascii="黑体"/>
          <w:sz w:val="12"/>
        </w:rPr>
        <w:sectPr>
          <w:pgSz w:w="11910" w:h="16850"/>
          <w:pgMar w:top="1140" w:bottom="280" w:left="620" w:right="720"/>
        </w:sectPr>
      </w:pPr>
    </w:p>
    <w:p>
      <w:pPr>
        <w:pStyle w:val="Heading3"/>
        <w:numPr>
          <w:ilvl w:val="3"/>
          <w:numId w:val="4"/>
        </w:numPr>
        <w:tabs>
          <w:tab w:pos="1139" w:val="left" w:leader="none"/>
          <w:tab w:pos="1140" w:val="left" w:leader="none"/>
        </w:tabs>
        <w:spacing w:line="242" w:lineRule="auto" w:before="72" w:after="0"/>
        <w:ind w:left="1139" w:right="0" w:hanging="661"/>
        <w:jc w:val="left"/>
      </w:pPr>
      <w:r>
        <w:rPr>
          <w:spacing w:val="-2"/>
        </w:rPr>
        <w:t>急性心肌梗</w:t>
      </w:r>
      <w:r>
        <w:rPr>
          <w:spacing w:val="-10"/>
        </w:rPr>
        <w:t>塞</w:t>
      </w:r>
    </w:p>
    <w:p>
      <w:pPr>
        <w:pStyle w:val="BodyText"/>
        <w:spacing w:line="242" w:lineRule="auto" w:before="72"/>
        <w:ind w:left="372" w:right="373"/>
        <w:rPr>
          <w:rFonts w:ascii="黑体" w:eastAsia="黑体"/>
        </w:rPr>
      </w:pPr>
      <w:r>
        <w:rPr/>
        <w:br w:type="column"/>
      </w:r>
      <w:r>
        <w:rPr>
          <w:spacing w:val="-2"/>
        </w:rPr>
        <w:t>指因冠状动脉阻塞导致的相应区域供血不足造成部分心肌坏死。</w:t>
      </w:r>
      <w:r>
        <w:rPr>
          <w:rFonts w:ascii="黑体" w:eastAsia="黑体"/>
          <w:spacing w:val="-2"/>
        </w:rPr>
        <w:t>须满足下列至少三</w:t>
      </w:r>
      <w:r>
        <w:rPr>
          <w:rFonts w:ascii="黑体" w:eastAsia="黑体"/>
          <w:spacing w:val="-4"/>
        </w:rPr>
        <w:t>项条件：</w:t>
      </w:r>
    </w:p>
    <w:p>
      <w:pPr>
        <w:pStyle w:val="ListParagraph"/>
        <w:numPr>
          <w:ilvl w:val="0"/>
          <w:numId w:val="14"/>
        </w:numPr>
        <w:tabs>
          <w:tab w:pos="1108" w:val="left" w:leader="none"/>
        </w:tabs>
        <w:spacing w:line="240" w:lineRule="auto" w:before="73" w:after="0"/>
        <w:ind w:left="1107" w:right="0" w:hanging="736"/>
        <w:jc w:val="left"/>
        <w:rPr>
          <w:sz w:val="21"/>
        </w:rPr>
      </w:pPr>
      <w:r>
        <w:rPr>
          <w:spacing w:val="-3"/>
          <w:sz w:val="21"/>
        </w:rPr>
        <w:t>典型临床表现，例如急性胸痛等；</w:t>
      </w:r>
    </w:p>
    <w:p>
      <w:pPr>
        <w:pStyle w:val="ListParagraph"/>
        <w:numPr>
          <w:ilvl w:val="0"/>
          <w:numId w:val="14"/>
        </w:numPr>
        <w:tabs>
          <w:tab w:pos="1108" w:val="left" w:leader="none"/>
        </w:tabs>
        <w:spacing w:line="240" w:lineRule="auto" w:before="74" w:after="0"/>
        <w:ind w:left="1107" w:right="0" w:hanging="736"/>
        <w:jc w:val="left"/>
        <w:rPr>
          <w:sz w:val="21"/>
        </w:rPr>
      </w:pPr>
      <w:r>
        <w:rPr>
          <w:spacing w:val="-3"/>
          <w:sz w:val="21"/>
        </w:rPr>
        <w:t>新近的心电图改变提示急性心肌梗塞；</w:t>
      </w:r>
    </w:p>
    <w:p>
      <w:pPr>
        <w:pStyle w:val="ListParagraph"/>
        <w:numPr>
          <w:ilvl w:val="0"/>
          <w:numId w:val="14"/>
        </w:numPr>
        <w:tabs>
          <w:tab w:pos="1108" w:val="left" w:leader="none"/>
        </w:tabs>
        <w:spacing w:line="242" w:lineRule="auto" w:before="76" w:after="0"/>
        <w:ind w:left="1107" w:right="382" w:hanging="735"/>
        <w:jc w:val="left"/>
        <w:rPr>
          <w:sz w:val="21"/>
        </w:rPr>
      </w:pPr>
      <w:r>
        <w:rPr>
          <w:spacing w:val="-2"/>
          <w:sz w:val="21"/>
        </w:rPr>
        <w:t>心肌酶或肌钙蛋白有诊断意义的升高，或呈符合急性心肌梗塞的动态性变</w:t>
      </w:r>
      <w:r>
        <w:rPr>
          <w:spacing w:val="-6"/>
          <w:sz w:val="21"/>
        </w:rPr>
        <w:t>化；</w:t>
      </w:r>
    </w:p>
    <w:p>
      <w:pPr>
        <w:pStyle w:val="ListParagraph"/>
        <w:numPr>
          <w:ilvl w:val="0"/>
          <w:numId w:val="14"/>
        </w:numPr>
        <w:tabs>
          <w:tab w:pos="1108" w:val="left" w:leader="none"/>
        </w:tabs>
        <w:spacing w:line="240" w:lineRule="auto" w:before="74" w:after="0"/>
        <w:ind w:left="1107" w:right="0" w:hanging="736"/>
        <w:jc w:val="left"/>
        <w:rPr>
          <w:sz w:val="21"/>
        </w:rPr>
      </w:pPr>
      <w:r>
        <w:rPr>
          <w:spacing w:val="-17"/>
          <w:sz w:val="21"/>
        </w:rPr>
        <w:t>发病 </w:t>
      </w:r>
      <w:r>
        <w:rPr>
          <w:spacing w:val="-2"/>
          <w:sz w:val="21"/>
        </w:rPr>
        <w:t>90</w:t>
      </w:r>
      <w:r>
        <w:rPr>
          <w:spacing w:val="-11"/>
          <w:sz w:val="21"/>
        </w:rPr>
        <w:t> 天后，经检查证实左心室功能降低，如左心室射血分数低于 </w:t>
      </w:r>
      <w:r>
        <w:rPr>
          <w:spacing w:val="-2"/>
          <w:sz w:val="21"/>
        </w:rPr>
        <w:t>50</w:t>
      </w:r>
      <w:r>
        <w:rPr>
          <w:spacing w:val="-6"/>
          <w:sz w:val="21"/>
        </w:rPr>
        <w:t>％。</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2" w:lineRule="auto" w:before="72" w:after="0"/>
        <w:ind w:left="1139" w:right="0" w:hanging="661"/>
        <w:jc w:val="left"/>
      </w:pPr>
      <w:r>
        <w:rPr>
          <w:spacing w:val="-2"/>
        </w:rPr>
        <w:t>脑中风后遗</w:t>
      </w:r>
      <w:r>
        <w:rPr>
          <w:spacing w:val="-10"/>
        </w:rPr>
        <w:t>症</w:t>
      </w:r>
    </w:p>
    <w:p>
      <w:pPr>
        <w:pStyle w:val="BodyText"/>
        <w:spacing w:line="242" w:lineRule="auto" w:before="84"/>
        <w:ind w:left="372" w:right="370"/>
        <w:jc w:val="both"/>
      </w:pPr>
      <w:r>
        <w:rPr/>
        <w:br w:type="column"/>
      </w:r>
      <w:r>
        <w:rPr>
          <w:spacing w:val="-2"/>
        </w:rPr>
        <w:t>指因脑血管的突发病变引起脑血管出血、栓塞或梗塞，并导致神经系统永久性的功</w:t>
      </w:r>
      <w:r>
        <w:rPr>
          <w:spacing w:val="-3"/>
        </w:rPr>
        <w:t>能障碍。神经系统永久性的功能障碍，指疾病确诊 </w:t>
      </w:r>
      <w:r>
        <w:rPr>
          <w:spacing w:val="-2"/>
        </w:rPr>
        <w:t>180</w:t>
      </w:r>
      <w:r>
        <w:rPr>
          <w:spacing w:val="-6"/>
        </w:rPr>
        <w:t> 天后，仍遗留下列一种或一</w:t>
      </w:r>
      <w:r>
        <w:rPr>
          <w:spacing w:val="-2"/>
        </w:rPr>
        <w:t>种以上障碍：</w:t>
      </w:r>
    </w:p>
    <w:p>
      <w:pPr>
        <w:pStyle w:val="ListParagraph"/>
        <w:numPr>
          <w:ilvl w:val="0"/>
          <w:numId w:val="15"/>
        </w:numPr>
        <w:tabs>
          <w:tab w:pos="1108" w:val="left" w:leader="none"/>
        </w:tabs>
        <w:spacing w:line="240" w:lineRule="auto" w:before="73" w:after="0"/>
        <w:ind w:left="1107" w:right="0" w:hanging="736"/>
        <w:jc w:val="left"/>
        <w:rPr>
          <w:sz w:val="21"/>
        </w:rPr>
      </w:pPr>
      <w:r>
        <w:rPr>
          <w:spacing w:val="-2"/>
          <w:sz w:val="21"/>
        </w:rPr>
        <w:t>一肢或一肢以上</w:t>
      </w:r>
      <w:r>
        <w:rPr>
          <w:b/>
          <w:spacing w:val="-2"/>
          <w:sz w:val="21"/>
        </w:rPr>
        <w:t>肢体机能完全丧失</w:t>
      </w:r>
      <w:r>
        <w:rPr>
          <w:spacing w:val="-2"/>
          <w:sz w:val="21"/>
        </w:rPr>
        <w:t>（</w:t>
      </w:r>
      <w:r>
        <w:rPr>
          <w:spacing w:val="-19"/>
          <w:sz w:val="21"/>
        </w:rPr>
        <w:t>见 </w:t>
      </w:r>
      <w:r>
        <w:rPr>
          <w:spacing w:val="16"/>
          <w:sz w:val="21"/>
        </w:rPr>
        <w:t>8.</w:t>
      </w:r>
      <w:r>
        <w:rPr>
          <w:spacing w:val="13"/>
          <w:sz w:val="21"/>
        </w:rPr>
        <w:t>4</w:t>
      </w:r>
      <w:r>
        <w:rPr>
          <w:spacing w:val="15"/>
          <w:sz w:val="21"/>
        </w:rPr>
        <w:t>9</w:t>
      </w:r>
      <w:r>
        <w:rPr>
          <w:spacing w:val="-90"/>
          <w:sz w:val="21"/>
        </w:rPr>
        <w:t>）</w:t>
      </w:r>
      <w:r>
        <w:rPr>
          <w:spacing w:val="16"/>
          <w:sz w:val="21"/>
        </w:rPr>
        <w:t>；</w:t>
      </w:r>
    </w:p>
    <w:p>
      <w:pPr>
        <w:pStyle w:val="ListParagraph"/>
        <w:numPr>
          <w:ilvl w:val="0"/>
          <w:numId w:val="15"/>
        </w:numPr>
        <w:tabs>
          <w:tab w:pos="1108" w:val="left" w:leader="none"/>
        </w:tabs>
        <w:spacing w:line="240" w:lineRule="auto" w:before="76" w:after="0"/>
        <w:ind w:left="1107" w:right="0" w:hanging="736"/>
        <w:jc w:val="left"/>
        <w:rPr>
          <w:sz w:val="21"/>
        </w:rPr>
      </w:pPr>
      <w:r>
        <w:rPr>
          <w:b/>
          <w:spacing w:val="-2"/>
          <w:sz w:val="21"/>
        </w:rPr>
        <w:t>语言能力或咀嚼吞咽能力完全丧失</w:t>
      </w:r>
      <w:r>
        <w:rPr>
          <w:spacing w:val="-2"/>
          <w:sz w:val="21"/>
        </w:rPr>
        <w:t>（</w:t>
      </w:r>
      <w:r>
        <w:rPr>
          <w:spacing w:val="-16"/>
          <w:sz w:val="21"/>
        </w:rPr>
        <w:t>见 </w:t>
      </w:r>
      <w:r>
        <w:rPr>
          <w:spacing w:val="16"/>
          <w:sz w:val="21"/>
        </w:rPr>
        <w:t>8.</w:t>
      </w:r>
      <w:r>
        <w:rPr>
          <w:spacing w:val="13"/>
          <w:sz w:val="21"/>
        </w:rPr>
        <w:t>5</w:t>
      </w:r>
      <w:r>
        <w:rPr>
          <w:spacing w:val="15"/>
          <w:sz w:val="21"/>
        </w:rPr>
        <w:t>0</w:t>
      </w:r>
      <w:r>
        <w:rPr>
          <w:spacing w:val="-90"/>
          <w:sz w:val="21"/>
        </w:rPr>
        <w:t>）</w:t>
      </w:r>
      <w:r>
        <w:rPr>
          <w:spacing w:val="16"/>
          <w:sz w:val="21"/>
        </w:rPr>
        <w:t>；</w:t>
      </w:r>
    </w:p>
    <w:p>
      <w:pPr>
        <w:spacing w:line="244" w:lineRule="auto" w:before="75"/>
        <w:ind w:left="372" w:right="370" w:firstLine="0"/>
        <w:jc w:val="left"/>
        <w:rPr>
          <w:sz w:val="21"/>
        </w:rPr>
      </w:pPr>
      <w:r>
        <w:rPr>
          <w:spacing w:val="-2"/>
          <w:sz w:val="21"/>
        </w:rPr>
        <w:t>自主生活能力完全丧失，无法独立完成</w:t>
      </w:r>
      <w:r>
        <w:rPr>
          <w:b/>
          <w:spacing w:val="-2"/>
          <w:sz w:val="21"/>
        </w:rPr>
        <w:t>六项基本日常生活活动</w:t>
      </w:r>
      <w:r>
        <w:rPr>
          <w:spacing w:val="-2"/>
          <w:sz w:val="21"/>
        </w:rPr>
        <w:t>（</w:t>
      </w:r>
      <w:r>
        <w:rPr>
          <w:spacing w:val="-24"/>
          <w:sz w:val="21"/>
        </w:rPr>
        <w:t>见 </w:t>
      </w:r>
      <w:r>
        <w:rPr>
          <w:spacing w:val="-2"/>
          <w:sz w:val="21"/>
        </w:rPr>
        <w:t>8.51）中的三项</w:t>
      </w:r>
      <w:r>
        <w:rPr>
          <w:spacing w:val="-2"/>
          <w:sz w:val="21"/>
        </w:rPr>
        <w:t>或三项以上。</w:t>
      </w:r>
    </w:p>
    <w:p>
      <w:pPr>
        <w:spacing w:after="0" w:line="244" w:lineRule="auto"/>
        <w:jc w:val="left"/>
        <w:rPr>
          <w:sz w:val="21"/>
        </w:rPr>
        <w:sectPr>
          <w:type w:val="continuous"/>
          <w:pgSz w:w="11910" w:h="16850"/>
          <w:pgMar w:top="520" w:bottom="280" w:left="620" w:right="720"/>
          <w:cols w:num="2" w:equalWidth="0">
            <w:col w:w="2196" w:space="40"/>
            <w:col w:w="8334"/>
          </w:cols>
        </w:sectPr>
      </w:pPr>
    </w:p>
    <w:p>
      <w:pPr>
        <w:pStyle w:val="BodyText"/>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61"/>
        <w:jc w:val="both"/>
      </w:pPr>
      <w:r>
        <w:rPr>
          <w:spacing w:val="-2"/>
        </w:rPr>
        <w:t>重大器官移</w:t>
      </w:r>
      <w:r>
        <w:rPr>
          <w:spacing w:val="-2"/>
        </w:rPr>
        <w:t>植术或造血</w:t>
      </w:r>
      <w:r>
        <w:rPr>
          <w:spacing w:val="-2"/>
        </w:rPr>
        <w:t>干细胞移植</w:t>
      </w:r>
      <w:r>
        <w:rPr>
          <w:spacing w:val="-10"/>
        </w:rPr>
        <w:t>术</w:t>
      </w:r>
    </w:p>
    <w:p>
      <w:pPr>
        <w:pStyle w:val="BodyText"/>
        <w:spacing w:line="242" w:lineRule="auto" w:before="72"/>
        <w:ind w:left="372" w:right="372"/>
      </w:pPr>
      <w:r>
        <w:rPr/>
        <w:br w:type="column"/>
      </w:r>
      <w:r>
        <w:rPr>
          <w:spacing w:val="-2"/>
        </w:rPr>
        <w:t>重大器官移植术，指因相应器官功能衰竭，已经实施了肾脏、肝脏、心脏或肺脏的</w:t>
      </w:r>
      <w:r>
        <w:rPr>
          <w:spacing w:val="-2"/>
        </w:rPr>
        <w:t>异体移植手术。</w:t>
      </w:r>
    </w:p>
    <w:p>
      <w:pPr>
        <w:pStyle w:val="BodyText"/>
        <w:spacing w:line="242" w:lineRule="auto" w:before="62"/>
        <w:ind w:left="372" w:right="267"/>
      </w:pPr>
      <w:r>
        <w:rPr>
          <w:spacing w:val="-3"/>
          <w:w w:val="100"/>
        </w:rPr>
        <w:t>造血干细胞移植术，指因造血功能损害或造血系统恶性肿瘤，已经实施了造血干细</w:t>
      </w:r>
      <w:r>
        <w:rPr>
          <w:spacing w:val="-29"/>
          <w:w w:val="100"/>
        </w:rPr>
        <w:t>胞</w:t>
      </w:r>
      <w:r>
        <w:rPr>
          <w:w w:val="100"/>
        </w:rPr>
        <w:t>（</w:t>
      </w:r>
      <w:r>
        <w:rPr>
          <w:spacing w:val="-6"/>
          <w:w w:val="100"/>
        </w:rPr>
        <w:t>包括骨髓造血干细胞、外周血造血干细胞和脐血造血干细胞</w:t>
      </w:r>
      <w:r>
        <w:rPr>
          <w:spacing w:val="-32"/>
          <w:w w:val="100"/>
        </w:rPr>
        <w:t>）</w:t>
      </w:r>
      <w:r>
        <w:rPr>
          <w:spacing w:val="-3"/>
          <w:w w:val="100"/>
        </w:rPr>
        <w:t>的异体移植手术。</w:t>
      </w:r>
    </w:p>
    <w:p>
      <w:pPr>
        <w:spacing w:after="0" w:line="242" w:lineRule="auto"/>
        <w:sectPr>
          <w:type w:val="continuous"/>
          <w:pgSz w:w="11910" w:h="16850"/>
          <w:pgMar w:top="520" w:bottom="280" w:left="620" w:right="720"/>
          <w:cols w:num="2" w:equalWidth="0">
            <w:col w:w="2196" w:space="40"/>
            <w:col w:w="8334"/>
          </w:cols>
        </w:sectPr>
      </w:pP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2" w:lineRule="auto" w:before="72" w:after="0"/>
        <w:ind w:left="1139" w:right="0" w:hanging="661"/>
        <w:jc w:val="left"/>
      </w:pPr>
      <w:r>
        <w:rPr>
          <w:w w:val="100"/>
        </w:rPr>
        <w:t>冠状动脉搭</w:t>
      </w:r>
      <w:r>
        <w:rPr>
          <w:spacing w:val="-7"/>
          <w:w w:val="100"/>
        </w:rPr>
        <w:t>桥术</w:t>
      </w:r>
      <w:r>
        <w:rPr>
          <w:w w:val="100"/>
        </w:rPr>
        <w:t>（</w:t>
      </w:r>
      <w:r>
        <w:rPr>
          <w:spacing w:val="-7"/>
          <w:w w:val="100"/>
        </w:rPr>
        <w:t>或称冠</w:t>
      </w:r>
      <w:r>
        <w:rPr>
          <w:w w:val="100"/>
        </w:rPr>
        <w:t>状动脉旁路移植术）</w:t>
      </w:r>
    </w:p>
    <w:p>
      <w:pPr>
        <w:pStyle w:val="BodyText"/>
        <w:spacing w:before="72"/>
        <w:ind w:left="173"/>
      </w:pPr>
      <w:r>
        <w:rPr/>
        <w:br w:type="column"/>
      </w:r>
      <w:r>
        <w:rPr>
          <w:spacing w:val="-3"/>
        </w:rPr>
        <w:t>指为治疗严重的冠心病，实际实施了开胸进行的冠状动脉血管旁路移植的手术。</w:t>
      </w:r>
    </w:p>
    <w:p>
      <w:pPr>
        <w:pStyle w:val="BodyText"/>
        <w:spacing w:line="244" w:lineRule="auto" w:before="62"/>
        <w:ind w:left="173" w:right="265"/>
        <w:rPr>
          <w:rFonts w:ascii="黑体" w:eastAsia="黑体"/>
        </w:rPr>
      </w:pPr>
      <w:r>
        <w:rPr>
          <w:rFonts w:ascii="黑体" w:eastAsia="黑体"/>
          <w:spacing w:val="-4"/>
        </w:rPr>
        <w:t>冠状动脉支架植入术、心导管球囊扩张术、激光射频技术及其它非开胸的介入手术、</w:t>
      </w:r>
      <w:r>
        <w:rPr>
          <w:rFonts w:ascii="黑体" w:eastAsia="黑体"/>
          <w:spacing w:val="-2"/>
        </w:rPr>
        <w:t>腔镜手术不在本合同所定义的重大疾病范围内。</w:t>
      </w:r>
    </w:p>
    <w:p>
      <w:pPr>
        <w:spacing w:after="0" w:line="244" w:lineRule="auto"/>
        <w:rPr>
          <w:rFonts w:ascii="黑体" w:eastAsia="黑体"/>
        </w:rPr>
        <w:sectPr>
          <w:type w:val="continuous"/>
          <w:pgSz w:w="11910" w:h="16850"/>
          <w:pgMar w:top="520" w:bottom="280" w:left="620" w:right="720"/>
          <w:cols w:num="2" w:equalWidth="0">
            <w:col w:w="2395" w:space="40"/>
            <w:col w:w="8135"/>
          </w:cols>
        </w:sectPr>
      </w:pPr>
    </w:p>
    <w:p>
      <w:pPr>
        <w:pStyle w:val="BodyText"/>
        <w:spacing w:before="5"/>
        <w:rPr>
          <w:rFonts w:ascii="黑体"/>
          <w:sz w:val="12"/>
        </w:rPr>
      </w:pPr>
    </w:p>
    <w:p>
      <w:pPr>
        <w:spacing w:after="0"/>
        <w:rPr>
          <w:rFonts w:ascii="黑体"/>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both"/>
      </w:pPr>
      <w:r>
        <w:rPr>
          <w:spacing w:val="-2"/>
        </w:rPr>
        <w:t>终末期肾病</w:t>
      </w:r>
    </w:p>
    <w:p>
      <w:pPr>
        <w:spacing w:line="242" w:lineRule="auto" w:before="4"/>
        <w:ind w:left="1139" w:right="0" w:firstLine="0"/>
        <w:jc w:val="both"/>
        <w:rPr>
          <w:b/>
          <w:sz w:val="21"/>
        </w:rPr>
      </w:pPr>
      <w:r>
        <w:rPr>
          <w:b/>
          <w:spacing w:val="-2"/>
          <w:sz w:val="21"/>
        </w:rPr>
        <w:t>（或称慢性</w:t>
      </w:r>
      <w:r>
        <w:rPr>
          <w:b/>
          <w:spacing w:val="-2"/>
          <w:sz w:val="21"/>
        </w:rPr>
        <w:t>肾功能衰竭</w:t>
      </w:r>
      <w:r>
        <w:rPr>
          <w:b/>
          <w:sz w:val="21"/>
        </w:rPr>
        <w:t>尿毒症期</w:t>
      </w:r>
      <w:r>
        <w:rPr>
          <w:b/>
          <w:spacing w:val="-10"/>
          <w:sz w:val="21"/>
        </w:rPr>
        <w:t>）</w:t>
      </w:r>
    </w:p>
    <w:p>
      <w:pPr>
        <w:pStyle w:val="BodyText"/>
        <w:spacing w:line="244" w:lineRule="auto" w:before="72"/>
        <w:ind w:left="372" w:right="370"/>
      </w:pPr>
      <w:r>
        <w:rPr/>
        <w:br w:type="column"/>
      </w:r>
      <w:r>
        <w:rPr>
          <w:spacing w:val="-5"/>
        </w:rPr>
        <w:t>指双肾功能慢性不可逆性衰竭，达到尿毒症期，经诊断后已经进行了至少 </w:t>
      </w:r>
      <w:r>
        <w:rPr>
          <w:spacing w:val="-4"/>
        </w:rPr>
        <w:t>90</w:t>
      </w:r>
      <w:r>
        <w:rPr>
          <w:spacing w:val="-13"/>
        </w:rPr>
        <w:t> 天的规</w:t>
      </w:r>
      <w:r>
        <w:rPr>
          <w:spacing w:val="-2"/>
        </w:rPr>
        <w:t>律性透析治疗或实施了肾脏移植手术。</w:t>
      </w:r>
    </w:p>
    <w:p>
      <w:pPr>
        <w:spacing w:after="0" w:line="244" w:lineRule="auto"/>
        <w:sectPr>
          <w:type w:val="continuous"/>
          <w:pgSz w:w="11910" w:h="16850"/>
          <w:pgMar w:top="520" w:bottom="280" w:left="620" w:right="720"/>
          <w:cols w:num="2" w:equalWidth="0">
            <w:col w:w="2196" w:space="40"/>
            <w:col w:w="8334"/>
          </w:cols>
        </w:sectPr>
      </w:pP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4" w:lineRule="auto" w:before="72" w:after="0"/>
        <w:ind w:left="1139" w:right="0" w:hanging="661"/>
        <w:jc w:val="left"/>
      </w:pPr>
      <w:r>
        <w:rPr>
          <w:spacing w:val="-2"/>
        </w:rPr>
        <w:t>多个肢体缺</w:t>
      </w:r>
      <w:r>
        <w:rPr>
          <w:spacing w:val="-10"/>
        </w:rPr>
        <w:t>失</w:t>
      </w:r>
    </w:p>
    <w:p>
      <w:pPr>
        <w:pStyle w:val="BodyText"/>
        <w:spacing w:line="244" w:lineRule="auto" w:before="72"/>
        <w:ind w:left="372" w:right="264"/>
      </w:pPr>
      <w:r>
        <w:rPr/>
        <w:br w:type="column"/>
      </w:r>
      <w:r>
        <w:rPr>
          <w:spacing w:val="-5"/>
        </w:rPr>
        <w:t>指因疾病或意外伤害导致两个或两个以上肢体自腕关节或踝关节近端</w:t>
      </w:r>
      <w:r>
        <w:rPr>
          <w:spacing w:val="-2"/>
        </w:rPr>
        <w:t>（靠近躯干端）</w:t>
      </w:r>
      <w:r>
        <w:rPr>
          <w:spacing w:val="-2"/>
        </w:rPr>
        <w:t>以上完全性断离。</w:t>
      </w:r>
    </w:p>
    <w:p>
      <w:pPr>
        <w:spacing w:after="0" w:line="244" w:lineRule="auto"/>
        <w:sectPr>
          <w:type w:val="continuous"/>
          <w:pgSz w:w="11910" w:h="16850"/>
          <w:pgMar w:top="520" w:bottom="280" w:left="620" w:right="720"/>
          <w:cols w:num="2" w:equalWidth="0">
            <w:col w:w="2196" w:space="40"/>
            <w:col w:w="8334"/>
          </w:cols>
        </w:sectPr>
      </w:pPr>
    </w:p>
    <w:p>
      <w:pPr>
        <w:pStyle w:val="BodyText"/>
        <w:spacing w:before="1"/>
        <w:rPr>
          <w:sz w:val="12"/>
        </w:rPr>
      </w:pPr>
    </w:p>
    <w:p>
      <w:pPr>
        <w:spacing w:after="0"/>
        <w:rPr>
          <w:sz w:val="12"/>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2" w:lineRule="auto" w:before="72" w:after="0"/>
        <w:ind w:left="1139" w:right="0" w:hanging="661"/>
        <w:jc w:val="left"/>
      </w:pPr>
      <w:r>
        <w:rPr>
          <w:spacing w:val="-2"/>
        </w:rPr>
        <w:t>急性或亚急</w:t>
      </w:r>
      <w:r>
        <w:rPr>
          <w:spacing w:val="-2"/>
        </w:rPr>
        <w:t>性重症肝炎</w:t>
      </w:r>
    </w:p>
    <w:p>
      <w:pPr>
        <w:pStyle w:val="BodyText"/>
        <w:spacing w:line="242" w:lineRule="auto" w:before="72"/>
        <w:ind w:left="372" w:right="373"/>
        <w:rPr>
          <w:rFonts w:ascii="黑体" w:eastAsia="黑体"/>
        </w:rPr>
      </w:pPr>
      <w:r>
        <w:rPr/>
        <w:br w:type="column"/>
      </w:r>
      <w:r>
        <w:rPr>
          <w:spacing w:val="-2"/>
        </w:rPr>
        <w:t>指因肝炎病毒感染引起肝脏组织弥漫性坏死，导致急性肝功能衰竭，且经血清学或</w:t>
      </w:r>
      <w:r>
        <w:rPr>
          <w:spacing w:val="-2"/>
        </w:rPr>
        <w:t>病毒学检查证实，</w:t>
      </w:r>
      <w:r>
        <w:rPr>
          <w:rFonts w:ascii="黑体" w:eastAsia="黑体"/>
          <w:spacing w:val="-2"/>
        </w:rPr>
        <w:t>并须满足下列全部条件：</w:t>
      </w:r>
    </w:p>
    <w:p>
      <w:pPr>
        <w:pStyle w:val="ListParagraph"/>
        <w:numPr>
          <w:ilvl w:val="0"/>
          <w:numId w:val="16"/>
        </w:numPr>
        <w:tabs>
          <w:tab w:pos="1108" w:val="left" w:leader="none"/>
        </w:tabs>
        <w:spacing w:line="240" w:lineRule="auto" w:before="61" w:after="0"/>
        <w:ind w:left="1107" w:right="0" w:hanging="736"/>
        <w:jc w:val="left"/>
        <w:rPr>
          <w:sz w:val="21"/>
        </w:rPr>
      </w:pPr>
      <w:r>
        <w:rPr>
          <w:spacing w:val="-3"/>
          <w:sz w:val="21"/>
        </w:rPr>
        <w:t>重度黄疸或黄疸迅速加重；</w:t>
      </w:r>
    </w:p>
    <w:p>
      <w:pPr>
        <w:pStyle w:val="ListParagraph"/>
        <w:numPr>
          <w:ilvl w:val="0"/>
          <w:numId w:val="16"/>
        </w:numPr>
        <w:tabs>
          <w:tab w:pos="1108" w:val="left" w:leader="none"/>
        </w:tabs>
        <w:spacing w:line="240" w:lineRule="auto" w:before="62" w:after="0"/>
        <w:ind w:left="1107" w:right="0" w:hanging="736"/>
        <w:jc w:val="left"/>
        <w:rPr>
          <w:sz w:val="21"/>
        </w:rPr>
      </w:pPr>
      <w:r>
        <w:rPr>
          <w:spacing w:val="-4"/>
          <w:sz w:val="21"/>
        </w:rPr>
        <w:t>肝性脑病；</w:t>
      </w:r>
    </w:p>
    <w:p>
      <w:pPr>
        <w:pStyle w:val="ListParagraph"/>
        <w:numPr>
          <w:ilvl w:val="0"/>
          <w:numId w:val="16"/>
        </w:numPr>
        <w:tabs>
          <w:tab w:pos="1108" w:val="left" w:leader="none"/>
        </w:tabs>
        <w:spacing w:line="240" w:lineRule="auto" w:before="65" w:after="0"/>
        <w:ind w:left="1107" w:right="0" w:hanging="736"/>
        <w:jc w:val="left"/>
        <w:rPr>
          <w:sz w:val="21"/>
        </w:rPr>
      </w:pPr>
      <w:r>
        <w:rPr>
          <w:spacing w:val="-2"/>
          <w:sz w:val="21"/>
        </w:rPr>
        <w:t>B</w:t>
      </w:r>
      <w:r>
        <w:rPr>
          <w:spacing w:val="-10"/>
          <w:sz w:val="21"/>
        </w:rPr>
        <w:t> 超或其它影像学检查显示肝脏体积急速萎缩；</w:t>
      </w:r>
    </w:p>
    <w:p>
      <w:pPr>
        <w:pStyle w:val="ListParagraph"/>
        <w:numPr>
          <w:ilvl w:val="0"/>
          <w:numId w:val="16"/>
        </w:numPr>
        <w:tabs>
          <w:tab w:pos="1108" w:val="left" w:leader="none"/>
        </w:tabs>
        <w:spacing w:line="240" w:lineRule="auto" w:before="62" w:after="0"/>
        <w:ind w:left="1107" w:right="0" w:hanging="736"/>
        <w:jc w:val="left"/>
        <w:rPr>
          <w:sz w:val="21"/>
        </w:rPr>
      </w:pPr>
      <w:r>
        <w:rPr>
          <w:spacing w:val="-3"/>
          <w:sz w:val="21"/>
        </w:rPr>
        <w:t>肝功能指标进行性恶化。</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9"/>
        <w:rPr>
          <w:sz w:val="12"/>
        </w:rPr>
      </w:pPr>
    </w:p>
    <w:p>
      <w:pPr>
        <w:pStyle w:val="ListParagraph"/>
        <w:numPr>
          <w:ilvl w:val="3"/>
          <w:numId w:val="4"/>
        </w:numPr>
        <w:tabs>
          <w:tab w:pos="1139" w:val="left" w:leader="none"/>
          <w:tab w:pos="1140" w:val="left" w:leader="none"/>
          <w:tab w:pos="2608" w:val="left" w:leader="none"/>
        </w:tabs>
        <w:spacing w:line="240" w:lineRule="auto" w:before="72" w:after="0"/>
        <w:ind w:left="1139" w:right="0" w:hanging="661"/>
        <w:jc w:val="left"/>
        <w:rPr>
          <w:sz w:val="21"/>
        </w:rPr>
      </w:pPr>
      <w:r>
        <w:rPr>
          <w:b/>
          <w:sz w:val="21"/>
        </w:rPr>
        <w:t>良性脑肿</w:t>
      </w:r>
      <w:r>
        <w:rPr>
          <w:b/>
          <w:spacing w:val="-10"/>
          <w:sz w:val="21"/>
        </w:rPr>
        <w:t>瘤</w:t>
      </w:r>
      <w:r>
        <w:rPr>
          <w:b/>
          <w:sz w:val="21"/>
        </w:rPr>
        <w:tab/>
      </w:r>
      <w:r>
        <w:rPr>
          <w:spacing w:val="-2"/>
          <w:sz w:val="21"/>
        </w:rPr>
        <w:t>指</w:t>
      </w:r>
      <w:r>
        <w:rPr>
          <w:spacing w:val="-2"/>
          <w:sz w:val="21"/>
        </w:rPr>
        <w:t>脑</w:t>
      </w:r>
      <w:r>
        <w:rPr>
          <w:spacing w:val="-2"/>
          <w:sz w:val="21"/>
        </w:rPr>
        <w:t>的</w:t>
      </w:r>
      <w:r>
        <w:rPr>
          <w:spacing w:val="-2"/>
          <w:sz w:val="21"/>
        </w:rPr>
        <w:t>良</w:t>
      </w:r>
      <w:r>
        <w:rPr>
          <w:spacing w:val="-2"/>
          <w:sz w:val="21"/>
        </w:rPr>
        <w:t>性</w:t>
      </w:r>
      <w:r>
        <w:rPr>
          <w:spacing w:val="-2"/>
          <w:sz w:val="21"/>
        </w:rPr>
        <w:t>肿</w:t>
      </w:r>
      <w:r>
        <w:rPr>
          <w:spacing w:val="-2"/>
          <w:sz w:val="21"/>
        </w:rPr>
        <w:t>瘤</w:t>
      </w:r>
      <w:r>
        <w:rPr>
          <w:spacing w:val="-2"/>
          <w:sz w:val="21"/>
        </w:rPr>
        <w:t>，已经引</w:t>
      </w:r>
      <w:r>
        <w:rPr>
          <w:spacing w:val="-2"/>
          <w:sz w:val="21"/>
        </w:rPr>
        <w:t>起</w:t>
      </w:r>
      <w:r>
        <w:rPr>
          <w:spacing w:val="-2"/>
          <w:sz w:val="21"/>
        </w:rPr>
        <w:t>颅</w:t>
      </w:r>
      <w:r>
        <w:rPr>
          <w:spacing w:val="-2"/>
          <w:sz w:val="21"/>
        </w:rPr>
        <w:t>内</w:t>
      </w:r>
      <w:r>
        <w:rPr>
          <w:spacing w:val="-2"/>
          <w:sz w:val="21"/>
        </w:rPr>
        <w:t>压</w:t>
      </w:r>
      <w:r>
        <w:rPr>
          <w:spacing w:val="-2"/>
          <w:sz w:val="21"/>
        </w:rPr>
        <w:t>增</w:t>
      </w:r>
      <w:r>
        <w:rPr>
          <w:spacing w:val="-2"/>
          <w:sz w:val="21"/>
        </w:rPr>
        <w:t>高</w:t>
      </w:r>
      <w:r>
        <w:rPr>
          <w:spacing w:val="-2"/>
          <w:sz w:val="21"/>
        </w:rPr>
        <w:t>，</w:t>
      </w:r>
      <w:r>
        <w:rPr>
          <w:spacing w:val="-2"/>
          <w:sz w:val="21"/>
        </w:rPr>
        <w:t>临</w:t>
      </w:r>
      <w:r>
        <w:rPr>
          <w:spacing w:val="-2"/>
          <w:sz w:val="21"/>
        </w:rPr>
        <w:t>床表现</w:t>
      </w:r>
      <w:r>
        <w:rPr>
          <w:spacing w:val="-2"/>
          <w:sz w:val="21"/>
        </w:rPr>
        <w:t>为</w:t>
      </w:r>
      <w:r>
        <w:rPr>
          <w:spacing w:val="-2"/>
          <w:sz w:val="21"/>
        </w:rPr>
        <w:t>视</w:t>
      </w:r>
      <w:r>
        <w:rPr>
          <w:spacing w:val="-2"/>
          <w:sz w:val="21"/>
        </w:rPr>
        <w:t>神</w:t>
      </w:r>
      <w:r>
        <w:rPr>
          <w:spacing w:val="-2"/>
          <w:sz w:val="21"/>
        </w:rPr>
        <w:t>经</w:t>
      </w:r>
      <w:r>
        <w:rPr>
          <w:spacing w:val="-2"/>
          <w:sz w:val="21"/>
        </w:rPr>
        <w:t>乳</w:t>
      </w:r>
      <w:r>
        <w:rPr>
          <w:spacing w:val="-2"/>
          <w:sz w:val="21"/>
        </w:rPr>
        <w:t>头</w:t>
      </w:r>
      <w:r>
        <w:rPr>
          <w:spacing w:val="-2"/>
          <w:sz w:val="21"/>
        </w:rPr>
        <w:t>水</w:t>
      </w:r>
      <w:r>
        <w:rPr>
          <w:spacing w:val="-2"/>
          <w:sz w:val="21"/>
        </w:rPr>
        <w:t>肿</w:t>
      </w:r>
      <w:r>
        <w:rPr>
          <w:spacing w:val="-2"/>
          <w:sz w:val="21"/>
        </w:rPr>
        <w:t>、精神</w:t>
      </w:r>
      <w:r>
        <w:rPr>
          <w:spacing w:val="-2"/>
          <w:sz w:val="21"/>
        </w:rPr>
        <w:t>症</w:t>
      </w:r>
      <w:r>
        <w:rPr>
          <w:spacing w:val="-2"/>
          <w:sz w:val="21"/>
        </w:rPr>
        <w:t>状</w:t>
      </w:r>
      <w:r>
        <w:rPr>
          <w:spacing w:val="-10"/>
          <w:sz w:val="21"/>
        </w:rPr>
        <w:t>、</w:t>
      </w:r>
    </w:p>
    <w:p>
      <w:pPr>
        <w:spacing w:after="0" w:line="240" w:lineRule="auto"/>
        <w:jc w:val="left"/>
        <w:rPr>
          <w:sz w:val="21"/>
        </w:rPr>
        <w:sectPr>
          <w:type w:val="continuous"/>
          <w:pgSz w:w="11910" w:h="16850"/>
          <w:pgMar w:top="520" w:bottom="280" w:left="620" w:right="720"/>
        </w:sectPr>
      </w:pPr>
    </w:p>
    <w:p>
      <w:pPr>
        <w:pStyle w:val="BodyText"/>
        <w:spacing w:line="244" w:lineRule="auto" w:before="53"/>
        <w:ind w:left="2608" w:right="267"/>
      </w:pPr>
      <w:r>
        <w:rPr>
          <w:spacing w:val="-15"/>
        </w:rPr>
        <w:t>癫痫及运动感觉障碍等，并危及生命。须由头颅断层扫描</w:t>
      </w:r>
      <w:r>
        <w:rPr>
          <w:spacing w:val="22"/>
        </w:rPr>
        <w:t>（CT</w:t>
      </w:r>
      <w:r>
        <w:rPr>
          <w:spacing w:val="-84"/>
        </w:rPr>
        <w:t>）</w:t>
      </w:r>
      <w:r>
        <w:rPr>
          <w:spacing w:val="-21"/>
        </w:rPr>
        <w:t>、核磁共振检查</w:t>
      </w:r>
      <w:r>
        <w:rPr>
          <w:spacing w:val="-4"/>
        </w:rPr>
        <w:t>（MRI）</w:t>
      </w:r>
      <w:r>
        <w:rPr>
          <w:spacing w:val="-2"/>
        </w:rPr>
        <w:t>或正电子发射断层扫描（PET）等影像学检查证实，并须满足下列至少一项条件：</w:t>
      </w:r>
    </w:p>
    <w:p>
      <w:pPr>
        <w:pStyle w:val="ListParagraph"/>
        <w:numPr>
          <w:ilvl w:val="0"/>
          <w:numId w:val="17"/>
        </w:numPr>
        <w:tabs>
          <w:tab w:pos="3343" w:val="left" w:leader="none"/>
        </w:tabs>
        <w:spacing w:line="240" w:lineRule="auto" w:before="56" w:after="0"/>
        <w:ind w:left="3342" w:right="0" w:hanging="735"/>
        <w:jc w:val="left"/>
        <w:rPr>
          <w:sz w:val="21"/>
        </w:rPr>
      </w:pPr>
      <w:r>
        <w:rPr>
          <w:spacing w:val="-3"/>
          <w:sz w:val="21"/>
        </w:rPr>
        <w:t>实际实施了开颅进行的脑肿瘤完全切除或部分切除的手术；</w:t>
      </w:r>
    </w:p>
    <w:p>
      <w:pPr>
        <w:pStyle w:val="ListParagraph"/>
        <w:numPr>
          <w:ilvl w:val="0"/>
          <w:numId w:val="17"/>
        </w:numPr>
        <w:tabs>
          <w:tab w:pos="3343" w:val="left" w:leader="none"/>
        </w:tabs>
        <w:spacing w:line="240" w:lineRule="auto" w:before="65" w:after="0"/>
        <w:ind w:left="3342" w:right="0" w:hanging="735"/>
        <w:jc w:val="left"/>
        <w:rPr>
          <w:sz w:val="21"/>
        </w:rPr>
      </w:pPr>
      <w:r>
        <w:rPr>
          <w:spacing w:val="-3"/>
          <w:sz w:val="21"/>
        </w:rPr>
        <w:t>实际实施了对脑肿瘤进行的放射治疗。</w:t>
      </w:r>
    </w:p>
    <w:p>
      <w:pPr>
        <w:pStyle w:val="BodyText"/>
        <w:spacing w:before="62"/>
        <w:ind w:left="2608"/>
      </w:pPr>
      <w:r>
        <w:rPr>
          <w:rFonts w:ascii="黑体" w:eastAsia="黑体"/>
          <w:spacing w:val="-2"/>
        </w:rPr>
        <w:t>脑垂体瘤、脑囊肿、脑血管性疾病不在本合同所定义的重大疾病范围内</w:t>
      </w:r>
      <w:r>
        <w:rPr>
          <w:spacing w:val="-10"/>
        </w:rPr>
        <w:t>。</w:t>
      </w:r>
    </w:p>
    <w:p>
      <w:pPr>
        <w:pStyle w:val="BodyText"/>
        <w:spacing w:before="9"/>
        <w:rPr>
          <w:sz w:val="12"/>
        </w:rPr>
      </w:pPr>
    </w:p>
    <w:p>
      <w:pPr>
        <w:pStyle w:val="ListParagraph"/>
        <w:numPr>
          <w:ilvl w:val="3"/>
          <w:numId w:val="4"/>
        </w:numPr>
        <w:tabs>
          <w:tab w:pos="1140" w:val="left" w:leader="none"/>
          <w:tab w:pos="2608" w:val="left" w:leader="none"/>
        </w:tabs>
        <w:spacing w:line="240" w:lineRule="auto" w:before="72" w:after="31"/>
        <w:ind w:left="1139" w:right="0" w:hanging="661"/>
        <w:jc w:val="left"/>
        <w:rPr>
          <w:rFonts w:ascii="黑体" w:eastAsia="黑体"/>
          <w:sz w:val="21"/>
        </w:rPr>
      </w:pPr>
      <w:r>
        <w:rPr>
          <w:b/>
          <w:sz w:val="21"/>
        </w:rPr>
        <w:t>慢性肝功</w:t>
      </w:r>
      <w:r>
        <w:rPr>
          <w:b/>
          <w:spacing w:val="-10"/>
          <w:sz w:val="21"/>
        </w:rPr>
        <w:t>能</w:t>
      </w:r>
      <w:r>
        <w:rPr>
          <w:b/>
          <w:sz w:val="21"/>
        </w:rPr>
        <w:tab/>
      </w:r>
      <w:r>
        <w:rPr>
          <w:spacing w:val="-2"/>
          <w:sz w:val="21"/>
        </w:rPr>
        <w:t>指</w:t>
      </w:r>
      <w:r>
        <w:rPr>
          <w:spacing w:val="-2"/>
          <w:sz w:val="21"/>
        </w:rPr>
        <w:t>因</w:t>
      </w:r>
      <w:r>
        <w:rPr>
          <w:spacing w:val="-2"/>
          <w:sz w:val="21"/>
        </w:rPr>
        <w:t>慢性肝脏疾病导致肝</w:t>
      </w:r>
      <w:r>
        <w:rPr>
          <w:spacing w:val="-2"/>
          <w:sz w:val="21"/>
        </w:rPr>
        <w:t>功</w:t>
      </w:r>
      <w:r>
        <w:rPr>
          <w:spacing w:val="-2"/>
          <w:sz w:val="21"/>
        </w:rPr>
        <w:t>能</w:t>
      </w:r>
      <w:r>
        <w:rPr>
          <w:spacing w:val="-2"/>
          <w:sz w:val="21"/>
        </w:rPr>
        <w:t>衰竭。</w:t>
      </w:r>
      <w:r>
        <w:rPr>
          <w:rFonts w:ascii="黑体" w:eastAsia="黑体"/>
          <w:spacing w:val="-2"/>
          <w:sz w:val="21"/>
        </w:rPr>
        <w:t>须满足下列全</w:t>
      </w:r>
      <w:r>
        <w:rPr>
          <w:rFonts w:ascii="黑体" w:eastAsia="黑体"/>
          <w:spacing w:val="-2"/>
          <w:sz w:val="21"/>
        </w:rPr>
        <w:t>部</w:t>
      </w:r>
      <w:r>
        <w:rPr>
          <w:rFonts w:ascii="黑体" w:eastAsia="黑体"/>
          <w:spacing w:val="-2"/>
          <w:sz w:val="21"/>
        </w:rPr>
        <w:t>条</w:t>
      </w:r>
      <w:r>
        <w:rPr>
          <w:rFonts w:ascii="黑体" w:eastAsia="黑体"/>
          <w:spacing w:val="-2"/>
          <w:sz w:val="21"/>
        </w:rPr>
        <w:t>件</w:t>
      </w:r>
      <w:r>
        <w:rPr>
          <w:rFonts w:ascii="黑体" w:eastAsia="黑体"/>
          <w:spacing w:val="-10"/>
          <w:sz w:val="21"/>
        </w:rPr>
        <w:t>：</w:t>
      </w:r>
    </w:p>
    <w:tbl>
      <w:tblPr>
        <w:tblW w:w="0" w:type="auto"/>
        <w:jc w:val="left"/>
        <w:tblInd w:w="10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2"/>
        <w:gridCol w:w="837"/>
        <w:gridCol w:w="4778"/>
      </w:tblGrid>
      <w:tr>
        <w:trPr>
          <w:trHeight w:val="272" w:hRule="atLeast"/>
        </w:trPr>
        <w:tc>
          <w:tcPr>
            <w:tcW w:w="1312" w:type="dxa"/>
          </w:tcPr>
          <w:p>
            <w:pPr>
              <w:pStyle w:val="TableParagraph"/>
              <w:spacing w:line="241" w:lineRule="exact"/>
              <w:ind w:left="50"/>
              <w:rPr>
                <w:b/>
                <w:sz w:val="21"/>
              </w:rPr>
            </w:pPr>
            <w:r>
              <w:rPr>
                <w:b/>
                <w:spacing w:val="-2"/>
                <w:sz w:val="21"/>
              </w:rPr>
              <w:t>衰竭失代偿</w:t>
            </w:r>
          </w:p>
        </w:tc>
        <w:tc>
          <w:tcPr>
            <w:tcW w:w="837" w:type="dxa"/>
          </w:tcPr>
          <w:p>
            <w:pPr>
              <w:pStyle w:val="TableParagraph"/>
              <w:spacing w:line="221" w:lineRule="exact" w:before="31"/>
              <w:ind w:left="206"/>
              <w:rPr>
                <w:sz w:val="21"/>
              </w:rPr>
            </w:pPr>
            <w:r>
              <w:rPr>
                <w:spacing w:val="-5"/>
                <w:sz w:val="21"/>
              </w:rPr>
              <w:t>（1）</w:t>
            </w:r>
          </w:p>
        </w:tc>
        <w:tc>
          <w:tcPr>
            <w:tcW w:w="4778" w:type="dxa"/>
          </w:tcPr>
          <w:p>
            <w:pPr>
              <w:pStyle w:val="TableParagraph"/>
              <w:spacing w:line="221" w:lineRule="exact" w:before="31"/>
              <w:ind w:left="104"/>
              <w:rPr>
                <w:sz w:val="21"/>
              </w:rPr>
            </w:pPr>
            <w:r>
              <w:rPr>
                <w:spacing w:val="-4"/>
                <w:sz w:val="21"/>
              </w:rPr>
              <w:t>持续性黄疸；</w:t>
            </w:r>
          </w:p>
        </w:tc>
      </w:tr>
      <w:tr>
        <w:trPr>
          <w:trHeight w:val="997" w:hRule="atLeast"/>
        </w:trPr>
        <w:tc>
          <w:tcPr>
            <w:tcW w:w="1312" w:type="dxa"/>
          </w:tcPr>
          <w:p>
            <w:pPr>
              <w:pStyle w:val="TableParagraph"/>
              <w:spacing w:line="242" w:lineRule="exact"/>
              <w:ind w:left="50"/>
              <w:rPr>
                <w:b/>
                <w:sz w:val="21"/>
              </w:rPr>
            </w:pPr>
            <w:r>
              <w:rPr>
                <w:b/>
                <w:w w:val="100"/>
                <w:sz w:val="21"/>
              </w:rPr>
              <w:t>期</w:t>
            </w:r>
          </w:p>
        </w:tc>
        <w:tc>
          <w:tcPr>
            <w:tcW w:w="837" w:type="dxa"/>
          </w:tcPr>
          <w:p>
            <w:pPr>
              <w:pStyle w:val="TableParagraph"/>
              <w:spacing w:before="92"/>
              <w:ind w:left="206"/>
              <w:rPr>
                <w:sz w:val="21"/>
              </w:rPr>
            </w:pPr>
            <w:r>
              <w:rPr>
                <w:spacing w:val="-5"/>
                <w:sz w:val="21"/>
              </w:rPr>
              <w:t>（2）</w:t>
            </w:r>
          </w:p>
          <w:p>
            <w:pPr>
              <w:pStyle w:val="TableParagraph"/>
              <w:spacing w:before="63"/>
              <w:ind w:left="206"/>
              <w:rPr>
                <w:sz w:val="21"/>
              </w:rPr>
            </w:pPr>
            <w:r>
              <w:rPr>
                <w:spacing w:val="-5"/>
                <w:sz w:val="21"/>
              </w:rPr>
              <w:t>（3）</w:t>
            </w:r>
          </w:p>
          <w:p>
            <w:pPr>
              <w:pStyle w:val="TableParagraph"/>
              <w:spacing w:line="220" w:lineRule="exact" w:before="64"/>
              <w:ind w:left="206"/>
              <w:rPr>
                <w:sz w:val="21"/>
              </w:rPr>
            </w:pPr>
            <w:r>
              <w:rPr>
                <w:spacing w:val="-5"/>
                <w:sz w:val="21"/>
              </w:rPr>
              <w:t>（4）</w:t>
            </w:r>
          </w:p>
        </w:tc>
        <w:tc>
          <w:tcPr>
            <w:tcW w:w="4778" w:type="dxa"/>
          </w:tcPr>
          <w:p>
            <w:pPr>
              <w:pStyle w:val="TableParagraph"/>
              <w:spacing w:before="92"/>
              <w:ind w:left="104"/>
              <w:rPr>
                <w:sz w:val="21"/>
              </w:rPr>
            </w:pPr>
            <w:r>
              <w:rPr>
                <w:spacing w:val="-4"/>
                <w:sz w:val="21"/>
              </w:rPr>
              <w:t>腹水；</w:t>
            </w:r>
          </w:p>
          <w:p>
            <w:pPr>
              <w:pStyle w:val="TableParagraph"/>
              <w:spacing w:before="63"/>
              <w:ind w:left="104"/>
              <w:rPr>
                <w:sz w:val="21"/>
              </w:rPr>
            </w:pPr>
            <w:r>
              <w:rPr>
                <w:spacing w:val="-4"/>
                <w:sz w:val="21"/>
              </w:rPr>
              <w:t>肝性脑病；</w:t>
            </w:r>
          </w:p>
          <w:p>
            <w:pPr>
              <w:pStyle w:val="TableParagraph"/>
              <w:spacing w:line="220" w:lineRule="exact" w:before="64"/>
              <w:ind w:left="104"/>
              <w:rPr>
                <w:sz w:val="21"/>
              </w:rPr>
            </w:pPr>
            <w:r>
              <w:rPr>
                <w:spacing w:val="-3"/>
                <w:sz w:val="21"/>
              </w:rPr>
              <w:t>充血性脾肿大伴脾功能亢进或食管胃底静脉曲张。</w:t>
            </w:r>
          </w:p>
        </w:tc>
      </w:tr>
    </w:tbl>
    <w:p>
      <w:pPr>
        <w:pStyle w:val="BodyText"/>
        <w:spacing w:before="92"/>
        <w:ind w:left="2608"/>
      </w:pPr>
      <w:r>
        <w:rPr>
          <w:rFonts w:ascii="黑体" w:eastAsia="黑体"/>
          <w:spacing w:val="-2"/>
        </w:rPr>
        <w:t>因酗酒或药物滥用导致的肝功能衰竭不在本合同所定义的重大疾病范围内</w:t>
      </w:r>
      <w:r>
        <w:rPr>
          <w:spacing w:val="-10"/>
        </w:rPr>
        <w:t>。</w:t>
      </w:r>
    </w:p>
    <w:p>
      <w:pPr>
        <w:pStyle w:val="BodyText"/>
        <w:spacing w:before="7"/>
        <w:rPr>
          <w:sz w:val="12"/>
        </w:rPr>
      </w:pPr>
    </w:p>
    <w:p>
      <w:pPr>
        <w:spacing w:after="0"/>
        <w:rPr>
          <w:sz w:val="12"/>
        </w:rPr>
        <w:sectPr>
          <w:pgSz w:w="11910" w:h="16850"/>
          <w:pgMar w:top="108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脑炎后遗症</w:t>
      </w:r>
    </w:p>
    <w:p>
      <w:pPr>
        <w:spacing w:line="242" w:lineRule="auto" w:before="5"/>
        <w:ind w:left="1139" w:right="0" w:firstLine="0"/>
        <w:jc w:val="left"/>
        <w:rPr>
          <w:b/>
          <w:sz w:val="21"/>
        </w:rPr>
      </w:pPr>
      <w:r>
        <w:rPr>
          <w:b/>
          <w:spacing w:val="-2"/>
          <w:sz w:val="21"/>
        </w:rPr>
        <w:t>或脑膜炎后</w:t>
      </w:r>
      <w:r>
        <w:rPr>
          <w:b/>
          <w:spacing w:val="-6"/>
          <w:sz w:val="21"/>
        </w:rPr>
        <w:t>遗症</w:t>
      </w:r>
    </w:p>
    <w:p>
      <w:pPr>
        <w:pStyle w:val="BodyText"/>
        <w:spacing w:line="244" w:lineRule="auto" w:before="72"/>
        <w:ind w:left="372" w:right="373"/>
      </w:pPr>
      <w:r>
        <w:rPr/>
        <w:br w:type="column"/>
      </w:r>
      <w:r>
        <w:rPr>
          <w:spacing w:val="-2"/>
        </w:rPr>
        <w:t>指因患脑炎或脑膜炎导致的神经系统永久性的功能障碍。神经系统永久性的功能障</w:t>
      </w:r>
      <w:r>
        <w:rPr>
          <w:spacing w:val="-2"/>
        </w:rPr>
        <w:t>碍，指疾病确诊 </w:t>
      </w:r>
      <w:r>
        <w:rPr/>
        <w:t>180 天后，仍遗留下列一种或一种以上障碍：</w:t>
      </w:r>
    </w:p>
    <w:p>
      <w:pPr>
        <w:pStyle w:val="ListParagraph"/>
        <w:numPr>
          <w:ilvl w:val="0"/>
          <w:numId w:val="18"/>
        </w:numPr>
        <w:tabs>
          <w:tab w:pos="1108" w:val="left" w:leader="none"/>
        </w:tabs>
        <w:spacing w:line="240" w:lineRule="auto" w:before="56" w:after="0"/>
        <w:ind w:left="1107" w:right="0" w:hanging="736"/>
        <w:jc w:val="left"/>
        <w:rPr>
          <w:sz w:val="21"/>
        </w:rPr>
      </w:pPr>
      <w:r>
        <w:rPr>
          <w:spacing w:val="-3"/>
          <w:sz w:val="21"/>
        </w:rPr>
        <w:t>一肢或一肢以上肢体机能完全丧失；</w:t>
      </w:r>
    </w:p>
    <w:p>
      <w:pPr>
        <w:pStyle w:val="ListParagraph"/>
        <w:numPr>
          <w:ilvl w:val="0"/>
          <w:numId w:val="18"/>
        </w:numPr>
        <w:tabs>
          <w:tab w:pos="1108" w:val="left" w:leader="none"/>
        </w:tabs>
        <w:spacing w:line="240" w:lineRule="auto" w:before="65" w:after="0"/>
        <w:ind w:left="1107" w:right="0" w:hanging="736"/>
        <w:jc w:val="left"/>
        <w:rPr>
          <w:sz w:val="21"/>
        </w:rPr>
      </w:pPr>
      <w:r>
        <w:rPr>
          <w:spacing w:val="-3"/>
          <w:sz w:val="21"/>
        </w:rPr>
        <w:t>语言能力或咀嚼吞咽能力完全丧失；</w:t>
      </w:r>
    </w:p>
    <w:p>
      <w:pPr>
        <w:pStyle w:val="ListParagraph"/>
        <w:numPr>
          <w:ilvl w:val="0"/>
          <w:numId w:val="18"/>
        </w:numPr>
        <w:tabs>
          <w:tab w:pos="1108" w:val="left" w:leader="none"/>
        </w:tabs>
        <w:spacing w:line="244" w:lineRule="auto" w:before="62" w:after="0"/>
        <w:ind w:left="1107" w:right="370" w:hanging="735"/>
        <w:jc w:val="left"/>
        <w:rPr>
          <w:sz w:val="21"/>
        </w:rPr>
      </w:pPr>
      <w:r>
        <w:rPr>
          <w:spacing w:val="-10"/>
          <w:sz w:val="21"/>
        </w:rPr>
        <w:t>自主生活能力完全丧失，无法独立完成六项基本日常生活活动中的三项或三</w:t>
      </w:r>
      <w:r>
        <w:rPr>
          <w:spacing w:val="-4"/>
          <w:sz w:val="21"/>
        </w:rPr>
        <w:t>项以上。</w:t>
      </w:r>
    </w:p>
    <w:p>
      <w:pPr>
        <w:spacing w:after="0" w:line="244" w:lineRule="auto"/>
        <w:jc w:val="left"/>
        <w:rPr>
          <w:sz w:val="21"/>
        </w:rPr>
        <w:sectPr>
          <w:type w:val="continuous"/>
          <w:pgSz w:w="11910" w:h="16850"/>
          <w:pgMar w:top="520" w:bottom="280" w:left="620" w:right="720"/>
          <w:cols w:num="2" w:equalWidth="0">
            <w:col w:w="2196" w:space="40"/>
            <w:col w:w="8334"/>
          </w:cols>
        </w:sectPr>
      </w:pPr>
    </w:p>
    <w:p>
      <w:pPr>
        <w:pStyle w:val="BodyText"/>
        <w:spacing w:before="1"/>
        <w:rPr>
          <w:sz w:val="12"/>
        </w:rPr>
      </w:pPr>
    </w:p>
    <w:p>
      <w:pPr>
        <w:pStyle w:val="ListParagraph"/>
        <w:numPr>
          <w:ilvl w:val="3"/>
          <w:numId w:val="4"/>
        </w:numPr>
        <w:tabs>
          <w:tab w:pos="1140" w:val="left" w:leader="none"/>
        </w:tabs>
        <w:spacing w:line="242" w:lineRule="auto" w:before="71" w:after="0"/>
        <w:ind w:left="2608" w:right="370" w:hanging="2130"/>
        <w:jc w:val="both"/>
        <w:rPr>
          <w:sz w:val="21"/>
        </w:rPr>
      </w:pPr>
      <w:r>
        <w:rPr>
          <w:b/>
          <w:spacing w:val="102"/>
          <w:sz w:val="21"/>
        </w:rPr>
        <w:t>深度昏迷 </w:t>
      </w:r>
      <w:r>
        <w:rPr>
          <w:sz w:val="21"/>
        </w:rPr>
        <w:t>指因疾病或意外伤害导致意识丧失，对外界刺激和体内需求均无反应，昏迷程度按</w:t>
      </w:r>
      <w:r>
        <w:rPr>
          <w:spacing w:val="-2"/>
          <w:sz w:val="21"/>
        </w:rPr>
        <w:t>照格拉斯哥昏迷分级（Glasgow</w:t>
      </w:r>
      <w:r>
        <w:rPr>
          <w:spacing w:val="-25"/>
          <w:sz w:val="21"/>
        </w:rPr>
        <w:t> </w:t>
      </w:r>
      <w:r>
        <w:rPr>
          <w:spacing w:val="-2"/>
          <w:sz w:val="21"/>
        </w:rPr>
        <w:t>coma</w:t>
      </w:r>
      <w:r>
        <w:rPr>
          <w:spacing w:val="-11"/>
          <w:sz w:val="21"/>
        </w:rPr>
        <w:t> </w:t>
      </w:r>
      <w:r>
        <w:rPr>
          <w:spacing w:val="-2"/>
          <w:sz w:val="21"/>
        </w:rPr>
        <w:t>scale）</w:t>
      </w:r>
      <w:r>
        <w:rPr>
          <w:spacing w:val="-8"/>
          <w:sz w:val="21"/>
        </w:rPr>
        <w:t>结果为 </w:t>
      </w:r>
      <w:r>
        <w:rPr>
          <w:spacing w:val="-2"/>
          <w:sz w:val="21"/>
        </w:rPr>
        <w:t>5</w:t>
      </w:r>
      <w:r>
        <w:rPr>
          <w:spacing w:val="-14"/>
          <w:sz w:val="21"/>
        </w:rPr>
        <w:t> 分或 </w:t>
      </w:r>
      <w:r>
        <w:rPr>
          <w:spacing w:val="-2"/>
          <w:sz w:val="21"/>
        </w:rPr>
        <w:t>5</w:t>
      </w:r>
      <w:r>
        <w:rPr>
          <w:spacing w:val="-7"/>
          <w:sz w:val="21"/>
        </w:rPr>
        <w:t> 分以下，且已经持续</w:t>
      </w:r>
      <w:r>
        <w:rPr>
          <w:spacing w:val="-2"/>
          <w:sz w:val="21"/>
        </w:rPr>
        <w:t>使用呼吸机及其它生命维持系统 </w:t>
      </w:r>
      <w:r>
        <w:rPr>
          <w:sz w:val="21"/>
        </w:rPr>
        <w:t>96</w:t>
      </w:r>
      <w:r>
        <w:rPr>
          <w:spacing w:val="-5"/>
          <w:sz w:val="21"/>
        </w:rPr>
        <w:t> 小时以上。</w:t>
      </w:r>
    </w:p>
    <w:p>
      <w:pPr>
        <w:pStyle w:val="BodyText"/>
        <w:spacing w:before="63"/>
        <w:ind w:left="2608"/>
        <w:rPr>
          <w:rFonts w:ascii="黑体" w:eastAsia="黑体"/>
        </w:rPr>
      </w:pPr>
      <w:r>
        <w:rPr>
          <w:rFonts w:ascii="黑体" w:eastAsia="黑体"/>
          <w:spacing w:val="-3"/>
        </w:rPr>
        <w:t>因酗酒或药物滥用导致的深度昏迷不在本合同所定义的重大疾病范围内。</w:t>
      </w:r>
    </w:p>
    <w:p>
      <w:pPr>
        <w:pStyle w:val="BodyText"/>
        <w:spacing w:before="2"/>
        <w:rPr>
          <w:rFonts w:ascii="黑体"/>
          <w:sz w:val="18"/>
        </w:rPr>
      </w:pPr>
    </w:p>
    <w:p>
      <w:pPr>
        <w:pStyle w:val="ListParagraph"/>
        <w:numPr>
          <w:ilvl w:val="3"/>
          <w:numId w:val="4"/>
        </w:numPr>
        <w:tabs>
          <w:tab w:pos="1140" w:val="left" w:leader="none"/>
        </w:tabs>
        <w:spacing w:line="242" w:lineRule="auto" w:before="0" w:after="0"/>
        <w:ind w:left="2608" w:right="370" w:hanging="2130"/>
        <w:jc w:val="both"/>
        <w:rPr>
          <w:sz w:val="21"/>
        </w:rPr>
      </w:pPr>
      <w:r>
        <w:rPr>
          <w:b/>
          <w:spacing w:val="71"/>
          <w:sz w:val="21"/>
        </w:rPr>
        <w:t>双耳失聪 </w:t>
      </w:r>
      <w:r>
        <w:rPr>
          <w:sz w:val="21"/>
        </w:rPr>
        <w:t>指因疾病或意外伤害导致双耳听力</w:t>
      </w:r>
      <w:r>
        <w:rPr>
          <w:b/>
          <w:spacing w:val="-13"/>
          <w:sz w:val="21"/>
        </w:rPr>
        <w:t>永久不可逆</w:t>
      </w:r>
      <w:r>
        <w:rPr>
          <w:sz w:val="21"/>
        </w:rPr>
        <w:t>（</w:t>
      </w:r>
      <w:r>
        <w:rPr>
          <w:spacing w:val="-14"/>
          <w:sz w:val="21"/>
        </w:rPr>
        <w:t>见 </w:t>
      </w:r>
      <w:r>
        <w:rPr>
          <w:sz w:val="21"/>
        </w:rPr>
        <w:t>8.52）</w:t>
      </w:r>
      <w:r>
        <w:rPr>
          <w:spacing w:val="-16"/>
          <w:sz w:val="21"/>
        </w:rPr>
        <w:t>性丧失，在 </w:t>
      </w:r>
      <w:r>
        <w:rPr>
          <w:sz w:val="21"/>
        </w:rPr>
        <w:t>500</w:t>
      </w:r>
      <w:r>
        <w:rPr>
          <w:spacing w:val="-23"/>
          <w:sz w:val="21"/>
        </w:rPr>
        <w:t> 赫兹、</w:t>
      </w:r>
      <w:r>
        <w:rPr>
          <w:sz w:val="21"/>
        </w:rPr>
        <w:t>1000</w:t>
      </w:r>
      <w:r>
        <w:rPr>
          <w:w w:val="95"/>
          <w:sz w:val="21"/>
        </w:rPr>
        <w:t>赫兹和</w:t>
      </w:r>
      <w:r>
        <w:rPr>
          <w:sz w:val="21"/>
        </w:rPr>
        <w:t> </w:t>
      </w:r>
      <w:r>
        <w:rPr>
          <w:w w:val="95"/>
          <w:sz w:val="21"/>
        </w:rPr>
        <w:t>2000</w:t>
      </w:r>
      <w:r>
        <w:rPr>
          <w:sz w:val="21"/>
        </w:rPr>
        <w:t> </w:t>
      </w:r>
      <w:r>
        <w:rPr>
          <w:w w:val="95"/>
          <w:sz w:val="21"/>
        </w:rPr>
        <w:t>赫兹语音频率</w:t>
      </w:r>
      <w:r>
        <w:rPr>
          <w:w w:val="95"/>
          <w:sz w:val="21"/>
        </w:rPr>
        <w:t>下</w:t>
      </w:r>
      <w:r>
        <w:rPr>
          <w:w w:val="95"/>
          <w:sz w:val="21"/>
        </w:rPr>
        <w:t>，平均听阈大于</w:t>
      </w:r>
      <w:r>
        <w:rPr>
          <w:sz w:val="21"/>
        </w:rPr>
        <w:t> </w:t>
      </w:r>
      <w:r>
        <w:rPr>
          <w:w w:val="95"/>
          <w:sz w:val="21"/>
        </w:rPr>
        <w:t>90</w:t>
      </w:r>
      <w:r>
        <w:rPr>
          <w:sz w:val="21"/>
        </w:rPr>
        <w:t> </w:t>
      </w:r>
      <w:r>
        <w:rPr>
          <w:w w:val="95"/>
          <w:sz w:val="21"/>
        </w:rPr>
        <w:t>分贝，</w:t>
      </w:r>
      <w:r>
        <w:rPr>
          <w:w w:val="95"/>
          <w:sz w:val="21"/>
        </w:rPr>
        <w:t>且</w:t>
      </w:r>
      <w:r>
        <w:rPr>
          <w:w w:val="95"/>
          <w:sz w:val="21"/>
        </w:rPr>
        <w:t>经纯音听力测试、声</w:t>
      </w:r>
      <w:r>
        <w:rPr>
          <w:w w:val="95"/>
          <w:sz w:val="21"/>
        </w:rPr>
        <w:t>导</w:t>
      </w:r>
      <w:r>
        <w:rPr>
          <w:w w:val="95"/>
          <w:sz w:val="21"/>
        </w:rPr>
        <w:t>抗</w:t>
      </w:r>
      <w:r>
        <w:rPr>
          <w:spacing w:val="-2"/>
          <w:sz w:val="21"/>
        </w:rPr>
        <w:t>检测或听觉诱发电位检测等证实。</w:t>
      </w:r>
    </w:p>
    <w:p>
      <w:pPr>
        <w:pStyle w:val="BodyText"/>
        <w:spacing w:line="244" w:lineRule="auto" w:before="62"/>
        <w:ind w:left="2608" w:right="373"/>
        <w:rPr>
          <w:rFonts w:ascii="黑体" w:eastAsia="黑体"/>
        </w:rPr>
      </w:pPr>
      <w:r>
        <w:rPr>
          <w:rFonts w:ascii="黑体" w:eastAsia="黑体"/>
        </w:rPr>
        <w:t>被保险人在 3 周岁之前因疾病导致的双耳失聪不在本合同所定义的重大疾病范围</w:t>
      </w:r>
      <w:r>
        <w:rPr>
          <w:rFonts w:ascii="黑体" w:eastAsia="黑体"/>
          <w:spacing w:val="-6"/>
        </w:rPr>
        <w:t>内。</w:t>
      </w:r>
    </w:p>
    <w:p>
      <w:pPr>
        <w:pStyle w:val="BodyText"/>
        <w:spacing w:before="8"/>
        <w:rPr>
          <w:rFonts w:ascii="黑体"/>
          <w:sz w:val="17"/>
        </w:rPr>
      </w:pPr>
    </w:p>
    <w:p>
      <w:pPr>
        <w:pStyle w:val="ListParagraph"/>
        <w:numPr>
          <w:ilvl w:val="3"/>
          <w:numId w:val="4"/>
        </w:numPr>
        <w:tabs>
          <w:tab w:pos="1140" w:val="left" w:leader="none"/>
          <w:tab w:pos="2608" w:val="left" w:leader="none"/>
        </w:tabs>
        <w:spacing w:line="244" w:lineRule="auto" w:before="0" w:after="0"/>
        <w:ind w:left="2608" w:right="373" w:hanging="2130"/>
        <w:jc w:val="left"/>
        <w:rPr>
          <w:sz w:val="21"/>
        </w:rPr>
      </w:pPr>
      <w:r>
        <w:rPr>
          <w:b/>
          <w:spacing w:val="-4"/>
          <w:sz w:val="21"/>
        </w:rPr>
        <w:t>双</w:t>
      </w:r>
      <w:r>
        <w:rPr>
          <w:b/>
          <w:spacing w:val="-4"/>
          <w:sz w:val="21"/>
        </w:rPr>
        <w:t>目</w:t>
      </w:r>
      <w:r>
        <w:rPr>
          <w:b/>
          <w:spacing w:val="-4"/>
          <w:sz w:val="21"/>
        </w:rPr>
        <w:t>失</w:t>
      </w:r>
      <w:r>
        <w:rPr>
          <w:b/>
          <w:spacing w:val="-4"/>
          <w:sz w:val="21"/>
        </w:rPr>
        <w:t>明</w:t>
      </w:r>
      <w:r>
        <w:rPr>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意</w:t>
      </w:r>
      <w:r>
        <w:rPr>
          <w:spacing w:val="-2"/>
          <w:sz w:val="21"/>
        </w:rPr>
        <w:t>外</w:t>
      </w:r>
      <w:r>
        <w:rPr>
          <w:spacing w:val="-2"/>
          <w:sz w:val="21"/>
        </w:rPr>
        <w:t>伤</w:t>
      </w:r>
      <w:r>
        <w:rPr>
          <w:spacing w:val="-2"/>
          <w:sz w:val="21"/>
        </w:rPr>
        <w:t>害导致</w:t>
      </w:r>
      <w:r>
        <w:rPr>
          <w:spacing w:val="-2"/>
          <w:sz w:val="21"/>
        </w:rPr>
        <w:t>双</w:t>
      </w:r>
      <w:r>
        <w:rPr>
          <w:spacing w:val="-2"/>
          <w:sz w:val="21"/>
        </w:rPr>
        <w:t>眼</w:t>
      </w:r>
      <w:r>
        <w:rPr>
          <w:spacing w:val="-2"/>
          <w:sz w:val="21"/>
        </w:rPr>
        <w:t>视</w:t>
      </w:r>
      <w:r>
        <w:rPr>
          <w:spacing w:val="-2"/>
          <w:sz w:val="21"/>
        </w:rPr>
        <w:t>力</w:t>
      </w:r>
      <w:r>
        <w:rPr>
          <w:spacing w:val="-2"/>
          <w:sz w:val="21"/>
        </w:rPr>
        <w:t>永</w:t>
      </w:r>
      <w:r>
        <w:rPr>
          <w:spacing w:val="-2"/>
          <w:sz w:val="21"/>
        </w:rPr>
        <w:t>久</w:t>
      </w:r>
      <w:r>
        <w:rPr>
          <w:spacing w:val="-2"/>
          <w:sz w:val="21"/>
        </w:rPr>
        <w:t>不</w:t>
      </w:r>
      <w:r>
        <w:rPr>
          <w:spacing w:val="-2"/>
          <w:sz w:val="21"/>
        </w:rPr>
        <w:t>可</w:t>
      </w:r>
      <w:r>
        <w:rPr>
          <w:spacing w:val="-2"/>
          <w:sz w:val="21"/>
        </w:rPr>
        <w:t>逆性丧</w:t>
      </w:r>
      <w:r>
        <w:rPr>
          <w:spacing w:val="-2"/>
          <w:sz w:val="21"/>
        </w:rPr>
        <w:t>失</w:t>
      </w:r>
      <w:r>
        <w:rPr>
          <w:spacing w:val="-2"/>
          <w:sz w:val="21"/>
        </w:rPr>
        <w:t>，</w:t>
      </w:r>
      <w:r>
        <w:rPr>
          <w:spacing w:val="-2"/>
          <w:sz w:val="21"/>
        </w:rPr>
        <w:t>双</w:t>
      </w:r>
      <w:r>
        <w:rPr>
          <w:spacing w:val="-2"/>
          <w:sz w:val="21"/>
        </w:rPr>
        <w:t>眼</w:t>
      </w:r>
      <w:r>
        <w:rPr>
          <w:spacing w:val="-2"/>
          <w:sz w:val="21"/>
        </w:rPr>
        <w:t>中</w:t>
      </w:r>
      <w:r>
        <w:rPr>
          <w:spacing w:val="-2"/>
          <w:sz w:val="21"/>
        </w:rPr>
        <w:t>较</w:t>
      </w:r>
      <w:r>
        <w:rPr>
          <w:spacing w:val="-2"/>
          <w:sz w:val="21"/>
        </w:rPr>
        <w:t>好</w:t>
      </w:r>
      <w:r>
        <w:rPr>
          <w:spacing w:val="-2"/>
          <w:sz w:val="21"/>
        </w:rPr>
        <w:t>眼</w:t>
      </w:r>
      <w:r>
        <w:rPr>
          <w:spacing w:val="-2"/>
          <w:sz w:val="21"/>
        </w:rPr>
        <w:t>须满足</w:t>
      </w:r>
      <w:r>
        <w:rPr>
          <w:spacing w:val="-2"/>
          <w:sz w:val="21"/>
        </w:rPr>
        <w:t>下</w:t>
      </w:r>
      <w:r>
        <w:rPr>
          <w:spacing w:val="-2"/>
          <w:sz w:val="21"/>
        </w:rPr>
        <w:t>列</w:t>
      </w:r>
      <w:r>
        <w:rPr>
          <w:spacing w:val="-2"/>
          <w:sz w:val="21"/>
        </w:rPr>
        <w:t>至</w:t>
      </w:r>
      <w:r>
        <w:rPr>
          <w:spacing w:val="-2"/>
          <w:sz w:val="21"/>
        </w:rPr>
        <w:t>少</w:t>
      </w:r>
      <w:r>
        <w:rPr>
          <w:spacing w:val="-2"/>
          <w:sz w:val="21"/>
        </w:rPr>
        <w:t>一</w:t>
      </w:r>
      <w:r>
        <w:rPr>
          <w:spacing w:val="-2"/>
          <w:sz w:val="21"/>
        </w:rPr>
        <w:t>项条件：</w:t>
      </w:r>
    </w:p>
    <w:p>
      <w:pPr>
        <w:pStyle w:val="ListParagraph"/>
        <w:numPr>
          <w:ilvl w:val="0"/>
          <w:numId w:val="19"/>
        </w:numPr>
        <w:tabs>
          <w:tab w:pos="3343" w:val="left" w:leader="none"/>
        </w:tabs>
        <w:spacing w:line="240" w:lineRule="auto" w:before="56" w:after="0"/>
        <w:ind w:left="3342" w:right="0" w:hanging="735"/>
        <w:jc w:val="left"/>
        <w:rPr>
          <w:sz w:val="21"/>
        </w:rPr>
      </w:pPr>
      <w:r>
        <w:rPr>
          <w:spacing w:val="-4"/>
          <w:sz w:val="21"/>
        </w:rPr>
        <w:t>眼球缺失或摘除；</w:t>
      </w:r>
    </w:p>
    <w:p>
      <w:pPr>
        <w:pStyle w:val="ListParagraph"/>
        <w:numPr>
          <w:ilvl w:val="0"/>
          <w:numId w:val="19"/>
        </w:numPr>
        <w:tabs>
          <w:tab w:pos="3343" w:val="left" w:leader="none"/>
        </w:tabs>
        <w:spacing w:line="244" w:lineRule="auto" w:before="62" w:after="0"/>
        <w:ind w:left="3342" w:right="371" w:hanging="735"/>
        <w:jc w:val="left"/>
        <w:rPr>
          <w:sz w:val="21"/>
        </w:rPr>
      </w:pPr>
      <w:r>
        <w:rPr>
          <w:spacing w:val="-2"/>
          <w:sz w:val="21"/>
        </w:rPr>
        <w:t>矫正视力低于 </w:t>
      </w:r>
      <w:r>
        <w:rPr>
          <w:sz w:val="21"/>
        </w:rPr>
        <w:t>0.02（采用国际标准视力表，如果使用其它视力表应进行换</w:t>
      </w:r>
      <w:r>
        <w:rPr>
          <w:spacing w:val="-10"/>
          <w:sz w:val="21"/>
        </w:rPr>
        <w:t>算</w:t>
      </w:r>
      <w:r>
        <w:rPr>
          <w:spacing w:val="-106"/>
          <w:sz w:val="21"/>
        </w:rPr>
        <w:t>）</w:t>
      </w:r>
      <w:r>
        <w:rPr>
          <w:sz w:val="21"/>
        </w:rPr>
        <w:t>；</w:t>
      </w:r>
    </w:p>
    <w:p>
      <w:pPr>
        <w:pStyle w:val="ListParagraph"/>
        <w:numPr>
          <w:ilvl w:val="0"/>
          <w:numId w:val="19"/>
        </w:numPr>
        <w:tabs>
          <w:tab w:pos="3343" w:val="left" w:leader="none"/>
        </w:tabs>
        <w:spacing w:line="240" w:lineRule="auto" w:before="56" w:after="0"/>
        <w:ind w:left="3342" w:right="0" w:hanging="735"/>
        <w:jc w:val="left"/>
        <w:rPr>
          <w:sz w:val="21"/>
        </w:rPr>
      </w:pPr>
      <w:r>
        <w:rPr>
          <w:spacing w:val="-9"/>
          <w:sz w:val="21"/>
        </w:rPr>
        <w:t>视野半径小于 </w:t>
      </w:r>
      <w:r>
        <w:rPr>
          <w:spacing w:val="-2"/>
          <w:sz w:val="21"/>
        </w:rPr>
        <w:t>5</w:t>
      </w:r>
      <w:r>
        <w:rPr>
          <w:spacing w:val="-21"/>
          <w:sz w:val="21"/>
        </w:rPr>
        <w:t> 度。</w:t>
      </w:r>
    </w:p>
    <w:p>
      <w:pPr>
        <w:pStyle w:val="BodyText"/>
        <w:spacing w:line="242" w:lineRule="auto" w:before="65"/>
        <w:ind w:left="2608" w:right="373"/>
        <w:rPr>
          <w:rFonts w:ascii="黑体" w:eastAsia="黑体"/>
        </w:rPr>
      </w:pPr>
      <w:r>
        <w:rPr>
          <w:rFonts w:ascii="黑体" w:eastAsia="黑体"/>
        </w:rPr>
        <w:t>被保险人在 3 周岁之前因疾病导致的双目失明不在本合同所定义的重大疾病范围</w:t>
      </w:r>
      <w:r>
        <w:rPr>
          <w:rFonts w:ascii="黑体" w:eastAsia="黑体"/>
          <w:spacing w:val="-6"/>
        </w:rPr>
        <w:t>内。</w:t>
      </w:r>
    </w:p>
    <w:p>
      <w:pPr>
        <w:pStyle w:val="BodyText"/>
        <w:spacing w:before="1"/>
        <w:rPr>
          <w:rFonts w:ascii="黑体"/>
          <w:sz w:val="18"/>
        </w:rPr>
      </w:pPr>
    </w:p>
    <w:p>
      <w:pPr>
        <w:pStyle w:val="ListParagraph"/>
        <w:numPr>
          <w:ilvl w:val="3"/>
          <w:numId w:val="4"/>
        </w:numPr>
        <w:tabs>
          <w:tab w:pos="1140" w:val="left" w:leader="none"/>
        </w:tabs>
        <w:spacing w:line="242" w:lineRule="auto" w:before="0" w:after="0"/>
        <w:ind w:left="2608" w:right="370" w:hanging="2130"/>
        <w:jc w:val="both"/>
        <w:rPr>
          <w:sz w:val="21"/>
        </w:rPr>
      </w:pPr>
      <w:r>
        <w:rPr>
          <w:b/>
          <w:sz w:val="21"/>
        </w:rPr>
        <w:t>瘫痪</w:t>
      </w:r>
      <w:r>
        <w:rPr>
          <w:b/>
          <w:spacing w:val="932"/>
          <w:sz w:val="21"/>
        </w:rPr>
        <w:t> </w:t>
      </w:r>
      <w:r>
        <w:rPr>
          <w:sz w:val="21"/>
        </w:rPr>
        <w:t>指因疾病或意外伤害导致两肢或两肢以上肢体机能永久完全丧失。肢体机能永久完</w:t>
      </w:r>
      <w:r>
        <w:rPr>
          <w:w w:val="95"/>
          <w:sz w:val="21"/>
        </w:rPr>
        <w:t>全</w:t>
      </w:r>
      <w:r>
        <w:rPr>
          <w:w w:val="95"/>
          <w:sz w:val="21"/>
        </w:rPr>
        <w:t>丧</w:t>
      </w:r>
      <w:r>
        <w:rPr>
          <w:w w:val="95"/>
          <w:sz w:val="21"/>
        </w:rPr>
        <w:t>失，指疾病</w:t>
      </w:r>
      <w:r>
        <w:rPr>
          <w:w w:val="95"/>
          <w:sz w:val="21"/>
        </w:rPr>
        <w:t>确</w:t>
      </w:r>
      <w:r>
        <w:rPr>
          <w:w w:val="95"/>
          <w:sz w:val="21"/>
        </w:rPr>
        <w:t>诊</w:t>
      </w:r>
      <w:r>
        <w:rPr>
          <w:sz w:val="21"/>
        </w:rPr>
        <w:t> </w:t>
      </w:r>
      <w:r>
        <w:rPr>
          <w:w w:val="95"/>
          <w:sz w:val="21"/>
        </w:rPr>
        <w:t>180</w:t>
      </w:r>
      <w:r>
        <w:rPr>
          <w:sz w:val="21"/>
        </w:rPr>
        <w:t> </w:t>
      </w:r>
      <w:r>
        <w:rPr>
          <w:w w:val="95"/>
          <w:sz w:val="21"/>
        </w:rPr>
        <w:t>天</w:t>
      </w:r>
      <w:r>
        <w:rPr>
          <w:w w:val="95"/>
          <w:sz w:val="21"/>
        </w:rPr>
        <w:t>后</w:t>
      </w:r>
      <w:r>
        <w:rPr>
          <w:w w:val="95"/>
          <w:sz w:val="21"/>
        </w:rPr>
        <w:t>或意外伤害</w:t>
      </w:r>
      <w:r>
        <w:rPr>
          <w:w w:val="95"/>
          <w:sz w:val="21"/>
        </w:rPr>
        <w:t>发</w:t>
      </w:r>
      <w:r>
        <w:rPr>
          <w:w w:val="95"/>
          <w:sz w:val="21"/>
        </w:rPr>
        <w:t>生</w:t>
      </w:r>
      <w:r>
        <w:rPr>
          <w:sz w:val="21"/>
        </w:rPr>
        <w:t> </w:t>
      </w:r>
      <w:r>
        <w:rPr>
          <w:w w:val="95"/>
          <w:sz w:val="21"/>
        </w:rPr>
        <w:t>180</w:t>
      </w:r>
      <w:r>
        <w:rPr>
          <w:sz w:val="21"/>
        </w:rPr>
        <w:t> </w:t>
      </w:r>
      <w:r>
        <w:rPr>
          <w:w w:val="95"/>
          <w:sz w:val="21"/>
        </w:rPr>
        <w:t>天</w:t>
      </w:r>
      <w:r>
        <w:rPr>
          <w:w w:val="95"/>
          <w:sz w:val="21"/>
        </w:rPr>
        <w:t>后</w:t>
      </w:r>
      <w:r>
        <w:rPr>
          <w:w w:val="95"/>
          <w:sz w:val="21"/>
        </w:rPr>
        <w:t>，每肢三大关节中的两大关</w:t>
      </w:r>
      <w:r>
        <w:rPr>
          <w:spacing w:val="-2"/>
          <w:sz w:val="21"/>
        </w:rPr>
        <w:t>节仍然完全僵硬，或不能随意识活动。</w:t>
      </w: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61"/>
        <w:jc w:val="left"/>
      </w:pPr>
      <w:r>
        <w:rPr>
          <w:spacing w:val="-2"/>
        </w:rPr>
        <w:t>心脏瓣膜手</w:t>
      </w:r>
      <w:r>
        <w:rPr>
          <w:spacing w:val="-10"/>
        </w:rPr>
        <w:t>术</w:t>
      </w:r>
    </w:p>
    <w:p>
      <w:pPr>
        <w:pStyle w:val="BodyText"/>
        <w:spacing w:before="72"/>
        <w:ind w:left="372"/>
      </w:pPr>
      <w:r>
        <w:rPr/>
        <w:br w:type="column"/>
      </w:r>
      <w:r>
        <w:rPr>
          <w:spacing w:val="-3"/>
        </w:rPr>
        <w:t>指为治疗心脏瓣膜疾病，实际实施了开胸进行的心脏瓣膜置换或修复的手术。</w:t>
      </w:r>
    </w:p>
    <w:p>
      <w:pPr>
        <w:spacing w:after="0"/>
        <w:sectPr>
          <w:type w:val="continuous"/>
          <w:pgSz w:w="11910" w:h="16850"/>
          <w:pgMar w:top="520" w:bottom="280" w:left="620" w:right="720"/>
          <w:cols w:num="2" w:equalWidth="0">
            <w:col w:w="2196" w:space="40"/>
            <w:col w:w="8334"/>
          </w:cols>
        </w:sectPr>
      </w:pP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严重阿尔茨</w:t>
      </w:r>
    </w:p>
    <w:p>
      <w:pPr>
        <w:spacing w:before="2"/>
        <w:ind w:left="1139" w:right="0" w:firstLine="0"/>
        <w:jc w:val="left"/>
        <w:rPr>
          <w:b/>
          <w:sz w:val="21"/>
        </w:rPr>
      </w:pPr>
      <w:r>
        <w:rPr>
          <w:b/>
          <w:spacing w:val="-4"/>
          <w:sz w:val="21"/>
        </w:rPr>
        <w:t>海默病</w:t>
      </w:r>
    </w:p>
    <w:p>
      <w:pPr>
        <w:pStyle w:val="BodyText"/>
        <w:spacing w:line="242" w:lineRule="auto" w:before="72"/>
        <w:ind w:left="372" w:right="372"/>
        <w:jc w:val="both"/>
      </w:pPr>
      <w:r>
        <w:rPr/>
        <w:br w:type="column"/>
      </w:r>
      <w:r>
        <w:rPr>
          <w:spacing w:val="-2"/>
        </w:rPr>
        <w:t>指因大脑进行性、不可逆性改变导致智能严重衰退或丧失，临床表现为明显的认知</w:t>
      </w:r>
      <w:r>
        <w:rPr>
          <w:spacing w:val="-2"/>
        </w:rPr>
        <w:t>能力障碍、行为异常和社交能力减退，其日常生活必须持续受到他人监护。须由头</w:t>
      </w:r>
      <w:r>
        <w:rPr>
          <w:spacing w:val="-2"/>
        </w:rPr>
        <w:t>颅断层扫描（CT）、核磁共振检查（MRI）或正电子发射断层扫描（PET）等影像学</w:t>
      </w:r>
      <w:r>
        <w:rPr>
          <w:spacing w:val="-3"/>
        </w:rPr>
        <w:t>检查证实，且自主生活能力完全丧失，无法独立完成六项基本日常生活活动中的三</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53"/>
        <w:ind w:left="2608"/>
      </w:pPr>
      <w:r>
        <w:rPr>
          <w:spacing w:val="-4"/>
        </w:rPr>
        <w:t>项或三项以上。</w:t>
      </w:r>
    </w:p>
    <w:p>
      <w:pPr>
        <w:pStyle w:val="BodyText"/>
        <w:spacing w:before="64"/>
        <w:ind w:left="2608"/>
        <w:rPr>
          <w:rFonts w:ascii="黑体" w:eastAsia="黑体"/>
        </w:rPr>
      </w:pPr>
      <w:r>
        <w:rPr>
          <w:rFonts w:ascii="黑体" w:eastAsia="黑体"/>
          <w:spacing w:val="-3"/>
        </w:rPr>
        <w:t>神经官能症和精神疾病不在本合同所定义的重大疾病范围内。</w:t>
      </w:r>
    </w:p>
    <w:p>
      <w:pPr>
        <w:pStyle w:val="BodyText"/>
        <w:spacing w:before="3"/>
        <w:rPr>
          <w:rFonts w:ascii="黑体"/>
          <w:sz w:val="18"/>
        </w:rPr>
      </w:pPr>
    </w:p>
    <w:p>
      <w:pPr>
        <w:pStyle w:val="ListParagraph"/>
        <w:numPr>
          <w:ilvl w:val="3"/>
          <w:numId w:val="4"/>
        </w:numPr>
        <w:tabs>
          <w:tab w:pos="1140" w:val="left" w:leader="none"/>
          <w:tab w:pos="2608" w:val="left" w:leader="none"/>
        </w:tabs>
        <w:spacing w:line="242" w:lineRule="auto" w:before="0" w:after="0"/>
        <w:ind w:left="2608" w:right="265" w:hanging="2130"/>
        <w:jc w:val="left"/>
        <w:rPr>
          <w:sz w:val="21"/>
        </w:rPr>
      </w:pPr>
      <w:r>
        <w:rPr>
          <w:b/>
          <w:spacing w:val="-2"/>
          <w:sz w:val="21"/>
        </w:rPr>
        <w:t>严</w:t>
      </w:r>
      <w:r>
        <w:rPr>
          <w:b/>
          <w:spacing w:val="-2"/>
          <w:sz w:val="21"/>
        </w:rPr>
        <w:t>重</w:t>
      </w:r>
      <w:r>
        <w:rPr>
          <w:b/>
          <w:spacing w:val="-2"/>
          <w:sz w:val="21"/>
        </w:rPr>
        <w:t>脑</w:t>
      </w:r>
      <w:r>
        <w:rPr>
          <w:b/>
          <w:spacing w:val="-2"/>
          <w:sz w:val="21"/>
        </w:rPr>
        <w:t>损</w:t>
      </w:r>
      <w:r>
        <w:rPr>
          <w:b/>
          <w:spacing w:val="-2"/>
          <w:sz w:val="21"/>
        </w:rPr>
        <w:t>伤</w:t>
      </w:r>
      <w:r>
        <w:rPr>
          <w:b/>
          <w:sz w:val="21"/>
        </w:rPr>
        <w:tab/>
      </w:r>
      <w:r>
        <w:rPr>
          <w:spacing w:val="-4"/>
          <w:sz w:val="21"/>
        </w:rPr>
        <w:t>指</w:t>
      </w:r>
      <w:r>
        <w:rPr>
          <w:spacing w:val="-4"/>
          <w:sz w:val="21"/>
        </w:rPr>
        <w:t>因</w:t>
      </w:r>
      <w:r>
        <w:rPr>
          <w:spacing w:val="-4"/>
          <w:sz w:val="21"/>
        </w:rPr>
        <w:t>头部遭受机械性外力，引起脑重要部位损伤，导</w:t>
      </w:r>
      <w:r>
        <w:rPr>
          <w:spacing w:val="-4"/>
          <w:sz w:val="21"/>
        </w:rPr>
        <w:t>致</w:t>
      </w:r>
      <w:r>
        <w:rPr>
          <w:spacing w:val="-4"/>
          <w:sz w:val="21"/>
        </w:rPr>
        <w:t>神</w:t>
      </w:r>
      <w:r>
        <w:rPr>
          <w:spacing w:val="-4"/>
          <w:sz w:val="21"/>
        </w:rPr>
        <w:t>经系统永久性的功能障碍。</w:t>
      </w:r>
      <w:r>
        <w:rPr>
          <w:spacing w:val="-2"/>
          <w:sz w:val="21"/>
        </w:rPr>
        <w:t>须</w:t>
      </w:r>
      <w:r>
        <w:rPr>
          <w:spacing w:val="-2"/>
          <w:sz w:val="21"/>
        </w:rPr>
        <w:t>由</w:t>
      </w:r>
      <w:r>
        <w:rPr>
          <w:spacing w:val="-2"/>
          <w:sz w:val="21"/>
        </w:rPr>
        <w:t>头颅断层扫描</w:t>
      </w:r>
      <w:r>
        <w:rPr>
          <w:spacing w:val="22"/>
          <w:sz w:val="21"/>
        </w:rPr>
        <w:t>（</w:t>
      </w:r>
      <w:r>
        <w:rPr>
          <w:spacing w:val="25"/>
          <w:sz w:val="21"/>
        </w:rPr>
        <w:t>CT</w:t>
      </w:r>
      <w:r>
        <w:rPr>
          <w:spacing w:val="-81"/>
          <w:sz w:val="21"/>
        </w:rPr>
        <w:t>）</w:t>
      </w:r>
      <w:r>
        <w:rPr>
          <w:spacing w:val="-2"/>
          <w:sz w:val="21"/>
        </w:rPr>
        <w:t>、</w:t>
      </w:r>
      <w:r>
        <w:rPr>
          <w:spacing w:val="-2"/>
          <w:sz w:val="21"/>
        </w:rPr>
        <w:t>核</w:t>
      </w:r>
      <w:r>
        <w:rPr>
          <w:spacing w:val="-2"/>
          <w:sz w:val="21"/>
        </w:rPr>
        <w:t>磁</w:t>
      </w:r>
      <w:r>
        <w:rPr>
          <w:spacing w:val="-2"/>
          <w:sz w:val="21"/>
        </w:rPr>
        <w:t>共振检查（MRI）或正</w:t>
      </w:r>
      <w:r>
        <w:rPr>
          <w:spacing w:val="-2"/>
          <w:sz w:val="21"/>
        </w:rPr>
        <w:t>电</w:t>
      </w:r>
      <w:r>
        <w:rPr>
          <w:spacing w:val="-2"/>
          <w:sz w:val="21"/>
        </w:rPr>
        <w:t>子</w:t>
      </w:r>
      <w:r>
        <w:rPr>
          <w:spacing w:val="-2"/>
          <w:sz w:val="21"/>
        </w:rPr>
        <w:t>发射断层扫描（PET）等影</w:t>
      </w:r>
      <w:r>
        <w:rPr>
          <w:sz w:val="21"/>
        </w:rPr>
        <w:t>像学检查证实。神经系统</w:t>
      </w:r>
      <w:r>
        <w:rPr>
          <w:sz w:val="21"/>
        </w:rPr>
        <w:t>永久性的功能障碍，指脑</w:t>
      </w:r>
      <w:r>
        <w:rPr>
          <w:sz w:val="21"/>
        </w:rPr>
        <w:t>损伤</w:t>
      </w:r>
      <w:r>
        <w:rPr>
          <w:spacing w:val="-5"/>
          <w:sz w:val="21"/>
        </w:rPr>
        <w:t> </w:t>
      </w:r>
      <w:r>
        <w:rPr>
          <w:sz w:val="21"/>
        </w:rPr>
        <w:t>180</w:t>
      </w:r>
      <w:r>
        <w:rPr>
          <w:spacing w:val="-5"/>
          <w:sz w:val="21"/>
        </w:rPr>
        <w:t> </w:t>
      </w:r>
      <w:r>
        <w:rPr>
          <w:sz w:val="21"/>
        </w:rPr>
        <w:t>天后，仍遗留下列一种</w:t>
      </w:r>
      <w:r>
        <w:rPr>
          <w:spacing w:val="-2"/>
          <w:sz w:val="21"/>
        </w:rPr>
        <w:t>或</w:t>
      </w:r>
      <w:r>
        <w:rPr>
          <w:spacing w:val="-2"/>
          <w:sz w:val="21"/>
        </w:rPr>
        <w:t>一</w:t>
      </w:r>
      <w:r>
        <w:rPr>
          <w:spacing w:val="-2"/>
          <w:sz w:val="21"/>
        </w:rPr>
        <w:t>种以上障碍：</w:t>
      </w:r>
    </w:p>
    <w:p>
      <w:pPr>
        <w:pStyle w:val="ListParagraph"/>
        <w:numPr>
          <w:ilvl w:val="0"/>
          <w:numId w:val="20"/>
        </w:numPr>
        <w:tabs>
          <w:tab w:pos="3343" w:val="left" w:leader="none"/>
        </w:tabs>
        <w:spacing w:line="240" w:lineRule="auto" w:before="62" w:after="0"/>
        <w:ind w:left="3342" w:right="0" w:hanging="735"/>
        <w:jc w:val="left"/>
        <w:rPr>
          <w:sz w:val="21"/>
        </w:rPr>
      </w:pPr>
      <w:r>
        <w:rPr>
          <w:spacing w:val="-3"/>
          <w:sz w:val="21"/>
        </w:rPr>
        <w:t>一肢或一肢以上肢体机能完全丧失；</w:t>
      </w:r>
    </w:p>
    <w:p>
      <w:pPr>
        <w:pStyle w:val="ListParagraph"/>
        <w:numPr>
          <w:ilvl w:val="0"/>
          <w:numId w:val="20"/>
        </w:numPr>
        <w:tabs>
          <w:tab w:pos="3343" w:val="left" w:leader="none"/>
        </w:tabs>
        <w:spacing w:line="240" w:lineRule="auto" w:before="65" w:after="0"/>
        <w:ind w:left="3342" w:right="0" w:hanging="735"/>
        <w:jc w:val="left"/>
        <w:rPr>
          <w:sz w:val="21"/>
        </w:rPr>
      </w:pPr>
      <w:r>
        <w:rPr>
          <w:spacing w:val="-3"/>
          <w:sz w:val="21"/>
        </w:rPr>
        <w:t>语言能力或咀嚼吞咽能力完全丧失；</w:t>
      </w:r>
    </w:p>
    <w:p>
      <w:pPr>
        <w:pStyle w:val="ListParagraph"/>
        <w:numPr>
          <w:ilvl w:val="0"/>
          <w:numId w:val="20"/>
        </w:numPr>
        <w:tabs>
          <w:tab w:pos="3343" w:val="left" w:leader="none"/>
        </w:tabs>
        <w:spacing w:line="244" w:lineRule="auto" w:before="62" w:after="0"/>
        <w:ind w:left="3345" w:right="370" w:hanging="737"/>
        <w:jc w:val="left"/>
        <w:rPr>
          <w:sz w:val="21"/>
        </w:rPr>
      </w:pPr>
      <w:r>
        <w:rPr>
          <w:spacing w:val="-10"/>
          <w:sz w:val="21"/>
        </w:rPr>
        <w:t>自主生活能力完全丧失，无法独立完成六项基本日常生活活动中的三项或三</w:t>
      </w:r>
      <w:r>
        <w:rPr>
          <w:spacing w:val="-4"/>
          <w:sz w:val="21"/>
        </w:rPr>
        <w:t>项以上。</w:t>
      </w:r>
    </w:p>
    <w:p>
      <w:pPr>
        <w:pStyle w:val="BodyText"/>
        <w:spacing w:before="1"/>
        <w:rPr>
          <w:sz w:val="12"/>
        </w:rPr>
      </w:pPr>
    </w:p>
    <w:p>
      <w:pPr>
        <w:spacing w:after="0"/>
        <w:rPr>
          <w:sz w:val="12"/>
        </w:rPr>
        <w:sectPr>
          <w:pgSz w:w="11910" w:h="16850"/>
          <w:pgMar w:top="1080" w:bottom="280" w:left="620" w:right="720"/>
        </w:sectPr>
      </w:pPr>
    </w:p>
    <w:p>
      <w:pPr>
        <w:pStyle w:val="Heading3"/>
        <w:numPr>
          <w:ilvl w:val="3"/>
          <w:numId w:val="4"/>
        </w:numPr>
        <w:tabs>
          <w:tab w:pos="1140" w:val="left" w:leader="none"/>
        </w:tabs>
        <w:spacing w:line="242" w:lineRule="auto" w:before="72" w:after="0"/>
        <w:ind w:left="1139" w:right="0" w:hanging="661"/>
        <w:jc w:val="left"/>
      </w:pPr>
      <w:r>
        <w:rPr>
          <w:spacing w:val="-2"/>
        </w:rPr>
        <w:t>严重帕金森</w:t>
      </w:r>
      <w:r>
        <w:rPr>
          <w:spacing w:val="-10"/>
        </w:rPr>
        <w:t>病</w:t>
      </w:r>
    </w:p>
    <w:p>
      <w:pPr>
        <w:pStyle w:val="BodyText"/>
        <w:spacing w:line="242" w:lineRule="auto" w:before="72"/>
        <w:ind w:left="372" w:right="372"/>
        <w:rPr>
          <w:rFonts w:ascii="黑体" w:eastAsia="黑体"/>
        </w:rPr>
      </w:pPr>
      <w:r>
        <w:rPr/>
        <w:br w:type="column"/>
      </w:r>
      <w:r>
        <w:rPr>
          <w:spacing w:val="-2"/>
        </w:rPr>
        <w:t>是一种中枢神经系统的退行性疾病，临床表现为震颤麻痹、共济失调等。</w:t>
      </w:r>
      <w:r>
        <w:rPr>
          <w:rFonts w:ascii="黑体" w:eastAsia="黑体"/>
          <w:spacing w:val="-2"/>
        </w:rPr>
        <w:t>须满足下</w:t>
      </w:r>
      <w:r>
        <w:rPr>
          <w:rFonts w:ascii="黑体" w:eastAsia="黑体"/>
          <w:spacing w:val="-2"/>
        </w:rPr>
        <w:t>列全部条件：</w:t>
      </w:r>
    </w:p>
    <w:p>
      <w:pPr>
        <w:pStyle w:val="ListParagraph"/>
        <w:numPr>
          <w:ilvl w:val="0"/>
          <w:numId w:val="21"/>
        </w:numPr>
        <w:tabs>
          <w:tab w:pos="1108" w:val="left" w:leader="none"/>
        </w:tabs>
        <w:spacing w:line="240" w:lineRule="auto" w:before="61" w:after="0"/>
        <w:ind w:left="1107" w:right="0" w:hanging="736"/>
        <w:jc w:val="left"/>
        <w:rPr>
          <w:sz w:val="21"/>
        </w:rPr>
      </w:pPr>
      <w:r>
        <w:rPr>
          <w:spacing w:val="-3"/>
          <w:sz w:val="21"/>
        </w:rPr>
        <w:t>药物治疗无法控制病情；</w:t>
      </w:r>
    </w:p>
    <w:p>
      <w:pPr>
        <w:pStyle w:val="ListParagraph"/>
        <w:numPr>
          <w:ilvl w:val="0"/>
          <w:numId w:val="21"/>
        </w:numPr>
        <w:tabs>
          <w:tab w:pos="1108" w:val="left" w:leader="none"/>
        </w:tabs>
        <w:spacing w:line="244" w:lineRule="auto" w:before="63" w:after="0"/>
        <w:ind w:left="1107" w:right="370" w:hanging="735"/>
        <w:jc w:val="left"/>
        <w:rPr>
          <w:sz w:val="21"/>
        </w:rPr>
      </w:pPr>
      <w:r>
        <w:rPr>
          <w:spacing w:val="-10"/>
          <w:sz w:val="21"/>
        </w:rPr>
        <w:t>自主生活能力完全丧失，无法独立完成六项基本日常生活活动中的三项或三</w:t>
      </w:r>
      <w:r>
        <w:rPr>
          <w:spacing w:val="-4"/>
          <w:sz w:val="21"/>
        </w:rPr>
        <w:t>项以上。</w:t>
      </w:r>
    </w:p>
    <w:p>
      <w:pPr>
        <w:pStyle w:val="BodyText"/>
        <w:spacing w:before="56"/>
        <w:ind w:left="372"/>
        <w:rPr>
          <w:rFonts w:ascii="黑体" w:eastAsia="黑体"/>
        </w:rPr>
      </w:pPr>
      <w:r>
        <w:rPr>
          <w:rFonts w:ascii="黑体" w:eastAsia="黑体"/>
          <w:spacing w:val="-3"/>
        </w:rPr>
        <w:t>继发性帕金森综合征不在本合同所定义的重大疾病范围内。</w:t>
      </w:r>
    </w:p>
    <w:p>
      <w:pPr>
        <w:spacing w:after="0"/>
        <w:rPr>
          <w:rFonts w:ascii="黑体" w:eastAsia="黑体"/>
        </w:rPr>
        <w:sectPr>
          <w:type w:val="continuous"/>
          <w:pgSz w:w="11910" w:h="16850"/>
          <w:pgMar w:top="520" w:bottom="280" w:left="620" w:right="720"/>
          <w:cols w:num="2" w:equalWidth="0">
            <w:col w:w="2196" w:space="40"/>
            <w:col w:w="8334"/>
          </w:cols>
        </w:sectPr>
      </w:pPr>
    </w:p>
    <w:p>
      <w:pPr>
        <w:pStyle w:val="BodyText"/>
        <w:spacing w:before="9"/>
        <w:rPr>
          <w:rFonts w:ascii="黑体"/>
          <w:sz w:val="12"/>
        </w:rPr>
      </w:pPr>
    </w:p>
    <w:p>
      <w:pPr>
        <w:spacing w:after="0"/>
        <w:rPr>
          <w:rFonts w:ascii="黑体"/>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61"/>
        <w:jc w:val="left"/>
      </w:pPr>
      <w:r>
        <w:rPr>
          <w:spacing w:val="-2"/>
        </w:rPr>
        <w:t>严重Ⅲ度烧</w:t>
      </w:r>
      <w:r>
        <w:rPr>
          <w:spacing w:val="-10"/>
        </w:rPr>
        <w:t>伤</w:t>
      </w:r>
    </w:p>
    <w:p>
      <w:pPr>
        <w:pStyle w:val="BodyText"/>
        <w:spacing w:line="242" w:lineRule="auto" w:before="72"/>
        <w:ind w:left="372" w:right="370"/>
      </w:pPr>
      <w:r>
        <w:rPr/>
        <w:br w:type="column"/>
      </w:r>
      <w:r>
        <w:rPr>
          <w:spacing w:val="-6"/>
        </w:rPr>
        <w:t>指烧伤程度为Ⅲ度，且Ⅲ度烧伤的面积达到全身体表面积的 </w:t>
      </w:r>
      <w:r>
        <w:rPr>
          <w:spacing w:val="-4"/>
        </w:rPr>
        <w:t>20</w:t>
      </w:r>
      <w:r>
        <w:rPr>
          <w:spacing w:val="-14"/>
        </w:rPr>
        <w:t>％或 </w:t>
      </w:r>
      <w:r>
        <w:rPr>
          <w:spacing w:val="-4"/>
        </w:rPr>
        <w:t>20％以上。体表</w:t>
      </w:r>
      <w:r>
        <w:rPr>
          <w:spacing w:val="-2"/>
        </w:rPr>
        <w:t>面积根据《中国新九分法》计算。</w:t>
      </w:r>
    </w:p>
    <w:p>
      <w:pPr>
        <w:spacing w:after="0" w:line="242" w:lineRule="auto"/>
        <w:sectPr>
          <w:type w:val="continuous"/>
          <w:pgSz w:w="11910" w:h="16850"/>
          <w:pgMar w:top="520" w:bottom="280" w:left="620" w:right="720"/>
          <w:cols w:num="2" w:equalWidth="0">
            <w:col w:w="2196" w:space="40"/>
            <w:col w:w="8334"/>
          </w:cols>
        </w:sectPr>
      </w:pPr>
    </w:p>
    <w:p>
      <w:pPr>
        <w:pStyle w:val="BodyText"/>
        <w:spacing w:before="4"/>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1" w:after="0"/>
        <w:ind w:left="1139" w:right="0" w:hanging="1140"/>
        <w:jc w:val="right"/>
      </w:pPr>
      <w:r>
        <w:rPr>
          <w:spacing w:val="-2"/>
        </w:rPr>
        <w:t>严重原发性</w:t>
      </w:r>
    </w:p>
    <w:p>
      <w:pPr>
        <w:spacing w:before="5"/>
        <w:ind w:left="0" w:right="0" w:firstLine="0"/>
        <w:jc w:val="right"/>
        <w:rPr>
          <w:b/>
          <w:sz w:val="21"/>
        </w:rPr>
      </w:pPr>
      <w:r>
        <w:rPr>
          <w:b/>
          <w:spacing w:val="-2"/>
          <w:sz w:val="21"/>
        </w:rPr>
        <w:t>肺动脉高压</w:t>
      </w:r>
    </w:p>
    <w:p>
      <w:pPr>
        <w:pStyle w:val="BodyText"/>
        <w:spacing w:line="242" w:lineRule="auto" w:before="71"/>
        <w:ind w:left="372" w:right="372"/>
        <w:jc w:val="both"/>
      </w:pPr>
      <w:r>
        <w:rPr/>
        <w:br w:type="column"/>
      </w:r>
      <w:r>
        <w:rPr>
          <w:spacing w:val="-2"/>
        </w:rPr>
        <w:t>指不明原因的肺动脉压力持续性增高，进行性发展而导致的慢性疾病，已经造成永</w:t>
      </w:r>
      <w:r>
        <w:rPr>
          <w:spacing w:val="-2"/>
        </w:rPr>
        <w:t>久不可逆性的体力活动能力受限，达到美国纽约心脏病学会心功能状态分级Ⅳ级，</w:t>
      </w:r>
      <w:r>
        <w:rPr>
          <w:spacing w:val="-3"/>
        </w:rPr>
        <w:t>且静息状态下肺动脉平均压超过 </w:t>
      </w:r>
      <w:r>
        <w:rPr/>
        <w:t>30mmHg。</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8"/>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严重运动神</w:t>
      </w:r>
    </w:p>
    <w:p>
      <w:pPr>
        <w:spacing w:before="3"/>
        <w:ind w:left="1139" w:right="0" w:firstLine="0"/>
        <w:jc w:val="left"/>
        <w:rPr>
          <w:b/>
          <w:sz w:val="21"/>
        </w:rPr>
      </w:pPr>
      <w:r>
        <w:rPr>
          <w:b/>
          <w:spacing w:val="-4"/>
          <w:sz w:val="21"/>
        </w:rPr>
        <w:t>经元病</w:t>
      </w:r>
    </w:p>
    <w:p>
      <w:pPr>
        <w:pStyle w:val="BodyText"/>
        <w:spacing w:line="242" w:lineRule="auto" w:before="72"/>
        <w:ind w:left="372" w:right="373"/>
        <w:jc w:val="both"/>
      </w:pPr>
      <w:r>
        <w:rPr/>
        <w:br w:type="column"/>
      </w:r>
      <w:r>
        <w:rPr>
          <w:spacing w:val="-2"/>
        </w:rPr>
        <w:t>是一组中枢神经系统运动神经元的进行性变性疾病，包括进行性脊肌萎缩症、进行</w:t>
      </w:r>
      <w:r>
        <w:rPr>
          <w:spacing w:val="-2"/>
        </w:rPr>
        <w:t>性延髓麻痹症、原发性侧索硬化症、肌萎缩性侧索硬化症。须满足自主生活能力完</w:t>
      </w:r>
      <w:r>
        <w:rPr>
          <w:spacing w:val="-2"/>
        </w:rPr>
        <w:t>全丧失，无法独立完成六项基本日常生活活动中的三项或三项以上的条件。</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61"/>
        <w:jc w:val="left"/>
      </w:pPr>
      <w:r>
        <w:rPr>
          <w:spacing w:val="-2"/>
        </w:rPr>
        <w:t>语言能力丧</w:t>
      </w:r>
      <w:r>
        <w:rPr>
          <w:spacing w:val="-10"/>
        </w:rPr>
        <w:t>失</w:t>
      </w:r>
    </w:p>
    <w:p>
      <w:pPr>
        <w:pStyle w:val="BodyText"/>
        <w:spacing w:line="242" w:lineRule="auto" w:before="72"/>
        <w:ind w:left="372" w:right="370"/>
      </w:pPr>
      <w:r>
        <w:rPr/>
        <w:br w:type="column"/>
      </w:r>
      <w:r>
        <w:rPr>
          <w:spacing w:val="-6"/>
        </w:rPr>
        <w:t>指因疾病或意外伤害导致完全丧失语言能力，经过积极治疗至少 </w:t>
      </w:r>
      <w:r>
        <w:rPr>
          <w:spacing w:val="-4"/>
        </w:rPr>
        <w:t>12</w:t>
      </w:r>
      <w:r>
        <w:rPr>
          <w:spacing w:val="-15"/>
        </w:rPr>
        <w:t> 个月</w:t>
      </w:r>
      <w:r>
        <w:rPr>
          <w:spacing w:val="-4"/>
        </w:rPr>
        <w:t>（声带完全</w:t>
      </w:r>
      <w:r>
        <w:rPr>
          <w:spacing w:val="-2"/>
        </w:rPr>
        <w:t>切除不受此时间限制</w:t>
      </w:r>
      <w:r>
        <w:rPr>
          <w:spacing w:val="-106"/>
        </w:rPr>
        <w:t>）</w:t>
      </w:r>
      <w:r>
        <w:rPr>
          <w:spacing w:val="-3"/>
        </w:rPr>
        <w:t>，仍无法通过现有医疗手段恢复。</w:t>
      </w:r>
    </w:p>
    <w:p>
      <w:pPr>
        <w:pStyle w:val="BodyText"/>
        <w:spacing w:before="61"/>
        <w:ind w:left="372"/>
      </w:pPr>
      <w:r>
        <w:rPr>
          <w:rFonts w:ascii="黑体" w:eastAsia="黑体"/>
          <w:spacing w:val="-2"/>
        </w:rPr>
        <w:t>精神心理因素所致的语言能力丧失不在本合同所定义的重大疾病范围内</w:t>
      </w:r>
      <w:r>
        <w:rPr>
          <w:spacing w:val="-10"/>
        </w:rPr>
        <w:t>。</w:t>
      </w:r>
    </w:p>
    <w:p>
      <w:pPr>
        <w:pStyle w:val="BodyText"/>
        <w:spacing w:line="244" w:lineRule="auto" w:before="62"/>
        <w:ind w:left="372" w:right="370"/>
        <w:rPr>
          <w:rFonts w:ascii="黑体" w:eastAsia="黑体"/>
        </w:rPr>
      </w:pPr>
      <w:r>
        <w:rPr>
          <w:rFonts w:ascii="黑体" w:eastAsia="黑体"/>
          <w:spacing w:val="-8"/>
        </w:rPr>
        <w:t>被保险人在 </w:t>
      </w:r>
      <w:r>
        <w:rPr>
          <w:rFonts w:ascii="黑体" w:eastAsia="黑体"/>
        </w:rPr>
        <w:t>3</w:t>
      </w:r>
      <w:r>
        <w:rPr>
          <w:rFonts w:ascii="黑体" w:eastAsia="黑体"/>
          <w:spacing w:val="-7"/>
        </w:rPr>
        <w:t> 周岁之前因疾病导致的语言能力丧失不在本合同所定义的重大疾病范</w:t>
      </w:r>
      <w:r>
        <w:rPr>
          <w:rFonts w:ascii="黑体" w:eastAsia="黑体"/>
          <w:spacing w:val="-4"/>
        </w:rPr>
        <w:t>围内。</w:t>
      </w:r>
    </w:p>
    <w:p>
      <w:pPr>
        <w:spacing w:after="0" w:line="244" w:lineRule="auto"/>
        <w:rPr>
          <w:rFonts w:ascii="黑体" w:eastAsia="黑体"/>
        </w:rPr>
        <w:sectPr>
          <w:type w:val="continuous"/>
          <w:pgSz w:w="11910" w:h="16850"/>
          <w:pgMar w:top="520" w:bottom="280" w:left="620" w:right="720"/>
          <w:cols w:num="2" w:equalWidth="0">
            <w:col w:w="2196" w:space="40"/>
            <w:col w:w="8334"/>
          </w:cols>
        </w:sectPr>
      </w:pPr>
    </w:p>
    <w:p>
      <w:pPr>
        <w:pStyle w:val="BodyText"/>
        <w:spacing w:before="1"/>
        <w:rPr>
          <w:rFonts w:ascii="黑体"/>
          <w:sz w:val="12"/>
        </w:rPr>
      </w:pPr>
    </w:p>
    <w:p>
      <w:pPr>
        <w:spacing w:after="0"/>
        <w:rPr>
          <w:rFonts w:ascii="黑体"/>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重型再生障</w:t>
      </w:r>
    </w:p>
    <w:p>
      <w:pPr>
        <w:spacing w:before="4"/>
        <w:ind w:left="1139" w:right="0" w:firstLine="0"/>
        <w:jc w:val="left"/>
        <w:rPr>
          <w:b/>
          <w:sz w:val="21"/>
        </w:rPr>
      </w:pPr>
      <w:r>
        <w:rPr>
          <w:b/>
          <w:spacing w:val="-3"/>
          <w:sz w:val="21"/>
        </w:rPr>
        <w:t>碍性贫血</w:t>
      </w:r>
    </w:p>
    <w:p>
      <w:pPr>
        <w:pStyle w:val="BodyText"/>
        <w:spacing w:line="244" w:lineRule="auto" w:before="72"/>
        <w:ind w:left="372" w:right="372"/>
        <w:rPr>
          <w:rFonts w:ascii="黑体" w:eastAsia="黑体"/>
        </w:rPr>
      </w:pPr>
      <w:r>
        <w:rPr/>
        <w:br w:type="column"/>
      </w:r>
      <w:r>
        <w:rPr>
          <w:spacing w:val="-2"/>
        </w:rPr>
        <w:t>指因骨髓造血功能慢性持续性衰竭导致的贫血、中性粒细胞减少及血小板减少。</w:t>
      </w:r>
      <w:r>
        <w:rPr>
          <w:rFonts w:ascii="黑体" w:eastAsia="黑体"/>
          <w:spacing w:val="-2"/>
        </w:rPr>
        <w:t>须</w:t>
      </w:r>
      <w:r>
        <w:rPr>
          <w:rFonts w:ascii="黑体" w:eastAsia="黑体"/>
          <w:spacing w:val="-2"/>
        </w:rPr>
        <w:t>满足下列全部条件：</w:t>
      </w:r>
    </w:p>
    <w:p>
      <w:pPr>
        <w:pStyle w:val="ListParagraph"/>
        <w:numPr>
          <w:ilvl w:val="0"/>
          <w:numId w:val="22"/>
        </w:numPr>
        <w:tabs>
          <w:tab w:pos="1108" w:val="left" w:leader="none"/>
        </w:tabs>
        <w:spacing w:line="240" w:lineRule="auto" w:before="56" w:after="0"/>
        <w:ind w:left="1107" w:right="0" w:hanging="736"/>
        <w:jc w:val="left"/>
        <w:rPr>
          <w:sz w:val="21"/>
        </w:rPr>
      </w:pPr>
      <w:r>
        <w:rPr>
          <w:spacing w:val="-3"/>
          <w:sz w:val="21"/>
        </w:rPr>
        <w:t>骨髓穿刺检查或骨髓活检结果支持诊断；</w:t>
      </w:r>
    </w:p>
    <w:p>
      <w:pPr>
        <w:pStyle w:val="ListParagraph"/>
        <w:numPr>
          <w:ilvl w:val="0"/>
          <w:numId w:val="22"/>
        </w:numPr>
        <w:tabs>
          <w:tab w:pos="1108" w:val="left" w:leader="none"/>
        </w:tabs>
        <w:spacing w:line="240" w:lineRule="auto" w:before="64" w:after="0"/>
        <w:ind w:left="1107" w:right="0" w:hanging="736"/>
        <w:jc w:val="left"/>
        <w:rPr>
          <w:sz w:val="21"/>
        </w:rPr>
      </w:pPr>
      <w:r>
        <w:rPr>
          <w:spacing w:val="-3"/>
          <w:sz w:val="21"/>
        </w:rPr>
        <w:t>外周血象须具备以下三项条件：</w:t>
      </w:r>
    </w:p>
    <w:p>
      <w:pPr>
        <w:pStyle w:val="BodyText"/>
        <w:spacing w:before="53"/>
        <w:ind w:left="1107"/>
      </w:pPr>
      <w:r>
        <w:rPr/>
        <w:t>①</w:t>
      </w:r>
      <w:r>
        <w:rPr>
          <w:spacing w:val="41"/>
          <w:w w:val="150"/>
        </w:rPr>
        <w:t> </w:t>
      </w:r>
      <w:r>
        <w:rPr/>
        <w:t>中性粒细胞绝对值</w:t>
      </w:r>
      <w:r>
        <w:rPr>
          <w:spacing w:val="-2"/>
        </w:rPr>
        <w:t>≤0.5×10</w:t>
      </w:r>
      <w:r>
        <w:rPr>
          <w:spacing w:val="-2"/>
          <w:position w:val="11"/>
          <w:sz w:val="11"/>
        </w:rPr>
        <w:t>9</w:t>
      </w:r>
      <w:r>
        <w:rPr>
          <w:spacing w:val="-2"/>
        </w:rPr>
        <w:t>/L；</w:t>
      </w:r>
    </w:p>
    <w:p>
      <w:pPr>
        <w:pStyle w:val="BodyText"/>
        <w:spacing w:before="65"/>
        <w:ind w:left="1107"/>
      </w:pPr>
      <w:r>
        <w:rPr/>
        <w:t>②</w:t>
      </w:r>
      <w:r>
        <w:rPr>
          <w:spacing w:val="44"/>
          <w:w w:val="150"/>
        </w:rPr>
        <w:t> </w:t>
      </w:r>
      <w:r>
        <w:rPr>
          <w:spacing w:val="-1"/>
        </w:rPr>
        <w:t>网织红细胞＜</w:t>
      </w:r>
      <w:r>
        <w:rPr>
          <w:spacing w:val="-4"/>
        </w:rPr>
        <w:t>1%；</w:t>
      </w:r>
    </w:p>
    <w:p>
      <w:pPr>
        <w:pStyle w:val="BodyText"/>
        <w:spacing w:before="52"/>
        <w:ind w:left="1107"/>
      </w:pPr>
      <w:r>
        <w:rPr/>
        <w:t>③</w:t>
      </w:r>
      <w:r>
        <w:rPr>
          <w:spacing w:val="35"/>
          <w:w w:val="150"/>
        </w:rPr>
        <w:t> </w:t>
      </w:r>
      <w:r>
        <w:rPr/>
        <w:t>血小板绝对值≤20×10</w:t>
      </w:r>
      <w:r>
        <w:rPr>
          <w:position w:val="11"/>
          <w:sz w:val="11"/>
        </w:rPr>
        <w:t>9</w:t>
      </w:r>
      <w:r>
        <w:rPr/>
        <w:t>/L</w:t>
      </w:r>
      <w:r>
        <w:rPr>
          <w:spacing w:val="-10"/>
        </w:rPr>
        <w:t>。</w:t>
      </w:r>
    </w:p>
    <w:p>
      <w:pPr>
        <w:spacing w:after="0"/>
        <w:sectPr>
          <w:type w:val="continuous"/>
          <w:pgSz w:w="11910" w:h="16850"/>
          <w:pgMar w:top="520" w:bottom="280" w:left="620" w:right="720"/>
          <w:cols w:num="2" w:equalWidth="0">
            <w:col w:w="2196" w:space="40"/>
            <w:col w:w="8334"/>
          </w:cols>
        </w:sectPr>
      </w:pPr>
    </w:p>
    <w:p>
      <w:pPr>
        <w:pStyle w:val="BodyText"/>
        <w:spacing w:before="7"/>
        <w:rPr>
          <w:sz w:val="12"/>
        </w:rPr>
      </w:pPr>
    </w:p>
    <w:p>
      <w:pPr>
        <w:pStyle w:val="ListParagraph"/>
        <w:numPr>
          <w:ilvl w:val="3"/>
          <w:numId w:val="4"/>
        </w:numPr>
        <w:tabs>
          <w:tab w:pos="1140" w:val="left" w:leader="none"/>
        </w:tabs>
        <w:spacing w:line="242" w:lineRule="auto" w:before="71" w:after="0"/>
        <w:ind w:left="2608" w:right="373" w:hanging="2130"/>
        <w:jc w:val="both"/>
        <w:rPr>
          <w:rFonts w:ascii="黑体" w:eastAsia="黑体"/>
          <w:sz w:val="21"/>
        </w:rPr>
      </w:pPr>
      <w:r>
        <w:rPr>
          <w:b/>
          <w:spacing w:val="49"/>
          <w:sz w:val="21"/>
        </w:rPr>
        <w:t>主动脉手术 </w:t>
      </w:r>
      <w:r>
        <w:rPr>
          <w:sz w:val="21"/>
        </w:rPr>
        <w:t>指为治疗主动脉疾病，实际实施了开胸或开腹进行的切除、置换、修补病损主动脉</w:t>
      </w:r>
      <w:r>
        <w:rPr>
          <w:spacing w:val="-2"/>
          <w:sz w:val="21"/>
        </w:rPr>
        <w:t>血管的手术。主动脉指胸主动脉和腹主动脉，</w:t>
      </w:r>
      <w:r>
        <w:rPr>
          <w:rFonts w:ascii="黑体" w:eastAsia="黑体"/>
          <w:spacing w:val="-2"/>
          <w:sz w:val="21"/>
        </w:rPr>
        <w:t>不包括胸主动脉和腹主动脉的分支血</w:t>
      </w:r>
      <w:r>
        <w:rPr>
          <w:rFonts w:ascii="黑体" w:eastAsia="黑体"/>
          <w:spacing w:val="-6"/>
          <w:sz w:val="21"/>
        </w:rPr>
        <w:t>管。</w:t>
      </w:r>
    </w:p>
    <w:p>
      <w:pPr>
        <w:pStyle w:val="BodyText"/>
        <w:spacing w:before="64"/>
        <w:ind w:left="2426" w:right="2516"/>
        <w:jc w:val="center"/>
      </w:pPr>
      <w:r>
        <w:rPr>
          <w:rFonts w:ascii="黑体" w:eastAsia="黑体"/>
          <w:spacing w:val="-2"/>
        </w:rPr>
        <w:t>动脉内血管成形术不在本合同所定义的重大疾病范围内</w:t>
      </w:r>
      <w:r>
        <w:rPr>
          <w:spacing w:val="-10"/>
        </w:rPr>
        <w:t>。</w:t>
      </w: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1" w:after="0"/>
        <w:ind w:left="1139" w:right="0" w:hanging="661"/>
        <w:jc w:val="left"/>
      </w:pPr>
      <w:r>
        <w:rPr>
          <w:spacing w:val="-2"/>
        </w:rPr>
        <w:t>严重原发性</w:t>
      </w:r>
    </w:p>
    <w:p>
      <w:pPr>
        <w:spacing w:before="5"/>
        <w:ind w:left="1139" w:right="0" w:firstLine="0"/>
        <w:jc w:val="left"/>
        <w:rPr>
          <w:b/>
          <w:sz w:val="21"/>
        </w:rPr>
      </w:pPr>
      <w:r>
        <w:rPr>
          <w:b/>
          <w:spacing w:val="-4"/>
          <w:sz w:val="21"/>
        </w:rPr>
        <w:t>心肌病</w:t>
      </w:r>
    </w:p>
    <w:p>
      <w:pPr>
        <w:pStyle w:val="BodyText"/>
        <w:spacing w:line="244" w:lineRule="auto" w:before="71"/>
        <w:ind w:left="372" w:right="373" w:hanging="8"/>
      </w:pPr>
      <w:r>
        <w:rPr/>
        <w:br w:type="column"/>
      </w:r>
      <w:r>
        <w:rPr>
          <w:spacing w:val="-2"/>
        </w:rPr>
        <w:t>指不明原因引起的一类心肌病变，包括原发性扩张型心肌病、原发性肥厚型心肌病</w:t>
      </w:r>
      <w:r>
        <w:rPr>
          <w:spacing w:val="-3"/>
        </w:rPr>
        <w:t>及原发性限制型心肌病三种，病变必须已造成事实上心室功能障碍而出现明显的心</w:t>
      </w:r>
    </w:p>
    <w:p>
      <w:pPr>
        <w:spacing w:after="0" w:line="244" w:lineRule="auto"/>
        <w:sectPr>
          <w:type w:val="continuous"/>
          <w:pgSz w:w="11910" w:h="16850"/>
          <w:pgMar w:top="520" w:bottom="280" w:left="620" w:right="720"/>
          <w:cols w:num="2" w:equalWidth="0">
            <w:col w:w="2196" w:space="40"/>
            <w:col w:w="8334"/>
          </w:cols>
        </w:sectPr>
      </w:pPr>
    </w:p>
    <w:p>
      <w:pPr>
        <w:pStyle w:val="BodyText"/>
        <w:spacing w:line="242" w:lineRule="auto" w:before="53"/>
        <w:ind w:left="2608" w:right="370"/>
        <w:jc w:val="both"/>
      </w:pPr>
      <w:r>
        <w:rPr>
          <w:spacing w:val="-2"/>
        </w:rPr>
        <w:t>功能衰竭（指按照美国纽约心脏病学会提出的心功能状态分级的标准判定，心功能</w:t>
      </w:r>
      <w:r>
        <w:rPr>
          <w:spacing w:val="-2"/>
        </w:rPr>
        <w:t>状态已达到Ⅳ级</w:t>
      </w:r>
      <w:r>
        <w:rPr>
          <w:spacing w:val="-75"/>
        </w:rPr>
        <w:t>）</w:t>
      </w:r>
      <w:r>
        <w:rPr>
          <w:spacing w:val="-11"/>
        </w:rPr>
        <w:t>，且有相关住院医疗记录显示Ⅳ级心功能衰竭状态。本病须经本公</w:t>
      </w:r>
      <w:r>
        <w:rPr>
          <w:spacing w:val="-2"/>
        </w:rPr>
        <w:t>司认可的医院的专科医生明确诊断。理赔时需提供超声心动图或其它支持性检查结</w:t>
      </w:r>
      <w:r>
        <w:rPr>
          <w:spacing w:val="-2"/>
        </w:rPr>
        <w:t>果及诊断报告。</w:t>
      </w:r>
    </w:p>
    <w:p>
      <w:pPr>
        <w:pStyle w:val="BodyText"/>
        <w:spacing w:before="63"/>
        <w:ind w:left="2601"/>
        <w:rPr>
          <w:rFonts w:ascii="黑体" w:eastAsia="黑体"/>
        </w:rPr>
      </w:pPr>
      <w:r>
        <w:rPr>
          <w:rFonts w:ascii="黑体" w:eastAsia="黑体"/>
          <w:spacing w:val="-3"/>
        </w:rPr>
        <w:t>酗酒或滥用药物引起的心肌病不在本合同所定义的重大疾病范围内。</w:t>
      </w:r>
    </w:p>
    <w:p>
      <w:pPr>
        <w:pStyle w:val="BodyText"/>
        <w:spacing w:line="242" w:lineRule="auto" w:before="64"/>
        <w:ind w:left="2608" w:right="373"/>
      </w:pPr>
      <w:r>
        <w:rPr>
          <w:spacing w:val="-2"/>
        </w:rPr>
        <w:t>美国纽约心脏病学会心功能状态分级Ⅳ级是指不能从事任何体力活动，休息时亦有</w:t>
      </w:r>
      <w:r>
        <w:rPr>
          <w:spacing w:val="-4"/>
        </w:rPr>
        <w:t>症状。</w:t>
      </w:r>
    </w:p>
    <w:p>
      <w:pPr>
        <w:pStyle w:val="BodyText"/>
        <w:spacing w:before="1"/>
        <w:rPr>
          <w:sz w:val="18"/>
        </w:rPr>
      </w:pPr>
    </w:p>
    <w:p>
      <w:pPr>
        <w:pStyle w:val="ListParagraph"/>
        <w:numPr>
          <w:ilvl w:val="3"/>
          <w:numId w:val="4"/>
        </w:numPr>
        <w:tabs>
          <w:tab w:pos="1140" w:val="left" w:leader="none"/>
          <w:tab w:pos="2608" w:val="left" w:leader="none"/>
        </w:tabs>
        <w:spacing w:line="242" w:lineRule="auto" w:before="0" w:after="0"/>
        <w:ind w:left="2608" w:right="373" w:hanging="2130"/>
        <w:jc w:val="left"/>
        <w:rPr>
          <w:sz w:val="21"/>
        </w:rPr>
      </w:pPr>
      <w:r>
        <w:rPr>
          <w:b/>
          <w:spacing w:val="-2"/>
          <w:sz w:val="21"/>
        </w:rPr>
        <w:t>终</w:t>
      </w:r>
      <w:r>
        <w:rPr>
          <w:b/>
          <w:spacing w:val="-2"/>
          <w:sz w:val="21"/>
        </w:rPr>
        <w:t>末</w:t>
      </w:r>
      <w:r>
        <w:rPr>
          <w:b/>
          <w:spacing w:val="-2"/>
          <w:sz w:val="21"/>
        </w:rPr>
        <w:t>期</w:t>
      </w:r>
      <w:r>
        <w:rPr>
          <w:b/>
          <w:spacing w:val="-2"/>
          <w:sz w:val="21"/>
        </w:rPr>
        <w:t>肺</w:t>
      </w:r>
      <w:r>
        <w:rPr>
          <w:b/>
          <w:spacing w:val="-2"/>
          <w:sz w:val="21"/>
        </w:rPr>
        <w:t>病</w:t>
      </w:r>
      <w:r>
        <w:rPr>
          <w:b/>
          <w:sz w:val="21"/>
        </w:rPr>
        <w:tab/>
      </w:r>
      <w:r>
        <w:rPr>
          <w:spacing w:val="-2"/>
          <w:sz w:val="21"/>
        </w:rPr>
        <w:t>指</w:t>
      </w:r>
      <w:r>
        <w:rPr>
          <w:spacing w:val="-2"/>
          <w:sz w:val="21"/>
        </w:rPr>
        <w:t>慢</w:t>
      </w:r>
      <w:r>
        <w:rPr>
          <w:spacing w:val="-2"/>
          <w:sz w:val="21"/>
        </w:rPr>
        <w:t>性</w:t>
      </w:r>
      <w:r>
        <w:rPr>
          <w:spacing w:val="-2"/>
          <w:sz w:val="21"/>
        </w:rPr>
        <w:t>肺</w:t>
      </w:r>
      <w:r>
        <w:rPr>
          <w:spacing w:val="-2"/>
          <w:sz w:val="21"/>
        </w:rPr>
        <w:t>部</w:t>
      </w:r>
      <w:r>
        <w:rPr>
          <w:spacing w:val="-2"/>
          <w:sz w:val="21"/>
        </w:rPr>
        <w:t>疾</w:t>
      </w:r>
      <w:r>
        <w:rPr>
          <w:spacing w:val="-2"/>
          <w:sz w:val="21"/>
        </w:rPr>
        <w:t>病</w:t>
      </w:r>
      <w:r>
        <w:rPr>
          <w:spacing w:val="-2"/>
          <w:sz w:val="21"/>
        </w:rPr>
        <w:t>导</w:t>
      </w:r>
      <w:r>
        <w:rPr>
          <w:spacing w:val="-2"/>
          <w:sz w:val="21"/>
        </w:rPr>
        <w:t>致永久</w:t>
      </w:r>
      <w:r>
        <w:rPr>
          <w:spacing w:val="-2"/>
          <w:sz w:val="21"/>
        </w:rPr>
        <w:t>不</w:t>
      </w:r>
      <w:r>
        <w:rPr>
          <w:spacing w:val="-2"/>
          <w:sz w:val="21"/>
        </w:rPr>
        <w:t>可</w:t>
      </w:r>
      <w:r>
        <w:rPr>
          <w:spacing w:val="-2"/>
          <w:sz w:val="21"/>
        </w:rPr>
        <w:t>逆</w:t>
      </w:r>
      <w:r>
        <w:rPr>
          <w:spacing w:val="-2"/>
          <w:sz w:val="21"/>
        </w:rPr>
        <w:t>性</w:t>
      </w:r>
      <w:r>
        <w:rPr>
          <w:spacing w:val="-2"/>
          <w:sz w:val="21"/>
        </w:rPr>
        <w:t>的</w:t>
      </w:r>
      <w:r>
        <w:rPr>
          <w:spacing w:val="-2"/>
          <w:sz w:val="21"/>
        </w:rPr>
        <w:t>慢</w:t>
      </w:r>
      <w:r>
        <w:rPr>
          <w:spacing w:val="-2"/>
          <w:sz w:val="21"/>
        </w:rPr>
        <w:t>性</w:t>
      </w:r>
      <w:r>
        <w:rPr>
          <w:spacing w:val="-2"/>
          <w:sz w:val="21"/>
        </w:rPr>
        <w:t>呼</w:t>
      </w:r>
      <w:r>
        <w:rPr>
          <w:spacing w:val="-2"/>
          <w:sz w:val="21"/>
        </w:rPr>
        <w:t>吸功能</w:t>
      </w:r>
      <w:r>
        <w:rPr>
          <w:spacing w:val="-2"/>
          <w:sz w:val="21"/>
        </w:rPr>
        <w:t>衰</w:t>
      </w:r>
      <w:r>
        <w:rPr>
          <w:spacing w:val="-2"/>
          <w:sz w:val="21"/>
        </w:rPr>
        <w:t>竭</w:t>
      </w:r>
      <w:r>
        <w:rPr>
          <w:spacing w:val="-2"/>
          <w:sz w:val="21"/>
        </w:rPr>
        <w:t>。</w:t>
      </w:r>
      <w:r>
        <w:rPr>
          <w:spacing w:val="-2"/>
          <w:sz w:val="21"/>
        </w:rPr>
        <w:t>慢</w:t>
      </w:r>
      <w:r>
        <w:rPr>
          <w:spacing w:val="-2"/>
          <w:sz w:val="21"/>
        </w:rPr>
        <w:t>性</w:t>
      </w:r>
      <w:r>
        <w:rPr>
          <w:spacing w:val="-2"/>
          <w:sz w:val="21"/>
        </w:rPr>
        <w:t>呼</w:t>
      </w:r>
      <w:r>
        <w:rPr>
          <w:spacing w:val="-2"/>
          <w:sz w:val="21"/>
        </w:rPr>
        <w:t>吸</w:t>
      </w:r>
      <w:r>
        <w:rPr>
          <w:spacing w:val="-2"/>
          <w:sz w:val="21"/>
        </w:rPr>
        <w:t>功</w:t>
      </w:r>
      <w:r>
        <w:rPr>
          <w:spacing w:val="-2"/>
          <w:sz w:val="21"/>
        </w:rPr>
        <w:t>能衰竭</w:t>
      </w:r>
      <w:r>
        <w:rPr>
          <w:spacing w:val="-2"/>
          <w:sz w:val="21"/>
        </w:rPr>
        <w:t>必</w:t>
      </w:r>
      <w:r>
        <w:rPr>
          <w:spacing w:val="-2"/>
          <w:sz w:val="21"/>
        </w:rPr>
        <w:t>须</w:t>
      </w:r>
      <w:r>
        <w:rPr>
          <w:spacing w:val="-2"/>
          <w:sz w:val="21"/>
        </w:rPr>
        <w:t>明</w:t>
      </w:r>
      <w:r>
        <w:rPr>
          <w:spacing w:val="-2"/>
          <w:sz w:val="21"/>
        </w:rPr>
        <w:t>确</w:t>
      </w:r>
      <w:r>
        <w:rPr>
          <w:spacing w:val="-2"/>
          <w:sz w:val="21"/>
        </w:rPr>
        <w:t>诊</w:t>
      </w:r>
      <w:r>
        <w:rPr>
          <w:spacing w:val="-2"/>
          <w:sz w:val="21"/>
        </w:rPr>
        <w:t>断，</w:t>
      </w:r>
      <w:r>
        <w:rPr>
          <w:rFonts w:ascii="黑体" w:eastAsia="黑体"/>
          <w:spacing w:val="-2"/>
          <w:sz w:val="21"/>
        </w:rPr>
        <w:t>并须满足下列至少三项条件</w:t>
      </w:r>
      <w:r>
        <w:rPr>
          <w:spacing w:val="-2"/>
          <w:sz w:val="21"/>
        </w:rPr>
        <w:t>：</w:t>
      </w:r>
    </w:p>
    <w:p>
      <w:pPr>
        <w:pStyle w:val="ListParagraph"/>
        <w:numPr>
          <w:ilvl w:val="0"/>
          <w:numId w:val="23"/>
        </w:numPr>
        <w:tabs>
          <w:tab w:pos="3343" w:val="left" w:leader="none"/>
        </w:tabs>
        <w:spacing w:line="240" w:lineRule="auto" w:before="62" w:after="0"/>
        <w:ind w:left="3342" w:right="0" w:hanging="735"/>
        <w:jc w:val="left"/>
        <w:rPr>
          <w:sz w:val="21"/>
        </w:rPr>
      </w:pPr>
      <w:r>
        <w:rPr>
          <w:spacing w:val="-2"/>
          <w:sz w:val="21"/>
        </w:rPr>
        <w:t>肺功能测试：一秒用力呼气容积（FEV1）</w:t>
      </w:r>
      <w:r>
        <w:rPr>
          <w:spacing w:val="-11"/>
          <w:sz w:val="21"/>
        </w:rPr>
        <w:t>持续低于 </w:t>
      </w:r>
      <w:r>
        <w:rPr>
          <w:spacing w:val="-2"/>
          <w:sz w:val="21"/>
        </w:rPr>
        <w:t>0.75</w:t>
      </w:r>
      <w:r>
        <w:rPr>
          <w:spacing w:val="-18"/>
          <w:sz w:val="21"/>
        </w:rPr>
        <w:t> 升；</w:t>
      </w:r>
    </w:p>
    <w:p>
      <w:pPr>
        <w:pStyle w:val="ListParagraph"/>
        <w:numPr>
          <w:ilvl w:val="0"/>
          <w:numId w:val="23"/>
        </w:numPr>
        <w:tabs>
          <w:tab w:pos="3343" w:val="left" w:leader="none"/>
        </w:tabs>
        <w:spacing w:line="240" w:lineRule="auto" w:before="62" w:after="0"/>
        <w:ind w:left="3342" w:right="0" w:hanging="735"/>
        <w:jc w:val="left"/>
        <w:rPr>
          <w:sz w:val="21"/>
        </w:rPr>
      </w:pPr>
      <w:r>
        <w:rPr>
          <w:spacing w:val="-2"/>
          <w:position w:val="1"/>
          <w:sz w:val="21"/>
        </w:rPr>
        <w:t>动脉血氧分压（PaO</w:t>
      </w:r>
      <w:r>
        <w:rPr>
          <w:spacing w:val="-2"/>
          <w:sz w:val="11"/>
        </w:rPr>
        <w:t>2</w:t>
      </w:r>
      <w:r>
        <w:rPr>
          <w:spacing w:val="-2"/>
          <w:position w:val="1"/>
          <w:sz w:val="21"/>
        </w:rPr>
        <w:t>）＜55mmHg；</w:t>
      </w:r>
    </w:p>
    <w:p>
      <w:pPr>
        <w:pStyle w:val="ListParagraph"/>
        <w:numPr>
          <w:ilvl w:val="0"/>
          <w:numId w:val="23"/>
        </w:numPr>
        <w:tabs>
          <w:tab w:pos="3343" w:val="left" w:leader="none"/>
        </w:tabs>
        <w:spacing w:line="240" w:lineRule="auto" w:before="64" w:after="0"/>
        <w:ind w:left="3342" w:right="0" w:hanging="735"/>
        <w:jc w:val="left"/>
        <w:rPr>
          <w:sz w:val="21"/>
        </w:rPr>
      </w:pPr>
      <w:r>
        <w:rPr>
          <w:spacing w:val="-2"/>
          <w:position w:val="1"/>
          <w:sz w:val="21"/>
        </w:rPr>
        <w:t>动脉血氧饱和度（SaO</w:t>
      </w:r>
      <w:r>
        <w:rPr>
          <w:spacing w:val="-2"/>
          <w:sz w:val="11"/>
        </w:rPr>
        <w:t>2</w:t>
      </w:r>
      <w:r>
        <w:rPr>
          <w:spacing w:val="-2"/>
          <w:position w:val="1"/>
          <w:sz w:val="21"/>
        </w:rPr>
        <w:t>）＜80％；</w:t>
      </w:r>
    </w:p>
    <w:p>
      <w:pPr>
        <w:pStyle w:val="ListParagraph"/>
        <w:numPr>
          <w:ilvl w:val="0"/>
          <w:numId w:val="23"/>
        </w:numPr>
        <w:tabs>
          <w:tab w:pos="3343" w:val="left" w:leader="none"/>
        </w:tabs>
        <w:spacing w:line="240" w:lineRule="auto" w:before="63" w:after="0"/>
        <w:ind w:left="3342" w:right="0" w:hanging="735"/>
        <w:jc w:val="left"/>
        <w:rPr>
          <w:sz w:val="21"/>
        </w:rPr>
      </w:pPr>
      <w:r>
        <w:rPr>
          <w:spacing w:val="-3"/>
          <w:sz w:val="21"/>
        </w:rPr>
        <w:t>休息时出现呼吸困难，且因缺氧必须广泛持续地进行输氧治疗。</w:t>
      </w:r>
    </w:p>
    <w:p>
      <w:pPr>
        <w:pStyle w:val="BodyText"/>
        <w:spacing w:before="7"/>
        <w:rPr>
          <w:sz w:val="12"/>
        </w:rPr>
      </w:pPr>
    </w:p>
    <w:p>
      <w:pPr>
        <w:spacing w:after="0"/>
        <w:rPr>
          <w:sz w:val="12"/>
        </w:rPr>
        <w:sectPr>
          <w:pgSz w:w="11910" w:h="16850"/>
          <w:pgMar w:top="1080" w:bottom="280" w:left="620" w:right="720"/>
        </w:sectPr>
      </w:pPr>
    </w:p>
    <w:p>
      <w:pPr>
        <w:pStyle w:val="Heading3"/>
        <w:numPr>
          <w:ilvl w:val="3"/>
          <w:numId w:val="4"/>
        </w:numPr>
        <w:tabs>
          <w:tab w:pos="1140" w:val="left" w:leader="none"/>
        </w:tabs>
        <w:spacing w:line="244" w:lineRule="auto" w:before="72" w:after="0"/>
        <w:ind w:left="1139" w:right="0" w:hanging="661"/>
        <w:jc w:val="left"/>
      </w:pPr>
      <w:r>
        <w:rPr>
          <w:spacing w:val="-2"/>
        </w:rPr>
        <w:t>严重多发性</w:t>
      </w:r>
      <w:r>
        <w:rPr>
          <w:spacing w:val="-6"/>
        </w:rPr>
        <w:t>硬化</w:t>
      </w:r>
    </w:p>
    <w:p>
      <w:pPr>
        <w:pStyle w:val="BodyText"/>
        <w:spacing w:line="242" w:lineRule="auto" w:before="72"/>
        <w:ind w:left="372" w:right="370"/>
        <w:jc w:val="both"/>
      </w:pPr>
      <w:r>
        <w:rPr/>
        <w:br w:type="column"/>
      </w:r>
      <w:r>
        <w:rPr>
          <w:spacing w:val="-6"/>
        </w:rPr>
        <w:t>指被保险人因脑及脊髓内的脱髓鞘病变而出现神经系统多灶性</w:t>
      </w:r>
      <w:r>
        <w:rPr>
          <w:spacing w:val="-2"/>
        </w:rPr>
        <w:t>（多发性</w:t>
      </w:r>
      <w:r>
        <w:rPr>
          <w:spacing w:val="-106"/>
        </w:rPr>
        <w:t>）</w:t>
      </w:r>
      <w:r>
        <w:rPr>
          <w:spacing w:val="-52"/>
        </w:rPr>
        <w:t>、多时相</w:t>
      </w:r>
      <w:r>
        <w:rPr>
          <w:spacing w:val="-2"/>
        </w:rPr>
        <w:t>（至</w:t>
      </w:r>
      <w:r>
        <w:rPr>
          <w:spacing w:val="-10"/>
        </w:rPr>
        <w:t>少 </w:t>
      </w:r>
      <w:r>
        <w:rPr>
          <w:spacing w:val="-6"/>
        </w:rPr>
        <w:t>6</w:t>
      </w:r>
      <w:r>
        <w:rPr>
          <w:spacing w:val="-17"/>
        </w:rPr>
        <w:t> 个月以内有一次以上</w:t>
      </w:r>
      <w:r>
        <w:rPr>
          <w:spacing w:val="-6"/>
        </w:rPr>
        <w:t>（不包含一次</w:t>
      </w:r>
      <w:r>
        <w:rPr>
          <w:spacing w:val="-82"/>
        </w:rPr>
        <w:t>）</w:t>
      </w:r>
      <w:r>
        <w:rPr>
          <w:spacing w:val="-6"/>
        </w:rPr>
        <w:t>的发作</w:t>
      </w:r>
      <w:r>
        <w:rPr>
          <w:spacing w:val="-80"/>
        </w:rPr>
        <w:t>）</w:t>
      </w:r>
      <w:r>
        <w:rPr>
          <w:spacing w:val="-21"/>
        </w:rPr>
        <w:t>的病变，须由计算机断层扫描</w:t>
      </w:r>
      <w:r>
        <w:rPr>
          <w:spacing w:val="18"/>
        </w:rPr>
        <w:t>（</w:t>
      </w:r>
      <w:r>
        <w:rPr>
          <w:spacing w:val="21"/>
        </w:rPr>
        <w:t>CT</w:t>
      </w:r>
      <w:r>
        <w:rPr>
          <w:spacing w:val="-85"/>
        </w:rPr>
        <w:t>）</w:t>
      </w:r>
      <w:r>
        <w:rPr>
          <w:spacing w:val="-106"/>
        </w:rPr>
        <w:t>、</w:t>
      </w:r>
      <w:r>
        <w:rPr>
          <w:spacing w:val="-2"/>
        </w:rPr>
        <w:t>核磁共振检查（MRI）或正电子发射断层扫描（PET）等影像学检查证实，且已经造</w:t>
      </w:r>
      <w:r>
        <w:rPr>
          <w:spacing w:val="-2"/>
        </w:rPr>
        <w:t>成自主生活能力完全丧失，无法独立完成六项基本日常生活活动中的三项或三项以</w:t>
      </w:r>
      <w:r>
        <w:rPr>
          <w:spacing w:val="-3"/>
        </w:rPr>
        <w:t>上，持续至少 </w:t>
      </w:r>
      <w:r>
        <w:rPr/>
        <w:t>180</w:t>
      </w:r>
      <w:r>
        <w:rPr>
          <w:spacing w:val="-8"/>
        </w:rPr>
        <w:t> 天。</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9"/>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both"/>
      </w:pPr>
      <w:r>
        <w:rPr>
          <w:spacing w:val="-2"/>
        </w:rPr>
        <w:t>因职业关系</w:t>
      </w:r>
    </w:p>
    <w:p>
      <w:pPr>
        <w:spacing w:line="242" w:lineRule="auto" w:before="2"/>
        <w:ind w:left="1139" w:right="0" w:firstLine="0"/>
        <w:jc w:val="both"/>
        <w:rPr>
          <w:b/>
          <w:sz w:val="21"/>
        </w:rPr>
      </w:pPr>
      <w:r>
        <w:rPr>
          <w:b/>
          <w:spacing w:val="-2"/>
          <w:sz w:val="21"/>
        </w:rPr>
        <w:t>导致的感染</w:t>
      </w:r>
      <w:r>
        <w:rPr>
          <w:b/>
          <w:spacing w:val="-2"/>
          <w:sz w:val="21"/>
        </w:rPr>
        <w:t>艾滋病病毒</w:t>
      </w:r>
      <w:r>
        <w:rPr>
          <w:b/>
          <w:spacing w:val="-2"/>
          <w:sz w:val="21"/>
        </w:rPr>
        <w:t>或患艾滋病</w:t>
      </w:r>
    </w:p>
    <w:p>
      <w:pPr>
        <w:pStyle w:val="BodyText"/>
        <w:spacing w:line="242" w:lineRule="auto" w:before="72"/>
        <w:ind w:left="372" w:right="373"/>
        <w:rPr>
          <w:rFonts w:ascii="黑体" w:eastAsia="黑体"/>
        </w:rPr>
      </w:pPr>
      <w:r>
        <w:rPr/>
        <w:br w:type="column"/>
      </w:r>
      <w:r>
        <w:rPr>
          <w:spacing w:val="-2"/>
        </w:rPr>
        <w:t>被保险人在其常规职业工作过程中遭遇外伤，或职业需要处理血液或其他体液时感</w:t>
      </w:r>
      <w:r>
        <w:rPr>
          <w:spacing w:val="-2"/>
        </w:rPr>
        <w:t>染上艾滋病病毒或患上艾滋病。</w:t>
      </w:r>
      <w:r>
        <w:rPr>
          <w:rFonts w:ascii="黑体" w:eastAsia="黑体"/>
          <w:spacing w:val="-2"/>
        </w:rPr>
        <w:t>并须满足下列全部条件：</w:t>
      </w:r>
    </w:p>
    <w:p>
      <w:pPr>
        <w:pStyle w:val="ListParagraph"/>
        <w:numPr>
          <w:ilvl w:val="0"/>
          <w:numId w:val="24"/>
        </w:numPr>
        <w:tabs>
          <w:tab w:pos="1108" w:val="left" w:leader="none"/>
        </w:tabs>
        <w:spacing w:line="242" w:lineRule="auto" w:before="61" w:after="0"/>
        <w:ind w:left="1107" w:right="267" w:hanging="735"/>
        <w:jc w:val="left"/>
        <w:rPr>
          <w:sz w:val="21"/>
        </w:rPr>
      </w:pPr>
      <w:r>
        <w:rPr>
          <w:spacing w:val="-6"/>
          <w:sz w:val="21"/>
        </w:rPr>
        <w:t>感染必须是在被保险人正在从事其职业工作中发生，该职业必须属于下列职业：医生、护士、实验室工作人员、医院护工、医生助理、救护车工作人员、</w:t>
      </w:r>
      <w:r>
        <w:rPr>
          <w:spacing w:val="-2"/>
          <w:sz w:val="21"/>
        </w:rPr>
        <w:t>助产士、消防队员、警察；</w:t>
      </w:r>
    </w:p>
    <w:p>
      <w:pPr>
        <w:pStyle w:val="ListParagraph"/>
        <w:numPr>
          <w:ilvl w:val="0"/>
          <w:numId w:val="24"/>
        </w:numPr>
        <w:tabs>
          <w:tab w:pos="1108" w:val="left" w:leader="none"/>
        </w:tabs>
        <w:spacing w:line="242" w:lineRule="auto" w:before="61" w:after="0"/>
        <w:ind w:left="1107" w:right="370" w:hanging="735"/>
        <w:jc w:val="left"/>
        <w:rPr>
          <w:sz w:val="21"/>
        </w:rPr>
      </w:pPr>
      <w:r>
        <w:rPr>
          <w:spacing w:val="-3"/>
          <w:sz w:val="21"/>
        </w:rPr>
        <w:t>必须提供被保险人在所报事故发生后的 </w:t>
      </w:r>
      <w:r>
        <w:rPr>
          <w:sz w:val="21"/>
        </w:rPr>
        <w:t>5</w:t>
      </w:r>
      <w:r>
        <w:rPr>
          <w:spacing w:val="-13"/>
          <w:sz w:val="21"/>
        </w:rPr>
        <w:t> 天以内进行的检查报告，该报告必</w:t>
      </w:r>
      <w:r>
        <w:rPr>
          <w:spacing w:val="-1"/>
          <w:sz w:val="21"/>
        </w:rPr>
        <w:t>须显示被保险人血液 </w:t>
      </w:r>
      <w:r>
        <w:rPr>
          <w:sz w:val="21"/>
        </w:rPr>
        <w:t>HIV</w:t>
      </w:r>
      <w:r>
        <w:rPr>
          <w:spacing w:val="-6"/>
          <w:sz w:val="21"/>
        </w:rPr>
        <w:t> 病毒阴性和/或 </w:t>
      </w:r>
      <w:r>
        <w:rPr>
          <w:sz w:val="21"/>
        </w:rPr>
        <w:t>HIV</w:t>
      </w:r>
      <w:r>
        <w:rPr>
          <w:spacing w:val="-4"/>
          <w:sz w:val="21"/>
        </w:rPr>
        <w:t> 抗体阴性；</w:t>
      </w:r>
    </w:p>
    <w:p>
      <w:pPr>
        <w:pStyle w:val="ListParagraph"/>
        <w:numPr>
          <w:ilvl w:val="0"/>
          <w:numId w:val="24"/>
        </w:numPr>
        <w:tabs>
          <w:tab w:pos="1108" w:val="left" w:leader="none"/>
        </w:tabs>
        <w:spacing w:line="242" w:lineRule="auto" w:before="62" w:after="0"/>
        <w:ind w:left="1107" w:right="372" w:hanging="735"/>
        <w:jc w:val="left"/>
        <w:rPr>
          <w:sz w:val="21"/>
        </w:rPr>
      </w:pPr>
      <w:r>
        <w:rPr>
          <w:spacing w:val="-1"/>
          <w:sz w:val="21"/>
        </w:rPr>
        <w:t>必须在事故发生后的 </w:t>
      </w:r>
      <w:r>
        <w:rPr>
          <w:sz w:val="21"/>
        </w:rPr>
        <w:t>6</w:t>
      </w:r>
      <w:r>
        <w:rPr>
          <w:spacing w:val="-2"/>
          <w:sz w:val="21"/>
        </w:rPr>
        <w:t> 个月内证实被保险人体内存在 </w:t>
      </w:r>
      <w:r>
        <w:rPr>
          <w:sz w:val="21"/>
        </w:rPr>
        <w:t>HIV</w:t>
      </w:r>
      <w:r>
        <w:rPr>
          <w:spacing w:val="-2"/>
          <w:sz w:val="21"/>
        </w:rPr>
        <w:t> 病毒或 </w:t>
      </w:r>
      <w:r>
        <w:rPr>
          <w:sz w:val="21"/>
        </w:rPr>
        <w:t>HIV</w:t>
      </w:r>
      <w:r>
        <w:rPr>
          <w:spacing w:val="-2"/>
          <w:sz w:val="21"/>
        </w:rPr>
        <w:t> 抗</w:t>
      </w:r>
      <w:r>
        <w:rPr>
          <w:spacing w:val="-2"/>
          <w:sz w:val="21"/>
        </w:rPr>
        <w:t>体，即血液 </w:t>
      </w:r>
      <w:r>
        <w:rPr>
          <w:sz w:val="21"/>
        </w:rPr>
        <w:t>HIV</w:t>
      </w:r>
      <w:r>
        <w:rPr>
          <w:spacing w:val="-6"/>
          <w:sz w:val="21"/>
        </w:rPr>
        <w:t> 病毒阳性和/或 </w:t>
      </w:r>
      <w:r>
        <w:rPr>
          <w:sz w:val="21"/>
        </w:rPr>
        <w:t>HIV</w:t>
      </w:r>
      <w:r>
        <w:rPr>
          <w:spacing w:val="-4"/>
          <w:sz w:val="21"/>
        </w:rPr>
        <w:t> 抗体阳性。</w:t>
      </w:r>
    </w:p>
    <w:p>
      <w:pPr>
        <w:spacing w:after="0" w:line="242" w:lineRule="auto"/>
        <w:jc w:val="left"/>
        <w:rPr>
          <w:sz w:val="21"/>
        </w:rPr>
        <w:sectPr>
          <w:type w:val="continuous"/>
          <w:pgSz w:w="11910" w:h="16850"/>
          <w:pgMar w:top="520" w:bottom="280" w:left="620" w:right="720"/>
          <w:cols w:num="2" w:equalWidth="0">
            <w:col w:w="2196" w:space="40"/>
            <w:col w:w="8334"/>
          </w:cols>
        </w:sectPr>
      </w:pP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严重溃疡性</w:t>
      </w:r>
    </w:p>
    <w:p>
      <w:pPr>
        <w:spacing w:before="2"/>
        <w:ind w:left="1139" w:right="0" w:firstLine="0"/>
        <w:jc w:val="left"/>
        <w:rPr>
          <w:b/>
          <w:sz w:val="21"/>
        </w:rPr>
      </w:pPr>
      <w:r>
        <w:rPr>
          <w:b/>
          <w:spacing w:val="-4"/>
          <w:sz w:val="21"/>
        </w:rPr>
        <w:t>结肠炎</w:t>
      </w:r>
    </w:p>
    <w:p>
      <w:pPr>
        <w:pStyle w:val="BodyText"/>
        <w:spacing w:line="242" w:lineRule="auto" w:before="72"/>
        <w:ind w:left="372" w:right="373"/>
        <w:jc w:val="both"/>
      </w:pPr>
      <w:r>
        <w:rPr/>
        <w:br w:type="column"/>
      </w:r>
      <w:r>
        <w:rPr>
          <w:spacing w:val="-2"/>
        </w:rPr>
        <w:t>指伴有致命性电解质紊乱的急性暴发性溃疡性结肠炎，病变累及全结肠，表现为严</w:t>
      </w:r>
      <w:r>
        <w:rPr>
          <w:spacing w:val="-2"/>
        </w:rPr>
        <w:t>重的血便和系统性症状体征，须根据组织病理学特点诊断，并且被保险人已经接受</w:t>
      </w:r>
      <w:r>
        <w:rPr>
          <w:spacing w:val="-2"/>
        </w:rPr>
        <w:t>了全结肠切除和回肠造瘘术。</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5"/>
        <w:rPr>
          <w:sz w:val="12"/>
        </w:rPr>
      </w:pPr>
    </w:p>
    <w:p>
      <w:pPr>
        <w:pStyle w:val="ListParagraph"/>
        <w:numPr>
          <w:ilvl w:val="3"/>
          <w:numId w:val="4"/>
        </w:numPr>
        <w:tabs>
          <w:tab w:pos="1140" w:val="left" w:leader="none"/>
        </w:tabs>
        <w:spacing w:line="242" w:lineRule="auto" w:before="72" w:after="0"/>
        <w:ind w:left="2608" w:right="373" w:hanging="2130"/>
        <w:jc w:val="both"/>
        <w:rPr>
          <w:rFonts w:ascii="黑体" w:eastAsia="黑体"/>
          <w:sz w:val="21"/>
        </w:rPr>
      </w:pPr>
      <w:r>
        <w:rPr>
          <w:b/>
          <w:spacing w:val="49"/>
          <w:sz w:val="21"/>
        </w:rPr>
        <w:t>重症肌无力 </w:t>
      </w:r>
      <w:r>
        <w:rPr>
          <w:sz w:val="21"/>
        </w:rPr>
        <w:t>指一种神经与肌肉接头部位传递障碍的自身免疫性疾病，临床特征是局部或全身横</w:t>
      </w:r>
      <w:r>
        <w:rPr>
          <w:spacing w:val="-2"/>
          <w:sz w:val="21"/>
        </w:rPr>
        <w:t>纹肌于活动时易于疲劳无力，颅神经眼外肌最易累及，也可涉及呼吸肌、下肢近端</w:t>
      </w:r>
      <w:r>
        <w:rPr>
          <w:spacing w:val="-2"/>
          <w:sz w:val="21"/>
        </w:rPr>
        <w:t>肌群以至全身肌肉。</w:t>
      </w:r>
      <w:r>
        <w:rPr>
          <w:rFonts w:ascii="黑体" w:eastAsia="黑体"/>
          <w:spacing w:val="-2"/>
          <w:sz w:val="21"/>
        </w:rPr>
        <w:t>并须满足下列全部条件：</w:t>
      </w:r>
    </w:p>
    <w:p>
      <w:pPr>
        <w:pStyle w:val="ListParagraph"/>
        <w:numPr>
          <w:ilvl w:val="0"/>
          <w:numId w:val="25"/>
        </w:numPr>
        <w:tabs>
          <w:tab w:pos="3343" w:val="left" w:leader="none"/>
        </w:tabs>
        <w:spacing w:line="240" w:lineRule="auto" w:before="61" w:after="0"/>
        <w:ind w:left="3342" w:right="0" w:hanging="735"/>
        <w:jc w:val="both"/>
        <w:rPr>
          <w:sz w:val="21"/>
        </w:rPr>
      </w:pPr>
      <w:r>
        <w:rPr>
          <w:spacing w:val="-3"/>
          <w:sz w:val="21"/>
        </w:rPr>
        <w:t>经药物治疗和胸腺手术治疗一年以上无法控制病情；</w:t>
      </w:r>
    </w:p>
    <w:p>
      <w:pPr>
        <w:pStyle w:val="ListParagraph"/>
        <w:numPr>
          <w:ilvl w:val="0"/>
          <w:numId w:val="25"/>
        </w:numPr>
        <w:tabs>
          <w:tab w:pos="3343" w:val="left" w:leader="none"/>
        </w:tabs>
        <w:spacing w:line="242" w:lineRule="auto" w:before="64" w:after="0"/>
        <w:ind w:left="3342" w:right="370" w:hanging="735"/>
        <w:jc w:val="both"/>
        <w:rPr>
          <w:sz w:val="21"/>
        </w:rPr>
      </w:pPr>
      <w:r>
        <w:rPr>
          <w:spacing w:val="-10"/>
          <w:sz w:val="21"/>
        </w:rPr>
        <w:t>自主生活能力完全丧失，无法独立完成六项基本日常生活活动中的三项或三</w:t>
      </w:r>
      <w:r>
        <w:rPr>
          <w:spacing w:val="-4"/>
          <w:sz w:val="21"/>
        </w:rPr>
        <w:t>项以上。</w:t>
      </w: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严重类风湿</w:t>
      </w:r>
    </w:p>
    <w:p>
      <w:pPr>
        <w:spacing w:before="2"/>
        <w:ind w:left="1139" w:right="0" w:firstLine="0"/>
        <w:jc w:val="left"/>
        <w:rPr>
          <w:b/>
          <w:sz w:val="21"/>
        </w:rPr>
      </w:pPr>
      <w:r>
        <w:rPr>
          <w:b/>
          <w:spacing w:val="-3"/>
          <w:sz w:val="21"/>
        </w:rPr>
        <w:t>性关节炎</w:t>
      </w:r>
    </w:p>
    <w:p>
      <w:pPr>
        <w:pStyle w:val="BodyText"/>
        <w:spacing w:line="242" w:lineRule="auto" w:before="72"/>
        <w:ind w:left="372" w:right="370"/>
        <w:jc w:val="both"/>
        <w:rPr>
          <w:rFonts w:ascii="黑体" w:hAnsi="黑体" w:eastAsia="黑体"/>
        </w:rPr>
      </w:pPr>
      <w:r>
        <w:rPr/>
        <w:br w:type="column"/>
      </w:r>
      <w:r>
        <w:rPr>
          <w:spacing w:val="-2"/>
        </w:rPr>
        <w:t>指广泛分布的慢性进行性多关节病变，表现为关节严重变形，侵犯至少三个主要关</w:t>
      </w:r>
      <w:r>
        <w:rPr>
          <w:spacing w:val="-2"/>
        </w:rPr>
        <w:t>节（腕关节、肘关节、肩关节、踝关节、膝关节、髋关节）或关节组（如手的多个</w:t>
      </w:r>
      <w:r>
        <w:rPr>
          <w:spacing w:val="-2"/>
        </w:rPr>
        <w:t>指间、掌指关节，足的多个足趾、跖趾关节等</w:t>
      </w:r>
      <w:r>
        <w:rPr>
          <w:spacing w:val="-64"/>
        </w:rPr>
        <w:t>）</w:t>
      </w:r>
      <w:r>
        <w:rPr>
          <w:spacing w:val="-11"/>
        </w:rPr>
        <w:t>，并已达到类风湿性关节炎功能分类</w:t>
      </w:r>
      <w:r>
        <w:rPr>
          <w:spacing w:val="-2"/>
        </w:rPr>
        <w:t> Ⅳ级的永久不可逆性关节功能障碍，</w:t>
      </w:r>
      <w:r>
        <w:rPr>
          <w:rFonts w:ascii="黑体" w:hAnsi="黑体" w:eastAsia="黑体"/>
          <w:spacing w:val="-2"/>
        </w:rPr>
        <w:t>并须满足下列全部条件：</w:t>
      </w:r>
    </w:p>
    <w:p>
      <w:pPr>
        <w:pStyle w:val="ListParagraph"/>
        <w:numPr>
          <w:ilvl w:val="0"/>
          <w:numId w:val="26"/>
        </w:numPr>
        <w:tabs>
          <w:tab w:pos="1108" w:val="left" w:leader="none"/>
        </w:tabs>
        <w:spacing w:line="240" w:lineRule="auto" w:before="63" w:after="0"/>
        <w:ind w:left="1107" w:right="0" w:hanging="736"/>
        <w:jc w:val="left"/>
        <w:rPr>
          <w:sz w:val="21"/>
        </w:rPr>
      </w:pPr>
      <w:r>
        <w:rPr>
          <w:spacing w:val="-4"/>
          <w:sz w:val="21"/>
        </w:rPr>
        <w:t>晨僵；</w:t>
      </w:r>
    </w:p>
    <w:p>
      <w:pPr>
        <w:pStyle w:val="ListParagraph"/>
        <w:numPr>
          <w:ilvl w:val="0"/>
          <w:numId w:val="26"/>
        </w:numPr>
        <w:tabs>
          <w:tab w:pos="1108" w:val="left" w:leader="none"/>
        </w:tabs>
        <w:spacing w:line="240" w:lineRule="auto" w:before="62" w:after="0"/>
        <w:ind w:left="1107" w:right="0" w:hanging="736"/>
        <w:jc w:val="left"/>
        <w:rPr>
          <w:sz w:val="21"/>
        </w:rPr>
      </w:pPr>
      <w:r>
        <w:rPr>
          <w:spacing w:val="-4"/>
          <w:sz w:val="21"/>
        </w:rPr>
        <w:t>对称性关节炎；</w:t>
      </w:r>
    </w:p>
    <w:p>
      <w:pPr>
        <w:pStyle w:val="ListParagraph"/>
        <w:numPr>
          <w:ilvl w:val="0"/>
          <w:numId w:val="26"/>
        </w:numPr>
        <w:tabs>
          <w:tab w:pos="1108" w:val="left" w:leader="none"/>
        </w:tabs>
        <w:spacing w:line="240" w:lineRule="auto" w:before="64" w:after="0"/>
        <w:ind w:left="1107" w:right="0" w:hanging="736"/>
        <w:jc w:val="left"/>
        <w:rPr>
          <w:sz w:val="21"/>
        </w:rPr>
      </w:pPr>
      <w:r>
        <w:rPr>
          <w:spacing w:val="-3"/>
          <w:sz w:val="21"/>
        </w:rPr>
        <w:t>类风湿性皮下结节；</w:t>
      </w:r>
    </w:p>
    <w:p>
      <w:pPr>
        <w:pStyle w:val="ListParagraph"/>
        <w:numPr>
          <w:ilvl w:val="0"/>
          <w:numId w:val="26"/>
        </w:numPr>
        <w:tabs>
          <w:tab w:pos="1108" w:val="left" w:leader="none"/>
        </w:tabs>
        <w:spacing w:line="240" w:lineRule="auto" w:before="62" w:after="0"/>
        <w:ind w:left="1107" w:right="0" w:hanging="736"/>
        <w:jc w:val="left"/>
        <w:rPr>
          <w:sz w:val="21"/>
        </w:rPr>
      </w:pPr>
      <w:r>
        <w:rPr>
          <w:spacing w:val="-3"/>
          <w:sz w:val="21"/>
        </w:rPr>
        <w:t>类风湿因子滴度升高；</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ListParagraph"/>
        <w:numPr>
          <w:ilvl w:val="0"/>
          <w:numId w:val="26"/>
        </w:numPr>
        <w:tabs>
          <w:tab w:pos="3343" w:val="left" w:leader="none"/>
        </w:tabs>
        <w:spacing w:line="240" w:lineRule="auto" w:before="53" w:after="0"/>
        <w:ind w:left="3342" w:right="0" w:hanging="735"/>
        <w:jc w:val="left"/>
        <w:rPr>
          <w:sz w:val="21"/>
        </w:rPr>
      </w:pPr>
      <w:r>
        <w:rPr>
          <w:spacing w:val="-2"/>
          <w:sz w:val="21"/>
        </w:rPr>
        <w:t>X 线显示严重的关节（软骨和骨）</w:t>
      </w:r>
      <w:r>
        <w:rPr>
          <w:spacing w:val="-3"/>
          <w:sz w:val="21"/>
        </w:rPr>
        <w:t>破坏和关节畸形。</w:t>
      </w:r>
    </w:p>
    <w:p>
      <w:pPr>
        <w:pStyle w:val="BodyText"/>
        <w:spacing w:before="4"/>
        <w:rPr>
          <w:sz w:val="18"/>
        </w:rPr>
      </w:pPr>
    </w:p>
    <w:p>
      <w:pPr>
        <w:pStyle w:val="ListParagraph"/>
        <w:numPr>
          <w:ilvl w:val="3"/>
          <w:numId w:val="4"/>
        </w:numPr>
        <w:tabs>
          <w:tab w:pos="1140" w:val="left" w:leader="none"/>
        </w:tabs>
        <w:spacing w:line="242" w:lineRule="auto" w:before="1" w:after="0"/>
        <w:ind w:left="2608" w:right="373" w:hanging="2130"/>
        <w:jc w:val="both"/>
        <w:rPr>
          <w:rFonts w:ascii="黑体" w:eastAsia="黑体"/>
          <w:sz w:val="21"/>
        </w:rPr>
      </w:pPr>
      <w:r>
        <w:rPr>
          <w:b/>
          <w:spacing w:val="49"/>
          <w:sz w:val="21"/>
        </w:rPr>
        <w:t>脊髓灰质炎 </w:t>
      </w:r>
      <w:r>
        <w:rPr>
          <w:sz w:val="21"/>
        </w:rPr>
        <w:t>指由于脊髓灰质炎病毒感染所致的瘫痪性疾病，临床表现为运动功能损害或呼吸无</w:t>
      </w:r>
      <w:r>
        <w:rPr>
          <w:spacing w:val="-2"/>
          <w:sz w:val="21"/>
        </w:rPr>
        <w:t>力。脊髓灰质炎必须明确诊断。</w:t>
      </w:r>
      <w:r>
        <w:rPr>
          <w:rFonts w:ascii="黑体" w:eastAsia="黑体"/>
          <w:spacing w:val="-2"/>
          <w:sz w:val="21"/>
        </w:rPr>
        <w:t>本合同仅将脊髓灰质炎造成的神经系统功能损害导</w:t>
      </w:r>
      <w:r>
        <w:rPr>
          <w:rFonts w:ascii="黑体" w:eastAsia="黑体"/>
          <w:spacing w:val="-2"/>
          <w:sz w:val="21"/>
        </w:rPr>
        <w:t>致被保险人一肢或一肢以上肢体机能永久完全丧失的情况列入本合同所定义的重大</w:t>
      </w:r>
      <w:r>
        <w:rPr>
          <w:rFonts w:ascii="黑体" w:eastAsia="黑体"/>
          <w:spacing w:val="-4"/>
          <w:sz w:val="21"/>
        </w:rPr>
        <w:t>疾病范围。</w:t>
      </w:r>
    </w:p>
    <w:p>
      <w:pPr>
        <w:pStyle w:val="BodyText"/>
        <w:spacing w:line="242" w:lineRule="auto" w:before="62"/>
        <w:ind w:left="2608" w:right="370"/>
      </w:pPr>
      <w:r>
        <w:rPr>
          <w:spacing w:val="-3"/>
        </w:rPr>
        <w:t>肢体机能永久完全丧失，指疾病确诊 </w:t>
      </w:r>
      <w:r>
        <w:rPr/>
        <w:t>180</w:t>
      </w:r>
      <w:r>
        <w:rPr>
          <w:spacing w:val="-7"/>
        </w:rPr>
        <w:t> 天后，每肢三大关节中的两大关节仍然完</w:t>
      </w:r>
      <w:r>
        <w:rPr>
          <w:spacing w:val="-2"/>
        </w:rPr>
        <w:t>全僵硬，或不能随意识活动。</w:t>
      </w:r>
    </w:p>
    <w:p>
      <w:pPr>
        <w:pStyle w:val="BodyText"/>
        <w:spacing w:before="6"/>
        <w:rPr>
          <w:sz w:val="12"/>
        </w:rPr>
      </w:pPr>
    </w:p>
    <w:p>
      <w:pPr>
        <w:spacing w:after="0"/>
        <w:rPr>
          <w:sz w:val="12"/>
        </w:rPr>
        <w:sectPr>
          <w:pgSz w:w="11910" w:h="16850"/>
          <w:pgMar w:top="1140" w:bottom="280" w:left="620" w:right="720"/>
        </w:sectPr>
      </w:pPr>
    </w:p>
    <w:p>
      <w:pPr>
        <w:pStyle w:val="Heading3"/>
        <w:numPr>
          <w:ilvl w:val="3"/>
          <w:numId w:val="4"/>
        </w:numPr>
        <w:tabs>
          <w:tab w:pos="1140" w:val="left" w:leader="none"/>
        </w:tabs>
        <w:spacing w:line="240" w:lineRule="auto" w:before="72" w:after="0"/>
        <w:ind w:left="1139" w:right="0" w:hanging="661"/>
        <w:jc w:val="both"/>
      </w:pPr>
      <w:r>
        <w:rPr>
          <w:spacing w:val="-2"/>
        </w:rPr>
        <w:t>经输血导致</w:t>
      </w:r>
    </w:p>
    <w:p>
      <w:pPr>
        <w:spacing w:line="242" w:lineRule="auto" w:before="2"/>
        <w:ind w:left="1139" w:right="0" w:firstLine="0"/>
        <w:jc w:val="both"/>
        <w:rPr>
          <w:b/>
          <w:sz w:val="21"/>
        </w:rPr>
      </w:pPr>
      <w:r>
        <w:rPr>
          <w:b/>
          <w:spacing w:val="-2"/>
          <w:sz w:val="21"/>
        </w:rPr>
        <w:t>的感染艾滋</w:t>
      </w:r>
      <w:r>
        <w:rPr>
          <w:b/>
          <w:spacing w:val="-2"/>
          <w:sz w:val="21"/>
        </w:rPr>
        <w:t>病病毒或患</w:t>
      </w:r>
      <w:r>
        <w:rPr>
          <w:b/>
          <w:spacing w:val="-4"/>
          <w:sz w:val="21"/>
        </w:rPr>
        <w:t>艾滋病</w:t>
      </w:r>
    </w:p>
    <w:p>
      <w:pPr>
        <w:pStyle w:val="BodyText"/>
        <w:spacing w:before="72"/>
        <w:ind w:left="367"/>
        <w:rPr>
          <w:rFonts w:ascii="黑体" w:eastAsia="黑体"/>
        </w:rPr>
      </w:pPr>
      <w:r>
        <w:rPr/>
        <w:br w:type="column"/>
      </w:r>
      <w:r>
        <w:rPr>
          <w:spacing w:val="-2"/>
        </w:rPr>
        <w:t>指被保险人感染艾滋病病毒或患艾滋病，</w:t>
      </w:r>
      <w:r>
        <w:rPr>
          <w:rFonts w:ascii="黑体" w:eastAsia="黑体"/>
          <w:spacing w:val="-3"/>
        </w:rPr>
        <w:t>并须满足下列全部条件：</w:t>
      </w:r>
    </w:p>
    <w:p>
      <w:pPr>
        <w:pStyle w:val="ListParagraph"/>
        <w:numPr>
          <w:ilvl w:val="0"/>
          <w:numId w:val="27"/>
        </w:numPr>
        <w:tabs>
          <w:tab w:pos="1108" w:val="left" w:leader="none"/>
        </w:tabs>
        <w:spacing w:line="240" w:lineRule="auto" w:before="62" w:after="0"/>
        <w:ind w:left="1107" w:right="0" w:hanging="736"/>
        <w:jc w:val="left"/>
        <w:rPr>
          <w:sz w:val="21"/>
        </w:rPr>
      </w:pPr>
      <w:r>
        <w:rPr>
          <w:spacing w:val="-3"/>
          <w:sz w:val="21"/>
        </w:rPr>
        <w:t>在保险责任起始日或复效日之后因输血而感染；</w:t>
      </w:r>
    </w:p>
    <w:p>
      <w:pPr>
        <w:pStyle w:val="ListParagraph"/>
        <w:numPr>
          <w:ilvl w:val="0"/>
          <w:numId w:val="27"/>
        </w:numPr>
        <w:tabs>
          <w:tab w:pos="1108" w:val="left" w:leader="none"/>
        </w:tabs>
        <w:spacing w:line="244" w:lineRule="auto" w:before="62" w:after="0"/>
        <w:ind w:left="1107" w:right="370" w:hanging="735"/>
        <w:jc w:val="left"/>
        <w:rPr>
          <w:sz w:val="21"/>
        </w:rPr>
      </w:pPr>
      <w:r>
        <w:rPr>
          <w:spacing w:val="-5"/>
          <w:sz w:val="21"/>
        </w:rPr>
        <w:t>提供输血治疗的输血中心或医院出具的该项输血感染属医疗事故的报告，或</w:t>
      </w:r>
      <w:r>
        <w:rPr>
          <w:spacing w:val="-2"/>
          <w:sz w:val="21"/>
        </w:rPr>
        <w:t>法院确认被保险人系因输血导致感染艾滋病病毒或患艾滋病的生效判决；</w:t>
      </w:r>
    </w:p>
    <w:p>
      <w:pPr>
        <w:pStyle w:val="ListParagraph"/>
        <w:numPr>
          <w:ilvl w:val="0"/>
          <w:numId w:val="27"/>
        </w:numPr>
        <w:tabs>
          <w:tab w:pos="1108" w:val="left" w:leader="none"/>
        </w:tabs>
        <w:spacing w:line="240" w:lineRule="auto" w:before="56" w:after="0"/>
        <w:ind w:left="1107" w:right="0" w:hanging="736"/>
        <w:jc w:val="left"/>
        <w:rPr>
          <w:sz w:val="21"/>
        </w:rPr>
      </w:pPr>
      <w:r>
        <w:rPr>
          <w:spacing w:val="-3"/>
          <w:sz w:val="21"/>
        </w:rPr>
        <w:t>受感染的被保险人不是血友病患者。</w:t>
      </w:r>
    </w:p>
    <w:p>
      <w:pPr>
        <w:pStyle w:val="BodyText"/>
        <w:spacing w:line="242" w:lineRule="auto" w:before="65"/>
        <w:ind w:left="367" w:right="371"/>
        <w:rPr>
          <w:rFonts w:ascii="黑体" w:eastAsia="黑体"/>
        </w:rPr>
      </w:pPr>
      <w:r>
        <w:rPr>
          <w:rFonts w:ascii="黑体" w:eastAsia="黑体"/>
          <w:spacing w:val="-2"/>
        </w:rPr>
        <w:t>本公司具有获得和使用被保险人的所有血液样本的权利以及能够对这些样本进行独</w:t>
      </w:r>
      <w:r>
        <w:rPr>
          <w:rFonts w:ascii="黑体" w:eastAsia="黑体"/>
          <w:spacing w:val="-2"/>
        </w:rPr>
        <w:t>立检验的权利。</w:t>
      </w:r>
    </w:p>
    <w:p>
      <w:pPr>
        <w:pStyle w:val="BodyText"/>
        <w:spacing w:line="242" w:lineRule="auto" w:before="62"/>
        <w:ind w:left="372" w:right="373"/>
        <w:rPr>
          <w:rFonts w:ascii="黑体" w:eastAsia="黑体"/>
        </w:rPr>
      </w:pPr>
      <w:r>
        <w:rPr>
          <w:rFonts w:ascii="黑体" w:eastAsia="黑体"/>
          <w:spacing w:val="-2"/>
        </w:rPr>
        <w:t>任何因其他传播方式（包括：性传播或静脉注射毒品）导致感染艾滋病病毒或患艾</w:t>
      </w:r>
      <w:r>
        <w:rPr>
          <w:rFonts w:ascii="黑体" w:eastAsia="黑体"/>
          <w:spacing w:val="-2"/>
        </w:rPr>
        <w:t>滋病不在本合同所定义的重大疾病范围内。</w:t>
      </w:r>
    </w:p>
    <w:p>
      <w:pPr>
        <w:spacing w:after="0" w:line="242" w:lineRule="auto"/>
        <w:rPr>
          <w:rFonts w:ascii="黑体" w:eastAsia="黑体"/>
        </w:rPr>
        <w:sectPr>
          <w:type w:val="continuous"/>
          <w:pgSz w:w="11910" w:h="16850"/>
          <w:pgMar w:top="520" w:bottom="280" w:left="620" w:right="720"/>
          <w:cols w:num="2" w:equalWidth="0">
            <w:col w:w="2196" w:space="40"/>
            <w:col w:w="8334"/>
          </w:cols>
        </w:sectPr>
      </w:pPr>
    </w:p>
    <w:p>
      <w:pPr>
        <w:pStyle w:val="BodyText"/>
        <w:spacing w:before="6"/>
        <w:rPr>
          <w:rFonts w:ascii="黑体"/>
          <w:sz w:val="12"/>
        </w:rPr>
      </w:pPr>
    </w:p>
    <w:p>
      <w:pPr>
        <w:pStyle w:val="ListParagraph"/>
        <w:numPr>
          <w:ilvl w:val="3"/>
          <w:numId w:val="4"/>
        </w:numPr>
        <w:tabs>
          <w:tab w:pos="1140" w:val="left" w:leader="none"/>
          <w:tab w:pos="2608" w:val="left" w:leader="none"/>
        </w:tabs>
        <w:spacing w:line="242" w:lineRule="auto" w:before="72" w:after="0"/>
        <w:ind w:left="2608" w:right="373" w:hanging="2130"/>
        <w:jc w:val="left"/>
        <w:rPr>
          <w:sz w:val="21"/>
        </w:rPr>
      </w:pPr>
      <w:r>
        <w:rPr>
          <w:b/>
          <w:spacing w:val="-2"/>
          <w:sz w:val="21"/>
        </w:rPr>
        <w:t>严</w:t>
      </w:r>
      <w:r>
        <w:rPr>
          <w:b/>
          <w:spacing w:val="-2"/>
          <w:sz w:val="21"/>
        </w:rPr>
        <w:t>重</w:t>
      </w:r>
      <w:r>
        <w:rPr>
          <w:b/>
          <w:spacing w:val="-2"/>
          <w:sz w:val="21"/>
        </w:rPr>
        <w:t>克</w:t>
      </w:r>
      <w:r>
        <w:rPr>
          <w:b/>
          <w:spacing w:val="-2"/>
          <w:sz w:val="21"/>
        </w:rPr>
        <w:t>隆</w:t>
      </w:r>
      <w:r>
        <w:rPr>
          <w:b/>
          <w:spacing w:val="-2"/>
          <w:sz w:val="21"/>
        </w:rPr>
        <w:t>病</w:t>
      </w:r>
      <w:r>
        <w:rPr>
          <w:b/>
          <w:sz w:val="21"/>
        </w:rPr>
        <w:tab/>
      </w:r>
      <w:r>
        <w:rPr>
          <w:spacing w:val="-2"/>
          <w:sz w:val="21"/>
        </w:rPr>
        <w:t>指</w:t>
      </w:r>
      <w:r>
        <w:rPr>
          <w:spacing w:val="-2"/>
          <w:sz w:val="21"/>
        </w:rPr>
        <w:t>一</w:t>
      </w:r>
      <w:r>
        <w:rPr>
          <w:spacing w:val="-2"/>
          <w:sz w:val="21"/>
        </w:rPr>
        <w:t>种</w:t>
      </w:r>
      <w:r>
        <w:rPr>
          <w:spacing w:val="-2"/>
          <w:sz w:val="21"/>
        </w:rPr>
        <w:t>慢</w:t>
      </w:r>
      <w:r>
        <w:rPr>
          <w:spacing w:val="-2"/>
          <w:sz w:val="21"/>
        </w:rPr>
        <w:t>性</w:t>
      </w:r>
      <w:r>
        <w:rPr>
          <w:spacing w:val="-2"/>
          <w:sz w:val="21"/>
        </w:rPr>
        <w:t>肉</w:t>
      </w:r>
      <w:r>
        <w:rPr>
          <w:spacing w:val="-2"/>
          <w:sz w:val="21"/>
        </w:rPr>
        <w:t>芽</w:t>
      </w:r>
      <w:r>
        <w:rPr>
          <w:spacing w:val="-2"/>
          <w:sz w:val="21"/>
        </w:rPr>
        <w:t>肿</w:t>
      </w:r>
      <w:r>
        <w:rPr>
          <w:spacing w:val="-2"/>
          <w:sz w:val="21"/>
        </w:rPr>
        <w:t>性肠炎，</w:t>
      </w:r>
      <w:r>
        <w:rPr>
          <w:spacing w:val="-2"/>
          <w:sz w:val="21"/>
        </w:rPr>
        <w:t>具</w:t>
      </w:r>
      <w:r>
        <w:rPr>
          <w:spacing w:val="-2"/>
          <w:sz w:val="21"/>
        </w:rPr>
        <w:t>有</w:t>
      </w:r>
      <w:r>
        <w:rPr>
          <w:spacing w:val="-2"/>
          <w:sz w:val="21"/>
        </w:rPr>
        <w:t>特</w:t>
      </w:r>
      <w:r>
        <w:rPr>
          <w:spacing w:val="-2"/>
          <w:sz w:val="21"/>
        </w:rPr>
        <w:t>征</w:t>
      </w:r>
      <w:r>
        <w:rPr>
          <w:spacing w:val="-2"/>
          <w:sz w:val="21"/>
        </w:rPr>
        <w:t>性</w:t>
      </w:r>
      <w:r>
        <w:rPr>
          <w:spacing w:val="-2"/>
          <w:sz w:val="21"/>
        </w:rPr>
        <w:t>的</w:t>
      </w:r>
      <w:r>
        <w:rPr>
          <w:spacing w:val="-2"/>
          <w:sz w:val="21"/>
        </w:rPr>
        <w:t>克</w:t>
      </w:r>
      <w:r>
        <w:rPr>
          <w:spacing w:val="-2"/>
          <w:sz w:val="21"/>
        </w:rPr>
        <w:t>隆病病</w:t>
      </w:r>
      <w:r>
        <w:rPr>
          <w:spacing w:val="-2"/>
          <w:sz w:val="21"/>
        </w:rPr>
        <w:t>理</w:t>
      </w:r>
      <w:r>
        <w:rPr>
          <w:spacing w:val="-2"/>
          <w:sz w:val="21"/>
        </w:rPr>
        <w:t>组</w:t>
      </w:r>
      <w:r>
        <w:rPr>
          <w:spacing w:val="-2"/>
          <w:sz w:val="21"/>
        </w:rPr>
        <w:t>织</w:t>
      </w:r>
      <w:r>
        <w:rPr>
          <w:spacing w:val="-2"/>
          <w:sz w:val="21"/>
        </w:rPr>
        <w:t>学</w:t>
      </w:r>
      <w:r>
        <w:rPr>
          <w:spacing w:val="-2"/>
          <w:sz w:val="21"/>
        </w:rPr>
        <w:t>变</w:t>
      </w:r>
      <w:r>
        <w:rPr>
          <w:spacing w:val="-2"/>
          <w:sz w:val="21"/>
        </w:rPr>
        <w:t>化</w:t>
      </w:r>
      <w:r>
        <w:rPr>
          <w:spacing w:val="-2"/>
          <w:sz w:val="21"/>
        </w:rPr>
        <w:t>，</w:t>
      </w:r>
      <w:r>
        <w:rPr>
          <w:spacing w:val="-2"/>
          <w:sz w:val="21"/>
        </w:rPr>
        <w:t>须</w:t>
      </w:r>
      <w:r>
        <w:rPr>
          <w:spacing w:val="-2"/>
          <w:sz w:val="21"/>
        </w:rPr>
        <w:t>由病理</w:t>
      </w:r>
      <w:r>
        <w:rPr>
          <w:spacing w:val="-2"/>
          <w:sz w:val="21"/>
        </w:rPr>
        <w:t>学</w:t>
      </w:r>
      <w:r>
        <w:rPr>
          <w:spacing w:val="-2"/>
          <w:sz w:val="21"/>
        </w:rPr>
        <w:t>检</w:t>
      </w:r>
      <w:r>
        <w:rPr>
          <w:spacing w:val="-2"/>
          <w:sz w:val="21"/>
        </w:rPr>
        <w:t>查</w:t>
      </w:r>
      <w:r>
        <w:rPr>
          <w:spacing w:val="-2"/>
          <w:sz w:val="21"/>
        </w:rPr>
        <w:t>结</w:t>
      </w:r>
      <w:r>
        <w:rPr>
          <w:spacing w:val="-2"/>
          <w:sz w:val="21"/>
        </w:rPr>
        <w:t>果</w:t>
      </w:r>
      <w:r>
        <w:rPr>
          <w:spacing w:val="-2"/>
          <w:sz w:val="21"/>
        </w:rPr>
        <w:t>证实，且已经造成瘘</w:t>
      </w:r>
      <w:r>
        <w:rPr>
          <w:spacing w:val="-2"/>
          <w:sz w:val="21"/>
        </w:rPr>
        <w:t>管</w:t>
      </w:r>
      <w:r>
        <w:rPr>
          <w:spacing w:val="-2"/>
          <w:sz w:val="21"/>
        </w:rPr>
        <w:t>形</w:t>
      </w:r>
      <w:r>
        <w:rPr>
          <w:spacing w:val="-2"/>
          <w:sz w:val="21"/>
        </w:rPr>
        <w:t>成并伴有肠梗阻或肠</w:t>
      </w:r>
      <w:r>
        <w:rPr>
          <w:spacing w:val="-2"/>
          <w:sz w:val="21"/>
        </w:rPr>
        <w:t>穿</w:t>
      </w:r>
      <w:r>
        <w:rPr>
          <w:spacing w:val="-2"/>
          <w:sz w:val="21"/>
        </w:rPr>
        <w:t>孔</w:t>
      </w:r>
      <w:r>
        <w:rPr>
          <w:spacing w:val="-2"/>
          <w:sz w:val="21"/>
        </w:rPr>
        <w:t>。</w:t>
      </w:r>
    </w:p>
    <w:p>
      <w:pPr>
        <w:pStyle w:val="BodyText"/>
        <w:spacing w:before="4"/>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4" w:lineRule="auto" w:before="71" w:after="0"/>
        <w:ind w:left="1139" w:right="0" w:hanging="661"/>
        <w:jc w:val="left"/>
      </w:pPr>
      <w:r>
        <w:rPr>
          <w:spacing w:val="-2"/>
        </w:rPr>
        <w:t>肌营养不良</w:t>
      </w:r>
      <w:r>
        <w:rPr>
          <w:spacing w:val="-10"/>
        </w:rPr>
        <w:t>症</w:t>
      </w:r>
    </w:p>
    <w:p>
      <w:pPr>
        <w:pStyle w:val="BodyText"/>
        <w:spacing w:line="244" w:lineRule="auto" w:before="71"/>
        <w:ind w:left="372" w:right="372"/>
        <w:rPr>
          <w:rFonts w:ascii="黑体" w:eastAsia="黑体"/>
        </w:rPr>
      </w:pPr>
      <w:r>
        <w:rPr/>
        <w:br w:type="column"/>
      </w:r>
      <w:r>
        <w:rPr>
          <w:spacing w:val="-2"/>
        </w:rPr>
        <w:t>指一组遗传性肌肉变性病变，临床特征为与神经系统无关的肌肉无力和萎缩。</w:t>
      </w:r>
      <w:r>
        <w:rPr>
          <w:rFonts w:ascii="黑体" w:eastAsia="黑体"/>
          <w:spacing w:val="-2"/>
        </w:rPr>
        <w:t>并须</w:t>
      </w:r>
      <w:r>
        <w:rPr>
          <w:rFonts w:ascii="黑体" w:eastAsia="黑体"/>
          <w:spacing w:val="-2"/>
        </w:rPr>
        <w:t>满足下列全部条件：</w:t>
      </w:r>
    </w:p>
    <w:p>
      <w:pPr>
        <w:pStyle w:val="ListParagraph"/>
        <w:numPr>
          <w:ilvl w:val="0"/>
          <w:numId w:val="28"/>
        </w:numPr>
        <w:tabs>
          <w:tab w:pos="1108" w:val="left" w:leader="none"/>
        </w:tabs>
        <w:spacing w:line="240" w:lineRule="auto" w:before="56" w:after="0"/>
        <w:ind w:left="1107" w:right="0" w:hanging="736"/>
        <w:jc w:val="left"/>
        <w:rPr>
          <w:sz w:val="21"/>
        </w:rPr>
      </w:pPr>
      <w:r>
        <w:rPr>
          <w:spacing w:val="-3"/>
          <w:sz w:val="21"/>
        </w:rPr>
        <w:t>肌电图显示典型肌营养不良症的阳性改变；</w:t>
      </w:r>
    </w:p>
    <w:p>
      <w:pPr>
        <w:pStyle w:val="ListParagraph"/>
        <w:numPr>
          <w:ilvl w:val="0"/>
          <w:numId w:val="28"/>
        </w:numPr>
        <w:tabs>
          <w:tab w:pos="1108" w:val="left" w:leader="none"/>
        </w:tabs>
        <w:spacing w:line="242" w:lineRule="auto" w:before="65" w:after="0"/>
        <w:ind w:left="1107" w:right="382" w:hanging="735"/>
        <w:jc w:val="left"/>
        <w:rPr>
          <w:sz w:val="21"/>
        </w:rPr>
      </w:pPr>
      <w:r>
        <w:rPr>
          <w:spacing w:val="-2"/>
          <w:sz w:val="21"/>
        </w:rPr>
        <w:t>肌肉活检的病理学诊断符合肌营养不良症的肌肉细胞变性、坏死等阳性改</w:t>
      </w:r>
      <w:r>
        <w:rPr>
          <w:spacing w:val="-6"/>
          <w:sz w:val="21"/>
        </w:rPr>
        <w:t>变；</w:t>
      </w:r>
    </w:p>
    <w:p>
      <w:pPr>
        <w:pStyle w:val="ListParagraph"/>
        <w:numPr>
          <w:ilvl w:val="0"/>
          <w:numId w:val="28"/>
        </w:numPr>
        <w:tabs>
          <w:tab w:pos="1108" w:val="left" w:leader="none"/>
        </w:tabs>
        <w:spacing w:line="242" w:lineRule="auto" w:before="61" w:after="0"/>
        <w:ind w:left="1107" w:right="382" w:hanging="735"/>
        <w:jc w:val="left"/>
        <w:rPr>
          <w:sz w:val="21"/>
        </w:rPr>
      </w:pPr>
      <w:r>
        <w:rPr>
          <w:spacing w:val="-2"/>
          <w:sz w:val="21"/>
        </w:rPr>
        <w:t>已导致被保险人持续超过三个月无法独立完成六项基本日常生活活动中的</w:t>
      </w:r>
      <w:r>
        <w:rPr>
          <w:spacing w:val="-2"/>
          <w:sz w:val="21"/>
        </w:rPr>
        <w:t>三项或三项以上。</w:t>
      </w:r>
    </w:p>
    <w:p>
      <w:pPr>
        <w:spacing w:after="0" w:line="242"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1" w:after="0"/>
        <w:ind w:left="1139" w:right="0" w:hanging="1140"/>
        <w:jc w:val="right"/>
      </w:pPr>
      <w:r>
        <w:rPr>
          <w:spacing w:val="-2"/>
        </w:rPr>
        <w:t>破裂脑动脉</w:t>
      </w:r>
    </w:p>
    <w:p>
      <w:pPr>
        <w:spacing w:before="2"/>
        <w:ind w:left="0" w:right="0" w:firstLine="0"/>
        <w:jc w:val="right"/>
        <w:rPr>
          <w:b/>
          <w:sz w:val="21"/>
        </w:rPr>
      </w:pPr>
      <w:r>
        <w:rPr>
          <w:b/>
          <w:spacing w:val="-2"/>
          <w:sz w:val="21"/>
        </w:rPr>
        <w:t>瘤夹闭手术</w:t>
      </w:r>
    </w:p>
    <w:p>
      <w:pPr>
        <w:pStyle w:val="BodyText"/>
        <w:spacing w:line="242" w:lineRule="auto" w:before="71"/>
        <w:ind w:left="372" w:right="373"/>
      </w:pPr>
      <w:r>
        <w:rPr/>
        <w:br w:type="column"/>
      </w:r>
      <w:r>
        <w:rPr>
          <w:spacing w:val="-2"/>
        </w:rPr>
        <w:t>指因脑动脉瘤破裂造成蛛网膜下腔出血，被保险人已经实施了在全麻下进行的开颅</w:t>
      </w:r>
      <w:r>
        <w:rPr>
          <w:spacing w:val="-2"/>
        </w:rPr>
        <w:t>动脉瘤夹闭手术。</w:t>
      </w:r>
    </w:p>
    <w:p>
      <w:pPr>
        <w:pStyle w:val="BodyText"/>
        <w:spacing w:line="242" w:lineRule="auto" w:before="62"/>
        <w:ind w:left="372" w:right="373"/>
        <w:rPr>
          <w:rFonts w:ascii="黑体" w:eastAsia="黑体"/>
        </w:rPr>
      </w:pPr>
      <w:r>
        <w:rPr>
          <w:rFonts w:ascii="黑体" w:eastAsia="黑体"/>
          <w:spacing w:val="-2"/>
        </w:rPr>
        <w:t>脑动脉瘤（未破裂）预防性手术、颅骨打孔手术、动脉瘤栓塞手术、血管内手术及</w:t>
      </w:r>
      <w:r>
        <w:rPr>
          <w:rFonts w:ascii="黑体" w:eastAsia="黑体"/>
          <w:spacing w:val="-2"/>
        </w:rPr>
        <w:t>其他颅脑手术不在本合同所定义的重大疾病范围内。</w:t>
      </w:r>
    </w:p>
    <w:p>
      <w:pPr>
        <w:spacing w:after="0" w:line="242" w:lineRule="auto"/>
        <w:rPr>
          <w:rFonts w:ascii="黑体" w:eastAsia="黑体"/>
        </w:rPr>
        <w:sectPr>
          <w:type w:val="continuous"/>
          <w:pgSz w:w="11910" w:h="16850"/>
          <w:pgMar w:top="520" w:bottom="280" w:left="620" w:right="720"/>
          <w:cols w:num="2" w:equalWidth="0">
            <w:col w:w="2196" w:space="40"/>
            <w:col w:w="8334"/>
          </w:cols>
        </w:sectPr>
      </w:pPr>
    </w:p>
    <w:p>
      <w:pPr>
        <w:pStyle w:val="BodyText"/>
        <w:spacing w:before="3"/>
        <w:rPr>
          <w:rFonts w:ascii="黑体"/>
          <w:sz w:val="12"/>
        </w:rPr>
      </w:pPr>
    </w:p>
    <w:p>
      <w:pPr>
        <w:spacing w:after="0"/>
        <w:rPr>
          <w:rFonts w:ascii="黑体"/>
          <w:sz w:val="12"/>
        </w:rPr>
        <w:sectPr>
          <w:type w:val="continuous"/>
          <w:pgSz w:w="11910" w:h="16850"/>
          <w:pgMar w:top="520" w:bottom="280" w:left="620" w:right="720"/>
        </w:sectPr>
      </w:pPr>
    </w:p>
    <w:p>
      <w:pPr>
        <w:pStyle w:val="Heading3"/>
        <w:numPr>
          <w:ilvl w:val="3"/>
          <w:numId w:val="4"/>
        </w:numPr>
        <w:tabs>
          <w:tab w:pos="1140" w:val="left" w:leader="none"/>
        </w:tabs>
        <w:spacing w:line="244" w:lineRule="auto" w:before="72" w:after="0"/>
        <w:ind w:left="1139" w:right="0" w:hanging="661"/>
        <w:jc w:val="left"/>
      </w:pPr>
      <w:r>
        <w:rPr>
          <w:spacing w:val="-2"/>
        </w:rPr>
        <w:t>系统性硬皮</w:t>
      </w:r>
      <w:r>
        <w:rPr>
          <w:spacing w:val="-10"/>
        </w:rPr>
        <w:t>病</w:t>
      </w:r>
    </w:p>
    <w:p>
      <w:pPr>
        <w:pStyle w:val="BodyText"/>
        <w:spacing w:line="244" w:lineRule="auto" w:before="72"/>
        <w:ind w:left="372" w:right="373"/>
      </w:pPr>
      <w:r>
        <w:rPr/>
        <w:br w:type="column"/>
      </w:r>
      <w:r>
        <w:rPr>
          <w:spacing w:val="-2"/>
        </w:rPr>
        <w:t>一种系统性胶原血管病引起进行性的皮肤、血管和内脏器官的弥漫性纤维化。本病</w:t>
      </w:r>
      <w:r>
        <w:rPr>
          <w:spacing w:val="-2"/>
        </w:rPr>
        <w:t>症须经本公司认可的医院的专科医生明确诊断，</w:t>
      </w:r>
      <w:r>
        <w:rPr>
          <w:rFonts w:ascii="黑体" w:eastAsia="黑体"/>
          <w:spacing w:val="-2"/>
        </w:rPr>
        <w:t>并须满足下列全部条件</w:t>
      </w:r>
      <w:r>
        <w:rPr>
          <w:spacing w:val="-2"/>
        </w:rPr>
        <w:t>：</w:t>
      </w:r>
    </w:p>
    <w:p>
      <w:pPr>
        <w:pStyle w:val="ListParagraph"/>
        <w:numPr>
          <w:ilvl w:val="0"/>
          <w:numId w:val="29"/>
        </w:numPr>
        <w:tabs>
          <w:tab w:pos="1108" w:val="left" w:leader="none"/>
        </w:tabs>
        <w:spacing w:line="240" w:lineRule="auto" w:before="56" w:after="0"/>
        <w:ind w:left="1107" w:right="0" w:hanging="736"/>
        <w:jc w:val="left"/>
        <w:rPr>
          <w:sz w:val="21"/>
        </w:rPr>
      </w:pPr>
      <w:r>
        <w:rPr>
          <w:spacing w:val="-3"/>
          <w:sz w:val="21"/>
        </w:rPr>
        <w:t>由活检和血清学证据支持；</w:t>
      </w:r>
    </w:p>
    <w:p>
      <w:pPr>
        <w:pStyle w:val="ListParagraph"/>
        <w:numPr>
          <w:ilvl w:val="0"/>
          <w:numId w:val="29"/>
        </w:numPr>
        <w:tabs>
          <w:tab w:pos="1108" w:val="left" w:leader="none"/>
        </w:tabs>
        <w:spacing w:line="240" w:lineRule="auto" w:before="65" w:after="0"/>
        <w:ind w:left="1107" w:right="0" w:hanging="736"/>
        <w:jc w:val="left"/>
        <w:rPr>
          <w:sz w:val="21"/>
        </w:rPr>
      </w:pPr>
      <w:r>
        <w:rPr>
          <w:spacing w:val="-3"/>
          <w:sz w:val="21"/>
        </w:rPr>
        <w:t>疾病已经影响到肺脏、心脏或肾脏等内脏器官并且达到下列标准之一：</w:t>
      </w:r>
    </w:p>
    <w:p>
      <w:pPr>
        <w:pStyle w:val="BodyText"/>
        <w:spacing w:before="62"/>
        <w:ind w:left="1107"/>
      </w:pPr>
      <w:r>
        <w:rPr>
          <w:spacing w:val="-1"/>
        </w:rPr>
        <w:t>① 肺脏：已造成肺脏纤维化，并同时出现肺动脉高压和肺心病；</w:t>
      </w:r>
    </w:p>
    <w:p>
      <w:pPr>
        <w:pStyle w:val="BodyText"/>
        <w:spacing w:line="242" w:lineRule="auto" w:before="65"/>
        <w:ind w:left="1527" w:right="372" w:hanging="421"/>
      </w:pPr>
      <w:r>
        <w:rPr/>
        <w:t>② 心脏：心脏功能衰竭程度达到美国纽约心脏病学会心功能状态分级Ⅳ</w:t>
      </w:r>
      <w:r>
        <w:rPr>
          <w:spacing w:val="-6"/>
        </w:rPr>
        <w:t>级；</w:t>
      </w:r>
    </w:p>
    <w:p>
      <w:pPr>
        <w:pStyle w:val="BodyText"/>
        <w:spacing w:before="61"/>
        <w:ind w:left="1107"/>
      </w:pPr>
      <w:r>
        <w:rPr>
          <w:spacing w:val="-1"/>
        </w:rPr>
        <w:t>③ 肾脏：已造成肾脏损害，并出现肾功能衰竭。</w:t>
      </w:r>
    </w:p>
    <w:p>
      <w:pPr>
        <w:pStyle w:val="BodyText"/>
        <w:spacing w:line="244" w:lineRule="auto" w:before="62"/>
        <w:ind w:left="372" w:right="370"/>
        <w:rPr>
          <w:rFonts w:ascii="黑体" w:eastAsia="黑体"/>
        </w:rPr>
      </w:pPr>
      <w:r>
        <w:rPr>
          <w:rFonts w:ascii="黑体" w:eastAsia="黑体"/>
          <w:spacing w:val="-3"/>
        </w:rPr>
        <w:t>局限性硬皮病、嗜酸细胞筋膜炎和 </w:t>
      </w:r>
      <w:r>
        <w:rPr>
          <w:rFonts w:ascii="黑体" w:eastAsia="黑体"/>
        </w:rPr>
        <w:t>CREST</w:t>
      </w:r>
      <w:r>
        <w:rPr>
          <w:rFonts w:ascii="黑体" w:eastAsia="黑体"/>
          <w:spacing w:val="-7"/>
        </w:rPr>
        <w:t> 综合征不在本合同所定义的重大疾病范围</w:t>
      </w:r>
      <w:r>
        <w:rPr>
          <w:rFonts w:ascii="黑体" w:eastAsia="黑体"/>
          <w:spacing w:val="-6"/>
        </w:rPr>
        <w:t>内。</w:t>
      </w:r>
    </w:p>
    <w:p>
      <w:pPr>
        <w:pStyle w:val="BodyText"/>
        <w:spacing w:line="244" w:lineRule="auto" w:before="56"/>
        <w:ind w:left="372" w:right="373"/>
      </w:pPr>
      <w:r>
        <w:rPr>
          <w:spacing w:val="-2"/>
        </w:rPr>
        <w:t>美国纽约心脏病学会心功能状态分级Ⅳ级是指不能从事任何体力活动，休息时亦有</w:t>
      </w:r>
      <w:r>
        <w:rPr>
          <w:spacing w:val="-4"/>
        </w:rPr>
        <w:t>症状。</w:t>
      </w:r>
    </w:p>
    <w:p>
      <w:pPr>
        <w:spacing w:after="0" w:line="244" w:lineRule="auto"/>
        <w:sectPr>
          <w:type w:val="continuous"/>
          <w:pgSz w:w="11910" w:h="16850"/>
          <w:pgMar w:top="520" w:bottom="280" w:left="620" w:right="720"/>
          <w:cols w:num="2" w:equalWidth="0">
            <w:col w:w="2196" w:space="40"/>
            <w:col w:w="8334"/>
          </w:cols>
        </w:sectPr>
      </w:pPr>
    </w:p>
    <w:p>
      <w:pPr>
        <w:pStyle w:val="BodyText"/>
        <w:spacing w:before="1"/>
        <w:rPr>
          <w:sz w:val="12"/>
        </w:rPr>
      </w:pPr>
    </w:p>
    <w:p>
      <w:pPr>
        <w:pStyle w:val="ListParagraph"/>
        <w:numPr>
          <w:ilvl w:val="3"/>
          <w:numId w:val="4"/>
        </w:numPr>
        <w:tabs>
          <w:tab w:pos="1140" w:val="left" w:leader="none"/>
          <w:tab w:pos="2608" w:val="left" w:leader="none"/>
        </w:tabs>
        <w:spacing w:line="242" w:lineRule="auto" w:before="72" w:after="0"/>
        <w:ind w:left="2608" w:right="373" w:hanging="2130"/>
        <w:jc w:val="left"/>
        <w:rPr>
          <w:sz w:val="21"/>
        </w:rPr>
      </w:pPr>
      <w:r>
        <w:rPr>
          <w:b/>
          <w:spacing w:val="-2"/>
          <w:sz w:val="21"/>
        </w:rPr>
        <w:t>严</w:t>
      </w:r>
      <w:r>
        <w:rPr>
          <w:b/>
          <w:spacing w:val="-2"/>
          <w:sz w:val="21"/>
        </w:rPr>
        <w:t>重</w:t>
      </w:r>
      <w:r>
        <w:rPr>
          <w:b/>
          <w:spacing w:val="-2"/>
          <w:sz w:val="21"/>
        </w:rPr>
        <w:t>冠</w:t>
      </w:r>
      <w:r>
        <w:rPr>
          <w:b/>
          <w:spacing w:val="-2"/>
          <w:sz w:val="21"/>
        </w:rPr>
        <w:t>心</w:t>
      </w:r>
      <w:r>
        <w:rPr>
          <w:b/>
          <w:spacing w:val="-2"/>
          <w:sz w:val="21"/>
        </w:rPr>
        <w:t>病</w:t>
      </w:r>
      <w:r>
        <w:rPr>
          <w:b/>
          <w:sz w:val="21"/>
        </w:rPr>
        <w:tab/>
      </w:r>
      <w:r>
        <w:rPr>
          <w:spacing w:val="-2"/>
          <w:sz w:val="21"/>
        </w:rPr>
        <w:t>指</w:t>
      </w:r>
      <w:r>
        <w:rPr>
          <w:spacing w:val="-2"/>
          <w:sz w:val="21"/>
        </w:rPr>
        <w:t>经</w:t>
      </w:r>
      <w:r>
        <w:rPr>
          <w:spacing w:val="-2"/>
          <w:sz w:val="21"/>
        </w:rPr>
        <w:t>冠</w:t>
      </w:r>
      <w:r>
        <w:rPr>
          <w:spacing w:val="-2"/>
          <w:sz w:val="21"/>
        </w:rPr>
        <w:t>状</w:t>
      </w:r>
      <w:r>
        <w:rPr>
          <w:spacing w:val="-2"/>
          <w:sz w:val="21"/>
        </w:rPr>
        <w:t>动</w:t>
      </w:r>
      <w:r>
        <w:rPr>
          <w:spacing w:val="-2"/>
          <w:sz w:val="21"/>
        </w:rPr>
        <w:t>脉</w:t>
      </w:r>
      <w:r>
        <w:rPr>
          <w:spacing w:val="-2"/>
          <w:sz w:val="21"/>
        </w:rPr>
        <w:t>造</w:t>
      </w:r>
      <w:r>
        <w:rPr>
          <w:spacing w:val="-2"/>
          <w:sz w:val="21"/>
        </w:rPr>
        <w:t>影</w:t>
      </w:r>
      <w:r>
        <w:rPr>
          <w:spacing w:val="-2"/>
          <w:sz w:val="21"/>
        </w:rPr>
        <w:t>检查结</w:t>
      </w:r>
      <w:r>
        <w:rPr>
          <w:spacing w:val="-2"/>
          <w:sz w:val="21"/>
        </w:rPr>
        <w:t>果</w:t>
      </w:r>
      <w:r>
        <w:rPr>
          <w:spacing w:val="-2"/>
          <w:sz w:val="21"/>
        </w:rPr>
        <w:t>明</w:t>
      </w:r>
      <w:r>
        <w:rPr>
          <w:spacing w:val="-2"/>
          <w:sz w:val="21"/>
        </w:rPr>
        <w:t>确</w:t>
      </w:r>
      <w:r>
        <w:rPr>
          <w:spacing w:val="-2"/>
          <w:sz w:val="21"/>
        </w:rPr>
        <w:t>诊</w:t>
      </w:r>
      <w:r>
        <w:rPr>
          <w:spacing w:val="-2"/>
          <w:sz w:val="21"/>
        </w:rPr>
        <w:t>断</w:t>
      </w:r>
      <w:r>
        <w:rPr>
          <w:spacing w:val="-2"/>
          <w:sz w:val="21"/>
        </w:rPr>
        <w:t>为</w:t>
      </w:r>
      <w:r>
        <w:rPr>
          <w:spacing w:val="-2"/>
          <w:sz w:val="21"/>
        </w:rPr>
        <w:t>三</w:t>
      </w:r>
      <w:r>
        <w:rPr>
          <w:spacing w:val="-2"/>
          <w:sz w:val="21"/>
        </w:rPr>
        <w:t>支</w:t>
      </w:r>
      <w:r>
        <w:rPr>
          <w:spacing w:val="-2"/>
          <w:sz w:val="21"/>
        </w:rPr>
        <w:t>主要血</w:t>
      </w:r>
      <w:r>
        <w:rPr>
          <w:spacing w:val="-2"/>
          <w:sz w:val="21"/>
        </w:rPr>
        <w:t>管</w:t>
      </w:r>
      <w:r>
        <w:rPr>
          <w:spacing w:val="-2"/>
          <w:sz w:val="21"/>
        </w:rPr>
        <w:t>严</w:t>
      </w:r>
      <w:r>
        <w:rPr>
          <w:spacing w:val="-2"/>
          <w:sz w:val="21"/>
        </w:rPr>
        <w:t>重</w:t>
      </w:r>
      <w:r>
        <w:rPr>
          <w:spacing w:val="-2"/>
          <w:sz w:val="21"/>
        </w:rPr>
        <w:t>狭</w:t>
      </w:r>
      <w:r>
        <w:rPr>
          <w:spacing w:val="-2"/>
          <w:sz w:val="21"/>
        </w:rPr>
        <w:t>窄</w:t>
      </w:r>
      <w:r>
        <w:rPr>
          <w:spacing w:val="-2"/>
          <w:sz w:val="21"/>
        </w:rPr>
        <w:t>性</w:t>
      </w:r>
      <w:r>
        <w:rPr>
          <w:spacing w:val="-2"/>
          <w:sz w:val="21"/>
        </w:rPr>
        <w:t>病</w:t>
      </w:r>
      <w:r>
        <w:rPr>
          <w:spacing w:val="-2"/>
          <w:sz w:val="21"/>
        </w:rPr>
        <w:t>变</w:t>
      </w:r>
      <w:r>
        <w:rPr>
          <w:spacing w:val="-2"/>
          <w:sz w:val="21"/>
        </w:rPr>
        <w:t>（至少</w:t>
      </w:r>
      <w:r>
        <w:rPr>
          <w:spacing w:val="-2"/>
          <w:sz w:val="21"/>
        </w:rPr>
        <w:t>一</w:t>
      </w:r>
      <w:r>
        <w:rPr>
          <w:spacing w:val="-2"/>
          <w:sz w:val="21"/>
        </w:rPr>
        <w:t>支</w:t>
      </w:r>
      <w:r>
        <w:rPr>
          <w:spacing w:val="-2"/>
          <w:sz w:val="21"/>
        </w:rPr>
        <w:t>血</w:t>
      </w:r>
      <w:r>
        <w:rPr>
          <w:sz w:val="21"/>
        </w:rPr>
        <w:t>管管腔直径减少</w:t>
      </w:r>
      <w:r>
        <w:rPr>
          <w:spacing w:val="-20"/>
          <w:sz w:val="21"/>
        </w:rPr>
        <w:t> </w:t>
      </w:r>
      <w:r>
        <w:rPr>
          <w:sz w:val="21"/>
        </w:rPr>
        <w:t>75％以上</w:t>
      </w:r>
      <w:r>
        <w:rPr>
          <w:sz w:val="21"/>
        </w:rPr>
        <w:t>和其他两支血管管腔直径</w:t>
      </w:r>
      <w:r>
        <w:rPr>
          <w:sz w:val="21"/>
        </w:rPr>
        <w:t>减少</w:t>
      </w:r>
      <w:r>
        <w:rPr>
          <w:spacing w:val="-21"/>
          <w:sz w:val="21"/>
        </w:rPr>
        <w:t> </w:t>
      </w:r>
      <w:r>
        <w:rPr>
          <w:sz w:val="21"/>
        </w:rPr>
        <w:t>60％以上）。</w:t>
      </w:r>
    </w:p>
    <w:p>
      <w:pPr>
        <w:spacing w:after="0" w:line="242" w:lineRule="auto"/>
        <w:jc w:val="left"/>
        <w:rPr>
          <w:sz w:val="21"/>
        </w:rPr>
        <w:sectPr>
          <w:type w:val="continuous"/>
          <w:pgSz w:w="11910" w:h="16850"/>
          <w:pgMar w:top="520" w:bottom="280" w:left="620" w:right="720"/>
        </w:sectPr>
      </w:pPr>
    </w:p>
    <w:p>
      <w:pPr>
        <w:pStyle w:val="BodyText"/>
        <w:spacing w:line="244" w:lineRule="auto" w:before="53"/>
        <w:ind w:left="2608" w:right="373"/>
      </w:pPr>
      <w:r>
        <w:rPr>
          <w:spacing w:val="-2"/>
        </w:rPr>
        <w:t>冠状动脉的主要血管指左冠状动脉主干、前降支、左旋支及右冠状动脉。前降支、</w:t>
      </w:r>
      <w:r>
        <w:rPr>
          <w:spacing w:val="-2"/>
        </w:rPr>
        <w:t>左旋支及右冠状动脉的分支血管的狭窄不作为本保障的衡量指标。</w:t>
      </w:r>
    </w:p>
    <w:p>
      <w:pPr>
        <w:pStyle w:val="BodyText"/>
        <w:spacing w:before="1"/>
        <w:rPr>
          <w:sz w:val="12"/>
        </w:rPr>
      </w:pPr>
    </w:p>
    <w:p>
      <w:pPr>
        <w:spacing w:after="0"/>
        <w:rPr>
          <w:sz w:val="12"/>
        </w:rPr>
        <w:sectPr>
          <w:pgSz w:w="11910" w:h="16850"/>
          <w:pgMar w:top="1140" w:bottom="280" w:left="620" w:right="720"/>
        </w:sectPr>
      </w:pPr>
    </w:p>
    <w:p>
      <w:pPr>
        <w:pStyle w:val="Heading3"/>
        <w:numPr>
          <w:ilvl w:val="3"/>
          <w:numId w:val="4"/>
        </w:numPr>
        <w:tabs>
          <w:tab w:pos="1140" w:val="left" w:leader="none"/>
        </w:tabs>
        <w:spacing w:line="240" w:lineRule="auto" w:before="72" w:after="0"/>
        <w:ind w:left="1139" w:right="0" w:hanging="1140"/>
        <w:jc w:val="right"/>
      </w:pPr>
      <w:r>
        <w:rPr>
          <w:spacing w:val="-2"/>
        </w:rPr>
        <w:t>严重慢性复</w:t>
      </w:r>
    </w:p>
    <w:p>
      <w:pPr>
        <w:spacing w:before="4"/>
        <w:ind w:left="0" w:right="0" w:firstLine="0"/>
        <w:jc w:val="right"/>
        <w:rPr>
          <w:b/>
          <w:sz w:val="21"/>
        </w:rPr>
      </w:pPr>
      <w:r>
        <w:rPr>
          <w:b/>
          <w:spacing w:val="-2"/>
          <w:sz w:val="21"/>
        </w:rPr>
        <w:t>发性胰腺炎</w:t>
      </w:r>
    </w:p>
    <w:p>
      <w:pPr>
        <w:pStyle w:val="BodyText"/>
        <w:spacing w:line="242" w:lineRule="auto" w:before="72"/>
        <w:ind w:left="372" w:right="370"/>
        <w:jc w:val="both"/>
      </w:pPr>
      <w:r>
        <w:rPr/>
        <w:br w:type="column"/>
      </w:r>
      <w:r>
        <w:rPr>
          <w:spacing w:val="-2"/>
        </w:rPr>
        <w:t>指有腹痛等典型症状的胰腺炎反复发作，导致胰腺进行性破坏、胰腺功能紊乱，出</w:t>
      </w:r>
      <w:r>
        <w:rPr>
          <w:spacing w:val="-2"/>
        </w:rPr>
        <w:t>现严重糖尿病以及营养不良、恶液质。CT</w:t>
      </w:r>
      <w:r>
        <w:rPr>
          <w:spacing w:val="-7"/>
        </w:rPr>
        <w:t> 检查证实胰腺存在广泛钙化，且必须接受</w:t>
      </w:r>
      <w:r>
        <w:rPr>
          <w:spacing w:val="-4"/>
        </w:rPr>
        <w:t>酶替代以及胰岛素替代治疗 </w:t>
      </w:r>
      <w:r>
        <w:rPr>
          <w:spacing w:val="-2"/>
        </w:rPr>
        <w:t>6</w:t>
      </w:r>
      <w:r>
        <w:rPr>
          <w:spacing w:val="-7"/>
        </w:rPr>
        <w:t> 个月以上。本病症须经本公司认可的医院的消化科专</w:t>
      </w:r>
      <w:r>
        <w:rPr>
          <w:spacing w:val="-2"/>
        </w:rPr>
        <w:t>科医生明确诊断。</w:t>
      </w:r>
    </w:p>
    <w:p>
      <w:pPr>
        <w:pStyle w:val="BodyText"/>
        <w:spacing w:before="62"/>
        <w:ind w:left="372"/>
        <w:rPr>
          <w:rFonts w:ascii="黑体" w:eastAsia="黑体"/>
        </w:rPr>
      </w:pPr>
      <w:r>
        <w:rPr>
          <w:rFonts w:ascii="黑体" w:eastAsia="黑体"/>
          <w:spacing w:val="-3"/>
        </w:rPr>
        <w:t>酒精导致的慢性复发性胰腺炎不在本合同所定义的重大疾病范围内。</w:t>
      </w:r>
    </w:p>
    <w:p>
      <w:pPr>
        <w:spacing w:after="0"/>
        <w:rPr>
          <w:rFonts w:ascii="黑体" w:eastAsia="黑体"/>
        </w:rPr>
        <w:sectPr>
          <w:type w:val="continuous"/>
          <w:pgSz w:w="11910" w:h="16850"/>
          <w:pgMar w:top="520" w:bottom="280" w:left="620" w:right="720"/>
          <w:cols w:num="2" w:equalWidth="0">
            <w:col w:w="2196" w:space="40"/>
            <w:col w:w="8334"/>
          </w:cols>
        </w:sectPr>
      </w:pPr>
    </w:p>
    <w:p>
      <w:pPr>
        <w:pStyle w:val="BodyText"/>
        <w:spacing w:before="10"/>
        <w:rPr>
          <w:rFonts w:ascii="黑体"/>
          <w:sz w:val="12"/>
        </w:rPr>
      </w:pPr>
    </w:p>
    <w:p>
      <w:pPr>
        <w:spacing w:after="0"/>
        <w:rPr>
          <w:rFonts w:ascii="黑体"/>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61"/>
        <w:jc w:val="left"/>
      </w:pPr>
      <w:r>
        <w:rPr>
          <w:spacing w:val="-2"/>
        </w:rPr>
        <w:t>持续植物人</w:t>
      </w:r>
      <w:r>
        <w:rPr>
          <w:spacing w:val="-6"/>
        </w:rPr>
        <w:t>状态</w:t>
      </w:r>
    </w:p>
    <w:p>
      <w:pPr>
        <w:pStyle w:val="BodyText"/>
        <w:spacing w:line="242" w:lineRule="auto" w:before="72"/>
        <w:ind w:left="372" w:right="373" w:hanging="8"/>
        <w:jc w:val="both"/>
        <w:rPr>
          <w:rFonts w:ascii="黑体" w:eastAsia="黑体"/>
        </w:rPr>
      </w:pPr>
      <w:r>
        <w:rPr/>
        <w:br w:type="column"/>
      </w:r>
      <w:r>
        <w:rPr>
          <w:spacing w:val="-2"/>
        </w:rPr>
        <w:t>指因疾病或意外伤害导致被保险人躯体反射和自主反射全部丧失的深昏迷，但呼吸</w:t>
      </w:r>
      <w:r>
        <w:rPr>
          <w:spacing w:val="-2"/>
        </w:rPr>
        <w:t>和心跳是正常的，此时完全依赖支持疗法（如流质食物、静脉注射营养液等）维持</w:t>
      </w:r>
      <w:r>
        <w:rPr>
          <w:spacing w:val="-2"/>
        </w:rPr>
        <w:t>生命的临床状态。</w:t>
      </w:r>
      <w:r>
        <w:rPr>
          <w:rFonts w:ascii="黑体" w:eastAsia="黑体"/>
          <w:spacing w:val="-2"/>
        </w:rPr>
        <w:t>并须满足下列全部条件：</w:t>
      </w:r>
    </w:p>
    <w:p>
      <w:pPr>
        <w:pStyle w:val="ListParagraph"/>
        <w:numPr>
          <w:ilvl w:val="0"/>
          <w:numId w:val="30"/>
        </w:numPr>
        <w:tabs>
          <w:tab w:pos="1108" w:val="left" w:leader="none"/>
        </w:tabs>
        <w:spacing w:line="240" w:lineRule="auto" w:before="60" w:after="0"/>
        <w:ind w:left="1107" w:right="0" w:hanging="736"/>
        <w:jc w:val="both"/>
        <w:rPr>
          <w:sz w:val="21"/>
        </w:rPr>
      </w:pPr>
      <w:r>
        <w:rPr>
          <w:spacing w:val="-5"/>
          <w:sz w:val="21"/>
        </w:rPr>
        <w:t>诊断为植物人状态后并继续维持治疗 </w:t>
      </w:r>
      <w:r>
        <w:rPr>
          <w:spacing w:val="-2"/>
          <w:sz w:val="21"/>
        </w:rPr>
        <w:t>30</w:t>
      </w:r>
      <w:r>
        <w:rPr>
          <w:spacing w:val="-14"/>
          <w:sz w:val="21"/>
        </w:rPr>
        <w:t> 天以上；</w:t>
      </w:r>
    </w:p>
    <w:p>
      <w:pPr>
        <w:pStyle w:val="ListParagraph"/>
        <w:numPr>
          <w:ilvl w:val="0"/>
          <w:numId w:val="30"/>
        </w:numPr>
        <w:tabs>
          <w:tab w:pos="1108" w:val="left" w:leader="none"/>
        </w:tabs>
        <w:spacing w:line="240" w:lineRule="auto" w:before="63" w:after="0"/>
        <w:ind w:left="1107" w:right="0" w:hanging="736"/>
        <w:jc w:val="both"/>
        <w:rPr>
          <w:sz w:val="21"/>
        </w:rPr>
      </w:pPr>
      <w:r>
        <w:rPr>
          <w:spacing w:val="-18"/>
          <w:sz w:val="21"/>
        </w:rPr>
        <w:t>治疗 </w:t>
      </w:r>
      <w:r>
        <w:rPr>
          <w:spacing w:val="-2"/>
          <w:sz w:val="21"/>
        </w:rPr>
        <w:t>30</w:t>
      </w:r>
      <w:r>
        <w:rPr>
          <w:spacing w:val="-9"/>
          <w:sz w:val="21"/>
        </w:rPr>
        <w:t> 天前后的脑电图检查均为等电位</w:t>
      </w:r>
      <w:r>
        <w:rPr>
          <w:spacing w:val="-2"/>
          <w:sz w:val="21"/>
        </w:rPr>
        <w:t>（完全平坦</w:t>
      </w:r>
      <w:r>
        <w:rPr>
          <w:spacing w:val="-108"/>
          <w:sz w:val="21"/>
        </w:rPr>
        <w:t>）</w:t>
      </w:r>
      <w:r>
        <w:rPr>
          <w:spacing w:val="-10"/>
          <w:sz w:val="21"/>
        </w:rPr>
        <w:t>。</w:t>
      </w:r>
    </w:p>
    <w:p>
      <w:pPr>
        <w:spacing w:after="0" w:line="240" w:lineRule="auto"/>
        <w:jc w:val="both"/>
        <w:rPr>
          <w:sz w:val="21"/>
        </w:rPr>
        <w:sectPr>
          <w:type w:val="continuous"/>
          <w:pgSz w:w="11910" w:h="16850"/>
          <w:pgMar w:top="520" w:bottom="280" w:left="620" w:right="720"/>
          <w:cols w:num="2" w:equalWidth="0">
            <w:col w:w="2196" w:space="40"/>
            <w:col w:w="8334"/>
          </w:cols>
        </w:sectPr>
      </w:pPr>
    </w:p>
    <w:p>
      <w:pPr>
        <w:pStyle w:val="BodyText"/>
        <w:spacing w:before="10"/>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1" w:after="0"/>
        <w:ind w:left="1139" w:right="0" w:hanging="661"/>
        <w:jc w:val="left"/>
      </w:pPr>
      <w:r>
        <w:rPr>
          <w:spacing w:val="-2"/>
        </w:rPr>
        <w:t>坏死性筋膜</w:t>
      </w:r>
      <w:r>
        <w:rPr>
          <w:spacing w:val="-10"/>
        </w:rPr>
        <w:t>炎</w:t>
      </w:r>
    </w:p>
    <w:p>
      <w:pPr>
        <w:pStyle w:val="BodyText"/>
        <w:spacing w:line="242" w:lineRule="auto" w:before="71"/>
        <w:ind w:left="372" w:right="373"/>
        <w:rPr>
          <w:rFonts w:ascii="黑体" w:eastAsia="黑体"/>
        </w:rPr>
      </w:pPr>
      <w:r>
        <w:rPr/>
        <w:br w:type="column"/>
      </w:r>
      <w:r>
        <w:rPr>
          <w:spacing w:val="-2"/>
        </w:rPr>
        <w:t>是一种由细菌侵入皮下组织和筋膜引起的急性坏死性软组织感染，可伴有毒血症、</w:t>
      </w:r>
      <w:r>
        <w:rPr>
          <w:spacing w:val="-2"/>
        </w:rPr>
        <w:t>败血症、中毒性休克、弥漫性血管内凝血及多器官衰竭。</w:t>
      </w:r>
      <w:r>
        <w:rPr>
          <w:rFonts w:ascii="黑体" w:eastAsia="黑体"/>
          <w:spacing w:val="-3"/>
        </w:rPr>
        <w:t>并须满足下列全部条件：</w:t>
      </w:r>
    </w:p>
    <w:p>
      <w:pPr>
        <w:pStyle w:val="ListParagraph"/>
        <w:numPr>
          <w:ilvl w:val="0"/>
          <w:numId w:val="31"/>
        </w:numPr>
        <w:tabs>
          <w:tab w:pos="1108" w:val="left" w:leader="none"/>
        </w:tabs>
        <w:spacing w:line="240" w:lineRule="auto" w:before="62" w:after="0"/>
        <w:ind w:left="1107" w:right="0" w:hanging="736"/>
        <w:jc w:val="left"/>
        <w:rPr>
          <w:sz w:val="21"/>
        </w:rPr>
      </w:pPr>
      <w:r>
        <w:rPr>
          <w:spacing w:val="-3"/>
          <w:sz w:val="21"/>
        </w:rPr>
        <w:t>符合坏死性筋膜炎的一般临床表现；</w:t>
      </w:r>
    </w:p>
    <w:p>
      <w:pPr>
        <w:pStyle w:val="ListParagraph"/>
        <w:numPr>
          <w:ilvl w:val="0"/>
          <w:numId w:val="31"/>
        </w:numPr>
        <w:tabs>
          <w:tab w:pos="1108" w:val="left" w:leader="none"/>
        </w:tabs>
        <w:spacing w:line="240" w:lineRule="auto" w:before="62" w:after="0"/>
        <w:ind w:left="1107" w:right="0" w:hanging="736"/>
        <w:jc w:val="left"/>
        <w:rPr>
          <w:sz w:val="21"/>
        </w:rPr>
      </w:pPr>
      <w:r>
        <w:rPr>
          <w:spacing w:val="-3"/>
          <w:sz w:val="21"/>
        </w:rPr>
        <w:t>细菌培养检出致病菌；</w:t>
      </w:r>
    </w:p>
    <w:p>
      <w:pPr>
        <w:pStyle w:val="ListParagraph"/>
        <w:numPr>
          <w:ilvl w:val="0"/>
          <w:numId w:val="31"/>
        </w:numPr>
        <w:tabs>
          <w:tab w:pos="1108" w:val="left" w:leader="none"/>
        </w:tabs>
        <w:spacing w:line="240" w:lineRule="auto" w:before="64" w:after="0"/>
        <w:ind w:left="1107" w:right="0" w:hanging="736"/>
        <w:jc w:val="left"/>
        <w:rPr>
          <w:sz w:val="21"/>
        </w:rPr>
      </w:pPr>
      <w:r>
        <w:rPr>
          <w:spacing w:val="-2"/>
          <w:sz w:val="21"/>
        </w:rPr>
        <w:t>受感染肢体已被截肢（自腕关节或踝关节近端</w:t>
      </w:r>
      <w:r>
        <w:rPr>
          <w:spacing w:val="-106"/>
          <w:sz w:val="21"/>
        </w:rPr>
        <w:t>）</w:t>
      </w:r>
      <w:r>
        <w:rPr>
          <w:spacing w:val="-10"/>
          <w:sz w:val="21"/>
        </w:rPr>
        <w:t>。</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pStyle w:val="ListParagraph"/>
        <w:numPr>
          <w:ilvl w:val="3"/>
          <w:numId w:val="4"/>
        </w:numPr>
        <w:tabs>
          <w:tab w:pos="1140" w:val="left" w:leader="none"/>
        </w:tabs>
        <w:spacing w:line="242" w:lineRule="auto" w:before="72" w:after="0"/>
        <w:ind w:left="2608" w:right="372" w:hanging="2130"/>
        <w:jc w:val="both"/>
        <w:rPr>
          <w:rFonts w:ascii="黑体" w:eastAsia="黑体"/>
          <w:sz w:val="21"/>
        </w:rPr>
      </w:pPr>
      <w:r>
        <w:rPr>
          <w:b/>
          <w:spacing w:val="49"/>
          <w:sz w:val="21"/>
        </w:rPr>
        <w:t>嗜铬细胞瘤 </w:t>
      </w:r>
      <w:r>
        <w:rPr>
          <w:sz w:val="21"/>
        </w:rPr>
        <w:t>指发生在肾上腺或肾上腺外嗜铬组织的以分泌过多的儿茶酚胺为表现的神经内分泌</w:t>
      </w:r>
      <w:r>
        <w:rPr>
          <w:spacing w:val="-2"/>
          <w:sz w:val="21"/>
        </w:rPr>
        <w:t>肿瘤。嗜铬细胞瘤须经本公司认可的医院的内分泌专科医生明确诊断，</w:t>
      </w:r>
      <w:r>
        <w:rPr>
          <w:rFonts w:ascii="黑体" w:eastAsia="黑体"/>
          <w:spacing w:val="-2"/>
          <w:sz w:val="21"/>
        </w:rPr>
        <w:t>并须满足下</w:t>
      </w:r>
      <w:r>
        <w:rPr>
          <w:rFonts w:ascii="黑体" w:eastAsia="黑体"/>
          <w:spacing w:val="-2"/>
          <w:sz w:val="21"/>
        </w:rPr>
        <w:t>列全部条件：</w:t>
      </w:r>
    </w:p>
    <w:p>
      <w:pPr>
        <w:pStyle w:val="ListParagraph"/>
        <w:numPr>
          <w:ilvl w:val="0"/>
          <w:numId w:val="32"/>
        </w:numPr>
        <w:tabs>
          <w:tab w:pos="3343" w:val="left" w:leader="none"/>
        </w:tabs>
        <w:spacing w:line="240" w:lineRule="auto" w:before="61" w:after="0"/>
        <w:ind w:left="3342" w:right="0" w:hanging="735"/>
        <w:jc w:val="both"/>
        <w:rPr>
          <w:sz w:val="21"/>
        </w:rPr>
      </w:pPr>
      <w:r>
        <w:rPr>
          <w:spacing w:val="-3"/>
          <w:sz w:val="21"/>
        </w:rPr>
        <w:t>临床有高血压症候群表现；</w:t>
      </w:r>
    </w:p>
    <w:p>
      <w:pPr>
        <w:pStyle w:val="ListParagraph"/>
        <w:numPr>
          <w:ilvl w:val="0"/>
          <w:numId w:val="32"/>
        </w:numPr>
        <w:tabs>
          <w:tab w:pos="3343" w:val="left" w:leader="none"/>
        </w:tabs>
        <w:spacing w:line="240" w:lineRule="auto" w:before="64" w:after="0"/>
        <w:ind w:left="3342" w:right="0" w:hanging="735"/>
        <w:jc w:val="both"/>
        <w:rPr>
          <w:sz w:val="21"/>
        </w:rPr>
      </w:pPr>
      <w:r>
        <w:rPr>
          <w:spacing w:val="-3"/>
          <w:sz w:val="21"/>
        </w:rPr>
        <w:t>已经实施了嗜铬细胞瘤切除手术。</w:t>
      </w:r>
    </w:p>
    <w:p>
      <w:pPr>
        <w:pStyle w:val="BodyText"/>
        <w:spacing w:before="2"/>
        <w:rPr>
          <w:sz w:val="18"/>
        </w:rPr>
      </w:pPr>
    </w:p>
    <w:p>
      <w:pPr>
        <w:pStyle w:val="ListParagraph"/>
        <w:numPr>
          <w:ilvl w:val="3"/>
          <w:numId w:val="4"/>
        </w:numPr>
        <w:tabs>
          <w:tab w:pos="1140" w:val="left" w:leader="none"/>
        </w:tabs>
        <w:spacing w:line="242" w:lineRule="auto" w:before="1" w:after="0"/>
        <w:ind w:left="2608" w:right="372" w:hanging="2130"/>
        <w:jc w:val="both"/>
        <w:rPr>
          <w:sz w:val="21"/>
        </w:rPr>
      </w:pPr>
      <w:r>
        <w:rPr>
          <w:b/>
          <w:sz w:val="21"/>
        </w:rPr>
        <w:t>象皮病</w:t>
      </w:r>
      <w:r>
        <w:rPr>
          <w:b/>
          <w:spacing w:val="719"/>
          <w:sz w:val="21"/>
        </w:rPr>
        <w:t> </w:t>
      </w:r>
      <w:r>
        <w:rPr>
          <w:sz w:val="21"/>
        </w:rPr>
        <w:t>指末期丝虫病，按国际淋巴学会分级为三度淋巴液肿，其临床表现为肢体非凹陷性</w:t>
      </w:r>
      <w:r>
        <w:rPr>
          <w:spacing w:val="-2"/>
          <w:sz w:val="21"/>
        </w:rPr>
        <w:t>水肿伴畸形增大、硬皮症和疣状增生。此病症须经本公司认可的医院的专科医生根</w:t>
      </w:r>
      <w:r>
        <w:rPr>
          <w:spacing w:val="-2"/>
          <w:sz w:val="21"/>
        </w:rPr>
        <w:t>据临床表现和微丝蚴的化验结果确诊。</w:t>
      </w:r>
    </w:p>
    <w:p>
      <w:pPr>
        <w:pStyle w:val="BodyText"/>
        <w:spacing w:before="5"/>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4" w:lineRule="auto" w:before="72" w:after="0"/>
        <w:ind w:left="1139" w:right="0" w:hanging="661"/>
        <w:jc w:val="left"/>
      </w:pPr>
      <w:r>
        <w:rPr>
          <w:spacing w:val="-2"/>
        </w:rPr>
        <w:t>胰腺移植手</w:t>
      </w:r>
      <w:r>
        <w:rPr>
          <w:spacing w:val="-10"/>
        </w:rPr>
        <w:t>术</w:t>
      </w:r>
    </w:p>
    <w:p>
      <w:pPr>
        <w:pStyle w:val="BodyText"/>
        <w:spacing w:line="244" w:lineRule="auto" w:before="72"/>
        <w:ind w:left="372" w:right="373"/>
      </w:pPr>
      <w:r>
        <w:rPr/>
        <w:br w:type="column"/>
      </w:r>
      <w:r>
        <w:rPr>
          <w:spacing w:val="-2"/>
        </w:rPr>
        <w:t>指因胰腺功能衰竭，已经实施了在全身麻醉下进行的胰腺的异体器官移植手术（</w:t>
      </w:r>
      <w:r>
        <w:rPr>
          <w:spacing w:val="-2"/>
        </w:rPr>
        <w:t>供</w:t>
      </w:r>
      <w:r>
        <w:rPr>
          <w:spacing w:val="-2"/>
        </w:rPr>
        <w:t>体必须是人体器官</w:t>
      </w:r>
      <w:r>
        <w:rPr>
          <w:spacing w:val="-108"/>
        </w:rPr>
        <w:t>）</w:t>
      </w:r>
      <w:r>
        <w:rPr>
          <w:spacing w:val="-2"/>
        </w:rPr>
        <w:t>。</w:t>
      </w:r>
    </w:p>
    <w:p>
      <w:pPr>
        <w:pStyle w:val="BodyText"/>
        <w:spacing w:before="56"/>
        <w:ind w:left="372"/>
        <w:rPr>
          <w:rFonts w:ascii="黑体" w:eastAsia="黑体"/>
        </w:rPr>
      </w:pPr>
      <w:r>
        <w:rPr>
          <w:rFonts w:ascii="黑体" w:eastAsia="黑体"/>
          <w:spacing w:val="-3"/>
        </w:rPr>
        <w:t>单纯胰岛移植、部分胰腺组织或细胞的移植不在本合同所定义的重大疾病范围内。</w:t>
      </w:r>
    </w:p>
    <w:p>
      <w:pPr>
        <w:spacing w:after="0"/>
        <w:rPr>
          <w:rFonts w:ascii="黑体" w:eastAsia="黑体"/>
        </w:rPr>
        <w:sectPr>
          <w:type w:val="continuous"/>
          <w:pgSz w:w="11910" w:h="16850"/>
          <w:pgMar w:top="520" w:bottom="280" w:left="620" w:right="720"/>
          <w:cols w:num="2" w:equalWidth="0">
            <w:col w:w="2196" w:space="40"/>
            <w:col w:w="8334"/>
          </w:cols>
        </w:sectPr>
      </w:pPr>
    </w:p>
    <w:p>
      <w:pPr>
        <w:pStyle w:val="BodyText"/>
        <w:spacing w:before="9"/>
        <w:rPr>
          <w:rFonts w:ascii="黑体"/>
          <w:sz w:val="12"/>
        </w:rPr>
      </w:pPr>
    </w:p>
    <w:p>
      <w:pPr>
        <w:spacing w:after="0"/>
        <w:rPr>
          <w:rFonts w:ascii="黑体"/>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特发性慢性</w:t>
      </w:r>
    </w:p>
    <w:p>
      <w:pPr>
        <w:spacing w:line="244" w:lineRule="auto" w:before="2"/>
        <w:ind w:left="1139" w:right="0" w:firstLine="0"/>
        <w:jc w:val="left"/>
        <w:rPr>
          <w:b/>
          <w:sz w:val="21"/>
        </w:rPr>
      </w:pPr>
      <w:r>
        <w:rPr>
          <w:b/>
          <w:spacing w:val="-2"/>
          <w:sz w:val="21"/>
        </w:rPr>
        <w:t>肾上腺皮质</w:t>
      </w:r>
      <w:r>
        <w:rPr>
          <w:b/>
          <w:spacing w:val="-4"/>
          <w:sz w:val="21"/>
        </w:rPr>
        <w:t>功能减退</w:t>
      </w:r>
    </w:p>
    <w:p>
      <w:pPr>
        <w:pStyle w:val="BodyText"/>
        <w:spacing w:line="242" w:lineRule="auto" w:before="72"/>
        <w:ind w:left="372" w:right="373"/>
        <w:rPr>
          <w:rFonts w:ascii="黑体" w:eastAsia="黑体"/>
        </w:rPr>
      </w:pPr>
      <w:r>
        <w:rPr/>
        <w:br w:type="column"/>
      </w:r>
      <w:r>
        <w:rPr>
          <w:spacing w:val="-2"/>
        </w:rPr>
        <w:t>指自身免疫性肾上腺炎（既往称：特发性肾上腺皮质萎缩）导致肾上腺萎缩和慢性</w:t>
      </w:r>
      <w:r>
        <w:rPr>
          <w:spacing w:val="-2"/>
        </w:rPr>
        <w:t>肾上腺皮质功能减退。</w:t>
      </w:r>
      <w:r>
        <w:rPr>
          <w:rFonts w:ascii="黑体" w:eastAsia="黑体"/>
          <w:spacing w:val="-2"/>
        </w:rPr>
        <w:t>并须满足下列全部条件：</w:t>
      </w:r>
    </w:p>
    <w:p>
      <w:pPr>
        <w:pStyle w:val="ListParagraph"/>
        <w:numPr>
          <w:ilvl w:val="0"/>
          <w:numId w:val="33"/>
        </w:numPr>
        <w:tabs>
          <w:tab w:pos="1108" w:val="left" w:leader="none"/>
        </w:tabs>
        <w:spacing w:line="240" w:lineRule="auto" w:before="61" w:after="0"/>
        <w:ind w:left="1107" w:right="0" w:hanging="736"/>
        <w:jc w:val="left"/>
        <w:rPr>
          <w:sz w:val="21"/>
        </w:rPr>
      </w:pPr>
      <w:r>
        <w:rPr>
          <w:spacing w:val="-3"/>
          <w:sz w:val="21"/>
        </w:rPr>
        <w:t>明确诊断，符合所有以下诊断标准；</w:t>
      </w:r>
    </w:p>
    <w:p>
      <w:pPr>
        <w:pStyle w:val="BodyText"/>
        <w:spacing w:before="63"/>
        <w:ind w:left="1107"/>
        <w:jc w:val="both"/>
      </w:pPr>
      <w:r>
        <w:rPr>
          <w:spacing w:val="3"/>
        </w:rPr>
        <w:t>① 血浆促肾上腺皮质激素</w:t>
      </w:r>
      <w:r>
        <w:rPr/>
        <w:t>（ACTH）</w:t>
      </w:r>
      <w:r>
        <w:rPr>
          <w:spacing w:val="-8"/>
        </w:rPr>
        <w:t>水平测定大于 </w:t>
      </w:r>
      <w:r>
        <w:rPr>
          <w:spacing w:val="-2"/>
        </w:rPr>
        <w:t>100pg/ml；</w:t>
      </w:r>
    </w:p>
    <w:p>
      <w:pPr>
        <w:pStyle w:val="BodyText"/>
        <w:spacing w:line="242" w:lineRule="auto" w:before="64"/>
        <w:ind w:left="1527" w:right="370" w:hanging="421"/>
        <w:jc w:val="both"/>
      </w:pPr>
      <w:r>
        <w:rPr>
          <w:spacing w:val="-8"/>
        </w:rPr>
        <w:t>② 血浆和尿游离皮质醇及尿 </w:t>
      </w:r>
      <w:r>
        <w:rPr/>
        <w:t>17</w:t>
      </w:r>
      <w:r>
        <w:rPr>
          <w:spacing w:val="-5"/>
        </w:rPr>
        <w:t> 羟皮质类固醇、</w:t>
      </w:r>
      <w:r>
        <w:rPr/>
        <w:t>17</w:t>
      </w:r>
      <w:r>
        <w:rPr>
          <w:spacing w:val="-5"/>
        </w:rPr>
        <w:t> 酮皮质类固醇测定、血</w:t>
      </w:r>
      <w:r>
        <w:rPr>
          <w:spacing w:val="-4"/>
        </w:rPr>
        <w:t>浆肾素活性、血管紧张素Ⅱ和醛固酮测定，显示为原发性肾上腺皮质功</w:t>
      </w:r>
      <w:r>
        <w:rPr>
          <w:spacing w:val="-2"/>
        </w:rPr>
        <w:t>能减退症；</w:t>
      </w:r>
    </w:p>
    <w:p>
      <w:pPr>
        <w:pStyle w:val="BodyText"/>
        <w:spacing w:line="242" w:lineRule="auto" w:before="61"/>
        <w:ind w:left="1527" w:right="370" w:hanging="421"/>
        <w:jc w:val="both"/>
      </w:pPr>
      <w:r>
        <w:rPr>
          <w:spacing w:val="-3"/>
        </w:rPr>
        <w:t>③ 促肾上腺皮质激素</w:t>
      </w:r>
      <w:r>
        <w:rPr/>
        <w:t>（ACTH）刺激试验显示为原发性肾上腺皮质功能减退</w:t>
      </w:r>
      <w:r>
        <w:rPr>
          <w:spacing w:val="-6"/>
        </w:rPr>
        <w:t>症。</w:t>
      </w:r>
    </w:p>
    <w:p>
      <w:pPr>
        <w:pStyle w:val="ListParagraph"/>
        <w:numPr>
          <w:ilvl w:val="0"/>
          <w:numId w:val="33"/>
        </w:numPr>
        <w:tabs>
          <w:tab w:pos="1108" w:val="left" w:leader="none"/>
        </w:tabs>
        <w:spacing w:line="240" w:lineRule="auto" w:before="62" w:after="0"/>
        <w:ind w:left="1107" w:right="0" w:hanging="736"/>
        <w:jc w:val="both"/>
        <w:rPr>
          <w:sz w:val="21"/>
        </w:rPr>
      </w:pPr>
      <w:r>
        <w:rPr>
          <w:spacing w:val="-6"/>
          <w:sz w:val="21"/>
        </w:rPr>
        <w:t>已经采用皮质类固醇替代治疗 </w:t>
      </w:r>
      <w:r>
        <w:rPr>
          <w:spacing w:val="-2"/>
          <w:sz w:val="21"/>
        </w:rPr>
        <w:t>180</w:t>
      </w:r>
      <w:r>
        <w:rPr>
          <w:spacing w:val="-14"/>
          <w:sz w:val="21"/>
        </w:rPr>
        <w:t> 天以上。</w:t>
      </w:r>
    </w:p>
    <w:p>
      <w:pPr>
        <w:pStyle w:val="BodyText"/>
        <w:spacing w:line="244" w:lineRule="auto" w:before="62"/>
        <w:ind w:left="372" w:right="373"/>
        <w:jc w:val="both"/>
        <w:rPr>
          <w:rFonts w:ascii="黑体" w:eastAsia="黑体"/>
        </w:rPr>
      </w:pPr>
      <w:r>
        <w:rPr>
          <w:rFonts w:ascii="黑体" w:eastAsia="黑体"/>
        </w:rPr>
        <w:t>肾上腺结核、HIV</w:t>
      </w:r>
      <w:r>
        <w:rPr>
          <w:rFonts w:ascii="黑体" w:eastAsia="黑体"/>
          <w:spacing w:val="-3"/>
        </w:rPr>
        <w:t> 感染或艾滋病、感染、肿瘤所致的原发性肾上腺皮质功能减退和</w:t>
      </w:r>
      <w:r>
        <w:rPr>
          <w:rFonts w:ascii="黑体" w:eastAsia="黑体"/>
          <w:spacing w:val="-2"/>
        </w:rPr>
        <w:t>继发性肾上腺皮质功能减退不在本合同所定义的重大疾病范围内。</w:t>
      </w:r>
    </w:p>
    <w:p>
      <w:pPr>
        <w:spacing w:after="0" w:line="244" w:lineRule="auto"/>
        <w:jc w:val="both"/>
        <w:rPr>
          <w:rFonts w:ascii="黑体" w:eastAsia="黑体"/>
        </w:rPr>
        <w:sectPr>
          <w:type w:val="continuous"/>
          <w:pgSz w:w="11910" w:h="16850"/>
          <w:pgMar w:top="520" w:bottom="280" w:left="620" w:right="720"/>
          <w:cols w:num="2" w:equalWidth="0">
            <w:col w:w="2196" w:space="40"/>
            <w:col w:w="8334"/>
          </w:cols>
        </w:sectPr>
      </w:pPr>
    </w:p>
    <w:p>
      <w:pPr>
        <w:pStyle w:val="BodyText"/>
        <w:spacing w:before="1"/>
        <w:rPr>
          <w:rFonts w:ascii="黑体"/>
          <w:sz w:val="12"/>
        </w:rPr>
      </w:pPr>
    </w:p>
    <w:p>
      <w:pPr>
        <w:pStyle w:val="ListParagraph"/>
        <w:numPr>
          <w:ilvl w:val="3"/>
          <w:numId w:val="4"/>
        </w:numPr>
        <w:tabs>
          <w:tab w:pos="1140" w:val="left" w:leader="none"/>
          <w:tab w:pos="2608" w:val="left" w:leader="none"/>
        </w:tabs>
        <w:spacing w:line="244" w:lineRule="auto" w:before="71" w:after="0"/>
        <w:ind w:left="2608" w:right="373" w:hanging="2130"/>
        <w:jc w:val="left"/>
        <w:rPr>
          <w:rFonts w:ascii="黑体" w:eastAsia="黑体"/>
          <w:sz w:val="21"/>
        </w:rPr>
      </w:pPr>
      <w:r>
        <w:rPr>
          <w:b/>
          <w:spacing w:val="-2"/>
          <w:sz w:val="21"/>
        </w:rPr>
        <w:t>严</w:t>
      </w:r>
      <w:r>
        <w:rPr>
          <w:b/>
          <w:spacing w:val="-2"/>
          <w:sz w:val="21"/>
        </w:rPr>
        <w:t>重</w:t>
      </w:r>
      <w:r>
        <w:rPr>
          <w:b/>
          <w:spacing w:val="-2"/>
          <w:sz w:val="21"/>
        </w:rPr>
        <w:t>心</w:t>
      </w:r>
      <w:r>
        <w:rPr>
          <w:b/>
          <w:spacing w:val="-2"/>
          <w:sz w:val="21"/>
        </w:rPr>
        <w:t>肌</w:t>
      </w:r>
      <w:r>
        <w:rPr>
          <w:b/>
          <w:spacing w:val="-2"/>
          <w:sz w:val="21"/>
        </w:rPr>
        <w:t>炎</w:t>
      </w:r>
      <w:r>
        <w:rPr>
          <w:b/>
          <w:sz w:val="21"/>
        </w:rPr>
        <w:tab/>
      </w:r>
      <w:r>
        <w:rPr>
          <w:spacing w:val="-2"/>
          <w:sz w:val="21"/>
        </w:rPr>
        <w:t>指</w:t>
      </w:r>
      <w:r>
        <w:rPr>
          <w:spacing w:val="-2"/>
          <w:sz w:val="21"/>
        </w:rPr>
        <w:t>被</w:t>
      </w:r>
      <w:r>
        <w:rPr>
          <w:spacing w:val="-2"/>
          <w:sz w:val="21"/>
        </w:rPr>
        <w:t>保</w:t>
      </w:r>
      <w:r>
        <w:rPr>
          <w:spacing w:val="-2"/>
          <w:sz w:val="21"/>
        </w:rPr>
        <w:t>人</w:t>
      </w:r>
      <w:r>
        <w:rPr>
          <w:spacing w:val="-2"/>
          <w:sz w:val="21"/>
        </w:rPr>
        <w:t>因</w:t>
      </w:r>
      <w:r>
        <w:rPr>
          <w:spacing w:val="-2"/>
          <w:sz w:val="21"/>
        </w:rPr>
        <w:t>严</w:t>
      </w:r>
      <w:r>
        <w:rPr>
          <w:spacing w:val="-2"/>
          <w:sz w:val="21"/>
        </w:rPr>
        <w:t>重</w:t>
      </w:r>
      <w:r>
        <w:rPr>
          <w:spacing w:val="-2"/>
          <w:sz w:val="21"/>
        </w:rPr>
        <w:t>心</w:t>
      </w:r>
      <w:r>
        <w:rPr>
          <w:spacing w:val="-2"/>
          <w:sz w:val="21"/>
        </w:rPr>
        <w:t>肌炎症</w:t>
      </w:r>
      <w:r>
        <w:rPr>
          <w:spacing w:val="-2"/>
          <w:sz w:val="21"/>
        </w:rPr>
        <w:t>性</w:t>
      </w:r>
      <w:r>
        <w:rPr>
          <w:spacing w:val="-2"/>
          <w:sz w:val="21"/>
        </w:rPr>
        <w:t>病</w:t>
      </w:r>
      <w:r>
        <w:rPr>
          <w:spacing w:val="-2"/>
          <w:sz w:val="21"/>
        </w:rPr>
        <w:t>变</w:t>
      </w:r>
      <w:r>
        <w:rPr>
          <w:spacing w:val="-2"/>
          <w:sz w:val="21"/>
        </w:rPr>
        <w:t>导</w:t>
      </w:r>
      <w:r>
        <w:rPr>
          <w:spacing w:val="-2"/>
          <w:sz w:val="21"/>
        </w:rPr>
        <w:t>致</w:t>
      </w:r>
      <w:r>
        <w:rPr>
          <w:spacing w:val="-2"/>
          <w:sz w:val="21"/>
        </w:rPr>
        <w:t>心</w:t>
      </w:r>
      <w:r>
        <w:rPr>
          <w:spacing w:val="-2"/>
          <w:sz w:val="21"/>
        </w:rPr>
        <w:t>功</w:t>
      </w:r>
      <w:r>
        <w:rPr>
          <w:spacing w:val="-2"/>
          <w:sz w:val="21"/>
        </w:rPr>
        <w:t>能</w:t>
      </w:r>
      <w:r>
        <w:rPr>
          <w:spacing w:val="-2"/>
          <w:sz w:val="21"/>
        </w:rPr>
        <w:t>损害造</w:t>
      </w:r>
      <w:r>
        <w:rPr>
          <w:spacing w:val="-2"/>
          <w:sz w:val="21"/>
        </w:rPr>
        <w:t>成</w:t>
      </w:r>
      <w:r>
        <w:rPr>
          <w:spacing w:val="-2"/>
          <w:sz w:val="21"/>
        </w:rPr>
        <w:t>持</w:t>
      </w:r>
      <w:r>
        <w:rPr>
          <w:spacing w:val="-2"/>
          <w:sz w:val="21"/>
        </w:rPr>
        <w:t>续</w:t>
      </w:r>
      <w:r>
        <w:rPr>
          <w:spacing w:val="-2"/>
          <w:sz w:val="21"/>
        </w:rPr>
        <w:t>的</w:t>
      </w:r>
      <w:r>
        <w:rPr>
          <w:spacing w:val="-2"/>
          <w:sz w:val="21"/>
        </w:rPr>
        <w:t>永</w:t>
      </w:r>
      <w:r>
        <w:rPr>
          <w:spacing w:val="-2"/>
          <w:sz w:val="21"/>
        </w:rPr>
        <w:t>久</w:t>
      </w:r>
      <w:r>
        <w:rPr>
          <w:spacing w:val="-2"/>
          <w:sz w:val="21"/>
        </w:rPr>
        <w:t>不</w:t>
      </w:r>
      <w:r>
        <w:rPr>
          <w:spacing w:val="-2"/>
          <w:sz w:val="21"/>
        </w:rPr>
        <w:t>可</w:t>
      </w:r>
      <w:r>
        <w:rPr>
          <w:spacing w:val="-2"/>
          <w:sz w:val="21"/>
        </w:rPr>
        <w:t>逆性的</w:t>
      </w:r>
      <w:r>
        <w:rPr>
          <w:spacing w:val="-2"/>
          <w:sz w:val="21"/>
        </w:rPr>
        <w:t>心</w:t>
      </w:r>
      <w:r>
        <w:rPr>
          <w:spacing w:val="-2"/>
          <w:sz w:val="21"/>
        </w:rPr>
        <w:t>功</w:t>
      </w:r>
      <w:r>
        <w:rPr>
          <w:spacing w:val="-2"/>
          <w:sz w:val="21"/>
        </w:rPr>
        <w:t>能</w:t>
      </w:r>
      <w:r>
        <w:rPr>
          <w:spacing w:val="-2"/>
          <w:sz w:val="21"/>
        </w:rPr>
        <w:t>衰</w:t>
      </w:r>
      <w:r>
        <w:rPr>
          <w:spacing w:val="-2"/>
          <w:sz w:val="21"/>
        </w:rPr>
        <w:t>竭</w:t>
      </w:r>
      <w:r>
        <w:rPr>
          <w:spacing w:val="-2"/>
          <w:sz w:val="21"/>
        </w:rPr>
        <w:t>。</w:t>
      </w:r>
      <w:r>
        <w:rPr>
          <w:rFonts w:ascii="黑体" w:eastAsia="黑体"/>
          <w:spacing w:val="-2"/>
          <w:sz w:val="21"/>
        </w:rPr>
        <w:t>并须满足下列全部</w:t>
      </w:r>
      <w:r>
        <w:rPr>
          <w:rFonts w:ascii="黑体" w:eastAsia="黑体"/>
          <w:spacing w:val="-2"/>
          <w:sz w:val="21"/>
        </w:rPr>
        <w:t>条</w:t>
      </w:r>
      <w:r>
        <w:rPr>
          <w:rFonts w:ascii="黑体" w:eastAsia="黑体"/>
          <w:spacing w:val="-2"/>
          <w:sz w:val="21"/>
        </w:rPr>
        <w:t>件</w:t>
      </w:r>
      <w:r>
        <w:rPr>
          <w:rFonts w:ascii="黑体" w:eastAsia="黑体"/>
          <w:spacing w:val="-2"/>
          <w:sz w:val="21"/>
        </w:rPr>
        <w:t>：</w:t>
      </w:r>
    </w:p>
    <w:p>
      <w:pPr>
        <w:pStyle w:val="ListParagraph"/>
        <w:numPr>
          <w:ilvl w:val="0"/>
          <w:numId w:val="34"/>
        </w:numPr>
        <w:tabs>
          <w:tab w:pos="3343" w:val="left" w:leader="none"/>
        </w:tabs>
        <w:spacing w:line="240" w:lineRule="auto" w:before="56" w:after="0"/>
        <w:ind w:left="3342" w:right="0" w:hanging="735"/>
        <w:jc w:val="left"/>
        <w:rPr>
          <w:sz w:val="21"/>
        </w:rPr>
      </w:pPr>
      <w:r>
        <w:rPr>
          <w:spacing w:val="-6"/>
          <w:sz w:val="21"/>
        </w:rPr>
        <w:t>心功能衰竭程度达到纽约心脏病学会的心功能分级标准之心功能Ⅳ级，或左</w:t>
      </w:r>
    </w:p>
    <w:p>
      <w:pPr>
        <w:spacing w:after="0" w:line="240" w:lineRule="auto"/>
        <w:jc w:val="left"/>
        <w:rPr>
          <w:sz w:val="21"/>
        </w:rPr>
        <w:sectPr>
          <w:type w:val="continuous"/>
          <w:pgSz w:w="11910" w:h="16850"/>
          <w:pgMar w:top="520" w:bottom="280" w:left="620" w:right="720"/>
        </w:sectPr>
      </w:pPr>
    </w:p>
    <w:p>
      <w:pPr>
        <w:pStyle w:val="BodyText"/>
        <w:spacing w:before="53"/>
        <w:ind w:left="3342"/>
      </w:pPr>
      <w:r>
        <w:rPr>
          <w:spacing w:val="-8"/>
        </w:rPr>
        <w:t>室射血分数低于 </w:t>
      </w:r>
      <w:r>
        <w:rPr>
          <w:spacing w:val="-4"/>
        </w:rPr>
        <w:t>30%；</w:t>
      </w:r>
    </w:p>
    <w:p>
      <w:pPr>
        <w:pStyle w:val="ListParagraph"/>
        <w:numPr>
          <w:ilvl w:val="0"/>
          <w:numId w:val="34"/>
        </w:numPr>
        <w:tabs>
          <w:tab w:pos="3343" w:val="left" w:leader="none"/>
        </w:tabs>
        <w:spacing w:line="240" w:lineRule="auto" w:before="64" w:after="0"/>
        <w:ind w:left="3342" w:right="0" w:hanging="735"/>
        <w:jc w:val="left"/>
        <w:rPr>
          <w:sz w:val="21"/>
        </w:rPr>
      </w:pPr>
      <w:r>
        <w:rPr>
          <w:spacing w:val="-10"/>
          <w:sz w:val="21"/>
        </w:rPr>
        <w:t>持续不间断 </w:t>
      </w:r>
      <w:r>
        <w:rPr>
          <w:spacing w:val="-2"/>
          <w:sz w:val="21"/>
        </w:rPr>
        <w:t>180</w:t>
      </w:r>
      <w:r>
        <w:rPr>
          <w:spacing w:val="-14"/>
          <w:sz w:val="21"/>
        </w:rPr>
        <w:t> 天以上；</w:t>
      </w:r>
    </w:p>
    <w:p>
      <w:pPr>
        <w:pStyle w:val="ListParagraph"/>
        <w:numPr>
          <w:ilvl w:val="0"/>
          <w:numId w:val="34"/>
        </w:numPr>
        <w:tabs>
          <w:tab w:pos="3343" w:val="left" w:leader="none"/>
        </w:tabs>
        <w:spacing w:line="240" w:lineRule="auto" w:before="63" w:after="0"/>
        <w:ind w:left="3342" w:right="0" w:hanging="735"/>
        <w:jc w:val="left"/>
        <w:rPr>
          <w:sz w:val="21"/>
        </w:rPr>
      </w:pPr>
      <w:r>
        <w:rPr>
          <w:spacing w:val="-3"/>
          <w:sz w:val="21"/>
        </w:rPr>
        <w:t>被保险人永久不可逆性的体力活动能力受限，不能从事任何体力活动。</w:t>
      </w:r>
    </w:p>
    <w:p>
      <w:pPr>
        <w:pStyle w:val="BodyText"/>
        <w:spacing w:before="9"/>
        <w:rPr>
          <w:sz w:val="12"/>
        </w:rPr>
      </w:pPr>
    </w:p>
    <w:p>
      <w:pPr>
        <w:spacing w:after="0"/>
        <w:rPr>
          <w:sz w:val="12"/>
        </w:rPr>
        <w:sectPr>
          <w:pgSz w:w="11910" w:h="16850"/>
          <w:pgMar w:top="1080" w:bottom="280" w:left="620" w:right="720"/>
        </w:sectPr>
      </w:pPr>
    </w:p>
    <w:p>
      <w:pPr>
        <w:pStyle w:val="Heading3"/>
        <w:numPr>
          <w:ilvl w:val="3"/>
          <w:numId w:val="4"/>
        </w:numPr>
        <w:tabs>
          <w:tab w:pos="1140" w:val="left" w:leader="none"/>
        </w:tabs>
        <w:spacing w:line="242" w:lineRule="auto" w:before="72" w:after="0"/>
        <w:ind w:left="1139" w:right="0" w:hanging="661"/>
        <w:jc w:val="left"/>
      </w:pPr>
      <w:r>
        <w:rPr>
          <w:spacing w:val="-2"/>
        </w:rPr>
        <w:t>肺源性心脏</w:t>
      </w:r>
      <w:r>
        <w:rPr>
          <w:spacing w:val="-10"/>
        </w:rPr>
        <w:t>病</w:t>
      </w:r>
    </w:p>
    <w:p>
      <w:pPr>
        <w:pStyle w:val="BodyText"/>
        <w:spacing w:line="242" w:lineRule="auto" w:before="72"/>
        <w:ind w:left="372" w:right="373"/>
        <w:jc w:val="both"/>
      </w:pPr>
      <w:r>
        <w:rPr/>
        <w:br w:type="column"/>
      </w:r>
      <w:r>
        <w:rPr>
          <w:spacing w:val="-2"/>
        </w:rPr>
        <w:t>指被保险人因慢性肺部疾病导致慢性心功能损害造成永久不可逆性的心功能衰竭。</w:t>
      </w:r>
      <w:r>
        <w:rPr>
          <w:spacing w:val="-2"/>
        </w:rPr>
        <w:t>心功能衰竭程度至少达到美国纽约心脏病学会心功能状态分级Ⅳ级。被保险人永久</w:t>
      </w:r>
      <w:r>
        <w:rPr>
          <w:spacing w:val="-2"/>
        </w:rPr>
        <w:t>不可逆性的体力活动能力受限，不能从事任何体力活动。</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原发性硬化</w:t>
      </w:r>
    </w:p>
    <w:p>
      <w:pPr>
        <w:spacing w:before="4"/>
        <w:ind w:left="1139" w:right="0" w:firstLine="0"/>
        <w:jc w:val="left"/>
        <w:rPr>
          <w:b/>
          <w:sz w:val="21"/>
        </w:rPr>
      </w:pPr>
      <w:r>
        <w:rPr>
          <w:b/>
          <w:spacing w:val="-3"/>
          <w:sz w:val="21"/>
        </w:rPr>
        <w:t>性胆管炎</w:t>
      </w:r>
    </w:p>
    <w:p>
      <w:pPr>
        <w:pStyle w:val="BodyText"/>
        <w:spacing w:line="242" w:lineRule="auto" w:before="72"/>
        <w:ind w:left="372" w:right="265"/>
        <w:rPr>
          <w:rFonts w:ascii="黑体" w:eastAsia="黑体"/>
        </w:rPr>
      </w:pPr>
      <w:r>
        <w:rPr/>
        <w:br w:type="column"/>
      </w:r>
      <w:r>
        <w:rPr>
          <w:spacing w:val="-3"/>
          <w:w w:val="100"/>
        </w:rPr>
        <w:t>指一种胆汁淤积综合征，其特征是肝内、肝外胆道因纤维化性炎症逐渐狭窄，并最</w:t>
      </w:r>
      <w:r>
        <w:rPr>
          <w:spacing w:val="-9"/>
          <w:w w:val="100"/>
        </w:rPr>
        <w:t>终导致完全阻塞而发展为肝硬化。本病须经内镜逆行胰胆管造影等影像学检查证实，</w:t>
      </w:r>
      <w:r>
        <w:rPr>
          <w:rFonts w:ascii="黑体" w:eastAsia="黑体"/>
          <w:spacing w:val="-5"/>
          <w:w w:val="100"/>
        </w:rPr>
        <w:t>并须满足下列全部条件：</w:t>
      </w:r>
    </w:p>
    <w:p>
      <w:pPr>
        <w:pStyle w:val="ListParagraph"/>
        <w:numPr>
          <w:ilvl w:val="0"/>
          <w:numId w:val="35"/>
        </w:numPr>
        <w:tabs>
          <w:tab w:pos="1108" w:val="left" w:leader="none"/>
        </w:tabs>
        <w:spacing w:line="240" w:lineRule="auto" w:before="60" w:after="0"/>
        <w:ind w:left="1107" w:right="0" w:hanging="736"/>
        <w:jc w:val="left"/>
        <w:rPr>
          <w:sz w:val="21"/>
        </w:rPr>
      </w:pPr>
      <w:r>
        <w:rPr>
          <w:spacing w:val="-5"/>
          <w:sz w:val="21"/>
        </w:rPr>
        <w:t>总胆红素和直接胆红素同时升高，血清 </w:t>
      </w:r>
      <w:r>
        <w:rPr>
          <w:spacing w:val="-2"/>
          <w:sz w:val="21"/>
        </w:rPr>
        <w:t>ALP＞200U/L；</w:t>
      </w:r>
    </w:p>
    <w:p>
      <w:pPr>
        <w:pStyle w:val="ListParagraph"/>
        <w:numPr>
          <w:ilvl w:val="0"/>
          <w:numId w:val="35"/>
        </w:numPr>
        <w:tabs>
          <w:tab w:pos="1108" w:val="left" w:leader="none"/>
        </w:tabs>
        <w:spacing w:line="240" w:lineRule="auto" w:before="65" w:after="0"/>
        <w:ind w:left="1107" w:right="0" w:hanging="736"/>
        <w:jc w:val="left"/>
        <w:rPr>
          <w:sz w:val="21"/>
        </w:rPr>
      </w:pPr>
      <w:r>
        <w:rPr>
          <w:spacing w:val="-4"/>
          <w:sz w:val="21"/>
        </w:rPr>
        <w:t>持续性黄疸病史；</w:t>
      </w:r>
    </w:p>
    <w:p>
      <w:pPr>
        <w:pStyle w:val="ListParagraph"/>
        <w:numPr>
          <w:ilvl w:val="0"/>
          <w:numId w:val="35"/>
        </w:numPr>
        <w:tabs>
          <w:tab w:pos="1108" w:val="left" w:leader="none"/>
        </w:tabs>
        <w:spacing w:line="240" w:lineRule="auto" w:before="62" w:after="0"/>
        <w:ind w:left="1107" w:right="0" w:hanging="736"/>
        <w:jc w:val="left"/>
        <w:rPr>
          <w:sz w:val="21"/>
        </w:rPr>
      </w:pPr>
      <w:r>
        <w:rPr>
          <w:spacing w:val="-3"/>
          <w:sz w:val="21"/>
        </w:rPr>
        <w:t>出现胆汁性肝硬化或门脉高压。</w:t>
      </w:r>
    </w:p>
    <w:p>
      <w:pPr>
        <w:pStyle w:val="BodyText"/>
        <w:spacing w:before="65"/>
        <w:ind w:left="372"/>
        <w:rPr>
          <w:rFonts w:ascii="黑体" w:eastAsia="黑体"/>
        </w:rPr>
      </w:pPr>
      <w:r>
        <w:rPr>
          <w:rFonts w:ascii="黑体" w:eastAsia="黑体"/>
          <w:spacing w:val="-3"/>
        </w:rPr>
        <w:t>因肿瘤或胆管损伤等继发性的硬化性胆管炎不在本合同所定义的重大疾病范围内。</w:t>
      </w:r>
    </w:p>
    <w:p>
      <w:pPr>
        <w:spacing w:after="0"/>
        <w:rPr>
          <w:rFonts w:ascii="黑体" w:eastAsia="黑体"/>
        </w:rPr>
        <w:sectPr>
          <w:type w:val="continuous"/>
          <w:pgSz w:w="11910" w:h="16850"/>
          <w:pgMar w:top="520" w:bottom="280" w:left="620" w:right="720"/>
          <w:cols w:num="2" w:equalWidth="0">
            <w:col w:w="2196" w:space="40"/>
            <w:col w:w="8334"/>
          </w:cols>
        </w:sectPr>
      </w:pPr>
    </w:p>
    <w:p>
      <w:pPr>
        <w:pStyle w:val="BodyText"/>
        <w:spacing w:before="7"/>
        <w:rPr>
          <w:rFonts w:ascii="黑体"/>
          <w:sz w:val="12"/>
        </w:rPr>
      </w:pPr>
    </w:p>
    <w:p>
      <w:pPr>
        <w:spacing w:after="0"/>
        <w:rPr>
          <w:rFonts w:ascii="黑体"/>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严重自身免</w:t>
      </w:r>
    </w:p>
    <w:p>
      <w:pPr>
        <w:spacing w:before="4"/>
        <w:ind w:left="1139" w:right="0" w:firstLine="0"/>
        <w:jc w:val="left"/>
        <w:rPr>
          <w:b/>
          <w:sz w:val="21"/>
        </w:rPr>
      </w:pPr>
      <w:r>
        <w:rPr>
          <w:b/>
          <w:spacing w:val="-3"/>
          <w:sz w:val="21"/>
        </w:rPr>
        <w:t>疫性肝炎</w:t>
      </w:r>
    </w:p>
    <w:p>
      <w:pPr>
        <w:pStyle w:val="BodyText"/>
        <w:spacing w:line="242" w:lineRule="auto" w:before="72"/>
        <w:ind w:left="372" w:right="373"/>
        <w:jc w:val="both"/>
        <w:rPr>
          <w:rFonts w:ascii="黑体" w:eastAsia="黑体"/>
        </w:rPr>
      </w:pPr>
      <w:r>
        <w:rPr/>
        <w:br w:type="column"/>
      </w:r>
      <w:r>
        <w:rPr>
          <w:spacing w:val="-2"/>
        </w:rPr>
        <w:t>自身免疫性肝炎是一种原因不明的慢性肝脏的坏死性炎性疾病，机体免疫机制被破</w:t>
      </w:r>
      <w:r>
        <w:rPr>
          <w:spacing w:val="-2"/>
        </w:rPr>
        <w:t>坏，产生针对肝脏自身抗原的抗体导致自身免疫反应，从而破坏肝细胞造成肝脏炎</w:t>
      </w:r>
      <w:r>
        <w:rPr>
          <w:spacing w:val="-2"/>
        </w:rPr>
        <w:t>症坏死。</w:t>
      </w:r>
      <w:r>
        <w:rPr>
          <w:rFonts w:ascii="黑体" w:eastAsia="黑体"/>
          <w:spacing w:val="-2"/>
        </w:rPr>
        <w:t>并须满足下列全部条件：</w:t>
      </w:r>
    </w:p>
    <w:p>
      <w:pPr>
        <w:pStyle w:val="ListParagraph"/>
        <w:numPr>
          <w:ilvl w:val="0"/>
          <w:numId w:val="36"/>
        </w:numPr>
        <w:tabs>
          <w:tab w:pos="1108" w:val="left" w:leader="none"/>
        </w:tabs>
        <w:spacing w:line="240" w:lineRule="auto" w:before="63" w:after="0"/>
        <w:ind w:left="1107" w:right="0" w:hanging="736"/>
        <w:jc w:val="both"/>
        <w:rPr>
          <w:sz w:val="21"/>
        </w:rPr>
      </w:pPr>
      <w:r>
        <w:rPr>
          <w:sz w:val="21"/>
        </w:rPr>
        <w:t>高</w:t>
      </w:r>
      <w:r>
        <w:rPr>
          <w:rFonts w:ascii="Arial" w:hAnsi="Arial" w:eastAsia="Arial"/>
          <w:sz w:val="21"/>
        </w:rPr>
        <w:t>γ</w:t>
      </w:r>
      <w:r>
        <w:rPr>
          <w:rFonts w:ascii="Arial" w:hAnsi="Arial" w:eastAsia="Arial"/>
          <w:spacing w:val="37"/>
          <w:sz w:val="21"/>
        </w:rPr>
        <w:t> </w:t>
      </w:r>
      <w:r>
        <w:rPr>
          <w:spacing w:val="-2"/>
          <w:sz w:val="21"/>
        </w:rPr>
        <w:t>球蛋白血症；</w:t>
      </w:r>
    </w:p>
    <w:p>
      <w:pPr>
        <w:pStyle w:val="ListParagraph"/>
        <w:numPr>
          <w:ilvl w:val="0"/>
          <w:numId w:val="36"/>
        </w:numPr>
        <w:tabs>
          <w:tab w:pos="1108" w:val="left" w:leader="none"/>
        </w:tabs>
        <w:spacing w:line="244" w:lineRule="auto" w:before="62" w:after="0"/>
        <w:ind w:left="1107" w:right="372" w:hanging="735"/>
        <w:jc w:val="both"/>
        <w:rPr>
          <w:sz w:val="21"/>
        </w:rPr>
      </w:pPr>
      <w:r>
        <w:rPr>
          <w:spacing w:val="-4"/>
          <w:sz w:val="21"/>
        </w:rPr>
        <w:t>血液中存在高水平的自身免疫抗体，如 </w:t>
      </w:r>
      <w:r>
        <w:rPr>
          <w:spacing w:val="-2"/>
          <w:sz w:val="21"/>
        </w:rPr>
        <w:t>ANA（抗核抗体</w:t>
      </w:r>
      <w:r>
        <w:rPr>
          <w:spacing w:val="-108"/>
          <w:sz w:val="21"/>
        </w:rPr>
        <w:t>）</w:t>
      </w:r>
      <w:r>
        <w:rPr>
          <w:spacing w:val="-2"/>
          <w:sz w:val="21"/>
        </w:rPr>
        <w:t>、SMA（抗平滑肌抗</w:t>
      </w:r>
      <w:r>
        <w:rPr>
          <w:sz w:val="21"/>
        </w:rPr>
        <w:t>体</w:t>
      </w:r>
      <w:r>
        <w:rPr>
          <w:spacing w:val="-106"/>
          <w:sz w:val="21"/>
        </w:rPr>
        <w:t>）</w:t>
      </w:r>
      <w:r>
        <w:rPr>
          <w:spacing w:val="-5"/>
          <w:sz w:val="21"/>
        </w:rPr>
        <w:t>、抗 </w:t>
      </w:r>
      <w:r>
        <w:rPr>
          <w:sz w:val="21"/>
        </w:rPr>
        <w:t>LKM1</w:t>
      </w:r>
      <w:r>
        <w:rPr>
          <w:spacing w:val="-4"/>
          <w:sz w:val="21"/>
        </w:rPr>
        <w:t> 抗体或抗-</w:t>
      </w:r>
      <w:r>
        <w:rPr>
          <w:sz w:val="21"/>
        </w:rPr>
        <w:t>SLA/LP</w:t>
      </w:r>
      <w:r>
        <w:rPr>
          <w:spacing w:val="-5"/>
          <w:sz w:val="21"/>
        </w:rPr>
        <w:t> 抗体；</w:t>
      </w:r>
    </w:p>
    <w:p>
      <w:pPr>
        <w:pStyle w:val="ListParagraph"/>
        <w:numPr>
          <w:ilvl w:val="0"/>
          <w:numId w:val="36"/>
        </w:numPr>
        <w:tabs>
          <w:tab w:pos="1108" w:val="left" w:leader="none"/>
        </w:tabs>
        <w:spacing w:line="240" w:lineRule="auto" w:before="56" w:after="0"/>
        <w:ind w:left="1107" w:right="0" w:hanging="736"/>
        <w:jc w:val="both"/>
        <w:rPr>
          <w:sz w:val="21"/>
        </w:rPr>
      </w:pPr>
      <w:r>
        <w:rPr>
          <w:spacing w:val="-3"/>
          <w:sz w:val="21"/>
        </w:rPr>
        <w:t>肝脏活检证实免疫性肝炎；</w:t>
      </w:r>
    </w:p>
    <w:p>
      <w:pPr>
        <w:pStyle w:val="ListParagraph"/>
        <w:numPr>
          <w:ilvl w:val="0"/>
          <w:numId w:val="36"/>
        </w:numPr>
        <w:tabs>
          <w:tab w:pos="1108" w:val="left" w:leader="none"/>
        </w:tabs>
        <w:spacing w:line="240" w:lineRule="auto" w:before="65" w:after="0"/>
        <w:ind w:left="1107" w:right="0" w:hanging="736"/>
        <w:jc w:val="both"/>
        <w:rPr>
          <w:sz w:val="21"/>
        </w:rPr>
      </w:pPr>
      <w:r>
        <w:rPr>
          <w:spacing w:val="-3"/>
          <w:sz w:val="21"/>
        </w:rPr>
        <w:t>临床已经出现腹水、食道静脉曲张和脾肿大等肝硬化表现。</w:t>
      </w:r>
    </w:p>
    <w:p>
      <w:pPr>
        <w:spacing w:after="0" w:line="240" w:lineRule="auto"/>
        <w:jc w:val="both"/>
        <w:rPr>
          <w:sz w:val="21"/>
        </w:rPr>
        <w:sectPr>
          <w:type w:val="continuous"/>
          <w:pgSz w:w="11910" w:h="16850"/>
          <w:pgMar w:top="520" w:bottom="280" w:left="620" w:right="720"/>
          <w:cols w:num="2" w:equalWidth="0">
            <w:col w:w="2196" w:space="40"/>
            <w:col w:w="8334"/>
          </w:cols>
        </w:sectPr>
      </w:pPr>
    </w:p>
    <w:p>
      <w:pPr>
        <w:pStyle w:val="BodyText"/>
        <w:spacing w:before="4"/>
        <w:rPr>
          <w:sz w:val="20"/>
        </w:rPr>
      </w:pPr>
    </w:p>
    <w:tbl>
      <w:tblPr>
        <w:tblW w:w="0" w:type="auto"/>
        <w:jc w:val="left"/>
        <w:tblInd w:w="4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92"/>
        <w:gridCol w:w="1533"/>
        <w:gridCol w:w="7691"/>
      </w:tblGrid>
      <w:tr>
        <w:trPr>
          <w:trHeight w:val="543" w:hRule="atLeast"/>
        </w:trPr>
        <w:tc>
          <w:tcPr>
            <w:tcW w:w="592" w:type="dxa"/>
          </w:tcPr>
          <w:p>
            <w:pPr>
              <w:pStyle w:val="TableParagraph"/>
              <w:spacing w:line="241" w:lineRule="exact"/>
              <w:ind w:left="50"/>
              <w:rPr>
                <w:b/>
                <w:sz w:val="21"/>
              </w:rPr>
            </w:pPr>
            <w:r>
              <w:rPr>
                <w:b/>
                <w:spacing w:val="-4"/>
                <w:sz w:val="21"/>
              </w:rPr>
              <w:t>7.51</w:t>
            </w:r>
          </w:p>
        </w:tc>
        <w:tc>
          <w:tcPr>
            <w:tcW w:w="1533" w:type="dxa"/>
          </w:tcPr>
          <w:p>
            <w:pPr>
              <w:pStyle w:val="TableParagraph"/>
              <w:spacing w:line="241" w:lineRule="exact"/>
              <w:ind w:left="118"/>
              <w:rPr>
                <w:b/>
                <w:sz w:val="21"/>
              </w:rPr>
            </w:pPr>
            <w:r>
              <w:rPr>
                <w:b/>
                <w:spacing w:val="-2"/>
                <w:sz w:val="21"/>
              </w:rPr>
              <w:t>原发性骨髓</w:t>
            </w:r>
          </w:p>
          <w:p>
            <w:pPr>
              <w:pStyle w:val="TableParagraph"/>
              <w:spacing w:before="2"/>
              <w:ind w:left="118"/>
              <w:rPr>
                <w:b/>
                <w:sz w:val="21"/>
              </w:rPr>
            </w:pPr>
            <w:r>
              <w:rPr>
                <w:b/>
                <w:spacing w:val="-6"/>
                <w:sz w:val="21"/>
              </w:rPr>
              <w:t>纤维化（PMF）</w:t>
            </w:r>
          </w:p>
        </w:tc>
        <w:tc>
          <w:tcPr>
            <w:tcW w:w="7691" w:type="dxa"/>
          </w:tcPr>
          <w:p>
            <w:pPr>
              <w:pStyle w:val="TableParagraph"/>
              <w:spacing w:line="241" w:lineRule="exact"/>
              <w:ind w:left="54"/>
              <w:rPr>
                <w:sz w:val="21"/>
              </w:rPr>
            </w:pPr>
            <w:r>
              <w:rPr>
                <w:spacing w:val="-3"/>
                <w:sz w:val="21"/>
              </w:rPr>
              <w:t>以骨髓纤维增生和髓外造血为特点，表现为进行性贫血、脾肿大、外周血幼稚细胞</w:t>
            </w:r>
          </w:p>
          <w:p>
            <w:pPr>
              <w:pStyle w:val="TableParagraph"/>
              <w:spacing w:before="2"/>
              <w:ind w:left="54"/>
              <w:rPr>
                <w:sz w:val="21"/>
              </w:rPr>
            </w:pPr>
            <w:r>
              <w:rPr>
                <w:spacing w:val="-5"/>
                <w:sz w:val="21"/>
              </w:rPr>
              <w:t>等。</w:t>
            </w:r>
          </w:p>
        </w:tc>
      </w:tr>
      <w:tr>
        <w:trPr>
          <w:trHeight w:val="605" w:hRule="atLeast"/>
        </w:trPr>
        <w:tc>
          <w:tcPr>
            <w:tcW w:w="592" w:type="dxa"/>
          </w:tcPr>
          <w:p>
            <w:pPr>
              <w:pStyle w:val="TableParagraph"/>
              <w:rPr>
                <w:rFonts w:ascii="Times New Roman"/>
                <w:sz w:val="20"/>
              </w:rPr>
            </w:pPr>
          </w:p>
        </w:tc>
        <w:tc>
          <w:tcPr>
            <w:tcW w:w="1533" w:type="dxa"/>
          </w:tcPr>
          <w:p>
            <w:pPr>
              <w:pStyle w:val="TableParagraph"/>
              <w:rPr>
                <w:rFonts w:ascii="Times New Roman"/>
                <w:sz w:val="20"/>
              </w:rPr>
            </w:pPr>
          </w:p>
        </w:tc>
        <w:tc>
          <w:tcPr>
            <w:tcW w:w="7691" w:type="dxa"/>
          </w:tcPr>
          <w:p>
            <w:pPr>
              <w:pStyle w:val="TableParagraph"/>
              <w:spacing w:line="242" w:lineRule="auto" w:before="33"/>
              <w:ind w:left="54" w:right="51"/>
              <w:rPr>
                <w:rFonts w:ascii="黑体" w:eastAsia="黑体"/>
                <w:sz w:val="21"/>
              </w:rPr>
            </w:pPr>
            <w:r>
              <w:rPr>
                <w:spacing w:val="-2"/>
                <w:sz w:val="21"/>
              </w:rPr>
              <w:t>被保险人须经由骨髓活检明确诊断为原发性骨髓纤维化，</w:t>
            </w:r>
            <w:r>
              <w:rPr>
                <w:rFonts w:ascii="黑体" w:eastAsia="黑体"/>
                <w:spacing w:val="-2"/>
                <w:sz w:val="21"/>
              </w:rPr>
              <w:t>并须满足下列全部条件且</w:t>
            </w:r>
            <w:r>
              <w:rPr>
                <w:rFonts w:ascii="黑体" w:eastAsia="黑体"/>
                <w:spacing w:val="-8"/>
                <w:sz w:val="21"/>
              </w:rPr>
              <w:t>持续 </w:t>
            </w:r>
            <w:r>
              <w:rPr>
                <w:rFonts w:ascii="黑体" w:eastAsia="黑体"/>
                <w:sz w:val="21"/>
              </w:rPr>
              <w:t>180</w:t>
            </w:r>
            <w:r>
              <w:rPr>
                <w:rFonts w:ascii="黑体" w:eastAsia="黑体"/>
                <w:spacing w:val="-7"/>
                <w:sz w:val="21"/>
              </w:rPr>
              <w:t> 天：</w:t>
            </w:r>
          </w:p>
        </w:tc>
      </w:tr>
      <w:tr>
        <w:trPr>
          <w:trHeight w:val="320" w:hRule="atLeast"/>
        </w:trPr>
        <w:tc>
          <w:tcPr>
            <w:tcW w:w="592" w:type="dxa"/>
          </w:tcPr>
          <w:p>
            <w:pPr>
              <w:pStyle w:val="TableParagraph"/>
              <w:rPr>
                <w:rFonts w:ascii="Times New Roman"/>
                <w:sz w:val="20"/>
              </w:rPr>
            </w:pPr>
          </w:p>
        </w:tc>
        <w:tc>
          <w:tcPr>
            <w:tcW w:w="1533" w:type="dxa"/>
          </w:tcPr>
          <w:p>
            <w:pPr>
              <w:pStyle w:val="TableParagraph"/>
              <w:rPr>
                <w:rFonts w:ascii="Times New Roman"/>
                <w:sz w:val="20"/>
              </w:rPr>
            </w:pPr>
          </w:p>
        </w:tc>
        <w:tc>
          <w:tcPr>
            <w:tcW w:w="7691" w:type="dxa"/>
          </w:tcPr>
          <w:p>
            <w:pPr>
              <w:pStyle w:val="TableParagraph"/>
              <w:spacing w:line="268" w:lineRule="exact" w:before="32"/>
              <w:ind w:left="54"/>
              <w:rPr>
                <w:sz w:val="21"/>
              </w:rPr>
            </w:pPr>
            <w:r>
              <w:rPr>
                <w:sz w:val="21"/>
              </w:rPr>
              <w:t>（1）</w:t>
            </w:r>
            <w:r>
              <w:rPr>
                <w:spacing w:val="15"/>
                <w:sz w:val="21"/>
              </w:rPr>
              <w:t> 血红蛋白＜</w:t>
            </w:r>
            <w:r>
              <w:rPr>
                <w:spacing w:val="-2"/>
                <w:sz w:val="21"/>
              </w:rPr>
              <w:t>100g/L；</w:t>
            </w:r>
          </w:p>
        </w:tc>
      </w:tr>
      <w:tr>
        <w:trPr>
          <w:trHeight w:val="344" w:hRule="atLeast"/>
        </w:trPr>
        <w:tc>
          <w:tcPr>
            <w:tcW w:w="592" w:type="dxa"/>
          </w:tcPr>
          <w:p>
            <w:pPr>
              <w:pStyle w:val="TableParagraph"/>
              <w:rPr>
                <w:rFonts w:ascii="Times New Roman"/>
                <w:sz w:val="20"/>
              </w:rPr>
            </w:pPr>
          </w:p>
        </w:tc>
        <w:tc>
          <w:tcPr>
            <w:tcW w:w="1533" w:type="dxa"/>
          </w:tcPr>
          <w:p>
            <w:pPr>
              <w:pStyle w:val="TableParagraph"/>
              <w:rPr>
                <w:rFonts w:ascii="Times New Roman"/>
                <w:sz w:val="20"/>
              </w:rPr>
            </w:pPr>
          </w:p>
        </w:tc>
        <w:tc>
          <w:tcPr>
            <w:tcW w:w="7691" w:type="dxa"/>
          </w:tcPr>
          <w:p>
            <w:pPr>
              <w:pStyle w:val="TableParagraph"/>
              <w:spacing w:before="33"/>
              <w:ind w:left="54"/>
              <w:rPr>
                <w:sz w:val="21"/>
              </w:rPr>
            </w:pPr>
            <w:r>
              <w:rPr>
                <w:sz w:val="21"/>
              </w:rPr>
              <w:t>（2）</w:t>
            </w:r>
            <w:r>
              <w:rPr>
                <w:spacing w:val="15"/>
                <w:sz w:val="21"/>
              </w:rPr>
              <w:t> 白细胞计数</w:t>
            </w:r>
            <w:r>
              <w:rPr>
                <w:spacing w:val="-2"/>
                <w:sz w:val="21"/>
              </w:rPr>
              <w:t>＞25×10</w:t>
            </w:r>
            <w:r>
              <w:rPr>
                <w:spacing w:val="-2"/>
                <w:position w:val="11"/>
                <w:sz w:val="11"/>
              </w:rPr>
              <w:t>9</w:t>
            </w:r>
            <w:r>
              <w:rPr>
                <w:spacing w:val="-2"/>
                <w:sz w:val="21"/>
              </w:rPr>
              <w:t>/L；</w:t>
            </w:r>
          </w:p>
        </w:tc>
      </w:tr>
      <w:tr>
        <w:trPr>
          <w:trHeight w:val="320" w:hRule="atLeast"/>
        </w:trPr>
        <w:tc>
          <w:tcPr>
            <w:tcW w:w="592" w:type="dxa"/>
          </w:tcPr>
          <w:p>
            <w:pPr>
              <w:pStyle w:val="TableParagraph"/>
              <w:rPr>
                <w:rFonts w:ascii="Times New Roman"/>
                <w:sz w:val="20"/>
              </w:rPr>
            </w:pPr>
          </w:p>
        </w:tc>
        <w:tc>
          <w:tcPr>
            <w:tcW w:w="1533" w:type="dxa"/>
          </w:tcPr>
          <w:p>
            <w:pPr>
              <w:pStyle w:val="TableParagraph"/>
              <w:rPr>
                <w:rFonts w:ascii="Times New Roman"/>
                <w:sz w:val="20"/>
              </w:rPr>
            </w:pPr>
          </w:p>
        </w:tc>
        <w:tc>
          <w:tcPr>
            <w:tcW w:w="7691" w:type="dxa"/>
          </w:tcPr>
          <w:p>
            <w:pPr>
              <w:pStyle w:val="TableParagraph"/>
              <w:spacing w:line="268" w:lineRule="exact" w:before="32"/>
              <w:ind w:left="54"/>
              <w:rPr>
                <w:sz w:val="21"/>
              </w:rPr>
            </w:pPr>
            <w:r>
              <w:rPr>
                <w:sz w:val="21"/>
              </w:rPr>
              <w:t>（3）</w:t>
            </w:r>
            <w:r>
              <w:rPr>
                <w:spacing w:val="10"/>
                <w:sz w:val="21"/>
              </w:rPr>
              <w:t> 外周血原始细胞</w:t>
            </w:r>
            <w:r>
              <w:rPr>
                <w:spacing w:val="-4"/>
                <w:sz w:val="21"/>
              </w:rPr>
              <w:t>≥1%；</w:t>
            </w:r>
          </w:p>
        </w:tc>
      </w:tr>
      <w:tr>
        <w:trPr>
          <w:trHeight w:val="344" w:hRule="atLeast"/>
        </w:trPr>
        <w:tc>
          <w:tcPr>
            <w:tcW w:w="592" w:type="dxa"/>
          </w:tcPr>
          <w:p>
            <w:pPr>
              <w:pStyle w:val="TableParagraph"/>
              <w:rPr>
                <w:rFonts w:ascii="Times New Roman"/>
                <w:sz w:val="20"/>
              </w:rPr>
            </w:pPr>
          </w:p>
        </w:tc>
        <w:tc>
          <w:tcPr>
            <w:tcW w:w="1533" w:type="dxa"/>
          </w:tcPr>
          <w:p>
            <w:pPr>
              <w:pStyle w:val="TableParagraph"/>
              <w:rPr>
                <w:rFonts w:ascii="Times New Roman"/>
                <w:sz w:val="20"/>
              </w:rPr>
            </w:pPr>
          </w:p>
        </w:tc>
        <w:tc>
          <w:tcPr>
            <w:tcW w:w="7691" w:type="dxa"/>
          </w:tcPr>
          <w:p>
            <w:pPr>
              <w:pStyle w:val="TableParagraph"/>
              <w:spacing w:before="33"/>
              <w:ind w:left="54"/>
              <w:rPr>
                <w:sz w:val="21"/>
              </w:rPr>
            </w:pPr>
            <w:r>
              <w:rPr>
                <w:sz w:val="21"/>
              </w:rPr>
              <w:t>（4）</w:t>
            </w:r>
            <w:r>
              <w:rPr>
                <w:spacing w:val="13"/>
                <w:sz w:val="21"/>
              </w:rPr>
              <w:t> 血小板计数</w:t>
            </w:r>
            <w:r>
              <w:rPr>
                <w:sz w:val="21"/>
              </w:rPr>
              <w:t>＜100×10</w:t>
            </w:r>
            <w:r>
              <w:rPr>
                <w:position w:val="11"/>
                <w:sz w:val="11"/>
              </w:rPr>
              <w:t>9</w:t>
            </w:r>
            <w:r>
              <w:rPr>
                <w:sz w:val="21"/>
              </w:rPr>
              <w:t>/L</w:t>
            </w:r>
            <w:r>
              <w:rPr>
                <w:spacing w:val="-10"/>
                <w:sz w:val="21"/>
              </w:rPr>
              <w:t>。</w:t>
            </w:r>
          </w:p>
        </w:tc>
      </w:tr>
      <w:tr>
        <w:trPr>
          <w:trHeight w:val="688" w:hRule="atLeast"/>
        </w:trPr>
        <w:tc>
          <w:tcPr>
            <w:tcW w:w="592" w:type="dxa"/>
          </w:tcPr>
          <w:p>
            <w:pPr>
              <w:pStyle w:val="TableParagraph"/>
              <w:rPr>
                <w:rFonts w:ascii="Times New Roman"/>
                <w:sz w:val="20"/>
              </w:rPr>
            </w:pPr>
          </w:p>
        </w:tc>
        <w:tc>
          <w:tcPr>
            <w:tcW w:w="1533" w:type="dxa"/>
          </w:tcPr>
          <w:p>
            <w:pPr>
              <w:pStyle w:val="TableParagraph"/>
              <w:rPr>
                <w:rFonts w:ascii="Times New Roman"/>
                <w:sz w:val="20"/>
              </w:rPr>
            </w:pPr>
          </w:p>
        </w:tc>
        <w:tc>
          <w:tcPr>
            <w:tcW w:w="7691" w:type="dxa"/>
          </w:tcPr>
          <w:p>
            <w:pPr>
              <w:pStyle w:val="TableParagraph"/>
              <w:spacing w:line="242" w:lineRule="auto" w:before="32"/>
              <w:ind w:left="54" w:right="51"/>
              <w:rPr>
                <w:rFonts w:ascii="黑体" w:eastAsia="黑体"/>
                <w:sz w:val="21"/>
              </w:rPr>
            </w:pPr>
            <w:r>
              <w:rPr>
                <w:rFonts w:ascii="黑体" w:eastAsia="黑体"/>
                <w:spacing w:val="-2"/>
                <w:sz w:val="21"/>
              </w:rPr>
              <w:t>恶性肿瘤、中毒、放射线和感染所致的继发性骨髓纤维化不在本合同所定义的重大</w:t>
            </w:r>
            <w:r>
              <w:rPr>
                <w:rFonts w:ascii="黑体" w:eastAsia="黑体"/>
                <w:spacing w:val="-2"/>
                <w:sz w:val="21"/>
              </w:rPr>
              <w:t>疾病范围内。</w:t>
            </w:r>
          </w:p>
        </w:tc>
      </w:tr>
      <w:tr>
        <w:trPr>
          <w:trHeight w:val="962" w:hRule="atLeast"/>
        </w:trPr>
        <w:tc>
          <w:tcPr>
            <w:tcW w:w="592" w:type="dxa"/>
          </w:tcPr>
          <w:p>
            <w:pPr>
              <w:pStyle w:val="TableParagraph"/>
              <w:spacing w:before="116"/>
              <w:ind w:left="50"/>
              <w:rPr>
                <w:b/>
                <w:sz w:val="21"/>
              </w:rPr>
            </w:pPr>
            <w:r>
              <w:rPr>
                <w:b/>
                <w:spacing w:val="-4"/>
                <w:sz w:val="21"/>
              </w:rPr>
              <w:t>7.52</w:t>
            </w:r>
          </w:p>
        </w:tc>
        <w:tc>
          <w:tcPr>
            <w:tcW w:w="1533" w:type="dxa"/>
          </w:tcPr>
          <w:p>
            <w:pPr>
              <w:pStyle w:val="TableParagraph"/>
              <w:spacing w:line="242" w:lineRule="auto" w:before="116"/>
              <w:ind w:left="118" w:right="356"/>
              <w:jc w:val="both"/>
              <w:rPr>
                <w:b/>
                <w:sz w:val="21"/>
              </w:rPr>
            </w:pPr>
            <w:r>
              <w:rPr>
                <w:b/>
                <w:spacing w:val="-2"/>
                <w:sz w:val="21"/>
              </w:rPr>
              <w:t>重症骨髓增</w:t>
            </w:r>
            <w:r>
              <w:rPr>
                <w:b/>
                <w:spacing w:val="-2"/>
                <w:sz w:val="21"/>
              </w:rPr>
              <w:t>生异常综合</w:t>
            </w:r>
            <w:r>
              <w:rPr>
                <w:b/>
                <w:spacing w:val="-10"/>
                <w:sz w:val="21"/>
              </w:rPr>
              <w:t>征</w:t>
            </w:r>
          </w:p>
        </w:tc>
        <w:tc>
          <w:tcPr>
            <w:tcW w:w="7691" w:type="dxa"/>
          </w:tcPr>
          <w:p>
            <w:pPr>
              <w:pStyle w:val="TableParagraph"/>
              <w:spacing w:line="242" w:lineRule="auto" w:before="116"/>
              <w:ind w:left="54" w:right="51"/>
              <w:jc w:val="both"/>
              <w:rPr>
                <w:sz w:val="21"/>
              </w:rPr>
            </w:pPr>
            <w:r>
              <w:rPr>
                <w:spacing w:val="-2"/>
                <w:sz w:val="21"/>
              </w:rPr>
              <w:t>是起源于造血干细胞的一组异质性髓系克隆性疾病，特点是髓系细胞发育异常，表</w:t>
            </w:r>
            <w:r>
              <w:rPr>
                <w:spacing w:val="-2"/>
                <w:sz w:val="21"/>
              </w:rPr>
              <w:t>现为无效造血、难治性血细胞减少，本合同所指的严重的骨髓异常增生综合征，</w:t>
            </w:r>
            <w:r>
              <w:rPr>
                <w:rFonts w:ascii="黑体" w:eastAsia="黑体"/>
                <w:spacing w:val="-2"/>
                <w:sz w:val="21"/>
              </w:rPr>
              <w:t>并</w:t>
            </w:r>
            <w:r>
              <w:rPr>
                <w:rFonts w:ascii="黑体" w:eastAsia="黑体"/>
                <w:spacing w:val="-2"/>
                <w:sz w:val="21"/>
              </w:rPr>
              <w:t>须满足下列全部条件</w:t>
            </w:r>
            <w:r>
              <w:rPr>
                <w:spacing w:val="-2"/>
                <w:sz w:val="21"/>
              </w:rPr>
              <w:t>：</w:t>
            </w:r>
          </w:p>
        </w:tc>
      </w:tr>
      <w:tr>
        <w:trPr>
          <w:trHeight w:val="332" w:hRule="atLeast"/>
        </w:trPr>
        <w:tc>
          <w:tcPr>
            <w:tcW w:w="592" w:type="dxa"/>
          </w:tcPr>
          <w:p>
            <w:pPr>
              <w:pStyle w:val="TableParagraph"/>
              <w:rPr>
                <w:rFonts w:ascii="Times New Roman"/>
                <w:sz w:val="20"/>
              </w:rPr>
            </w:pPr>
          </w:p>
        </w:tc>
        <w:tc>
          <w:tcPr>
            <w:tcW w:w="1533" w:type="dxa"/>
          </w:tcPr>
          <w:p>
            <w:pPr>
              <w:pStyle w:val="TableParagraph"/>
              <w:rPr>
                <w:rFonts w:ascii="Times New Roman"/>
                <w:sz w:val="20"/>
              </w:rPr>
            </w:pPr>
          </w:p>
        </w:tc>
        <w:tc>
          <w:tcPr>
            <w:tcW w:w="7691" w:type="dxa"/>
          </w:tcPr>
          <w:p>
            <w:pPr>
              <w:pStyle w:val="TableParagraph"/>
              <w:spacing w:before="33"/>
              <w:ind w:left="54"/>
              <w:rPr>
                <w:sz w:val="21"/>
              </w:rPr>
            </w:pPr>
            <w:r>
              <w:rPr>
                <w:sz w:val="21"/>
              </w:rPr>
              <w:t>（1）</w:t>
            </w:r>
            <w:r>
              <w:rPr>
                <w:spacing w:val="-1"/>
                <w:sz w:val="21"/>
              </w:rPr>
              <w:t> 由本公司认可的医院的血液病专科医生确诊；</w:t>
            </w:r>
          </w:p>
        </w:tc>
      </w:tr>
      <w:tr>
        <w:trPr>
          <w:trHeight w:val="332" w:hRule="atLeast"/>
        </w:trPr>
        <w:tc>
          <w:tcPr>
            <w:tcW w:w="592" w:type="dxa"/>
          </w:tcPr>
          <w:p>
            <w:pPr>
              <w:pStyle w:val="TableParagraph"/>
              <w:rPr>
                <w:rFonts w:ascii="Times New Roman"/>
                <w:sz w:val="20"/>
              </w:rPr>
            </w:pPr>
          </w:p>
        </w:tc>
        <w:tc>
          <w:tcPr>
            <w:tcW w:w="1533" w:type="dxa"/>
          </w:tcPr>
          <w:p>
            <w:pPr>
              <w:pStyle w:val="TableParagraph"/>
              <w:rPr>
                <w:rFonts w:ascii="Times New Roman"/>
                <w:sz w:val="20"/>
              </w:rPr>
            </w:pPr>
          </w:p>
        </w:tc>
        <w:tc>
          <w:tcPr>
            <w:tcW w:w="7691" w:type="dxa"/>
          </w:tcPr>
          <w:p>
            <w:pPr>
              <w:pStyle w:val="TableParagraph"/>
              <w:spacing w:before="31"/>
              <w:ind w:left="54"/>
              <w:rPr>
                <w:sz w:val="21"/>
              </w:rPr>
            </w:pPr>
            <w:r>
              <w:rPr>
                <w:sz w:val="21"/>
              </w:rPr>
              <w:t>（2） 骨髓涂片检查同时符合发育异常细胞比例＞10</w:t>
            </w:r>
            <w:r>
              <w:rPr>
                <w:spacing w:val="-1"/>
                <w:sz w:val="21"/>
              </w:rPr>
              <w:t>％、原始细胞比例＞</w:t>
            </w:r>
            <w:r>
              <w:rPr>
                <w:spacing w:val="-2"/>
                <w:sz w:val="21"/>
              </w:rPr>
              <w:t>15％；</w:t>
            </w:r>
          </w:p>
        </w:tc>
      </w:tr>
      <w:tr>
        <w:trPr>
          <w:trHeight w:val="690" w:hRule="atLeast"/>
        </w:trPr>
        <w:tc>
          <w:tcPr>
            <w:tcW w:w="592" w:type="dxa"/>
          </w:tcPr>
          <w:p>
            <w:pPr>
              <w:pStyle w:val="TableParagraph"/>
              <w:rPr>
                <w:rFonts w:ascii="Times New Roman"/>
                <w:sz w:val="20"/>
              </w:rPr>
            </w:pPr>
          </w:p>
        </w:tc>
        <w:tc>
          <w:tcPr>
            <w:tcW w:w="1533" w:type="dxa"/>
          </w:tcPr>
          <w:p>
            <w:pPr>
              <w:pStyle w:val="TableParagraph"/>
              <w:rPr>
                <w:rFonts w:ascii="Times New Roman"/>
                <w:sz w:val="20"/>
              </w:rPr>
            </w:pPr>
          </w:p>
        </w:tc>
        <w:tc>
          <w:tcPr>
            <w:tcW w:w="7691" w:type="dxa"/>
          </w:tcPr>
          <w:p>
            <w:pPr>
              <w:pStyle w:val="TableParagraph"/>
              <w:spacing w:line="242" w:lineRule="auto" w:before="32"/>
              <w:ind w:left="788" w:right="49" w:hanging="735"/>
              <w:rPr>
                <w:sz w:val="21"/>
              </w:rPr>
            </w:pPr>
            <w:r>
              <w:rPr>
                <w:sz w:val="21"/>
              </w:rPr>
              <w:t>（3）</w:t>
            </w:r>
            <w:r>
              <w:rPr>
                <w:spacing w:val="1"/>
                <w:sz w:val="21"/>
              </w:rPr>
              <w:t> 已接受至少累计 </w:t>
            </w:r>
            <w:r>
              <w:rPr>
                <w:sz w:val="21"/>
              </w:rPr>
              <w:t>30</w:t>
            </w:r>
            <w:r>
              <w:rPr>
                <w:spacing w:val="-7"/>
                <w:sz w:val="21"/>
              </w:rPr>
              <w:t> 天的化疗或已接受骨髓移植治疗。化疗天数的计算以被</w:t>
            </w:r>
            <w:r>
              <w:rPr>
                <w:spacing w:val="-2"/>
                <w:sz w:val="21"/>
              </w:rPr>
              <w:t>保险人实际服用、注射化疗药物的天数为准。</w:t>
            </w:r>
          </w:p>
        </w:tc>
      </w:tr>
      <w:tr>
        <w:trPr>
          <w:trHeight w:val="1047" w:hRule="atLeast"/>
        </w:trPr>
        <w:tc>
          <w:tcPr>
            <w:tcW w:w="592" w:type="dxa"/>
          </w:tcPr>
          <w:p>
            <w:pPr>
              <w:pStyle w:val="TableParagraph"/>
              <w:spacing w:before="118"/>
              <w:ind w:left="50"/>
              <w:rPr>
                <w:b/>
                <w:sz w:val="21"/>
              </w:rPr>
            </w:pPr>
            <w:r>
              <w:rPr>
                <w:b/>
                <w:spacing w:val="-4"/>
                <w:sz w:val="21"/>
              </w:rPr>
              <w:t>7.53</w:t>
            </w:r>
          </w:p>
        </w:tc>
        <w:tc>
          <w:tcPr>
            <w:tcW w:w="1533" w:type="dxa"/>
          </w:tcPr>
          <w:p>
            <w:pPr>
              <w:pStyle w:val="TableParagraph"/>
              <w:spacing w:line="242" w:lineRule="auto" w:before="118"/>
              <w:ind w:left="118" w:right="356"/>
              <w:rPr>
                <w:b/>
                <w:sz w:val="21"/>
              </w:rPr>
            </w:pPr>
            <w:r>
              <w:rPr>
                <w:b/>
                <w:spacing w:val="-2"/>
                <w:sz w:val="21"/>
              </w:rPr>
              <w:t>自体造血干</w:t>
            </w:r>
            <w:r>
              <w:rPr>
                <w:b/>
                <w:spacing w:val="-2"/>
                <w:sz w:val="21"/>
              </w:rPr>
              <w:t>细胞移植术</w:t>
            </w:r>
          </w:p>
        </w:tc>
        <w:tc>
          <w:tcPr>
            <w:tcW w:w="7691" w:type="dxa"/>
          </w:tcPr>
          <w:p>
            <w:pPr>
              <w:pStyle w:val="TableParagraph"/>
              <w:spacing w:line="242" w:lineRule="auto" w:before="118"/>
              <w:ind w:left="54" w:right="51"/>
              <w:jc w:val="both"/>
              <w:rPr>
                <w:sz w:val="21"/>
              </w:rPr>
            </w:pPr>
            <w:r>
              <w:rPr>
                <w:spacing w:val="-2"/>
                <w:sz w:val="21"/>
              </w:rPr>
              <w:t>为治疗造血功能损害或造血系统恶性肿瘤，已经实施了造血干细胞（包括骨髓造血</w:t>
            </w:r>
            <w:r>
              <w:rPr>
                <w:spacing w:val="-2"/>
                <w:sz w:val="21"/>
              </w:rPr>
              <w:t>干细胞、外周血造血干细胞和脐血造血干细胞）的自体移植手术。该治疗须由本公</w:t>
            </w:r>
            <w:r>
              <w:rPr>
                <w:spacing w:val="-2"/>
                <w:sz w:val="21"/>
              </w:rPr>
              <w:t>司认可的医院的专科医生认为在临床上是必需的。</w:t>
            </w:r>
          </w:p>
        </w:tc>
      </w:tr>
      <w:tr>
        <w:trPr>
          <w:trHeight w:val="627" w:hRule="atLeast"/>
        </w:trPr>
        <w:tc>
          <w:tcPr>
            <w:tcW w:w="592" w:type="dxa"/>
          </w:tcPr>
          <w:p>
            <w:pPr>
              <w:pStyle w:val="TableParagraph"/>
              <w:spacing w:before="116"/>
              <w:ind w:left="50"/>
              <w:rPr>
                <w:b/>
                <w:sz w:val="21"/>
              </w:rPr>
            </w:pPr>
            <w:r>
              <w:rPr>
                <w:b/>
                <w:spacing w:val="-4"/>
                <w:sz w:val="21"/>
              </w:rPr>
              <w:t>7.54</w:t>
            </w:r>
          </w:p>
        </w:tc>
        <w:tc>
          <w:tcPr>
            <w:tcW w:w="1533" w:type="dxa"/>
          </w:tcPr>
          <w:p>
            <w:pPr>
              <w:pStyle w:val="TableParagraph"/>
              <w:spacing w:line="270" w:lineRule="atLeast" w:before="95"/>
              <w:ind w:left="118" w:right="195"/>
              <w:rPr>
                <w:b/>
                <w:sz w:val="21"/>
              </w:rPr>
            </w:pPr>
            <w:r>
              <w:rPr>
                <w:b/>
                <w:spacing w:val="-2"/>
                <w:sz w:val="21"/>
              </w:rPr>
              <w:t>Brugada</w:t>
            </w:r>
            <w:r>
              <w:rPr>
                <w:b/>
                <w:spacing w:val="-20"/>
                <w:sz w:val="21"/>
              </w:rPr>
              <w:t> 综合</w:t>
            </w:r>
            <w:r>
              <w:rPr>
                <w:b/>
                <w:spacing w:val="-10"/>
                <w:sz w:val="21"/>
              </w:rPr>
              <w:t>征</w:t>
            </w:r>
          </w:p>
        </w:tc>
        <w:tc>
          <w:tcPr>
            <w:tcW w:w="7691" w:type="dxa"/>
          </w:tcPr>
          <w:p>
            <w:pPr>
              <w:pStyle w:val="TableParagraph"/>
              <w:spacing w:line="270" w:lineRule="atLeast" w:before="95"/>
              <w:ind w:left="54" w:right="49"/>
              <w:rPr>
                <w:rFonts w:ascii="黑体" w:eastAsia="黑体"/>
                <w:sz w:val="21"/>
              </w:rPr>
            </w:pPr>
            <w:r>
              <w:rPr>
                <w:spacing w:val="-3"/>
                <w:sz w:val="21"/>
              </w:rPr>
              <w:t>被保险人须经本公司认可的医院的心脏专科医生明确诊断为 </w:t>
            </w:r>
            <w:r>
              <w:rPr>
                <w:spacing w:val="-2"/>
                <w:sz w:val="21"/>
              </w:rPr>
              <w:t>Brugada</w:t>
            </w:r>
            <w:r>
              <w:rPr>
                <w:spacing w:val="-6"/>
                <w:sz w:val="21"/>
              </w:rPr>
              <w:t> 综合征，</w:t>
            </w:r>
            <w:r>
              <w:rPr>
                <w:rFonts w:ascii="黑体" w:eastAsia="黑体"/>
                <w:spacing w:val="-2"/>
                <w:sz w:val="21"/>
              </w:rPr>
              <w:t>并须</w:t>
            </w:r>
            <w:r>
              <w:rPr>
                <w:rFonts w:ascii="黑体" w:eastAsia="黑体"/>
                <w:spacing w:val="-2"/>
                <w:sz w:val="21"/>
              </w:rPr>
              <w:t>满足下列全部条件：</w:t>
            </w:r>
          </w:p>
        </w:tc>
      </w:tr>
    </w:tbl>
    <w:p>
      <w:pPr>
        <w:spacing w:after="0" w:line="270" w:lineRule="atLeast"/>
        <w:rPr>
          <w:rFonts w:ascii="黑体" w:eastAsia="黑体"/>
          <w:sz w:val="21"/>
        </w:rPr>
        <w:sectPr>
          <w:type w:val="continuous"/>
          <w:pgSz w:w="11910" w:h="16850"/>
          <w:pgMar w:top="520" w:bottom="280" w:left="620" w:right="720"/>
        </w:sectPr>
      </w:pPr>
    </w:p>
    <w:p>
      <w:pPr>
        <w:pStyle w:val="ListParagraph"/>
        <w:numPr>
          <w:ilvl w:val="1"/>
          <w:numId w:val="36"/>
        </w:numPr>
        <w:tabs>
          <w:tab w:pos="3343" w:val="left" w:leader="none"/>
        </w:tabs>
        <w:spacing w:line="240" w:lineRule="auto" w:before="53" w:after="0"/>
        <w:ind w:left="3342" w:right="0" w:hanging="735"/>
        <w:jc w:val="left"/>
        <w:rPr>
          <w:sz w:val="21"/>
        </w:rPr>
      </w:pPr>
      <w:r>
        <w:rPr>
          <w:spacing w:val="-3"/>
          <w:sz w:val="21"/>
        </w:rPr>
        <w:t>有晕厥或心脏骤停病史，并提供完整的诊疗记录；</w:t>
      </w:r>
    </w:p>
    <w:p>
      <w:pPr>
        <w:pStyle w:val="ListParagraph"/>
        <w:numPr>
          <w:ilvl w:val="1"/>
          <w:numId w:val="36"/>
        </w:numPr>
        <w:tabs>
          <w:tab w:pos="3343" w:val="left" w:leader="none"/>
        </w:tabs>
        <w:spacing w:line="240" w:lineRule="auto" w:before="64" w:after="0"/>
        <w:ind w:left="3342" w:right="0" w:hanging="735"/>
        <w:jc w:val="left"/>
        <w:rPr>
          <w:sz w:val="21"/>
        </w:rPr>
      </w:pPr>
      <w:r>
        <w:rPr>
          <w:spacing w:val="-7"/>
          <w:sz w:val="21"/>
        </w:rPr>
        <w:t>心电图有典型的Ⅰ型 </w:t>
      </w:r>
      <w:r>
        <w:rPr>
          <w:spacing w:val="-2"/>
          <w:sz w:val="21"/>
        </w:rPr>
        <w:t>Brugada</w:t>
      </w:r>
      <w:r>
        <w:rPr>
          <w:spacing w:val="-19"/>
          <w:sz w:val="21"/>
        </w:rPr>
        <w:t> 波；</w:t>
      </w:r>
    </w:p>
    <w:p>
      <w:pPr>
        <w:pStyle w:val="ListParagraph"/>
        <w:numPr>
          <w:ilvl w:val="1"/>
          <w:numId w:val="36"/>
        </w:numPr>
        <w:tabs>
          <w:tab w:pos="3343" w:val="left" w:leader="none"/>
        </w:tabs>
        <w:spacing w:line="240" w:lineRule="auto" w:before="63" w:after="0"/>
        <w:ind w:left="3342" w:right="0" w:hanging="735"/>
        <w:jc w:val="left"/>
        <w:rPr>
          <w:sz w:val="21"/>
        </w:rPr>
      </w:pPr>
      <w:r>
        <w:rPr>
          <w:spacing w:val="-3"/>
          <w:sz w:val="21"/>
        </w:rPr>
        <w:t>已经安装了永久性心脏起搏器。</w:t>
      </w:r>
    </w:p>
    <w:p>
      <w:pPr>
        <w:pStyle w:val="BodyText"/>
        <w:spacing w:before="9"/>
        <w:rPr>
          <w:sz w:val="12"/>
        </w:rPr>
      </w:pPr>
    </w:p>
    <w:p>
      <w:pPr>
        <w:spacing w:after="0"/>
        <w:rPr>
          <w:sz w:val="12"/>
        </w:rPr>
        <w:sectPr>
          <w:pgSz w:w="11910" w:h="16850"/>
          <w:pgMar w:top="114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严重急性主</w:t>
      </w:r>
    </w:p>
    <w:p>
      <w:pPr>
        <w:spacing w:line="244" w:lineRule="auto" w:before="2"/>
        <w:ind w:left="1139" w:right="0" w:firstLine="0"/>
        <w:jc w:val="left"/>
        <w:rPr>
          <w:b/>
          <w:sz w:val="21"/>
        </w:rPr>
      </w:pPr>
      <w:r>
        <w:rPr>
          <w:b/>
          <w:spacing w:val="-2"/>
          <w:sz w:val="21"/>
        </w:rPr>
        <w:t>动脉夹层血</w:t>
      </w:r>
      <w:r>
        <w:rPr>
          <w:b/>
          <w:spacing w:val="-10"/>
          <w:sz w:val="21"/>
        </w:rPr>
        <w:t>肿</w:t>
      </w:r>
    </w:p>
    <w:p>
      <w:pPr>
        <w:pStyle w:val="BodyText"/>
        <w:spacing w:line="242" w:lineRule="auto" w:before="72"/>
        <w:ind w:left="372" w:right="370"/>
        <w:jc w:val="both"/>
      </w:pPr>
      <w:r>
        <w:rPr/>
        <w:br w:type="column"/>
      </w:r>
      <w:r>
        <w:rPr>
          <w:spacing w:val="-2"/>
        </w:rPr>
        <w:t>指主动脉壁在受到某些病理因素破坏后，高速、高压的主动脉血流将其内膜撕裂，</w:t>
      </w:r>
      <w:r>
        <w:rPr>
          <w:spacing w:val="-2"/>
        </w:rPr>
        <w:t>以致主动脉腔内的血流通过主动脉内膜的破裂口进入主动脉内壁而形成血肿。被保</w:t>
      </w:r>
      <w:r>
        <w:rPr>
          <w:spacing w:val="-4"/>
        </w:rPr>
        <w:t>险人需有典型的临床表现并通过电脑断层扫描（CT）、磁共振扫描（MRI）、磁共振</w:t>
      </w:r>
      <w:r>
        <w:rPr>
          <w:spacing w:val="-4"/>
        </w:rPr>
        <w:t>血管检验法（MRA）或血管扫描等检查明确诊断，并在急性期内（发病两周内）实际</w:t>
      </w:r>
      <w:r>
        <w:rPr>
          <w:spacing w:val="-2"/>
        </w:rPr>
        <w:t>接受了传统或微创开胸或开腹主动脉手术。</w:t>
      </w:r>
    </w:p>
    <w:p>
      <w:pPr>
        <w:pStyle w:val="BodyText"/>
        <w:spacing w:line="244" w:lineRule="auto" w:before="62"/>
        <w:ind w:left="372" w:right="372"/>
        <w:rPr>
          <w:rFonts w:ascii="黑体" w:eastAsia="黑体"/>
        </w:rPr>
      </w:pPr>
      <w:r>
        <w:rPr>
          <w:rFonts w:ascii="黑体" w:eastAsia="黑体"/>
          <w:spacing w:val="-2"/>
        </w:rPr>
        <w:t>慢性期主动脉夹层择期手术、经导管主动脉内介入手术治疗不在本合同所定义的重</w:t>
      </w:r>
      <w:r>
        <w:rPr>
          <w:rFonts w:ascii="黑体" w:eastAsia="黑体"/>
          <w:spacing w:val="-2"/>
        </w:rPr>
        <w:t>大疾病范围内。</w:t>
      </w:r>
    </w:p>
    <w:p>
      <w:pPr>
        <w:pStyle w:val="BodyText"/>
        <w:spacing w:before="56"/>
        <w:ind w:left="372"/>
        <w:rPr>
          <w:rFonts w:ascii="黑体" w:eastAsia="黑体"/>
        </w:rPr>
      </w:pPr>
      <w:r>
        <w:rPr>
          <w:rFonts w:ascii="黑体" w:eastAsia="黑体"/>
          <w:spacing w:val="-3"/>
        </w:rPr>
        <w:t>主动脉指胸主动脉及腹主动脉，而非其旁支。</w:t>
      </w:r>
    </w:p>
    <w:p>
      <w:pPr>
        <w:spacing w:after="0"/>
        <w:rPr>
          <w:rFonts w:ascii="黑体" w:eastAsia="黑体"/>
        </w:rPr>
        <w:sectPr>
          <w:type w:val="continuous"/>
          <w:pgSz w:w="11910" w:h="16850"/>
          <w:pgMar w:top="520" w:bottom="280" w:left="620" w:right="720"/>
          <w:cols w:num="2" w:equalWidth="0">
            <w:col w:w="2196" w:space="40"/>
            <w:col w:w="8334"/>
          </w:cols>
        </w:sectPr>
      </w:pPr>
    </w:p>
    <w:p>
      <w:pPr>
        <w:pStyle w:val="BodyText"/>
        <w:spacing w:before="7"/>
        <w:rPr>
          <w:rFonts w:ascii="黑体"/>
          <w:sz w:val="12"/>
        </w:rPr>
      </w:pPr>
    </w:p>
    <w:p>
      <w:pPr>
        <w:spacing w:after="0"/>
        <w:rPr>
          <w:rFonts w:ascii="黑体"/>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1140"/>
        <w:jc w:val="right"/>
      </w:pPr>
      <w:r>
        <w:rPr>
          <w:spacing w:val="-2"/>
        </w:rPr>
        <w:t>严重慢性缩</w:t>
      </w:r>
    </w:p>
    <w:p>
      <w:pPr>
        <w:spacing w:before="5"/>
        <w:ind w:left="0" w:right="0" w:firstLine="0"/>
        <w:jc w:val="right"/>
        <w:rPr>
          <w:b/>
          <w:sz w:val="21"/>
        </w:rPr>
      </w:pPr>
      <w:r>
        <w:rPr>
          <w:b/>
          <w:spacing w:val="-2"/>
          <w:sz w:val="21"/>
        </w:rPr>
        <w:t>窄型心包炎</w:t>
      </w:r>
    </w:p>
    <w:p>
      <w:pPr>
        <w:pStyle w:val="BodyText"/>
        <w:spacing w:line="242" w:lineRule="auto" w:before="72"/>
        <w:ind w:left="372" w:right="373"/>
        <w:jc w:val="both"/>
        <w:rPr>
          <w:rFonts w:ascii="黑体" w:eastAsia="黑体"/>
        </w:rPr>
      </w:pPr>
      <w:r>
        <w:rPr/>
        <w:br w:type="column"/>
      </w:r>
      <w:r>
        <w:rPr>
          <w:spacing w:val="-2"/>
        </w:rPr>
        <w:t>由于慢性心包炎症导致心包脏层和壁层广泛瘢痕粘连、增厚和钙化，心包腔闭塞，</w:t>
      </w:r>
      <w:r>
        <w:rPr>
          <w:spacing w:val="-2"/>
        </w:rPr>
        <w:t>形成一个纤维瘢痕外壳，使心脏和大血管根部受压，阻碍心脏的舒张。被保险人被</w:t>
      </w:r>
      <w:r>
        <w:rPr>
          <w:spacing w:val="-2"/>
        </w:rPr>
        <w:t>明确诊断为慢性缩窄性心包炎，</w:t>
      </w:r>
      <w:r>
        <w:rPr>
          <w:rFonts w:ascii="黑体" w:eastAsia="黑体"/>
          <w:spacing w:val="-2"/>
        </w:rPr>
        <w:t>并须满足下列全部条件：</w:t>
      </w:r>
    </w:p>
    <w:p>
      <w:pPr>
        <w:pStyle w:val="ListParagraph"/>
        <w:numPr>
          <w:ilvl w:val="0"/>
          <w:numId w:val="38"/>
        </w:numPr>
        <w:tabs>
          <w:tab w:pos="1108" w:val="left" w:leader="none"/>
        </w:tabs>
        <w:spacing w:line="242" w:lineRule="auto" w:before="64" w:after="0"/>
        <w:ind w:left="1107" w:right="372" w:hanging="735"/>
        <w:jc w:val="both"/>
        <w:rPr>
          <w:sz w:val="21"/>
        </w:rPr>
      </w:pPr>
      <w:r>
        <w:rPr>
          <w:spacing w:val="-7"/>
          <w:sz w:val="21"/>
        </w:rPr>
        <w:t>心功能衰竭达到美国纽约心脏病学会心功能状态分级Ⅳ级，并持续 </w:t>
      </w:r>
      <w:r>
        <w:rPr>
          <w:spacing w:val="-2"/>
          <w:sz w:val="21"/>
        </w:rPr>
        <w:t>180</w:t>
      </w:r>
      <w:r>
        <w:rPr>
          <w:spacing w:val="-10"/>
          <w:sz w:val="21"/>
        </w:rPr>
        <w:t> 天以</w:t>
      </w:r>
      <w:r>
        <w:rPr>
          <w:spacing w:val="-6"/>
          <w:sz w:val="21"/>
        </w:rPr>
        <w:t>上；</w:t>
      </w:r>
    </w:p>
    <w:p>
      <w:pPr>
        <w:pStyle w:val="ListParagraph"/>
        <w:numPr>
          <w:ilvl w:val="0"/>
          <w:numId w:val="38"/>
        </w:numPr>
        <w:tabs>
          <w:tab w:pos="1108" w:val="left" w:leader="none"/>
        </w:tabs>
        <w:spacing w:line="240" w:lineRule="auto" w:before="61" w:after="0"/>
        <w:ind w:left="1107" w:right="0" w:hanging="736"/>
        <w:jc w:val="both"/>
        <w:rPr>
          <w:sz w:val="21"/>
        </w:rPr>
      </w:pPr>
      <w:r>
        <w:rPr>
          <w:spacing w:val="-3"/>
          <w:sz w:val="21"/>
        </w:rPr>
        <w:t>已经接受了开胸进行的心包剥脱或心包切除手术。</w:t>
      </w:r>
    </w:p>
    <w:p>
      <w:pPr>
        <w:pStyle w:val="BodyText"/>
        <w:spacing w:line="244" w:lineRule="auto" w:before="62"/>
        <w:ind w:left="372" w:right="373"/>
        <w:rPr>
          <w:rFonts w:ascii="黑体" w:eastAsia="黑体"/>
        </w:rPr>
      </w:pPr>
      <w:r>
        <w:rPr>
          <w:rFonts w:ascii="黑体" w:eastAsia="黑体"/>
          <w:spacing w:val="-2"/>
        </w:rPr>
        <w:t>经胸腔镜、胸壁打孔进行的手术、心包粘连松解手术不在本合同所定义的重大疾病</w:t>
      </w:r>
      <w:r>
        <w:rPr>
          <w:rFonts w:ascii="黑体" w:eastAsia="黑体"/>
          <w:spacing w:val="-4"/>
        </w:rPr>
        <w:t>范围内。</w:t>
      </w:r>
    </w:p>
    <w:p>
      <w:pPr>
        <w:pStyle w:val="BodyText"/>
        <w:spacing w:line="244" w:lineRule="auto" w:before="56"/>
        <w:ind w:left="372" w:right="373"/>
      </w:pPr>
      <w:r>
        <w:rPr>
          <w:spacing w:val="-2"/>
        </w:rPr>
        <w:t>美国纽约心脏病学会心功能状态分级Ⅳ级是指不能从事任何体力活动，休息时亦有</w:t>
      </w:r>
      <w:r>
        <w:rPr>
          <w:spacing w:val="-4"/>
        </w:rPr>
        <w:t>症状。</w:t>
      </w:r>
    </w:p>
    <w:p>
      <w:pPr>
        <w:spacing w:after="0" w:line="244" w:lineRule="auto"/>
        <w:sectPr>
          <w:type w:val="continuous"/>
          <w:pgSz w:w="11910" w:h="16850"/>
          <w:pgMar w:top="520" w:bottom="280" w:left="620" w:right="720"/>
          <w:cols w:num="2" w:equalWidth="0">
            <w:col w:w="2196" w:space="40"/>
            <w:col w:w="8334"/>
          </w:cols>
        </w:sectPr>
      </w:pPr>
    </w:p>
    <w:p>
      <w:pPr>
        <w:pStyle w:val="BodyText"/>
        <w:spacing w:before="1"/>
        <w:rPr>
          <w:sz w:val="12"/>
        </w:rPr>
      </w:pPr>
    </w:p>
    <w:p>
      <w:pPr>
        <w:pStyle w:val="ListParagraph"/>
        <w:numPr>
          <w:ilvl w:val="1"/>
          <w:numId w:val="37"/>
        </w:numPr>
        <w:tabs>
          <w:tab w:pos="1140" w:val="left" w:leader="none"/>
          <w:tab w:pos="2608" w:val="left" w:leader="none"/>
        </w:tabs>
        <w:spacing w:line="240" w:lineRule="auto" w:before="72" w:after="0"/>
        <w:ind w:left="1139" w:right="0" w:hanging="661"/>
        <w:jc w:val="left"/>
        <w:rPr>
          <w:sz w:val="21"/>
        </w:rPr>
      </w:pPr>
      <w:r>
        <w:rPr>
          <w:b/>
          <w:sz w:val="21"/>
        </w:rPr>
        <w:t>心脏粘液</w:t>
      </w:r>
      <w:r>
        <w:rPr>
          <w:b/>
          <w:spacing w:val="-10"/>
          <w:sz w:val="21"/>
        </w:rPr>
        <w:t>瘤</w:t>
      </w:r>
      <w:r>
        <w:rPr>
          <w:b/>
          <w:sz w:val="21"/>
        </w:rPr>
        <w:tab/>
      </w:r>
      <w:r>
        <w:rPr>
          <w:spacing w:val="-2"/>
          <w:sz w:val="21"/>
        </w:rPr>
        <w:t>指</w:t>
      </w:r>
      <w:r>
        <w:rPr>
          <w:spacing w:val="-2"/>
          <w:sz w:val="21"/>
        </w:rPr>
        <w:t>为</w:t>
      </w:r>
      <w:r>
        <w:rPr>
          <w:spacing w:val="-2"/>
          <w:sz w:val="21"/>
        </w:rPr>
        <w:t>了治疗心脏粘液瘤，</w:t>
      </w:r>
      <w:r>
        <w:rPr>
          <w:spacing w:val="-2"/>
          <w:sz w:val="21"/>
        </w:rPr>
        <w:t>实</w:t>
      </w:r>
      <w:r>
        <w:rPr>
          <w:spacing w:val="-2"/>
          <w:sz w:val="21"/>
        </w:rPr>
        <w:t>际</w:t>
      </w:r>
      <w:r>
        <w:rPr>
          <w:spacing w:val="-2"/>
          <w:sz w:val="21"/>
        </w:rPr>
        <w:t>实施了开胸心脏粘液</w:t>
      </w:r>
      <w:r>
        <w:rPr>
          <w:spacing w:val="-2"/>
          <w:sz w:val="21"/>
        </w:rPr>
        <w:t>瘤</w:t>
      </w:r>
      <w:r>
        <w:rPr>
          <w:spacing w:val="-2"/>
          <w:sz w:val="21"/>
        </w:rPr>
        <w:t>切</w:t>
      </w:r>
      <w:r>
        <w:rPr>
          <w:spacing w:val="-2"/>
          <w:sz w:val="21"/>
        </w:rPr>
        <w:t>除手术</w:t>
      </w:r>
      <w:r>
        <w:rPr>
          <w:spacing w:val="-10"/>
          <w:sz w:val="21"/>
        </w:rPr>
        <w:t>。</w:t>
      </w:r>
    </w:p>
    <w:p>
      <w:pPr>
        <w:pStyle w:val="BodyText"/>
        <w:spacing w:before="62"/>
        <w:ind w:left="2624" w:right="2508"/>
        <w:jc w:val="center"/>
        <w:rPr>
          <w:rFonts w:ascii="黑体" w:eastAsia="黑体"/>
        </w:rPr>
      </w:pPr>
      <w:r>
        <w:rPr>
          <w:rFonts w:ascii="黑体" w:eastAsia="黑体"/>
          <w:spacing w:val="-3"/>
        </w:rPr>
        <w:t>经导管介入手术治疗不在本合同所定义的重大疾病范围内。</w:t>
      </w:r>
    </w:p>
    <w:p>
      <w:pPr>
        <w:pStyle w:val="BodyText"/>
        <w:spacing w:before="10"/>
        <w:rPr>
          <w:rFonts w:ascii="黑体"/>
          <w:sz w:val="12"/>
        </w:rPr>
      </w:pPr>
    </w:p>
    <w:p>
      <w:pPr>
        <w:spacing w:after="0"/>
        <w:rPr>
          <w:rFonts w:ascii="黑体"/>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1" w:after="0"/>
        <w:ind w:left="1139" w:right="0" w:hanging="661"/>
        <w:jc w:val="left"/>
      </w:pPr>
      <w:r>
        <w:rPr>
          <w:spacing w:val="-2"/>
        </w:rPr>
        <w:t>严重心脏衰</w:t>
      </w:r>
    </w:p>
    <w:p>
      <w:pPr>
        <w:spacing w:before="2"/>
        <w:ind w:left="1139" w:right="0" w:firstLine="0"/>
        <w:jc w:val="left"/>
        <w:rPr>
          <w:b/>
          <w:sz w:val="21"/>
        </w:rPr>
      </w:pPr>
      <w:r>
        <w:rPr>
          <w:b/>
          <w:spacing w:val="-16"/>
          <w:w w:val="95"/>
          <w:sz w:val="21"/>
        </w:rPr>
        <w:t>竭 </w:t>
      </w:r>
      <w:r>
        <w:rPr>
          <w:b/>
          <w:w w:val="95"/>
          <w:sz w:val="21"/>
        </w:rPr>
        <w:t>CRT</w:t>
      </w:r>
      <w:r>
        <w:rPr>
          <w:b/>
          <w:spacing w:val="-15"/>
          <w:w w:val="95"/>
          <w:sz w:val="21"/>
        </w:rPr>
        <w:t> 治疗</w:t>
      </w:r>
    </w:p>
    <w:p>
      <w:pPr>
        <w:pStyle w:val="BodyText"/>
        <w:spacing w:line="242" w:lineRule="auto" w:before="71"/>
        <w:ind w:left="372" w:right="372"/>
        <w:jc w:val="both"/>
        <w:rPr>
          <w:rFonts w:ascii="黑体" w:eastAsia="黑体"/>
        </w:rPr>
      </w:pPr>
      <w:r>
        <w:rPr/>
        <w:br w:type="column"/>
      </w:r>
      <w:r>
        <w:rPr>
          <w:spacing w:val="-2"/>
        </w:rPr>
        <w:t>指因缺血性心脏病或扩张性心肌病导致慢性严重心脏衰竭，被保险人实际接受了 </w:t>
      </w:r>
      <w:r>
        <w:rPr/>
        <w:t>CRT</w:t>
      </w:r>
      <w:r>
        <w:rPr>
          <w:spacing w:val="-3"/>
        </w:rPr>
        <w:t> 治疗，以矫正心室收缩不协调和改善心脏功能。</w:t>
      </w:r>
      <w:r>
        <w:rPr>
          <w:rFonts w:ascii="黑体" w:eastAsia="黑体"/>
        </w:rPr>
        <w:t>接受治疗之前必须满足下列全</w:t>
      </w:r>
      <w:r>
        <w:rPr>
          <w:rFonts w:ascii="黑体" w:eastAsia="黑体"/>
          <w:spacing w:val="-4"/>
        </w:rPr>
        <w:t>部条件：</w:t>
      </w:r>
    </w:p>
    <w:p>
      <w:pPr>
        <w:pStyle w:val="ListParagraph"/>
        <w:numPr>
          <w:ilvl w:val="0"/>
          <w:numId w:val="39"/>
        </w:numPr>
        <w:tabs>
          <w:tab w:pos="1108" w:val="left" w:leader="none"/>
        </w:tabs>
        <w:spacing w:line="244" w:lineRule="auto" w:before="61" w:after="0"/>
        <w:ind w:left="1107" w:right="372" w:hanging="735"/>
        <w:jc w:val="left"/>
        <w:rPr>
          <w:sz w:val="21"/>
        </w:rPr>
      </w:pPr>
      <w:r>
        <w:rPr>
          <w:sz w:val="21"/>
        </w:rPr>
        <w:t>心功能衰竭程度达到纽约心脏病学会的心功能分级标准之心功能Ⅲ级或Ⅳ</w:t>
      </w:r>
      <w:r>
        <w:rPr>
          <w:spacing w:val="-6"/>
          <w:sz w:val="21"/>
        </w:rPr>
        <w:t>级；</w:t>
      </w:r>
    </w:p>
    <w:p>
      <w:pPr>
        <w:pStyle w:val="ListParagraph"/>
        <w:numPr>
          <w:ilvl w:val="0"/>
          <w:numId w:val="39"/>
        </w:numPr>
        <w:tabs>
          <w:tab w:pos="1108" w:val="left" w:leader="none"/>
        </w:tabs>
        <w:spacing w:line="240" w:lineRule="auto" w:before="56" w:after="0"/>
        <w:ind w:left="1107" w:right="0" w:hanging="736"/>
        <w:jc w:val="left"/>
        <w:rPr>
          <w:sz w:val="21"/>
        </w:rPr>
      </w:pPr>
      <w:r>
        <w:rPr>
          <w:spacing w:val="-8"/>
          <w:sz w:val="21"/>
        </w:rPr>
        <w:t>左室射血分数低于 </w:t>
      </w:r>
      <w:r>
        <w:rPr>
          <w:spacing w:val="-4"/>
          <w:sz w:val="21"/>
        </w:rPr>
        <w:t>35%；</w:t>
      </w:r>
    </w:p>
    <w:p>
      <w:pPr>
        <w:pStyle w:val="ListParagraph"/>
        <w:numPr>
          <w:ilvl w:val="0"/>
          <w:numId w:val="39"/>
        </w:numPr>
        <w:tabs>
          <w:tab w:pos="1108" w:val="left" w:leader="none"/>
        </w:tabs>
        <w:spacing w:line="240" w:lineRule="auto" w:before="64" w:after="0"/>
        <w:ind w:left="1107" w:right="0" w:hanging="736"/>
        <w:jc w:val="left"/>
        <w:rPr>
          <w:sz w:val="21"/>
        </w:rPr>
      </w:pPr>
      <w:r>
        <w:rPr>
          <w:spacing w:val="-2"/>
          <w:sz w:val="21"/>
        </w:rPr>
        <w:t>左室舒张末期内径≥55mm；</w:t>
      </w:r>
    </w:p>
    <w:p>
      <w:pPr>
        <w:pStyle w:val="ListParagraph"/>
        <w:numPr>
          <w:ilvl w:val="0"/>
          <w:numId w:val="39"/>
        </w:numPr>
        <w:tabs>
          <w:tab w:pos="1108" w:val="left" w:leader="none"/>
        </w:tabs>
        <w:spacing w:line="240" w:lineRule="auto" w:before="63" w:after="0"/>
        <w:ind w:left="1107" w:right="0" w:hanging="736"/>
        <w:jc w:val="left"/>
        <w:rPr>
          <w:sz w:val="21"/>
        </w:rPr>
      </w:pPr>
      <w:r>
        <w:rPr>
          <w:spacing w:val="-2"/>
          <w:sz w:val="21"/>
        </w:rPr>
        <w:t>QRS</w:t>
      </w:r>
      <w:r>
        <w:rPr>
          <w:spacing w:val="-14"/>
          <w:sz w:val="21"/>
        </w:rPr>
        <w:t> 时间≥</w:t>
      </w:r>
      <w:r>
        <w:rPr>
          <w:spacing w:val="-2"/>
          <w:sz w:val="21"/>
        </w:rPr>
        <w:t>130msec；</w:t>
      </w:r>
    </w:p>
    <w:p>
      <w:pPr>
        <w:pStyle w:val="ListParagraph"/>
        <w:numPr>
          <w:ilvl w:val="0"/>
          <w:numId w:val="39"/>
        </w:numPr>
        <w:tabs>
          <w:tab w:pos="1108" w:val="left" w:leader="none"/>
        </w:tabs>
        <w:spacing w:line="240" w:lineRule="auto" w:before="64" w:after="0"/>
        <w:ind w:left="1107" w:right="0" w:hanging="736"/>
        <w:jc w:val="left"/>
        <w:rPr>
          <w:sz w:val="21"/>
        </w:rPr>
      </w:pPr>
      <w:r>
        <w:rPr>
          <w:spacing w:val="-3"/>
          <w:sz w:val="21"/>
        </w:rPr>
        <w:t>药物治疗效果不佳，仍有症状。</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完全性房室</w:t>
      </w:r>
    </w:p>
    <w:p>
      <w:pPr>
        <w:spacing w:before="2"/>
        <w:ind w:left="1139" w:right="0" w:firstLine="0"/>
        <w:jc w:val="left"/>
        <w:rPr>
          <w:b/>
          <w:sz w:val="21"/>
        </w:rPr>
      </w:pPr>
      <w:r>
        <w:rPr>
          <w:b/>
          <w:spacing w:val="-3"/>
          <w:sz w:val="21"/>
        </w:rPr>
        <w:t>传导阻滞</w:t>
      </w:r>
    </w:p>
    <w:p>
      <w:pPr>
        <w:pStyle w:val="BodyText"/>
        <w:spacing w:line="242" w:lineRule="auto" w:before="72"/>
        <w:ind w:left="372" w:right="373"/>
        <w:jc w:val="both"/>
        <w:rPr>
          <w:rFonts w:ascii="黑体" w:hAnsi="黑体" w:eastAsia="黑体"/>
        </w:rPr>
      </w:pPr>
      <w:r>
        <w:rPr/>
        <w:br w:type="column"/>
      </w:r>
      <w:r>
        <w:rPr>
          <w:spacing w:val="-2"/>
        </w:rPr>
        <w:t>指因慢性心脏疾病导致Ⅲ度或完全性房室传导阻滞。完全性房室传导阻滞是心房的</w:t>
      </w:r>
      <w:r>
        <w:rPr>
          <w:spacing w:val="-2"/>
        </w:rPr>
        <w:t>激动不能正常地传导到心室，造成心室率过于缓慢，出现心力衰竭和因大脑供血不</w:t>
      </w:r>
      <w:r>
        <w:rPr>
          <w:spacing w:val="-2"/>
        </w:rPr>
        <w:t>足导致的晕厥、阿-斯综合征。必须明确诊断</w:t>
      </w:r>
      <w:r>
        <w:rPr>
          <w:rFonts w:ascii="黑体" w:hAnsi="黑体" w:eastAsia="黑体"/>
          <w:spacing w:val="-2"/>
        </w:rPr>
        <w:t>，并须满足下列全部条件：</w:t>
      </w:r>
    </w:p>
    <w:p>
      <w:pPr>
        <w:pStyle w:val="ListParagraph"/>
        <w:numPr>
          <w:ilvl w:val="0"/>
          <w:numId w:val="40"/>
        </w:numPr>
        <w:tabs>
          <w:tab w:pos="1108" w:val="left" w:leader="none"/>
        </w:tabs>
        <w:spacing w:line="240" w:lineRule="auto" w:before="61" w:after="0"/>
        <w:ind w:left="1107" w:right="0" w:hanging="736"/>
        <w:jc w:val="left"/>
        <w:rPr>
          <w:sz w:val="21"/>
        </w:rPr>
      </w:pPr>
      <w:r>
        <w:rPr>
          <w:spacing w:val="-3"/>
          <w:sz w:val="21"/>
        </w:rPr>
        <w:t>患有慢性心脏疾病；</w:t>
      </w:r>
    </w:p>
    <w:p>
      <w:pPr>
        <w:pStyle w:val="ListParagraph"/>
        <w:numPr>
          <w:ilvl w:val="0"/>
          <w:numId w:val="40"/>
        </w:numPr>
        <w:tabs>
          <w:tab w:pos="1108" w:val="left" w:leader="none"/>
        </w:tabs>
        <w:spacing w:line="240" w:lineRule="auto" w:before="65" w:after="0"/>
        <w:ind w:left="1107" w:right="0" w:hanging="736"/>
        <w:jc w:val="left"/>
        <w:rPr>
          <w:sz w:val="21"/>
        </w:rPr>
      </w:pPr>
      <w:r>
        <w:rPr>
          <w:spacing w:val="-3"/>
          <w:sz w:val="21"/>
        </w:rPr>
        <w:t>曾经有晕厥、阿-斯综合征发作；</w:t>
      </w:r>
    </w:p>
    <w:p>
      <w:pPr>
        <w:pStyle w:val="ListParagraph"/>
        <w:numPr>
          <w:ilvl w:val="0"/>
          <w:numId w:val="40"/>
        </w:numPr>
        <w:tabs>
          <w:tab w:pos="1108" w:val="left" w:leader="none"/>
        </w:tabs>
        <w:spacing w:line="240" w:lineRule="auto" w:before="62" w:after="0"/>
        <w:ind w:left="1107" w:right="0" w:hanging="736"/>
        <w:jc w:val="left"/>
        <w:rPr>
          <w:sz w:val="21"/>
        </w:rPr>
      </w:pPr>
      <w:r>
        <w:rPr>
          <w:spacing w:val="-4"/>
          <w:sz w:val="21"/>
        </w:rPr>
        <w:t>心电图表现为持续室性逸搏心律，心室率持续低于 </w:t>
      </w:r>
      <w:r>
        <w:rPr>
          <w:spacing w:val="-2"/>
          <w:sz w:val="21"/>
        </w:rPr>
        <w:t>40</w:t>
      </w:r>
      <w:r>
        <w:rPr>
          <w:spacing w:val="-13"/>
          <w:sz w:val="21"/>
        </w:rPr>
        <w:t> 次/分；</w:t>
      </w:r>
    </w:p>
    <w:p>
      <w:pPr>
        <w:pStyle w:val="ListParagraph"/>
        <w:numPr>
          <w:ilvl w:val="0"/>
          <w:numId w:val="40"/>
        </w:numPr>
        <w:tabs>
          <w:tab w:pos="1108" w:val="left" w:leader="none"/>
        </w:tabs>
        <w:spacing w:line="240" w:lineRule="auto" w:before="64" w:after="0"/>
        <w:ind w:left="1107" w:right="0" w:hanging="736"/>
        <w:jc w:val="left"/>
        <w:rPr>
          <w:sz w:val="21"/>
        </w:rPr>
      </w:pPr>
      <w:r>
        <w:rPr>
          <w:spacing w:val="-3"/>
          <w:sz w:val="21"/>
        </w:rPr>
        <w:t>已经植入永久性心脏起搏器。</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8"/>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1" w:after="0"/>
        <w:ind w:left="1139" w:right="0" w:hanging="661"/>
        <w:jc w:val="left"/>
      </w:pPr>
      <w:r>
        <w:rPr>
          <w:spacing w:val="-2"/>
        </w:rPr>
        <w:t>风湿热导致</w:t>
      </w:r>
    </w:p>
    <w:p>
      <w:pPr>
        <w:spacing w:line="242" w:lineRule="auto" w:before="5"/>
        <w:ind w:left="1139" w:right="0" w:firstLine="0"/>
        <w:jc w:val="left"/>
        <w:rPr>
          <w:b/>
          <w:sz w:val="21"/>
        </w:rPr>
      </w:pPr>
      <w:r>
        <w:rPr>
          <w:b/>
          <w:spacing w:val="-2"/>
          <w:sz w:val="21"/>
        </w:rPr>
        <w:t>的心脏瓣膜</w:t>
      </w:r>
      <w:r>
        <w:rPr>
          <w:b/>
          <w:spacing w:val="-6"/>
          <w:sz w:val="21"/>
        </w:rPr>
        <w:t>病变</w:t>
      </w:r>
    </w:p>
    <w:p>
      <w:pPr>
        <w:pStyle w:val="BodyText"/>
        <w:spacing w:line="244" w:lineRule="auto" w:before="71"/>
        <w:ind w:left="372" w:right="373"/>
        <w:rPr>
          <w:rFonts w:ascii="黑体" w:eastAsia="黑体"/>
        </w:rPr>
      </w:pPr>
      <w:r>
        <w:rPr/>
        <w:br w:type="column"/>
      </w:r>
      <w:r>
        <w:rPr>
          <w:spacing w:val="-2"/>
        </w:rPr>
        <w:t>指风湿热反复发作并发心脏瓣膜损害，导致慢性心脏瓣膜病，引起心脏瓣膜狭窄、</w:t>
      </w:r>
      <w:r>
        <w:rPr>
          <w:spacing w:val="-2"/>
        </w:rPr>
        <w:t>关闭不全。</w:t>
      </w:r>
      <w:r>
        <w:rPr>
          <w:rFonts w:ascii="黑体" w:eastAsia="黑体"/>
          <w:spacing w:val="-2"/>
        </w:rPr>
        <w:t>并须满足下列全部条件：</w:t>
      </w:r>
    </w:p>
    <w:p>
      <w:pPr>
        <w:pStyle w:val="ListParagraph"/>
        <w:numPr>
          <w:ilvl w:val="0"/>
          <w:numId w:val="41"/>
        </w:numPr>
        <w:tabs>
          <w:tab w:pos="1108" w:val="left" w:leader="none"/>
        </w:tabs>
        <w:spacing w:line="240" w:lineRule="auto" w:before="56" w:after="0"/>
        <w:ind w:left="1107" w:right="0" w:hanging="736"/>
        <w:jc w:val="left"/>
        <w:rPr>
          <w:sz w:val="21"/>
        </w:rPr>
      </w:pPr>
      <w:r>
        <w:rPr>
          <w:spacing w:val="-4"/>
          <w:sz w:val="21"/>
        </w:rPr>
        <w:t>风湿热病史；</w:t>
      </w:r>
    </w:p>
    <w:p>
      <w:pPr>
        <w:pStyle w:val="ListParagraph"/>
        <w:numPr>
          <w:ilvl w:val="0"/>
          <w:numId w:val="41"/>
        </w:numPr>
        <w:tabs>
          <w:tab w:pos="1108" w:val="left" w:leader="none"/>
        </w:tabs>
        <w:spacing w:line="240" w:lineRule="auto" w:before="65" w:after="0"/>
        <w:ind w:left="1107" w:right="0" w:hanging="736"/>
        <w:jc w:val="left"/>
        <w:rPr>
          <w:sz w:val="21"/>
        </w:rPr>
      </w:pPr>
      <w:r>
        <w:rPr>
          <w:spacing w:val="-3"/>
          <w:sz w:val="21"/>
        </w:rPr>
        <w:t>慢性心脏瓣膜病病史；</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ListParagraph"/>
        <w:numPr>
          <w:ilvl w:val="0"/>
          <w:numId w:val="41"/>
        </w:numPr>
        <w:tabs>
          <w:tab w:pos="3343" w:val="left" w:leader="none"/>
        </w:tabs>
        <w:spacing w:line="240" w:lineRule="auto" w:before="53" w:after="0"/>
        <w:ind w:left="3342" w:right="0" w:hanging="735"/>
        <w:jc w:val="left"/>
        <w:rPr>
          <w:sz w:val="21"/>
        </w:rPr>
      </w:pPr>
      <w:r>
        <w:rPr>
          <w:spacing w:val="-3"/>
          <w:sz w:val="21"/>
        </w:rPr>
        <w:t>实际接受了开胸进行的心脏瓣膜置换手术。</w:t>
      </w:r>
    </w:p>
    <w:p>
      <w:pPr>
        <w:pStyle w:val="BodyText"/>
        <w:spacing w:before="64"/>
        <w:ind w:left="2608"/>
        <w:rPr>
          <w:rFonts w:ascii="黑体" w:eastAsia="黑体"/>
        </w:rPr>
      </w:pPr>
      <w:r>
        <w:rPr>
          <w:rFonts w:ascii="黑体" w:eastAsia="黑体"/>
          <w:spacing w:val="-3"/>
        </w:rPr>
        <w:t>经导管进行的瓣膜置换手术或瓣膜成型手术不在本合同所定义的重大疾病范围内。</w:t>
      </w:r>
    </w:p>
    <w:p>
      <w:pPr>
        <w:pStyle w:val="BodyText"/>
        <w:spacing w:before="8"/>
        <w:rPr>
          <w:rFonts w:ascii="黑体"/>
          <w:sz w:val="12"/>
        </w:rPr>
      </w:pPr>
    </w:p>
    <w:p>
      <w:pPr>
        <w:spacing w:after="0"/>
        <w:rPr>
          <w:rFonts w:ascii="黑体"/>
          <w:sz w:val="12"/>
        </w:rPr>
        <w:sectPr>
          <w:pgSz w:w="11910" w:h="16850"/>
          <w:pgMar w:top="114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多发性大动</w:t>
      </w:r>
    </w:p>
    <w:p>
      <w:pPr>
        <w:spacing w:line="242" w:lineRule="auto" w:before="4"/>
        <w:ind w:left="1139" w:right="0" w:firstLine="0"/>
        <w:jc w:val="left"/>
        <w:rPr>
          <w:b/>
          <w:sz w:val="21"/>
        </w:rPr>
      </w:pPr>
      <w:r>
        <w:rPr>
          <w:b/>
          <w:spacing w:val="-2"/>
          <w:sz w:val="21"/>
        </w:rPr>
        <w:t>脉炎旁路移</w:t>
      </w:r>
      <w:r>
        <w:rPr>
          <w:b/>
          <w:spacing w:val="-4"/>
          <w:sz w:val="21"/>
        </w:rPr>
        <w:t>植手术</w:t>
      </w:r>
    </w:p>
    <w:p>
      <w:pPr>
        <w:pStyle w:val="BodyText"/>
        <w:spacing w:line="244" w:lineRule="auto" w:before="72"/>
        <w:ind w:left="372" w:right="373"/>
      </w:pPr>
      <w:r>
        <w:rPr/>
        <w:br w:type="column"/>
      </w:r>
      <w:r>
        <w:rPr>
          <w:spacing w:val="-2"/>
        </w:rPr>
        <w:t>被保险人被明确诊断为头臂动脉型多发性大动脉炎并且实际接受了经胸部切开进行</w:t>
      </w:r>
      <w:r>
        <w:rPr>
          <w:spacing w:val="-2"/>
        </w:rPr>
        <w:t>的无名动脉（头臂干）、颈总动脉、锁骨下动脉旁路移植手术。</w:t>
      </w:r>
    </w:p>
    <w:p>
      <w:pPr>
        <w:pStyle w:val="BodyText"/>
        <w:spacing w:line="242" w:lineRule="auto" w:before="56"/>
        <w:ind w:left="372" w:right="373"/>
        <w:jc w:val="both"/>
        <w:rPr>
          <w:rFonts w:ascii="黑体" w:eastAsia="黑体"/>
        </w:rPr>
      </w:pPr>
      <w:r>
        <w:rPr>
          <w:rFonts w:ascii="黑体" w:eastAsia="黑体"/>
          <w:spacing w:val="-2"/>
        </w:rPr>
        <w:t>非开胸的血管旁路移植手术、因其他病因而进行的旁路移植手术、对其他动脉进行</w:t>
      </w:r>
      <w:r>
        <w:rPr>
          <w:rFonts w:ascii="黑体" w:eastAsia="黑体"/>
          <w:spacing w:val="-2"/>
        </w:rPr>
        <w:t>的旁路移植手术、经皮经导管进行的血管内手术均不在本合同所定义的重大疾病范</w:t>
      </w:r>
      <w:r>
        <w:rPr>
          <w:rFonts w:ascii="黑体" w:eastAsia="黑体"/>
          <w:spacing w:val="-4"/>
        </w:rPr>
        <w:t>围内。</w:t>
      </w:r>
    </w:p>
    <w:p>
      <w:pPr>
        <w:spacing w:after="0" w:line="242" w:lineRule="auto"/>
        <w:jc w:val="both"/>
        <w:rPr>
          <w:rFonts w:ascii="黑体" w:eastAsia="黑体"/>
        </w:rPr>
        <w:sectPr>
          <w:type w:val="continuous"/>
          <w:pgSz w:w="11910" w:h="16850"/>
          <w:pgMar w:top="520" w:bottom="280" w:left="620" w:right="720"/>
          <w:cols w:num="2" w:equalWidth="0">
            <w:col w:w="2196" w:space="40"/>
            <w:col w:w="8334"/>
          </w:cols>
        </w:sectPr>
      </w:pPr>
    </w:p>
    <w:p>
      <w:pPr>
        <w:pStyle w:val="BodyText"/>
        <w:spacing w:before="8"/>
        <w:rPr>
          <w:rFonts w:ascii="黑体"/>
          <w:sz w:val="12"/>
        </w:rPr>
      </w:pPr>
    </w:p>
    <w:p>
      <w:pPr>
        <w:spacing w:after="0"/>
        <w:rPr>
          <w:rFonts w:ascii="黑体"/>
          <w:sz w:val="12"/>
        </w:rPr>
        <w:sectPr>
          <w:type w:val="continuous"/>
          <w:pgSz w:w="11910" w:h="16850"/>
          <w:pgMar w:top="520" w:bottom="280" w:left="620" w:right="720"/>
        </w:sectPr>
      </w:pPr>
    </w:p>
    <w:p>
      <w:pPr>
        <w:pStyle w:val="Heading3"/>
        <w:numPr>
          <w:ilvl w:val="1"/>
          <w:numId w:val="37"/>
        </w:numPr>
        <w:tabs>
          <w:tab w:pos="1140" w:val="left" w:leader="none"/>
        </w:tabs>
        <w:spacing w:line="242" w:lineRule="auto" w:before="71" w:after="0"/>
        <w:ind w:left="1139" w:right="0" w:hanging="661"/>
        <w:jc w:val="left"/>
      </w:pPr>
      <w:r>
        <w:rPr>
          <w:spacing w:val="-2"/>
        </w:rPr>
        <w:t>肺淋巴管肌</w:t>
      </w:r>
      <w:r>
        <w:rPr>
          <w:spacing w:val="-6"/>
        </w:rPr>
        <w:t>瘤病</w:t>
      </w:r>
    </w:p>
    <w:p>
      <w:pPr>
        <w:pStyle w:val="BodyText"/>
        <w:spacing w:line="242" w:lineRule="auto" w:before="71"/>
        <w:ind w:left="372" w:right="373"/>
        <w:rPr>
          <w:rFonts w:ascii="黑体" w:eastAsia="黑体"/>
        </w:rPr>
      </w:pPr>
      <w:r>
        <w:rPr/>
        <w:br w:type="column"/>
      </w:r>
      <w:r>
        <w:rPr>
          <w:spacing w:val="-2"/>
        </w:rPr>
        <w:t>是一种弥漫性肺部疾病，主要病理改变为肺间质、支气管、血管和淋巴管内出现未</w:t>
      </w:r>
      <w:r>
        <w:rPr>
          <w:spacing w:val="-2"/>
        </w:rPr>
        <w:t>成熟的平滑肌异常增生，</w:t>
      </w:r>
      <w:r>
        <w:rPr>
          <w:rFonts w:ascii="黑体" w:eastAsia="黑体"/>
          <w:spacing w:val="-2"/>
        </w:rPr>
        <w:t>并须满足下列全部条件：</w:t>
      </w:r>
    </w:p>
    <w:p>
      <w:pPr>
        <w:pStyle w:val="ListParagraph"/>
        <w:numPr>
          <w:ilvl w:val="0"/>
          <w:numId w:val="42"/>
        </w:numPr>
        <w:tabs>
          <w:tab w:pos="1108" w:val="left" w:leader="none"/>
        </w:tabs>
        <w:spacing w:line="240" w:lineRule="auto" w:before="59" w:after="0"/>
        <w:ind w:left="1107" w:right="0" w:hanging="736"/>
        <w:jc w:val="left"/>
        <w:rPr>
          <w:sz w:val="21"/>
        </w:rPr>
      </w:pPr>
      <w:r>
        <w:rPr>
          <w:spacing w:val="-3"/>
          <w:sz w:val="21"/>
        </w:rPr>
        <w:t>经组织病理学诊断；</w:t>
      </w:r>
    </w:p>
    <w:p>
      <w:pPr>
        <w:pStyle w:val="ListParagraph"/>
        <w:numPr>
          <w:ilvl w:val="0"/>
          <w:numId w:val="42"/>
        </w:numPr>
        <w:tabs>
          <w:tab w:pos="1108" w:val="left" w:leader="none"/>
        </w:tabs>
        <w:spacing w:line="240" w:lineRule="auto" w:before="65" w:after="0"/>
        <w:ind w:left="1107" w:right="0" w:hanging="736"/>
        <w:jc w:val="left"/>
        <w:rPr>
          <w:sz w:val="21"/>
        </w:rPr>
      </w:pPr>
      <w:r>
        <w:rPr>
          <w:spacing w:val="-2"/>
          <w:sz w:val="21"/>
        </w:rPr>
        <w:t>CT</w:t>
      </w:r>
      <w:r>
        <w:rPr>
          <w:spacing w:val="-10"/>
          <w:sz w:val="21"/>
        </w:rPr>
        <w:t> 显示双肺弥漫性囊性改变；</w:t>
      </w:r>
    </w:p>
    <w:p>
      <w:pPr>
        <w:pStyle w:val="ListParagraph"/>
        <w:numPr>
          <w:ilvl w:val="0"/>
          <w:numId w:val="42"/>
        </w:numPr>
        <w:tabs>
          <w:tab w:pos="1108" w:val="left" w:leader="none"/>
        </w:tabs>
        <w:spacing w:line="240" w:lineRule="auto" w:before="61" w:after="0"/>
        <w:ind w:left="1107" w:right="0" w:hanging="736"/>
        <w:jc w:val="left"/>
        <w:rPr>
          <w:sz w:val="21"/>
        </w:rPr>
      </w:pPr>
      <w:r>
        <w:rPr>
          <w:spacing w:val="-2"/>
          <w:position w:val="1"/>
          <w:sz w:val="21"/>
        </w:rPr>
        <w:t>动脉血氧分压（PaO</w:t>
      </w:r>
      <w:r>
        <w:rPr>
          <w:spacing w:val="-2"/>
          <w:sz w:val="11"/>
        </w:rPr>
        <w:t>2</w:t>
      </w:r>
      <w:r>
        <w:rPr>
          <w:spacing w:val="-2"/>
          <w:position w:val="1"/>
          <w:sz w:val="21"/>
        </w:rPr>
        <w:t>）＜55mmHg</w:t>
      </w:r>
      <w:r>
        <w:rPr>
          <w:spacing w:val="-10"/>
          <w:position w:val="1"/>
          <w:sz w:val="21"/>
        </w:rPr>
        <w:t>。</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11"/>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2" w:lineRule="auto" w:before="72" w:after="0"/>
        <w:ind w:left="1139" w:right="0" w:hanging="661"/>
        <w:jc w:val="left"/>
      </w:pPr>
      <w:r>
        <w:rPr>
          <w:spacing w:val="-2"/>
        </w:rPr>
        <w:t>严重肺结节</w:t>
      </w:r>
      <w:r>
        <w:rPr>
          <w:spacing w:val="-10"/>
        </w:rPr>
        <w:t>病</w:t>
      </w:r>
    </w:p>
    <w:p>
      <w:pPr>
        <w:pStyle w:val="BodyText"/>
        <w:spacing w:line="242" w:lineRule="auto" w:before="72"/>
        <w:ind w:left="372" w:right="372"/>
        <w:jc w:val="both"/>
      </w:pPr>
      <w:r>
        <w:rPr/>
        <w:br w:type="column"/>
      </w:r>
      <w:r>
        <w:rPr>
          <w:spacing w:val="-2"/>
        </w:rPr>
        <w:t>是一种原因未明的慢性肉芽肿病，可侵犯全身多个器官，以肺和淋巴结受累最为常</w:t>
      </w:r>
      <w:r>
        <w:rPr>
          <w:spacing w:val="-2"/>
        </w:rPr>
        <w:t>见。严重肺结节病表现为肺的广泛纤维化导致慢性呼吸功能衰竭。</w:t>
      </w:r>
      <w:r>
        <w:rPr>
          <w:rFonts w:ascii="黑体" w:eastAsia="黑体"/>
          <w:spacing w:val="-2"/>
        </w:rPr>
        <w:t>并须满足下列全</w:t>
      </w:r>
      <w:r>
        <w:rPr>
          <w:rFonts w:ascii="黑体" w:eastAsia="黑体"/>
          <w:spacing w:val="-4"/>
        </w:rPr>
        <w:t>部条件</w:t>
      </w:r>
      <w:r>
        <w:rPr>
          <w:spacing w:val="-4"/>
        </w:rPr>
        <w:t>：</w:t>
      </w:r>
    </w:p>
    <w:p>
      <w:pPr>
        <w:pStyle w:val="ListParagraph"/>
        <w:numPr>
          <w:ilvl w:val="0"/>
          <w:numId w:val="43"/>
        </w:numPr>
        <w:tabs>
          <w:tab w:pos="1108" w:val="left" w:leader="none"/>
        </w:tabs>
        <w:spacing w:line="240" w:lineRule="auto" w:before="60" w:after="0"/>
        <w:ind w:left="1107" w:right="0" w:hanging="736"/>
        <w:jc w:val="both"/>
        <w:rPr>
          <w:sz w:val="21"/>
        </w:rPr>
      </w:pPr>
      <w:r>
        <w:rPr>
          <w:spacing w:val="-10"/>
          <w:sz w:val="21"/>
        </w:rPr>
        <w:t>肺结节病的 </w:t>
      </w:r>
      <w:r>
        <w:rPr>
          <w:spacing w:val="-2"/>
          <w:sz w:val="21"/>
        </w:rPr>
        <w:t>X</w:t>
      </w:r>
      <w:r>
        <w:rPr>
          <w:spacing w:val="-10"/>
          <w:sz w:val="21"/>
        </w:rPr>
        <w:t> 线分期为Ⅳ期，即广泛肺纤维化；</w:t>
      </w:r>
    </w:p>
    <w:p>
      <w:pPr>
        <w:pStyle w:val="ListParagraph"/>
        <w:numPr>
          <w:ilvl w:val="0"/>
          <w:numId w:val="43"/>
        </w:numPr>
        <w:tabs>
          <w:tab w:pos="1108" w:val="left" w:leader="none"/>
        </w:tabs>
        <w:spacing w:line="240" w:lineRule="auto" w:before="65" w:after="0"/>
        <w:ind w:left="1107" w:right="0" w:hanging="736"/>
        <w:jc w:val="both"/>
        <w:rPr>
          <w:sz w:val="21"/>
        </w:rPr>
      </w:pPr>
      <w:r>
        <w:rPr>
          <w:spacing w:val="-4"/>
          <w:position w:val="1"/>
          <w:sz w:val="21"/>
        </w:rPr>
        <w:t>永久不可逆性的慢性呼吸功能衰竭，临床持续 </w:t>
      </w:r>
      <w:r>
        <w:rPr>
          <w:spacing w:val="-2"/>
          <w:position w:val="1"/>
          <w:sz w:val="21"/>
        </w:rPr>
        <w:t>180</w:t>
      </w:r>
      <w:r>
        <w:rPr>
          <w:spacing w:val="-9"/>
          <w:position w:val="1"/>
          <w:sz w:val="21"/>
        </w:rPr>
        <w:t> 天动脉血氧分压</w:t>
      </w:r>
      <w:r>
        <w:rPr>
          <w:spacing w:val="-2"/>
          <w:position w:val="1"/>
          <w:sz w:val="21"/>
        </w:rPr>
        <w:t>（PaO</w:t>
      </w:r>
      <w:r>
        <w:rPr>
          <w:spacing w:val="-2"/>
          <w:sz w:val="11"/>
        </w:rPr>
        <w:t>2</w:t>
      </w:r>
      <w:r>
        <w:rPr>
          <w:spacing w:val="-2"/>
          <w:position w:val="1"/>
          <w:sz w:val="21"/>
        </w:rPr>
        <w:t>）</w:t>
      </w:r>
    </w:p>
    <w:p>
      <w:pPr>
        <w:pStyle w:val="BodyText"/>
        <w:spacing w:before="2"/>
        <w:ind w:left="1107"/>
        <w:jc w:val="both"/>
      </w:pPr>
      <w:r>
        <w:rPr>
          <w:spacing w:val="-2"/>
          <w:position w:val="1"/>
        </w:rPr>
        <w:t>＜50mmHg</w:t>
      </w:r>
      <w:r>
        <w:rPr>
          <w:spacing w:val="-8"/>
          <w:position w:val="1"/>
        </w:rPr>
        <w:t> 和动脉血氧饱和度</w:t>
      </w:r>
      <w:r>
        <w:rPr>
          <w:spacing w:val="-2"/>
          <w:position w:val="1"/>
        </w:rPr>
        <w:t>（SaO</w:t>
      </w:r>
      <w:r>
        <w:rPr>
          <w:spacing w:val="-2"/>
          <w:sz w:val="11"/>
        </w:rPr>
        <w:t>2</w:t>
      </w:r>
      <w:r>
        <w:rPr>
          <w:spacing w:val="-2"/>
          <w:position w:val="1"/>
        </w:rPr>
        <w:t>）＜80</w:t>
      </w:r>
      <w:r>
        <w:rPr>
          <w:spacing w:val="-6"/>
          <w:position w:val="1"/>
        </w:rPr>
        <w:t>%。</w:t>
      </w:r>
    </w:p>
    <w:p>
      <w:pPr>
        <w:spacing w:after="0"/>
        <w:jc w:val="both"/>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非阿尔茨海</w:t>
      </w:r>
    </w:p>
    <w:p>
      <w:pPr>
        <w:spacing w:line="242" w:lineRule="auto" w:before="4"/>
        <w:ind w:left="1139" w:right="0" w:firstLine="0"/>
        <w:jc w:val="left"/>
        <w:rPr>
          <w:b/>
          <w:sz w:val="21"/>
        </w:rPr>
      </w:pPr>
      <w:r>
        <w:rPr>
          <w:b/>
          <w:spacing w:val="-2"/>
          <w:sz w:val="21"/>
        </w:rPr>
        <w:t>默病所致严</w:t>
      </w:r>
      <w:r>
        <w:rPr>
          <w:b/>
          <w:spacing w:val="-4"/>
          <w:sz w:val="21"/>
        </w:rPr>
        <w:t>重痴呆</w:t>
      </w:r>
    </w:p>
    <w:p>
      <w:pPr>
        <w:pStyle w:val="BodyText"/>
        <w:spacing w:line="242" w:lineRule="auto" w:before="72"/>
        <w:ind w:left="372" w:right="372"/>
        <w:jc w:val="both"/>
      </w:pPr>
      <w:r>
        <w:rPr/>
        <w:br w:type="column"/>
      </w:r>
      <w:r>
        <w:rPr>
          <w:spacing w:val="-2"/>
        </w:rPr>
        <w:t>指因阿尔茨海默病以外的脑的器质性疾病造成脑功能衰竭导致永久不可逆性严重痴</w:t>
      </w:r>
      <w:r>
        <w:rPr>
          <w:spacing w:val="-2"/>
        </w:rPr>
        <w:t>呆，临床表现为明显的认知能力障碍、行为异常和社交能力减退。被保险人自主生</w:t>
      </w:r>
      <w:r>
        <w:rPr>
          <w:spacing w:val="-2"/>
        </w:rPr>
        <w:t>活能力完全丧失，无法独立完成六项基本日常生活活动中的三项或三项以上，日常</w:t>
      </w:r>
      <w:r>
        <w:rPr>
          <w:spacing w:val="-2"/>
        </w:rPr>
        <w:t>生活必须持续受到他人监护。导致痴呆的疾病必须明确诊断，并且由完整的临床、</w:t>
      </w:r>
      <w:r>
        <w:rPr>
          <w:spacing w:val="-2"/>
        </w:rPr>
        <w:t>实验室和影像学检查结果证实。</w:t>
      </w:r>
    </w:p>
    <w:p>
      <w:pPr>
        <w:pStyle w:val="BodyText"/>
        <w:spacing w:before="65"/>
        <w:ind w:left="372"/>
        <w:rPr>
          <w:rFonts w:ascii="黑体" w:eastAsia="黑体"/>
        </w:rPr>
      </w:pPr>
      <w:r>
        <w:rPr>
          <w:rFonts w:ascii="黑体" w:eastAsia="黑体"/>
          <w:spacing w:val="-12"/>
        </w:rPr>
        <w:t>神经官能症，精神疾病及酒精中毒所致脑损害不在本合同所定义的重大疾病范围内。</w:t>
      </w:r>
    </w:p>
    <w:p>
      <w:pPr>
        <w:spacing w:after="0"/>
        <w:rPr>
          <w:rFonts w:ascii="黑体" w:eastAsia="黑体"/>
        </w:rPr>
        <w:sectPr>
          <w:type w:val="continuous"/>
          <w:pgSz w:w="11910" w:h="16850"/>
          <w:pgMar w:top="520" w:bottom="280" w:left="620" w:right="720"/>
          <w:cols w:num="2" w:equalWidth="0">
            <w:col w:w="2196" w:space="40"/>
            <w:col w:w="8334"/>
          </w:cols>
        </w:sectPr>
      </w:pPr>
    </w:p>
    <w:p>
      <w:pPr>
        <w:pStyle w:val="BodyText"/>
        <w:spacing w:before="7"/>
        <w:rPr>
          <w:rFonts w:ascii="黑体"/>
          <w:sz w:val="12"/>
        </w:rPr>
      </w:pPr>
    </w:p>
    <w:p>
      <w:pPr>
        <w:spacing w:after="0"/>
        <w:rPr>
          <w:rFonts w:ascii="黑体"/>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进行性核上</w:t>
      </w:r>
    </w:p>
    <w:p>
      <w:pPr>
        <w:spacing w:before="4"/>
        <w:ind w:left="1139" w:right="0" w:firstLine="0"/>
        <w:jc w:val="left"/>
        <w:rPr>
          <w:b/>
          <w:sz w:val="21"/>
        </w:rPr>
      </w:pPr>
      <w:r>
        <w:rPr>
          <w:b/>
          <w:spacing w:val="-4"/>
          <w:sz w:val="21"/>
        </w:rPr>
        <w:t>性麻痹</w:t>
      </w:r>
    </w:p>
    <w:p>
      <w:pPr>
        <w:pStyle w:val="BodyText"/>
        <w:spacing w:line="244" w:lineRule="auto" w:before="72"/>
        <w:ind w:left="372" w:right="373"/>
        <w:rPr>
          <w:rFonts w:ascii="黑体" w:eastAsia="黑体"/>
        </w:rPr>
      </w:pPr>
      <w:r>
        <w:rPr/>
        <w:br w:type="column"/>
      </w:r>
      <w:r>
        <w:rPr>
          <w:spacing w:val="-2"/>
        </w:rPr>
        <w:t>指一种隐袭起病、逐渐加重的神经系统变性疾病，本疾病须经本公司认可的医院的</w:t>
      </w:r>
      <w:r>
        <w:rPr>
          <w:spacing w:val="-2"/>
        </w:rPr>
        <w:t>神经科专科医生确诊，</w:t>
      </w:r>
      <w:r>
        <w:rPr>
          <w:rFonts w:ascii="黑体" w:eastAsia="黑体"/>
          <w:spacing w:val="-2"/>
        </w:rPr>
        <w:t>并须满足下列全部临床特征：</w:t>
      </w:r>
    </w:p>
    <w:p>
      <w:pPr>
        <w:pStyle w:val="ListParagraph"/>
        <w:numPr>
          <w:ilvl w:val="0"/>
          <w:numId w:val="44"/>
        </w:numPr>
        <w:tabs>
          <w:tab w:pos="1108" w:val="left" w:leader="none"/>
        </w:tabs>
        <w:spacing w:line="240" w:lineRule="auto" w:before="55" w:after="0"/>
        <w:ind w:left="1107" w:right="0" w:hanging="736"/>
        <w:jc w:val="left"/>
        <w:rPr>
          <w:sz w:val="21"/>
        </w:rPr>
      </w:pPr>
      <w:r>
        <w:rPr>
          <w:spacing w:val="-4"/>
          <w:sz w:val="21"/>
        </w:rPr>
        <w:t>共济失调；</w:t>
      </w:r>
    </w:p>
    <w:p>
      <w:pPr>
        <w:pStyle w:val="ListParagraph"/>
        <w:numPr>
          <w:ilvl w:val="0"/>
          <w:numId w:val="44"/>
        </w:numPr>
        <w:tabs>
          <w:tab w:pos="1108" w:val="left" w:leader="none"/>
        </w:tabs>
        <w:spacing w:line="240" w:lineRule="auto" w:before="65" w:after="0"/>
        <w:ind w:left="1107" w:right="0" w:hanging="736"/>
        <w:jc w:val="left"/>
        <w:rPr>
          <w:sz w:val="21"/>
        </w:rPr>
      </w:pPr>
      <w:r>
        <w:rPr>
          <w:spacing w:val="-3"/>
          <w:sz w:val="21"/>
        </w:rPr>
        <w:t>对称性眼球垂直运动障碍；</w:t>
      </w:r>
    </w:p>
    <w:p>
      <w:pPr>
        <w:pStyle w:val="ListParagraph"/>
        <w:numPr>
          <w:ilvl w:val="0"/>
          <w:numId w:val="44"/>
        </w:numPr>
        <w:tabs>
          <w:tab w:pos="1108" w:val="left" w:leader="none"/>
        </w:tabs>
        <w:spacing w:line="240" w:lineRule="auto" w:before="62" w:after="0"/>
        <w:ind w:left="1107" w:right="0" w:hanging="736"/>
        <w:jc w:val="left"/>
        <w:rPr>
          <w:sz w:val="21"/>
        </w:rPr>
      </w:pPr>
      <w:r>
        <w:rPr>
          <w:spacing w:val="-2"/>
          <w:sz w:val="21"/>
        </w:rPr>
        <w:t>假性球麻痹（构音障碍和吞咽困难</w:t>
      </w:r>
      <w:r>
        <w:rPr>
          <w:spacing w:val="-108"/>
          <w:sz w:val="21"/>
        </w:rPr>
        <w:t>）</w:t>
      </w:r>
      <w:r>
        <w:rPr>
          <w:spacing w:val="-10"/>
          <w:sz w:val="21"/>
        </w:rPr>
        <w:t>。</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pStyle w:val="ListParagraph"/>
        <w:numPr>
          <w:ilvl w:val="1"/>
          <w:numId w:val="37"/>
        </w:numPr>
        <w:tabs>
          <w:tab w:pos="1140" w:val="left" w:leader="none"/>
        </w:tabs>
        <w:spacing w:line="242" w:lineRule="auto" w:before="72" w:after="0"/>
        <w:ind w:left="2608" w:right="373" w:hanging="2130"/>
        <w:jc w:val="both"/>
        <w:rPr>
          <w:sz w:val="21"/>
        </w:rPr>
      </w:pPr>
      <w:r>
        <w:rPr>
          <w:b/>
          <w:spacing w:val="101"/>
          <w:sz w:val="21"/>
        </w:rPr>
        <w:t>克雅氏病 </w:t>
      </w:r>
      <w:r>
        <w:rPr>
          <w:sz w:val="21"/>
        </w:rPr>
        <w:t>是一种由动物传染而来的中枢神经系统变性性疾病，大脑呈海绵状改变伴神经元缺</w:t>
      </w:r>
      <w:r>
        <w:rPr>
          <w:spacing w:val="-2"/>
          <w:sz w:val="21"/>
        </w:rPr>
        <w:t>失和胶质化。临床表现为进行性痴呆、不随意运动及抽搐、行动困难等。克雅氏病</w:t>
      </w:r>
      <w:r>
        <w:rPr>
          <w:spacing w:val="-2"/>
          <w:sz w:val="21"/>
        </w:rPr>
        <w:t>必须由本公司认可的医院根据致病蛋白的发现而明确诊断。</w:t>
      </w:r>
    </w:p>
    <w:p>
      <w:pPr>
        <w:pStyle w:val="BodyText"/>
        <w:spacing w:before="8"/>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亚急性硬化</w:t>
      </w:r>
    </w:p>
    <w:p>
      <w:pPr>
        <w:spacing w:before="2"/>
        <w:ind w:left="1139" w:right="0" w:firstLine="0"/>
        <w:jc w:val="left"/>
        <w:rPr>
          <w:b/>
          <w:sz w:val="21"/>
        </w:rPr>
      </w:pPr>
      <w:r>
        <w:rPr>
          <w:b/>
          <w:spacing w:val="-3"/>
          <w:sz w:val="21"/>
        </w:rPr>
        <w:t>性全脑炎</w:t>
      </w:r>
    </w:p>
    <w:p>
      <w:pPr>
        <w:pStyle w:val="BodyText"/>
        <w:spacing w:line="242" w:lineRule="auto" w:before="72"/>
        <w:ind w:left="372" w:right="373"/>
        <w:rPr>
          <w:rFonts w:ascii="黑体" w:eastAsia="黑体"/>
        </w:rPr>
      </w:pPr>
      <w:r>
        <w:rPr/>
        <w:br w:type="column"/>
      </w:r>
      <w:r>
        <w:rPr>
          <w:spacing w:val="-2"/>
        </w:rPr>
        <w:t>是麻疹或麻疹样病毒所致的一种中枢神经系统慢病毒感染。中枢神经系统呈现灰质</w:t>
      </w:r>
      <w:r>
        <w:rPr>
          <w:spacing w:val="-2"/>
        </w:rPr>
        <w:t>和白质破坏为特征的慢性和急性混合存在的炎症。</w:t>
      </w:r>
      <w:r>
        <w:rPr>
          <w:rFonts w:ascii="黑体" w:eastAsia="黑体"/>
          <w:spacing w:val="-2"/>
        </w:rPr>
        <w:t>并须满足下列全部条件：</w:t>
      </w:r>
    </w:p>
    <w:p>
      <w:pPr>
        <w:pStyle w:val="ListParagraph"/>
        <w:numPr>
          <w:ilvl w:val="0"/>
          <w:numId w:val="45"/>
        </w:numPr>
        <w:tabs>
          <w:tab w:pos="1108" w:val="left" w:leader="none"/>
        </w:tabs>
        <w:spacing w:line="242" w:lineRule="auto" w:before="62" w:after="0"/>
        <w:ind w:left="1107" w:right="370" w:hanging="735"/>
        <w:jc w:val="left"/>
        <w:rPr>
          <w:sz w:val="21"/>
        </w:rPr>
      </w:pPr>
      <w:r>
        <w:rPr>
          <w:spacing w:val="-7"/>
          <w:sz w:val="21"/>
        </w:rPr>
        <w:t>必须由本公司认可的医院的专科医生诊断，临床检查证实脑电图存在周期性</w:t>
      </w:r>
      <w:r>
        <w:rPr>
          <w:spacing w:val="-5"/>
          <w:sz w:val="21"/>
        </w:rPr>
        <w:t>复合波、脑脊液 </w:t>
      </w:r>
      <w:r>
        <w:rPr>
          <w:rFonts w:ascii="Times New Roman" w:hAnsi="Times New Roman" w:eastAsia="Times New Roman"/>
          <w:sz w:val="21"/>
        </w:rPr>
        <w:t>Ƴ</w:t>
      </w:r>
      <w:r>
        <w:rPr>
          <w:sz w:val="21"/>
        </w:rPr>
        <w:t>-球蛋白升高、脑脊液和血清中麻疹抗体滴定度升高；</w:t>
      </w:r>
    </w:p>
    <w:p>
      <w:pPr>
        <w:pStyle w:val="ListParagraph"/>
        <w:numPr>
          <w:ilvl w:val="0"/>
          <w:numId w:val="45"/>
        </w:numPr>
        <w:tabs>
          <w:tab w:pos="1108" w:val="left" w:leader="none"/>
        </w:tabs>
        <w:spacing w:line="244" w:lineRule="auto" w:before="58" w:after="0"/>
        <w:ind w:left="1107" w:right="371" w:hanging="735"/>
        <w:jc w:val="left"/>
        <w:rPr>
          <w:sz w:val="21"/>
        </w:rPr>
      </w:pPr>
      <w:r>
        <w:rPr>
          <w:spacing w:val="-4"/>
          <w:sz w:val="21"/>
        </w:rPr>
        <w:t>被保险人出现运动障碍，永久不可逆丧失自主生活能力，无法独立完成六项</w:t>
      </w:r>
      <w:r>
        <w:rPr>
          <w:spacing w:val="-2"/>
          <w:sz w:val="21"/>
        </w:rPr>
        <w:t>基本日常生活活动中的三项或三项以上。</w:t>
      </w:r>
    </w:p>
    <w:p>
      <w:pPr>
        <w:spacing w:after="0" w:line="244" w:lineRule="auto"/>
        <w:jc w:val="left"/>
        <w:rPr>
          <w:sz w:val="21"/>
        </w:rPr>
        <w:sectPr>
          <w:type w:val="continuous"/>
          <w:pgSz w:w="11910" w:h="16850"/>
          <w:pgMar w:top="520" w:bottom="280" w:left="620" w:right="720"/>
          <w:cols w:num="2" w:equalWidth="0">
            <w:col w:w="2196" w:space="40"/>
            <w:col w:w="8334"/>
          </w:cols>
        </w:sectPr>
      </w:pPr>
    </w:p>
    <w:p>
      <w:pPr>
        <w:pStyle w:val="BodyText"/>
        <w:spacing w:before="1"/>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1140"/>
        <w:jc w:val="right"/>
      </w:pPr>
      <w:r>
        <w:rPr>
          <w:spacing w:val="-2"/>
        </w:rPr>
        <w:t>进行性多灶</w:t>
      </w:r>
    </w:p>
    <w:p>
      <w:pPr>
        <w:spacing w:before="5"/>
        <w:ind w:left="0" w:right="0" w:firstLine="0"/>
        <w:jc w:val="right"/>
        <w:rPr>
          <w:b/>
          <w:sz w:val="21"/>
        </w:rPr>
      </w:pPr>
      <w:r>
        <w:rPr>
          <w:b/>
          <w:spacing w:val="-2"/>
          <w:sz w:val="21"/>
        </w:rPr>
        <w:t>性白质脑病</w:t>
      </w:r>
    </w:p>
    <w:p>
      <w:pPr>
        <w:pStyle w:val="BodyText"/>
        <w:spacing w:before="72"/>
        <w:ind w:left="372"/>
        <w:rPr>
          <w:rFonts w:ascii="黑体" w:eastAsia="黑体"/>
        </w:rPr>
      </w:pPr>
      <w:r>
        <w:rPr/>
        <w:br w:type="column"/>
      </w:r>
      <w:r>
        <w:rPr>
          <w:spacing w:val="-2"/>
        </w:rPr>
        <w:t>是一种亚急性脱髓鞘脑病，常发生于免疫缺陷病人。</w:t>
      </w:r>
      <w:r>
        <w:rPr>
          <w:rFonts w:ascii="黑体" w:eastAsia="黑体"/>
          <w:spacing w:val="-3"/>
        </w:rPr>
        <w:t>并须满足下列全部条件：</w:t>
      </w:r>
    </w:p>
    <w:p>
      <w:pPr>
        <w:pStyle w:val="ListParagraph"/>
        <w:numPr>
          <w:ilvl w:val="0"/>
          <w:numId w:val="46"/>
        </w:numPr>
        <w:tabs>
          <w:tab w:pos="1108" w:val="left" w:leader="none"/>
        </w:tabs>
        <w:spacing w:line="240" w:lineRule="auto" w:before="65" w:after="0"/>
        <w:ind w:left="1107" w:right="0" w:hanging="736"/>
        <w:jc w:val="left"/>
        <w:rPr>
          <w:sz w:val="21"/>
        </w:rPr>
      </w:pPr>
      <w:r>
        <w:rPr>
          <w:spacing w:val="-3"/>
          <w:sz w:val="21"/>
        </w:rPr>
        <w:t>根据脑组织活检确诊；</w:t>
      </w:r>
    </w:p>
    <w:p>
      <w:pPr>
        <w:pStyle w:val="ListParagraph"/>
        <w:numPr>
          <w:ilvl w:val="0"/>
          <w:numId w:val="46"/>
        </w:numPr>
        <w:tabs>
          <w:tab w:pos="1108" w:val="left" w:leader="none"/>
        </w:tabs>
        <w:spacing w:line="244" w:lineRule="auto" w:before="62" w:after="0"/>
        <w:ind w:left="1107" w:right="370" w:hanging="735"/>
        <w:jc w:val="left"/>
        <w:rPr>
          <w:sz w:val="21"/>
        </w:rPr>
      </w:pPr>
      <w:r>
        <w:rPr>
          <w:spacing w:val="-8"/>
          <w:sz w:val="21"/>
        </w:rPr>
        <w:t>永久不可逆丧失自主生活能力，无法独立完成六项基本日常生活活动中的三</w:t>
      </w:r>
      <w:r>
        <w:rPr>
          <w:spacing w:val="-2"/>
          <w:sz w:val="21"/>
        </w:rPr>
        <w:t>项或三项以上。</w:t>
      </w:r>
    </w:p>
    <w:p>
      <w:pPr>
        <w:spacing w:after="0" w:line="244" w:lineRule="auto"/>
        <w:jc w:val="left"/>
        <w:rPr>
          <w:sz w:val="21"/>
        </w:rPr>
        <w:sectPr>
          <w:type w:val="continuous"/>
          <w:pgSz w:w="11910" w:h="16850"/>
          <w:pgMar w:top="520" w:bottom="280" w:left="620" w:right="720"/>
          <w:cols w:num="2" w:equalWidth="0">
            <w:col w:w="2196" w:space="40"/>
            <w:col w:w="8334"/>
          </w:cols>
        </w:sectPr>
      </w:pPr>
    </w:p>
    <w:p>
      <w:pPr>
        <w:pStyle w:val="Heading3"/>
        <w:numPr>
          <w:ilvl w:val="1"/>
          <w:numId w:val="37"/>
        </w:numPr>
        <w:tabs>
          <w:tab w:pos="1140" w:val="left" w:leader="none"/>
        </w:tabs>
        <w:spacing w:line="240" w:lineRule="auto" w:before="53" w:after="0"/>
        <w:ind w:left="1139" w:right="0" w:hanging="661"/>
        <w:jc w:val="left"/>
      </w:pPr>
      <w:r>
        <w:rPr>
          <w:spacing w:val="-2"/>
        </w:rPr>
        <w:t>丧失独立生</w:t>
      </w:r>
    </w:p>
    <w:p>
      <w:pPr>
        <w:spacing w:before="4"/>
        <w:ind w:left="1139" w:right="0" w:firstLine="0"/>
        <w:jc w:val="left"/>
        <w:rPr>
          <w:b/>
          <w:sz w:val="21"/>
        </w:rPr>
      </w:pPr>
      <w:r>
        <w:rPr>
          <w:b/>
          <w:spacing w:val="-4"/>
          <w:sz w:val="21"/>
        </w:rPr>
        <w:t>活能力</w:t>
      </w:r>
    </w:p>
    <w:p>
      <w:pPr>
        <w:pStyle w:val="BodyText"/>
        <w:spacing w:line="244" w:lineRule="auto" w:before="53"/>
        <w:ind w:left="372" w:right="373"/>
      </w:pPr>
      <w:r>
        <w:rPr/>
        <w:br w:type="column"/>
      </w:r>
      <w:r>
        <w:rPr>
          <w:spacing w:val="-2"/>
        </w:rPr>
        <w:t>指由于疾病或外伤导致被保险人永久不可逆的完全丧失独立生活能力，无法独立完</w:t>
      </w:r>
      <w:r>
        <w:rPr>
          <w:spacing w:val="-2"/>
        </w:rPr>
        <w:t>成基本日常生活活动中的四项或四项以上。</w:t>
      </w:r>
    </w:p>
    <w:p>
      <w:pPr>
        <w:pStyle w:val="BodyText"/>
        <w:spacing w:line="244" w:lineRule="auto" w:before="56"/>
        <w:ind w:left="372" w:right="370"/>
        <w:rPr>
          <w:rFonts w:ascii="黑体" w:eastAsia="黑体"/>
        </w:rPr>
      </w:pPr>
      <w:r>
        <w:rPr>
          <w:rFonts w:ascii="黑体" w:eastAsia="黑体"/>
          <w:spacing w:val="-8"/>
        </w:rPr>
        <w:t>被保险人在 </w:t>
      </w:r>
      <w:r>
        <w:rPr>
          <w:rFonts w:ascii="黑体" w:eastAsia="黑体"/>
        </w:rPr>
        <w:t>6</w:t>
      </w:r>
      <w:r>
        <w:rPr>
          <w:rFonts w:ascii="黑体" w:eastAsia="黑体"/>
          <w:spacing w:val="-7"/>
        </w:rPr>
        <w:t> 周岁之前因疾病导致的丧失独立生活能力不在本合同所定义的重大疾</w:t>
      </w:r>
      <w:r>
        <w:rPr>
          <w:rFonts w:ascii="黑体" w:eastAsia="黑体"/>
          <w:spacing w:val="-2"/>
        </w:rPr>
        <w:t>病范围内。</w:t>
      </w:r>
    </w:p>
    <w:p>
      <w:pPr>
        <w:spacing w:after="0" w:line="244" w:lineRule="auto"/>
        <w:rPr>
          <w:rFonts w:ascii="黑体" w:eastAsia="黑体"/>
        </w:rPr>
        <w:sectPr>
          <w:pgSz w:w="11910" w:h="16850"/>
          <w:pgMar w:top="1140" w:bottom="280" w:left="620" w:right="720"/>
          <w:cols w:num="2" w:equalWidth="0">
            <w:col w:w="2196" w:space="40"/>
            <w:col w:w="8334"/>
          </w:cols>
        </w:sectPr>
      </w:pPr>
    </w:p>
    <w:p>
      <w:pPr>
        <w:pStyle w:val="BodyText"/>
        <w:spacing w:before="1"/>
        <w:rPr>
          <w:rFonts w:ascii="黑体"/>
          <w:sz w:val="12"/>
        </w:rPr>
      </w:pPr>
    </w:p>
    <w:p>
      <w:pPr>
        <w:spacing w:after="0"/>
        <w:rPr>
          <w:rFonts w:ascii="黑体"/>
          <w:sz w:val="12"/>
        </w:rPr>
        <w:sectPr>
          <w:type w:val="continuous"/>
          <w:pgSz w:w="11910" w:h="16850"/>
          <w:pgMar w:top="520" w:bottom="280" w:left="620" w:right="720"/>
        </w:sectPr>
      </w:pPr>
    </w:p>
    <w:p>
      <w:pPr>
        <w:pStyle w:val="Heading3"/>
        <w:numPr>
          <w:ilvl w:val="1"/>
          <w:numId w:val="37"/>
        </w:numPr>
        <w:tabs>
          <w:tab w:pos="1140" w:val="left" w:leader="none"/>
        </w:tabs>
        <w:spacing w:line="244" w:lineRule="auto" w:before="72" w:after="0"/>
        <w:ind w:left="1139" w:right="0" w:hanging="661"/>
        <w:jc w:val="left"/>
      </w:pPr>
      <w:r>
        <w:rPr>
          <w:spacing w:val="-2"/>
        </w:rPr>
        <w:t>脊髓小脑变</w:t>
      </w:r>
      <w:r>
        <w:rPr>
          <w:spacing w:val="-6"/>
        </w:rPr>
        <w:t>性症</w:t>
      </w:r>
    </w:p>
    <w:p>
      <w:pPr>
        <w:pStyle w:val="BodyText"/>
        <w:spacing w:line="244" w:lineRule="auto" w:before="72"/>
        <w:ind w:left="372" w:right="372"/>
        <w:rPr>
          <w:rFonts w:ascii="黑体" w:eastAsia="黑体"/>
        </w:rPr>
      </w:pPr>
      <w:r>
        <w:rPr/>
        <w:br w:type="column"/>
      </w:r>
      <w:r>
        <w:rPr>
          <w:spacing w:val="-2"/>
        </w:rPr>
        <w:t>指一组以小脑萎缩和共济失调为主要临床特点的与遗传有关的疾病。</w:t>
      </w:r>
      <w:r>
        <w:rPr>
          <w:rFonts w:ascii="黑体" w:eastAsia="黑体"/>
          <w:spacing w:val="-2"/>
        </w:rPr>
        <w:t>并须满足下列</w:t>
      </w:r>
      <w:r>
        <w:rPr>
          <w:rFonts w:ascii="黑体" w:eastAsia="黑体"/>
          <w:spacing w:val="-2"/>
        </w:rPr>
        <w:t>全部条件：</w:t>
      </w:r>
    </w:p>
    <w:p>
      <w:pPr>
        <w:pStyle w:val="ListParagraph"/>
        <w:numPr>
          <w:ilvl w:val="0"/>
          <w:numId w:val="47"/>
        </w:numPr>
        <w:tabs>
          <w:tab w:pos="1108" w:val="left" w:leader="none"/>
        </w:tabs>
        <w:spacing w:line="244" w:lineRule="auto" w:before="56" w:after="0"/>
        <w:ind w:left="1107" w:right="370" w:hanging="735"/>
        <w:jc w:val="left"/>
        <w:rPr>
          <w:sz w:val="21"/>
        </w:rPr>
      </w:pPr>
      <w:r>
        <w:rPr>
          <w:spacing w:val="-6"/>
          <w:sz w:val="21"/>
        </w:rPr>
        <w:t>脊髓小脑变性症必须由本公司认可的医院的专科医生诊断，并有下列所有证</w:t>
      </w:r>
      <w:r>
        <w:rPr>
          <w:spacing w:val="-4"/>
          <w:sz w:val="21"/>
        </w:rPr>
        <w:t>据支持：</w:t>
      </w:r>
    </w:p>
    <w:p>
      <w:pPr>
        <w:pStyle w:val="BodyText"/>
        <w:spacing w:before="56"/>
        <w:ind w:left="1107"/>
      </w:pPr>
      <w:r>
        <w:rPr/>
        <w:t>①</w:t>
      </w:r>
      <w:r>
        <w:rPr>
          <w:spacing w:val="35"/>
          <w:w w:val="150"/>
        </w:rPr>
        <w:t> </w:t>
      </w:r>
      <w:r>
        <w:rPr>
          <w:spacing w:val="-1"/>
        </w:rPr>
        <w:t>影像学检查证实存在小脑萎缩；</w:t>
      </w:r>
    </w:p>
    <w:p>
      <w:pPr>
        <w:pStyle w:val="BodyText"/>
        <w:spacing w:before="64"/>
        <w:ind w:left="1107"/>
      </w:pPr>
      <w:r>
        <w:rPr>
          <w:spacing w:val="-1"/>
        </w:rPr>
        <w:t>② 临床表现存在共济失调、语言障碍和肌张力异常。</w:t>
      </w:r>
    </w:p>
    <w:p>
      <w:pPr>
        <w:pStyle w:val="ListParagraph"/>
        <w:numPr>
          <w:ilvl w:val="0"/>
          <w:numId w:val="47"/>
        </w:numPr>
        <w:tabs>
          <w:tab w:pos="1108" w:val="left" w:leader="none"/>
        </w:tabs>
        <w:spacing w:line="244" w:lineRule="auto" w:before="62" w:after="0"/>
        <w:ind w:left="1107" w:right="371" w:hanging="735"/>
        <w:jc w:val="left"/>
        <w:rPr>
          <w:sz w:val="21"/>
        </w:rPr>
      </w:pPr>
      <w:r>
        <w:rPr>
          <w:spacing w:val="-4"/>
          <w:sz w:val="21"/>
        </w:rPr>
        <w:t>被保险人运动功能严重障碍，自主生活能力完全丧失，无法独立完成六项基</w:t>
      </w:r>
      <w:r>
        <w:rPr>
          <w:spacing w:val="-2"/>
          <w:sz w:val="21"/>
        </w:rPr>
        <w:t>本日常生活活动中的三项或三项以上。</w:t>
      </w:r>
    </w:p>
    <w:p>
      <w:pPr>
        <w:spacing w:after="0" w:line="244" w:lineRule="auto"/>
        <w:jc w:val="left"/>
        <w:rPr>
          <w:sz w:val="21"/>
        </w:rPr>
        <w:sectPr>
          <w:type w:val="continuous"/>
          <w:pgSz w:w="11910" w:h="16850"/>
          <w:pgMar w:top="520" w:bottom="280" w:left="620" w:right="720"/>
          <w:cols w:num="2" w:equalWidth="0">
            <w:col w:w="2196" w:space="40"/>
            <w:col w:w="8334"/>
          </w:cols>
        </w:sectPr>
      </w:pPr>
    </w:p>
    <w:p>
      <w:pPr>
        <w:pStyle w:val="BodyText"/>
        <w:spacing w:before="2"/>
        <w:rPr>
          <w:sz w:val="12"/>
        </w:rPr>
      </w:pPr>
    </w:p>
    <w:p>
      <w:pPr>
        <w:pStyle w:val="ListParagraph"/>
        <w:numPr>
          <w:ilvl w:val="1"/>
          <w:numId w:val="37"/>
        </w:numPr>
        <w:tabs>
          <w:tab w:pos="1140" w:val="left" w:leader="none"/>
        </w:tabs>
        <w:spacing w:line="242" w:lineRule="auto" w:before="71" w:after="0"/>
        <w:ind w:left="2608" w:right="370" w:hanging="2130"/>
        <w:jc w:val="both"/>
        <w:rPr>
          <w:sz w:val="21"/>
        </w:rPr>
      </w:pPr>
      <w:r>
        <w:rPr>
          <w:b/>
          <w:spacing w:val="49"/>
          <w:sz w:val="21"/>
        </w:rPr>
        <w:t>神经白塞病 </w:t>
      </w:r>
      <w:r>
        <w:rPr>
          <w:sz w:val="21"/>
        </w:rPr>
        <w:t>是一种慢性全身性血管炎症性疾病，主要表现为复发性口腔溃疡、生殖器溃疡、眼</w:t>
      </w:r>
      <w:r>
        <w:rPr>
          <w:spacing w:val="-2"/>
          <w:sz w:val="21"/>
        </w:rPr>
        <w:t>炎及皮肤损害，并可累及大血管、神经系统、消化道、肺、肾等。累及神经系统损</w:t>
      </w:r>
      <w:r>
        <w:rPr>
          <w:spacing w:val="-2"/>
          <w:sz w:val="21"/>
        </w:rPr>
        <w:t>害的白塞病称为神经白塞病。神经白塞病必须明确诊断，并且已经造成永久不可逆</w:t>
      </w:r>
      <w:r>
        <w:rPr>
          <w:spacing w:val="-3"/>
          <w:sz w:val="21"/>
        </w:rPr>
        <w:t>的神经系统功能损害。永久不可逆的神经系统损害指被保险人持续 </w:t>
      </w:r>
      <w:r>
        <w:rPr>
          <w:spacing w:val="-2"/>
          <w:sz w:val="21"/>
        </w:rPr>
        <w:t>180</w:t>
      </w:r>
      <w:r>
        <w:rPr>
          <w:spacing w:val="-6"/>
          <w:sz w:val="21"/>
        </w:rPr>
        <w:t> 天无法独立</w:t>
      </w:r>
      <w:r>
        <w:rPr>
          <w:spacing w:val="-2"/>
          <w:sz w:val="21"/>
        </w:rPr>
        <w:t>完成下列基本日常生活活动之一：</w:t>
      </w:r>
    </w:p>
    <w:p>
      <w:pPr>
        <w:pStyle w:val="ListParagraph"/>
        <w:numPr>
          <w:ilvl w:val="2"/>
          <w:numId w:val="37"/>
        </w:numPr>
        <w:tabs>
          <w:tab w:pos="3343" w:val="left" w:leader="none"/>
        </w:tabs>
        <w:spacing w:line="240" w:lineRule="auto" w:before="62" w:after="0"/>
        <w:ind w:left="3342" w:right="0" w:hanging="735"/>
        <w:jc w:val="both"/>
        <w:rPr>
          <w:sz w:val="21"/>
        </w:rPr>
      </w:pPr>
      <w:r>
        <w:rPr>
          <w:spacing w:val="-3"/>
          <w:sz w:val="21"/>
        </w:rPr>
        <w:t>移动：自己从一个房间到另一个房间；</w:t>
      </w:r>
    </w:p>
    <w:p>
      <w:pPr>
        <w:pStyle w:val="ListParagraph"/>
        <w:numPr>
          <w:ilvl w:val="2"/>
          <w:numId w:val="37"/>
        </w:numPr>
        <w:tabs>
          <w:tab w:pos="3343" w:val="left" w:leader="none"/>
        </w:tabs>
        <w:spacing w:line="240" w:lineRule="auto" w:before="65" w:after="0"/>
        <w:ind w:left="3342" w:right="0" w:hanging="735"/>
        <w:jc w:val="both"/>
        <w:rPr>
          <w:sz w:val="21"/>
        </w:rPr>
      </w:pPr>
      <w:r>
        <w:rPr>
          <w:spacing w:val="-3"/>
          <w:sz w:val="21"/>
        </w:rPr>
        <w:t>进食：自己从已准备好的碗或碟中取食物放入口中。</w:t>
      </w:r>
    </w:p>
    <w:p>
      <w:pPr>
        <w:pStyle w:val="BodyText"/>
        <w:spacing w:before="2"/>
        <w:rPr>
          <w:sz w:val="18"/>
        </w:rPr>
      </w:pPr>
    </w:p>
    <w:p>
      <w:pPr>
        <w:pStyle w:val="ListParagraph"/>
        <w:numPr>
          <w:ilvl w:val="1"/>
          <w:numId w:val="37"/>
        </w:numPr>
        <w:tabs>
          <w:tab w:pos="1140" w:val="left" w:leader="none"/>
          <w:tab w:pos="2608" w:val="left" w:leader="none"/>
        </w:tabs>
        <w:spacing w:line="240" w:lineRule="auto" w:before="0" w:after="0"/>
        <w:ind w:left="1139" w:right="0" w:hanging="661"/>
        <w:jc w:val="left"/>
        <w:rPr>
          <w:rFonts w:ascii="黑体" w:eastAsia="黑体"/>
          <w:sz w:val="21"/>
        </w:rPr>
      </w:pPr>
      <w:r>
        <w:rPr>
          <w:b/>
          <w:sz w:val="21"/>
        </w:rPr>
        <w:t>脊髓内肿</w:t>
      </w:r>
      <w:r>
        <w:rPr>
          <w:b/>
          <w:spacing w:val="-10"/>
          <w:sz w:val="21"/>
        </w:rPr>
        <w:t>瘤</w:t>
      </w:r>
      <w:r>
        <w:rPr>
          <w:b/>
          <w:sz w:val="21"/>
        </w:rPr>
        <w:tab/>
      </w:r>
      <w:r>
        <w:rPr>
          <w:spacing w:val="-2"/>
          <w:sz w:val="21"/>
        </w:rPr>
        <w:t>指</w:t>
      </w:r>
      <w:r>
        <w:rPr>
          <w:spacing w:val="-2"/>
          <w:sz w:val="21"/>
        </w:rPr>
        <w:t>脊</w:t>
      </w:r>
      <w:r>
        <w:rPr>
          <w:spacing w:val="-2"/>
          <w:sz w:val="21"/>
        </w:rPr>
        <w:t>髓内良性或恶性肿瘤</w:t>
      </w:r>
      <w:r>
        <w:rPr>
          <w:spacing w:val="-2"/>
          <w:sz w:val="21"/>
        </w:rPr>
        <w:t>。</w:t>
      </w:r>
      <w:r>
        <w:rPr>
          <w:spacing w:val="-2"/>
          <w:sz w:val="21"/>
        </w:rPr>
        <w:t>肿</w:t>
      </w:r>
      <w:r>
        <w:rPr>
          <w:spacing w:val="-2"/>
          <w:sz w:val="21"/>
        </w:rPr>
        <w:t>瘤造成脊髓损害导致</w:t>
      </w:r>
      <w:r>
        <w:rPr>
          <w:spacing w:val="-2"/>
          <w:sz w:val="21"/>
        </w:rPr>
        <w:t>瘫</w:t>
      </w:r>
      <w:r>
        <w:rPr>
          <w:spacing w:val="-2"/>
          <w:sz w:val="21"/>
        </w:rPr>
        <w:t>痪</w:t>
      </w:r>
      <w:r>
        <w:rPr>
          <w:spacing w:val="-2"/>
          <w:sz w:val="21"/>
        </w:rPr>
        <w:t>。</w:t>
      </w:r>
      <w:r>
        <w:rPr>
          <w:rFonts w:ascii="黑体" w:eastAsia="黑体"/>
          <w:spacing w:val="-2"/>
          <w:sz w:val="21"/>
        </w:rPr>
        <w:t>并须满足下列全部</w:t>
      </w:r>
      <w:r>
        <w:rPr>
          <w:rFonts w:ascii="黑体" w:eastAsia="黑体"/>
          <w:spacing w:val="-2"/>
          <w:sz w:val="21"/>
        </w:rPr>
        <w:t>条</w:t>
      </w:r>
      <w:r>
        <w:rPr>
          <w:rFonts w:ascii="黑体" w:eastAsia="黑体"/>
          <w:spacing w:val="-2"/>
          <w:sz w:val="21"/>
        </w:rPr>
        <w:t>件</w:t>
      </w:r>
      <w:r>
        <w:rPr>
          <w:rFonts w:ascii="黑体" w:eastAsia="黑体"/>
          <w:spacing w:val="-10"/>
          <w:sz w:val="21"/>
        </w:rPr>
        <w:t>：</w:t>
      </w:r>
    </w:p>
    <w:p>
      <w:pPr>
        <w:pStyle w:val="ListParagraph"/>
        <w:numPr>
          <w:ilvl w:val="0"/>
          <w:numId w:val="48"/>
        </w:numPr>
        <w:tabs>
          <w:tab w:pos="3343" w:val="left" w:leader="none"/>
        </w:tabs>
        <w:spacing w:line="240" w:lineRule="auto" w:before="64" w:after="0"/>
        <w:ind w:left="3342" w:right="0" w:hanging="735"/>
        <w:jc w:val="left"/>
        <w:rPr>
          <w:sz w:val="21"/>
        </w:rPr>
      </w:pPr>
      <w:r>
        <w:rPr>
          <w:spacing w:val="-3"/>
          <w:sz w:val="21"/>
        </w:rPr>
        <w:t>被保险人实际接受了肿瘤切除的手术治疗；</w:t>
      </w:r>
    </w:p>
    <w:p>
      <w:pPr>
        <w:pStyle w:val="ListParagraph"/>
        <w:numPr>
          <w:ilvl w:val="0"/>
          <w:numId w:val="48"/>
        </w:numPr>
        <w:tabs>
          <w:tab w:pos="3343" w:val="left" w:leader="none"/>
        </w:tabs>
        <w:spacing w:line="242" w:lineRule="auto" w:before="63" w:after="0"/>
        <w:ind w:left="3342" w:right="370" w:hanging="735"/>
        <w:jc w:val="left"/>
        <w:rPr>
          <w:sz w:val="21"/>
        </w:rPr>
      </w:pPr>
      <w:r>
        <w:rPr>
          <w:spacing w:val="-18"/>
          <w:sz w:val="21"/>
        </w:rPr>
        <w:t>手术 </w:t>
      </w:r>
      <w:r>
        <w:rPr>
          <w:sz w:val="21"/>
        </w:rPr>
        <w:t>180</w:t>
      </w:r>
      <w:r>
        <w:rPr>
          <w:spacing w:val="-14"/>
          <w:sz w:val="21"/>
        </w:rPr>
        <w:t> 天后遗留下列神经系统损害，无法独立完成下列基本日常生活活动</w:t>
      </w:r>
      <w:r>
        <w:rPr>
          <w:spacing w:val="-4"/>
          <w:sz w:val="21"/>
        </w:rPr>
        <w:t>之一：</w:t>
      </w:r>
    </w:p>
    <w:p>
      <w:pPr>
        <w:pStyle w:val="BodyText"/>
        <w:spacing w:before="61"/>
        <w:ind w:left="3342"/>
      </w:pPr>
      <w:r>
        <w:rPr/>
        <w:t>①</w:t>
      </w:r>
      <w:r>
        <w:rPr>
          <w:spacing w:val="29"/>
          <w:w w:val="150"/>
        </w:rPr>
        <w:t> </w:t>
      </w:r>
      <w:r>
        <w:rPr>
          <w:spacing w:val="-1"/>
        </w:rPr>
        <w:t>移动：自己从一个房间到另一个房间；</w:t>
      </w:r>
    </w:p>
    <w:p>
      <w:pPr>
        <w:pStyle w:val="BodyText"/>
        <w:spacing w:before="62"/>
        <w:ind w:left="3342"/>
      </w:pPr>
      <w:r>
        <w:rPr>
          <w:spacing w:val="-1"/>
        </w:rPr>
        <w:t>② 进食：自己从已准备好的碗或碟中取食物放入口中。</w:t>
      </w:r>
    </w:p>
    <w:p>
      <w:pPr>
        <w:pStyle w:val="BodyText"/>
        <w:spacing w:line="242" w:lineRule="auto" w:before="65"/>
        <w:ind w:left="2608" w:right="373"/>
        <w:rPr>
          <w:rFonts w:ascii="黑体" w:eastAsia="黑体"/>
        </w:rPr>
      </w:pPr>
      <w:r>
        <w:rPr>
          <w:rFonts w:ascii="黑体" w:eastAsia="黑体"/>
          <w:spacing w:val="-2"/>
        </w:rPr>
        <w:t>非脊髓内的其他椎管内肿瘤、脊柱肿瘤、神经纤维瘤不在本合同所定义的重大疾病</w:t>
      </w:r>
      <w:r>
        <w:rPr>
          <w:rFonts w:ascii="黑体" w:eastAsia="黑体"/>
          <w:spacing w:val="-4"/>
        </w:rPr>
        <w:t>范围内。</w:t>
      </w:r>
    </w:p>
    <w:p>
      <w:pPr>
        <w:pStyle w:val="BodyText"/>
        <w:spacing w:before="1"/>
        <w:rPr>
          <w:rFonts w:ascii="黑体"/>
          <w:sz w:val="18"/>
        </w:rPr>
      </w:pPr>
    </w:p>
    <w:p>
      <w:pPr>
        <w:pStyle w:val="ListParagraph"/>
        <w:numPr>
          <w:ilvl w:val="1"/>
          <w:numId w:val="37"/>
        </w:numPr>
        <w:tabs>
          <w:tab w:pos="1140" w:val="left" w:leader="none"/>
          <w:tab w:pos="2608" w:val="left" w:leader="none"/>
        </w:tabs>
        <w:spacing w:line="242" w:lineRule="auto" w:before="0" w:after="0"/>
        <w:ind w:left="2608" w:right="269" w:hanging="2130"/>
        <w:jc w:val="left"/>
        <w:rPr>
          <w:sz w:val="21"/>
        </w:rPr>
      </w:pPr>
      <w:r>
        <w:rPr>
          <w:b/>
          <w:spacing w:val="-2"/>
          <w:sz w:val="21"/>
        </w:rPr>
        <w:t>亚</w:t>
      </w:r>
      <w:r>
        <w:rPr>
          <w:b/>
          <w:spacing w:val="-2"/>
          <w:sz w:val="21"/>
        </w:rPr>
        <w:t>历</w:t>
      </w:r>
      <w:r>
        <w:rPr>
          <w:b/>
          <w:spacing w:val="-2"/>
          <w:sz w:val="21"/>
        </w:rPr>
        <w:t>山</w:t>
      </w:r>
      <w:r>
        <w:rPr>
          <w:b/>
          <w:spacing w:val="-2"/>
          <w:sz w:val="21"/>
        </w:rPr>
        <w:t>大</w:t>
      </w:r>
      <w:r>
        <w:rPr>
          <w:b/>
          <w:spacing w:val="-2"/>
          <w:sz w:val="21"/>
        </w:rPr>
        <w:t>病</w:t>
      </w:r>
      <w:r>
        <w:rPr>
          <w:b/>
          <w:sz w:val="21"/>
        </w:rPr>
        <w:tab/>
      </w:r>
      <w:r>
        <w:rPr>
          <w:spacing w:val="-2"/>
          <w:sz w:val="21"/>
        </w:rPr>
        <w:t>是</w:t>
      </w:r>
      <w:r>
        <w:rPr>
          <w:spacing w:val="-2"/>
          <w:sz w:val="21"/>
        </w:rPr>
        <w:t>一</w:t>
      </w:r>
      <w:r>
        <w:rPr>
          <w:spacing w:val="-2"/>
          <w:sz w:val="21"/>
        </w:rPr>
        <w:t>种</w:t>
      </w:r>
      <w:r>
        <w:rPr>
          <w:spacing w:val="-2"/>
          <w:sz w:val="21"/>
        </w:rPr>
        <w:t>遗</w:t>
      </w:r>
      <w:r>
        <w:rPr>
          <w:spacing w:val="-2"/>
          <w:sz w:val="21"/>
        </w:rPr>
        <w:t>传</w:t>
      </w:r>
      <w:r>
        <w:rPr>
          <w:spacing w:val="-2"/>
          <w:sz w:val="21"/>
        </w:rPr>
        <w:t>性</w:t>
      </w:r>
      <w:r>
        <w:rPr>
          <w:spacing w:val="-2"/>
          <w:sz w:val="21"/>
        </w:rPr>
        <w:t>中</w:t>
      </w:r>
      <w:r>
        <w:rPr>
          <w:spacing w:val="-2"/>
          <w:sz w:val="21"/>
        </w:rPr>
        <w:t>枢</w:t>
      </w:r>
      <w:r>
        <w:rPr>
          <w:spacing w:val="-2"/>
          <w:sz w:val="21"/>
        </w:rPr>
        <w:t>神经系</w:t>
      </w:r>
      <w:r>
        <w:rPr>
          <w:spacing w:val="-2"/>
          <w:sz w:val="21"/>
        </w:rPr>
        <w:t>统</w:t>
      </w:r>
      <w:r>
        <w:rPr>
          <w:spacing w:val="-2"/>
          <w:sz w:val="21"/>
        </w:rPr>
        <w:t>退</w:t>
      </w:r>
      <w:r>
        <w:rPr>
          <w:spacing w:val="-2"/>
          <w:sz w:val="21"/>
        </w:rPr>
        <w:t>行</w:t>
      </w:r>
      <w:r>
        <w:rPr>
          <w:spacing w:val="-2"/>
          <w:sz w:val="21"/>
        </w:rPr>
        <w:t>性</w:t>
      </w:r>
      <w:r>
        <w:rPr>
          <w:spacing w:val="-2"/>
          <w:sz w:val="21"/>
        </w:rPr>
        <w:t>病</w:t>
      </w:r>
      <w:r>
        <w:rPr>
          <w:spacing w:val="-2"/>
          <w:sz w:val="21"/>
        </w:rPr>
        <w:t>变</w:t>
      </w:r>
      <w:r>
        <w:rPr>
          <w:spacing w:val="-2"/>
          <w:sz w:val="21"/>
        </w:rPr>
        <w:t>，</w:t>
      </w:r>
      <w:r>
        <w:rPr>
          <w:spacing w:val="-2"/>
          <w:sz w:val="21"/>
        </w:rPr>
        <w:t>特</w:t>
      </w:r>
      <w:r>
        <w:rPr>
          <w:spacing w:val="-2"/>
          <w:sz w:val="21"/>
        </w:rPr>
        <w:t>点为脑</w:t>
      </w:r>
      <w:r>
        <w:rPr>
          <w:spacing w:val="-2"/>
          <w:sz w:val="21"/>
        </w:rPr>
        <w:t>白</w:t>
      </w:r>
      <w:r>
        <w:rPr>
          <w:spacing w:val="-2"/>
          <w:sz w:val="21"/>
        </w:rPr>
        <w:t>质</w:t>
      </w:r>
      <w:r>
        <w:rPr>
          <w:spacing w:val="-2"/>
          <w:sz w:val="21"/>
        </w:rPr>
        <w:t>营</w:t>
      </w:r>
      <w:r>
        <w:rPr>
          <w:spacing w:val="-2"/>
          <w:sz w:val="21"/>
        </w:rPr>
        <w:t>养</w:t>
      </w:r>
      <w:r>
        <w:rPr>
          <w:spacing w:val="-2"/>
          <w:sz w:val="21"/>
        </w:rPr>
        <w:t>不</w:t>
      </w:r>
      <w:r>
        <w:rPr>
          <w:spacing w:val="-2"/>
          <w:sz w:val="21"/>
        </w:rPr>
        <w:t>良</w:t>
      </w:r>
      <w:r>
        <w:rPr>
          <w:spacing w:val="-2"/>
          <w:sz w:val="21"/>
        </w:rPr>
        <w:t>性</w:t>
      </w:r>
      <w:r>
        <w:rPr>
          <w:spacing w:val="-2"/>
          <w:sz w:val="21"/>
        </w:rPr>
        <w:t>。</w:t>
      </w:r>
      <w:r>
        <w:rPr>
          <w:spacing w:val="-2"/>
          <w:sz w:val="21"/>
        </w:rPr>
        <w:t>临床表</w:t>
      </w:r>
      <w:r>
        <w:rPr>
          <w:spacing w:val="-2"/>
          <w:sz w:val="21"/>
        </w:rPr>
        <w:t>现</w:t>
      </w:r>
      <w:r>
        <w:rPr>
          <w:spacing w:val="-2"/>
          <w:sz w:val="21"/>
        </w:rPr>
        <w:t>为</w:t>
      </w:r>
      <w:r>
        <w:rPr>
          <w:spacing w:val="-2"/>
          <w:sz w:val="21"/>
        </w:rPr>
        <w:t>惊</w:t>
      </w:r>
      <w:r>
        <w:rPr>
          <w:spacing w:val="-4"/>
          <w:sz w:val="21"/>
        </w:rPr>
        <w:t>厥</w:t>
      </w:r>
      <w:r>
        <w:rPr>
          <w:spacing w:val="-4"/>
          <w:sz w:val="21"/>
        </w:rPr>
        <w:t>发</w:t>
      </w:r>
      <w:r>
        <w:rPr>
          <w:spacing w:val="-4"/>
          <w:sz w:val="21"/>
        </w:rPr>
        <w:t>作、智力下降、球麻痹、共济失调、痉挛性瘫痪。亚历山大病必须被明</w:t>
      </w:r>
      <w:r>
        <w:rPr>
          <w:spacing w:val="-4"/>
          <w:sz w:val="21"/>
        </w:rPr>
        <w:t>确</w:t>
      </w:r>
      <w:r>
        <w:rPr>
          <w:spacing w:val="-4"/>
          <w:sz w:val="21"/>
        </w:rPr>
        <w:t>诊</w:t>
      </w:r>
      <w:r>
        <w:rPr>
          <w:spacing w:val="-4"/>
          <w:sz w:val="21"/>
        </w:rPr>
        <w:t>断，</w:t>
      </w:r>
      <w:r>
        <w:rPr>
          <w:spacing w:val="-2"/>
          <w:sz w:val="21"/>
        </w:rPr>
        <w:t>并</w:t>
      </w:r>
      <w:r>
        <w:rPr>
          <w:spacing w:val="-2"/>
          <w:sz w:val="21"/>
        </w:rPr>
        <w:t>且</w:t>
      </w:r>
      <w:r>
        <w:rPr>
          <w:spacing w:val="-2"/>
          <w:sz w:val="21"/>
        </w:rPr>
        <w:t>造</w:t>
      </w:r>
      <w:r>
        <w:rPr>
          <w:spacing w:val="-2"/>
          <w:sz w:val="21"/>
        </w:rPr>
        <w:t>成</w:t>
      </w:r>
      <w:r>
        <w:rPr>
          <w:spacing w:val="-2"/>
          <w:sz w:val="21"/>
        </w:rPr>
        <w:t>永</w:t>
      </w:r>
      <w:r>
        <w:rPr>
          <w:spacing w:val="-2"/>
          <w:sz w:val="21"/>
        </w:rPr>
        <w:t>久</w:t>
      </w:r>
      <w:r>
        <w:rPr>
          <w:spacing w:val="-2"/>
          <w:sz w:val="21"/>
        </w:rPr>
        <w:t>性</w:t>
      </w:r>
      <w:r>
        <w:rPr>
          <w:spacing w:val="-2"/>
          <w:sz w:val="21"/>
        </w:rPr>
        <w:t>神</w:t>
      </w:r>
      <w:r>
        <w:rPr>
          <w:spacing w:val="-2"/>
          <w:sz w:val="21"/>
        </w:rPr>
        <w:t>经系统</w:t>
      </w:r>
      <w:r>
        <w:rPr>
          <w:spacing w:val="-2"/>
          <w:sz w:val="21"/>
        </w:rPr>
        <w:t>功</w:t>
      </w:r>
      <w:r>
        <w:rPr>
          <w:spacing w:val="-2"/>
          <w:sz w:val="21"/>
        </w:rPr>
        <w:t>能</w:t>
      </w:r>
      <w:r>
        <w:rPr>
          <w:spacing w:val="-2"/>
          <w:sz w:val="21"/>
        </w:rPr>
        <w:t>障</w:t>
      </w:r>
      <w:r>
        <w:rPr>
          <w:spacing w:val="-2"/>
          <w:sz w:val="21"/>
        </w:rPr>
        <w:t>碍</w:t>
      </w:r>
      <w:r>
        <w:rPr>
          <w:spacing w:val="-2"/>
          <w:sz w:val="21"/>
        </w:rPr>
        <w:t>。</w:t>
      </w:r>
      <w:r>
        <w:rPr>
          <w:spacing w:val="-2"/>
          <w:sz w:val="21"/>
        </w:rPr>
        <w:t>被</w:t>
      </w:r>
      <w:r>
        <w:rPr>
          <w:spacing w:val="-2"/>
          <w:sz w:val="21"/>
        </w:rPr>
        <w:t>保</w:t>
      </w:r>
      <w:r>
        <w:rPr>
          <w:spacing w:val="-2"/>
          <w:sz w:val="21"/>
        </w:rPr>
        <w:t>险</w:t>
      </w:r>
      <w:r>
        <w:rPr>
          <w:spacing w:val="-2"/>
          <w:sz w:val="21"/>
        </w:rPr>
        <w:t>人自主</w:t>
      </w:r>
      <w:r>
        <w:rPr>
          <w:spacing w:val="-2"/>
          <w:sz w:val="21"/>
        </w:rPr>
        <w:t>生</w:t>
      </w:r>
      <w:r>
        <w:rPr>
          <w:spacing w:val="-2"/>
          <w:sz w:val="21"/>
        </w:rPr>
        <w:t>活</w:t>
      </w:r>
      <w:r>
        <w:rPr>
          <w:spacing w:val="-2"/>
          <w:sz w:val="21"/>
        </w:rPr>
        <w:t>能</w:t>
      </w:r>
      <w:r>
        <w:rPr>
          <w:spacing w:val="-2"/>
          <w:sz w:val="21"/>
        </w:rPr>
        <w:t>力</w:t>
      </w:r>
      <w:r>
        <w:rPr>
          <w:spacing w:val="-2"/>
          <w:sz w:val="21"/>
        </w:rPr>
        <w:t>完</w:t>
      </w:r>
      <w:r>
        <w:rPr>
          <w:spacing w:val="-2"/>
          <w:sz w:val="21"/>
        </w:rPr>
        <w:t>全</w:t>
      </w:r>
      <w:r>
        <w:rPr>
          <w:spacing w:val="-2"/>
          <w:sz w:val="21"/>
        </w:rPr>
        <w:t>丧</w:t>
      </w:r>
      <w:r>
        <w:rPr>
          <w:spacing w:val="-2"/>
          <w:sz w:val="21"/>
        </w:rPr>
        <w:t>失</w:t>
      </w:r>
      <w:r>
        <w:rPr>
          <w:spacing w:val="-2"/>
          <w:sz w:val="21"/>
        </w:rPr>
        <w:t>，无法</w:t>
      </w:r>
      <w:r>
        <w:rPr>
          <w:spacing w:val="-2"/>
          <w:sz w:val="21"/>
        </w:rPr>
        <w:t>独</w:t>
      </w:r>
      <w:r>
        <w:rPr>
          <w:spacing w:val="-2"/>
          <w:sz w:val="21"/>
        </w:rPr>
        <w:t>立</w:t>
      </w:r>
      <w:r>
        <w:rPr>
          <w:spacing w:val="-2"/>
          <w:sz w:val="21"/>
        </w:rPr>
        <w:t>完</w:t>
      </w:r>
      <w:r>
        <w:rPr>
          <w:spacing w:val="-2"/>
          <w:sz w:val="21"/>
        </w:rPr>
        <w:t>成</w:t>
      </w:r>
      <w:r>
        <w:rPr>
          <w:spacing w:val="-2"/>
          <w:sz w:val="21"/>
        </w:rPr>
        <w:t>六</w:t>
      </w:r>
      <w:r>
        <w:rPr>
          <w:spacing w:val="-2"/>
          <w:sz w:val="21"/>
        </w:rPr>
        <w:t>项基本日常生活活动</w:t>
      </w:r>
      <w:r>
        <w:rPr>
          <w:spacing w:val="-2"/>
          <w:sz w:val="21"/>
        </w:rPr>
        <w:t>中</w:t>
      </w:r>
      <w:r>
        <w:rPr>
          <w:spacing w:val="-2"/>
          <w:sz w:val="21"/>
        </w:rPr>
        <w:t>的</w:t>
      </w:r>
      <w:r>
        <w:rPr>
          <w:spacing w:val="-2"/>
          <w:sz w:val="21"/>
        </w:rPr>
        <w:t>三项或三项以上，日</w:t>
      </w:r>
      <w:r>
        <w:rPr>
          <w:spacing w:val="-2"/>
          <w:sz w:val="21"/>
        </w:rPr>
        <w:t>常</w:t>
      </w:r>
      <w:r>
        <w:rPr>
          <w:spacing w:val="-2"/>
          <w:sz w:val="21"/>
        </w:rPr>
        <w:t>生</w:t>
      </w:r>
      <w:r>
        <w:rPr>
          <w:spacing w:val="-2"/>
          <w:sz w:val="21"/>
        </w:rPr>
        <w:t>活必须持续受到他人</w:t>
      </w:r>
      <w:r>
        <w:rPr>
          <w:spacing w:val="-2"/>
          <w:sz w:val="21"/>
        </w:rPr>
        <w:t>护</w:t>
      </w:r>
      <w:r>
        <w:rPr>
          <w:spacing w:val="-2"/>
          <w:sz w:val="21"/>
        </w:rPr>
        <w:t>理</w:t>
      </w:r>
      <w:r>
        <w:rPr>
          <w:spacing w:val="-2"/>
          <w:sz w:val="21"/>
        </w:rPr>
        <w:t>。</w:t>
      </w:r>
    </w:p>
    <w:p>
      <w:pPr>
        <w:pStyle w:val="BodyText"/>
        <w:rPr>
          <w:sz w:val="18"/>
        </w:rPr>
      </w:pPr>
    </w:p>
    <w:p>
      <w:pPr>
        <w:pStyle w:val="ListParagraph"/>
        <w:numPr>
          <w:ilvl w:val="1"/>
          <w:numId w:val="37"/>
        </w:numPr>
        <w:tabs>
          <w:tab w:pos="1140" w:val="left" w:leader="none"/>
        </w:tabs>
        <w:spacing w:line="242" w:lineRule="auto" w:before="0" w:after="0"/>
        <w:ind w:left="2608" w:right="373" w:hanging="2130"/>
        <w:jc w:val="both"/>
        <w:rPr>
          <w:sz w:val="21"/>
        </w:rPr>
      </w:pPr>
      <w:r>
        <w:rPr>
          <w:b/>
          <w:spacing w:val="49"/>
          <w:sz w:val="21"/>
        </w:rPr>
        <w:t>脊髓空洞症 </w:t>
      </w:r>
      <w:r>
        <w:rPr>
          <w:sz w:val="21"/>
        </w:rPr>
        <w:t>为慢性进行性的脊髓变性疾病，其特征为脊髓内空洞形成。表现为感觉异常、肌萎</w:t>
      </w:r>
      <w:r>
        <w:rPr>
          <w:spacing w:val="-2"/>
          <w:sz w:val="21"/>
        </w:rPr>
        <w:t>缩及神经营养障碍。脊髓空洞症累及延髓的称为延髓空洞症，表现为延髓麻痹。脊</w:t>
      </w:r>
      <w:r>
        <w:rPr>
          <w:spacing w:val="-2"/>
          <w:sz w:val="21"/>
        </w:rPr>
        <w:t>髓空洞症必须明确诊断并且造成永久不可逆的神经系统功能障碍，存在持续至少 </w:t>
      </w:r>
      <w:r>
        <w:rPr>
          <w:sz w:val="21"/>
        </w:rPr>
        <w:t>180</w:t>
      </w:r>
      <w:r>
        <w:rPr>
          <w:spacing w:val="-7"/>
          <w:sz w:val="21"/>
        </w:rPr>
        <w:t> 天以上的神经系统功能缺失，</w:t>
      </w:r>
      <w:r>
        <w:rPr>
          <w:rFonts w:ascii="黑体" w:eastAsia="黑体"/>
          <w:sz w:val="21"/>
        </w:rPr>
        <w:t>并须满足下列至少一项条件</w:t>
      </w:r>
      <w:r>
        <w:rPr>
          <w:sz w:val="21"/>
        </w:rPr>
        <w:t>：</w:t>
      </w:r>
    </w:p>
    <w:p>
      <w:pPr>
        <w:pStyle w:val="ListParagraph"/>
        <w:numPr>
          <w:ilvl w:val="0"/>
          <w:numId w:val="49"/>
        </w:numPr>
        <w:tabs>
          <w:tab w:pos="3343" w:val="left" w:leader="none"/>
        </w:tabs>
        <w:spacing w:line="240" w:lineRule="auto" w:before="63" w:after="0"/>
        <w:ind w:left="3342" w:right="0" w:hanging="735"/>
        <w:jc w:val="both"/>
        <w:rPr>
          <w:sz w:val="21"/>
        </w:rPr>
      </w:pPr>
      <w:r>
        <w:rPr>
          <w:spacing w:val="-3"/>
          <w:sz w:val="21"/>
        </w:rPr>
        <w:t>延髓麻痹呈现显著舌肌萎缩、构音困难和吞咽困难；</w:t>
      </w:r>
    </w:p>
    <w:p>
      <w:pPr>
        <w:pStyle w:val="ListParagraph"/>
        <w:numPr>
          <w:ilvl w:val="0"/>
          <w:numId w:val="49"/>
        </w:numPr>
        <w:tabs>
          <w:tab w:pos="3343" w:val="left" w:leader="none"/>
        </w:tabs>
        <w:spacing w:line="240" w:lineRule="auto" w:before="65" w:after="0"/>
        <w:ind w:left="3342" w:right="0" w:hanging="735"/>
        <w:jc w:val="both"/>
        <w:rPr>
          <w:sz w:val="21"/>
        </w:rPr>
      </w:pPr>
      <w:r>
        <w:rPr>
          <w:spacing w:val="-6"/>
          <w:sz w:val="21"/>
        </w:rPr>
        <w:t>双手萎缩呈“爪形手”，肌力 </w:t>
      </w:r>
      <w:r>
        <w:rPr>
          <w:spacing w:val="-2"/>
          <w:sz w:val="21"/>
        </w:rPr>
        <w:t>2</w:t>
      </w:r>
      <w:r>
        <w:rPr>
          <w:spacing w:val="-12"/>
          <w:sz w:val="21"/>
        </w:rPr>
        <w:t> 级或以下。</w:t>
      </w: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脊髓血管病</w:t>
      </w:r>
    </w:p>
    <w:p>
      <w:pPr>
        <w:spacing w:before="4"/>
        <w:ind w:left="1139" w:right="0" w:firstLine="0"/>
        <w:jc w:val="left"/>
        <w:rPr>
          <w:b/>
          <w:sz w:val="21"/>
        </w:rPr>
      </w:pPr>
      <w:r>
        <w:rPr>
          <w:b/>
          <w:spacing w:val="-4"/>
          <w:sz w:val="21"/>
        </w:rPr>
        <w:t>后遗症</w:t>
      </w:r>
    </w:p>
    <w:p>
      <w:pPr>
        <w:pStyle w:val="BodyText"/>
        <w:spacing w:line="242" w:lineRule="auto" w:before="72"/>
        <w:ind w:left="372" w:right="370"/>
        <w:jc w:val="both"/>
      </w:pPr>
      <w:r>
        <w:rPr/>
        <w:br w:type="column"/>
      </w:r>
      <w:r>
        <w:rPr>
          <w:spacing w:val="-2"/>
        </w:rPr>
        <w:t>指脊髓血管的突发病变引起脊髓梗塞或脊髓出血，导致永久性不可逆的神经系统功</w:t>
      </w:r>
      <w:r>
        <w:rPr>
          <w:spacing w:val="-3"/>
        </w:rPr>
        <w:t>能损害，表现为截瘫或四肢瘫。神经系统永久性的功能障碍指疾病确诊 </w:t>
      </w:r>
      <w:r>
        <w:rPr>
          <w:spacing w:val="-2"/>
        </w:rPr>
        <w:t>180</w:t>
      </w:r>
      <w:r>
        <w:rPr>
          <w:spacing w:val="-7"/>
        </w:rPr>
        <w:t> 天后，</w:t>
      </w:r>
      <w:r>
        <w:rPr>
          <w:spacing w:val="-2"/>
        </w:rPr>
        <w:t>仍然遗留后遗症并且无法独立完成下列基本日常生活活动之一：</w:t>
      </w:r>
    </w:p>
    <w:p>
      <w:pPr>
        <w:pStyle w:val="ListParagraph"/>
        <w:numPr>
          <w:ilvl w:val="0"/>
          <w:numId w:val="50"/>
        </w:numPr>
        <w:tabs>
          <w:tab w:pos="1108" w:val="left" w:leader="none"/>
        </w:tabs>
        <w:spacing w:line="240" w:lineRule="auto" w:before="63" w:after="0"/>
        <w:ind w:left="1107" w:right="0" w:hanging="736"/>
        <w:jc w:val="both"/>
        <w:rPr>
          <w:sz w:val="21"/>
        </w:rPr>
      </w:pPr>
      <w:r>
        <w:rPr>
          <w:spacing w:val="-3"/>
          <w:sz w:val="21"/>
        </w:rPr>
        <w:t>移动：自己从一个房间到另一个房间；</w:t>
      </w:r>
    </w:p>
    <w:p>
      <w:pPr>
        <w:pStyle w:val="ListParagraph"/>
        <w:numPr>
          <w:ilvl w:val="0"/>
          <w:numId w:val="50"/>
        </w:numPr>
        <w:tabs>
          <w:tab w:pos="1108" w:val="left" w:leader="none"/>
        </w:tabs>
        <w:spacing w:line="240" w:lineRule="auto" w:before="62" w:after="0"/>
        <w:ind w:left="1107" w:right="0" w:hanging="736"/>
        <w:jc w:val="both"/>
        <w:rPr>
          <w:sz w:val="21"/>
        </w:rPr>
      </w:pPr>
      <w:r>
        <w:rPr>
          <w:spacing w:val="-3"/>
          <w:sz w:val="21"/>
        </w:rPr>
        <w:t>进食：自己从已准备好的碗或碟中取食物放入口中。</w:t>
      </w:r>
    </w:p>
    <w:p>
      <w:pPr>
        <w:spacing w:after="0" w:line="240" w:lineRule="auto"/>
        <w:jc w:val="both"/>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pStyle w:val="ListParagraph"/>
        <w:numPr>
          <w:ilvl w:val="1"/>
          <w:numId w:val="37"/>
        </w:numPr>
        <w:tabs>
          <w:tab w:pos="1140" w:val="left" w:leader="none"/>
          <w:tab w:pos="2608" w:val="left" w:leader="none"/>
        </w:tabs>
        <w:spacing w:line="240" w:lineRule="auto" w:before="71" w:after="0"/>
        <w:ind w:left="1139" w:right="0" w:hanging="661"/>
        <w:jc w:val="left"/>
        <w:rPr>
          <w:sz w:val="21"/>
        </w:rPr>
      </w:pPr>
      <w:r>
        <w:rPr>
          <w:b/>
          <w:sz w:val="21"/>
        </w:rPr>
        <w:t>颅脑手</w:t>
      </w:r>
      <w:r>
        <w:rPr>
          <w:b/>
          <w:spacing w:val="-10"/>
          <w:sz w:val="21"/>
        </w:rPr>
        <w:t>术</w:t>
      </w:r>
      <w:r>
        <w:rPr>
          <w:b/>
          <w:sz w:val="21"/>
        </w:rPr>
        <w:tab/>
      </w:r>
      <w:r>
        <w:rPr>
          <w:spacing w:val="-2"/>
          <w:sz w:val="21"/>
        </w:rPr>
        <w:t>指</w:t>
      </w:r>
      <w:r>
        <w:rPr>
          <w:spacing w:val="-2"/>
          <w:sz w:val="21"/>
        </w:rPr>
        <w:t>被</w:t>
      </w:r>
      <w:r>
        <w:rPr>
          <w:spacing w:val="-2"/>
          <w:sz w:val="21"/>
        </w:rPr>
        <w:t>保</w:t>
      </w:r>
      <w:r>
        <w:rPr>
          <w:spacing w:val="-2"/>
          <w:sz w:val="21"/>
        </w:rPr>
        <w:t>险</w:t>
      </w:r>
      <w:r>
        <w:rPr>
          <w:spacing w:val="-2"/>
          <w:sz w:val="21"/>
        </w:rPr>
        <w:t>人</w:t>
      </w:r>
      <w:r>
        <w:rPr>
          <w:spacing w:val="-2"/>
          <w:sz w:val="21"/>
        </w:rPr>
        <w:t>因</w:t>
      </w:r>
      <w:r>
        <w:rPr>
          <w:spacing w:val="-2"/>
          <w:sz w:val="21"/>
        </w:rPr>
        <w:t>疾</w:t>
      </w:r>
      <w:r>
        <w:rPr>
          <w:spacing w:val="-2"/>
          <w:sz w:val="21"/>
        </w:rPr>
        <w:t>病</w:t>
      </w:r>
      <w:r>
        <w:rPr>
          <w:spacing w:val="-2"/>
          <w:sz w:val="21"/>
        </w:rPr>
        <w:t>已经实</w:t>
      </w:r>
      <w:r>
        <w:rPr>
          <w:spacing w:val="-2"/>
          <w:sz w:val="21"/>
        </w:rPr>
        <w:t>施</w:t>
      </w:r>
      <w:r>
        <w:rPr>
          <w:spacing w:val="-2"/>
          <w:sz w:val="21"/>
        </w:rPr>
        <w:t>了</w:t>
      </w:r>
      <w:r>
        <w:rPr>
          <w:spacing w:val="-2"/>
          <w:sz w:val="21"/>
        </w:rPr>
        <w:t>全</w:t>
      </w:r>
      <w:r>
        <w:rPr>
          <w:spacing w:val="-2"/>
          <w:sz w:val="21"/>
        </w:rPr>
        <w:t>麻</w:t>
      </w:r>
      <w:r>
        <w:rPr>
          <w:spacing w:val="-2"/>
          <w:sz w:val="21"/>
        </w:rPr>
        <w:t>下</w:t>
      </w:r>
      <w:r>
        <w:rPr>
          <w:spacing w:val="-2"/>
          <w:sz w:val="21"/>
        </w:rPr>
        <w:t>的</w:t>
      </w:r>
      <w:r>
        <w:rPr>
          <w:spacing w:val="-2"/>
          <w:sz w:val="21"/>
        </w:rPr>
        <w:t>开</w:t>
      </w:r>
      <w:r>
        <w:rPr>
          <w:spacing w:val="-2"/>
          <w:sz w:val="21"/>
        </w:rPr>
        <w:t>颅</w:t>
      </w:r>
      <w:r>
        <w:rPr>
          <w:spacing w:val="-2"/>
          <w:sz w:val="21"/>
        </w:rPr>
        <w:t>手术（</w:t>
      </w:r>
      <w:r>
        <w:rPr>
          <w:spacing w:val="-2"/>
          <w:sz w:val="21"/>
        </w:rPr>
        <w:t>以</w:t>
      </w:r>
      <w:r>
        <w:rPr>
          <w:spacing w:val="-2"/>
          <w:sz w:val="21"/>
        </w:rPr>
        <w:t>切</w:t>
      </w:r>
      <w:r>
        <w:rPr>
          <w:spacing w:val="-2"/>
          <w:sz w:val="21"/>
        </w:rPr>
        <w:t>开</w:t>
      </w:r>
      <w:r>
        <w:rPr>
          <w:spacing w:val="-2"/>
          <w:sz w:val="21"/>
        </w:rPr>
        <w:t>硬</w:t>
      </w:r>
      <w:r>
        <w:rPr>
          <w:spacing w:val="-2"/>
          <w:sz w:val="21"/>
        </w:rPr>
        <w:t>脑</w:t>
      </w:r>
      <w:r>
        <w:rPr>
          <w:spacing w:val="-2"/>
          <w:sz w:val="21"/>
        </w:rPr>
        <w:t>膜</w:t>
      </w:r>
      <w:r>
        <w:rPr>
          <w:spacing w:val="-2"/>
          <w:sz w:val="21"/>
        </w:rPr>
        <w:t>为</w:t>
      </w:r>
      <w:r>
        <w:rPr>
          <w:spacing w:val="-2"/>
          <w:sz w:val="21"/>
        </w:rPr>
        <w:t>准</w:t>
      </w:r>
      <w:r>
        <w:rPr>
          <w:spacing w:val="-2"/>
          <w:sz w:val="21"/>
        </w:rPr>
        <w:t>；不包</w:t>
      </w:r>
      <w:r>
        <w:rPr>
          <w:spacing w:val="-2"/>
          <w:sz w:val="21"/>
        </w:rPr>
        <w:t>括</w:t>
      </w:r>
      <w:r>
        <w:rPr>
          <w:spacing w:val="-2"/>
          <w:sz w:val="21"/>
        </w:rPr>
        <w:t>颅</w:t>
      </w:r>
      <w:r>
        <w:rPr>
          <w:spacing w:val="-10"/>
          <w:sz w:val="21"/>
        </w:rPr>
        <w:t>骨</w:t>
      </w:r>
    </w:p>
    <w:p>
      <w:pPr>
        <w:spacing w:after="0" w:line="240" w:lineRule="auto"/>
        <w:jc w:val="left"/>
        <w:rPr>
          <w:sz w:val="21"/>
        </w:rPr>
        <w:sectPr>
          <w:type w:val="continuous"/>
          <w:pgSz w:w="11910" w:h="16850"/>
          <w:pgMar w:top="520" w:bottom="280" w:left="620" w:right="720"/>
        </w:sectPr>
      </w:pPr>
    </w:p>
    <w:p>
      <w:pPr>
        <w:pStyle w:val="BodyText"/>
        <w:spacing w:before="53"/>
        <w:ind w:left="2608"/>
      </w:pPr>
      <w:r>
        <w:rPr>
          <w:spacing w:val="-2"/>
        </w:rPr>
        <w:t>钻孔手术、不包括经鼻蝶窦入颅的手术</w:t>
      </w:r>
      <w:r>
        <w:rPr>
          <w:spacing w:val="-108"/>
        </w:rPr>
        <w:t>）</w:t>
      </w:r>
      <w:r>
        <w:rPr>
          <w:spacing w:val="-10"/>
        </w:rPr>
        <w:t>。</w:t>
      </w:r>
    </w:p>
    <w:p>
      <w:pPr>
        <w:pStyle w:val="BodyText"/>
        <w:spacing w:before="64"/>
        <w:ind w:left="2608"/>
      </w:pPr>
      <w:r>
        <w:rPr>
          <w:spacing w:val="-3"/>
        </w:rPr>
        <w:t>理赔时必须提供由本公司认可的医院的神经外科医生出具的诊断书及手术报告。</w:t>
      </w:r>
    </w:p>
    <w:p>
      <w:pPr>
        <w:pStyle w:val="BodyText"/>
        <w:spacing w:before="63"/>
        <w:ind w:left="2608"/>
        <w:rPr>
          <w:rFonts w:ascii="黑体" w:eastAsia="黑体"/>
        </w:rPr>
      </w:pPr>
      <w:r>
        <w:rPr>
          <w:rFonts w:ascii="黑体" w:eastAsia="黑体"/>
          <w:spacing w:val="-3"/>
        </w:rPr>
        <w:t>因外伤而实施的颅脑手术不在本合同所定义的重大疾病范围内。</w:t>
      </w:r>
    </w:p>
    <w:p>
      <w:pPr>
        <w:pStyle w:val="BodyText"/>
        <w:spacing w:before="9"/>
        <w:rPr>
          <w:rFonts w:ascii="黑体"/>
          <w:sz w:val="12"/>
        </w:rPr>
      </w:pPr>
    </w:p>
    <w:p>
      <w:pPr>
        <w:spacing w:after="0"/>
        <w:rPr>
          <w:rFonts w:ascii="黑体"/>
          <w:sz w:val="12"/>
        </w:rPr>
        <w:sectPr>
          <w:pgSz w:w="11910" w:h="16850"/>
          <w:pgMar w:top="1080" w:bottom="280" w:left="620" w:right="720"/>
        </w:sectPr>
      </w:pPr>
    </w:p>
    <w:p>
      <w:pPr>
        <w:pStyle w:val="Heading3"/>
        <w:numPr>
          <w:ilvl w:val="1"/>
          <w:numId w:val="37"/>
        </w:numPr>
        <w:tabs>
          <w:tab w:pos="1140" w:val="left" w:leader="none"/>
        </w:tabs>
        <w:spacing w:line="240" w:lineRule="auto" w:before="72" w:after="0"/>
        <w:ind w:left="1139" w:right="0" w:hanging="661"/>
        <w:jc w:val="both"/>
      </w:pPr>
      <w:r>
        <w:rPr>
          <w:spacing w:val="-2"/>
        </w:rPr>
        <w:t>系统性红斑</w:t>
      </w:r>
    </w:p>
    <w:p>
      <w:pPr>
        <w:spacing w:line="242" w:lineRule="auto" w:before="2"/>
        <w:ind w:left="1139" w:right="0" w:firstLine="0"/>
        <w:jc w:val="both"/>
        <w:rPr>
          <w:b/>
          <w:sz w:val="21"/>
        </w:rPr>
      </w:pPr>
      <w:r>
        <w:rPr>
          <w:b/>
          <w:spacing w:val="-2"/>
          <w:sz w:val="21"/>
        </w:rPr>
        <w:t>狼疮并发重</w:t>
      </w:r>
      <w:r>
        <w:rPr>
          <w:b/>
          <w:spacing w:val="-2"/>
          <w:sz w:val="21"/>
        </w:rPr>
        <w:t>度的肾功能</w:t>
      </w:r>
      <w:r>
        <w:rPr>
          <w:b/>
          <w:spacing w:val="-6"/>
          <w:sz w:val="21"/>
        </w:rPr>
        <w:t>损害</w:t>
      </w:r>
    </w:p>
    <w:p>
      <w:pPr>
        <w:pStyle w:val="BodyText"/>
        <w:spacing w:line="242" w:lineRule="auto" w:before="72"/>
        <w:ind w:left="372" w:right="264"/>
      </w:pPr>
      <w:r>
        <w:rPr/>
        <w:br w:type="column"/>
      </w:r>
      <w:r>
        <w:rPr>
          <w:spacing w:val="-6"/>
        </w:rPr>
        <w:t>指系统性红斑狼疮累及肾脏，且经肾脏活检确认，符合 </w:t>
      </w:r>
      <w:r>
        <w:rPr>
          <w:spacing w:val="-4"/>
        </w:rPr>
        <w:t>WHO</w:t>
      </w:r>
      <w:r>
        <w:rPr>
          <w:spacing w:val="-10"/>
        </w:rPr>
        <w:t> 诊断标准定义Ⅲ型</w:t>
      </w:r>
      <w:r>
        <w:rPr>
          <w:spacing w:val="-4"/>
        </w:rPr>
        <w:t>（含）</w:t>
      </w:r>
      <w:r>
        <w:rPr>
          <w:spacing w:val="-2"/>
        </w:rPr>
        <w:t>以上的狼疮性肾炎。</w:t>
      </w:r>
    </w:p>
    <w:p>
      <w:pPr>
        <w:pStyle w:val="BodyText"/>
        <w:spacing w:line="242" w:lineRule="auto" w:before="61"/>
        <w:ind w:left="372" w:right="373"/>
        <w:rPr>
          <w:rFonts w:ascii="黑体" w:eastAsia="黑体"/>
        </w:rPr>
      </w:pPr>
      <w:r>
        <w:rPr>
          <w:rFonts w:ascii="黑体" w:eastAsia="黑体"/>
          <w:spacing w:val="-2"/>
        </w:rPr>
        <w:t>其他类型的红斑性狼疮，如盘状红斑狼疮、未累及肾脏的红斑狼疮不在本合同所定</w:t>
      </w:r>
      <w:r>
        <w:rPr>
          <w:rFonts w:ascii="黑体" w:eastAsia="黑体"/>
          <w:spacing w:val="-2"/>
        </w:rPr>
        <w:t>义的重大疾病范围内。</w:t>
      </w:r>
    </w:p>
    <w:p>
      <w:pPr>
        <w:pStyle w:val="BodyText"/>
        <w:spacing w:before="62"/>
        <w:ind w:left="372"/>
      </w:pPr>
      <w:r>
        <w:rPr>
          <w:spacing w:val="-2"/>
        </w:rPr>
        <w:t>世界卫生组织（WHO）</w:t>
      </w:r>
      <w:r>
        <w:rPr>
          <w:spacing w:val="-4"/>
        </w:rPr>
        <w:t>狼疮性肾炎分型：</w:t>
      </w:r>
    </w:p>
    <w:p>
      <w:pPr>
        <w:pStyle w:val="ListParagraph"/>
        <w:numPr>
          <w:ilvl w:val="0"/>
          <w:numId w:val="51"/>
        </w:numPr>
        <w:tabs>
          <w:tab w:pos="1108" w:val="left" w:leader="none"/>
        </w:tabs>
        <w:spacing w:line="240" w:lineRule="auto" w:before="62" w:after="0"/>
        <w:ind w:left="1107" w:right="0" w:hanging="736"/>
        <w:jc w:val="left"/>
        <w:rPr>
          <w:sz w:val="21"/>
        </w:rPr>
      </w:pPr>
      <w:r>
        <w:rPr>
          <w:spacing w:val="-4"/>
          <w:sz w:val="21"/>
        </w:rPr>
        <w:t>Ⅰ型微小病变型；</w:t>
      </w:r>
    </w:p>
    <w:p>
      <w:pPr>
        <w:pStyle w:val="ListParagraph"/>
        <w:numPr>
          <w:ilvl w:val="0"/>
          <w:numId w:val="51"/>
        </w:numPr>
        <w:tabs>
          <w:tab w:pos="1100" w:val="left" w:leader="none"/>
        </w:tabs>
        <w:spacing w:line="240" w:lineRule="auto" w:before="64" w:after="0"/>
        <w:ind w:left="1099" w:right="0" w:hanging="728"/>
        <w:jc w:val="left"/>
        <w:rPr>
          <w:sz w:val="21"/>
        </w:rPr>
      </w:pPr>
      <w:r>
        <w:rPr>
          <w:spacing w:val="-4"/>
          <w:sz w:val="21"/>
        </w:rPr>
        <w:t>Ⅱ型系膜病变型；</w:t>
      </w:r>
    </w:p>
    <w:p>
      <w:pPr>
        <w:pStyle w:val="ListParagraph"/>
        <w:numPr>
          <w:ilvl w:val="0"/>
          <w:numId w:val="51"/>
        </w:numPr>
        <w:tabs>
          <w:tab w:pos="1108" w:val="left" w:leader="none"/>
        </w:tabs>
        <w:spacing w:line="240" w:lineRule="auto" w:before="63" w:after="0"/>
        <w:ind w:left="1107" w:right="0" w:hanging="736"/>
        <w:jc w:val="left"/>
        <w:rPr>
          <w:sz w:val="21"/>
        </w:rPr>
      </w:pPr>
      <w:r>
        <w:rPr>
          <w:spacing w:val="-3"/>
          <w:sz w:val="21"/>
        </w:rPr>
        <w:t>Ⅲ型局灶及节段增生型；</w:t>
      </w:r>
    </w:p>
    <w:p>
      <w:pPr>
        <w:pStyle w:val="ListParagraph"/>
        <w:numPr>
          <w:ilvl w:val="0"/>
          <w:numId w:val="51"/>
        </w:numPr>
        <w:tabs>
          <w:tab w:pos="1108" w:val="left" w:leader="none"/>
        </w:tabs>
        <w:spacing w:line="240" w:lineRule="auto" w:before="64" w:after="0"/>
        <w:ind w:left="1107" w:right="0" w:hanging="736"/>
        <w:jc w:val="left"/>
        <w:rPr>
          <w:sz w:val="21"/>
        </w:rPr>
      </w:pPr>
      <w:r>
        <w:rPr>
          <w:spacing w:val="-4"/>
          <w:sz w:val="21"/>
        </w:rPr>
        <w:t>Ⅳ型弥漫增生型；</w:t>
      </w:r>
    </w:p>
    <w:p>
      <w:pPr>
        <w:pStyle w:val="ListParagraph"/>
        <w:numPr>
          <w:ilvl w:val="0"/>
          <w:numId w:val="51"/>
        </w:numPr>
        <w:tabs>
          <w:tab w:pos="1108" w:val="left" w:leader="none"/>
        </w:tabs>
        <w:spacing w:line="240" w:lineRule="auto" w:before="63" w:after="0"/>
        <w:ind w:left="1107" w:right="0" w:hanging="736"/>
        <w:jc w:val="left"/>
        <w:rPr>
          <w:sz w:val="21"/>
        </w:rPr>
      </w:pPr>
      <w:r>
        <w:rPr>
          <w:spacing w:val="-4"/>
          <w:sz w:val="21"/>
        </w:rPr>
        <w:t>Ⅴ型膜型；</w:t>
      </w:r>
    </w:p>
    <w:p>
      <w:pPr>
        <w:pStyle w:val="ListParagraph"/>
        <w:numPr>
          <w:ilvl w:val="0"/>
          <w:numId w:val="51"/>
        </w:numPr>
        <w:tabs>
          <w:tab w:pos="1108" w:val="left" w:leader="none"/>
        </w:tabs>
        <w:spacing w:line="240" w:lineRule="auto" w:before="64" w:after="0"/>
        <w:ind w:left="1107" w:right="0" w:hanging="736"/>
        <w:jc w:val="left"/>
        <w:rPr>
          <w:sz w:val="21"/>
        </w:rPr>
      </w:pPr>
      <w:r>
        <w:rPr>
          <w:spacing w:val="-3"/>
          <w:sz w:val="21"/>
        </w:rPr>
        <w:t>Ⅵ型肾小球硬化型。</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2" w:lineRule="auto" w:before="72" w:after="0"/>
        <w:ind w:left="1139" w:right="0" w:hanging="661"/>
        <w:jc w:val="left"/>
      </w:pPr>
      <w:r>
        <w:rPr>
          <w:spacing w:val="-2"/>
        </w:rPr>
        <w:t>严重Ｉ型糖</w:t>
      </w:r>
      <w:r>
        <w:rPr>
          <w:spacing w:val="-6"/>
        </w:rPr>
        <w:t>尿病</w:t>
      </w:r>
    </w:p>
    <w:p>
      <w:pPr>
        <w:pStyle w:val="BodyText"/>
        <w:spacing w:line="242" w:lineRule="auto" w:before="72"/>
        <w:ind w:left="372" w:right="370"/>
        <w:jc w:val="both"/>
      </w:pPr>
      <w:r>
        <w:rPr/>
        <w:br w:type="column"/>
      </w:r>
      <w:r>
        <w:rPr>
          <w:spacing w:val="-2"/>
        </w:rPr>
        <w:t>指因严重的胰岛素缺乏导致的一组糖、脂肪、蛋白质代谢异常综合症，且须依赖外</w:t>
      </w:r>
      <w:r>
        <w:rPr>
          <w:spacing w:val="-3"/>
        </w:rPr>
        <w:t>源性胰岛素进行机体的葡萄糖代谢和维持生命。本病须经血胰岛素测定、血 </w:t>
      </w:r>
      <w:r>
        <w:rPr>
          <w:spacing w:val="-2"/>
        </w:rPr>
        <w:t>C</w:t>
      </w:r>
      <w:r>
        <w:rPr>
          <w:spacing w:val="-8"/>
        </w:rPr>
        <w:t> 肽测</w:t>
      </w:r>
      <w:r>
        <w:rPr>
          <w:w w:val="95"/>
        </w:rPr>
        <w:t>定或尿</w:t>
      </w:r>
      <w:r>
        <w:rPr/>
        <w:t> </w:t>
      </w:r>
      <w:r>
        <w:rPr>
          <w:w w:val="95"/>
        </w:rPr>
        <w:t>C</w:t>
      </w:r>
      <w:r>
        <w:rPr/>
        <w:t> </w:t>
      </w:r>
      <w:r>
        <w:rPr>
          <w:w w:val="95"/>
        </w:rPr>
        <w:t>肽测定检查证实，</w:t>
      </w:r>
      <w:r>
        <w:rPr>
          <w:w w:val="95"/>
        </w:rPr>
        <w:t>且</w:t>
      </w:r>
      <w:r>
        <w:rPr>
          <w:w w:val="95"/>
        </w:rPr>
        <w:t>被保险人已经接受了</w:t>
      </w:r>
      <w:r>
        <w:rPr>
          <w:w w:val="95"/>
        </w:rPr>
        <w:t>持</w:t>
      </w:r>
      <w:r>
        <w:rPr>
          <w:w w:val="95"/>
        </w:rPr>
        <w:t>续</w:t>
      </w:r>
      <w:r>
        <w:rPr>
          <w:w w:val="95"/>
        </w:rPr>
        <w:t>的胰岛素治疗</w:t>
      </w:r>
      <w:r>
        <w:rPr/>
        <w:t> </w:t>
      </w:r>
      <w:r>
        <w:rPr>
          <w:w w:val="95"/>
        </w:rPr>
        <w:t>180</w:t>
      </w:r>
      <w:r>
        <w:rPr/>
        <w:t> </w:t>
      </w:r>
      <w:r>
        <w:rPr>
          <w:w w:val="95"/>
        </w:rPr>
        <w:t>天以上，</w:t>
      </w:r>
      <w:r>
        <w:rPr>
          <w:rFonts w:ascii="黑体" w:eastAsia="黑体"/>
          <w:spacing w:val="-2"/>
        </w:rPr>
        <w:t>并须满足下列至少一项条件</w:t>
      </w:r>
      <w:r>
        <w:rPr>
          <w:spacing w:val="-2"/>
        </w:rPr>
        <w:t>：</w:t>
      </w:r>
    </w:p>
    <w:p>
      <w:pPr>
        <w:pStyle w:val="ListParagraph"/>
        <w:numPr>
          <w:ilvl w:val="0"/>
          <w:numId w:val="52"/>
        </w:numPr>
        <w:tabs>
          <w:tab w:pos="1108" w:val="left" w:leader="none"/>
        </w:tabs>
        <w:spacing w:line="240" w:lineRule="auto" w:before="63" w:after="0"/>
        <w:ind w:left="1107" w:right="0" w:hanging="736"/>
        <w:jc w:val="left"/>
        <w:rPr>
          <w:sz w:val="21"/>
        </w:rPr>
      </w:pPr>
      <w:r>
        <w:rPr>
          <w:spacing w:val="-3"/>
          <w:sz w:val="21"/>
        </w:rPr>
        <w:t>并发增殖性视网膜病变；</w:t>
      </w:r>
    </w:p>
    <w:p>
      <w:pPr>
        <w:pStyle w:val="ListParagraph"/>
        <w:numPr>
          <w:ilvl w:val="0"/>
          <w:numId w:val="52"/>
        </w:numPr>
        <w:tabs>
          <w:tab w:pos="1108" w:val="left" w:leader="none"/>
        </w:tabs>
        <w:spacing w:line="240" w:lineRule="auto" w:before="62" w:after="0"/>
        <w:ind w:left="1107" w:right="0" w:hanging="736"/>
        <w:jc w:val="left"/>
        <w:rPr>
          <w:sz w:val="21"/>
        </w:rPr>
      </w:pPr>
      <w:r>
        <w:rPr>
          <w:spacing w:val="-3"/>
          <w:sz w:val="21"/>
        </w:rPr>
        <w:t>并发心脏病变，已经植入心脏起搏器；</w:t>
      </w:r>
    </w:p>
    <w:p>
      <w:pPr>
        <w:pStyle w:val="ListParagraph"/>
        <w:numPr>
          <w:ilvl w:val="0"/>
          <w:numId w:val="52"/>
        </w:numPr>
        <w:tabs>
          <w:tab w:pos="1108" w:val="left" w:leader="none"/>
        </w:tabs>
        <w:spacing w:line="240" w:lineRule="auto" w:before="64" w:after="0"/>
        <w:ind w:left="1107" w:right="0" w:hanging="736"/>
        <w:jc w:val="left"/>
        <w:rPr>
          <w:sz w:val="21"/>
        </w:rPr>
      </w:pPr>
      <w:r>
        <w:rPr>
          <w:spacing w:val="-3"/>
          <w:sz w:val="21"/>
        </w:rPr>
        <w:t>至少一个脚趾发生坏疽并已经实施手术切除。</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8"/>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2" w:lineRule="auto" w:before="71" w:after="0"/>
        <w:ind w:left="1139" w:right="0" w:hanging="661"/>
        <w:jc w:val="left"/>
      </w:pPr>
      <w:r>
        <w:rPr>
          <w:spacing w:val="-2"/>
        </w:rPr>
        <w:t>席汉氏综合</w:t>
      </w:r>
      <w:r>
        <w:rPr>
          <w:spacing w:val="-10"/>
        </w:rPr>
        <w:t>征</w:t>
      </w:r>
    </w:p>
    <w:p>
      <w:pPr>
        <w:pStyle w:val="BodyText"/>
        <w:spacing w:line="242" w:lineRule="auto" w:before="71"/>
        <w:ind w:left="372" w:right="372"/>
        <w:jc w:val="both"/>
        <w:rPr>
          <w:rFonts w:ascii="黑体" w:eastAsia="黑体"/>
        </w:rPr>
      </w:pPr>
      <w:r>
        <w:rPr/>
        <w:br w:type="column"/>
      </w:r>
      <w:r>
        <w:rPr>
          <w:spacing w:val="-2"/>
        </w:rPr>
        <w:t>指因产后大出血并发休克、全身循环衰竭、弥漫性血管内凝血导致脑垂体缺血坏死</w:t>
      </w:r>
      <w:r>
        <w:rPr>
          <w:spacing w:val="-2"/>
        </w:rPr>
        <w:t>和垂体分泌激素不足，造成性腺、甲状腺、肾上腺皮质功能减退。</w:t>
      </w:r>
      <w:r>
        <w:rPr>
          <w:rFonts w:ascii="黑体" w:eastAsia="黑体"/>
          <w:spacing w:val="-2"/>
        </w:rPr>
        <w:t>并须满足下列全</w:t>
      </w:r>
      <w:r>
        <w:rPr>
          <w:rFonts w:ascii="黑体" w:eastAsia="黑体"/>
          <w:spacing w:val="-4"/>
        </w:rPr>
        <w:t>部条件：</w:t>
      </w:r>
    </w:p>
    <w:p>
      <w:pPr>
        <w:pStyle w:val="ListParagraph"/>
        <w:numPr>
          <w:ilvl w:val="0"/>
          <w:numId w:val="53"/>
        </w:numPr>
        <w:tabs>
          <w:tab w:pos="1108" w:val="left" w:leader="none"/>
        </w:tabs>
        <w:spacing w:line="240" w:lineRule="auto" w:before="61" w:after="0"/>
        <w:ind w:left="1107" w:right="0" w:hanging="736"/>
        <w:jc w:val="left"/>
        <w:rPr>
          <w:sz w:val="21"/>
        </w:rPr>
      </w:pPr>
      <w:r>
        <w:rPr>
          <w:spacing w:val="-3"/>
          <w:sz w:val="21"/>
        </w:rPr>
        <w:t>产后大出血休克病史；</w:t>
      </w:r>
    </w:p>
    <w:p>
      <w:pPr>
        <w:pStyle w:val="ListParagraph"/>
        <w:numPr>
          <w:ilvl w:val="0"/>
          <w:numId w:val="53"/>
        </w:numPr>
        <w:tabs>
          <w:tab w:pos="1108" w:val="left" w:leader="none"/>
        </w:tabs>
        <w:spacing w:line="240" w:lineRule="auto" w:before="65" w:after="0"/>
        <w:ind w:left="1107" w:right="0" w:hanging="736"/>
        <w:jc w:val="left"/>
        <w:rPr>
          <w:sz w:val="21"/>
        </w:rPr>
      </w:pPr>
      <w:r>
        <w:rPr>
          <w:spacing w:val="-2"/>
          <w:sz w:val="21"/>
        </w:rPr>
        <w:t>严重腺垂体功能破坏，破坏程度&gt;95%；</w:t>
      </w:r>
    </w:p>
    <w:p>
      <w:pPr>
        <w:pStyle w:val="ListParagraph"/>
        <w:numPr>
          <w:ilvl w:val="0"/>
          <w:numId w:val="53"/>
        </w:numPr>
        <w:tabs>
          <w:tab w:pos="1108" w:val="left" w:leader="none"/>
        </w:tabs>
        <w:spacing w:line="240" w:lineRule="auto" w:before="62" w:after="0"/>
        <w:ind w:left="1107" w:right="0" w:hanging="736"/>
        <w:jc w:val="left"/>
        <w:rPr>
          <w:sz w:val="21"/>
        </w:rPr>
      </w:pPr>
      <w:r>
        <w:rPr>
          <w:spacing w:val="-3"/>
          <w:sz w:val="21"/>
        </w:rPr>
        <w:t>影像学检查显示脑垂体严重萎缩或消失；</w:t>
      </w:r>
    </w:p>
    <w:p>
      <w:pPr>
        <w:pStyle w:val="ListParagraph"/>
        <w:numPr>
          <w:ilvl w:val="0"/>
          <w:numId w:val="53"/>
        </w:numPr>
        <w:tabs>
          <w:tab w:pos="1108" w:val="left" w:leader="none"/>
        </w:tabs>
        <w:spacing w:line="240" w:lineRule="auto" w:before="65" w:after="0"/>
        <w:ind w:left="1107" w:right="0" w:hanging="736"/>
        <w:jc w:val="left"/>
        <w:rPr>
          <w:sz w:val="21"/>
        </w:rPr>
      </w:pPr>
      <w:r>
        <w:rPr>
          <w:spacing w:val="-4"/>
          <w:sz w:val="21"/>
        </w:rPr>
        <w:t>实验室检查显示：</w:t>
      </w:r>
    </w:p>
    <w:p>
      <w:pPr>
        <w:pStyle w:val="BodyText"/>
        <w:spacing w:before="62"/>
        <w:ind w:left="1107"/>
      </w:pPr>
      <w:r>
        <w:rPr/>
        <w:t>①</w:t>
      </w:r>
      <w:r>
        <w:rPr>
          <w:spacing w:val="37"/>
          <w:w w:val="150"/>
        </w:rPr>
        <w:t> </w:t>
      </w:r>
      <w:r>
        <w:rPr>
          <w:spacing w:val="-1"/>
        </w:rPr>
        <w:t>垂体前叶激素全面低下；</w:t>
      </w:r>
    </w:p>
    <w:p>
      <w:pPr>
        <w:pStyle w:val="BodyText"/>
        <w:spacing w:line="242" w:lineRule="auto" w:before="64"/>
        <w:ind w:left="1527" w:right="370" w:hanging="421"/>
      </w:pPr>
      <w:r>
        <w:rPr>
          <w:spacing w:val="-2"/>
        </w:rPr>
        <w:t>② 性激素、甲状腺素、肾上腺皮质激素全面低下（包括生长激素、促甲状</w:t>
      </w:r>
      <w:r>
        <w:rPr>
          <w:spacing w:val="-2"/>
        </w:rPr>
        <w:t>腺素、促肾上腺皮质激素、卵泡刺激素和黄体生成素）；</w:t>
      </w:r>
    </w:p>
    <w:p>
      <w:pPr>
        <w:pStyle w:val="ListParagraph"/>
        <w:numPr>
          <w:ilvl w:val="0"/>
          <w:numId w:val="53"/>
        </w:numPr>
        <w:tabs>
          <w:tab w:pos="1108" w:val="left" w:leader="none"/>
        </w:tabs>
        <w:spacing w:line="240" w:lineRule="auto" w:before="62" w:after="0"/>
        <w:ind w:left="1107" w:right="0" w:hanging="736"/>
        <w:jc w:val="left"/>
        <w:rPr>
          <w:sz w:val="21"/>
        </w:rPr>
      </w:pPr>
      <w:r>
        <w:rPr>
          <w:spacing w:val="-3"/>
          <w:sz w:val="21"/>
        </w:rPr>
        <w:t>需要终身激素替代治疗以维持身体功能，持续服用各种替代激素超过一年。</w:t>
      </w:r>
    </w:p>
    <w:p>
      <w:pPr>
        <w:pStyle w:val="BodyText"/>
        <w:spacing w:line="244" w:lineRule="auto" w:before="62"/>
        <w:ind w:left="372" w:right="373"/>
        <w:rPr>
          <w:rFonts w:ascii="黑体" w:eastAsia="黑体"/>
        </w:rPr>
      </w:pPr>
      <w:r>
        <w:rPr>
          <w:rFonts w:ascii="黑体" w:eastAsia="黑体"/>
          <w:spacing w:val="-2"/>
        </w:rPr>
        <w:t>垂体功能部分低下及其他原因所致垂体功能低下不在本合同所定义的重大疾病范围</w:t>
      </w:r>
      <w:r>
        <w:rPr>
          <w:rFonts w:ascii="黑体" w:eastAsia="黑体"/>
          <w:spacing w:val="-6"/>
        </w:rPr>
        <w:t>内。</w:t>
      </w:r>
    </w:p>
    <w:p>
      <w:pPr>
        <w:spacing w:after="0" w:line="244" w:lineRule="auto"/>
        <w:rPr>
          <w:rFonts w:ascii="黑体" w:eastAsia="黑体"/>
        </w:rPr>
        <w:sectPr>
          <w:type w:val="continuous"/>
          <w:pgSz w:w="11910" w:h="16850"/>
          <w:pgMar w:top="520" w:bottom="280" w:left="620" w:right="720"/>
          <w:cols w:num="2" w:equalWidth="0">
            <w:col w:w="2196" w:space="40"/>
            <w:col w:w="8334"/>
          </w:cols>
        </w:sectPr>
      </w:pPr>
    </w:p>
    <w:p>
      <w:pPr>
        <w:pStyle w:val="BodyText"/>
        <w:spacing w:before="11"/>
        <w:rPr>
          <w:rFonts w:ascii="黑体"/>
          <w:sz w:val="9"/>
        </w:rPr>
      </w:pPr>
    </w:p>
    <w:p>
      <w:pPr>
        <w:spacing w:after="0"/>
        <w:rPr>
          <w:rFonts w:ascii="黑体"/>
          <w:sz w:val="9"/>
        </w:rPr>
        <w:sectPr>
          <w:type w:val="continuous"/>
          <w:pgSz w:w="11910" w:h="16850"/>
          <w:pgMar w:top="520" w:bottom="280" w:left="620" w:right="720"/>
        </w:sectPr>
      </w:pPr>
    </w:p>
    <w:p>
      <w:pPr>
        <w:pStyle w:val="Heading3"/>
        <w:numPr>
          <w:ilvl w:val="1"/>
          <w:numId w:val="37"/>
        </w:numPr>
        <w:tabs>
          <w:tab w:pos="1140" w:val="left" w:leader="none"/>
        </w:tabs>
        <w:spacing w:line="240" w:lineRule="auto" w:before="71" w:after="0"/>
        <w:ind w:left="1139" w:right="0" w:hanging="661"/>
        <w:jc w:val="left"/>
      </w:pPr>
      <w:r>
        <w:rPr>
          <w:spacing w:val="-2"/>
        </w:rPr>
        <w:t>严重强直性</w:t>
      </w:r>
    </w:p>
    <w:p>
      <w:pPr>
        <w:spacing w:before="5"/>
        <w:ind w:left="1139" w:right="0" w:firstLine="0"/>
        <w:jc w:val="left"/>
        <w:rPr>
          <w:b/>
          <w:sz w:val="21"/>
        </w:rPr>
      </w:pPr>
      <w:r>
        <w:rPr>
          <w:b/>
          <w:spacing w:val="-4"/>
          <w:sz w:val="21"/>
        </w:rPr>
        <w:t>脊柱炎</w:t>
      </w:r>
    </w:p>
    <w:p>
      <w:pPr>
        <w:pStyle w:val="BodyText"/>
        <w:spacing w:line="244" w:lineRule="auto" w:before="71"/>
        <w:ind w:left="372" w:right="373"/>
        <w:rPr>
          <w:rFonts w:ascii="黑体" w:eastAsia="黑体"/>
        </w:rPr>
      </w:pPr>
      <w:r>
        <w:rPr/>
        <w:br w:type="column"/>
      </w:r>
      <w:r>
        <w:rPr>
          <w:spacing w:val="-2"/>
        </w:rPr>
        <w:t>是一种慢性全身性炎性疾病，主要侵犯脊柱导致脊柱畸形。强直性脊柱炎必须明确</w:t>
      </w:r>
      <w:r>
        <w:rPr>
          <w:spacing w:val="-2"/>
        </w:rPr>
        <w:t>诊断，</w:t>
      </w:r>
      <w:r>
        <w:rPr>
          <w:rFonts w:ascii="黑体" w:eastAsia="黑体"/>
          <w:spacing w:val="-2"/>
        </w:rPr>
        <w:t>并须满足下列全部条件：</w:t>
      </w:r>
    </w:p>
    <w:p>
      <w:pPr>
        <w:pStyle w:val="ListParagraph"/>
        <w:numPr>
          <w:ilvl w:val="0"/>
          <w:numId w:val="54"/>
        </w:numPr>
        <w:tabs>
          <w:tab w:pos="1108" w:val="left" w:leader="none"/>
        </w:tabs>
        <w:spacing w:line="244" w:lineRule="auto" w:before="56" w:after="0"/>
        <w:ind w:left="1107" w:right="376" w:hanging="735"/>
        <w:jc w:val="left"/>
        <w:rPr>
          <w:sz w:val="21"/>
        </w:rPr>
      </w:pPr>
      <w:r>
        <w:rPr>
          <w:spacing w:val="-6"/>
          <w:sz w:val="21"/>
        </w:rPr>
        <w:t>严重脊柱畸形：椎体钙化形成骨桥，脊柱出现“竹节样改变”；骶髂关节硬</w:t>
      </w:r>
      <w:r>
        <w:rPr>
          <w:spacing w:val="-2"/>
          <w:sz w:val="21"/>
        </w:rPr>
        <w:t>化、融合、强直；</w:t>
      </w:r>
    </w:p>
    <w:p>
      <w:pPr>
        <w:pStyle w:val="ListParagraph"/>
        <w:numPr>
          <w:ilvl w:val="0"/>
          <w:numId w:val="54"/>
        </w:numPr>
        <w:tabs>
          <w:tab w:pos="1108" w:val="left" w:leader="none"/>
        </w:tabs>
        <w:spacing w:line="244" w:lineRule="auto" w:before="56" w:after="0"/>
        <w:ind w:left="1107" w:right="370" w:hanging="735"/>
        <w:jc w:val="left"/>
        <w:rPr>
          <w:sz w:val="21"/>
        </w:rPr>
      </w:pPr>
      <w:r>
        <w:rPr>
          <w:spacing w:val="-10"/>
          <w:sz w:val="21"/>
        </w:rPr>
        <w:t>自主生活能力完全丧失，无法独立完成六项基本日常生活活动中的三项或三</w:t>
      </w:r>
      <w:r>
        <w:rPr>
          <w:spacing w:val="-4"/>
          <w:sz w:val="21"/>
        </w:rPr>
        <w:t>项以上。</w:t>
      </w:r>
    </w:p>
    <w:p>
      <w:pPr>
        <w:spacing w:after="0" w:line="244" w:lineRule="auto"/>
        <w:jc w:val="left"/>
        <w:rPr>
          <w:sz w:val="21"/>
        </w:rPr>
        <w:sectPr>
          <w:type w:val="continuous"/>
          <w:pgSz w:w="11910" w:h="16850"/>
          <w:pgMar w:top="520" w:bottom="280" w:left="620" w:right="720"/>
          <w:cols w:num="2" w:equalWidth="0">
            <w:col w:w="2196" w:space="40"/>
            <w:col w:w="8334"/>
          </w:cols>
        </w:sectPr>
      </w:pPr>
    </w:p>
    <w:p>
      <w:pPr>
        <w:pStyle w:val="BodyText"/>
        <w:spacing w:before="1"/>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4" w:lineRule="auto" w:before="72" w:after="0"/>
        <w:ind w:left="1139" w:right="0" w:hanging="661"/>
        <w:jc w:val="left"/>
      </w:pPr>
      <w:r>
        <w:rPr>
          <w:spacing w:val="-2"/>
        </w:rPr>
        <w:t>肾髓质囊性</w:t>
      </w:r>
      <w:r>
        <w:rPr>
          <w:spacing w:val="-10"/>
        </w:rPr>
        <w:t>病</w:t>
      </w:r>
    </w:p>
    <w:p>
      <w:pPr>
        <w:pStyle w:val="BodyText"/>
        <w:spacing w:before="72"/>
        <w:ind w:left="372"/>
        <w:rPr>
          <w:rFonts w:ascii="黑体" w:eastAsia="黑体"/>
        </w:rPr>
      </w:pPr>
      <w:r>
        <w:rPr/>
        <w:br w:type="column"/>
      </w:r>
      <w:r>
        <w:rPr>
          <w:rFonts w:ascii="黑体" w:eastAsia="黑体"/>
          <w:spacing w:val="-3"/>
        </w:rPr>
        <w:t>肾髓质囊性病的诊断须同时符合下列要求：</w:t>
      </w:r>
    </w:p>
    <w:p>
      <w:pPr>
        <w:pStyle w:val="ListParagraph"/>
        <w:numPr>
          <w:ilvl w:val="0"/>
          <w:numId w:val="55"/>
        </w:numPr>
        <w:tabs>
          <w:tab w:pos="1108" w:val="left" w:leader="none"/>
        </w:tabs>
        <w:spacing w:line="240" w:lineRule="auto" w:before="64" w:after="0"/>
        <w:ind w:left="1107" w:right="0" w:hanging="736"/>
        <w:jc w:val="left"/>
        <w:rPr>
          <w:sz w:val="21"/>
        </w:rPr>
      </w:pPr>
      <w:r>
        <w:rPr>
          <w:spacing w:val="-3"/>
          <w:sz w:val="21"/>
        </w:rPr>
        <w:t>肾髓质有囊肿、肾小管萎缩及间质纤维化等病理改变；</w:t>
      </w:r>
    </w:p>
    <w:p>
      <w:pPr>
        <w:pStyle w:val="ListParagraph"/>
        <w:numPr>
          <w:ilvl w:val="0"/>
          <w:numId w:val="55"/>
        </w:numPr>
        <w:tabs>
          <w:tab w:pos="1108" w:val="left" w:leader="none"/>
        </w:tabs>
        <w:spacing w:line="240" w:lineRule="auto" w:before="62" w:after="0"/>
        <w:ind w:left="1107" w:right="0" w:hanging="736"/>
        <w:jc w:val="left"/>
        <w:rPr>
          <w:sz w:val="21"/>
        </w:rPr>
      </w:pPr>
      <w:r>
        <w:rPr>
          <w:spacing w:val="-3"/>
          <w:sz w:val="21"/>
        </w:rPr>
        <w:t>贫血、多尿及肾功能衰竭等临床表现；</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ListParagraph"/>
        <w:numPr>
          <w:ilvl w:val="0"/>
          <w:numId w:val="55"/>
        </w:numPr>
        <w:tabs>
          <w:tab w:pos="3343" w:val="left" w:leader="none"/>
        </w:tabs>
        <w:spacing w:line="240" w:lineRule="auto" w:before="53" w:after="0"/>
        <w:ind w:left="3342" w:right="0" w:hanging="735"/>
        <w:jc w:val="left"/>
        <w:rPr>
          <w:sz w:val="21"/>
        </w:rPr>
      </w:pPr>
      <w:r>
        <w:rPr>
          <w:spacing w:val="-3"/>
          <w:sz w:val="21"/>
        </w:rPr>
        <w:t>诊断须由肾组织活检确定。</w:t>
      </w:r>
    </w:p>
    <w:p>
      <w:pPr>
        <w:pStyle w:val="BodyText"/>
        <w:spacing w:before="64"/>
        <w:ind w:left="2608"/>
        <w:rPr>
          <w:rFonts w:ascii="黑体" w:eastAsia="黑体"/>
        </w:rPr>
      </w:pPr>
      <w:r>
        <w:rPr>
          <w:rFonts w:ascii="黑体" w:eastAsia="黑体"/>
          <w:spacing w:val="-3"/>
        </w:rPr>
        <w:t>单独或良性肾囊肿则不在本合同所定义的重大疾病范围内。</w:t>
      </w:r>
    </w:p>
    <w:p>
      <w:pPr>
        <w:pStyle w:val="BodyText"/>
        <w:spacing w:before="8"/>
        <w:rPr>
          <w:rFonts w:ascii="黑体"/>
          <w:sz w:val="12"/>
        </w:rPr>
      </w:pPr>
    </w:p>
    <w:p>
      <w:pPr>
        <w:spacing w:after="0"/>
        <w:rPr>
          <w:rFonts w:ascii="黑体"/>
          <w:sz w:val="12"/>
        </w:rPr>
        <w:sectPr>
          <w:pgSz w:w="11910" w:h="16850"/>
          <w:pgMar w:top="1140" w:bottom="280" w:left="620" w:right="720"/>
        </w:sectPr>
      </w:pPr>
    </w:p>
    <w:p>
      <w:pPr>
        <w:pStyle w:val="Heading3"/>
        <w:numPr>
          <w:ilvl w:val="1"/>
          <w:numId w:val="37"/>
        </w:numPr>
        <w:tabs>
          <w:tab w:pos="1140" w:val="left" w:leader="none"/>
        </w:tabs>
        <w:spacing w:line="244" w:lineRule="auto" w:before="72" w:after="0"/>
        <w:ind w:left="1139" w:right="0" w:hanging="661"/>
        <w:jc w:val="left"/>
      </w:pPr>
      <w:r>
        <w:rPr>
          <w:spacing w:val="-2"/>
        </w:rPr>
        <w:t>肝豆状核变</w:t>
      </w:r>
      <w:r>
        <w:rPr>
          <w:spacing w:val="-10"/>
        </w:rPr>
        <w:t>性</w:t>
      </w:r>
    </w:p>
    <w:p>
      <w:pPr>
        <w:pStyle w:val="BodyText"/>
        <w:spacing w:line="242" w:lineRule="auto" w:before="72"/>
        <w:ind w:left="372" w:right="265"/>
        <w:rPr>
          <w:rFonts w:ascii="黑体" w:eastAsia="黑体"/>
        </w:rPr>
      </w:pPr>
      <w:r>
        <w:rPr/>
        <w:br w:type="column"/>
      </w:r>
      <w:r>
        <w:rPr>
          <w:spacing w:val="-8"/>
          <w:w w:val="100"/>
        </w:rPr>
        <w:t>是一种遗传性铜代谢障碍疾病。表现为体内的铜离子在肝、脑、肾、角膜等处沉积，</w:t>
      </w:r>
      <w:r>
        <w:rPr>
          <w:spacing w:val="-6"/>
          <w:w w:val="100"/>
        </w:rPr>
        <w:t>引起进行性加重的肝硬化、锥体外系症状、精神症状、肾损害及角膜色素环。肝豆</w:t>
      </w:r>
      <w:r>
        <w:rPr>
          <w:spacing w:val="-4"/>
          <w:w w:val="100"/>
        </w:rPr>
        <w:t>状核变性必须明确诊断</w:t>
      </w:r>
      <w:r>
        <w:rPr>
          <w:rFonts w:ascii="黑体" w:eastAsia="黑体"/>
          <w:spacing w:val="-3"/>
          <w:w w:val="100"/>
        </w:rPr>
        <w:t>，并须满足下列至少一项条件：</w:t>
      </w:r>
    </w:p>
    <w:p>
      <w:pPr>
        <w:pStyle w:val="ListParagraph"/>
        <w:numPr>
          <w:ilvl w:val="0"/>
          <w:numId w:val="56"/>
        </w:numPr>
        <w:tabs>
          <w:tab w:pos="1108" w:val="left" w:leader="none"/>
        </w:tabs>
        <w:spacing w:line="242" w:lineRule="auto" w:before="63" w:after="0"/>
        <w:ind w:left="1107" w:right="371" w:hanging="735"/>
        <w:jc w:val="left"/>
        <w:rPr>
          <w:sz w:val="21"/>
        </w:rPr>
      </w:pPr>
      <w:r>
        <w:rPr>
          <w:spacing w:val="-4"/>
          <w:sz w:val="21"/>
        </w:rPr>
        <w:t>帕金森综合征或其他神经系统功能损害，自主生活能力完全丧失，无法独立</w:t>
      </w:r>
      <w:r>
        <w:rPr>
          <w:spacing w:val="-2"/>
          <w:sz w:val="21"/>
        </w:rPr>
        <w:t>完成六项基本日常生活活动中的三项或三项以上；</w:t>
      </w:r>
    </w:p>
    <w:p>
      <w:pPr>
        <w:pStyle w:val="ListParagraph"/>
        <w:numPr>
          <w:ilvl w:val="0"/>
          <w:numId w:val="56"/>
        </w:numPr>
        <w:tabs>
          <w:tab w:pos="1108" w:val="left" w:leader="none"/>
        </w:tabs>
        <w:spacing w:line="240" w:lineRule="auto" w:before="61" w:after="0"/>
        <w:ind w:left="1107" w:right="0" w:hanging="736"/>
        <w:jc w:val="left"/>
        <w:rPr>
          <w:sz w:val="21"/>
        </w:rPr>
      </w:pPr>
      <w:r>
        <w:rPr>
          <w:spacing w:val="-3"/>
          <w:sz w:val="21"/>
        </w:rPr>
        <w:t>失代偿性肝硬化，临床已经出现腹水、食道静脉曲张和脾肿大等表现；</w:t>
      </w:r>
    </w:p>
    <w:p>
      <w:pPr>
        <w:pStyle w:val="ListParagraph"/>
        <w:numPr>
          <w:ilvl w:val="0"/>
          <w:numId w:val="56"/>
        </w:numPr>
        <w:tabs>
          <w:tab w:pos="1108" w:val="left" w:leader="none"/>
        </w:tabs>
        <w:spacing w:line="240" w:lineRule="auto" w:before="62" w:after="0"/>
        <w:ind w:left="1107" w:right="0" w:hanging="736"/>
        <w:jc w:val="left"/>
        <w:rPr>
          <w:sz w:val="21"/>
        </w:rPr>
      </w:pPr>
      <w:r>
        <w:rPr>
          <w:spacing w:val="-3"/>
          <w:sz w:val="21"/>
        </w:rPr>
        <w:t>慢性肾功能衰竭，已开始肾脏透析治疗；</w:t>
      </w:r>
    </w:p>
    <w:p>
      <w:pPr>
        <w:pStyle w:val="ListParagraph"/>
        <w:numPr>
          <w:ilvl w:val="0"/>
          <w:numId w:val="56"/>
        </w:numPr>
        <w:tabs>
          <w:tab w:pos="1108" w:val="left" w:leader="none"/>
        </w:tabs>
        <w:spacing w:line="240" w:lineRule="auto" w:before="65" w:after="0"/>
        <w:ind w:left="1107" w:right="0" w:hanging="736"/>
        <w:jc w:val="left"/>
        <w:rPr>
          <w:sz w:val="21"/>
        </w:rPr>
      </w:pPr>
      <w:r>
        <w:rPr>
          <w:spacing w:val="-3"/>
          <w:sz w:val="21"/>
        </w:rPr>
        <w:t>接受了肝移植或肾移植手术。</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急性出血坏</w:t>
      </w:r>
    </w:p>
    <w:p>
      <w:pPr>
        <w:spacing w:line="244" w:lineRule="auto" w:before="2"/>
        <w:ind w:left="1139" w:right="0" w:firstLine="0"/>
        <w:jc w:val="left"/>
        <w:rPr>
          <w:b/>
          <w:sz w:val="21"/>
        </w:rPr>
      </w:pPr>
      <w:r>
        <w:rPr>
          <w:b/>
          <w:spacing w:val="-2"/>
          <w:sz w:val="21"/>
        </w:rPr>
        <w:t>死性胰腺炎</w:t>
      </w:r>
      <w:r>
        <w:rPr>
          <w:b/>
          <w:spacing w:val="-4"/>
          <w:sz w:val="21"/>
        </w:rPr>
        <w:t>开腹手术</w:t>
      </w:r>
    </w:p>
    <w:p>
      <w:pPr>
        <w:pStyle w:val="BodyText"/>
        <w:spacing w:line="242" w:lineRule="auto" w:before="72"/>
        <w:ind w:left="372" w:right="373"/>
      </w:pPr>
      <w:r>
        <w:rPr/>
        <w:br w:type="column"/>
      </w:r>
      <w:r>
        <w:rPr>
          <w:spacing w:val="-2"/>
        </w:rPr>
        <w:t>指被保险人因为急性出血坏死性胰腺炎已经接受了外科开腹手术治疗，以进行坏死</w:t>
      </w:r>
      <w:r>
        <w:rPr>
          <w:spacing w:val="-2"/>
        </w:rPr>
        <w:t>组织清除、坏死病灶切除或胰腺切除。</w:t>
      </w:r>
    </w:p>
    <w:p>
      <w:pPr>
        <w:pStyle w:val="BodyText"/>
        <w:spacing w:line="242" w:lineRule="auto" w:before="61"/>
        <w:ind w:left="372" w:right="373"/>
        <w:rPr>
          <w:rFonts w:ascii="黑体" w:eastAsia="黑体"/>
        </w:rPr>
      </w:pPr>
      <w:r>
        <w:rPr>
          <w:rFonts w:ascii="黑体" w:eastAsia="黑体"/>
          <w:spacing w:val="-2"/>
        </w:rPr>
        <w:t>因饮酒所致的急性出血坏死性胰腺炎或经腹腔镜手术进行的治疗不在本合同所定义</w:t>
      </w:r>
      <w:r>
        <w:rPr>
          <w:rFonts w:ascii="黑体" w:eastAsia="黑体"/>
          <w:spacing w:val="-2"/>
        </w:rPr>
        <w:t>的重大疾病范围内。</w:t>
      </w:r>
    </w:p>
    <w:p>
      <w:pPr>
        <w:spacing w:after="0" w:line="242" w:lineRule="auto"/>
        <w:rPr>
          <w:rFonts w:ascii="黑体" w:eastAsia="黑体"/>
        </w:rPr>
        <w:sectPr>
          <w:type w:val="continuous"/>
          <w:pgSz w:w="11910" w:h="16850"/>
          <w:pgMar w:top="520" w:bottom="280" w:left="620" w:right="720"/>
          <w:cols w:num="2" w:equalWidth="0">
            <w:col w:w="2196" w:space="40"/>
            <w:col w:w="8334"/>
          </w:cols>
        </w:sectPr>
      </w:pPr>
    </w:p>
    <w:p>
      <w:pPr>
        <w:pStyle w:val="BodyText"/>
        <w:spacing w:before="7"/>
        <w:rPr>
          <w:rFonts w:ascii="黑体"/>
          <w:sz w:val="12"/>
        </w:rPr>
      </w:pPr>
    </w:p>
    <w:p>
      <w:pPr>
        <w:pStyle w:val="ListParagraph"/>
        <w:numPr>
          <w:ilvl w:val="1"/>
          <w:numId w:val="37"/>
        </w:numPr>
        <w:tabs>
          <w:tab w:pos="1140" w:val="left" w:leader="none"/>
          <w:tab w:pos="2608" w:val="left" w:leader="none"/>
        </w:tabs>
        <w:spacing w:line="242" w:lineRule="auto" w:before="71" w:after="0"/>
        <w:ind w:left="2608" w:right="373" w:hanging="2130"/>
        <w:jc w:val="left"/>
        <w:rPr>
          <w:sz w:val="21"/>
        </w:rPr>
      </w:pPr>
      <w:r>
        <w:rPr>
          <w:b/>
          <w:spacing w:val="-4"/>
          <w:sz w:val="21"/>
        </w:rPr>
        <w:t>小</w:t>
      </w:r>
      <w:r>
        <w:rPr>
          <w:b/>
          <w:spacing w:val="-4"/>
          <w:sz w:val="21"/>
        </w:rPr>
        <w:t>肠</w:t>
      </w:r>
      <w:r>
        <w:rPr>
          <w:b/>
          <w:spacing w:val="-4"/>
          <w:sz w:val="21"/>
        </w:rPr>
        <w:t>移</w:t>
      </w:r>
      <w:r>
        <w:rPr>
          <w:b/>
          <w:spacing w:val="-4"/>
          <w:sz w:val="21"/>
        </w:rPr>
        <w:t>植</w:t>
      </w:r>
      <w:r>
        <w:rPr>
          <w:b/>
          <w:sz w:val="21"/>
        </w:rPr>
        <w:tab/>
      </w:r>
      <w:r>
        <w:rPr>
          <w:spacing w:val="-2"/>
          <w:sz w:val="21"/>
        </w:rPr>
        <w:t>指</w:t>
      </w:r>
      <w:r>
        <w:rPr>
          <w:spacing w:val="-2"/>
          <w:sz w:val="21"/>
        </w:rPr>
        <w:t>因</w:t>
      </w:r>
      <w:r>
        <w:rPr>
          <w:spacing w:val="-2"/>
          <w:sz w:val="21"/>
        </w:rPr>
        <w:t>疾</w:t>
      </w:r>
      <w:r>
        <w:rPr>
          <w:spacing w:val="-2"/>
          <w:sz w:val="21"/>
        </w:rPr>
        <w:t>病</w:t>
      </w:r>
      <w:r>
        <w:rPr>
          <w:spacing w:val="-2"/>
          <w:sz w:val="21"/>
        </w:rPr>
        <w:t>或</w:t>
      </w:r>
      <w:r>
        <w:rPr>
          <w:spacing w:val="-2"/>
          <w:sz w:val="21"/>
        </w:rPr>
        <w:t>外</w:t>
      </w:r>
      <w:r>
        <w:rPr>
          <w:spacing w:val="-2"/>
          <w:sz w:val="21"/>
        </w:rPr>
        <w:t>伤</w:t>
      </w:r>
      <w:r>
        <w:rPr>
          <w:spacing w:val="-2"/>
          <w:sz w:val="21"/>
        </w:rPr>
        <w:t>导</w:t>
      </w:r>
      <w:r>
        <w:rPr>
          <w:spacing w:val="-2"/>
          <w:sz w:val="21"/>
        </w:rPr>
        <w:t>致严重</w:t>
      </w:r>
      <w:r>
        <w:rPr>
          <w:spacing w:val="-2"/>
          <w:sz w:val="21"/>
        </w:rPr>
        <w:t>小</w:t>
      </w:r>
      <w:r>
        <w:rPr>
          <w:spacing w:val="-2"/>
          <w:sz w:val="21"/>
        </w:rPr>
        <w:t>肠</w:t>
      </w:r>
      <w:r>
        <w:rPr>
          <w:spacing w:val="-2"/>
          <w:sz w:val="21"/>
        </w:rPr>
        <w:t>损</w:t>
      </w:r>
      <w:r>
        <w:rPr>
          <w:spacing w:val="-2"/>
          <w:sz w:val="21"/>
        </w:rPr>
        <w:t>害</w:t>
      </w:r>
      <w:r>
        <w:rPr>
          <w:spacing w:val="-2"/>
          <w:sz w:val="21"/>
        </w:rPr>
        <w:t>已</w:t>
      </w:r>
      <w:r>
        <w:rPr>
          <w:spacing w:val="-2"/>
          <w:sz w:val="21"/>
        </w:rPr>
        <w:t>切</w:t>
      </w:r>
      <w:r>
        <w:rPr>
          <w:spacing w:val="-2"/>
          <w:sz w:val="21"/>
        </w:rPr>
        <w:t>除</w:t>
      </w:r>
      <w:r>
        <w:rPr>
          <w:spacing w:val="-2"/>
          <w:sz w:val="21"/>
        </w:rPr>
        <w:t>三</w:t>
      </w:r>
      <w:r>
        <w:rPr>
          <w:spacing w:val="-2"/>
          <w:sz w:val="21"/>
        </w:rPr>
        <w:t>分之二</w:t>
      </w:r>
      <w:r>
        <w:rPr>
          <w:spacing w:val="-2"/>
          <w:sz w:val="21"/>
        </w:rPr>
        <w:t>以</w:t>
      </w:r>
      <w:r>
        <w:rPr>
          <w:spacing w:val="-2"/>
          <w:sz w:val="21"/>
        </w:rPr>
        <w:t>上</w:t>
      </w:r>
      <w:r>
        <w:rPr>
          <w:spacing w:val="-2"/>
          <w:sz w:val="21"/>
        </w:rPr>
        <w:t>肠</w:t>
      </w:r>
      <w:r>
        <w:rPr>
          <w:spacing w:val="-2"/>
          <w:sz w:val="21"/>
        </w:rPr>
        <w:t>段</w:t>
      </w:r>
      <w:r>
        <w:rPr>
          <w:spacing w:val="-2"/>
          <w:sz w:val="21"/>
        </w:rPr>
        <w:t>，</w:t>
      </w:r>
      <w:r>
        <w:rPr>
          <w:spacing w:val="-2"/>
          <w:sz w:val="21"/>
        </w:rPr>
        <w:t>为</w:t>
      </w:r>
      <w:r>
        <w:rPr>
          <w:spacing w:val="-2"/>
          <w:sz w:val="21"/>
        </w:rPr>
        <w:t>了</w:t>
      </w:r>
      <w:r>
        <w:rPr>
          <w:spacing w:val="-2"/>
          <w:sz w:val="21"/>
        </w:rPr>
        <w:t>维</w:t>
      </w:r>
      <w:r>
        <w:rPr>
          <w:spacing w:val="-2"/>
          <w:sz w:val="21"/>
        </w:rPr>
        <w:t>持生理</w:t>
      </w:r>
      <w:r>
        <w:rPr>
          <w:spacing w:val="-2"/>
          <w:sz w:val="21"/>
        </w:rPr>
        <w:t>功</w:t>
      </w:r>
      <w:r>
        <w:rPr>
          <w:spacing w:val="-2"/>
          <w:sz w:val="21"/>
        </w:rPr>
        <w:t>能</w:t>
      </w:r>
      <w:r>
        <w:rPr>
          <w:spacing w:val="-2"/>
          <w:sz w:val="21"/>
        </w:rPr>
        <w:t>的</w:t>
      </w:r>
      <w:r>
        <w:rPr>
          <w:spacing w:val="-2"/>
          <w:sz w:val="21"/>
        </w:rPr>
        <w:t>需</w:t>
      </w:r>
      <w:r>
        <w:rPr>
          <w:spacing w:val="-2"/>
          <w:sz w:val="21"/>
        </w:rPr>
        <w:t>要</w:t>
      </w:r>
      <w:r>
        <w:rPr>
          <w:spacing w:val="-2"/>
          <w:sz w:val="21"/>
        </w:rPr>
        <w:t>已经实际接受了小肠</w:t>
      </w:r>
      <w:r>
        <w:rPr>
          <w:spacing w:val="-2"/>
          <w:sz w:val="21"/>
        </w:rPr>
        <w:t>的</w:t>
      </w:r>
      <w:r>
        <w:rPr>
          <w:spacing w:val="-2"/>
          <w:sz w:val="21"/>
        </w:rPr>
        <w:t>同</w:t>
      </w:r>
      <w:r>
        <w:rPr>
          <w:spacing w:val="-2"/>
          <w:sz w:val="21"/>
        </w:rPr>
        <w:t>种（人类）异体器官</w:t>
      </w:r>
      <w:r>
        <w:rPr>
          <w:spacing w:val="-2"/>
          <w:sz w:val="21"/>
        </w:rPr>
        <w:t>移</w:t>
      </w:r>
      <w:r>
        <w:rPr>
          <w:spacing w:val="-2"/>
          <w:sz w:val="21"/>
        </w:rPr>
        <w:t>植</w:t>
      </w:r>
      <w:r>
        <w:rPr>
          <w:spacing w:val="-2"/>
          <w:sz w:val="21"/>
        </w:rPr>
        <w:t>手</w:t>
      </w:r>
      <w:r>
        <w:rPr>
          <w:spacing w:val="-2"/>
          <w:sz w:val="21"/>
        </w:rPr>
        <w:t>术</w:t>
      </w:r>
      <w:r>
        <w:rPr>
          <w:spacing w:val="-2"/>
          <w:sz w:val="21"/>
        </w:rPr>
        <w:t>。</w:t>
      </w:r>
    </w:p>
    <w:p>
      <w:pPr>
        <w:pStyle w:val="BodyText"/>
        <w:spacing w:before="4"/>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4" w:lineRule="auto" w:before="72" w:after="0"/>
        <w:ind w:left="1139" w:right="0" w:hanging="661"/>
        <w:jc w:val="left"/>
      </w:pPr>
      <w:r>
        <w:rPr>
          <w:spacing w:val="-2"/>
        </w:rPr>
        <w:t>重症手足口</w:t>
      </w:r>
      <w:r>
        <w:rPr>
          <w:spacing w:val="-10"/>
        </w:rPr>
        <w:t>病</w:t>
      </w:r>
    </w:p>
    <w:p>
      <w:pPr>
        <w:pStyle w:val="BodyText"/>
        <w:spacing w:line="242" w:lineRule="auto" w:before="72"/>
        <w:ind w:left="372" w:right="373"/>
        <w:jc w:val="both"/>
      </w:pPr>
      <w:r>
        <w:rPr/>
        <w:br w:type="column"/>
      </w:r>
      <w:r>
        <w:rPr>
          <w:spacing w:val="-2"/>
        </w:rPr>
        <w:t>由肠道病毒引起的急性传染病，主要症状表现为手、足、口腔等部位的斑丘疹、疱</w:t>
      </w:r>
      <w:r>
        <w:rPr>
          <w:spacing w:val="-2"/>
        </w:rPr>
        <w:t>疹。经本公司认可的医院的专科医生确诊为患有手足口病，</w:t>
      </w:r>
      <w:r>
        <w:rPr>
          <w:rFonts w:ascii="黑体" w:eastAsia="黑体"/>
          <w:spacing w:val="-2"/>
        </w:rPr>
        <w:t>并伴有下列三项中的任</w:t>
      </w:r>
      <w:r>
        <w:rPr>
          <w:rFonts w:ascii="黑体" w:eastAsia="黑体"/>
          <w:spacing w:val="-2"/>
        </w:rPr>
        <w:t>意一项并发症</w:t>
      </w:r>
      <w:r>
        <w:rPr>
          <w:spacing w:val="-2"/>
        </w:rPr>
        <w:t>：</w:t>
      </w:r>
    </w:p>
    <w:p>
      <w:pPr>
        <w:pStyle w:val="ListParagraph"/>
        <w:numPr>
          <w:ilvl w:val="0"/>
          <w:numId w:val="57"/>
        </w:numPr>
        <w:tabs>
          <w:tab w:pos="1108" w:val="left" w:leader="none"/>
        </w:tabs>
        <w:spacing w:line="242" w:lineRule="auto" w:before="63" w:after="0"/>
        <w:ind w:left="1107" w:right="370" w:hanging="735"/>
        <w:jc w:val="both"/>
        <w:rPr>
          <w:sz w:val="21"/>
        </w:rPr>
      </w:pPr>
      <w:r>
        <w:rPr>
          <w:spacing w:val="-10"/>
          <w:sz w:val="21"/>
        </w:rPr>
        <w:t>有脑膜炎或脑炎并发症，且导致意识障碍或瘫痪的临床表现及实验室检查证</w:t>
      </w:r>
      <w:r>
        <w:rPr>
          <w:spacing w:val="-6"/>
          <w:sz w:val="21"/>
        </w:rPr>
        <w:t>据；</w:t>
      </w:r>
    </w:p>
    <w:p>
      <w:pPr>
        <w:pStyle w:val="ListParagraph"/>
        <w:numPr>
          <w:ilvl w:val="0"/>
          <w:numId w:val="57"/>
        </w:numPr>
        <w:tabs>
          <w:tab w:pos="1108" w:val="left" w:leader="none"/>
        </w:tabs>
        <w:spacing w:line="240" w:lineRule="auto" w:before="61" w:after="0"/>
        <w:ind w:left="1107" w:right="0" w:hanging="736"/>
        <w:jc w:val="both"/>
        <w:rPr>
          <w:sz w:val="21"/>
        </w:rPr>
      </w:pPr>
      <w:r>
        <w:rPr>
          <w:spacing w:val="-3"/>
          <w:sz w:val="21"/>
        </w:rPr>
        <w:t>有肺炎或肺水肿并发症，且导致呼吸衰竭的临床表现及实验室检查证据；</w:t>
      </w:r>
    </w:p>
    <w:p>
      <w:pPr>
        <w:pStyle w:val="ListParagraph"/>
        <w:numPr>
          <w:ilvl w:val="0"/>
          <w:numId w:val="57"/>
        </w:numPr>
        <w:tabs>
          <w:tab w:pos="1108" w:val="left" w:leader="none"/>
        </w:tabs>
        <w:spacing w:line="244" w:lineRule="auto" w:before="62" w:after="0"/>
        <w:ind w:left="1107" w:right="382" w:hanging="735"/>
        <w:jc w:val="both"/>
        <w:rPr>
          <w:sz w:val="21"/>
        </w:rPr>
      </w:pPr>
      <w:r>
        <w:rPr>
          <w:spacing w:val="-2"/>
          <w:sz w:val="21"/>
        </w:rPr>
        <w:t>有心肌炎并发症，且导致心脏扩大或心力衰竭的临床表现及实验室检查证</w:t>
      </w:r>
      <w:r>
        <w:rPr>
          <w:spacing w:val="-6"/>
          <w:sz w:val="21"/>
        </w:rPr>
        <w:t>据。</w:t>
      </w:r>
    </w:p>
    <w:p>
      <w:pPr>
        <w:spacing w:after="0" w:line="244" w:lineRule="auto"/>
        <w:jc w:val="both"/>
        <w:rPr>
          <w:sz w:val="21"/>
        </w:rPr>
        <w:sectPr>
          <w:type w:val="continuous"/>
          <w:pgSz w:w="11910" w:h="16850"/>
          <w:pgMar w:top="520" w:bottom="280" w:left="620" w:right="720"/>
          <w:cols w:num="2" w:equalWidth="0">
            <w:col w:w="2196" w:space="40"/>
            <w:col w:w="8334"/>
          </w:cols>
        </w:sectPr>
      </w:pPr>
    </w:p>
    <w:p>
      <w:pPr>
        <w:pStyle w:val="BodyText"/>
        <w:spacing w:before="2"/>
        <w:rPr>
          <w:sz w:val="12"/>
        </w:rPr>
      </w:pPr>
    </w:p>
    <w:p>
      <w:pPr>
        <w:pStyle w:val="ListParagraph"/>
        <w:numPr>
          <w:ilvl w:val="1"/>
          <w:numId w:val="37"/>
        </w:numPr>
        <w:tabs>
          <w:tab w:pos="1140" w:val="left" w:leader="none"/>
        </w:tabs>
        <w:spacing w:line="242" w:lineRule="auto" w:before="71" w:after="0"/>
        <w:ind w:left="2608" w:right="373" w:hanging="2130"/>
        <w:jc w:val="both"/>
        <w:rPr>
          <w:sz w:val="21"/>
        </w:rPr>
      </w:pPr>
      <w:r>
        <w:rPr>
          <w:b/>
          <w:spacing w:val="49"/>
          <w:sz w:val="21"/>
        </w:rPr>
        <w:t>终末期疾病 </w:t>
      </w:r>
      <w:r>
        <w:rPr>
          <w:sz w:val="21"/>
        </w:rPr>
        <w:t>被保险人被确诊为疾病的终末期状态。疾病已经无法以现有的医疗技术医治缓解，</w:t>
      </w:r>
      <w:r>
        <w:rPr>
          <w:spacing w:val="-2"/>
          <w:sz w:val="21"/>
        </w:rPr>
        <w:t>并且根据临床医学经验判断被保险人将于未来六个月内死亡。在家属及患者的要求</w:t>
      </w:r>
      <w:r>
        <w:rPr>
          <w:spacing w:val="-2"/>
          <w:sz w:val="21"/>
        </w:rPr>
        <w:t>和医师的同意下积极治疗已被放弃，所有治疗措施仅以减轻患者痛苦为目的。此疾</w:t>
      </w:r>
      <w:r>
        <w:rPr>
          <w:spacing w:val="-2"/>
          <w:sz w:val="21"/>
        </w:rPr>
        <w:t>病状态必须在被保险人生前已经确诊并且具有医疗证明文件和临床检查依据。</w:t>
      </w:r>
    </w:p>
    <w:p>
      <w:pPr>
        <w:pStyle w:val="BodyText"/>
        <w:spacing w:before="8"/>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溶血性链球</w:t>
      </w:r>
    </w:p>
    <w:p>
      <w:pPr>
        <w:spacing w:line="244" w:lineRule="auto" w:before="2"/>
        <w:ind w:left="1139" w:right="0" w:firstLine="0"/>
        <w:jc w:val="left"/>
        <w:rPr>
          <w:b/>
          <w:sz w:val="21"/>
        </w:rPr>
      </w:pPr>
      <w:r>
        <w:rPr>
          <w:b/>
          <w:spacing w:val="-2"/>
          <w:sz w:val="21"/>
        </w:rPr>
        <w:t>菌引起的坏</w:t>
      </w:r>
      <w:r>
        <w:rPr>
          <w:b/>
          <w:spacing w:val="-10"/>
          <w:sz w:val="21"/>
        </w:rPr>
        <w:t>疽</w:t>
      </w:r>
    </w:p>
    <w:p>
      <w:pPr>
        <w:pStyle w:val="BodyText"/>
        <w:spacing w:line="242" w:lineRule="auto" w:before="72"/>
        <w:ind w:left="372" w:right="373"/>
        <w:jc w:val="both"/>
      </w:pPr>
      <w:r>
        <w:rPr/>
        <w:br w:type="column"/>
      </w:r>
      <w:r>
        <w:rPr>
          <w:spacing w:val="-2"/>
        </w:rPr>
        <w:t>指包围肢体或躯干的浅筋膜或深筋膜受到溶血性链球菌的感染，病情在短时间内急</w:t>
      </w:r>
      <w:r>
        <w:rPr>
          <w:spacing w:val="-2"/>
        </w:rPr>
        <w:t>剧恶化，且已经立刻进行了手术治疗。最后的诊断必须由微生物或病理学专家进行</w:t>
      </w:r>
      <w:r>
        <w:rPr>
          <w:spacing w:val="-2"/>
        </w:rPr>
        <w:t>相关检查后证实。</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1"/>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1" w:after="0"/>
        <w:ind w:left="1139" w:right="0" w:hanging="661"/>
        <w:jc w:val="both"/>
      </w:pPr>
      <w:r>
        <w:rPr>
          <w:spacing w:val="-2"/>
        </w:rPr>
        <w:t>因器官移植</w:t>
      </w:r>
    </w:p>
    <w:p>
      <w:pPr>
        <w:spacing w:line="242" w:lineRule="auto" w:before="5"/>
        <w:ind w:left="1139" w:right="0" w:firstLine="0"/>
        <w:jc w:val="both"/>
        <w:rPr>
          <w:b/>
          <w:sz w:val="21"/>
        </w:rPr>
      </w:pPr>
      <w:r>
        <w:rPr>
          <w:b/>
          <w:spacing w:val="-2"/>
          <w:sz w:val="21"/>
        </w:rPr>
        <w:t>原因导致的</w:t>
      </w:r>
      <w:r>
        <w:rPr>
          <w:b/>
          <w:spacing w:val="-2"/>
          <w:sz w:val="21"/>
        </w:rPr>
        <w:t>感染艾滋病</w:t>
      </w:r>
      <w:r>
        <w:rPr>
          <w:b/>
          <w:spacing w:val="-2"/>
          <w:sz w:val="21"/>
        </w:rPr>
        <w:t>病毒或患艾</w:t>
      </w:r>
      <w:r>
        <w:rPr>
          <w:b/>
          <w:spacing w:val="-6"/>
          <w:sz w:val="21"/>
        </w:rPr>
        <w:t>滋病</w:t>
      </w:r>
    </w:p>
    <w:p>
      <w:pPr>
        <w:pStyle w:val="BodyText"/>
        <w:spacing w:before="71"/>
        <w:ind w:left="367"/>
        <w:rPr>
          <w:rFonts w:ascii="黑体" w:eastAsia="黑体"/>
        </w:rPr>
      </w:pPr>
      <w:r>
        <w:rPr/>
        <w:br w:type="column"/>
      </w:r>
      <w:r>
        <w:rPr>
          <w:spacing w:val="-2"/>
        </w:rPr>
        <w:t>指被保险人感染艾滋病病毒或患艾滋病，</w:t>
      </w:r>
      <w:r>
        <w:rPr>
          <w:rFonts w:ascii="黑体" w:eastAsia="黑体"/>
          <w:spacing w:val="-3"/>
        </w:rPr>
        <w:t>并须满足下列全部条件：</w:t>
      </w:r>
    </w:p>
    <w:p>
      <w:pPr>
        <w:pStyle w:val="ListParagraph"/>
        <w:numPr>
          <w:ilvl w:val="0"/>
          <w:numId w:val="58"/>
        </w:numPr>
        <w:tabs>
          <w:tab w:pos="1108" w:val="left" w:leader="none"/>
        </w:tabs>
        <w:spacing w:line="242" w:lineRule="auto" w:before="65" w:after="0"/>
        <w:ind w:left="1107" w:right="370" w:hanging="735"/>
        <w:jc w:val="left"/>
        <w:rPr>
          <w:sz w:val="21"/>
        </w:rPr>
      </w:pPr>
      <w:r>
        <w:rPr>
          <w:spacing w:val="-7"/>
          <w:sz w:val="21"/>
        </w:rPr>
        <w:t>在保险责任起始日或复效日之后接受器官移植，并因此感染艾滋病病毒或患</w:t>
      </w:r>
      <w:r>
        <w:rPr>
          <w:spacing w:val="-4"/>
          <w:sz w:val="21"/>
        </w:rPr>
        <w:t>艾滋病；</w:t>
      </w:r>
    </w:p>
    <w:p>
      <w:pPr>
        <w:pStyle w:val="ListParagraph"/>
        <w:numPr>
          <w:ilvl w:val="0"/>
          <w:numId w:val="58"/>
        </w:numPr>
        <w:tabs>
          <w:tab w:pos="1108" w:val="left" w:leader="none"/>
        </w:tabs>
        <w:spacing w:line="240" w:lineRule="auto" w:before="62" w:after="0"/>
        <w:ind w:left="1107" w:right="0" w:hanging="736"/>
        <w:jc w:val="left"/>
        <w:rPr>
          <w:sz w:val="21"/>
        </w:rPr>
      </w:pPr>
      <w:r>
        <w:rPr>
          <w:spacing w:val="-3"/>
          <w:sz w:val="21"/>
        </w:rPr>
        <w:t>实施器官移植的医院为三级医院；</w:t>
      </w:r>
    </w:p>
    <w:p>
      <w:pPr>
        <w:pStyle w:val="ListParagraph"/>
        <w:numPr>
          <w:ilvl w:val="0"/>
          <w:numId w:val="58"/>
        </w:numPr>
        <w:tabs>
          <w:tab w:pos="1108" w:val="left" w:leader="none"/>
        </w:tabs>
        <w:spacing w:line="240" w:lineRule="auto" w:before="62" w:after="0"/>
        <w:ind w:left="1107" w:right="0" w:hanging="736"/>
        <w:jc w:val="left"/>
        <w:rPr>
          <w:sz w:val="21"/>
        </w:rPr>
      </w:pPr>
      <w:r>
        <w:rPr>
          <w:spacing w:val="-4"/>
          <w:sz w:val="21"/>
        </w:rPr>
        <w:t>实施移植医院出具具有法律效力的证明确认移植器官来自 </w:t>
      </w:r>
      <w:r>
        <w:rPr>
          <w:spacing w:val="-2"/>
          <w:sz w:val="21"/>
        </w:rPr>
        <w:t>HIV</w:t>
      </w:r>
      <w:r>
        <w:rPr>
          <w:spacing w:val="-13"/>
          <w:sz w:val="21"/>
        </w:rPr>
        <w:t> 感染者。</w:t>
      </w:r>
    </w:p>
    <w:p>
      <w:pPr>
        <w:pStyle w:val="BodyText"/>
        <w:spacing w:line="244" w:lineRule="auto" w:before="62"/>
        <w:ind w:left="367" w:right="371"/>
        <w:rPr>
          <w:rFonts w:ascii="黑体" w:eastAsia="黑体"/>
        </w:rPr>
      </w:pPr>
      <w:r>
        <w:rPr>
          <w:rFonts w:ascii="黑体" w:eastAsia="黑体"/>
          <w:spacing w:val="-2"/>
        </w:rPr>
        <w:t>本公司具有获得和使用被保险人的所有血液样本的权利以及能够对这些样本进行独</w:t>
      </w:r>
      <w:r>
        <w:rPr>
          <w:rFonts w:ascii="黑体" w:eastAsia="黑体"/>
          <w:spacing w:val="-2"/>
        </w:rPr>
        <w:t>立检验的权利。</w:t>
      </w:r>
    </w:p>
    <w:p>
      <w:pPr>
        <w:pStyle w:val="BodyText"/>
        <w:spacing w:line="244" w:lineRule="auto" w:before="56"/>
        <w:ind w:left="372" w:right="373"/>
        <w:rPr>
          <w:rFonts w:ascii="黑体" w:eastAsia="黑体"/>
        </w:rPr>
      </w:pPr>
      <w:r>
        <w:rPr>
          <w:rFonts w:ascii="黑体" w:eastAsia="黑体"/>
          <w:spacing w:val="-2"/>
        </w:rPr>
        <w:t>任何因其他传播方式（包括：性传播或静脉注射毒品）导致感染艾滋病病毒或患艾</w:t>
      </w:r>
      <w:r>
        <w:rPr>
          <w:rFonts w:ascii="黑体" w:eastAsia="黑体"/>
          <w:spacing w:val="-2"/>
        </w:rPr>
        <w:t>滋病不在本合同所定义的重大疾病范围内。</w:t>
      </w:r>
    </w:p>
    <w:p>
      <w:pPr>
        <w:spacing w:after="0" w:line="244" w:lineRule="auto"/>
        <w:rPr>
          <w:rFonts w:ascii="黑体" w:eastAsia="黑体"/>
        </w:rPr>
        <w:sectPr>
          <w:type w:val="continuous"/>
          <w:pgSz w:w="11910" w:h="16850"/>
          <w:pgMar w:top="520" w:bottom="280" w:left="620" w:right="720"/>
          <w:cols w:num="2" w:equalWidth="0">
            <w:col w:w="2196" w:space="40"/>
            <w:col w:w="8334"/>
          </w:cols>
        </w:sectPr>
      </w:pPr>
    </w:p>
    <w:p>
      <w:pPr>
        <w:pStyle w:val="BodyText"/>
        <w:spacing w:before="1"/>
        <w:rPr>
          <w:rFonts w:ascii="黑体"/>
          <w:sz w:val="12"/>
        </w:rPr>
      </w:pPr>
    </w:p>
    <w:p>
      <w:pPr>
        <w:spacing w:after="0"/>
        <w:rPr>
          <w:rFonts w:ascii="黑体"/>
          <w:sz w:val="12"/>
        </w:rPr>
        <w:sectPr>
          <w:type w:val="continuous"/>
          <w:pgSz w:w="11910" w:h="16850"/>
          <w:pgMar w:top="520" w:bottom="280" w:left="620" w:right="720"/>
        </w:sectPr>
      </w:pPr>
    </w:p>
    <w:p>
      <w:pPr>
        <w:pStyle w:val="Heading3"/>
        <w:numPr>
          <w:ilvl w:val="1"/>
          <w:numId w:val="37"/>
        </w:numPr>
        <w:tabs>
          <w:tab w:pos="1140" w:val="left" w:leader="none"/>
        </w:tabs>
        <w:spacing w:line="244" w:lineRule="auto" w:before="71" w:after="0"/>
        <w:ind w:left="1139" w:right="0" w:hanging="661"/>
        <w:jc w:val="left"/>
      </w:pPr>
      <w:r>
        <w:rPr>
          <w:spacing w:val="-2"/>
        </w:rPr>
        <w:t>埃博拉病毒</w:t>
      </w:r>
      <w:r>
        <w:rPr>
          <w:spacing w:val="-6"/>
        </w:rPr>
        <w:t>感染</w:t>
      </w:r>
    </w:p>
    <w:p>
      <w:pPr>
        <w:pStyle w:val="BodyText"/>
        <w:spacing w:line="244" w:lineRule="auto" w:before="71"/>
        <w:ind w:left="372" w:right="373"/>
        <w:rPr>
          <w:rFonts w:ascii="黑体" w:eastAsia="黑体"/>
        </w:rPr>
      </w:pPr>
      <w:r>
        <w:rPr/>
        <w:br w:type="column"/>
      </w:r>
      <w:r>
        <w:rPr>
          <w:spacing w:val="-2"/>
        </w:rPr>
        <w:t>指埃博拉病毒感染导致的出血性发热。必须经本公司认可的医院的传染病专科医生</w:t>
      </w:r>
      <w:r>
        <w:rPr>
          <w:spacing w:val="-2"/>
        </w:rPr>
        <w:t>确诊，</w:t>
      </w:r>
      <w:r>
        <w:rPr>
          <w:rFonts w:ascii="黑体" w:eastAsia="黑体"/>
          <w:spacing w:val="-2"/>
        </w:rPr>
        <w:t>并须满足下列全部条件：</w:t>
      </w:r>
    </w:p>
    <w:p>
      <w:pPr>
        <w:pStyle w:val="ListParagraph"/>
        <w:numPr>
          <w:ilvl w:val="0"/>
          <w:numId w:val="59"/>
        </w:numPr>
        <w:tabs>
          <w:tab w:pos="1108" w:val="left" w:leader="none"/>
        </w:tabs>
        <w:spacing w:line="240" w:lineRule="auto" w:before="20" w:after="0"/>
        <w:ind w:left="1107" w:right="0" w:hanging="736"/>
        <w:jc w:val="left"/>
        <w:rPr>
          <w:sz w:val="21"/>
        </w:rPr>
      </w:pPr>
      <w:r>
        <w:rPr>
          <w:spacing w:val="-3"/>
          <w:sz w:val="21"/>
        </w:rPr>
        <w:t>埃博拉病毒的存在必须经过实验室检查证实；</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ListParagraph"/>
        <w:numPr>
          <w:ilvl w:val="1"/>
          <w:numId w:val="59"/>
        </w:numPr>
        <w:tabs>
          <w:tab w:pos="3343" w:val="left" w:leader="none"/>
        </w:tabs>
        <w:spacing w:line="240" w:lineRule="auto" w:before="57" w:after="0"/>
        <w:ind w:left="3342" w:right="0" w:hanging="735"/>
        <w:jc w:val="left"/>
        <w:rPr>
          <w:sz w:val="21"/>
        </w:rPr>
      </w:pPr>
      <w:r>
        <w:rPr>
          <w:spacing w:val="-3"/>
          <w:sz w:val="21"/>
        </w:rPr>
        <w:t>存在皮肤粘膜出血，呕血，咯血，便血或血尿等临床表现；</w:t>
      </w:r>
    </w:p>
    <w:p>
      <w:pPr>
        <w:pStyle w:val="ListParagraph"/>
        <w:numPr>
          <w:ilvl w:val="1"/>
          <w:numId w:val="59"/>
        </w:numPr>
        <w:tabs>
          <w:tab w:pos="3343" w:val="left" w:leader="none"/>
        </w:tabs>
        <w:spacing w:line="240" w:lineRule="auto" w:before="28" w:after="0"/>
        <w:ind w:left="3342" w:right="0" w:hanging="735"/>
        <w:jc w:val="left"/>
        <w:rPr>
          <w:sz w:val="21"/>
        </w:rPr>
      </w:pPr>
      <w:r>
        <w:rPr>
          <w:spacing w:val="-5"/>
          <w:sz w:val="21"/>
        </w:rPr>
        <w:t>感染埃博拉病毒并出现出血性发热持续 </w:t>
      </w:r>
      <w:r>
        <w:rPr>
          <w:spacing w:val="-2"/>
          <w:sz w:val="21"/>
        </w:rPr>
        <w:t>30</w:t>
      </w:r>
      <w:r>
        <w:rPr>
          <w:spacing w:val="-14"/>
          <w:sz w:val="21"/>
        </w:rPr>
        <w:t> 天以上。</w:t>
      </w:r>
    </w:p>
    <w:p>
      <w:pPr>
        <w:pStyle w:val="BodyText"/>
        <w:spacing w:before="29"/>
        <w:ind w:left="2608"/>
        <w:rPr>
          <w:rFonts w:ascii="黑体" w:eastAsia="黑体"/>
        </w:rPr>
      </w:pPr>
      <w:r>
        <w:rPr>
          <w:rFonts w:ascii="黑体" w:eastAsia="黑体"/>
          <w:spacing w:val="-3"/>
        </w:rPr>
        <w:t>单纯实验室诊断但没有临床出血表现的不在本合同所定义的重大疾病范围内。</w:t>
      </w:r>
    </w:p>
    <w:p>
      <w:pPr>
        <w:pStyle w:val="BodyText"/>
        <w:spacing w:before="10"/>
        <w:rPr>
          <w:rFonts w:ascii="黑体"/>
          <w:sz w:val="12"/>
        </w:rPr>
      </w:pPr>
    </w:p>
    <w:p>
      <w:pPr>
        <w:spacing w:after="0"/>
        <w:rPr>
          <w:rFonts w:ascii="黑体"/>
          <w:sz w:val="12"/>
        </w:rPr>
        <w:sectPr>
          <w:pgSz w:w="11910" w:h="16850"/>
          <w:pgMar w:top="1100" w:bottom="280" w:left="620" w:right="720"/>
        </w:sectPr>
      </w:pPr>
    </w:p>
    <w:p>
      <w:pPr>
        <w:pStyle w:val="Heading3"/>
        <w:numPr>
          <w:ilvl w:val="1"/>
          <w:numId w:val="37"/>
        </w:numPr>
        <w:tabs>
          <w:tab w:pos="1140" w:val="left" w:leader="none"/>
        </w:tabs>
        <w:spacing w:line="242" w:lineRule="auto" w:before="72" w:after="0"/>
        <w:ind w:left="1139" w:right="0" w:hanging="661"/>
        <w:jc w:val="left"/>
      </w:pPr>
      <w:r>
        <w:rPr>
          <w:spacing w:val="-2"/>
        </w:rPr>
        <w:t>成骨不全症</w:t>
      </w:r>
      <w:r>
        <w:rPr>
          <w:spacing w:val="-2"/>
        </w:rPr>
        <w:t> </w:t>
      </w:r>
      <w:r>
        <w:rPr>
          <w:spacing w:val="-6"/>
        </w:rPr>
        <w:t>Ⅲ型</w:t>
      </w:r>
    </w:p>
    <w:p>
      <w:pPr>
        <w:pStyle w:val="BodyText"/>
        <w:spacing w:line="242" w:lineRule="auto" w:before="72"/>
        <w:ind w:left="372" w:right="269"/>
      </w:pPr>
      <w:r>
        <w:rPr/>
        <w:br w:type="column"/>
      </w:r>
      <w:r>
        <w:rPr>
          <w:spacing w:val="-6"/>
        </w:rPr>
        <w:t>指一种胶原病，特征为骨易碎，骨质疏松和易骨折。该病有 </w:t>
      </w:r>
      <w:r>
        <w:rPr>
          <w:spacing w:val="-4"/>
        </w:rPr>
        <w:t>4</w:t>
      </w:r>
      <w:r>
        <w:rPr>
          <w:spacing w:val="-10"/>
        </w:rPr>
        <w:t> 种类型：Ⅰ型、Ⅱ型、</w:t>
      </w:r>
      <w:r>
        <w:rPr>
          <w:spacing w:val="-4"/>
        </w:rPr>
        <w:t> </w:t>
      </w:r>
      <w:r>
        <w:rPr>
          <w:spacing w:val="-2"/>
        </w:rPr>
        <w:t>Ⅲ型、Ⅳ型。</w:t>
      </w:r>
      <w:r>
        <w:rPr>
          <w:rFonts w:ascii="黑体" w:hAnsi="黑体" w:eastAsia="黑体"/>
          <w:spacing w:val="-2"/>
        </w:rPr>
        <w:t>本合同仅将Ⅲ型成骨不全的情形列入本合同所定义的重大疾病范围。</w:t>
      </w:r>
      <w:r>
        <w:rPr>
          <w:spacing w:val="-2"/>
        </w:rPr>
        <w:t>其主要临床特点有：发展迟缓、多发性骨折、进行性脊柱后侧凸及听力损害。</w:t>
      </w:r>
    </w:p>
    <w:p>
      <w:pPr>
        <w:pStyle w:val="BodyText"/>
        <w:spacing w:line="244" w:lineRule="auto" w:before="60"/>
        <w:ind w:left="372" w:right="373"/>
      </w:pPr>
      <w:r>
        <w:rPr/>
        <w:t>Ⅲ型成骨不全的诊断必须根据身体检查，家族史，X</w:t>
      </w:r>
      <w:r>
        <w:rPr>
          <w:spacing w:val="-3"/>
        </w:rPr>
        <w:t> 线检查和皮肤活检报告资料确</w:t>
      </w:r>
      <w:r>
        <w:rPr>
          <w:spacing w:val="-6"/>
        </w:rPr>
        <w:t>诊。</w:t>
      </w:r>
    </w:p>
    <w:p>
      <w:pPr>
        <w:spacing w:after="0" w:line="244" w:lineRule="auto"/>
        <w:sectPr>
          <w:type w:val="continuous"/>
          <w:pgSz w:w="11910" w:h="16850"/>
          <w:pgMar w:top="520" w:bottom="280" w:left="620" w:right="720"/>
          <w:cols w:num="2" w:equalWidth="0">
            <w:col w:w="2196" w:space="40"/>
            <w:col w:w="8334"/>
          </w:cols>
        </w:sectPr>
      </w:pPr>
    </w:p>
    <w:p>
      <w:pPr>
        <w:pStyle w:val="BodyText"/>
        <w:spacing w:before="1"/>
        <w:rPr>
          <w:sz w:val="12"/>
        </w:rPr>
      </w:pPr>
    </w:p>
    <w:p>
      <w:pPr>
        <w:pStyle w:val="ListParagraph"/>
        <w:numPr>
          <w:ilvl w:val="1"/>
          <w:numId w:val="37"/>
        </w:numPr>
        <w:tabs>
          <w:tab w:pos="1140" w:val="left" w:leader="none"/>
        </w:tabs>
        <w:spacing w:line="242" w:lineRule="auto" w:before="72" w:after="0"/>
        <w:ind w:left="2608" w:right="373" w:hanging="2130"/>
        <w:jc w:val="both"/>
        <w:rPr>
          <w:sz w:val="21"/>
        </w:rPr>
      </w:pPr>
      <w:r>
        <w:rPr>
          <w:b/>
          <w:spacing w:val="49"/>
          <w:sz w:val="21"/>
        </w:rPr>
        <w:t>严重川崎病 </w:t>
      </w:r>
      <w:r>
        <w:rPr>
          <w:sz w:val="21"/>
        </w:rPr>
        <w:t>是一种血管炎综合征，临床表现为急性发热，皮肤粘膜病损和淋巴结肿大。本病须</w:t>
      </w:r>
      <w:r>
        <w:rPr>
          <w:spacing w:val="-2"/>
          <w:sz w:val="21"/>
        </w:rPr>
        <w:t>经本公司认可的医院的专科医生明确诊断，同时须由血管造影或超声心动图检查证</w:t>
      </w:r>
      <w:r>
        <w:rPr>
          <w:spacing w:val="-2"/>
          <w:sz w:val="21"/>
        </w:rPr>
        <w:t>实，</w:t>
      </w:r>
      <w:r>
        <w:rPr>
          <w:rFonts w:ascii="黑体" w:eastAsia="黑体"/>
          <w:spacing w:val="-2"/>
          <w:sz w:val="21"/>
        </w:rPr>
        <w:t>并须满足下列至少一项条件</w:t>
      </w:r>
      <w:r>
        <w:rPr>
          <w:spacing w:val="-2"/>
          <w:sz w:val="21"/>
        </w:rPr>
        <w:t>：</w:t>
      </w:r>
    </w:p>
    <w:p>
      <w:pPr>
        <w:pStyle w:val="ListParagraph"/>
        <w:numPr>
          <w:ilvl w:val="0"/>
          <w:numId w:val="60"/>
        </w:numPr>
        <w:tabs>
          <w:tab w:pos="3343" w:val="left" w:leader="none"/>
        </w:tabs>
        <w:spacing w:line="240" w:lineRule="auto" w:before="63" w:after="0"/>
        <w:ind w:left="3342" w:right="0" w:hanging="735"/>
        <w:jc w:val="both"/>
        <w:rPr>
          <w:sz w:val="21"/>
        </w:rPr>
      </w:pPr>
      <w:r>
        <w:rPr>
          <w:spacing w:val="-4"/>
          <w:sz w:val="21"/>
        </w:rPr>
        <w:t>伴有冠状动脉瘤，且冠状动脉瘤于最初急性发病后持续至少 </w:t>
      </w:r>
      <w:r>
        <w:rPr>
          <w:spacing w:val="-2"/>
          <w:sz w:val="21"/>
        </w:rPr>
        <w:t>180</w:t>
      </w:r>
      <w:r>
        <w:rPr>
          <w:spacing w:val="-18"/>
          <w:sz w:val="21"/>
        </w:rPr>
        <w:t> 天；</w:t>
      </w:r>
    </w:p>
    <w:p>
      <w:pPr>
        <w:pStyle w:val="ListParagraph"/>
        <w:numPr>
          <w:ilvl w:val="0"/>
          <w:numId w:val="60"/>
        </w:numPr>
        <w:tabs>
          <w:tab w:pos="3343" w:val="left" w:leader="none"/>
        </w:tabs>
        <w:spacing w:line="240" w:lineRule="auto" w:before="62" w:after="0"/>
        <w:ind w:left="3342" w:right="0" w:hanging="735"/>
        <w:jc w:val="both"/>
        <w:rPr>
          <w:sz w:val="21"/>
        </w:rPr>
      </w:pPr>
      <w:r>
        <w:rPr>
          <w:spacing w:val="-3"/>
          <w:sz w:val="21"/>
        </w:rPr>
        <w:t>伴有冠状动脉瘤，且已经实施了对冠状动脉瘤进行的手术治疗。</w:t>
      </w:r>
    </w:p>
    <w:p>
      <w:pPr>
        <w:pStyle w:val="BodyText"/>
        <w:spacing w:before="7"/>
        <w:rPr>
          <w:sz w:val="10"/>
        </w:rPr>
      </w:pPr>
    </w:p>
    <w:p>
      <w:pPr>
        <w:spacing w:after="0"/>
        <w:rPr>
          <w:sz w:val="10"/>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严重幼年型</w:t>
      </w:r>
    </w:p>
    <w:p>
      <w:pPr>
        <w:spacing w:line="244" w:lineRule="auto" w:before="2"/>
        <w:ind w:left="1139" w:right="0" w:firstLine="0"/>
        <w:jc w:val="left"/>
        <w:rPr>
          <w:b/>
          <w:sz w:val="21"/>
        </w:rPr>
      </w:pPr>
      <w:r>
        <w:rPr>
          <w:b/>
          <w:spacing w:val="-2"/>
          <w:sz w:val="21"/>
        </w:rPr>
        <w:t>类风湿性关</w:t>
      </w:r>
      <w:r>
        <w:rPr>
          <w:b/>
          <w:spacing w:val="-6"/>
          <w:sz w:val="21"/>
        </w:rPr>
        <w:t>节炎</w:t>
      </w:r>
    </w:p>
    <w:p>
      <w:pPr>
        <w:pStyle w:val="BodyText"/>
        <w:spacing w:before="72"/>
        <w:ind w:left="372"/>
      </w:pPr>
      <w:r>
        <w:rPr/>
        <w:br w:type="column"/>
      </w:r>
      <w:r>
        <w:rPr>
          <w:spacing w:val="-3"/>
        </w:rPr>
        <w:t>指为了治疗幼年型类风湿关节炎，已经实施了膝关节或髋关节置换手术。</w:t>
      </w:r>
    </w:p>
    <w:p>
      <w:pPr>
        <w:pStyle w:val="BodyText"/>
        <w:spacing w:line="244" w:lineRule="auto" w:before="62"/>
        <w:ind w:left="372" w:right="373"/>
      </w:pPr>
      <w:r>
        <w:rPr>
          <w:spacing w:val="-2"/>
        </w:rPr>
        <w:t>幼年型类风湿关节炎是一种儿童期发病的慢性关节炎，其特点为在高热和系统性病</w:t>
      </w:r>
      <w:r>
        <w:rPr>
          <w:spacing w:val="-2"/>
        </w:rPr>
        <w:t>征出现数月后发生关节炎。</w:t>
      </w:r>
    </w:p>
    <w:p>
      <w:pPr>
        <w:spacing w:after="0" w:line="244" w:lineRule="auto"/>
        <w:sectPr>
          <w:type w:val="continuous"/>
          <w:pgSz w:w="11910" w:h="16850"/>
          <w:pgMar w:top="520" w:bottom="280" w:left="620" w:right="720"/>
          <w:cols w:num="2" w:equalWidth="0">
            <w:col w:w="2196" w:space="40"/>
            <w:col w:w="8334"/>
          </w:cols>
        </w:sectPr>
      </w:pPr>
    </w:p>
    <w:p>
      <w:pPr>
        <w:pStyle w:val="BodyText"/>
        <w:spacing w:before="1"/>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1" w:after="0"/>
        <w:ind w:left="1139" w:right="0" w:hanging="661"/>
        <w:jc w:val="left"/>
      </w:pPr>
      <w:r>
        <w:rPr>
          <w:spacing w:val="-2"/>
        </w:rPr>
        <w:t>疾病或外伤</w:t>
      </w:r>
    </w:p>
    <w:p>
      <w:pPr>
        <w:spacing w:line="242" w:lineRule="auto" w:before="5"/>
        <w:ind w:left="1139" w:right="0" w:firstLine="0"/>
        <w:jc w:val="left"/>
        <w:rPr>
          <w:b/>
          <w:sz w:val="21"/>
        </w:rPr>
      </w:pPr>
      <w:r>
        <w:rPr>
          <w:b/>
          <w:spacing w:val="-2"/>
          <w:sz w:val="21"/>
        </w:rPr>
        <w:t>所致智力障</w:t>
      </w:r>
      <w:r>
        <w:rPr>
          <w:b/>
          <w:spacing w:val="-10"/>
          <w:sz w:val="21"/>
        </w:rPr>
        <w:t>碍</w:t>
      </w:r>
    </w:p>
    <w:p>
      <w:pPr>
        <w:pStyle w:val="BodyText"/>
        <w:spacing w:line="244" w:lineRule="auto" w:before="71"/>
        <w:ind w:left="372" w:right="370"/>
      </w:pPr>
      <w:r>
        <w:rPr/>
        <w:br w:type="column"/>
      </w:r>
      <w:r>
        <w:rPr>
          <w:spacing w:val="-4"/>
        </w:rPr>
        <w:t>因严重头部创伤或疾病造成被保险人智力低常（智力低于常态</w:t>
      </w:r>
      <w:r>
        <w:rPr>
          <w:spacing w:val="-108"/>
        </w:rPr>
        <w:t>）</w:t>
      </w:r>
      <w:r>
        <w:rPr>
          <w:spacing w:val="-4"/>
        </w:rPr>
        <w:t>。根据智商</w:t>
      </w:r>
      <w:r>
        <w:rPr>
          <w:spacing w:val="36"/>
        </w:rPr>
        <w:t>（</w:t>
      </w:r>
      <w:r>
        <w:rPr>
          <w:spacing w:val="38"/>
        </w:rPr>
        <w:t>IQ</w:t>
      </w:r>
      <w:r>
        <w:rPr>
          <w:spacing w:val="-68"/>
        </w:rPr>
        <w:t>），</w:t>
      </w:r>
      <w:r>
        <w:rPr>
          <w:spacing w:val="-4"/>
        </w:rPr>
        <w:t>智力低常分为轻度（IQ50-</w:t>
      </w:r>
      <w:r>
        <w:rPr>
          <w:spacing w:val="29"/>
        </w:rPr>
        <w:t>6</w:t>
      </w:r>
      <w:r>
        <w:rPr>
          <w:spacing w:val="33"/>
        </w:rPr>
        <w:t>9</w:t>
      </w:r>
      <w:r>
        <w:rPr>
          <w:spacing w:val="-75"/>
        </w:rPr>
        <w:t>）</w:t>
      </w:r>
      <w:r>
        <w:rPr>
          <w:spacing w:val="-4"/>
        </w:rPr>
        <w:t>、中度（IQ35-</w:t>
      </w:r>
      <w:r>
        <w:rPr>
          <w:spacing w:val="29"/>
        </w:rPr>
        <w:t>4</w:t>
      </w:r>
      <w:r>
        <w:rPr>
          <w:spacing w:val="31"/>
        </w:rPr>
        <w:t>9</w:t>
      </w:r>
      <w:r>
        <w:rPr>
          <w:spacing w:val="-72"/>
        </w:rPr>
        <w:t>）</w:t>
      </w:r>
      <w:r>
        <w:rPr>
          <w:spacing w:val="-4"/>
        </w:rPr>
        <w:t>、重度（IQ20-34）和极重度</w:t>
      </w:r>
      <w:r>
        <w:rPr>
          <w:spacing w:val="-5"/>
        </w:rPr>
        <w:t>（IQ</w:t>
      </w:r>
    </w:p>
    <w:p>
      <w:pPr>
        <w:pStyle w:val="BodyText"/>
        <w:spacing w:line="242" w:lineRule="auto"/>
        <w:ind w:left="372" w:right="370"/>
        <w:jc w:val="both"/>
        <w:rPr>
          <w:rFonts w:ascii="黑体" w:eastAsia="黑体"/>
        </w:rPr>
      </w:pPr>
      <w:r>
        <w:rPr>
          <w:spacing w:val="20"/>
        </w:rPr>
        <w:t>＜20</w:t>
      </w:r>
      <w:r>
        <w:rPr>
          <w:spacing w:val="-86"/>
        </w:rPr>
        <w:t>）</w:t>
      </w:r>
      <w:r>
        <w:rPr>
          <w:spacing w:val="-6"/>
        </w:rPr>
        <w:t>。根据被保险人年龄采用对应的智力量表如韦克斯勒智力量表（儿童智力量表</w:t>
      </w:r>
      <w:r>
        <w:rPr>
          <w:spacing w:val="-2"/>
        </w:rPr>
        <w:t>或成人智力量表）检测证实，智商的检测必须由本公司认可的医院的儿童或成人精</w:t>
      </w:r>
      <w:r>
        <w:rPr>
          <w:spacing w:val="-2"/>
        </w:rPr>
        <w:t>神卫生科、心理科或神经科专科医生进行。</w:t>
      </w:r>
      <w:r>
        <w:rPr>
          <w:rFonts w:ascii="黑体" w:eastAsia="黑体"/>
          <w:spacing w:val="-2"/>
        </w:rPr>
        <w:t>并须满足下列全部条件：</w:t>
      </w:r>
    </w:p>
    <w:p>
      <w:pPr>
        <w:pStyle w:val="ListParagraph"/>
        <w:numPr>
          <w:ilvl w:val="0"/>
          <w:numId w:val="61"/>
        </w:numPr>
        <w:tabs>
          <w:tab w:pos="1108" w:val="left" w:leader="none"/>
        </w:tabs>
        <w:spacing w:line="244" w:lineRule="auto" w:before="57" w:after="0"/>
        <w:ind w:left="1107" w:right="370" w:hanging="735"/>
        <w:jc w:val="left"/>
        <w:rPr>
          <w:sz w:val="21"/>
        </w:rPr>
      </w:pPr>
      <w:r>
        <w:rPr>
          <w:spacing w:val="-4"/>
          <w:sz w:val="21"/>
        </w:rPr>
        <w:t>造成被保险人智力低常（智力低于常态）的严重头部创伤或疾病（以入院日</w:t>
      </w:r>
      <w:r>
        <w:rPr>
          <w:sz w:val="21"/>
        </w:rPr>
        <w:t>期为准）</w:t>
      </w:r>
      <w:r>
        <w:rPr>
          <w:spacing w:val="-4"/>
          <w:sz w:val="21"/>
        </w:rPr>
        <w:t>发生在被保险人 </w:t>
      </w:r>
      <w:r>
        <w:rPr>
          <w:sz w:val="21"/>
        </w:rPr>
        <w:t>6</w:t>
      </w:r>
      <w:r>
        <w:rPr>
          <w:spacing w:val="-5"/>
          <w:sz w:val="21"/>
        </w:rPr>
        <w:t> 周岁以后；</w:t>
      </w:r>
    </w:p>
    <w:p>
      <w:pPr>
        <w:pStyle w:val="ListParagraph"/>
        <w:numPr>
          <w:ilvl w:val="0"/>
          <w:numId w:val="61"/>
        </w:numPr>
        <w:tabs>
          <w:tab w:pos="1108" w:val="left" w:leader="none"/>
        </w:tabs>
        <w:spacing w:line="244" w:lineRule="auto" w:before="56" w:after="0"/>
        <w:ind w:left="1107" w:right="377" w:hanging="735"/>
        <w:jc w:val="left"/>
        <w:rPr>
          <w:sz w:val="21"/>
        </w:rPr>
      </w:pPr>
      <w:r>
        <w:rPr>
          <w:spacing w:val="-2"/>
          <w:sz w:val="21"/>
        </w:rPr>
        <w:t>本公司认可的医院的专科医生确诊被保险人由于严重头部创伤或疾病造成</w:t>
      </w:r>
      <w:r>
        <w:rPr>
          <w:spacing w:val="-2"/>
          <w:sz w:val="21"/>
        </w:rPr>
        <w:t>智力低常；</w:t>
      </w:r>
    </w:p>
    <w:p>
      <w:pPr>
        <w:pStyle w:val="ListParagraph"/>
        <w:numPr>
          <w:ilvl w:val="0"/>
          <w:numId w:val="61"/>
        </w:numPr>
        <w:tabs>
          <w:tab w:pos="1108" w:val="left" w:leader="none"/>
        </w:tabs>
        <w:spacing w:line="244" w:lineRule="auto" w:before="56" w:after="0"/>
        <w:ind w:left="1107" w:right="370" w:hanging="735"/>
        <w:jc w:val="left"/>
        <w:rPr>
          <w:sz w:val="21"/>
        </w:rPr>
      </w:pPr>
      <w:r>
        <w:rPr>
          <w:spacing w:val="-7"/>
          <w:sz w:val="21"/>
        </w:rPr>
        <w:t>本公司认可的医院的儿童或成人精神卫生科、心理科或神经科专科医生证实</w:t>
      </w:r>
      <w:r>
        <w:rPr>
          <w:spacing w:val="-5"/>
          <w:sz w:val="21"/>
        </w:rPr>
        <w:t>被保险人智力低常 </w:t>
      </w:r>
      <w:r>
        <w:rPr>
          <w:spacing w:val="13"/>
          <w:sz w:val="21"/>
        </w:rPr>
        <w:t>I</w:t>
      </w:r>
      <w:r>
        <w:rPr>
          <w:spacing w:val="16"/>
          <w:sz w:val="21"/>
        </w:rPr>
        <w:t>Q＜</w:t>
      </w:r>
      <w:r>
        <w:rPr>
          <w:spacing w:val="13"/>
          <w:sz w:val="21"/>
        </w:rPr>
        <w:t>50</w:t>
      </w:r>
      <w:r>
        <w:rPr>
          <w:spacing w:val="-90"/>
          <w:sz w:val="21"/>
        </w:rPr>
        <w:t>）</w:t>
      </w:r>
      <w:r>
        <w:rPr>
          <w:spacing w:val="16"/>
          <w:sz w:val="21"/>
        </w:rPr>
        <w:t>（</w:t>
      </w:r>
      <w:r>
        <w:rPr>
          <w:sz w:val="21"/>
        </w:rPr>
        <w:t>中度、重度或极重度</w:t>
      </w:r>
      <w:r>
        <w:rPr>
          <w:spacing w:val="-108"/>
          <w:sz w:val="21"/>
        </w:rPr>
        <w:t>）</w:t>
      </w:r>
      <w:r>
        <w:rPr>
          <w:sz w:val="21"/>
        </w:rPr>
        <w:t>；</w:t>
      </w:r>
    </w:p>
    <w:p>
      <w:pPr>
        <w:pStyle w:val="ListParagraph"/>
        <w:numPr>
          <w:ilvl w:val="0"/>
          <w:numId w:val="61"/>
        </w:numPr>
        <w:tabs>
          <w:tab w:pos="1108" w:val="left" w:leader="none"/>
        </w:tabs>
        <w:spacing w:line="240" w:lineRule="auto" w:before="56" w:after="0"/>
        <w:ind w:left="1107" w:right="0" w:hanging="736"/>
        <w:jc w:val="left"/>
        <w:rPr>
          <w:sz w:val="21"/>
        </w:rPr>
      </w:pPr>
      <w:r>
        <w:rPr>
          <w:spacing w:val="-5"/>
          <w:sz w:val="21"/>
        </w:rPr>
        <w:t>被保险人的智力低常自确认日起持续 </w:t>
      </w:r>
      <w:r>
        <w:rPr>
          <w:spacing w:val="-2"/>
          <w:sz w:val="21"/>
        </w:rPr>
        <w:t>180</w:t>
      </w:r>
      <w:r>
        <w:rPr>
          <w:spacing w:val="-14"/>
          <w:sz w:val="21"/>
        </w:rPr>
        <w:t> 天以上。</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10"/>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1" w:after="0"/>
        <w:ind w:left="1139" w:right="0" w:hanging="661"/>
        <w:jc w:val="left"/>
      </w:pPr>
      <w:r>
        <w:rPr>
          <w:spacing w:val="-2"/>
        </w:rPr>
        <w:t>严重肠道疾</w:t>
      </w:r>
    </w:p>
    <w:p>
      <w:pPr>
        <w:spacing w:before="3"/>
        <w:ind w:left="1139" w:right="0" w:firstLine="0"/>
        <w:jc w:val="left"/>
        <w:rPr>
          <w:b/>
          <w:sz w:val="21"/>
        </w:rPr>
      </w:pPr>
      <w:r>
        <w:rPr>
          <w:b/>
          <w:spacing w:val="-3"/>
          <w:sz w:val="21"/>
        </w:rPr>
        <w:t>病并发症</w:t>
      </w:r>
    </w:p>
    <w:p>
      <w:pPr>
        <w:pStyle w:val="BodyText"/>
        <w:spacing w:before="71"/>
        <w:ind w:left="372"/>
        <w:rPr>
          <w:rFonts w:ascii="黑体" w:eastAsia="黑体"/>
        </w:rPr>
      </w:pPr>
      <w:r>
        <w:rPr/>
        <w:br w:type="column"/>
      </w:r>
      <w:r>
        <w:rPr>
          <w:spacing w:val="-2"/>
        </w:rPr>
        <w:t>严重肠道疾病或外伤导致小肠损害并发症，</w:t>
      </w:r>
      <w:r>
        <w:rPr>
          <w:rFonts w:ascii="黑体" w:eastAsia="黑体"/>
          <w:spacing w:val="-3"/>
        </w:rPr>
        <w:t>并须满足下列全部条件：</w:t>
      </w:r>
    </w:p>
    <w:p>
      <w:pPr>
        <w:pStyle w:val="ListParagraph"/>
        <w:numPr>
          <w:ilvl w:val="0"/>
          <w:numId w:val="62"/>
        </w:numPr>
        <w:tabs>
          <w:tab w:pos="1108" w:val="left" w:leader="none"/>
        </w:tabs>
        <w:spacing w:line="240" w:lineRule="auto" w:before="63" w:after="0"/>
        <w:ind w:left="1107" w:right="0" w:hanging="736"/>
        <w:jc w:val="left"/>
        <w:rPr>
          <w:sz w:val="21"/>
        </w:rPr>
      </w:pPr>
      <w:r>
        <w:rPr>
          <w:spacing w:val="-3"/>
          <w:sz w:val="21"/>
        </w:rPr>
        <w:t>至少切除了三分之二小肠；</w:t>
      </w:r>
    </w:p>
    <w:p>
      <w:pPr>
        <w:pStyle w:val="ListParagraph"/>
        <w:numPr>
          <w:ilvl w:val="0"/>
          <w:numId w:val="62"/>
        </w:numPr>
        <w:tabs>
          <w:tab w:pos="1108" w:val="left" w:leader="none"/>
        </w:tabs>
        <w:spacing w:line="240" w:lineRule="auto" w:before="64" w:after="0"/>
        <w:ind w:left="1107" w:right="0" w:hanging="736"/>
        <w:jc w:val="left"/>
        <w:rPr>
          <w:sz w:val="21"/>
        </w:rPr>
      </w:pPr>
      <w:r>
        <w:rPr>
          <w:spacing w:val="-3"/>
          <w:sz w:val="21"/>
        </w:rPr>
        <w:t>完全肠外营养支持三个月以上。</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2" w:lineRule="auto" w:before="72" w:after="0"/>
        <w:ind w:left="1139" w:right="0" w:hanging="661"/>
        <w:jc w:val="left"/>
      </w:pPr>
      <w:r>
        <w:rPr>
          <w:spacing w:val="-2"/>
        </w:rPr>
        <w:t>严重瑞氏综</w:t>
      </w:r>
      <w:r>
        <w:rPr>
          <w:spacing w:val="-6"/>
        </w:rPr>
        <w:t>合征</w:t>
      </w:r>
    </w:p>
    <w:p>
      <w:pPr>
        <w:pStyle w:val="BodyText"/>
        <w:spacing w:line="242" w:lineRule="auto" w:before="72"/>
        <w:ind w:left="372" w:right="373"/>
        <w:jc w:val="both"/>
        <w:rPr>
          <w:rFonts w:ascii="黑体" w:eastAsia="黑体"/>
        </w:rPr>
      </w:pPr>
      <w:r>
        <w:rPr/>
        <w:br w:type="column"/>
      </w:r>
      <w:r>
        <w:rPr>
          <w:spacing w:val="-2"/>
        </w:rPr>
        <w:t>瑞氏综合征是线粒体功能障碍性疾病。导致脂肪代谢障碍，引起短链脂肪酸、血氨</w:t>
      </w:r>
      <w:r>
        <w:rPr>
          <w:spacing w:val="-2"/>
        </w:rPr>
        <w:t>升高，造成脑水肿。主要临床表现为急性发热、反复呕吐、惊厥及意识障碍等等。</w:t>
      </w:r>
      <w:r>
        <w:rPr>
          <w:spacing w:val="-2"/>
        </w:rPr>
        <w:t>瑞氏综合征需由本公司认可的医院的专科医生确诊，</w:t>
      </w:r>
      <w:r>
        <w:rPr>
          <w:rFonts w:ascii="黑体" w:eastAsia="黑体"/>
          <w:spacing w:val="-2"/>
        </w:rPr>
        <w:t>并须满足下列全部条件：</w:t>
      </w:r>
    </w:p>
    <w:p>
      <w:pPr>
        <w:pStyle w:val="ListParagraph"/>
        <w:numPr>
          <w:ilvl w:val="0"/>
          <w:numId w:val="63"/>
        </w:numPr>
        <w:tabs>
          <w:tab w:pos="1108" w:val="left" w:leader="none"/>
        </w:tabs>
        <w:spacing w:line="240" w:lineRule="auto" w:before="61" w:after="0"/>
        <w:ind w:left="1107" w:right="0" w:hanging="736"/>
        <w:jc w:val="left"/>
        <w:rPr>
          <w:sz w:val="21"/>
        </w:rPr>
      </w:pPr>
      <w:r>
        <w:rPr>
          <w:spacing w:val="-3"/>
          <w:sz w:val="21"/>
        </w:rPr>
        <w:t>有脑水肿和颅内压升高的脑脊液检查和影像学检查证据；</w:t>
      </w:r>
    </w:p>
    <w:p>
      <w:pPr>
        <w:pStyle w:val="ListParagraph"/>
        <w:numPr>
          <w:ilvl w:val="0"/>
          <w:numId w:val="63"/>
        </w:numPr>
        <w:tabs>
          <w:tab w:pos="1108" w:val="left" w:leader="none"/>
        </w:tabs>
        <w:spacing w:line="240" w:lineRule="auto" w:before="65" w:after="0"/>
        <w:ind w:left="1107" w:right="0" w:hanging="736"/>
        <w:jc w:val="left"/>
        <w:rPr>
          <w:sz w:val="21"/>
        </w:rPr>
      </w:pPr>
      <w:r>
        <w:rPr>
          <w:spacing w:val="-8"/>
          <w:sz w:val="21"/>
        </w:rPr>
        <w:t>血氨超过正常值的 </w:t>
      </w:r>
      <w:r>
        <w:rPr>
          <w:spacing w:val="-2"/>
          <w:sz w:val="21"/>
        </w:rPr>
        <w:t>3</w:t>
      </w:r>
      <w:r>
        <w:rPr>
          <w:spacing w:val="-21"/>
          <w:sz w:val="21"/>
        </w:rPr>
        <w:t> 倍；</w:t>
      </w:r>
    </w:p>
    <w:p>
      <w:pPr>
        <w:pStyle w:val="ListParagraph"/>
        <w:numPr>
          <w:ilvl w:val="0"/>
          <w:numId w:val="63"/>
        </w:numPr>
        <w:tabs>
          <w:tab w:pos="1108" w:val="left" w:leader="none"/>
        </w:tabs>
        <w:spacing w:line="240" w:lineRule="auto" w:before="62" w:after="0"/>
        <w:ind w:left="1107" w:right="0" w:hanging="736"/>
        <w:jc w:val="left"/>
        <w:rPr>
          <w:sz w:val="21"/>
        </w:rPr>
      </w:pPr>
      <w:r>
        <w:rPr>
          <w:spacing w:val="-5"/>
          <w:sz w:val="21"/>
        </w:rPr>
        <w:t>临床出现昏迷，病程至少达到疾病分期第 </w:t>
      </w:r>
      <w:r>
        <w:rPr>
          <w:spacing w:val="-2"/>
          <w:sz w:val="21"/>
        </w:rPr>
        <w:t>3</w:t>
      </w:r>
      <w:r>
        <w:rPr>
          <w:spacing w:val="-20"/>
          <w:sz w:val="21"/>
        </w:rPr>
        <w:t> 期。</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9"/>
        <w:rPr>
          <w:sz w:val="12"/>
        </w:rPr>
      </w:pPr>
    </w:p>
    <w:p>
      <w:pPr>
        <w:spacing w:after="0"/>
        <w:rPr>
          <w:sz w:val="12"/>
        </w:rPr>
        <w:sectPr>
          <w:type w:val="continuous"/>
          <w:pgSz w:w="11910" w:h="16850"/>
          <w:pgMar w:top="520" w:bottom="280" w:left="620" w:right="720"/>
        </w:sectPr>
      </w:pPr>
    </w:p>
    <w:p>
      <w:pPr>
        <w:pStyle w:val="ListParagraph"/>
        <w:numPr>
          <w:ilvl w:val="1"/>
          <w:numId w:val="37"/>
        </w:numPr>
        <w:tabs>
          <w:tab w:pos="1140" w:val="left" w:leader="none"/>
        </w:tabs>
        <w:spacing w:line="240" w:lineRule="auto" w:before="72" w:after="0"/>
        <w:ind w:left="1139" w:right="0" w:hanging="661"/>
        <w:jc w:val="left"/>
        <w:rPr>
          <w:b/>
          <w:sz w:val="21"/>
        </w:rPr>
      </w:pPr>
      <w:r>
        <w:rPr>
          <w:b/>
          <w:spacing w:val="-2"/>
          <w:sz w:val="21"/>
        </w:rPr>
        <w:t>急性肺损伤</w:t>
      </w:r>
    </w:p>
    <w:p>
      <w:pPr>
        <w:spacing w:line="242" w:lineRule="auto" w:before="2"/>
        <w:ind w:left="1139" w:right="0" w:firstLine="0"/>
        <w:jc w:val="left"/>
        <w:rPr>
          <w:b/>
          <w:sz w:val="21"/>
        </w:rPr>
      </w:pPr>
      <w:r>
        <w:rPr>
          <w:b/>
          <w:spacing w:val="-2"/>
          <w:sz w:val="21"/>
        </w:rPr>
        <w:t>（ALI）或急</w:t>
      </w:r>
      <w:r>
        <w:rPr>
          <w:b/>
          <w:spacing w:val="-2"/>
          <w:sz w:val="21"/>
        </w:rPr>
        <w:t>性呼吸窘迫</w:t>
      </w:r>
      <w:r>
        <w:rPr>
          <w:b/>
          <w:spacing w:val="-4"/>
          <w:sz w:val="21"/>
        </w:rPr>
        <w:t>综合征</w:t>
      </w:r>
    </w:p>
    <w:p>
      <w:pPr>
        <w:spacing w:before="1"/>
        <w:ind w:left="1139" w:right="0" w:firstLine="0"/>
        <w:jc w:val="left"/>
        <w:rPr>
          <w:b/>
          <w:sz w:val="21"/>
        </w:rPr>
      </w:pPr>
      <w:r>
        <w:rPr>
          <w:b/>
          <w:spacing w:val="-2"/>
          <w:sz w:val="21"/>
        </w:rPr>
        <w:t>（ARDS）</w:t>
      </w:r>
    </w:p>
    <w:p>
      <w:pPr>
        <w:pStyle w:val="BodyText"/>
        <w:spacing w:line="242" w:lineRule="auto" w:before="72"/>
        <w:ind w:left="267" w:right="373"/>
      </w:pPr>
      <w:r>
        <w:rPr/>
        <w:br w:type="column"/>
      </w:r>
      <w:r>
        <w:rPr>
          <w:spacing w:val="-2"/>
        </w:rPr>
        <w:t>一种表现为无心脏衰竭的肺水肿，为创伤、脓毒血症等临床多种疾病的并发症，造</w:t>
      </w:r>
      <w:r>
        <w:rPr>
          <w:spacing w:val="-2"/>
        </w:rPr>
        <w:t>成多器官衰竭，死亡率高。</w:t>
      </w:r>
    </w:p>
    <w:p>
      <w:pPr>
        <w:pStyle w:val="BodyText"/>
        <w:spacing w:line="242" w:lineRule="auto" w:before="61"/>
        <w:ind w:left="267" w:right="372"/>
        <w:rPr>
          <w:rFonts w:ascii="黑体" w:eastAsia="黑体"/>
        </w:rPr>
      </w:pPr>
      <w:r>
        <w:rPr>
          <w:spacing w:val="-2"/>
        </w:rPr>
        <w:t>急性肺损伤或急性呼吸窘迫综合征必须由本公司认可的医院的呼吸系统专科医生明</w:t>
      </w:r>
      <w:r>
        <w:rPr>
          <w:spacing w:val="-2"/>
        </w:rPr>
        <w:t>确诊断，</w:t>
      </w:r>
      <w:r>
        <w:rPr>
          <w:rFonts w:ascii="黑体" w:eastAsia="黑体"/>
          <w:spacing w:val="-2"/>
        </w:rPr>
        <w:t>并须满足下列全部临床特征：</w:t>
      </w:r>
    </w:p>
    <w:p>
      <w:pPr>
        <w:pStyle w:val="ListParagraph"/>
        <w:numPr>
          <w:ilvl w:val="0"/>
          <w:numId w:val="64"/>
        </w:numPr>
        <w:tabs>
          <w:tab w:pos="1002" w:val="left" w:leader="none"/>
        </w:tabs>
        <w:spacing w:line="240" w:lineRule="auto" w:before="59" w:after="0"/>
        <w:ind w:left="1001" w:right="0" w:hanging="735"/>
        <w:jc w:val="left"/>
        <w:rPr>
          <w:sz w:val="21"/>
        </w:rPr>
      </w:pPr>
      <w:r>
        <w:rPr>
          <w:spacing w:val="-2"/>
          <w:sz w:val="21"/>
        </w:rPr>
        <w:t>急性发作（</w:t>
      </w:r>
      <w:r>
        <w:rPr>
          <w:spacing w:val="-8"/>
          <w:sz w:val="21"/>
        </w:rPr>
        <w:t>原发疾病起病后 </w:t>
      </w:r>
      <w:r>
        <w:rPr>
          <w:spacing w:val="-2"/>
          <w:sz w:val="21"/>
        </w:rPr>
        <w:t>6</w:t>
      </w:r>
      <w:r>
        <w:rPr>
          <w:spacing w:val="-34"/>
          <w:sz w:val="21"/>
        </w:rPr>
        <w:t> 至 </w:t>
      </w:r>
      <w:r>
        <w:rPr>
          <w:spacing w:val="-2"/>
          <w:sz w:val="21"/>
        </w:rPr>
        <w:t>72</w:t>
      </w:r>
      <w:r>
        <w:rPr>
          <w:spacing w:val="-18"/>
          <w:sz w:val="21"/>
        </w:rPr>
        <w:t> 小时</w:t>
      </w:r>
      <w:r>
        <w:rPr>
          <w:spacing w:val="-113"/>
          <w:sz w:val="21"/>
        </w:rPr>
        <w:t>）</w:t>
      </w:r>
      <w:r>
        <w:rPr>
          <w:spacing w:val="-5"/>
          <w:sz w:val="21"/>
        </w:rPr>
        <w:t>；</w:t>
      </w:r>
    </w:p>
    <w:p>
      <w:pPr>
        <w:pStyle w:val="ListParagraph"/>
        <w:numPr>
          <w:ilvl w:val="0"/>
          <w:numId w:val="64"/>
        </w:numPr>
        <w:tabs>
          <w:tab w:pos="1002" w:val="left" w:leader="none"/>
        </w:tabs>
        <w:spacing w:line="240" w:lineRule="auto" w:before="65" w:after="0"/>
        <w:ind w:left="1001" w:right="0" w:hanging="735"/>
        <w:jc w:val="left"/>
        <w:rPr>
          <w:sz w:val="21"/>
        </w:rPr>
      </w:pPr>
      <w:r>
        <w:rPr>
          <w:spacing w:val="-7"/>
          <w:sz w:val="21"/>
        </w:rPr>
        <w:t>急性发作的临床症状体征，包括呼吸急促、呼吸困难、心动过速、大汗、面</w:t>
      </w:r>
    </w:p>
    <w:p>
      <w:pPr>
        <w:spacing w:after="0" w:line="240" w:lineRule="auto"/>
        <w:jc w:val="left"/>
        <w:rPr>
          <w:sz w:val="21"/>
        </w:rPr>
        <w:sectPr>
          <w:type w:val="continuous"/>
          <w:pgSz w:w="11910" w:h="16850"/>
          <w:pgMar w:top="520" w:bottom="280" w:left="620" w:right="720"/>
          <w:cols w:num="2" w:equalWidth="0">
            <w:col w:w="2302" w:space="40"/>
            <w:col w:w="8228"/>
          </w:cols>
        </w:sectPr>
      </w:pPr>
    </w:p>
    <w:p>
      <w:pPr>
        <w:pStyle w:val="BodyText"/>
        <w:spacing w:before="53"/>
        <w:ind w:left="3342"/>
      </w:pPr>
      <w:r>
        <w:rPr>
          <w:spacing w:val="-2"/>
        </w:rPr>
        <w:t>色苍白及辅助呼吸肌活动加强（点头呼吸、提肩呼吸</w:t>
      </w:r>
      <w:r>
        <w:rPr>
          <w:spacing w:val="-111"/>
        </w:rPr>
        <w:t>）</w:t>
      </w:r>
      <w:r>
        <w:rPr>
          <w:spacing w:val="-5"/>
        </w:rPr>
        <w:t>；</w:t>
      </w:r>
    </w:p>
    <w:p>
      <w:pPr>
        <w:pStyle w:val="ListParagraph"/>
        <w:numPr>
          <w:ilvl w:val="0"/>
          <w:numId w:val="64"/>
        </w:numPr>
        <w:tabs>
          <w:tab w:pos="3343" w:val="left" w:leader="none"/>
        </w:tabs>
        <w:spacing w:line="240" w:lineRule="auto" w:before="64" w:after="0"/>
        <w:ind w:left="3342" w:right="0" w:hanging="735"/>
        <w:jc w:val="left"/>
        <w:rPr>
          <w:sz w:val="21"/>
        </w:rPr>
      </w:pPr>
      <w:r>
        <w:rPr>
          <w:spacing w:val="-4"/>
          <w:sz w:val="21"/>
        </w:rPr>
        <w:t>双肺浸润影；</w:t>
      </w:r>
    </w:p>
    <w:p>
      <w:pPr>
        <w:pStyle w:val="ListParagraph"/>
        <w:numPr>
          <w:ilvl w:val="0"/>
          <w:numId w:val="64"/>
        </w:numPr>
        <w:tabs>
          <w:tab w:pos="3343" w:val="left" w:leader="none"/>
        </w:tabs>
        <w:spacing w:line="240" w:lineRule="auto" w:before="63" w:after="0"/>
        <w:ind w:left="3342" w:right="0" w:hanging="735"/>
        <w:jc w:val="left"/>
        <w:rPr>
          <w:sz w:val="21"/>
        </w:rPr>
      </w:pPr>
      <w:r>
        <w:rPr>
          <w:spacing w:val="-2"/>
          <w:position w:val="1"/>
          <w:sz w:val="21"/>
        </w:rPr>
        <w:t>PaO</w:t>
      </w:r>
      <w:r>
        <w:rPr>
          <w:spacing w:val="-2"/>
          <w:sz w:val="11"/>
        </w:rPr>
        <w:t>2</w:t>
      </w:r>
      <w:r>
        <w:rPr>
          <w:spacing w:val="-2"/>
          <w:position w:val="1"/>
          <w:sz w:val="21"/>
        </w:rPr>
        <w:t>/FiO</w:t>
      </w:r>
      <w:r>
        <w:rPr>
          <w:spacing w:val="-2"/>
          <w:sz w:val="11"/>
        </w:rPr>
        <w:t>2</w:t>
      </w:r>
      <w:r>
        <w:rPr>
          <w:spacing w:val="-2"/>
          <w:position w:val="1"/>
          <w:sz w:val="21"/>
        </w:rPr>
        <w:t>（动脉氧分压/吸入氧浓度）</w:t>
      </w:r>
      <w:r>
        <w:rPr>
          <w:spacing w:val="-14"/>
          <w:position w:val="1"/>
          <w:sz w:val="21"/>
        </w:rPr>
        <w:t>低于 </w:t>
      </w:r>
      <w:r>
        <w:rPr>
          <w:spacing w:val="-2"/>
          <w:position w:val="1"/>
          <w:sz w:val="21"/>
        </w:rPr>
        <w:t>200mmHg；</w:t>
      </w:r>
    </w:p>
    <w:p>
      <w:pPr>
        <w:pStyle w:val="ListParagraph"/>
        <w:numPr>
          <w:ilvl w:val="0"/>
          <w:numId w:val="64"/>
        </w:numPr>
        <w:tabs>
          <w:tab w:pos="3343" w:val="left" w:leader="none"/>
        </w:tabs>
        <w:spacing w:line="240" w:lineRule="auto" w:before="65" w:after="0"/>
        <w:ind w:left="3342" w:right="0" w:hanging="735"/>
        <w:jc w:val="left"/>
        <w:rPr>
          <w:sz w:val="21"/>
        </w:rPr>
      </w:pPr>
      <w:r>
        <w:rPr>
          <w:spacing w:val="-7"/>
          <w:sz w:val="21"/>
        </w:rPr>
        <w:t>肺动脉嵌入压低于 </w:t>
      </w:r>
      <w:r>
        <w:rPr>
          <w:spacing w:val="-2"/>
          <w:sz w:val="21"/>
        </w:rPr>
        <w:t>18mmHg；</w:t>
      </w:r>
    </w:p>
    <w:p>
      <w:pPr>
        <w:pStyle w:val="ListParagraph"/>
        <w:numPr>
          <w:ilvl w:val="0"/>
          <w:numId w:val="64"/>
        </w:numPr>
        <w:tabs>
          <w:tab w:pos="3343" w:val="left" w:leader="none"/>
        </w:tabs>
        <w:spacing w:line="240" w:lineRule="auto" w:before="62" w:after="0"/>
        <w:ind w:left="3342" w:right="0" w:hanging="735"/>
        <w:jc w:val="left"/>
        <w:rPr>
          <w:sz w:val="21"/>
        </w:rPr>
      </w:pPr>
      <w:r>
        <w:rPr>
          <w:spacing w:val="-3"/>
          <w:sz w:val="21"/>
        </w:rPr>
        <w:t>临床无左房高压表现。</w:t>
      </w:r>
    </w:p>
    <w:p>
      <w:pPr>
        <w:pStyle w:val="BodyText"/>
        <w:spacing w:before="9"/>
        <w:rPr>
          <w:sz w:val="12"/>
        </w:rPr>
      </w:pPr>
    </w:p>
    <w:p>
      <w:pPr>
        <w:spacing w:after="0"/>
        <w:rPr>
          <w:sz w:val="12"/>
        </w:rPr>
        <w:sectPr>
          <w:pgSz w:w="11910" w:h="16850"/>
          <w:pgMar w:top="108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溶血性尿毒</w:t>
      </w:r>
    </w:p>
    <w:p>
      <w:pPr>
        <w:spacing w:before="2"/>
        <w:ind w:left="1139" w:right="0" w:firstLine="0"/>
        <w:jc w:val="left"/>
        <w:rPr>
          <w:b/>
          <w:sz w:val="21"/>
        </w:rPr>
      </w:pPr>
      <w:r>
        <w:rPr>
          <w:b/>
          <w:spacing w:val="-4"/>
          <w:sz w:val="21"/>
        </w:rPr>
        <w:t>综合征</w:t>
      </w:r>
    </w:p>
    <w:p>
      <w:pPr>
        <w:pStyle w:val="BodyText"/>
        <w:spacing w:line="242" w:lineRule="auto" w:before="72"/>
        <w:ind w:left="372" w:right="372"/>
        <w:jc w:val="both"/>
        <w:rPr>
          <w:rFonts w:ascii="黑体" w:eastAsia="黑体"/>
        </w:rPr>
      </w:pPr>
      <w:r>
        <w:rPr/>
        <w:br w:type="column"/>
      </w:r>
      <w:r>
        <w:rPr>
          <w:spacing w:val="-2"/>
        </w:rPr>
        <w:t>一种由于感染导致的急性综合征，引起红细胞溶血，肾功能衰竭及尿毒症。溶血尿</w:t>
      </w:r>
      <w:r>
        <w:rPr>
          <w:spacing w:val="-2"/>
        </w:rPr>
        <w:t>毒综合征必须由本公司认可的医院的血液和肾脏专科医生明确诊断，</w:t>
      </w:r>
      <w:r>
        <w:rPr>
          <w:rFonts w:ascii="黑体" w:eastAsia="黑体"/>
          <w:spacing w:val="-2"/>
        </w:rPr>
        <w:t>并须满足下列</w:t>
      </w:r>
      <w:r>
        <w:rPr>
          <w:rFonts w:ascii="黑体" w:eastAsia="黑体"/>
          <w:spacing w:val="-2"/>
        </w:rPr>
        <w:t>全部条件：</w:t>
      </w:r>
    </w:p>
    <w:p>
      <w:pPr>
        <w:pStyle w:val="ListParagraph"/>
        <w:numPr>
          <w:ilvl w:val="0"/>
          <w:numId w:val="65"/>
        </w:numPr>
        <w:tabs>
          <w:tab w:pos="1108" w:val="left" w:leader="none"/>
        </w:tabs>
        <w:spacing w:line="240" w:lineRule="auto" w:before="61" w:after="0"/>
        <w:ind w:left="1107" w:right="0" w:hanging="736"/>
        <w:jc w:val="both"/>
        <w:rPr>
          <w:sz w:val="21"/>
        </w:rPr>
      </w:pPr>
      <w:r>
        <w:rPr>
          <w:spacing w:val="-3"/>
          <w:sz w:val="21"/>
        </w:rPr>
        <w:t>实验室检查确认有溶血性贫血、血尿、尿毒症、血小板减少性紫癜；</w:t>
      </w:r>
    </w:p>
    <w:p>
      <w:pPr>
        <w:pStyle w:val="ListParagraph"/>
        <w:numPr>
          <w:ilvl w:val="0"/>
          <w:numId w:val="65"/>
        </w:numPr>
        <w:tabs>
          <w:tab w:pos="1108" w:val="left" w:leader="none"/>
        </w:tabs>
        <w:spacing w:line="240" w:lineRule="auto" w:before="64" w:after="0"/>
        <w:ind w:left="1107" w:right="0" w:hanging="736"/>
        <w:jc w:val="both"/>
        <w:rPr>
          <w:sz w:val="21"/>
        </w:rPr>
      </w:pPr>
      <w:r>
        <w:rPr>
          <w:spacing w:val="-3"/>
          <w:sz w:val="21"/>
        </w:rPr>
        <w:t>因肾脏功能衰竭实施了肾脏透析治疗。</w:t>
      </w:r>
    </w:p>
    <w:p>
      <w:pPr>
        <w:pStyle w:val="BodyText"/>
        <w:spacing w:line="242" w:lineRule="auto" w:before="62"/>
        <w:ind w:left="372" w:right="372"/>
        <w:jc w:val="both"/>
        <w:rPr>
          <w:rFonts w:ascii="黑体" w:eastAsia="黑体"/>
        </w:rPr>
      </w:pPr>
      <w:r>
        <w:rPr>
          <w:rFonts w:ascii="黑体" w:eastAsia="黑体"/>
          <w:spacing w:val="-2"/>
        </w:rPr>
        <w:t>任何非因感染导致的溶血性贫血，如：自身免疫性溶血性贫血、与红细胞膜缺陷有</w:t>
      </w:r>
      <w:r>
        <w:rPr>
          <w:rFonts w:ascii="黑体" w:eastAsia="黑体"/>
          <w:spacing w:val="-2"/>
        </w:rPr>
        <w:t>关的溶血性贫血、红细胞酶病、血红蛋白病等，不在本合同所定义的重大疾病范围</w:t>
      </w:r>
      <w:r>
        <w:rPr>
          <w:rFonts w:ascii="黑体" w:eastAsia="黑体"/>
          <w:spacing w:val="-6"/>
        </w:rPr>
        <w:t>内。</w:t>
      </w:r>
    </w:p>
    <w:p>
      <w:pPr>
        <w:spacing w:after="0" w:line="242" w:lineRule="auto"/>
        <w:jc w:val="both"/>
        <w:rPr>
          <w:rFonts w:ascii="黑体" w:eastAsia="黑体"/>
        </w:rPr>
        <w:sectPr>
          <w:type w:val="continuous"/>
          <w:pgSz w:w="11910" w:h="16850"/>
          <w:pgMar w:top="520" w:bottom="280" w:left="620" w:right="720"/>
          <w:cols w:num="2" w:equalWidth="0">
            <w:col w:w="2196" w:space="40"/>
            <w:col w:w="8334"/>
          </w:cols>
        </w:sectPr>
      </w:pPr>
    </w:p>
    <w:p>
      <w:pPr>
        <w:pStyle w:val="BodyText"/>
        <w:spacing w:before="7"/>
        <w:rPr>
          <w:rFonts w:ascii="黑体"/>
          <w:sz w:val="12"/>
        </w:rPr>
      </w:pPr>
    </w:p>
    <w:p>
      <w:pPr>
        <w:spacing w:after="0"/>
        <w:rPr>
          <w:rFonts w:ascii="黑体"/>
          <w:sz w:val="12"/>
        </w:rPr>
        <w:sectPr>
          <w:type w:val="continuous"/>
          <w:pgSz w:w="11910" w:h="16850"/>
          <w:pgMar w:top="520" w:bottom="280" w:left="620" w:right="720"/>
        </w:sectPr>
      </w:pPr>
    </w:p>
    <w:p>
      <w:pPr>
        <w:pStyle w:val="Heading3"/>
        <w:numPr>
          <w:ilvl w:val="1"/>
          <w:numId w:val="37"/>
        </w:numPr>
        <w:tabs>
          <w:tab w:pos="1140" w:val="left" w:leader="none"/>
        </w:tabs>
        <w:spacing w:line="244" w:lineRule="auto" w:before="71" w:after="0"/>
        <w:ind w:left="1139" w:right="0" w:hanging="661"/>
        <w:jc w:val="left"/>
      </w:pPr>
      <w:r>
        <w:rPr>
          <w:spacing w:val="-2"/>
        </w:rPr>
        <w:t>出血性登革</w:t>
      </w:r>
      <w:r>
        <w:rPr>
          <w:spacing w:val="-10"/>
        </w:rPr>
        <w:t>热</w:t>
      </w:r>
    </w:p>
    <w:p>
      <w:pPr>
        <w:pStyle w:val="BodyText"/>
        <w:spacing w:line="244" w:lineRule="auto" w:before="71"/>
        <w:ind w:left="372" w:right="372"/>
        <w:rPr>
          <w:rFonts w:ascii="黑体" w:eastAsia="黑体"/>
        </w:rPr>
      </w:pPr>
      <w:r>
        <w:rPr/>
        <w:br w:type="column"/>
      </w:r>
      <w:r>
        <w:rPr>
          <w:spacing w:val="-2"/>
        </w:rPr>
        <w:t>是由登革热病毒引起的急性传染病，为一种自限性疾病，通常预后良好。本保单仅</w:t>
      </w:r>
      <w:r>
        <w:rPr>
          <w:spacing w:val="-2"/>
        </w:rPr>
        <w:t>将严重的登革热</w:t>
      </w:r>
      <w:r>
        <w:rPr>
          <w:rFonts w:ascii="黑体" w:eastAsia="黑体"/>
          <w:spacing w:val="-2"/>
        </w:rPr>
        <w:t>列入本合同所定义的重大疾病范围</w:t>
      </w:r>
      <w:r>
        <w:rPr>
          <w:spacing w:val="-2"/>
        </w:rPr>
        <w:t>，</w:t>
      </w:r>
      <w:r>
        <w:rPr>
          <w:rFonts w:ascii="黑体" w:eastAsia="黑体"/>
          <w:spacing w:val="-2"/>
        </w:rPr>
        <w:t>并须满足下列全部条件：</w:t>
      </w:r>
    </w:p>
    <w:p>
      <w:pPr>
        <w:pStyle w:val="ListParagraph"/>
        <w:numPr>
          <w:ilvl w:val="0"/>
          <w:numId w:val="66"/>
        </w:numPr>
        <w:tabs>
          <w:tab w:pos="1108" w:val="left" w:leader="none"/>
        </w:tabs>
        <w:spacing w:line="240" w:lineRule="auto" w:before="56" w:after="0"/>
        <w:ind w:left="1107" w:right="0" w:hanging="736"/>
        <w:jc w:val="left"/>
        <w:rPr>
          <w:sz w:val="21"/>
        </w:rPr>
      </w:pPr>
      <w:r>
        <w:rPr>
          <w:spacing w:val="-2"/>
          <w:sz w:val="21"/>
        </w:rPr>
        <w:t>根据《登革热诊疗指南（2014</w:t>
      </w:r>
      <w:r>
        <w:rPr>
          <w:spacing w:val="-22"/>
          <w:sz w:val="21"/>
        </w:rPr>
        <w:t> 版</w:t>
      </w:r>
      <w:r>
        <w:rPr>
          <w:spacing w:val="-106"/>
          <w:sz w:val="21"/>
        </w:rPr>
        <w:t>）</w:t>
      </w:r>
      <w:r>
        <w:rPr>
          <w:spacing w:val="-3"/>
          <w:sz w:val="21"/>
        </w:rPr>
        <w:t>》诊断的确诊病例；</w:t>
      </w:r>
    </w:p>
    <w:p>
      <w:pPr>
        <w:pStyle w:val="ListParagraph"/>
        <w:numPr>
          <w:ilvl w:val="0"/>
          <w:numId w:val="66"/>
        </w:numPr>
        <w:tabs>
          <w:tab w:pos="1108" w:val="left" w:leader="none"/>
        </w:tabs>
        <w:spacing w:line="240" w:lineRule="auto" w:before="65" w:after="0"/>
        <w:ind w:left="1107" w:right="0" w:hanging="736"/>
        <w:jc w:val="left"/>
        <w:rPr>
          <w:sz w:val="21"/>
        </w:rPr>
      </w:pPr>
      <w:r>
        <w:rPr>
          <w:spacing w:val="-3"/>
          <w:sz w:val="21"/>
        </w:rPr>
        <w:t>出现下列一种或多种严重登革热的临床表现：</w:t>
      </w:r>
    </w:p>
    <w:p>
      <w:pPr>
        <w:pStyle w:val="BodyText"/>
        <w:spacing w:before="62"/>
        <w:ind w:left="1107"/>
      </w:pPr>
      <w:r>
        <w:rPr/>
        <w:t>①</w:t>
      </w:r>
      <w:r>
        <w:rPr>
          <w:spacing w:val="29"/>
          <w:w w:val="150"/>
        </w:rPr>
        <w:t> </w:t>
      </w:r>
      <w:r>
        <w:rPr>
          <w:spacing w:val="-1"/>
        </w:rPr>
        <w:t>血浆渗漏致休克或胸腔积液伴呼吸困难；</w:t>
      </w:r>
    </w:p>
    <w:p>
      <w:pPr>
        <w:pStyle w:val="BodyText"/>
        <w:spacing w:before="64"/>
        <w:ind w:left="1107"/>
      </w:pPr>
      <w:r>
        <w:rPr>
          <w:spacing w:val="-3"/>
        </w:rPr>
        <w:t>② 严重出血：消化道出血、阴道大出血、颅内出血、肉眼血尿或皮下血肿</w:t>
      </w:r>
    </w:p>
    <w:p>
      <w:pPr>
        <w:pStyle w:val="BodyText"/>
        <w:spacing w:before="3"/>
        <w:ind w:left="1527"/>
      </w:pPr>
      <w:r>
        <w:rPr>
          <w:spacing w:val="-2"/>
        </w:rPr>
        <w:t>（不包括皮下出血点</w:t>
      </w:r>
      <w:r>
        <w:rPr>
          <w:spacing w:val="-5"/>
        </w:rPr>
        <w:t>）；</w:t>
      </w:r>
    </w:p>
    <w:p>
      <w:pPr>
        <w:pStyle w:val="BodyText"/>
        <w:spacing w:line="242" w:lineRule="auto" w:before="64"/>
        <w:ind w:left="1527" w:right="370" w:hanging="421"/>
      </w:pPr>
      <w:r>
        <w:rPr/>
        <w:t>③ 严重器官损害或衰竭：肝脏损伤(ALT</w:t>
      </w:r>
      <w:r>
        <w:rPr>
          <w:spacing w:val="-30"/>
        </w:rPr>
        <w:t> 或 </w:t>
      </w:r>
      <w:r>
        <w:rPr/>
        <w:t>AST＞1000IU/L)、ARDS（急性</w:t>
      </w:r>
      <w:r>
        <w:rPr>
          <w:spacing w:val="-2"/>
        </w:rPr>
        <w:t>呼吸窘迫综合征、急性心功能衰竭、急性肾功能衰竭、脑病。</w:t>
      </w:r>
    </w:p>
    <w:p>
      <w:pPr>
        <w:spacing w:after="0" w:line="242" w:lineRule="auto"/>
        <w:sectPr>
          <w:type w:val="continuous"/>
          <w:pgSz w:w="11910" w:h="16850"/>
          <w:pgMar w:top="520" w:bottom="280" w:left="620" w:right="720"/>
          <w:cols w:num="2" w:equalWidth="0">
            <w:col w:w="2196" w:space="40"/>
            <w:col w:w="8334"/>
          </w:cols>
        </w:sectPr>
      </w:pPr>
    </w:p>
    <w:p>
      <w:pPr>
        <w:pStyle w:val="BodyText"/>
        <w:spacing w:before="4"/>
        <w:rPr>
          <w:sz w:val="12"/>
        </w:rPr>
      </w:pPr>
    </w:p>
    <w:p>
      <w:pPr>
        <w:pStyle w:val="ListParagraph"/>
        <w:numPr>
          <w:ilvl w:val="1"/>
          <w:numId w:val="37"/>
        </w:numPr>
        <w:tabs>
          <w:tab w:pos="1140" w:val="left" w:leader="none"/>
        </w:tabs>
        <w:spacing w:line="242" w:lineRule="auto" w:before="72" w:after="0"/>
        <w:ind w:left="2608" w:right="370" w:hanging="2130"/>
        <w:jc w:val="both"/>
        <w:rPr>
          <w:sz w:val="21"/>
        </w:rPr>
      </w:pPr>
      <w:r>
        <w:rPr>
          <w:b/>
          <w:spacing w:val="49"/>
          <w:sz w:val="21"/>
        </w:rPr>
        <w:t>严重癫痫症 </w:t>
      </w:r>
      <w:r>
        <w:rPr>
          <w:sz w:val="21"/>
        </w:rPr>
        <w:t>严重癫痫症的诊断须由神经科或儿科专科医生根据典型临床症状和脑电图及头颅断</w:t>
      </w:r>
      <w:r>
        <w:rPr>
          <w:spacing w:val="-2"/>
          <w:sz w:val="21"/>
        </w:rPr>
        <w:t>层扫描（CT）、核磁共振检查（MRI）或正电子发射断层扫描（PET）等影像学检查</w:t>
      </w:r>
      <w:r>
        <w:rPr>
          <w:spacing w:val="-4"/>
          <w:sz w:val="21"/>
        </w:rPr>
        <w:t>证实。理赔时必须提供 </w:t>
      </w:r>
      <w:r>
        <w:rPr>
          <w:spacing w:val="-2"/>
          <w:sz w:val="21"/>
        </w:rPr>
        <w:t>6</w:t>
      </w:r>
      <w:r>
        <w:rPr>
          <w:spacing w:val="-7"/>
          <w:sz w:val="21"/>
        </w:rPr>
        <w:t> 个月以上的相关病历记录证明被保险人存在经抗癫痫药物</w:t>
      </w:r>
      <w:r>
        <w:rPr>
          <w:spacing w:val="-2"/>
          <w:sz w:val="21"/>
        </w:rPr>
        <w:t>治疗无效而反复发作的强直阵挛性发作或癫痫大发作，且已经实施了神经外科手术</w:t>
      </w:r>
      <w:r>
        <w:rPr>
          <w:spacing w:val="-2"/>
          <w:sz w:val="21"/>
        </w:rPr>
        <w:t>以治疗反复发作的癫痫。</w:t>
      </w:r>
    </w:p>
    <w:p>
      <w:pPr>
        <w:pStyle w:val="BodyText"/>
        <w:spacing w:line="242" w:lineRule="auto" w:before="64"/>
        <w:ind w:left="2608" w:right="372"/>
        <w:rPr>
          <w:rFonts w:ascii="黑体" w:eastAsia="黑体"/>
        </w:rPr>
      </w:pPr>
      <w:r>
        <w:rPr>
          <w:rFonts w:ascii="黑体" w:eastAsia="黑体"/>
          <w:spacing w:val="-2"/>
        </w:rPr>
        <w:t>发热性惊厥以及没有全身性发作的失神发作（癫痫小发作）不在本合同所定义的重</w:t>
      </w:r>
      <w:r>
        <w:rPr>
          <w:rFonts w:ascii="黑体" w:eastAsia="黑体"/>
          <w:spacing w:val="-2"/>
        </w:rPr>
        <w:t>大疾病范围内。</w:t>
      </w:r>
    </w:p>
    <w:p>
      <w:pPr>
        <w:pStyle w:val="BodyText"/>
        <w:spacing w:before="7"/>
        <w:rPr>
          <w:rFonts w:ascii="黑体"/>
          <w:sz w:val="12"/>
        </w:rPr>
      </w:pPr>
    </w:p>
    <w:p>
      <w:pPr>
        <w:spacing w:after="0"/>
        <w:rPr>
          <w:rFonts w:ascii="黑体"/>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1" w:after="0"/>
        <w:ind w:left="1139" w:right="0" w:hanging="661"/>
        <w:jc w:val="left"/>
      </w:pPr>
      <w:r>
        <w:rPr>
          <w:spacing w:val="-2"/>
        </w:rPr>
        <w:t>左室室壁瘤</w:t>
      </w:r>
    </w:p>
    <w:p>
      <w:pPr>
        <w:spacing w:before="3"/>
        <w:ind w:left="1139" w:right="0" w:firstLine="0"/>
        <w:jc w:val="left"/>
        <w:rPr>
          <w:b/>
          <w:sz w:val="21"/>
        </w:rPr>
      </w:pPr>
      <w:r>
        <w:rPr>
          <w:b/>
          <w:spacing w:val="-3"/>
          <w:sz w:val="21"/>
        </w:rPr>
        <w:t>切除手术</w:t>
      </w:r>
    </w:p>
    <w:p>
      <w:pPr>
        <w:pStyle w:val="BodyText"/>
        <w:spacing w:line="242" w:lineRule="auto" w:before="71"/>
        <w:ind w:left="372" w:right="373"/>
      </w:pPr>
      <w:r>
        <w:rPr/>
        <w:br w:type="column"/>
      </w:r>
      <w:r>
        <w:rPr>
          <w:spacing w:val="-2"/>
        </w:rPr>
        <w:t>被保险人被明确诊断为左室室壁瘤，并且实际接受了开胸进行的室壁瘤切除手术治</w:t>
      </w:r>
      <w:r>
        <w:rPr>
          <w:spacing w:val="-6"/>
        </w:rPr>
        <w:t>疗。</w:t>
      </w:r>
    </w:p>
    <w:p>
      <w:pPr>
        <w:pStyle w:val="BodyText"/>
        <w:spacing w:before="62"/>
        <w:ind w:left="372"/>
        <w:rPr>
          <w:rFonts w:ascii="黑体" w:eastAsia="黑体"/>
        </w:rPr>
      </w:pPr>
      <w:r>
        <w:rPr>
          <w:rFonts w:ascii="黑体" w:eastAsia="黑体"/>
          <w:spacing w:val="-3"/>
        </w:rPr>
        <w:t>经导管心室内成型手术治疗不在本合同所定义的重大疾病范围内。</w:t>
      </w:r>
    </w:p>
    <w:p>
      <w:pPr>
        <w:spacing w:after="0"/>
        <w:rPr>
          <w:rFonts w:ascii="黑体" w:eastAsia="黑体"/>
        </w:rPr>
        <w:sectPr>
          <w:type w:val="continuous"/>
          <w:pgSz w:w="11910" w:h="16850"/>
          <w:pgMar w:top="520" w:bottom="280" w:left="620" w:right="720"/>
          <w:cols w:num="2" w:equalWidth="0">
            <w:col w:w="2196" w:space="40"/>
            <w:col w:w="8334"/>
          </w:cols>
        </w:sectPr>
      </w:pPr>
    </w:p>
    <w:p>
      <w:pPr>
        <w:pStyle w:val="BodyText"/>
        <w:spacing w:before="7"/>
        <w:rPr>
          <w:rFonts w:ascii="黑体"/>
          <w:sz w:val="12"/>
        </w:rPr>
      </w:pPr>
    </w:p>
    <w:p>
      <w:pPr>
        <w:spacing w:after="0"/>
        <w:rPr>
          <w:rFonts w:ascii="黑体"/>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1" w:after="0"/>
        <w:ind w:left="1139" w:right="0" w:hanging="661"/>
        <w:jc w:val="left"/>
      </w:pPr>
      <w:r>
        <w:rPr>
          <w:spacing w:val="-2"/>
        </w:rPr>
        <w:t>侵蚀性葡萄</w:t>
      </w:r>
    </w:p>
    <w:p>
      <w:pPr>
        <w:spacing w:line="244" w:lineRule="auto" w:before="3"/>
        <w:ind w:left="1139" w:right="0" w:firstLine="0"/>
        <w:jc w:val="left"/>
        <w:rPr>
          <w:b/>
          <w:sz w:val="21"/>
        </w:rPr>
      </w:pPr>
      <w:r>
        <w:rPr>
          <w:b/>
          <w:spacing w:val="-4"/>
          <w:sz w:val="21"/>
        </w:rPr>
        <w:t>胎（或称恶性</w:t>
      </w:r>
      <w:r>
        <w:rPr>
          <w:b/>
          <w:spacing w:val="-4"/>
          <w:sz w:val="21"/>
        </w:rPr>
        <w:t>葡萄胎）</w:t>
      </w:r>
    </w:p>
    <w:p>
      <w:pPr>
        <w:pStyle w:val="BodyText"/>
        <w:spacing w:line="242" w:lineRule="auto" w:before="71"/>
        <w:ind w:left="173" w:right="378"/>
      </w:pPr>
      <w:r>
        <w:rPr/>
        <w:br w:type="column"/>
      </w:r>
      <w:r>
        <w:rPr>
          <w:spacing w:val="3"/>
          <w:w w:val="100"/>
        </w:rPr>
        <w:t>指异常增生的绒毛组织浸润性生长浸入子宫肌层或转移至其他器官或组织的葡萄</w:t>
      </w:r>
      <w:r>
        <w:rPr>
          <w:spacing w:val="-3"/>
          <w:w w:val="100"/>
        </w:rPr>
        <w:t>胎，并已经进行化疗或手术治疗的。</w:t>
      </w:r>
    </w:p>
    <w:p>
      <w:pPr>
        <w:spacing w:after="0" w:line="242" w:lineRule="auto"/>
        <w:sectPr>
          <w:type w:val="continuous"/>
          <w:pgSz w:w="11910" w:h="16850"/>
          <w:pgMar w:top="520" w:bottom="280" w:left="620" w:right="720"/>
          <w:cols w:num="2" w:equalWidth="0">
            <w:col w:w="2395" w:space="40"/>
            <w:col w:w="8135"/>
          </w:cols>
        </w:sectPr>
      </w:pPr>
    </w:p>
    <w:p>
      <w:pPr>
        <w:pStyle w:val="BodyText"/>
        <w:spacing w:before="1"/>
        <w:rPr>
          <w:sz w:val="12"/>
        </w:rPr>
      </w:pPr>
    </w:p>
    <w:p>
      <w:pPr>
        <w:spacing w:after="0"/>
        <w:rPr>
          <w:sz w:val="12"/>
        </w:rPr>
        <w:sectPr>
          <w:type w:val="continuous"/>
          <w:pgSz w:w="11910" w:h="16850"/>
          <w:pgMar w:top="520" w:bottom="280" w:left="620" w:right="720"/>
        </w:sectPr>
      </w:pPr>
    </w:p>
    <w:p>
      <w:pPr>
        <w:pStyle w:val="Heading3"/>
        <w:numPr>
          <w:ilvl w:val="1"/>
          <w:numId w:val="37"/>
        </w:numPr>
        <w:tabs>
          <w:tab w:pos="1140" w:val="left" w:leader="none"/>
        </w:tabs>
        <w:spacing w:line="240" w:lineRule="auto" w:before="72" w:after="0"/>
        <w:ind w:left="1139" w:right="0" w:hanging="661"/>
        <w:jc w:val="left"/>
      </w:pPr>
      <w:r>
        <w:rPr>
          <w:spacing w:val="-2"/>
        </w:rPr>
        <w:t>严重感染性</w:t>
      </w:r>
    </w:p>
    <w:p>
      <w:pPr>
        <w:spacing w:before="4"/>
        <w:ind w:left="1139" w:right="0" w:firstLine="0"/>
        <w:jc w:val="left"/>
        <w:rPr>
          <w:b/>
          <w:sz w:val="21"/>
        </w:rPr>
      </w:pPr>
      <w:r>
        <w:rPr>
          <w:b/>
          <w:spacing w:val="-3"/>
          <w:sz w:val="21"/>
        </w:rPr>
        <w:t>心内膜炎</w:t>
      </w:r>
    </w:p>
    <w:p>
      <w:pPr>
        <w:pStyle w:val="BodyText"/>
        <w:spacing w:before="72"/>
        <w:ind w:left="372"/>
        <w:rPr>
          <w:rFonts w:ascii="黑体" w:eastAsia="黑体"/>
        </w:rPr>
      </w:pPr>
      <w:r>
        <w:rPr/>
        <w:br w:type="column"/>
      </w:r>
      <w:r>
        <w:rPr>
          <w:spacing w:val="-2"/>
        </w:rPr>
        <w:t>是指由感染性微生物引致的心脏内膜炎症，</w:t>
      </w:r>
      <w:r>
        <w:rPr>
          <w:rFonts w:ascii="黑体" w:eastAsia="黑体"/>
          <w:spacing w:val="-3"/>
        </w:rPr>
        <w:t>并须满足下列全部条件：</w:t>
      </w:r>
    </w:p>
    <w:p>
      <w:pPr>
        <w:pStyle w:val="ListParagraph"/>
        <w:numPr>
          <w:ilvl w:val="0"/>
          <w:numId w:val="67"/>
        </w:numPr>
        <w:tabs>
          <w:tab w:pos="1108" w:val="left" w:leader="none"/>
        </w:tabs>
        <w:spacing w:line="240" w:lineRule="auto" w:before="64" w:after="0"/>
        <w:ind w:left="1107" w:right="0" w:hanging="736"/>
        <w:jc w:val="left"/>
        <w:rPr>
          <w:sz w:val="21"/>
        </w:rPr>
      </w:pPr>
      <w:r>
        <w:rPr>
          <w:spacing w:val="-3"/>
          <w:sz w:val="21"/>
        </w:rPr>
        <w:t>血液细菌培养结果呈阳性反应，证明感染性微生物的存在；</w:t>
      </w:r>
    </w:p>
    <w:p>
      <w:pPr>
        <w:pStyle w:val="ListParagraph"/>
        <w:numPr>
          <w:ilvl w:val="0"/>
          <w:numId w:val="67"/>
        </w:numPr>
        <w:tabs>
          <w:tab w:pos="1108" w:val="left" w:leader="none"/>
        </w:tabs>
        <w:spacing w:line="242" w:lineRule="auto" w:before="62" w:after="0"/>
        <w:ind w:left="1107" w:right="370" w:hanging="735"/>
        <w:jc w:val="both"/>
        <w:rPr>
          <w:sz w:val="21"/>
        </w:rPr>
      </w:pPr>
      <w:r>
        <w:rPr>
          <w:spacing w:val="-6"/>
          <w:sz w:val="21"/>
        </w:rPr>
        <w:t>由感染性心内膜炎导致至少中度的心脏瓣膜功能不全</w:t>
      </w:r>
      <w:r>
        <w:rPr>
          <w:spacing w:val="-2"/>
          <w:sz w:val="21"/>
        </w:rPr>
        <w:t>（即返流部分达百分之</w:t>
      </w:r>
      <w:r>
        <w:rPr>
          <w:spacing w:val="-4"/>
          <w:sz w:val="21"/>
        </w:rPr>
        <w:t>二十或以上）或中度的心脏瓣膜狭窄（即心脏瓣面积为正常值的百分之三十</w:t>
      </w:r>
      <w:r>
        <w:rPr>
          <w:spacing w:val="-4"/>
          <w:sz w:val="21"/>
        </w:rPr>
        <w:t>或以下</w:t>
      </w:r>
      <w:r>
        <w:rPr>
          <w:spacing w:val="-106"/>
          <w:sz w:val="21"/>
        </w:rPr>
        <w:t>）</w:t>
      </w:r>
      <w:r>
        <w:rPr>
          <w:sz w:val="21"/>
        </w:rPr>
        <w:t>；</w:t>
      </w:r>
    </w:p>
    <w:p>
      <w:pPr>
        <w:pStyle w:val="ListParagraph"/>
        <w:numPr>
          <w:ilvl w:val="0"/>
          <w:numId w:val="67"/>
        </w:numPr>
        <w:tabs>
          <w:tab w:pos="1108" w:val="left" w:leader="none"/>
        </w:tabs>
        <w:spacing w:line="242" w:lineRule="auto" w:before="64" w:after="0"/>
        <w:ind w:left="1107" w:right="370" w:hanging="735"/>
        <w:jc w:val="both"/>
        <w:rPr>
          <w:sz w:val="21"/>
        </w:rPr>
      </w:pPr>
      <w:r>
        <w:rPr>
          <w:spacing w:val="-2"/>
          <w:sz w:val="21"/>
        </w:rPr>
        <w:t>感染性心内膜炎的诊断及瓣膜受损的严重程度必须由本公司认可的医院的</w:t>
      </w:r>
      <w:r>
        <w:rPr>
          <w:spacing w:val="-11"/>
          <w:sz w:val="21"/>
        </w:rPr>
        <w:t>心脏病专科医生确定，并提供超声心动图或放射影像学检查结果报告以支持</w:t>
      </w:r>
      <w:r>
        <w:rPr>
          <w:spacing w:val="-4"/>
          <w:sz w:val="21"/>
        </w:rPr>
        <w:t>诊断。</w:t>
      </w:r>
    </w:p>
    <w:p>
      <w:pPr>
        <w:spacing w:after="0" w:line="242" w:lineRule="auto"/>
        <w:jc w:val="both"/>
        <w:rPr>
          <w:sz w:val="21"/>
        </w:rPr>
        <w:sectPr>
          <w:type w:val="continuous"/>
          <w:pgSz w:w="11910" w:h="16850"/>
          <w:pgMar w:top="520" w:bottom="280" w:left="620" w:right="720"/>
          <w:cols w:num="2" w:equalWidth="0">
            <w:col w:w="2196" w:space="40"/>
            <w:col w:w="8334"/>
          </w:cols>
        </w:sectPr>
      </w:pPr>
    </w:p>
    <w:tbl>
      <w:tblPr>
        <w:tblW w:w="0" w:type="auto"/>
        <w:jc w:val="left"/>
        <w:tblInd w:w="43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4"/>
        <w:gridCol w:w="1328"/>
        <w:gridCol w:w="7925"/>
      </w:tblGrid>
      <w:tr>
        <w:trPr>
          <w:trHeight w:val="902" w:hRule="atLeast"/>
        </w:trPr>
        <w:tc>
          <w:tcPr>
            <w:tcW w:w="644" w:type="dxa"/>
          </w:tcPr>
          <w:p>
            <w:pPr>
              <w:pStyle w:val="TableParagraph"/>
              <w:spacing w:line="241" w:lineRule="exact"/>
              <w:ind w:left="34" w:right="49"/>
              <w:jc w:val="center"/>
              <w:rPr>
                <w:b/>
                <w:sz w:val="21"/>
              </w:rPr>
            </w:pPr>
            <w:r>
              <w:rPr>
                <w:b/>
                <w:spacing w:val="-2"/>
                <w:sz w:val="21"/>
              </w:rPr>
              <w:t>7.103</w:t>
            </w:r>
          </w:p>
        </w:tc>
        <w:tc>
          <w:tcPr>
            <w:tcW w:w="1328" w:type="dxa"/>
          </w:tcPr>
          <w:p>
            <w:pPr>
              <w:pStyle w:val="TableParagraph"/>
              <w:spacing w:line="241" w:lineRule="exact"/>
              <w:ind w:left="66"/>
              <w:rPr>
                <w:b/>
                <w:sz w:val="21"/>
              </w:rPr>
            </w:pPr>
            <w:r>
              <w:rPr>
                <w:b/>
                <w:spacing w:val="-2"/>
                <w:sz w:val="21"/>
              </w:rPr>
              <w:t>肺泡蛋白质</w:t>
            </w:r>
          </w:p>
          <w:p>
            <w:pPr>
              <w:pStyle w:val="TableParagraph"/>
              <w:spacing w:before="4"/>
              <w:ind w:left="66"/>
              <w:rPr>
                <w:b/>
                <w:sz w:val="21"/>
              </w:rPr>
            </w:pPr>
            <w:r>
              <w:rPr>
                <w:b/>
                <w:spacing w:val="-4"/>
                <w:sz w:val="21"/>
              </w:rPr>
              <w:t>沉积症</w:t>
            </w:r>
          </w:p>
        </w:tc>
        <w:tc>
          <w:tcPr>
            <w:tcW w:w="7925" w:type="dxa"/>
          </w:tcPr>
          <w:p>
            <w:pPr>
              <w:pStyle w:val="TableParagraph"/>
              <w:spacing w:line="241" w:lineRule="exact"/>
              <w:ind w:left="207"/>
              <w:rPr>
                <w:sz w:val="21"/>
              </w:rPr>
            </w:pPr>
            <w:r>
              <w:rPr>
                <w:spacing w:val="-4"/>
                <w:sz w:val="21"/>
              </w:rPr>
              <w:t>指肺泡和细支气管腔内充满不可溶性富磷脂蛋白的疾病，胸部 </w:t>
            </w:r>
            <w:r>
              <w:rPr>
                <w:spacing w:val="-2"/>
                <w:sz w:val="21"/>
              </w:rPr>
              <w:t>X</w:t>
            </w:r>
            <w:r>
              <w:rPr>
                <w:spacing w:val="-9"/>
                <w:sz w:val="21"/>
              </w:rPr>
              <w:t> 线呈双肺弥漫性肺</w:t>
            </w:r>
          </w:p>
          <w:p>
            <w:pPr>
              <w:pStyle w:val="TableParagraph"/>
              <w:spacing w:line="242" w:lineRule="auto" w:before="4"/>
              <w:ind w:left="207" w:right="46"/>
              <w:rPr>
                <w:sz w:val="21"/>
              </w:rPr>
            </w:pPr>
            <w:r>
              <w:rPr>
                <w:spacing w:val="-2"/>
                <w:sz w:val="21"/>
              </w:rPr>
              <w:t>部磨玻璃影，病理学检查肺泡内充满有过碘酸雪夫（PAS）染色阳性的蛋白样物质，</w:t>
            </w:r>
            <w:r>
              <w:rPr>
                <w:spacing w:val="-2"/>
                <w:sz w:val="21"/>
              </w:rPr>
              <w:t>并且接受了肺灌洗治疗。</w:t>
            </w:r>
          </w:p>
        </w:tc>
      </w:tr>
      <w:tr>
        <w:trPr>
          <w:trHeight w:val="775" w:hRule="atLeast"/>
        </w:trPr>
        <w:tc>
          <w:tcPr>
            <w:tcW w:w="644" w:type="dxa"/>
          </w:tcPr>
          <w:p>
            <w:pPr>
              <w:pStyle w:val="TableParagraph"/>
              <w:spacing w:before="118"/>
              <w:ind w:left="34" w:right="49"/>
              <w:jc w:val="center"/>
              <w:rPr>
                <w:b/>
                <w:sz w:val="21"/>
              </w:rPr>
            </w:pPr>
            <w:r>
              <w:rPr>
                <w:b/>
                <w:spacing w:val="-2"/>
                <w:sz w:val="21"/>
              </w:rPr>
              <w:t>7.104</w:t>
            </w:r>
          </w:p>
        </w:tc>
        <w:tc>
          <w:tcPr>
            <w:tcW w:w="1328" w:type="dxa"/>
          </w:tcPr>
          <w:p>
            <w:pPr>
              <w:pStyle w:val="TableParagraph"/>
              <w:spacing w:line="242" w:lineRule="auto" w:before="118"/>
              <w:ind w:left="66" w:right="203"/>
              <w:rPr>
                <w:b/>
                <w:sz w:val="21"/>
              </w:rPr>
            </w:pPr>
            <w:r>
              <w:rPr>
                <w:b/>
                <w:spacing w:val="-2"/>
                <w:sz w:val="21"/>
              </w:rPr>
              <w:t>严重面部烧</w:t>
            </w:r>
            <w:r>
              <w:rPr>
                <w:b/>
                <w:spacing w:val="-10"/>
                <w:sz w:val="21"/>
              </w:rPr>
              <w:t>伤</w:t>
            </w:r>
          </w:p>
        </w:tc>
        <w:tc>
          <w:tcPr>
            <w:tcW w:w="7925" w:type="dxa"/>
          </w:tcPr>
          <w:p>
            <w:pPr>
              <w:pStyle w:val="TableParagraph"/>
              <w:spacing w:before="118"/>
              <w:ind w:left="207"/>
              <w:rPr>
                <w:sz w:val="21"/>
              </w:rPr>
            </w:pPr>
            <w:r>
              <w:rPr>
                <w:spacing w:val="-4"/>
                <w:sz w:val="21"/>
              </w:rPr>
              <w:t>指烧伤程度为Ⅲ度，且Ⅲ度烧伤的面积达到面部表面积的 </w:t>
            </w:r>
            <w:r>
              <w:rPr>
                <w:spacing w:val="-2"/>
                <w:sz w:val="21"/>
              </w:rPr>
              <w:t>80</w:t>
            </w:r>
            <w:r>
              <w:rPr>
                <w:spacing w:val="-15"/>
                <w:sz w:val="21"/>
              </w:rPr>
              <w:t>％或 </w:t>
            </w:r>
            <w:r>
              <w:rPr>
                <w:spacing w:val="-2"/>
                <w:sz w:val="21"/>
              </w:rPr>
              <w:t>80</w:t>
            </w:r>
            <w:r>
              <w:rPr>
                <w:spacing w:val="-4"/>
                <w:sz w:val="21"/>
              </w:rPr>
              <w:t>％以上。</w:t>
            </w:r>
          </w:p>
        </w:tc>
      </w:tr>
      <w:tr>
        <w:trPr>
          <w:trHeight w:val="690" w:hRule="atLeast"/>
        </w:trPr>
        <w:tc>
          <w:tcPr>
            <w:tcW w:w="644" w:type="dxa"/>
          </w:tcPr>
          <w:p>
            <w:pPr>
              <w:pStyle w:val="TableParagraph"/>
              <w:spacing w:before="118"/>
              <w:ind w:left="34" w:right="49"/>
              <w:jc w:val="center"/>
              <w:rPr>
                <w:b/>
                <w:sz w:val="21"/>
              </w:rPr>
            </w:pPr>
            <w:r>
              <w:rPr>
                <w:b/>
                <w:spacing w:val="-2"/>
                <w:sz w:val="21"/>
              </w:rPr>
              <w:t>7.105</w:t>
            </w:r>
          </w:p>
        </w:tc>
        <w:tc>
          <w:tcPr>
            <w:tcW w:w="1328" w:type="dxa"/>
          </w:tcPr>
          <w:p>
            <w:pPr>
              <w:pStyle w:val="TableParagraph"/>
              <w:spacing w:line="242" w:lineRule="auto" w:before="118"/>
              <w:ind w:left="66" w:right="203"/>
              <w:rPr>
                <w:b/>
                <w:sz w:val="21"/>
              </w:rPr>
            </w:pPr>
            <w:r>
              <w:rPr>
                <w:b/>
                <w:spacing w:val="-2"/>
                <w:sz w:val="21"/>
              </w:rPr>
              <w:t>失去一肢及</w:t>
            </w:r>
            <w:r>
              <w:rPr>
                <w:b/>
                <w:spacing w:val="-6"/>
                <w:sz w:val="21"/>
              </w:rPr>
              <w:t>一眼</w:t>
            </w:r>
          </w:p>
        </w:tc>
        <w:tc>
          <w:tcPr>
            <w:tcW w:w="7925" w:type="dxa"/>
          </w:tcPr>
          <w:p>
            <w:pPr>
              <w:pStyle w:val="TableParagraph"/>
              <w:spacing w:line="242" w:lineRule="auto" w:before="118"/>
              <w:ind w:left="207" w:right="133"/>
              <w:rPr>
                <w:sz w:val="21"/>
              </w:rPr>
            </w:pPr>
            <w:r>
              <w:rPr>
                <w:spacing w:val="-2"/>
                <w:sz w:val="21"/>
              </w:rPr>
              <w:t>因疾病或意外伤害导致单眼视力丧失及任何一肢自腕关节或踝关节近端（靠近躯干</w:t>
            </w:r>
            <w:r>
              <w:rPr>
                <w:spacing w:val="-2"/>
                <w:sz w:val="21"/>
              </w:rPr>
              <w:t>端）以上完全性断离。</w:t>
            </w:r>
          </w:p>
        </w:tc>
      </w:tr>
      <w:tr>
        <w:trPr>
          <w:trHeight w:val="272" w:hRule="atLeast"/>
        </w:trPr>
        <w:tc>
          <w:tcPr>
            <w:tcW w:w="644" w:type="dxa"/>
          </w:tcPr>
          <w:p>
            <w:pPr>
              <w:pStyle w:val="TableParagraph"/>
              <w:rPr>
                <w:rFonts w:ascii="Times New Roman"/>
                <w:sz w:val="20"/>
              </w:rPr>
            </w:pPr>
          </w:p>
        </w:tc>
        <w:tc>
          <w:tcPr>
            <w:tcW w:w="1328" w:type="dxa"/>
          </w:tcPr>
          <w:p>
            <w:pPr>
              <w:pStyle w:val="TableParagraph"/>
              <w:rPr>
                <w:rFonts w:ascii="Times New Roman"/>
                <w:sz w:val="20"/>
              </w:rPr>
            </w:pPr>
          </w:p>
        </w:tc>
        <w:tc>
          <w:tcPr>
            <w:tcW w:w="7925" w:type="dxa"/>
          </w:tcPr>
          <w:p>
            <w:pPr>
              <w:pStyle w:val="TableParagraph"/>
              <w:spacing w:line="220" w:lineRule="exact" w:before="32"/>
              <w:ind w:left="207"/>
              <w:rPr>
                <w:sz w:val="21"/>
              </w:rPr>
            </w:pPr>
            <w:r>
              <w:rPr>
                <w:spacing w:val="-2"/>
                <w:sz w:val="21"/>
              </w:rPr>
              <w:t>单眼视力丧失指单眼视力永久不可逆性丧失，</w:t>
            </w:r>
            <w:r>
              <w:rPr>
                <w:rFonts w:ascii="黑体" w:eastAsia="黑体"/>
                <w:spacing w:val="-2"/>
                <w:sz w:val="21"/>
              </w:rPr>
              <w:t>患眼须满足下列至少一项条件</w:t>
            </w:r>
            <w:r>
              <w:rPr>
                <w:spacing w:val="-10"/>
                <w:sz w:val="21"/>
              </w:rPr>
              <w:t>：</w:t>
            </w:r>
          </w:p>
        </w:tc>
      </w:tr>
    </w:tbl>
    <w:p>
      <w:pPr>
        <w:pStyle w:val="ListParagraph"/>
        <w:numPr>
          <w:ilvl w:val="1"/>
          <w:numId w:val="67"/>
        </w:numPr>
        <w:tabs>
          <w:tab w:pos="3343" w:val="left" w:leader="none"/>
        </w:tabs>
        <w:spacing w:line="240" w:lineRule="auto" w:before="93" w:after="0"/>
        <w:ind w:left="3342" w:right="0" w:hanging="735"/>
        <w:jc w:val="left"/>
        <w:rPr>
          <w:sz w:val="21"/>
        </w:rPr>
      </w:pPr>
      <w:r>
        <w:rPr>
          <w:spacing w:val="-4"/>
          <w:sz w:val="21"/>
        </w:rPr>
        <w:t>眼球缺失或摘除；</w:t>
      </w:r>
    </w:p>
    <w:p>
      <w:pPr>
        <w:pStyle w:val="ListParagraph"/>
        <w:numPr>
          <w:ilvl w:val="1"/>
          <w:numId w:val="67"/>
        </w:numPr>
        <w:tabs>
          <w:tab w:pos="3343" w:val="left" w:leader="none"/>
        </w:tabs>
        <w:spacing w:line="244" w:lineRule="auto" w:before="62" w:after="0"/>
        <w:ind w:left="3342" w:right="371" w:hanging="735"/>
        <w:jc w:val="left"/>
        <w:rPr>
          <w:sz w:val="21"/>
        </w:rPr>
      </w:pPr>
      <w:r>
        <w:rPr>
          <w:spacing w:val="-2"/>
          <w:sz w:val="21"/>
        </w:rPr>
        <w:t>矫正视力低于 </w:t>
      </w:r>
      <w:r>
        <w:rPr>
          <w:sz w:val="21"/>
        </w:rPr>
        <w:t>0.02（采用国际标准视力表，如果使用其它视力表应进行换</w:t>
      </w:r>
      <w:r>
        <w:rPr>
          <w:spacing w:val="-10"/>
          <w:sz w:val="21"/>
        </w:rPr>
        <w:t>算</w:t>
      </w:r>
      <w:r>
        <w:rPr>
          <w:spacing w:val="-106"/>
          <w:sz w:val="21"/>
        </w:rPr>
        <w:t>）</w:t>
      </w:r>
      <w:r>
        <w:rPr>
          <w:sz w:val="21"/>
        </w:rPr>
        <w:t>；</w:t>
      </w:r>
    </w:p>
    <w:p>
      <w:pPr>
        <w:pStyle w:val="ListParagraph"/>
        <w:numPr>
          <w:ilvl w:val="1"/>
          <w:numId w:val="67"/>
        </w:numPr>
        <w:tabs>
          <w:tab w:pos="3343" w:val="left" w:leader="none"/>
        </w:tabs>
        <w:spacing w:line="240" w:lineRule="auto" w:before="56" w:after="0"/>
        <w:ind w:left="3342" w:right="0" w:hanging="735"/>
        <w:jc w:val="left"/>
        <w:rPr>
          <w:sz w:val="21"/>
        </w:rPr>
      </w:pPr>
      <w:r>
        <w:rPr>
          <w:spacing w:val="-8"/>
          <w:sz w:val="21"/>
        </w:rPr>
        <w:t>视野半径小于 </w:t>
      </w:r>
      <w:r>
        <w:rPr>
          <w:sz w:val="21"/>
        </w:rPr>
        <w:t>5</w:t>
      </w:r>
      <w:r>
        <w:rPr>
          <w:spacing w:val="-8"/>
          <w:sz w:val="21"/>
        </w:rPr>
        <w:t> 度。</w:t>
      </w:r>
    </w:p>
    <w:p>
      <w:pPr>
        <w:pStyle w:val="BodyText"/>
        <w:spacing w:line="242" w:lineRule="auto" w:before="65"/>
        <w:ind w:left="2608" w:right="370"/>
        <w:rPr>
          <w:rFonts w:ascii="黑体" w:eastAsia="黑体"/>
        </w:rPr>
      </w:pPr>
      <w:r>
        <w:rPr>
          <w:rFonts w:ascii="黑体" w:eastAsia="黑体"/>
          <w:spacing w:val="-8"/>
        </w:rPr>
        <w:t>被保险人在 </w:t>
      </w:r>
      <w:r>
        <w:rPr>
          <w:rFonts w:ascii="黑体" w:eastAsia="黑体"/>
        </w:rPr>
        <w:t>3</w:t>
      </w:r>
      <w:r>
        <w:rPr>
          <w:rFonts w:ascii="黑体" w:eastAsia="黑体"/>
          <w:spacing w:val="-7"/>
        </w:rPr>
        <w:t> 周岁之前因疾病导致单眼视力丧失不在本合同所定义的重大疾病范围</w:t>
      </w:r>
      <w:r>
        <w:rPr>
          <w:rFonts w:ascii="黑体" w:eastAsia="黑体"/>
          <w:spacing w:val="-6"/>
        </w:rPr>
        <w:t>内。</w:t>
      </w:r>
    </w:p>
    <w:p>
      <w:pPr>
        <w:pStyle w:val="BodyText"/>
        <w:spacing w:before="7"/>
        <w:rPr>
          <w:rFonts w:ascii="黑体"/>
          <w:sz w:val="15"/>
        </w:rPr>
      </w:pPr>
    </w:p>
    <w:p>
      <w:pPr>
        <w:pStyle w:val="Heading2"/>
        <w:numPr>
          <w:ilvl w:val="2"/>
          <w:numId w:val="4"/>
        </w:numPr>
        <w:tabs>
          <w:tab w:pos="1139" w:val="left" w:leader="none"/>
          <w:tab w:pos="1140" w:val="left" w:leader="none"/>
        </w:tabs>
        <w:spacing w:line="240" w:lineRule="auto" w:before="0" w:after="3"/>
        <w:ind w:left="1139" w:right="0" w:hanging="661"/>
        <w:jc w:val="left"/>
      </w:pPr>
      <w:r>
        <w:rPr>
          <w:w w:val="95"/>
          <w:position w:val="-2"/>
        </w:rPr>
        <w:t>释</w:t>
      </w:r>
      <w:r>
        <w:rPr>
          <w:spacing w:val="-10"/>
          <w:position w:val="-2"/>
        </w:rPr>
        <w:t>义</w:t>
      </w:r>
    </w:p>
    <w:p>
      <w:pPr>
        <w:pStyle w:val="BodyText"/>
        <w:spacing w:line="20" w:lineRule="exact"/>
        <w:ind w:left="371"/>
        <w:rPr>
          <w:sz w:val="2"/>
        </w:rPr>
      </w:pPr>
      <w:r>
        <w:rPr>
          <w:sz w:val="2"/>
        </w:rPr>
        <w:drawing>
          <wp:inline distT="0" distB="0" distL="0" distR="0">
            <wp:extent cx="6301227" cy="6096"/>
            <wp:effectExtent l="0" t="0" r="0" b="0"/>
            <wp:docPr id="19" name="image3.png"/>
            <wp:cNvGraphicFramePr>
              <a:graphicFrameLocks noChangeAspect="1"/>
            </wp:cNvGraphicFramePr>
            <a:graphic>
              <a:graphicData uri="http://schemas.openxmlformats.org/drawingml/2006/picture">
                <pic:pic>
                  <pic:nvPicPr>
                    <pic:cNvPr id="20" name="image3.png"/>
                    <pic:cNvPicPr/>
                  </pic:nvPicPr>
                  <pic:blipFill>
                    <a:blip r:embed="rId7" cstate="print"/>
                    <a:stretch>
                      <a:fillRect/>
                    </a:stretch>
                  </pic:blipFill>
                  <pic:spPr>
                    <a:xfrm>
                      <a:off x="0" y="0"/>
                      <a:ext cx="6301227" cy="6096"/>
                    </a:xfrm>
                    <a:prstGeom prst="rect">
                      <a:avLst/>
                    </a:prstGeom>
                  </pic:spPr>
                </pic:pic>
              </a:graphicData>
            </a:graphic>
          </wp:inline>
        </w:drawing>
      </w:r>
      <w:r>
        <w:rPr>
          <w:sz w:val="2"/>
        </w:rPr>
      </w:r>
    </w:p>
    <w:p>
      <w:pPr>
        <w:pStyle w:val="BodyText"/>
        <w:spacing w:before="11"/>
        <w:rPr>
          <w:b/>
          <w:sz w:val="10"/>
        </w:rPr>
      </w:pPr>
    </w:p>
    <w:p>
      <w:pPr>
        <w:pStyle w:val="ListParagraph"/>
        <w:numPr>
          <w:ilvl w:val="3"/>
          <w:numId w:val="4"/>
        </w:numPr>
        <w:tabs>
          <w:tab w:pos="1143" w:val="left" w:leader="none"/>
        </w:tabs>
        <w:spacing w:line="244" w:lineRule="auto" w:before="72" w:after="0"/>
        <w:ind w:left="2608" w:right="373" w:hanging="2130"/>
        <w:jc w:val="both"/>
        <w:rPr>
          <w:sz w:val="21"/>
        </w:rPr>
      </w:pPr>
      <w:r>
        <w:rPr>
          <w:b/>
          <w:spacing w:val="100"/>
          <w:sz w:val="21"/>
        </w:rPr>
        <w:t>合法有效 </w:t>
      </w:r>
      <w:r>
        <w:rPr>
          <w:sz w:val="21"/>
        </w:rPr>
        <w:t>本合同所指合法有效均以中华人民共和国法律、行政法规、地方性法规、行政规章</w:t>
      </w:r>
      <w:r>
        <w:rPr>
          <w:spacing w:val="-2"/>
          <w:sz w:val="21"/>
        </w:rPr>
        <w:t>及有关规范性法律文件的规定为判定依据。</w:t>
      </w:r>
    </w:p>
    <w:p>
      <w:pPr>
        <w:pStyle w:val="BodyText"/>
        <w:spacing w:before="8"/>
        <w:rPr>
          <w:sz w:val="17"/>
        </w:rPr>
      </w:pPr>
    </w:p>
    <w:p>
      <w:pPr>
        <w:pStyle w:val="ListParagraph"/>
        <w:numPr>
          <w:ilvl w:val="3"/>
          <w:numId w:val="4"/>
        </w:numPr>
        <w:tabs>
          <w:tab w:pos="1140" w:val="left" w:leader="none"/>
        </w:tabs>
        <w:spacing w:line="242" w:lineRule="auto" w:before="1" w:after="0"/>
        <w:ind w:left="2608" w:right="372" w:hanging="2130"/>
        <w:jc w:val="both"/>
        <w:rPr>
          <w:sz w:val="21"/>
        </w:rPr>
      </w:pPr>
      <w:r>
        <w:rPr>
          <w:b/>
          <w:sz w:val="21"/>
        </w:rPr>
        <w:t>周岁</w:t>
      </w:r>
      <w:r>
        <w:rPr>
          <w:b/>
          <w:spacing w:val="930"/>
          <w:sz w:val="21"/>
        </w:rPr>
        <w:t> </w:t>
      </w:r>
      <w:r>
        <w:rPr>
          <w:sz w:val="21"/>
        </w:rPr>
        <w:t>指按有效身份证件中记载的出生日期计算的年龄，自出生之日起为零周岁，每经过</w:t>
      </w:r>
      <w:r>
        <w:rPr>
          <w:w w:val="95"/>
          <w:sz w:val="21"/>
        </w:rPr>
        <w:t>一</w:t>
      </w:r>
      <w:r>
        <w:rPr>
          <w:w w:val="95"/>
          <w:sz w:val="21"/>
        </w:rPr>
        <w:t>年</w:t>
      </w:r>
      <w:r>
        <w:rPr>
          <w:w w:val="95"/>
          <w:sz w:val="21"/>
        </w:rPr>
        <w:t>增加一岁，不足一年的不计。例如，出生日期为 2000 年 9 月 1 日，2000 年 9</w:t>
      </w:r>
      <w:r>
        <w:rPr>
          <w:spacing w:val="-8"/>
          <w:w w:val="90"/>
          <w:sz w:val="21"/>
        </w:rPr>
        <w:t>月 </w:t>
      </w:r>
      <w:r>
        <w:rPr>
          <w:w w:val="90"/>
          <w:sz w:val="21"/>
        </w:rPr>
        <w:t>1</w:t>
      </w:r>
      <w:r>
        <w:rPr>
          <w:spacing w:val="-7"/>
          <w:w w:val="90"/>
          <w:sz w:val="21"/>
        </w:rPr>
        <w:t> 日至 </w:t>
      </w:r>
      <w:r>
        <w:rPr>
          <w:w w:val="90"/>
          <w:sz w:val="21"/>
        </w:rPr>
        <w:t>2001</w:t>
      </w:r>
      <w:r>
        <w:rPr>
          <w:spacing w:val="-10"/>
          <w:w w:val="90"/>
          <w:sz w:val="21"/>
        </w:rPr>
        <w:t> 年 </w:t>
      </w:r>
      <w:r>
        <w:rPr>
          <w:w w:val="90"/>
          <w:sz w:val="21"/>
        </w:rPr>
        <w:t>8</w:t>
      </w:r>
      <w:r>
        <w:rPr>
          <w:spacing w:val="-10"/>
          <w:w w:val="90"/>
          <w:sz w:val="21"/>
        </w:rPr>
        <w:t> 月 </w:t>
      </w:r>
      <w:r>
        <w:rPr>
          <w:w w:val="90"/>
          <w:sz w:val="21"/>
        </w:rPr>
        <w:t>31</w:t>
      </w:r>
      <w:r>
        <w:rPr>
          <w:spacing w:val="-16"/>
          <w:w w:val="90"/>
          <w:sz w:val="21"/>
        </w:rPr>
        <w:t> </w:t>
      </w:r>
      <w:r>
        <w:rPr>
          <w:w w:val="90"/>
          <w:sz w:val="21"/>
        </w:rPr>
        <w:t>日</w:t>
      </w:r>
      <w:r>
        <w:rPr>
          <w:w w:val="90"/>
          <w:sz w:val="21"/>
        </w:rPr>
        <w:t>期</w:t>
      </w:r>
      <w:r>
        <w:rPr>
          <w:spacing w:val="-5"/>
          <w:w w:val="90"/>
          <w:sz w:val="21"/>
        </w:rPr>
        <w:t>间为 </w:t>
      </w:r>
      <w:r>
        <w:rPr>
          <w:w w:val="90"/>
          <w:sz w:val="21"/>
        </w:rPr>
        <w:t>0</w:t>
      </w:r>
      <w:r>
        <w:rPr>
          <w:spacing w:val="-16"/>
          <w:w w:val="90"/>
          <w:sz w:val="21"/>
        </w:rPr>
        <w:t> </w:t>
      </w:r>
      <w:r>
        <w:rPr>
          <w:w w:val="90"/>
          <w:sz w:val="21"/>
        </w:rPr>
        <w:t>周</w:t>
      </w:r>
      <w:r>
        <w:rPr>
          <w:w w:val="90"/>
          <w:sz w:val="21"/>
        </w:rPr>
        <w:t>岁</w:t>
      </w:r>
      <w:r>
        <w:rPr>
          <w:w w:val="90"/>
          <w:sz w:val="21"/>
        </w:rPr>
        <w:t>，2001</w:t>
      </w:r>
      <w:r>
        <w:rPr>
          <w:spacing w:val="-10"/>
          <w:w w:val="90"/>
          <w:sz w:val="21"/>
        </w:rPr>
        <w:t> 年 </w:t>
      </w:r>
      <w:r>
        <w:rPr>
          <w:w w:val="90"/>
          <w:sz w:val="21"/>
        </w:rPr>
        <w:t>9</w:t>
      </w:r>
      <w:r>
        <w:rPr>
          <w:spacing w:val="-9"/>
          <w:w w:val="90"/>
          <w:sz w:val="21"/>
        </w:rPr>
        <w:t> 月 </w:t>
      </w:r>
      <w:r>
        <w:rPr>
          <w:w w:val="90"/>
          <w:sz w:val="21"/>
        </w:rPr>
        <w:t>1</w:t>
      </w:r>
      <w:r>
        <w:rPr>
          <w:spacing w:val="-16"/>
          <w:w w:val="90"/>
          <w:sz w:val="21"/>
        </w:rPr>
        <w:t> </w:t>
      </w:r>
      <w:r>
        <w:rPr>
          <w:w w:val="90"/>
          <w:sz w:val="21"/>
        </w:rPr>
        <w:t>日</w:t>
      </w:r>
      <w:r>
        <w:rPr>
          <w:w w:val="90"/>
          <w:sz w:val="21"/>
        </w:rPr>
        <w:t>至</w:t>
      </w:r>
      <w:r>
        <w:rPr>
          <w:spacing w:val="-16"/>
          <w:w w:val="90"/>
          <w:sz w:val="21"/>
        </w:rPr>
        <w:t> </w:t>
      </w:r>
      <w:r>
        <w:rPr>
          <w:w w:val="90"/>
          <w:sz w:val="21"/>
        </w:rPr>
        <w:t>2002</w:t>
      </w:r>
      <w:r>
        <w:rPr>
          <w:spacing w:val="-10"/>
          <w:w w:val="90"/>
          <w:sz w:val="21"/>
        </w:rPr>
        <w:t> 年 </w:t>
      </w:r>
      <w:r>
        <w:rPr>
          <w:w w:val="90"/>
          <w:sz w:val="21"/>
        </w:rPr>
        <w:t>8</w:t>
      </w:r>
      <w:r>
        <w:rPr>
          <w:spacing w:val="-9"/>
          <w:w w:val="90"/>
          <w:sz w:val="21"/>
        </w:rPr>
        <w:t> 月 </w:t>
      </w:r>
      <w:r>
        <w:rPr>
          <w:w w:val="90"/>
          <w:sz w:val="21"/>
        </w:rPr>
        <w:t>31</w:t>
      </w:r>
      <w:r>
        <w:rPr>
          <w:spacing w:val="-13"/>
          <w:w w:val="90"/>
          <w:sz w:val="21"/>
        </w:rPr>
        <w:t> </w:t>
      </w:r>
      <w:r>
        <w:rPr>
          <w:w w:val="90"/>
          <w:sz w:val="21"/>
        </w:rPr>
        <w:t>日</w:t>
      </w:r>
      <w:r>
        <w:rPr>
          <w:w w:val="90"/>
          <w:sz w:val="21"/>
        </w:rPr>
        <w:t>期</w:t>
      </w:r>
      <w:r>
        <w:rPr>
          <w:spacing w:val="-8"/>
          <w:sz w:val="21"/>
        </w:rPr>
        <w:t>间为 </w:t>
      </w:r>
      <w:r>
        <w:rPr>
          <w:sz w:val="21"/>
        </w:rPr>
        <w:t>1</w:t>
      </w:r>
      <w:r>
        <w:rPr>
          <w:spacing w:val="-5"/>
          <w:sz w:val="21"/>
        </w:rPr>
        <w:t> 周岁，依此类推。</w:t>
      </w:r>
    </w:p>
    <w:p>
      <w:pPr>
        <w:pStyle w:val="BodyText"/>
        <w:spacing w:before="2"/>
        <w:rPr>
          <w:sz w:val="18"/>
        </w:rPr>
      </w:pPr>
    </w:p>
    <w:p>
      <w:pPr>
        <w:pStyle w:val="ListParagraph"/>
        <w:numPr>
          <w:ilvl w:val="3"/>
          <w:numId w:val="4"/>
        </w:numPr>
        <w:tabs>
          <w:tab w:pos="1140" w:val="left" w:leader="none"/>
        </w:tabs>
        <w:spacing w:line="242" w:lineRule="auto" w:before="0" w:after="0"/>
        <w:ind w:left="2608" w:right="373" w:hanging="2130"/>
        <w:jc w:val="both"/>
        <w:rPr>
          <w:rFonts w:ascii="黑体" w:eastAsia="黑体"/>
          <w:sz w:val="21"/>
        </w:rPr>
      </w:pPr>
      <w:r>
        <w:rPr>
          <w:b/>
          <w:spacing w:val="101"/>
          <w:sz w:val="21"/>
        </w:rPr>
        <w:t>意外伤害 </w:t>
      </w:r>
      <w:r>
        <w:rPr>
          <w:sz w:val="21"/>
        </w:rPr>
        <w:t>指外来的、突然的、非本意的、非疾病的使身体受到伤害的客观事件，并以此客观</w:t>
      </w:r>
      <w:r>
        <w:rPr>
          <w:spacing w:val="-2"/>
          <w:sz w:val="21"/>
        </w:rPr>
        <w:t>事件为直接且单独原因导致身体蒙受伤害或者身故，</w:t>
      </w:r>
      <w:r>
        <w:rPr>
          <w:rFonts w:ascii="黑体" w:eastAsia="黑体"/>
          <w:spacing w:val="-2"/>
          <w:sz w:val="21"/>
        </w:rPr>
        <w:t>猝死、自杀以及自伤均不属于</w:t>
      </w:r>
      <w:r>
        <w:rPr>
          <w:rFonts w:ascii="黑体" w:eastAsia="黑体"/>
          <w:spacing w:val="-4"/>
          <w:sz w:val="21"/>
        </w:rPr>
        <w:t>意外伤害。</w:t>
      </w:r>
    </w:p>
    <w:p>
      <w:pPr>
        <w:pStyle w:val="BodyText"/>
        <w:spacing w:line="244" w:lineRule="auto" w:before="61"/>
        <w:ind w:left="2608" w:right="370"/>
        <w:jc w:val="both"/>
      </w:pPr>
      <w:r>
        <w:rPr>
          <w:spacing w:val="-9"/>
        </w:rPr>
        <w:t>猝死指表面健康的人因潜在疾病、机能障碍或者其他原因在出现症状后 </w:t>
      </w:r>
      <w:r>
        <w:rPr>
          <w:spacing w:val="-2"/>
        </w:rPr>
        <w:t>24</w:t>
      </w:r>
      <w:r>
        <w:rPr>
          <w:spacing w:val="-7"/>
        </w:rPr>
        <w:t> 小时内发</w:t>
      </w:r>
      <w:r>
        <w:rPr>
          <w:spacing w:val="-2"/>
        </w:rPr>
        <w:t>生的非暴力性突然死亡。猝死的认定以医院的诊断和公安部门的鉴定为准。</w:t>
      </w:r>
    </w:p>
    <w:p>
      <w:pPr>
        <w:pStyle w:val="BodyText"/>
        <w:spacing w:before="8"/>
        <w:rPr>
          <w:sz w:val="17"/>
        </w:rPr>
      </w:pPr>
    </w:p>
    <w:p>
      <w:pPr>
        <w:pStyle w:val="ListParagraph"/>
        <w:numPr>
          <w:ilvl w:val="3"/>
          <w:numId w:val="4"/>
        </w:numPr>
        <w:tabs>
          <w:tab w:pos="1140" w:val="left" w:leader="none"/>
        </w:tabs>
        <w:spacing w:line="242" w:lineRule="auto" w:before="1" w:after="0"/>
        <w:ind w:left="2608" w:right="370" w:hanging="2130"/>
        <w:jc w:val="both"/>
        <w:rPr>
          <w:rFonts w:ascii="黑体" w:eastAsia="黑体"/>
          <w:sz w:val="21"/>
        </w:rPr>
      </w:pPr>
      <w:r>
        <w:rPr>
          <w:b/>
          <w:sz w:val="21"/>
        </w:rPr>
        <w:t>住院</w:t>
      </w:r>
      <w:r>
        <w:rPr>
          <w:b/>
          <w:spacing w:val="932"/>
          <w:sz w:val="21"/>
        </w:rPr>
        <w:t> </w:t>
      </w:r>
      <w:r>
        <w:rPr>
          <w:sz w:val="21"/>
        </w:rPr>
        <w:t>指被保险人入住医院之正式病房进行治疗，并正式办理入出院手续</w:t>
      </w:r>
      <w:r>
        <w:rPr>
          <w:rFonts w:ascii="黑体" w:eastAsia="黑体"/>
          <w:sz w:val="21"/>
        </w:rPr>
        <w:t>，不包括入住门</w:t>
      </w:r>
      <w:r>
        <w:rPr>
          <w:rFonts w:ascii="黑体" w:eastAsia="黑体"/>
          <w:spacing w:val="-2"/>
          <w:sz w:val="21"/>
        </w:rPr>
        <w:t>诊观察室、家庭病床、挂床住院及被保险人未达到入院标准而办理入院手续或者已</w:t>
      </w:r>
      <w:r>
        <w:rPr>
          <w:rFonts w:ascii="黑体" w:eastAsia="黑体"/>
          <w:spacing w:val="-2"/>
          <w:sz w:val="21"/>
        </w:rPr>
        <w:t>达到出院标准而不办理出院手续的情形。不符合前述约定范围内的住院不属于本合</w:t>
      </w:r>
      <w:r>
        <w:rPr>
          <w:rFonts w:ascii="黑体" w:eastAsia="黑体"/>
          <w:spacing w:val="-5"/>
          <w:sz w:val="21"/>
        </w:rPr>
        <w:t>同约定条件的住院。其中挂床住院指被保险人非治疗需要，一次离开医院 </w:t>
      </w:r>
      <w:r>
        <w:rPr>
          <w:rFonts w:ascii="黑体" w:eastAsia="黑体"/>
          <w:spacing w:val="-4"/>
          <w:sz w:val="21"/>
        </w:rPr>
        <w:t>12</w:t>
      </w:r>
      <w:r>
        <w:rPr>
          <w:rFonts w:ascii="黑体" w:eastAsia="黑体"/>
          <w:spacing w:val="-9"/>
          <w:sz w:val="21"/>
        </w:rPr>
        <w:t> 小时以</w:t>
      </w:r>
      <w:r>
        <w:rPr>
          <w:rFonts w:ascii="黑体" w:eastAsia="黑体"/>
          <w:spacing w:val="-2"/>
          <w:sz w:val="21"/>
        </w:rPr>
        <w:t>上，视为自动离开医院，我们仅对离开日及以前属于保险责任范围内的住院治疗承</w:t>
      </w:r>
      <w:r>
        <w:rPr>
          <w:rFonts w:ascii="黑体" w:eastAsia="黑体"/>
          <w:spacing w:val="-2"/>
          <w:sz w:val="21"/>
        </w:rPr>
        <w:t>担保险金给付责任。</w:t>
      </w:r>
    </w:p>
    <w:p>
      <w:pPr>
        <w:pStyle w:val="BodyText"/>
        <w:spacing w:before="3"/>
        <w:rPr>
          <w:rFonts w:ascii="黑体"/>
          <w:sz w:val="18"/>
        </w:rPr>
      </w:pPr>
    </w:p>
    <w:p>
      <w:pPr>
        <w:pStyle w:val="ListParagraph"/>
        <w:numPr>
          <w:ilvl w:val="3"/>
          <w:numId w:val="4"/>
        </w:numPr>
        <w:tabs>
          <w:tab w:pos="1140" w:val="left" w:leader="none"/>
        </w:tabs>
        <w:spacing w:line="242" w:lineRule="auto" w:before="0" w:after="0"/>
        <w:ind w:left="2608" w:right="370" w:hanging="2130"/>
        <w:jc w:val="both"/>
        <w:rPr>
          <w:rFonts w:ascii="黑体" w:eastAsia="黑体"/>
          <w:sz w:val="21"/>
        </w:rPr>
      </w:pPr>
      <w:r>
        <w:rPr>
          <w:b/>
          <w:spacing w:val="38"/>
          <w:sz w:val="21"/>
        </w:rPr>
        <w:t>同一次住院 </w:t>
      </w:r>
      <w:r>
        <w:rPr>
          <w:rFonts w:ascii="黑体" w:eastAsia="黑体"/>
          <w:spacing w:val="-10"/>
          <w:sz w:val="21"/>
        </w:rPr>
        <w:t>与前次住院原因相同，且前次出院与下次入院间隔未超过 </w:t>
      </w:r>
      <w:r>
        <w:rPr>
          <w:rFonts w:ascii="黑体" w:eastAsia="黑体"/>
          <w:sz w:val="21"/>
        </w:rPr>
        <w:t>30</w:t>
      </w:r>
      <w:r>
        <w:rPr>
          <w:rFonts w:ascii="黑体" w:eastAsia="黑体"/>
          <w:spacing w:val="-5"/>
          <w:sz w:val="21"/>
        </w:rPr>
        <w:t> 日的再次住院视为同一</w:t>
      </w:r>
      <w:r>
        <w:rPr>
          <w:rFonts w:ascii="黑体" w:eastAsia="黑体"/>
          <w:spacing w:val="-4"/>
          <w:sz w:val="21"/>
        </w:rPr>
        <w:t>次住院。</w:t>
      </w:r>
    </w:p>
    <w:p>
      <w:pPr>
        <w:pStyle w:val="BodyText"/>
        <w:spacing w:before="5"/>
        <w:rPr>
          <w:rFonts w:ascii="黑体"/>
          <w:sz w:val="12"/>
        </w:rPr>
      </w:pPr>
    </w:p>
    <w:p>
      <w:pPr>
        <w:spacing w:after="0"/>
        <w:rPr>
          <w:rFonts w:ascii="黑体"/>
          <w:sz w:val="12"/>
        </w:rPr>
        <w:sectPr>
          <w:pgSz w:w="11910" w:h="16850"/>
          <w:pgMar w:top="1220" w:bottom="280" w:left="620" w:right="720"/>
        </w:sectPr>
      </w:pPr>
    </w:p>
    <w:p>
      <w:pPr>
        <w:pStyle w:val="Heading3"/>
        <w:numPr>
          <w:ilvl w:val="3"/>
          <w:numId w:val="4"/>
        </w:numPr>
        <w:tabs>
          <w:tab w:pos="1139" w:val="left" w:leader="none"/>
          <w:tab w:pos="1140" w:val="left" w:leader="none"/>
        </w:tabs>
        <w:spacing w:line="244" w:lineRule="auto" w:before="71" w:after="0"/>
        <w:ind w:left="1139" w:right="0" w:hanging="661"/>
        <w:jc w:val="left"/>
      </w:pPr>
      <w:r>
        <w:rPr>
          <w:spacing w:val="-2"/>
        </w:rPr>
        <w:t>保险期间内</w:t>
      </w:r>
      <w:r>
        <w:rPr>
          <w:spacing w:val="-6"/>
        </w:rPr>
        <w:t>累计</w:t>
      </w:r>
    </w:p>
    <w:p>
      <w:pPr>
        <w:pStyle w:val="BodyText"/>
        <w:spacing w:before="71"/>
        <w:ind w:left="372"/>
      </w:pPr>
      <w:r>
        <w:rPr/>
        <w:br w:type="column"/>
      </w:r>
      <w:r>
        <w:rPr>
          <w:spacing w:val="-3"/>
        </w:rPr>
        <w:t>指同一个保险期间的生效日至期满日期间的累计值。</w:t>
      </w:r>
    </w:p>
    <w:p>
      <w:pPr>
        <w:pStyle w:val="BodyText"/>
        <w:spacing w:line="242" w:lineRule="auto" w:before="65"/>
        <w:ind w:left="372" w:right="373"/>
        <w:jc w:val="both"/>
      </w:pPr>
      <w:r>
        <w:rPr>
          <w:spacing w:val="-2"/>
        </w:rPr>
        <w:t>在本合同有效的保险期间或者相连的续保合同有效的保险期间内，被保险人接受住</w:t>
      </w:r>
      <w:r>
        <w:rPr>
          <w:spacing w:val="-2"/>
        </w:rPr>
        <w:t>院治疗跨不同保险期间时，符合通常惯例的且医学必需的合理医疗费用以及已通过</w:t>
      </w:r>
      <w:r>
        <w:rPr>
          <w:spacing w:val="-2"/>
        </w:rPr>
        <w:t>其他途径获得的医疗费用补偿均按本次住院在各保险合同的保险期间内实际发生的</w:t>
      </w:r>
      <w:r>
        <w:rPr>
          <w:spacing w:val="-2"/>
        </w:rPr>
        <w:t>住院天数分摊，并计入相应保险合同的保险期间的累计值。</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8"/>
        <w:rPr>
          <w:sz w:val="12"/>
        </w:rPr>
      </w:pPr>
    </w:p>
    <w:p>
      <w:pPr>
        <w:spacing w:after="0"/>
        <w:rPr>
          <w:sz w:val="12"/>
        </w:rPr>
        <w:sectPr>
          <w:type w:val="continuous"/>
          <w:pgSz w:w="11910" w:h="16850"/>
          <w:pgMar w:top="520" w:bottom="280" w:left="620" w:right="720"/>
        </w:sectPr>
      </w:pPr>
    </w:p>
    <w:p>
      <w:pPr>
        <w:pStyle w:val="Heading3"/>
        <w:numPr>
          <w:ilvl w:val="3"/>
          <w:numId w:val="4"/>
        </w:numPr>
        <w:tabs>
          <w:tab w:pos="1139" w:val="left" w:leader="none"/>
          <w:tab w:pos="1140" w:val="left" w:leader="none"/>
        </w:tabs>
        <w:spacing w:line="242" w:lineRule="auto" w:before="71" w:after="0"/>
        <w:ind w:left="1139" w:right="0" w:hanging="661"/>
        <w:jc w:val="left"/>
      </w:pPr>
      <w:r>
        <w:rPr>
          <w:spacing w:val="-2"/>
        </w:rPr>
        <w:t>社会基本医</w:t>
      </w:r>
      <w:r>
        <w:rPr>
          <w:spacing w:val="-4"/>
        </w:rPr>
        <w:t>疗保险</w:t>
      </w:r>
    </w:p>
    <w:p>
      <w:pPr>
        <w:pStyle w:val="BodyText"/>
        <w:spacing w:before="71"/>
        <w:ind w:left="372"/>
      </w:pPr>
      <w:r>
        <w:rPr/>
        <w:br w:type="column"/>
      </w:r>
      <w:r>
        <w:rPr>
          <w:spacing w:val="-2"/>
        </w:rPr>
        <w:t>包括城镇职工基本医疗保险、</w:t>
      </w:r>
      <w:hyperlink r:id="rId10">
        <w:r>
          <w:rPr>
            <w:spacing w:val="-2"/>
          </w:rPr>
          <w:t>新型农村合作医疗</w:t>
        </w:r>
      </w:hyperlink>
      <w:r>
        <w:rPr>
          <w:spacing w:val="-3"/>
        </w:rPr>
        <w:t>保险、城镇居民基本医疗保险。</w:t>
      </w:r>
    </w:p>
    <w:p>
      <w:pPr>
        <w:spacing w:after="0"/>
        <w:sectPr>
          <w:type w:val="continuous"/>
          <w:pgSz w:w="11910" w:h="16850"/>
          <w:pgMar w:top="520" w:bottom="280" w:left="620" w:right="720"/>
          <w:cols w:num="2" w:equalWidth="0">
            <w:col w:w="2196" w:space="40"/>
            <w:col w:w="8334"/>
          </w:cols>
        </w:sectPr>
      </w:pPr>
    </w:p>
    <w:p>
      <w:pPr>
        <w:pStyle w:val="BodyText"/>
        <w:spacing w:before="4"/>
        <w:rPr>
          <w:sz w:val="12"/>
        </w:rPr>
      </w:pPr>
    </w:p>
    <w:p>
      <w:pPr>
        <w:pStyle w:val="ListParagraph"/>
        <w:numPr>
          <w:ilvl w:val="3"/>
          <w:numId w:val="4"/>
        </w:numPr>
        <w:tabs>
          <w:tab w:pos="1139" w:val="left" w:leader="none"/>
          <w:tab w:pos="1140" w:val="left" w:leader="none"/>
          <w:tab w:pos="2608" w:val="left" w:leader="none"/>
        </w:tabs>
        <w:spacing w:line="240" w:lineRule="auto" w:before="72" w:after="0"/>
        <w:ind w:left="1139" w:right="0" w:hanging="661"/>
        <w:jc w:val="left"/>
        <w:rPr>
          <w:sz w:val="21"/>
        </w:rPr>
      </w:pPr>
      <w:r>
        <w:rPr>
          <w:b/>
          <w:sz w:val="21"/>
        </w:rPr>
        <w:t>公费医</w:t>
      </w:r>
      <w:r>
        <w:rPr>
          <w:b/>
          <w:spacing w:val="-10"/>
          <w:sz w:val="21"/>
        </w:rPr>
        <w:t>疗</w:t>
      </w:r>
      <w:r>
        <w:rPr>
          <w:b/>
          <w:sz w:val="21"/>
        </w:rPr>
        <w:tab/>
      </w:r>
      <w:r>
        <w:rPr>
          <w:spacing w:val="-2"/>
          <w:sz w:val="21"/>
        </w:rPr>
        <w:t>公</w:t>
      </w:r>
      <w:r>
        <w:rPr>
          <w:spacing w:val="-2"/>
          <w:sz w:val="21"/>
        </w:rPr>
        <w:t>费</w:t>
      </w:r>
      <w:r>
        <w:rPr>
          <w:spacing w:val="-2"/>
          <w:sz w:val="21"/>
        </w:rPr>
        <w:t>医</w:t>
      </w:r>
      <w:r>
        <w:rPr>
          <w:spacing w:val="-2"/>
          <w:sz w:val="21"/>
        </w:rPr>
        <w:t>疗</w:t>
      </w:r>
      <w:r>
        <w:rPr>
          <w:spacing w:val="-2"/>
          <w:sz w:val="21"/>
        </w:rPr>
        <w:t>制</w:t>
      </w:r>
      <w:r>
        <w:rPr>
          <w:spacing w:val="-2"/>
          <w:sz w:val="21"/>
        </w:rPr>
        <w:t>度</w:t>
      </w:r>
      <w:r>
        <w:rPr>
          <w:spacing w:val="-2"/>
          <w:sz w:val="21"/>
        </w:rPr>
        <w:t>，</w:t>
      </w:r>
      <w:r>
        <w:rPr>
          <w:spacing w:val="-2"/>
          <w:sz w:val="21"/>
        </w:rPr>
        <w:t>是</w:t>
      </w:r>
      <w:r>
        <w:rPr>
          <w:spacing w:val="-2"/>
          <w:sz w:val="21"/>
        </w:rPr>
        <w:t>国家为</w:t>
      </w:r>
      <w:r>
        <w:rPr>
          <w:spacing w:val="-2"/>
          <w:sz w:val="21"/>
        </w:rPr>
        <w:t>保</w:t>
      </w:r>
      <w:r>
        <w:rPr>
          <w:spacing w:val="-2"/>
          <w:sz w:val="21"/>
        </w:rPr>
        <w:t>障</w:t>
      </w:r>
      <w:r>
        <w:rPr>
          <w:spacing w:val="-2"/>
          <w:sz w:val="21"/>
        </w:rPr>
        <w:t>国</w:t>
      </w:r>
      <w:r>
        <w:rPr>
          <w:spacing w:val="-2"/>
          <w:sz w:val="21"/>
        </w:rPr>
        <w:t>家</w:t>
      </w:r>
      <w:r>
        <w:rPr>
          <w:spacing w:val="-2"/>
          <w:sz w:val="21"/>
        </w:rPr>
        <w:t>工</w:t>
      </w:r>
      <w:r>
        <w:rPr>
          <w:spacing w:val="-2"/>
          <w:sz w:val="21"/>
        </w:rPr>
        <w:t>作</w:t>
      </w:r>
      <w:r>
        <w:rPr>
          <w:spacing w:val="-2"/>
          <w:sz w:val="21"/>
        </w:rPr>
        <w:t>人</w:t>
      </w:r>
      <w:r>
        <w:rPr>
          <w:spacing w:val="-2"/>
          <w:sz w:val="21"/>
        </w:rPr>
        <w:t>员</w:t>
      </w:r>
      <w:r>
        <w:rPr>
          <w:spacing w:val="-2"/>
          <w:sz w:val="21"/>
        </w:rPr>
        <w:t>身体健</w:t>
      </w:r>
      <w:r>
        <w:rPr>
          <w:spacing w:val="-2"/>
          <w:sz w:val="21"/>
        </w:rPr>
        <w:t>康</w:t>
      </w:r>
      <w:r>
        <w:rPr>
          <w:spacing w:val="-2"/>
          <w:sz w:val="21"/>
        </w:rPr>
        <w:t>而</w:t>
      </w:r>
      <w:r>
        <w:rPr>
          <w:spacing w:val="-2"/>
          <w:sz w:val="21"/>
        </w:rPr>
        <w:t>实</w:t>
      </w:r>
      <w:r>
        <w:rPr>
          <w:spacing w:val="-2"/>
          <w:sz w:val="21"/>
        </w:rPr>
        <w:t>行</w:t>
      </w:r>
      <w:r>
        <w:rPr>
          <w:spacing w:val="-2"/>
          <w:sz w:val="21"/>
        </w:rPr>
        <w:t>的</w:t>
      </w:r>
      <w:r>
        <w:rPr>
          <w:spacing w:val="-2"/>
          <w:sz w:val="21"/>
        </w:rPr>
        <w:t>一</w:t>
      </w:r>
      <w:r>
        <w:rPr>
          <w:spacing w:val="-2"/>
          <w:sz w:val="21"/>
        </w:rPr>
        <w:t>项</w:t>
      </w:r>
      <w:r>
        <w:rPr>
          <w:spacing w:val="-2"/>
          <w:sz w:val="21"/>
        </w:rPr>
        <w:t>社</w:t>
      </w:r>
      <w:r>
        <w:rPr>
          <w:spacing w:val="-2"/>
          <w:sz w:val="21"/>
        </w:rPr>
        <w:t>会保障</w:t>
      </w:r>
      <w:r>
        <w:rPr>
          <w:spacing w:val="-2"/>
          <w:sz w:val="21"/>
        </w:rPr>
        <w:t>制</w:t>
      </w:r>
      <w:r>
        <w:rPr>
          <w:spacing w:val="-2"/>
          <w:sz w:val="21"/>
        </w:rPr>
        <w:t>度</w:t>
      </w:r>
      <w:r>
        <w:rPr>
          <w:spacing w:val="-10"/>
          <w:sz w:val="21"/>
        </w:rPr>
        <w:t>。</w:t>
      </w:r>
    </w:p>
    <w:p>
      <w:pPr>
        <w:spacing w:after="0" w:line="240" w:lineRule="auto"/>
        <w:jc w:val="left"/>
        <w:rPr>
          <w:sz w:val="21"/>
        </w:rPr>
        <w:sectPr>
          <w:type w:val="continuous"/>
          <w:pgSz w:w="11910" w:h="16850"/>
          <w:pgMar w:top="520" w:bottom="280" w:left="620" w:right="720"/>
        </w:sectPr>
      </w:pPr>
    </w:p>
    <w:p>
      <w:pPr>
        <w:pStyle w:val="BodyText"/>
        <w:spacing w:before="53"/>
        <w:ind w:left="2608"/>
      </w:pPr>
      <w:r>
        <w:rPr>
          <w:spacing w:val="-3"/>
        </w:rPr>
        <w:t>国家通过医疗卫生部门向享受人员提供制度规定范围内的免费医疗预防。</w:t>
      </w:r>
    </w:p>
    <w:p>
      <w:pPr>
        <w:pStyle w:val="BodyText"/>
        <w:spacing w:before="4"/>
        <w:rPr>
          <w:sz w:val="18"/>
        </w:rPr>
      </w:pPr>
    </w:p>
    <w:p>
      <w:pPr>
        <w:pStyle w:val="ListParagraph"/>
        <w:numPr>
          <w:ilvl w:val="3"/>
          <w:numId w:val="4"/>
        </w:numPr>
        <w:tabs>
          <w:tab w:pos="1140" w:val="left" w:leader="none"/>
        </w:tabs>
        <w:spacing w:line="242" w:lineRule="auto" w:before="1" w:after="0"/>
        <w:ind w:left="2608" w:right="373" w:hanging="2130"/>
        <w:jc w:val="both"/>
        <w:rPr>
          <w:rFonts w:ascii="黑体" w:eastAsia="黑体"/>
          <w:sz w:val="21"/>
        </w:rPr>
      </w:pPr>
      <w:r>
        <w:rPr>
          <w:b/>
          <w:sz w:val="21"/>
        </w:rPr>
        <w:t>医院</w:t>
      </w:r>
      <w:r>
        <w:rPr>
          <w:b/>
          <w:spacing w:val="929"/>
          <w:sz w:val="21"/>
        </w:rPr>
        <w:t> </w:t>
      </w:r>
      <w:r>
        <w:rPr>
          <w:sz w:val="21"/>
        </w:rPr>
        <w:t>本合同所指医院为国务院卫生行政主管部门医院等级分类中的二级合格或者二级合</w:t>
      </w:r>
      <w:r>
        <w:rPr>
          <w:spacing w:val="-2"/>
          <w:sz w:val="21"/>
        </w:rPr>
        <w:t>格以上的社会基本医疗保险规定的定点医院普通部</w:t>
      </w:r>
      <w:r>
        <w:rPr>
          <w:rFonts w:ascii="黑体" w:eastAsia="黑体"/>
          <w:spacing w:val="-2"/>
          <w:sz w:val="21"/>
        </w:rPr>
        <w:t>（不包括其附属的国际医疗、特</w:t>
      </w:r>
      <w:r>
        <w:rPr>
          <w:rFonts w:ascii="黑体" w:eastAsia="黑体"/>
          <w:spacing w:val="-2"/>
          <w:sz w:val="21"/>
        </w:rPr>
        <w:t>需医疗、贵宾医疗、外宾医疗或者相类似的部门和科室</w:t>
      </w:r>
      <w:r>
        <w:rPr>
          <w:rFonts w:ascii="黑体" w:eastAsia="黑体"/>
          <w:spacing w:val="-63"/>
          <w:sz w:val="21"/>
        </w:rPr>
        <w:t>）</w:t>
      </w:r>
      <w:r>
        <w:rPr>
          <w:spacing w:val="-63"/>
          <w:sz w:val="21"/>
        </w:rPr>
        <w:t>，</w:t>
      </w:r>
      <w:r>
        <w:rPr>
          <w:rFonts w:ascii="黑体" w:eastAsia="黑体"/>
          <w:spacing w:val="-2"/>
          <w:sz w:val="21"/>
        </w:rPr>
        <w:t>不包括以康复、护理、疗</w:t>
      </w:r>
      <w:r>
        <w:rPr>
          <w:rFonts w:ascii="黑体" w:eastAsia="黑体"/>
          <w:spacing w:val="-2"/>
          <w:sz w:val="21"/>
        </w:rPr>
        <w:t>养、戒酒、戒毒或者类似功能为主要功能的医疗机构。</w:t>
      </w:r>
    </w:p>
    <w:p>
      <w:pPr>
        <w:pStyle w:val="BodyText"/>
        <w:spacing w:before="2"/>
        <w:rPr>
          <w:rFonts w:ascii="黑体"/>
          <w:sz w:val="18"/>
        </w:rPr>
      </w:pPr>
    </w:p>
    <w:p>
      <w:pPr>
        <w:pStyle w:val="ListParagraph"/>
        <w:numPr>
          <w:ilvl w:val="3"/>
          <w:numId w:val="4"/>
        </w:numPr>
        <w:tabs>
          <w:tab w:pos="1140" w:val="left" w:leader="none"/>
        </w:tabs>
        <w:spacing w:line="242" w:lineRule="auto" w:before="0" w:after="0"/>
        <w:ind w:left="2608" w:right="370" w:hanging="2130"/>
        <w:jc w:val="both"/>
        <w:rPr>
          <w:sz w:val="21"/>
        </w:rPr>
      </w:pPr>
      <w:r>
        <w:rPr>
          <w:b/>
          <w:spacing w:val="102"/>
          <w:sz w:val="21"/>
        </w:rPr>
        <w:t>初次确诊 </w:t>
      </w:r>
      <w:r>
        <w:rPr>
          <w:sz w:val="21"/>
        </w:rPr>
        <w:t>指自被保险人出生之日起第一次经医院确诊患有某种疾病，</w:t>
      </w:r>
      <w:r>
        <w:rPr>
          <w:rFonts w:ascii="黑体" w:hAnsi="黑体" w:eastAsia="黑体"/>
          <w:sz w:val="21"/>
        </w:rPr>
        <w:t>而不是指自本合同生效</w:t>
      </w:r>
      <w:r>
        <w:rPr>
          <w:rFonts w:ascii="黑体" w:hAnsi="黑体" w:eastAsia="黑体"/>
          <w:w w:val="95"/>
          <w:sz w:val="21"/>
        </w:rPr>
        <w:t>之</w:t>
      </w:r>
      <w:r>
        <w:rPr>
          <w:rFonts w:ascii="黑体" w:hAnsi="黑体" w:eastAsia="黑体"/>
          <w:w w:val="95"/>
          <w:sz w:val="21"/>
        </w:rPr>
        <w:t>后</w:t>
      </w:r>
      <w:r>
        <w:rPr>
          <w:rFonts w:ascii="黑体" w:hAnsi="黑体" w:eastAsia="黑体"/>
          <w:w w:val="95"/>
          <w:sz w:val="21"/>
        </w:rPr>
        <w:t>第一次经医院确诊患</w:t>
      </w:r>
      <w:r>
        <w:rPr>
          <w:rFonts w:ascii="黑体" w:hAnsi="黑体" w:eastAsia="黑体"/>
          <w:w w:val="95"/>
          <w:sz w:val="21"/>
        </w:rPr>
        <w:t>有</w:t>
      </w:r>
      <w:r>
        <w:rPr>
          <w:rFonts w:ascii="黑体" w:hAnsi="黑体" w:eastAsia="黑体"/>
          <w:w w:val="95"/>
          <w:sz w:val="21"/>
        </w:rPr>
        <w:t>某</w:t>
      </w:r>
      <w:r>
        <w:rPr>
          <w:rFonts w:ascii="黑体" w:hAnsi="黑体" w:eastAsia="黑体"/>
          <w:w w:val="95"/>
          <w:sz w:val="21"/>
        </w:rPr>
        <w:t>种疾病</w:t>
      </w:r>
      <w:r>
        <w:rPr>
          <w:w w:val="95"/>
          <w:sz w:val="21"/>
        </w:rPr>
        <w:t>。例如，2017 年 1 月 1 日本合同经首次投保后</w:t>
      </w:r>
      <w:r>
        <w:rPr>
          <w:spacing w:val="-2"/>
          <w:sz w:val="21"/>
        </w:rPr>
        <w:t>生效，被保险人自出生后第一次经医院确诊罹患“重大疾病”的时间以及保险金给</w:t>
      </w:r>
      <w:r>
        <w:rPr>
          <w:spacing w:val="-2"/>
          <w:sz w:val="21"/>
        </w:rPr>
        <w:t>付的核定结论见下表：</w:t>
      </w:r>
    </w:p>
    <w:tbl>
      <w:tblPr>
        <w:tblW w:w="0" w:type="auto"/>
        <w:jc w:val="left"/>
        <w:tblInd w:w="26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320"/>
        <w:gridCol w:w="4136"/>
      </w:tblGrid>
      <w:tr>
        <w:trPr>
          <w:trHeight w:val="333" w:hRule="atLeast"/>
        </w:trPr>
        <w:tc>
          <w:tcPr>
            <w:tcW w:w="3320" w:type="dxa"/>
          </w:tcPr>
          <w:p>
            <w:pPr>
              <w:pStyle w:val="TableParagraph"/>
              <w:spacing w:line="250" w:lineRule="exact" w:before="63"/>
              <w:ind w:left="107"/>
              <w:rPr>
                <w:sz w:val="21"/>
              </w:rPr>
            </w:pPr>
            <w:r>
              <w:rPr>
                <w:spacing w:val="-3"/>
                <w:sz w:val="21"/>
              </w:rPr>
              <w:t>自出生后初次确诊时间</w:t>
            </w:r>
          </w:p>
        </w:tc>
        <w:tc>
          <w:tcPr>
            <w:tcW w:w="4136" w:type="dxa"/>
          </w:tcPr>
          <w:p>
            <w:pPr>
              <w:pStyle w:val="TableParagraph"/>
              <w:spacing w:line="250" w:lineRule="exact" w:before="63"/>
              <w:ind w:left="107"/>
              <w:rPr>
                <w:sz w:val="21"/>
              </w:rPr>
            </w:pPr>
            <w:r>
              <w:rPr>
                <w:spacing w:val="-3"/>
                <w:sz w:val="21"/>
              </w:rPr>
              <w:t>保险金给付的核定结论</w:t>
            </w:r>
          </w:p>
        </w:tc>
      </w:tr>
      <w:tr>
        <w:trPr>
          <w:trHeight w:val="604" w:hRule="atLeast"/>
        </w:trPr>
        <w:tc>
          <w:tcPr>
            <w:tcW w:w="3320" w:type="dxa"/>
          </w:tcPr>
          <w:p>
            <w:pPr>
              <w:pStyle w:val="TableParagraph"/>
              <w:spacing w:before="61"/>
              <w:ind w:left="107"/>
              <w:rPr>
                <w:sz w:val="21"/>
              </w:rPr>
            </w:pPr>
            <w:r>
              <w:rPr>
                <w:spacing w:val="-2"/>
                <w:sz w:val="21"/>
              </w:rPr>
              <w:t>2017</w:t>
            </w:r>
            <w:r>
              <w:rPr>
                <w:spacing w:val="-36"/>
                <w:sz w:val="21"/>
              </w:rPr>
              <w:t> 年 </w:t>
            </w:r>
            <w:r>
              <w:rPr>
                <w:spacing w:val="-2"/>
                <w:sz w:val="21"/>
              </w:rPr>
              <w:t>1</w:t>
            </w:r>
            <w:r>
              <w:rPr>
                <w:spacing w:val="-35"/>
                <w:sz w:val="21"/>
              </w:rPr>
              <w:t> 月 </w:t>
            </w:r>
            <w:r>
              <w:rPr>
                <w:spacing w:val="-2"/>
                <w:sz w:val="21"/>
              </w:rPr>
              <w:t>1</w:t>
            </w:r>
            <w:r>
              <w:rPr>
                <w:spacing w:val="-17"/>
                <w:sz w:val="21"/>
              </w:rPr>
              <w:t> 日之前</w:t>
            </w:r>
          </w:p>
        </w:tc>
        <w:tc>
          <w:tcPr>
            <w:tcW w:w="4136" w:type="dxa"/>
          </w:tcPr>
          <w:p>
            <w:pPr>
              <w:pStyle w:val="TableParagraph"/>
              <w:spacing w:line="270" w:lineRule="atLeast" w:before="44"/>
              <w:ind w:left="107" w:right="94"/>
              <w:rPr>
                <w:sz w:val="21"/>
              </w:rPr>
            </w:pPr>
            <w:r>
              <w:rPr>
                <w:spacing w:val="-10"/>
                <w:sz w:val="21"/>
              </w:rPr>
              <w:t>不属于保险责任范围，不承担给付保险金的</w:t>
            </w:r>
            <w:r>
              <w:rPr>
                <w:spacing w:val="-4"/>
                <w:sz w:val="21"/>
              </w:rPr>
              <w:t>责任；</w:t>
            </w:r>
          </w:p>
        </w:tc>
      </w:tr>
      <w:tr>
        <w:trPr>
          <w:trHeight w:val="333" w:hRule="atLeast"/>
        </w:trPr>
        <w:tc>
          <w:tcPr>
            <w:tcW w:w="3320" w:type="dxa"/>
          </w:tcPr>
          <w:p>
            <w:pPr>
              <w:pStyle w:val="TableParagraph"/>
              <w:spacing w:line="253" w:lineRule="exact" w:before="61"/>
              <w:ind w:left="107"/>
              <w:rPr>
                <w:sz w:val="21"/>
              </w:rPr>
            </w:pPr>
            <w:r>
              <w:rPr>
                <w:spacing w:val="-2"/>
                <w:sz w:val="21"/>
              </w:rPr>
              <w:t>2017</w:t>
            </w:r>
            <w:r>
              <w:rPr>
                <w:spacing w:val="-35"/>
                <w:sz w:val="21"/>
              </w:rPr>
              <w:t> 年 </w:t>
            </w:r>
            <w:r>
              <w:rPr>
                <w:spacing w:val="-2"/>
                <w:sz w:val="21"/>
              </w:rPr>
              <w:t>1</w:t>
            </w:r>
            <w:r>
              <w:rPr>
                <w:spacing w:val="-35"/>
                <w:sz w:val="21"/>
              </w:rPr>
              <w:t> 月 </w:t>
            </w:r>
            <w:r>
              <w:rPr>
                <w:spacing w:val="-2"/>
                <w:sz w:val="21"/>
              </w:rPr>
              <w:t>1</w:t>
            </w:r>
            <w:r>
              <w:rPr>
                <w:spacing w:val="-22"/>
                <w:sz w:val="21"/>
              </w:rPr>
              <w:t> 日起的 </w:t>
            </w:r>
            <w:r>
              <w:rPr>
                <w:spacing w:val="-2"/>
                <w:sz w:val="21"/>
              </w:rPr>
              <w:t>30</w:t>
            </w:r>
            <w:r>
              <w:rPr>
                <w:spacing w:val="-13"/>
                <w:sz w:val="21"/>
              </w:rPr>
              <w:t> 日(含)内</w:t>
            </w:r>
          </w:p>
        </w:tc>
        <w:tc>
          <w:tcPr>
            <w:tcW w:w="4136" w:type="dxa"/>
          </w:tcPr>
          <w:p>
            <w:pPr>
              <w:pStyle w:val="TableParagraph"/>
              <w:spacing w:line="253" w:lineRule="exact" w:before="61"/>
              <w:ind w:left="107"/>
              <w:rPr>
                <w:sz w:val="21"/>
              </w:rPr>
            </w:pPr>
            <w:r>
              <w:rPr>
                <w:spacing w:val="-3"/>
                <w:sz w:val="21"/>
              </w:rPr>
              <w:t>不承担给付保险金的责任；</w:t>
            </w:r>
          </w:p>
        </w:tc>
      </w:tr>
      <w:tr>
        <w:trPr>
          <w:trHeight w:val="333" w:hRule="atLeast"/>
        </w:trPr>
        <w:tc>
          <w:tcPr>
            <w:tcW w:w="3320" w:type="dxa"/>
          </w:tcPr>
          <w:p>
            <w:pPr>
              <w:pStyle w:val="TableParagraph"/>
              <w:spacing w:line="252" w:lineRule="exact" w:before="61"/>
              <w:ind w:left="107"/>
              <w:rPr>
                <w:sz w:val="21"/>
              </w:rPr>
            </w:pPr>
            <w:r>
              <w:rPr>
                <w:spacing w:val="-2"/>
                <w:sz w:val="21"/>
              </w:rPr>
              <w:t>2017</w:t>
            </w:r>
            <w:r>
              <w:rPr>
                <w:spacing w:val="-36"/>
                <w:sz w:val="21"/>
              </w:rPr>
              <w:t> 年 </w:t>
            </w:r>
            <w:r>
              <w:rPr>
                <w:spacing w:val="-2"/>
                <w:sz w:val="21"/>
              </w:rPr>
              <w:t>1</w:t>
            </w:r>
            <w:r>
              <w:rPr>
                <w:spacing w:val="-35"/>
                <w:sz w:val="21"/>
              </w:rPr>
              <w:t> 月 </w:t>
            </w:r>
            <w:r>
              <w:rPr>
                <w:spacing w:val="-2"/>
                <w:sz w:val="21"/>
              </w:rPr>
              <w:t>1</w:t>
            </w:r>
            <w:r>
              <w:rPr>
                <w:spacing w:val="-22"/>
                <w:sz w:val="21"/>
              </w:rPr>
              <w:t> 日起的 </w:t>
            </w:r>
            <w:r>
              <w:rPr>
                <w:spacing w:val="-2"/>
                <w:sz w:val="21"/>
              </w:rPr>
              <w:t>30</w:t>
            </w:r>
            <w:r>
              <w:rPr>
                <w:spacing w:val="-22"/>
                <w:sz w:val="21"/>
              </w:rPr>
              <w:t> 日后</w:t>
            </w:r>
          </w:p>
        </w:tc>
        <w:tc>
          <w:tcPr>
            <w:tcW w:w="4136" w:type="dxa"/>
          </w:tcPr>
          <w:p>
            <w:pPr>
              <w:pStyle w:val="TableParagraph"/>
              <w:spacing w:line="252" w:lineRule="exact" w:before="61"/>
              <w:ind w:left="107"/>
              <w:rPr>
                <w:sz w:val="21"/>
              </w:rPr>
            </w:pPr>
            <w:r>
              <w:rPr>
                <w:spacing w:val="-3"/>
                <w:sz w:val="21"/>
              </w:rPr>
              <w:t>承担给付保险金的责任。</w:t>
            </w:r>
          </w:p>
        </w:tc>
      </w:tr>
    </w:tbl>
    <w:p>
      <w:pPr>
        <w:pStyle w:val="BodyText"/>
        <w:spacing w:before="1"/>
        <w:rPr>
          <w:sz w:val="18"/>
        </w:rPr>
      </w:pPr>
    </w:p>
    <w:p>
      <w:pPr>
        <w:pStyle w:val="ListParagraph"/>
        <w:numPr>
          <w:ilvl w:val="3"/>
          <w:numId w:val="4"/>
        </w:numPr>
        <w:tabs>
          <w:tab w:pos="1140" w:val="left" w:leader="none"/>
        </w:tabs>
        <w:spacing w:line="242" w:lineRule="auto" w:before="0" w:after="0"/>
        <w:ind w:left="2608" w:right="373" w:hanging="2130"/>
        <w:jc w:val="both"/>
        <w:rPr>
          <w:sz w:val="21"/>
        </w:rPr>
      </w:pPr>
      <w:r>
        <w:rPr>
          <w:b/>
          <w:spacing w:val="101"/>
          <w:sz w:val="21"/>
        </w:rPr>
        <w:t>主要诊断 </w:t>
      </w:r>
      <w:r>
        <w:rPr>
          <w:sz w:val="21"/>
        </w:rPr>
        <w:t>指在医院治疗过程中由医生出具的、该治疗期间对被保险人身体健康危害最大、花</w:t>
      </w:r>
      <w:r>
        <w:rPr>
          <w:spacing w:val="-2"/>
          <w:sz w:val="21"/>
        </w:rPr>
        <w:t>费医疗费用最多的诊断。</w:t>
      </w:r>
    </w:p>
    <w:p>
      <w:pPr>
        <w:pStyle w:val="BodyText"/>
        <w:spacing w:before="4"/>
        <w:rPr>
          <w:sz w:val="12"/>
        </w:rPr>
      </w:pPr>
    </w:p>
    <w:p>
      <w:pPr>
        <w:spacing w:after="0"/>
        <w:rPr>
          <w:sz w:val="12"/>
        </w:rPr>
        <w:sectPr>
          <w:pgSz w:w="11910" w:h="16850"/>
          <w:pgMar w:top="1080" w:bottom="280" w:left="620" w:right="720"/>
        </w:sectPr>
      </w:pPr>
    </w:p>
    <w:p>
      <w:pPr>
        <w:pStyle w:val="Heading3"/>
        <w:numPr>
          <w:ilvl w:val="3"/>
          <w:numId w:val="4"/>
        </w:numPr>
        <w:tabs>
          <w:tab w:pos="1140" w:val="left" w:leader="none"/>
        </w:tabs>
        <w:spacing w:line="244" w:lineRule="auto" w:before="72" w:after="0"/>
        <w:ind w:left="1139" w:right="0" w:hanging="661"/>
        <w:jc w:val="left"/>
      </w:pPr>
      <w:r>
        <w:rPr>
          <w:spacing w:val="-2"/>
        </w:rPr>
        <w:t>符合通常惯</w:t>
      </w:r>
      <w:r>
        <w:rPr>
          <w:spacing w:val="-10"/>
        </w:rPr>
        <w:t>例</w:t>
      </w:r>
    </w:p>
    <w:p>
      <w:pPr>
        <w:pStyle w:val="BodyText"/>
        <w:spacing w:line="244" w:lineRule="auto" w:before="72"/>
        <w:ind w:left="372" w:right="372"/>
        <w:rPr>
          <w:rFonts w:ascii="黑体" w:eastAsia="黑体"/>
        </w:rPr>
      </w:pPr>
      <w:r>
        <w:rPr/>
        <w:br w:type="column"/>
      </w:r>
      <w:r>
        <w:rPr>
          <w:rFonts w:ascii="黑体" w:eastAsia="黑体"/>
          <w:spacing w:val="-2"/>
        </w:rPr>
        <w:t>指与接受医疗服务所在地通行治疗规范、通行治疗方法、平均医疗费用价格水平一</w:t>
      </w:r>
      <w:r>
        <w:rPr>
          <w:rFonts w:ascii="黑体" w:eastAsia="黑体"/>
          <w:spacing w:val="-2"/>
        </w:rPr>
        <w:t>致的费用。</w:t>
      </w:r>
    </w:p>
    <w:p>
      <w:pPr>
        <w:pStyle w:val="BodyText"/>
        <w:spacing w:line="242" w:lineRule="auto" w:before="56"/>
        <w:ind w:left="372" w:right="373"/>
        <w:jc w:val="both"/>
        <w:rPr>
          <w:rFonts w:ascii="黑体" w:eastAsia="黑体"/>
        </w:rPr>
      </w:pPr>
      <w:r>
        <w:rPr>
          <w:rFonts w:ascii="黑体" w:eastAsia="黑体"/>
          <w:spacing w:val="-2"/>
        </w:rPr>
        <w:t>对是否符合通常惯例由我们理赔人员根据客观、审慎、合理的原则进行审核；如果</w:t>
      </w:r>
      <w:r>
        <w:rPr>
          <w:rFonts w:ascii="黑体" w:eastAsia="黑体"/>
          <w:spacing w:val="-2"/>
        </w:rPr>
        <w:t>被保险人对审核结果有不同意见，可由双方认同的权威医学机构或者权威医学专家</w:t>
      </w:r>
      <w:r>
        <w:rPr>
          <w:rFonts w:ascii="黑体" w:eastAsia="黑体"/>
          <w:spacing w:val="-2"/>
        </w:rPr>
        <w:t>进行审核鉴定。</w:t>
      </w:r>
    </w:p>
    <w:p>
      <w:pPr>
        <w:spacing w:after="0" w:line="242" w:lineRule="auto"/>
        <w:jc w:val="both"/>
        <w:rPr>
          <w:rFonts w:ascii="黑体" w:eastAsia="黑体"/>
        </w:rPr>
        <w:sectPr>
          <w:type w:val="continuous"/>
          <w:pgSz w:w="11910" w:h="16850"/>
          <w:pgMar w:top="520" w:bottom="280" w:left="620" w:right="720"/>
          <w:cols w:num="2" w:equalWidth="0">
            <w:col w:w="2196" w:space="40"/>
            <w:col w:w="8334"/>
          </w:cols>
        </w:sectPr>
      </w:pPr>
    </w:p>
    <w:p>
      <w:pPr>
        <w:pStyle w:val="BodyText"/>
        <w:spacing w:before="8"/>
        <w:rPr>
          <w:rFonts w:ascii="黑体"/>
          <w:sz w:val="12"/>
        </w:rPr>
      </w:pPr>
    </w:p>
    <w:p>
      <w:pPr>
        <w:pStyle w:val="ListParagraph"/>
        <w:numPr>
          <w:ilvl w:val="3"/>
          <w:numId w:val="4"/>
        </w:numPr>
        <w:tabs>
          <w:tab w:pos="1140" w:val="left" w:leader="none"/>
          <w:tab w:pos="2608" w:val="left" w:leader="none"/>
        </w:tabs>
        <w:spacing w:line="240" w:lineRule="auto" w:before="71" w:after="0"/>
        <w:ind w:left="1139" w:right="0" w:hanging="661"/>
        <w:jc w:val="left"/>
        <w:rPr>
          <w:rFonts w:ascii="黑体" w:eastAsia="黑体"/>
          <w:sz w:val="21"/>
        </w:rPr>
      </w:pPr>
      <w:r>
        <w:rPr>
          <w:b/>
          <w:spacing w:val="-2"/>
          <w:sz w:val="21"/>
        </w:rPr>
        <w:t>医学</w:t>
      </w:r>
      <w:r>
        <w:rPr>
          <w:b/>
          <w:spacing w:val="-2"/>
          <w:sz w:val="21"/>
        </w:rPr>
        <w:t>必</w:t>
      </w:r>
      <w:r>
        <w:rPr>
          <w:b/>
          <w:spacing w:val="-10"/>
          <w:sz w:val="21"/>
        </w:rPr>
        <w:t>需</w:t>
      </w:r>
      <w:r>
        <w:rPr>
          <w:b/>
          <w:sz w:val="21"/>
        </w:rPr>
        <w:tab/>
      </w:r>
      <w:r>
        <w:rPr>
          <w:rFonts w:ascii="黑体" w:eastAsia="黑体"/>
          <w:spacing w:val="-2"/>
          <w:sz w:val="21"/>
        </w:rPr>
        <w:t>指</w:t>
      </w:r>
      <w:r>
        <w:rPr>
          <w:rFonts w:ascii="黑体" w:eastAsia="黑体"/>
          <w:spacing w:val="-2"/>
          <w:sz w:val="21"/>
        </w:rPr>
        <w:t>医</w:t>
      </w:r>
      <w:r>
        <w:rPr>
          <w:rFonts w:ascii="黑体" w:eastAsia="黑体"/>
          <w:spacing w:val="-2"/>
          <w:sz w:val="21"/>
        </w:rPr>
        <w:t>疗费用符合下列所有</w:t>
      </w:r>
      <w:r>
        <w:rPr>
          <w:rFonts w:ascii="黑体" w:eastAsia="黑体"/>
          <w:spacing w:val="-2"/>
          <w:sz w:val="21"/>
        </w:rPr>
        <w:t>条</w:t>
      </w:r>
      <w:r>
        <w:rPr>
          <w:rFonts w:ascii="黑体" w:eastAsia="黑体"/>
          <w:spacing w:val="-2"/>
          <w:sz w:val="21"/>
        </w:rPr>
        <w:t>件</w:t>
      </w:r>
      <w:r>
        <w:rPr>
          <w:rFonts w:ascii="黑体" w:eastAsia="黑体"/>
          <w:spacing w:val="-10"/>
          <w:sz w:val="21"/>
        </w:rPr>
        <w:t>：</w:t>
      </w:r>
    </w:p>
    <w:p>
      <w:pPr>
        <w:pStyle w:val="ListParagraph"/>
        <w:numPr>
          <w:ilvl w:val="0"/>
          <w:numId w:val="68"/>
        </w:numPr>
        <w:tabs>
          <w:tab w:pos="3322" w:val="left" w:leader="none"/>
        </w:tabs>
        <w:spacing w:line="240" w:lineRule="auto" w:before="63" w:after="0"/>
        <w:ind w:left="3321" w:right="0" w:hanging="721"/>
        <w:jc w:val="left"/>
        <w:rPr>
          <w:rFonts w:ascii="黑体" w:eastAsia="黑体"/>
          <w:sz w:val="21"/>
        </w:rPr>
      </w:pPr>
      <w:r>
        <w:rPr>
          <w:rFonts w:ascii="黑体" w:eastAsia="黑体"/>
          <w:spacing w:val="-3"/>
          <w:sz w:val="21"/>
        </w:rPr>
        <w:t>治疗意外伤害或者疾病所必需的项目；</w:t>
      </w:r>
    </w:p>
    <w:p>
      <w:pPr>
        <w:pStyle w:val="ListParagraph"/>
        <w:numPr>
          <w:ilvl w:val="0"/>
          <w:numId w:val="68"/>
        </w:numPr>
        <w:tabs>
          <w:tab w:pos="3322" w:val="left" w:leader="none"/>
        </w:tabs>
        <w:spacing w:line="240" w:lineRule="auto" w:before="62" w:after="0"/>
        <w:ind w:left="3321" w:right="0" w:hanging="721"/>
        <w:jc w:val="left"/>
        <w:rPr>
          <w:rFonts w:ascii="黑体" w:eastAsia="黑体"/>
          <w:sz w:val="21"/>
        </w:rPr>
      </w:pPr>
      <w:r>
        <w:rPr>
          <w:rFonts w:ascii="黑体" w:eastAsia="黑体"/>
          <w:spacing w:val="-3"/>
          <w:sz w:val="21"/>
        </w:rPr>
        <w:t>不超过安全、足量治疗原则的项目；</w:t>
      </w:r>
    </w:p>
    <w:p>
      <w:pPr>
        <w:pStyle w:val="ListParagraph"/>
        <w:numPr>
          <w:ilvl w:val="0"/>
          <w:numId w:val="68"/>
        </w:numPr>
        <w:tabs>
          <w:tab w:pos="3322" w:val="left" w:leader="none"/>
        </w:tabs>
        <w:spacing w:line="240" w:lineRule="auto" w:before="65" w:after="0"/>
        <w:ind w:left="3321" w:right="0" w:hanging="721"/>
        <w:jc w:val="left"/>
        <w:rPr>
          <w:rFonts w:ascii="黑体" w:eastAsia="黑体"/>
          <w:sz w:val="21"/>
        </w:rPr>
      </w:pPr>
      <w:r>
        <w:rPr>
          <w:rFonts w:ascii="黑体" w:eastAsia="黑体"/>
          <w:spacing w:val="-3"/>
          <w:sz w:val="21"/>
        </w:rPr>
        <w:t>由医生开具的处方药；</w:t>
      </w:r>
    </w:p>
    <w:p>
      <w:pPr>
        <w:pStyle w:val="ListParagraph"/>
        <w:numPr>
          <w:ilvl w:val="0"/>
          <w:numId w:val="68"/>
        </w:numPr>
        <w:tabs>
          <w:tab w:pos="3322" w:val="left" w:leader="none"/>
        </w:tabs>
        <w:spacing w:line="240" w:lineRule="auto" w:before="62" w:after="0"/>
        <w:ind w:left="3321" w:right="0" w:hanging="721"/>
        <w:jc w:val="left"/>
        <w:rPr>
          <w:rFonts w:ascii="黑体" w:eastAsia="黑体"/>
          <w:sz w:val="21"/>
        </w:rPr>
      </w:pPr>
      <w:r>
        <w:rPr>
          <w:rFonts w:ascii="黑体" w:eastAsia="黑体"/>
          <w:spacing w:val="-3"/>
          <w:sz w:val="21"/>
        </w:rPr>
        <w:t>非试验性的、非研究性的项目；</w:t>
      </w:r>
    </w:p>
    <w:p>
      <w:pPr>
        <w:pStyle w:val="ListParagraph"/>
        <w:numPr>
          <w:ilvl w:val="0"/>
          <w:numId w:val="68"/>
        </w:numPr>
        <w:tabs>
          <w:tab w:pos="3322" w:val="left" w:leader="none"/>
        </w:tabs>
        <w:spacing w:line="240" w:lineRule="auto" w:before="64" w:after="0"/>
        <w:ind w:left="3321" w:right="0" w:hanging="721"/>
        <w:jc w:val="left"/>
        <w:rPr>
          <w:rFonts w:ascii="黑体" w:eastAsia="黑体"/>
          <w:sz w:val="21"/>
        </w:rPr>
      </w:pPr>
      <w:r>
        <w:rPr>
          <w:rFonts w:ascii="黑体" w:eastAsia="黑体"/>
          <w:spacing w:val="-3"/>
          <w:sz w:val="21"/>
        </w:rPr>
        <w:t>与治疗所在地普遍接受的医疗专业实践标准一致的项目。</w:t>
      </w:r>
    </w:p>
    <w:p>
      <w:pPr>
        <w:pStyle w:val="BodyText"/>
        <w:spacing w:line="242" w:lineRule="auto" w:before="62"/>
        <w:ind w:left="2608" w:right="373"/>
        <w:jc w:val="both"/>
        <w:rPr>
          <w:rFonts w:ascii="黑体" w:eastAsia="黑体"/>
        </w:rPr>
      </w:pPr>
      <w:r>
        <w:rPr>
          <w:rFonts w:ascii="黑体" w:eastAsia="黑体"/>
          <w:spacing w:val="-2"/>
        </w:rPr>
        <w:t>对是否医学必需由我们理赔人员根据客观、审慎、合理的原则进行审核；如果被保</w:t>
      </w:r>
      <w:r>
        <w:rPr>
          <w:rFonts w:ascii="黑体" w:eastAsia="黑体"/>
          <w:spacing w:val="-2"/>
        </w:rPr>
        <w:t>险人对审核结果有不同意见，可由双方认同的权威医学机构或者权威医学专家进行</w:t>
      </w:r>
      <w:r>
        <w:rPr>
          <w:rFonts w:ascii="黑体" w:eastAsia="黑体"/>
          <w:spacing w:val="-2"/>
        </w:rPr>
        <w:t>审核鉴定。</w:t>
      </w:r>
    </w:p>
    <w:p>
      <w:pPr>
        <w:pStyle w:val="BodyText"/>
        <w:spacing w:before="9"/>
        <w:rPr>
          <w:rFonts w:ascii="黑体"/>
          <w:sz w:val="12"/>
        </w:rPr>
      </w:pPr>
    </w:p>
    <w:p>
      <w:pPr>
        <w:spacing w:after="0"/>
        <w:rPr>
          <w:rFonts w:ascii="黑体"/>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1" w:after="0"/>
        <w:ind w:left="1139" w:right="0" w:hanging="661"/>
        <w:jc w:val="left"/>
      </w:pPr>
      <w:r>
        <w:rPr>
          <w:spacing w:val="-2"/>
        </w:rPr>
        <w:t>住院医疗费</w:t>
      </w:r>
      <w:r>
        <w:rPr>
          <w:spacing w:val="-10"/>
        </w:rPr>
        <w:t>用</w:t>
      </w:r>
    </w:p>
    <w:p>
      <w:pPr>
        <w:spacing w:line="242" w:lineRule="auto" w:before="71"/>
        <w:ind w:left="372" w:right="372" w:firstLine="0"/>
        <w:jc w:val="both"/>
        <w:rPr>
          <w:sz w:val="21"/>
        </w:rPr>
      </w:pPr>
      <w:r>
        <w:rPr/>
        <w:br w:type="column"/>
      </w:r>
      <w:r>
        <w:rPr>
          <w:spacing w:val="-2"/>
          <w:sz w:val="21"/>
        </w:rPr>
        <w:t>指在医院接受住院治疗期间</w:t>
      </w:r>
      <w:r>
        <w:rPr>
          <w:rFonts w:ascii="黑体" w:eastAsia="黑体"/>
          <w:spacing w:val="-2"/>
          <w:sz w:val="21"/>
        </w:rPr>
        <w:t>且在住院部</w:t>
      </w:r>
      <w:r>
        <w:rPr>
          <w:spacing w:val="-2"/>
          <w:sz w:val="21"/>
        </w:rPr>
        <w:t>所发生的</w:t>
      </w:r>
      <w:r>
        <w:rPr>
          <w:b/>
          <w:spacing w:val="-2"/>
          <w:sz w:val="21"/>
        </w:rPr>
        <w:t>床位费及膳食费</w:t>
      </w:r>
      <w:r>
        <w:rPr>
          <w:spacing w:val="-2"/>
          <w:sz w:val="21"/>
        </w:rPr>
        <w:t>（</w:t>
      </w:r>
      <w:r>
        <w:rPr>
          <w:spacing w:val="-14"/>
          <w:sz w:val="21"/>
        </w:rPr>
        <w:t>见 </w:t>
      </w:r>
      <w:r>
        <w:rPr>
          <w:spacing w:val="20"/>
          <w:sz w:val="21"/>
        </w:rPr>
        <w:t>8</w:t>
      </w:r>
      <w:r>
        <w:rPr>
          <w:spacing w:val="17"/>
          <w:sz w:val="21"/>
        </w:rPr>
        <w:t>.</w:t>
      </w:r>
      <w:r>
        <w:rPr>
          <w:spacing w:val="20"/>
          <w:sz w:val="21"/>
        </w:rPr>
        <w:t>53</w:t>
      </w:r>
      <w:r>
        <w:rPr>
          <w:spacing w:val="-88"/>
          <w:sz w:val="21"/>
        </w:rPr>
        <w:t>）</w:t>
      </w:r>
      <w:r>
        <w:rPr>
          <w:spacing w:val="-2"/>
          <w:sz w:val="21"/>
        </w:rPr>
        <w:t>、</w:t>
      </w:r>
      <w:r>
        <w:rPr>
          <w:b/>
          <w:spacing w:val="-2"/>
          <w:sz w:val="21"/>
        </w:rPr>
        <w:t>监护</w:t>
      </w:r>
      <w:r>
        <w:rPr>
          <w:b/>
          <w:spacing w:val="-2"/>
          <w:w w:val="95"/>
          <w:sz w:val="21"/>
        </w:rPr>
        <w:t>人</w:t>
      </w:r>
      <w:r>
        <w:rPr>
          <w:b/>
          <w:spacing w:val="-2"/>
          <w:w w:val="95"/>
          <w:sz w:val="21"/>
        </w:rPr>
        <w:t>陪</w:t>
      </w:r>
      <w:r>
        <w:rPr>
          <w:b/>
          <w:spacing w:val="-2"/>
          <w:w w:val="95"/>
          <w:sz w:val="21"/>
        </w:rPr>
        <w:t>护</w:t>
      </w:r>
      <w:r>
        <w:rPr>
          <w:b/>
          <w:spacing w:val="-2"/>
          <w:w w:val="95"/>
          <w:sz w:val="21"/>
        </w:rPr>
        <w:t>床</w:t>
      </w:r>
      <w:r>
        <w:rPr>
          <w:b/>
          <w:spacing w:val="-2"/>
          <w:w w:val="95"/>
          <w:sz w:val="21"/>
        </w:rPr>
        <w:t>位</w:t>
      </w:r>
      <w:r>
        <w:rPr>
          <w:b/>
          <w:spacing w:val="-2"/>
          <w:w w:val="95"/>
          <w:sz w:val="21"/>
        </w:rPr>
        <w:t>费</w:t>
      </w:r>
      <w:r>
        <w:rPr>
          <w:spacing w:val="-2"/>
          <w:w w:val="95"/>
          <w:sz w:val="21"/>
        </w:rPr>
        <w:t>（</w:t>
      </w:r>
      <w:r>
        <w:rPr>
          <w:spacing w:val="-11"/>
          <w:w w:val="95"/>
          <w:sz w:val="21"/>
        </w:rPr>
        <w:t>见 </w:t>
      </w:r>
      <w:r>
        <w:rPr>
          <w:spacing w:val="20"/>
          <w:w w:val="95"/>
          <w:sz w:val="21"/>
        </w:rPr>
        <w:t>8.5</w:t>
      </w:r>
      <w:r>
        <w:rPr>
          <w:spacing w:val="17"/>
          <w:w w:val="95"/>
          <w:sz w:val="21"/>
        </w:rPr>
        <w:t>4</w:t>
      </w:r>
      <w:r>
        <w:rPr>
          <w:spacing w:val="-88"/>
          <w:w w:val="95"/>
          <w:sz w:val="21"/>
        </w:rPr>
        <w:t>）</w:t>
      </w:r>
      <w:r>
        <w:rPr>
          <w:spacing w:val="-2"/>
          <w:w w:val="95"/>
          <w:sz w:val="21"/>
        </w:rPr>
        <w:t>、</w:t>
      </w:r>
      <w:r>
        <w:rPr>
          <w:b/>
          <w:spacing w:val="-2"/>
          <w:w w:val="95"/>
          <w:sz w:val="21"/>
        </w:rPr>
        <w:t>重</w:t>
      </w:r>
      <w:r>
        <w:rPr>
          <w:b/>
          <w:spacing w:val="-2"/>
          <w:w w:val="95"/>
          <w:sz w:val="21"/>
        </w:rPr>
        <w:t>症</w:t>
      </w:r>
      <w:r>
        <w:rPr>
          <w:b/>
          <w:spacing w:val="-2"/>
          <w:w w:val="95"/>
          <w:sz w:val="21"/>
        </w:rPr>
        <w:t>监</w:t>
      </w:r>
      <w:r>
        <w:rPr>
          <w:b/>
          <w:spacing w:val="-2"/>
          <w:w w:val="95"/>
          <w:sz w:val="21"/>
        </w:rPr>
        <w:t>护</w:t>
      </w:r>
      <w:r>
        <w:rPr>
          <w:b/>
          <w:spacing w:val="-2"/>
          <w:w w:val="95"/>
          <w:sz w:val="21"/>
        </w:rPr>
        <w:t>室</w:t>
      </w:r>
      <w:r>
        <w:rPr>
          <w:b/>
          <w:spacing w:val="-2"/>
          <w:w w:val="95"/>
          <w:sz w:val="21"/>
        </w:rPr>
        <w:t>床</w:t>
      </w:r>
      <w:r>
        <w:rPr>
          <w:b/>
          <w:spacing w:val="-2"/>
          <w:w w:val="95"/>
          <w:sz w:val="21"/>
        </w:rPr>
        <w:t>位</w:t>
      </w:r>
      <w:r>
        <w:rPr>
          <w:b/>
          <w:spacing w:val="-2"/>
          <w:w w:val="95"/>
          <w:sz w:val="21"/>
        </w:rPr>
        <w:t>费</w:t>
      </w:r>
      <w:r>
        <w:rPr>
          <w:spacing w:val="-2"/>
          <w:w w:val="95"/>
          <w:sz w:val="21"/>
        </w:rPr>
        <w:t>（</w:t>
      </w:r>
      <w:r>
        <w:rPr>
          <w:spacing w:val="-11"/>
          <w:w w:val="95"/>
          <w:sz w:val="21"/>
        </w:rPr>
        <w:t>见 </w:t>
      </w:r>
      <w:r>
        <w:rPr>
          <w:spacing w:val="19"/>
          <w:w w:val="95"/>
          <w:sz w:val="21"/>
        </w:rPr>
        <w:t>8.55</w:t>
      </w:r>
      <w:r>
        <w:rPr>
          <w:spacing w:val="-89"/>
          <w:w w:val="95"/>
          <w:sz w:val="21"/>
        </w:rPr>
        <w:t>）</w:t>
      </w:r>
      <w:r>
        <w:rPr>
          <w:spacing w:val="-2"/>
          <w:w w:val="95"/>
          <w:sz w:val="21"/>
        </w:rPr>
        <w:t>、</w:t>
      </w:r>
      <w:r>
        <w:rPr>
          <w:b/>
          <w:spacing w:val="-2"/>
          <w:w w:val="95"/>
          <w:sz w:val="21"/>
        </w:rPr>
        <w:t>药</w:t>
      </w:r>
      <w:r>
        <w:rPr>
          <w:b/>
          <w:spacing w:val="-2"/>
          <w:w w:val="95"/>
          <w:sz w:val="21"/>
        </w:rPr>
        <w:t>品</w:t>
      </w:r>
      <w:r>
        <w:rPr>
          <w:b/>
          <w:spacing w:val="-2"/>
          <w:w w:val="95"/>
          <w:sz w:val="21"/>
        </w:rPr>
        <w:t>费</w:t>
      </w:r>
      <w:r>
        <w:rPr>
          <w:spacing w:val="-2"/>
          <w:w w:val="95"/>
          <w:sz w:val="21"/>
        </w:rPr>
        <w:t>（</w:t>
      </w:r>
      <w:r>
        <w:rPr>
          <w:spacing w:val="-10"/>
          <w:w w:val="95"/>
          <w:sz w:val="21"/>
        </w:rPr>
        <w:t>见 </w:t>
      </w:r>
      <w:r>
        <w:rPr>
          <w:spacing w:val="20"/>
          <w:w w:val="95"/>
          <w:sz w:val="21"/>
        </w:rPr>
        <w:t>8</w:t>
      </w:r>
      <w:r>
        <w:rPr>
          <w:spacing w:val="17"/>
          <w:w w:val="95"/>
          <w:sz w:val="21"/>
        </w:rPr>
        <w:t>.</w:t>
      </w:r>
      <w:r>
        <w:rPr>
          <w:spacing w:val="20"/>
          <w:w w:val="95"/>
          <w:sz w:val="21"/>
        </w:rPr>
        <w:t>56</w:t>
      </w:r>
      <w:r>
        <w:rPr>
          <w:spacing w:val="-88"/>
          <w:w w:val="95"/>
          <w:sz w:val="21"/>
        </w:rPr>
        <w:t>）</w:t>
      </w:r>
      <w:r>
        <w:rPr>
          <w:spacing w:val="-2"/>
          <w:w w:val="95"/>
          <w:sz w:val="21"/>
        </w:rPr>
        <w:t>、</w:t>
      </w:r>
      <w:r>
        <w:rPr>
          <w:b/>
          <w:spacing w:val="-2"/>
          <w:w w:val="95"/>
          <w:sz w:val="21"/>
        </w:rPr>
        <w:t>治</w:t>
      </w:r>
      <w:r>
        <w:rPr>
          <w:b/>
          <w:spacing w:val="-2"/>
          <w:w w:val="95"/>
          <w:sz w:val="21"/>
        </w:rPr>
        <w:t>疗</w:t>
      </w:r>
      <w:r>
        <w:rPr>
          <w:b/>
          <w:spacing w:val="-4"/>
          <w:w w:val="95"/>
          <w:sz w:val="21"/>
        </w:rPr>
        <w:t>费</w:t>
      </w:r>
      <w:r>
        <w:rPr>
          <w:spacing w:val="-4"/>
          <w:w w:val="95"/>
          <w:sz w:val="21"/>
        </w:rPr>
        <w:t>（</w:t>
      </w:r>
      <w:r>
        <w:rPr>
          <w:spacing w:val="-10"/>
          <w:w w:val="95"/>
          <w:sz w:val="21"/>
        </w:rPr>
        <w:t>见 </w:t>
      </w:r>
      <w:r>
        <w:rPr>
          <w:spacing w:val="18"/>
          <w:w w:val="95"/>
          <w:sz w:val="21"/>
        </w:rPr>
        <w:t>8.</w:t>
      </w:r>
      <w:r>
        <w:rPr>
          <w:spacing w:val="15"/>
          <w:w w:val="95"/>
          <w:sz w:val="21"/>
        </w:rPr>
        <w:t>5</w:t>
      </w:r>
      <w:r>
        <w:rPr>
          <w:spacing w:val="18"/>
          <w:w w:val="95"/>
          <w:sz w:val="21"/>
        </w:rPr>
        <w:t>7</w:t>
      </w:r>
      <w:r>
        <w:rPr>
          <w:spacing w:val="-90"/>
          <w:w w:val="95"/>
          <w:sz w:val="21"/>
        </w:rPr>
        <w:t>）</w:t>
      </w:r>
      <w:r>
        <w:rPr>
          <w:spacing w:val="-4"/>
          <w:w w:val="95"/>
          <w:sz w:val="21"/>
        </w:rPr>
        <w:t>、</w:t>
      </w:r>
      <w:r>
        <w:rPr>
          <w:b/>
          <w:spacing w:val="-4"/>
          <w:w w:val="95"/>
          <w:sz w:val="21"/>
        </w:rPr>
        <w:t>护</w:t>
      </w:r>
      <w:r>
        <w:rPr>
          <w:b/>
          <w:spacing w:val="-4"/>
          <w:w w:val="95"/>
          <w:sz w:val="21"/>
        </w:rPr>
        <w:t>理</w:t>
      </w:r>
      <w:r>
        <w:rPr>
          <w:b/>
          <w:spacing w:val="-4"/>
          <w:w w:val="95"/>
          <w:sz w:val="21"/>
        </w:rPr>
        <w:t>费</w:t>
      </w:r>
      <w:r>
        <w:rPr>
          <w:spacing w:val="-4"/>
          <w:w w:val="95"/>
          <w:sz w:val="21"/>
        </w:rPr>
        <w:t>（</w:t>
      </w:r>
      <w:r>
        <w:rPr>
          <w:spacing w:val="-10"/>
          <w:w w:val="95"/>
          <w:sz w:val="21"/>
        </w:rPr>
        <w:t>见 </w:t>
      </w:r>
      <w:r>
        <w:rPr>
          <w:spacing w:val="18"/>
          <w:w w:val="95"/>
          <w:sz w:val="21"/>
        </w:rPr>
        <w:t>8.</w:t>
      </w:r>
      <w:r>
        <w:rPr>
          <w:spacing w:val="15"/>
          <w:w w:val="95"/>
          <w:sz w:val="21"/>
        </w:rPr>
        <w:t>5</w:t>
      </w:r>
      <w:r>
        <w:rPr>
          <w:spacing w:val="18"/>
          <w:w w:val="95"/>
          <w:sz w:val="21"/>
        </w:rPr>
        <w:t>8</w:t>
      </w:r>
      <w:r>
        <w:rPr>
          <w:spacing w:val="-90"/>
          <w:w w:val="95"/>
          <w:sz w:val="21"/>
        </w:rPr>
        <w:t>）</w:t>
      </w:r>
      <w:r>
        <w:rPr>
          <w:spacing w:val="-4"/>
          <w:w w:val="95"/>
          <w:sz w:val="21"/>
        </w:rPr>
        <w:t>、</w:t>
      </w:r>
      <w:r>
        <w:rPr>
          <w:b/>
          <w:spacing w:val="-4"/>
          <w:w w:val="95"/>
          <w:sz w:val="21"/>
        </w:rPr>
        <w:t>检</w:t>
      </w:r>
      <w:r>
        <w:rPr>
          <w:b/>
          <w:spacing w:val="-4"/>
          <w:w w:val="95"/>
          <w:sz w:val="21"/>
        </w:rPr>
        <w:t>查</w:t>
      </w:r>
      <w:r>
        <w:rPr>
          <w:b/>
          <w:spacing w:val="-4"/>
          <w:w w:val="95"/>
          <w:sz w:val="21"/>
        </w:rPr>
        <w:t>化</w:t>
      </w:r>
      <w:r>
        <w:rPr>
          <w:b/>
          <w:spacing w:val="-4"/>
          <w:w w:val="95"/>
          <w:sz w:val="21"/>
        </w:rPr>
        <w:t>验</w:t>
      </w:r>
      <w:r>
        <w:rPr>
          <w:spacing w:val="-4"/>
          <w:w w:val="95"/>
          <w:sz w:val="21"/>
        </w:rPr>
        <w:t>（</w:t>
      </w:r>
      <w:r>
        <w:rPr>
          <w:spacing w:val="-10"/>
          <w:w w:val="95"/>
          <w:sz w:val="21"/>
        </w:rPr>
        <w:t>见 </w:t>
      </w:r>
      <w:r>
        <w:rPr>
          <w:spacing w:val="-4"/>
          <w:w w:val="95"/>
          <w:sz w:val="21"/>
        </w:rPr>
        <w:t>8.59）费、</w:t>
      </w:r>
      <w:r>
        <w:rPr>
          <w:b/>
          <w:spacing w:val="-4"/>
          <w:w w:val="95"/>
          <w:sz w:val="21"/>
        </w:rPr>
        <w:t>手</w:t>
      </w:r>
      <w:r>
        <w:rPr>
          <w:b/>
          <w:spacing w:val="-4"/>
          <w:w w:val="95"/>
          <w:sz w:val="21"/>
        </w:rPr>
        <w:t>术</w:t>
      </w:r>
      <w:r>
        <w:rPr>
          <w:b/>
          <w:spacing w:val="-4"/>
          <w:w w:val="95"/>
          <w:sz w:val="21"/>
        </w:rPr>
        <w:t>费</w:t>
      </w:r>
      <w:r>
        <w:rPr>
          <w:spacing w:val="-4"/>
          <w:w w:val="95"/>
          <w:sz w:val="21"/>
        </w:rPr>
        <w:t>（</w:t>
      </w:r>
      <w:r>
        <w:rPr>
          <w:spacing w:val="-10"/>
          <w:w w:val="95"/>
          <w:sz w:val="21"/>
        </w:rPr>
        <w:t>见 </w:t>
      </w:r>
      <w:r>
        <w:rPr>
          <w:spacing w:val="18"/>
          <w:w w:val="95"/>
          <w:sz w:val="21"/>
        </w:rPr>
        <w:t>8</w:t>
      </w:r>
      <w:r>
        <w:rPr>
          <w:spacing w:val="15"/>
          <w:w w:val="95"/>
          <w:sz w:val="21"/>
        </w:rPr>
        <w:t>.</w:t>
      </w:r>
      <w:r>
        <w:rPr>
          <w:spacing w:val="18"/>
          <w:w w:val="95"/>
          <w:sz w:val="21"/>
        </w:rPr>
        <w:t>6</w:t>
      </w:r>
      <w:r>
        <w:rPr>
          <w:spacing w:val="15"/>
          <w:w w:val="95"/>
          <w:sz w:val="21"/>
        </w:rPr>
        <w:t>0</w:t>
      </w:r>
      <w:r>
        <w:rPr>
          <w:spacing w:val="-88"/>
          <w:w w:val="95"/>
          <w:sz w:val="21"/>
        </w:rPr>
        <w:t>）</w:t>
      </w:r>
      <w:r>
        <w:rPr>
          <w:spacing w:val="-4"/>
          <w:w w:val="95"/>
          <w:sz w:val="21"/>
        </w:rPr>
        <w:t>、</w:t>
      </w:r>
      <w:r>
        <w:rPr>
          <w:b/>
          <w:spacing w:val="-4"/>
          <w:w w:val="95"/>
          <w:sz w:val="21"/>
        </w:rPr>
        <w:t>医</w:t>
      </w:r>
      <w:r>
        <w:rPr>
          <w:b/>
          <w:spacing w:val="-10"/>
          <w:sz w:val="21"/>
        </w:rPr>
        <w:t>生费（诊疗费</w:t>
      </w:r>
      <w:r>
        <w:rPr>
          <w:b/>
          <w:spacing w:val="-105"/>
          <w:sz w:val="21"/>
        </w:rPr>
        <w:t>）</w:t>
      </w:r>
      <w:r>
        <w:rPr>
          <w:spacing w:val="-3"/>
          <w:sz w:val="21"/>
        </w:rPr>
        <w:t>（</w:t>
      </w:r>
      <w:r>
        <w:rPr>
          <w:spacing w:val="-10"/>
          <w:sz w:val="21"/>
        </w:rPr>
        <w:t>见 </w:t>
      </w:r>
      <w:r>
        <w:rPr>
          <w:spacing w:val="9"/>
          <w:sz w:val="21"/>
        </w:rPr>
        <w:t>8</w:t>
      </w:r>
      <w:r>
        <w:rPr>
          <w:spacing w:val="12"/>
          <w:sz w:val="21"/>
        </w:rPr>
        <w:t>.61</w:t>
      </w:r>
      <w:r>
        <w:rPr>
          <w:spacing w:val="-96"/>
          <w:sz w:val="21"/>
        </w:rPr>
        <w:t>）</w:t>
      </w:r>
      <w:r>
        <w:rPr>
          <w:spacing w:val="-10"/>
          <w:sz w:val="21"/>
        </w:rPr>
        <w:t>、</w:t>
      </w:r>
      <w:r>
        <w:rPr>
          <w:b/>
          <w:spacing w:val="-10"/>
          <w:sz w:val="21"/>
        </w:rPr>
        <w:t>材料费</w:t>
      </w:r>
      <w:r>
        <w:rPr>
          <w:spacing w:val="-10"/>
          <w:sz w:val="21"/>
        </w:rPr>
        <w:t>（见 </w:t>
      </w:r>
      <w:r>
        <w:rPr>
          <w:spacing w:val="9"/>
          <w:sz w:val="21"/>
        </w:rPr>
        <w:t>8</w:t>
      </w:r>
      <w:r>
        <w:rPr>
          <w:spacing w:val="12"/>
          <w:sz w:val="21"/>
        </w:rPr>
        <w:t>.62</w:t>
      </w:r>
      <w:r>
        <w:rPr>
          <w:spacing w:val="-96"/>
          <w:sz w:val="21"/>
        </w:rPr>
        <w:t>）</w:t>
      </w:r>
      <w:r>
        <w:rPr>
          <w:spacing w:val="-10"/>
          <w:sz w:val="21"/>
        </w:rPr>
        <w:t>、</w:t>
      </w:r>
      <w:r>
        <w:rPr>
          <w:b/>
          <w:spacing w:val="-10"/>
          <w:sz w:val="21"/>
        </w:rPr>
        <w:t>器官移植费</w:t>
      </w:r>
      <w:r>
        <w:rPr>
          <w:spacing w:val="-10"/>
          <w:sz w:val="21"/>
        </w:rPr>
        <w:t>（见 </w:t>
      </w:r>
      <w:r>
        <w:rPr>
          <w:spacing w:val="11"/>
          <w:sz w:val="21"/>
        </w:rPr>
        <w:t>8.</w:t>
      </w:r>
      <w:r>
        <w:rPr>
          <w:spacing w:val="8"/>
          <w:sz w:val="21"/>
        </w:rPr>
        <w:t>6</w:t>
      </w:r>
      <w:r>
        <w:rPr>
          <w:spacing w:val="11"/>
          <w:sz w:val="21"/>
        </w:rPr>
        <w:t>3</w:t>
      </w:r>
      <w:r>
        <w:rPr>
          <w:spacing w:val="-95"/>
          <w:sz w:val="21"/>
        </w:rPr>
        <w:t>）</w:t>
      </w:r>
      <w:r>
        <w:rPr>
          <w:spacing w:val="-10"/>
          <w:sz w:val="21"/>
        </w:rPr>
        <w:t>、</w:t>
      </w:r>
      <w:r>
        <w:rPr>
          <w:b/>
          <w:spacing w:val="-10"/>
          <w:sz w:val="21"/>
        </w:rPr>
        <w:t>救护车使</w:t>
      </w:r>
      <w:r>
        <w:rPr>
          <w:b/>
          <w:sz w:val="21"/>
        </w:rPr>
        <w:t>用费</w:t>
      </w:r>
      <w:r>
        <w:rPr>
          <w:sz w:val="21"/>
        </w:rPr>
        <w:t>（</w:t>
      </w:r>
      <w:r>
        <w:rPr>
          <w:spacing w:val="-22"/>
          <w:sz w:val="21"/>
        </w:rPr>
        <w:t>见 </w:t>
      </w:r>
      <w:r>
        <w:rPr>
          <w:spacing w:val="21"/>
          <w:sz w:val="21"/>
        </w:rPr>
        <w:t>8.6</w:t>
      </w:r>
      <w:r>
        <w:rPr>
          <w:spacing w:val="18"/>
          <w:sz w:val="21"/>
        </w:rPr>
        <w:t>4</w:t>
      </w:r>
      <w:r>
        <w:rPr>
          <w:spacing w:val="-85"/>
          <w:sz w:val="21"/>
        </w:rPr>
        <w:t>）</w:t>
      </w:r>
      <w:r>
        <w:rPr>
          <w:spacing w:val="-106"/>
          <w:sz w:val="21"/>
        </w:rPr>
        <w:t>。</w:t>
      </w:r>
    </w:p>
    <w:p>
      <w:pPr>
        <w:spacing w:after="0" w:line="242" w:lineRule="auto"/>
        <w:jc w:val="both"/>
        <w:rPr>
          <w:sz w:val="21"/>
        </w:rPr>
        <w:sectPr>
          <w:type w:val="continuous"/>
          <w:pgSz w:w="11910" w:h="16850"/>
          <w:pgMar w:top="520" w:bottom="280" w:left="620" w:right="720"/>
          <w:cols w:num="2" w:equalWidth="0">
            <w:col w:w="2196" w:space="40"/>
            <w:col w:w="8334"/>
          </w:cols>
        </w:sectPr>
      </w:pPr>
    </w:p>
    <w:p>
      <w:pPr>
        <w:pStyle w:val="BodyText"/>
        <w:spacing w:before="8"/>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1" w:after="0"/>
        <w:ind w:left="1139" w:right="0" w:hanging="661"/>
        <w:jc w:val="left"/>
      </w:pPr>
      <w:r>
        <w:rPr>
          <w:spacing w:val="-2"/>
        </w:rPr>
        <w:t>门诊医疗费</w:t>
      </w:r>
      <w:r>
        <w:rPr>
          <w:spacing w:val="-10"/>
        </w:rPr>
        <w:t>用</w:t>
      </w:r>
    </w:p>
    <w:p>
      <w:pPr>
        <w:pStyle w:val="BodyText"/>
        <w:spacing w:line="242" w:lineRule="auto" w:before="71"/>
        <w:ind w:left="372" w:right="373"/>
      </w:pPr>
      <w:r>
        <w:rPr/>
        <w:br w:type="column"/>
      </w:r>
      <w:r>
        <w:rPr>
          <w:spacing w:val="-6"/>
        </w:rPr>
        <w:t>指在接受门诊治疗期间所发生的药品费、治疗费、检查化验费、手术费、医生费（诊</w:t>
      </w:r>
      <w:r>
        <w:rPr>
          <w:spacing w:val="-2"/>
        </w:rPr>
        <w:t>疗费</w:t>
      </w:r>
      <w:r>
        <w:rPr>
          <w:spacing w:val="-108"/>
        </w:rPr>
        <w:t>）</w:t>
      </w:r>
      <w:r>
        <w:rPr>
          <w:spacing w:val="-2"/>
        </w:rPr>
        <w:t>、材料费、器官移植费。</w:t>
      </w:r>
    </w:p>
    <w:p>
      <w:pPr>
        <w:spacing w:after="0" w:line="242" w:lineRule="auto"/>
        <w:sectPr>
          <w:type w:val="continuous"/>
          <w:pgSz w:w="11910" w:h="16850"/>
          <w:pgMar w:top="520" w:bottom="280" w:left="620" w:right="720"/>
          <w:cols w:num="2" w:equalWidth="0">
            <w:col w:w="2196" w:space="40"/>
            <w:col w:w="8334"/>
          </w:cols>
        </w:sectPr>
      </w:pPr>
    </w:p>
    <w:p>
      <w:pPr>
        <w:pStyle w:val="BodyText"/>
        <w:spacing w:before="7"/>
        <w:rPr>
          <w:sz w:val="12"/>
        </w:rPr>
      </w:pPr>
    </w:p>
    <w:p>
      <w:pPr>
        <w:pStyle w:val="ListParagraph"/>
        <w:numPr>
          <w:ilvl w:val="3"/>
          <w:numId w:val="4"/>
        </w:numPr>
        <w:tabs>
          <w:tab w:pos="1140" w:val="left" w:leader="none"/>
          <w:tab w:pos="2608" w:val="left" w:leader="none"/>
        </w:tabs>
        <w:spacing w:line="242" w:lineRule="auto" w:before="71" w:after="0"/>
        <w:ind w:left="2608" w:right="265" w:hanging="2120"/>
        <w:jc w:val="left"/>
        <w:rPr>
          <w:sz w:val="21"/>
        </w:rPr>
      </w:pPr>
      <w:r>
        <w:rPr>
          <w:b/>
          <w:w w:val="100"/>
          <w:sz w:val="21"/>
        </w:rPr>
        <w:t>化学疗法</w:t>
      </w:r>
      <w:r>
        <w:rPr>
          <w:b/>
          <w:sz w:val="21"/>
        </w:rPr>
        <w:tab/>
      </w:r>
      <w:r>
        <w:rPr>
          <w:w w:val="100"/>
          <w:sz w:val="21"/>
        </w:rPr>
        <w:t>指针对恶</w:t>
      </w:r>
      <w:r>
        <w:rPr>
          <w:spacing w:val="-3"/>
          <w:w w:val="100"/>
          <w:sz w:val="21"/>
        </w:rPr>
        <w:t>性</w:t>
      </w:r>
      <w:r>
        <w:rPr>
          <w:w w:val="100"/>
          <w:sz w:val="21"/>
        </w:rPr>
        <w:t>肿瘤的</w:t>
      </w:r>
      <w:r>
        <w:rPr>
          <w:spacing w:val="-3"/>
          <w:w w:val="100"/>
          <w:sz w:val="21"/>
        </w:rPr>
        <w:t>化</w:t>
      </w:r>
      <w:r>
        <w:rPr>
          <w:w w:val="100"/>
          <w:sz w:val="21"/>
        </w:rPr>
        <w:t>学</w:t>
      </w:r>
      <w:r>
        <w:rPr>
          <w:spacing w:val="-3"/>
          <w:w w:val="100"/>
          <w:sz w:val="21"/>
        </w:rPr>
        <w:t>治</w:t>
      </w:r>
      <w:r>
        <w:rPr>
          <w:w w:val="100"/>
          <w:sz w:val="21"/>
        </w:rPr>
        <w:t>疗。化疗</w:t>
      </w:r>
      <w:r>
        <w:rPr>
          <w:spacing w:val="-3"/>
          <w:w w:val="100"/>
          <w:sz w:val="21"/>
        </w:rPr>
        <w:t>是</w:t>
      </w:r>
      <w:r>
        <w:rPr>
          <w:w w:val="100"/>
          <w:sz w:val="21"/>
        </w:rPr>
        <w:t>使用医</w:t>
      </w:r>
      <w:r>
        <w:rPr>
          <w:spacing w:val="-3"/>
          <w:w w:val="100"/>
          <w:sz w:val="21"/>
        </w:rPr>
        <w:t>学</w:t>
      </w:r>
      <w:r>
        <w:rPr>
          <w:w w:val="100"/>
          <w:sz w:val="21"/>
        </w:rPr>
        <w:t>界</w:t>
      </w:r>
      <w:r>
        <w:rPr>
          <w:spacing w:val="-3"/>
          <w:w w:val="100"/>
          <w:sz w:val="21"/>
        </w:rPr>
        <w:t>公</w:t>
      </w:r>
      <w:r>
        <w:rPr>
          <w:w w:val="100"/>
          <w:sz w:val="21"/>
        </w:rPr>
        <w:t>认的化疗</w:t>
      </w:r>
      <w:r>
        <w:rPr>
          <w:spacing w:val="-3"/>
          <w:w w:val="100"/>
          <w:sz w:val="21"/>
        </w:rPr>
        <w:t>药</w:t>
      </w:r>
      <w:r>
        <w:rPr>
          <w:w w:val="100"/>
          <w:sz w:val="21"/>
        </w:rPr>
        <w:t>物，以</w:t>
      </w:r>
      <w:r>
        <w:rPr>
          <w:spacing w:val="-3"/>
          <w:w w:val="100"/>
          <w:sz w:val="21"/>
        </w:rPr>
        <w:t>杀</w:t>
      </w:r>
      <w:r>
        <w:rPr>
          <w:w w:val="100"/>
          <w:sz w:val="21"/>
        </w:rPr>
        <w:t>死</w:t>
      </w:r>
      <w:r>
        <w:rPr>
          <w:spacing w:val="-3"/>
          <w:w w:val="100"/>
          <w:sz w:val="21"/>
        </w:rPr>
        <w:t>癌</w:t>
      </w:r>
      <w:r>
        <w:rPr>
          <w:w w:val="100"/>
          <w:sz w:val="21"/>
        </w:rPr>
        <w:t>细胞、抑制</w:t>
      </w:r>
      <w:r>
        <w:rPr>
          <w:spacing w:val="-3"/>
          <w:w w:val="100"/>
          <w:sz w:val="21"/>
        </w:rPr>
        <w:t>癌</w:t>
      </w:r>
      <w:r>
        <w:rPr>
          <w:w w:val="100"/>
          <w:sz w:val="21"/>
        </w:rPr>
        <w:t>细</w:t>
      </w:r>
      <w:r>
        <w:rPr>
          <w:spacing w:val="-3"/>
          <w:w w:val="100"/>
          <w:sz w:val="21"/>
        </w:rPr>
        <w:t>胞</w:t>
      </w:r>
      <w:r>
        <w:rPr>
          <w:w w:val="100"/>
          <w:sz w:val="21"/>
        </w:rPr>
        <w:t>生</w:t>
      </w:r>
      <w:r>
        <w:rPr>
          <w:spacing w:val="-3"/>
          <w:w w:val="100"/>
          <w:sz w:val="21"/>
        </w:rPr>
        <w:t>长</w:t>
      </w:r>
      <w:r>
        <w:rPr>
          <w:w w:val="100"/>
          <w:sz w:val="21"/>
        </w:rPr>
        <w:t>繁</w:t>
      </w:r>
      <w:r>
        <w:rPr>
          <w:spacing w:val="-3"/>
          <w:w w:val="100"/>
          <w:sz w:val="21"/>
        </w:rPr>
        <w:t>殖</w:t>
      </w:r>
      <w:r>
        <w:rPr>
          <w:w w:val="100"/>
          <w:sz w:val="21"/>
        </w:rPr>
        <w:t>为</w:t>
      </w:r>
      <w:r>
        <w:rPr>
          <w:spacing w:val="-3"/>
          <w:w w:val="100"/>
          <w:sz w:val="21"/>
        </w:rPr>
        <w:t>目</w:t>
      </w:r>
      <w:r>
        <w:rPr>
          <w:w w:val="100"/>
          <w:sz w:val="21"/>
        </w:rPr>
        <w:t>的而</w:t>
      </w:r>
      <w:r>
        <w:rPr>
          <w:spacing w:val="-3"/>
          <w:w w:val="100"/>
          <w:sz w:val="21"/>
        </w:rPr>
        <w:t>进</w:t>
      </w:r>
      <w:r>
        <w:rPr>
          <w:w w:val="100"/>
          <w:sz w:val="21"/>
        </w:rPr>
        <w:t>行</w:t>
      </w:r>
      <w:r>
        <w:rPr>
          <w:spacing w:val="-3"/>
          <w:w w:val="100"/>
          <w:sz w:val="21"/>
        </w:rPr>
        <w:t>的</w:t>
      </w:r>
      <w:r>
        <w:rPr>
          <w:w w:val="100"/>
          <w:sz w:val="21"/>
        </w:rPr>
        <w:t>治</w:t>
      </w:r>
      <w:r>
        <w:rPr>
          <w:spacing w:val="-3"/>
          <w:w w:val="100"/>
          <w:sz w:val="21"/>
        </w:rPr>
        <w:t>疗</w:t>
      </w:r>
      <w:r>
        <w:rPr>
          <w:spacing w:val="-87"/>
          <w:w w:val="100"/>
          <w:sz w:val="21"/>
        </w:rPr>
        <w:t>。</w:t>
      </w:r>
      <w:r>
        <w:rPr>
          <w:w w:val="100"/>
          <w:sz w:val="21"/>
        </w:rPr>
        <w:t>本</w:t>
      </w:r>
      <w:r>
        <w:rPr>
          <w:spacing w:val="-3"/>
          <w:w w:val="100"/>
          <w:sz w:val="21"/>
        </w:rPr>
        <w:t>合</w:t>
      </w:r>
      <w:r>
        <w:rPr>
          <w:w w:val="100"/>
          <w:sz w:val="21"/>
        </w:rPr>
        <w:t>同</w:t>
      </w:r>
      <w:r>
        <w:rPr>
          <w:spacing w:val="-3"/>
          <w:w w:val="100"/>
          <w:sz w:val="21"/>
        </w:rPr>
        <w:t>所</w:t>
      </w:r>
      <w:r>
        <w:rPr>
          <w:w w:val="100"/>
          <w:sz w:val="21"/>
        </w:rPr>
        <w:t>指的</w:t>
      </w:r>
      <w:r>
        <w:rPr>
          <w:spacing w:val="-3"/>
          <w:w w:val="100"/>
          <w:sz w:val="21"/>
        </w:rPr>
        <w:t>化</w:t>
      </w:r>
      <w:r>
        <w:rPr>
          <w:w w:val="100"/>
          <w:sz w:val="21"/>
        </w:rPr>
        <w:t>疗</w:t>
      </w:r>
      <w:r>
        <w:rPr>
          <w:spacing w:val="-3"/>
          <w:w w:val="100"/>
          <w:sz w:val="21"/>
        </w:rPr>
        <w:t>为</w:t>
      </w:r>
      <w:r>
        <w:rPr>
          <w:w w:val="100"/>
          <w:sz w:val="21"/>
        </w:rPr>
        <w:t>被</w:t>
      </w:r>
      <w:r>
        <w:rPr>
          <w:spacing w:val="-3"/>
          <w:w w:val="100"/>
          <w:sz w:val="21"/>
        </w:rPr>
        <w:t>保</w:t>
      </w:r>
      <w:r>
        <w:rPr>
          <w:w w:val="100"/>
          <w:sz w:val="21"/>
        </w:rPr>
        <w:t>险</w:t>
      </w:r>
      <w:r>
        <w:rPr>
          <w:spacing w:val="-3"/>
          <w:w w:val="100"/>
          <w:sz w:val="21"/>
        </w:rPr>
        <w:t>人</w:t>
      </w:r>
      <w:r>
        <w:rPr>
          <w:w w:val="100"/>
          <w:sz w:val="21"/>
        </w:rPr>
        <w:t>根</w:t>
      </w:r>
      <w:r>
        <w:rPr>
          <w:spacing w:val="-3"/>
          <w:w w:val="100"/>
          <w:sz w:val="21"/>
        </w:rPr>
        <w:t>据</w:t>
      </w:r>
      <w:r>
        <w:rPr>
          <w:w w:val="100"/>
          <w:sz w:val="21"/>
        </w:rPr>
        <w:t>医</w:t>
      </w:r>
      <w:r>
        <w:rPr>
          <w:spacing w:val="-3"/>
          <w:w w:val="100"/>
          <w:sz w:val="21"/>
        </w:rPr>
        <w:t>嘱</w:t>
      </w:r>
      <w:r>
        <w:rPr>
          <w:w w:val="100"/>
          <w:sz w:val="21"/>
        </w:rPr>
        <w:t>，在医</w:t>
      </w:r>
      <w:r>
        <w:rPr>
          <w:spacing w:val="-3"/>
          <w:w w:val="100"/>
          <w:sz w:val="21"/>
        </w:rPr>
        <w:t>院</w:t>
      </w:r>
      <w:r>
        <w:rPr>
          <w:w w:val="100"/>
          <w:sz w:val="21"/>
        </w:rPr>
        <w:t>进</w:t>
      </w:r>
      <w:r>
        <w:rPr>
          <w:spacing w:val="-3"/>
          <w:w w:val="100"/>
          <w:sz w:val="21"/>
        </w:rPr>
        <w:t>行</w:t>
      </w:r>
      <w:r>
        <w:rPr>
          <w:w w:val="100"/>
          <w:sz w:val="21"/>
        </w:rPr>
        <w:t>的</w:t>
      </w:r>
      <w:r>
        <w:rPr>
          <w:spacing w:val="-3"/>
          <w:w w:val="100"/>
          <w:sz w:val="21"/>
        </w:rPr>
        <w:t>静</w:t>
      </w:r>
      <w:r>
        <w:rPr>
          <w:w w:val="100"/>
          <w:sz w:val="21"/>
        </w:rPr>
        <w:t>脉</w:t>
      </w:r>
      <w:r>
        <w:rPr>
          <w:spacing w:val="-3"/>
          <w:w w:val="100"/>
          <w:sz w:val="21"/>
        </w:rPr>
        <w:t>注</w:t>
      </w:r>
      <w:r>
        <w:rPr>
          <w:w w:val="100"/>
          <w:sz w:val="21"/>
        </w:rPr>
        <w:t>射</w:t>
      </w:r>
      <w:r>
        <w:rPr>
          <w:spacing w:val="-3"/>
          <w:w w:val="100"/>
          <w:sz w:val="21"/>
        </w:rPr>
        <w:t>化</w:t>
      </w:r>
      <w:r>
        <w:rPr>
          <w:w w:val="100"/>
          <w:sz w:val="21"/>
        </w:rPr>
        <w:t>疗。</w:t>
      </w:r>
    </w:p>
    <w:p>
      <w:pPr>
        <w:pStyle w:val="BodyText"/>
        <w:spacing w:before="1"/>
        <w:rPr>
          <w:sz w:val="18"/>
        </w:rPr>
      </w:pPr>
    </w:p>
    <w:p>
      <w:pPr>
        <w:pStyle w:val="ListParagraph"/>
        <w:numPr>
          <w:ilvl w:val="3"/>
          <w:numId w:val="4"/>
        </w:numPr>
        <w:tabs>
          <w:tab w:pos="1140" w:val="left" w:leader="none"/>
        </w:tabs>
        <w:spacing w:line="242" w:lineRule="auto" w:before="0" w:after="0"/>
        <w:ind w:left="2608" w:right="373" w:hanging="2120"/>
        <w:jc w:val="both"/>
        <w:rPr>
          <w:sz w:val="21"/>
        </w:rPr>
      </w:pPr>
      <w:r>
        <w:rPr>
          <w:b/>
          <w:spacing w:val="101"/>
          <w:sz w:val="21"/>
        </w:rPr>
        <w:t>放射疗法 </w:t>
      </w:r>
      <w:r>
        <w:rPr>
          <w:sz w:val="21"/>
        </w:rPr>
        <w:t>指针对恶性肿瘤的放射治疗。放疗是使用各种不同能量的射线照射肿瘤组织，以杀</w:t>
      </w:r>
      <w:r>
        <w:rPr>
          <w:spacing w:val="-2"/>
          <w:sz w:val="21"/>
        </w:rPr>
        <w:t>死癌细胞、抑制癌细胞生长繁殖为目的而进行的治疗。本合同所指的放疗为被保险</w:t>
      </w:r>
      <w:r>
        <w:rPr>
          <w:spacing w:val="-2"/>
          <w:sz w:val="21"/>
        </w:rPr>
        <w:t>人根据医嘱，在医院的专业科室进行的放疗。</w:t>
      </w:r>
    </w:p>
    <w:p>
      <w:pPr>
        <w:spacing w:after="0" w:line="242" w:lineRule="auto"/>
        <w:jc w:val="both"/>
        <w:rPr>
          <w:sz w:val="21"/>
        </w:rPr>
        <w:sectPr>
          <w:type w:val="continuous"/>
          <w:pgSz w:w="11910" w:h="16850"/>
          <w:pgMar w:top="520" w:bottom="280" w:left="620" w:right="720"/>
        </w:sectPr>
      </w:pPr>
    </w:p>
    <w:p>
      <w:pPr>
        <w:pStyle w:val="Heading3"/>
        <w:numPr>
          <w:ilvl w:val="3"/>
          <w:numId w:val="4"/>
        </w:numPr>
        <w:tabs>
          <w:tab w:pos="1140" w:val="left" w:leader="none"/>
        </w:tabs>
        <w:spacing w:line="244" w:lineRule="auto" w:before="43" w:after="0"/>
        <w:ind w:left="1139" w:right="0" w:hanging="651"/>
        <w:jc w:val="left"/>
      </w:pPr>
      <w:r>
        <w:rPr>
          <w:spacing w:val="-2"/>
        </w:rPr>
        <w:t>肿瘤免疫疗</w:t>
      </w:r>
      <w:r>
        <w:rPr>
          <w:spacing w:val="-10"/>
        </w:rPr>
        <w:t>法</w:t>
      </w:r>
    </w:p>
    <w:p>
      <w:pPr>
        <w:pStyle w:val="BodyText"/>
        <w:spacing w:line="242" w:lineRule="auto" w:before="43"/>
        <w:ind w:left="372" w:right="373"/>
        <w:jc w:val="both"/>
      </w:pPr>
      <w:r>
        <w:rPr/>
        <w:br w:type="column"/>
      </w:r>
      <w:r>
        <w:rPr>
          <w:spacing w:val="-2"/>
        </w:rPr>
        <w:t>指应用免疫学原理和方法，使用肿瘤免疫治疗药物提高肿瘤细胞的免疫原性和对效</w:t>
      </w:r>
      <w:r>
        <w:rPr>
          <w:spacing w:val="-2"/>
        </w:rPr>
        <w:t>应细胞杀伤的敏感性，激发和增强机体抗肿瘤免疫应答，并应用免疫细胞和效应分</w:t>
      </w:r>
      <w:r>
        <w:rPr>
          <w:spacing w:val="-2"/>
        </w:rPr>
        <w:t>子输注宿主体内，协同机体免疫系统杀伤肿瘤、抑制肿瘤生长。本合同所指的肿瘤</w:t>
      </w:r>
      <w:r>
        <w:rPr>
          <w:spacing w:val="-2"/>
        </w:rPr>
        <w:t>免疫疗法使用的药物需符合法律、法规要求并经过国家食品药品监督管理总局批准</w:t>
      </w:r>
      <w:r>
        <w:rPr>
          <w:spacing w:val="-2"/>
        </w:rPr>
        <w:t>用于临床治疗。</w:t>
      </w:r>
    </w:p>
    <w:p>
      <w:pPr>
        <w:spacing w:after="0" w:line="242" w:lineRule="auto"/>
        <w:jc w:val="both"/>
        <w:sectPr>
          <w:pgSz w:w="11910" w:h="16850"/>
          <w:pgMar w:top="1320" w:bottom="280" w:left="620" w:right="720"/>
          <w:cols w:num="2" w:equalWidth="0">
            <w:col w:w="2196" w:space="40"/>
            <w:col w:w="8334"/>
          </w:cols>
        </w:sectPr>
      </w:pPr>
    </w:p>
    <w:p>
      <w:pPr>
        <w:pStyle w:val="BodyText"/>
        <w:spacing w:before="10"/>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51"/>
        <w:jc w:val="left"/>
      </w:pPr>
      <w:r>
        <w:rPr>
          <w:spacing w:val="-2"/>
        </w:rPr>
        <w:t>肿瘤内分泌</w:t>
      </w:r>
      <w:r>
        <w:rPr>
          <w:spacing w:val="-6"/>
        </w:rPr>
        <w:t>疗法</w:t>
      </w:r>
    </w:p>
    <w:p>
      <w:pPr>
        <w:pStyle w:val="BodyText"/>
        <w:spacing w:line="242" w:lineRule="auto" w:before="72"/>
        <w:ind w:left="372" w:right="373"/>
        <w:jc w:val="both"/>
      </w:pPr>
      <w:r>
        <w:rPr/>
        <w:br w:type="column"/>
      </w:r>
      <w:r>
        <w:rPr>
          <w:spacing w:val="-2"/>
        </w:rPr>
        <w:t>指针对于恶性肿瘤的内分泌疗法，用药物抑制激素生成和激素反应，杀死癌细胞或</w:t>
      </w:r>
      <w:r>
        <w:rPr>
          <w:spacing w:val="-2"/>
        </w:rPr>
        <w:t>抑制癌细胞的生长。本合同所指的内分泌疗法使用的药物需符合法律、法规要求并</w:t>
      </w:r>
      <w:r>
        <w:rPr>
          <w:spacing w:val="-2"/>
        </w:rPr>
        <w:t>经过国家食品药品监督管理总局批准用于临床治疗。</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5"/>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51"/>
        <w:jc w:val="left"/>
      </w:pPr>
      <w:r>
        <w:rPr>
          <w:spacing w:val="-2"/>
        </w:rPr>
        <w:t>肿瘤靶向疗</w:t>
      </w:r>
      <w:r>
        <w:rPr>
          <w:spacing w:val="-10"/>
        </w:rPr>
        <w:t>法</w:t>
      </w:r>
    </w:p>
    <w:p>
      <w:pPr>
        <w:pStyle w:val="BodyText"/>
        <w:spacing w:line="242" w:lineRule="auto" w:before="72"/>
        <w:ind w:left="372" w:right="373"/>
        <w:jc w:val="both"/>
      </w:pPr>
      <w:r>
        <w:rPr/>
        <w:br w:type="column"/>
      </w:r>
      <w:r>
        <w:rPr>
          <w:spacing w:val="-2"/>
        </w:rPr>
        <w:t>指在细胞分子水平上，针对已经明确的致癌点来设计相应的靶向治疗药物，利用具</w:t>
      </w:r>
      <w:r>
        <w:rPr>
          <w:spacing w:val="-2"/>
        </w:rPr>
        <w:t>有一定特异性的载体，将药物或者其他杀伤肿瘤细胞的活性物质选择性地运送到肿</w:t>
      </w:r>
      <w:r>
        <w:rPr>
          <w:spacing w:val="-2"/>
        </w:rPr>
        <w:t>瘤部位攻击癌细胞的疗法。本合同所指的靶向疗法使用的药物需符合法律、法规要</w:t>
      </w:r>
      <w:r>
        <w:rPr>
          <w:spacing w:val="-2"/>
        </w:rPr>
        <w:t>求并经过国家食品药品监督管理总局批准用于临床治疗。</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8"/>
        <w:rPr>
          <w:sz w:val="12"/>
        </w:rPr>
      </w:pPr>
    </w:p>
    <w:p>
      <w:pPr>
        <w:pStyle w:val="ListParagraph"/>
        <w:numPr>
          <w:ilvl w:val="3"/>
          <w:numId w:val="4"/>
        </w:numPr>
        <w:tabs>
          <w:tab w:pos="1140" w:val="left" w:leader="none"/>
        </w:tabs>
        <w:spacing w:line="242" w:lineRule="auto" w:before="72" w:after="0"/>
        <w:ind w:left="2608" w:right="373" w:hanging="2130"/>
        <w:jc w:val="both"/>
        <w:rPr>
          <w:sz w:val="21"/>
        </w:rPr>
      </w:pPr>
      <w:r>
        <w:rPr>
          <w:b/>
          <w:sz w:val="21"/>
        </w:rPr>
        <w:t>肾透析</w:t>
      </w:r>
      <w:r>
        <w:rPr>
          <w:b/>
          <w:spacing w:val="718"/>
          <w:sz w:val="21"/>
        </w:rPr>
        <w:t> </w:t>
      </w:r>
      <w:r>
        <w:rPr>
          <w:sz w:val="21"/>
        </w:rPr>
        <w:t>指根据半透膜的膜平衡原理，使用一定浓度的电解质和葡萄糖组成的透析液和血液</w:t>
      </w:r>
      <w:r>
        <w:rPr>
          <w:spacing w:val="-2"/>
          <w:sz w:val="21"/>
        </w:rPr>
        <w:t>中积累的代谢产物、水及电解质进行渗透交换，从而达到治疗终末期肾病目的的治</w:t>
      </w:r>
      <w:r>
        <w:rPr>
          <w:spacing w:val="-4"/>
          <w:sz w:val="21"/>
        </w:rPr>
        <w:t>疗方式。</w:t>
      </w: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1" w:after="0"/>
        <w:ind w:left="1139" w:right="0" w:hanging="661"/>
        <w:jc w:val="left"/>
      </w:pPr>
      <w:r>
        <w:rPr>
          <w:spacing w:val="-2"/>
        </w:rPr>
        <w:t>门急诊医疗</w:t>
      </w:r>
      <w:r>
        <w:rPr>
          <w:spacing w:val="-6"/>
        </w:rPr>
        <w:t>费用</w:t>
      </w:r>
    </w:p>
    <w:p>
      <w:pPr>
        <w:pStyle w:val="BodyText"/>
        <w:spacing w:before="71"/>
        <w:ind w:left="372"/>
      </w:pPr>
      <w:r>
        <w:rPr/>
        <w:br w:type="column"/>
      </w:r>
      <w:r>
        <w:rPr>
          <w:spacing w:val="-3"/>
        </w:rPr>
        <w:t>指在接受门急诊治疗期间所发生的药品费、治疗费、检查化验费、手术费、医生费</w:t>
      </w:r>
    </w:p>
    <w:p>
      <w:pPr>
        <w:pStyle w:val="BodyText"/>
        <w:spacing w:before="3"/>
        <w:ind w:left="372"/>
      </w:pPr>
      <w:r>
        <w:rPr>
          <w:spacing w:val="-2"/>
        </w:rPr>
        <w:t>（诊疗费</w:t>
      </w:r>
      <w:r>
        <w:rPr>
          <w:spacing w:val="-108"/>
        </w:rPr>
        <w:t>）</w:t>
      </w:r>
      <w:r>
        <w:rPr>
          <w:spacing w:val="-3"/>
        </w:rPr>
        <w:t>、材料费、器官移植费。</w:t>
      </w:r>
    </w:p>
    <w:p>
      <w:pPr>
        <w:spacing w:after="0"/>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3"/>
          <w:numId w:val="4"/>
        </w:numPr>
        <w:tabs>
          <w:tab w:pos="661" w:val="left" w:leader="none"/>
        </w:tabs>
        <w:spacing w:line="240" w:lineRule="auto" w:before="71" w:after="0"/>
        <w:ind w:left="660" w:right="0" w:hanging="661"/>
        <w:jc w:val="right"/>
      </w:pPr>
      <w:r>
        <w:rPr>
          <w:spacing w:val="-2"/>
        </w:rPr>
        <w:t>医疗保险金</w:t>
      </w:r>
    </w:p>
    <w:p>
      <w:pPr>
        <w:spacing w:before="2"/>
        <w:ind w:left="0" w:right="0" w:firstLine="0"/>
        <w:jc w:val="right"/>
        <w:rPr>
          <w:b/>
          <w:sz w:val="21"/>
        </w:rPr>
      </w:pPr>
      <w:r>
        <w:rPr>
          <w:b/>
          <w:spacing w:val="-2"/>
          <w:sz w:val="21"/>
        </w:rPr>
        <w:t>的计算方法</w:t>
      </w:r>
    </w:p>
    <w:p>
      <w:pPr>
        <w:pStyle w:val="BodyText"/>
        <w:spacing w:line="242" w:lineRule="auto" w:before="71"/>
        <w:ind w:left="372" w:right="372"/>
      </w:pPr>
      <w:r>
        <w:rPr/>
        <w:br w:type="column"/>
      </w:r>
      <w:r>
        <w:rPr>
          <w:spacing w:val="-2"/>
        </w:rPr>
        <w:t>举例说明：投保人王某为被保险人李某（有社会基本医疗保险）购买本产品。本合</w:t>
      </w:r>
      <w:r>
        <w:rPr>
          <w:spacing w:val="-9"/>
        </w:rPr>
        <w:t>同的生效日为 </w:t>
      </w:r>
      <w:r>
        <w:rPr>
          <w:spacing w:val="-2"/>
        </w:rPr>
        <w:t>2017</w:t>
      </w:r>
      <w:r>
        <w:rPr>
          <w:spacing w:val="-34"/>
        </w:rPr>
        <w:t> 年 </w:t>
      </w:r>
      <w:r>
        <w:rPr>
          <w:spacing w:val="-2"/>
        </w:rPr>
        <w:t>1</w:t>
      </w:r>
      <w:r>
        <w:rPr>
          <w:spacing w:val="-35"/>
        </w:rPr>
        <w:t> 月 </w:t>
      </w:r>
      <w:r>
        <w:rPr>
          <w:spacing w:val="-2"/>
        </w:rPr>
        <w:t>1</w:t>
      </w:r>
      <w:r>
        <w:rPr>
          <w:spacing w:val="-13"/>
        </w:rPr>
        <w:t> 日。本合同的保险期间为 </w:t>
      </w:r>
      <w:r>
        <w:rPr>
          <w:spacing w:val="-2"/>
        </w:rPr>
        <w:t>1</w:t>
      </w:r>
      <w:r>
        <w:rPr>
          <w:spacing w:val="-22"/>
        </w:rPr>
        <w:t> 年，自 </w:t>
      </w:r>
      <w:r>
        <w:rPr>
          <w:spacing w:val="-2"/>
        </w:rPr>
        <w:t>2017</w:t>
      </w:r>
      <w:r>
        <w:rPr>
          <w:spacing w:val="-34"/>
        </w:rPr>
        <w:t> 年 </w:t>
      </w:r>
      <w:r>
        <w:rPr>
          <w:spacing w:val="-2"/>
        </w:rPr>
        <w:t>1</w:t>
      </w:r>
      <w:r>
        <w:rPr>
          <w:spacing w:val="-34"/>
        </w:rPr>
        <w:t> 月 </w:t>
      </w:r>
      <w:r>
        <w:rPr>
          <w:spacing w:val="-2"/>
        </w:rPr>
        <w:t>1</w:t>
      </w:r>
      <w:r>
        <w:rPr>
          <w:spacing w:val="-20"/>
        </w:rPr>
        <w:t> 日零</w:t>
      </w:r>
    </w:p>
    <w:p>
      <w:pPr>
        <w:pStyle w:val="BodyText"/>
        <w:spacing w:line="242" w:lineRule="auto" w:before="2"/>
        <w:ind w:left="372" w:right="370"/>
      </w:pPr>
      <w:r>
        <w:rPr>
          <w:spacing w:val="-9"/>
        </w:rPr>
        <w:t>时开始，至 </w:t>
      </w:r>
      <w:r>
        <w:rPr/>
        <w:t>2017</w:t>
      </w:r>
      <w:r>
        <w:rPr>
          <w:spacing w:val="-34"/>
        </w:rPr>
        <w:t> 年 </w:t>
      </w:r>
      <w:r>
        <w:rPr/>
        <w:t>12</w:t>
      </w:r>
      <w:r>
        <w:rPr>
          <w:spacing w:val="-35"/>
        </w:rPr>
        <w:t> 月 </w:t>
      </w:r>
      <w:r>
        <w:rPr/>
        <w:t>31</w:t>
      </w:r>
      <w:r>
        <w:rPr>
          <w:spacing w:val="-34"/>
        </w:rPr>
        <w:t> 日 </w:t>
      </w:r>
      <w:r>
        <w:rPr/>
        <w:t>24</w:t>
      </w:r>
      <w:r>
        <w:rPr>
          <w:spacing w:val="-8"/>
        </w:rPr>
        <w:t> 时止。被保险人在本合同保险期间内共计发生三</w:t>
      </w:r>
      <w:r>
        <w:rPr>
          <w:spacing w:val="-2"/>
        </w:rPr>
        <w:t>次治疗，每次治疗情况具体如下：</w:t>
      </w:r>
    </w:p>
    <w:tbl>
      <w:tblPr>
        <w:tblW w:w="0" w:type="auto"/>
        <w:jc w:val="left"/>
        <w:tblInd w:w="3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309"/>
        <w:gridCol w:w="1644"/>
        <w:gridCol w:w="1725"/>
        <w:gridCol w:w="1730"/>
      </w:tblGrid>
      <w:tr>
        <w:trPr>
          <w:trHeight w:val="446" w:hRule="atLeast"/>
        </w:trPr>
        <w:tc>
          <w:tcPr>
            <w:tcW w:w="2309" w:type="dxa"/>
          </w:tcPr>
          <w:p>
            <w:pPr>
              <w:pStyle w:val="TableParagraph"/>
              <w:spacing w:before="124"/>
              <w:ind w:right="746"/>
              <w:jc w:val="right"/>
              <w:rPr>
                <w:sz w:val="20"/>
              </w:rPr>
            </w:pPr>
            <w:r>
              <w:rPr>
                <w:w w:val="95"/>
                <w:sz w:val="20"/>
              </w:rPr>
              <w:t>治</w:t>
            </w:r>
            <w:r>
              <w:rPr>
                <w:w w:val="95"/>
                <w:sz w:val="20"/>
              </w:rPr>
              <w:t>疗</w:t>
            </w:r>
            <w:r>
              <w:rPr>
                <w:w w:val="95"/>
                <w:sz w:val="20"/>
              </w:rPr>
              <w:t>编</w:t>
            </w:r>
            <w:r>
              <w:rPr>
                <w:spacing w:val="-10"/>
                <w:w w:val="95"/>
                <w:sz w:val="20"/>
              </w:rPr>
              <w:t>号</w:t>
            </w:r>
          </w:p>
        </w:tc>
        <w:tc>
          <w:tcPr>
            <w:tcW w:w="1644" w:type="dxa"/>
          </w:tcPr>
          <w:p>
            <w:pPr>
              <w:pStyle w:val="TableParagraph"/>
              <w:spacing w:before="95"/>
              <w:ind w:left="125" w:right="122"/>
              <w:jc w:val="center"/>
              <w:rPr>
                <w:sz w:val="20"/>
              </w:rPr>
            </w:pPr>
            <w:r>
              <w:rPr>
                <w:w w:val="95"/>
                <w:sz w:val="20"/>
              </w:rPr>
              <w:t>首</w:t>
            </w:r>
            <w:r>
              <w:rPr>
                <w:w w:val="95"/>
                <w:sz w:val="20"/>
              </w:rPr>
              <w:t>次</w:t>
            </w:r>
            <w:r>
              <w:rPr>
                <w:w w:val="95"/>
                <w:sz w:val="20"/>
              </w:rPr>
              <w:t>治</w:t>
            </w:r>
            <w:r>
              <w:rPr>
                <w:spacing w:val="-10"/>
                <w:w w:val="95"/>
                <w:sz w:val="20"/>
              </w:rPr>
              <w:t>疗</w:t>
            </w:r>
          </w:p>
        </w:tc>
        <w:tc>
          <w:tcPr>
            <w:tcW w:w="1725" w:type="dxa"/>
          </w:tcPr>
          <w:p>
            <w:pPr>
              <w:pStyle w:val="TableParagraph"/>
              <w:spacing w:before="95"/>
              <w:ind w:left="372" w:right="363"/>
              <w:jc w:val="center"/>
              <w:rPr>
                <w:sz w:val="20"/>
              </w:rPr>
            </w:pPr>
            <w:r>
              <w:rPr>
                <w:w w:val="95"/>
                <w:sz w:val="20"/>
              </w:rPr>
              <w:t>第</w:t>
            </w:r>
            <w:r>
              <w:rPr>
                <w:w w:val="95"/>
                <w:sz w:val="20"/>
              </w:rPr>
              <w:t>二</w:t>
            </w:r>
            <w:r>
              <w:rPr>
                <w:w w:val="95"/>
                <w:sz w:val="20"/>
              </w:rPr>
              <w:t>次</w:t>
            </w:r>
            <w:r>
              <w:rPr>
                <w:spacing w:val="-5"/>
                <w:w w:val="95"/>
                <w:sz w:val="20"/>
              </w:rPr>
              <w:t>治疗</w:t>
            </w:r>
          </w:p>
        </w:tc>
        <w:tc>
          <w:tcPr>
            <w:tcW w:w="1730" w:type="dxa"/>
          </w:tcPr>
          <w:p>
            <w:pPr>
              <w:pStyle w:val="TableParagraph"/>
              <w:spacing w:before="95"/>
              <w:ind w:left="98" w:right="93"/>
              <w:jc w:val="center"/>
              <w:rPr>
                <w:sz w:val="20"/>
              </w:rPr>
            </w:pPr>
            <w:r>
              <w:rPr>
                <w:w w:val="95"/>
                <w:sz w:val="20"/>
              </w:rPr>
              <w:t>第</w:t>
            </w:r>
            <w:r>
              <w:rPr>
                <w:w w:val="95"/>
                <w:sz w:val="20"/>
              </w:rPr>
              <w:t>三</w:t>
            </w:r>
            <w:r>
              <w:rPr>
                <w:w w:val="95"/>
                <w:sz w:val="20"/>
              </w:rPr>
              <w:t>次</w:t>
            </w:r>
            <w:r>
              <w:rPr>
                <w:spacing w:val="-5"/>
                <w:w w:val="95"/>
                <w:sz w:val="20"/>
              </w:rPr>
              <w:t>治疗</w:t>
            </w:r>
          </w:p>
        </w:tc>
      </w:tr>
      <w:tr>
        <w:trPr>
          <w:trHeight w:val="840" w:hRule="atLeast"/>
        </w:trPr>
        <w:tc>
          <w:tcPr>
            <w:tcW w:w="2309" w:type="dxa"/>
          </w:tcPr>
          <w:p>
            <w:pPr>
              <w:pStyle w:val="TableParagraph"/>
              <w:spacing w:before="3"/>
              <w:rPr>
                <w:sz w:val="25"/>
              </w:rPr>
            </w:pPr>
          </w:p>
          <w:p>
            <w:pPr>
              <w:pStyle w:val="TableParagraph"/>
              <w:ind w:right="746"/>
              <w:jc w:val="right"/>
              <w:rPr>
                <w:sz w:val="20"/>
              </w:rPr>
            </w:pPr>
            <w:r>
              <w:rPr>
                <w:w w:val="95"/>
                <w:sz w:val="20"/>
              </w:rPr>
              <w:t>治</w:t>
            </w:r>
            <w:r>
              <w:rPr>
                <w:w w:val="95"/>
                <w:sz w:val="20"/>
              </w:rPr>
              <w:t>疗</w:t>
            </w:r>
            <w:r>
              <w:rPr>
                <w:w w:val="95"/>
                <w:sz w:val="20"/>
              </w:rPr>
              <w:t>时</w:t>
            </w:r>
            <w:r>
              <w:rPr>
                <w:spacing w:val="-10"/>
                <w:w w:val="95"/>
                <w:sz w:val="20"/>
              </w:rPr>
              <w:t>间</w:t>
            </w:r>
          </w:p>
        </w:tc>
        <w:tc>
          <w:tcPr>
            <w:tcW w:w="1644" w:type="dxa"/>
          </w:tcPr>
          <w:p>
            <w:pPr>
              <w:pStyle w:val="TableParagraph"/>
              <w:spacing w:before="64"/>
              <w:ind w:left="105"/>
              <w:rPr>
                <w:sz w:val="20"/>
              </w:rPr>
            </w:pPr>
            <w:r>
              <w:rPr>
                <w:w w:val="95"/>
                <w:sz w:val="20"/>
              </w:rPr>
              <w:t>2017</w:t>
            </w:r>
            <w:r>
              <w:rPr>
                <w:spacing w:val="-28"/>
                <w:w w:val="95"/>
                <w:sz w:val="20"/>
              </w:rPr>
              <w:t> 年 </w:t>
            </w:r>
            <w:r>
              <w:rPr>
                <w:w w:val="95"/>
                <w:sz w:val="20"/>
              </w:rPr>
              <w:t>3</w:t>
            </w:r>
            <w:r>
              <w:rPr>
                <w:spacing w:val="-28"/>
                <w:w w:val="95"/>
                <w:sz w:val="20"/>
              </w:rPr>
              <w:t> 月 </w:t>
            </w:r>
            <w:r>
              <w:rPr>
                <w:w w:val="95"/>
                <w:sz w:val="20"/>
              </w:rPr>
              <w:t>1</w:t>
            </w:r>
            <w:r>
              <w:rPr>
                <w:spacing w:val="-25"/>
                <w:w w:val="95"/>
                <w:sz w:val="20"/>
              </w:rPr>
              <w:t> 日</w:t>
            </w:r>
          </w:p>
          <w:p>
            <w:pPr>
              <w:pStyle w:val="TableParagraph"/>
              <w:spacing w:line="260" w:lineRule="atLeast"/>
              <w:ind w:left="720" w:right="96" w:hanging="615"/>
              <w:rPr>
                <w:sz w:val="20"/>
              </w:rPr>
            </w:pPr>
            <w:r>
              <w:rPr>
                <w:spacing w:val="-29"/>
                <w:sz w:val="20"/>
              </w:rPr>
              <w:t>至 </w:t>
            </w:r>
            <w:r>
              <w:rPr>
                <w:spacing w:val="-2"/>
                <w:sz w:val="20"/>
              </w:rPr>
              <w:t>2017</w:t>
            </w:r>
            <w:r>
              <w:rPr>
                <w:spacing w:val="-37"/>
                <w:sz w:val="20"/>
              </w:rPr>
              <w:t> 年 </w:t>
            </w:r>
            <w:r>
              <w:rPr>
                <w:spacing w:val="-2"/>
                <w:sz w:val="20"/>
              </w:rPr>
              <w:t>4</w:t>
            </w:r>
            <w:r>
              <w:rPr>
                <w:spacing w:val="-37"/>
                <w:sz w:val="20"/>
              </w:rPr>
              <w:t> 月 </w:t>
            </w:r>
            <w:r>
              <w:rPr>
                <w:spacing w:val="-2"/>
                <w:sz w:val="20"/>
              </w:rPr>
              <w:t>7</w:t>
            </w:r>
            <w:r>
              <w:rPr>
                <w:spacing w:val="-10"/>
                <w:sz w:val="20"/>
              </w:rPr>
              <w:t>日</w:t>
            </w:r>
          </w:p>
        </w:tc>
        <w:tc>
          <w:tcPr>
            <w:tcW w:w="1725" w:type="dxa"/>
          </w:tcPr>
          <w:p>
            <w:pPr>
              <w:pStyle w:val="TableParagraph"/>
              <w:spacing w:before="64"/>
              <w:ind w:left="137"/>
              <w:rPr>
                <w:sz w:val="20"/>
              </w:rPr>
            </w:pPr>
            <w:r>
              <w:rPr>
                <w:w w:val="95"/>
                <w:sz w:val="20"/>
              </w:rPr>
              <w:t>2017</w:t>
            </w:r>
            <w:r>
              <w:rPr>
                <w:spacing w:val="-26"/>
                <w:w w:val="95"/>
                <w:sz w:val="20"/>
              </w:rPr>
              <w:t> 年 </w:t>
            </w:r>
            <w:r>
              <w:rPr>
                <w:w w:val="95"/>
                <w:sz w:val="20"/>
              </w:rPr>
              <w:t>7</w:t>
            </w:r>
            <w:r>
              <w:rPr>
                <w:spacing w:val="-24"/>
                <w:w w:val="95"/>
                <w:sz w:val="20"/>
              </w:rPr>
              <w:t> 月 </w:t>
            </w:r>
            <w:r>
              <w:rPr>
                <w:w w:val="95"/>
                <w:sz w:val="20"/>
              </w:rPr>
              <w:t>1</w:t>
            </w:r>
            <w:r>
              <w:rPr>
                <w:spacing w:val="-23"/>
                <w:w w:val="95"/>
                <w:sz w:val="20"/>
              </w:rPr>
              <w:t> 日</w:t>
            </w:r>
          </w:p>
          <w:p>
            <w:pPr>
              <w:pStyle w:val="TableParagraph"/>
              <w:spacing w:line="260" w:lineRule="atLeast"/>
              <w:ind w:left="763" w:right="124" w:hanging="627"/>
              <w:rPr>
                <w:sz w:val="20"/>
              </w:rPr>
            </w:pPr>
            <w:r>
              <w:rPr>
                <w:spacing w:val="-26"/>
                <w:sz w:val="20"/>
              </w:rPr>
              <w:t>至 </w:t>
            </w:r>
            <w:r>
              <w:rPr>
                <w:spacing w:val="-2"/>
                <w:sz w:val="20"/>
              </w:rPr>
              <w:t>2017</w:t>
            </w:r>
            <w:r>
              <w:rPr>
                <w:spacing w:val="-35"/>
                <w:sz w:val="20"/>
              </w:rPr>
              <w:t> 年 </w:t>
            </w:r>
            <w:r>
              <w:rPr>
                <w:spacing w:val="-2"/>
                <w:sz w:val="20"/>
              </w:rPr>
              <w:t>8</w:t>
            </w:r>
            <w:r>
              <w:rPr>
                <w:spacing w:val="-34"/>
                <w:sz w:val="20"/>
              </w:rPr>
              <w:t> 月 </w:t>
            </w:r>
            <w:r>
              <w:rPr>
                <w:spacing w:val="-2"/>
                <w:sz w:val="20"/>
              </w:rPr>
              <w:t>7</w:t>
            </w:r>
            <w:r>
              <w:rPr>
                <w:spacing w:val="-10"/>
                <w:sz w:val="20"/>
              </w:rPr>
              <w:t>日</w:t>
            </w:r>
          </w:p>
        </w:tc>
        <w:tc>
          <w:tcPr>
            <w:tcW w:w="1730" w:type="dxa"/>
          </w:tcPr>
          <w:p>
            <w:pPr>
              <w:pStyle w:val="TableParagraph"/>
              <w:spacing w:before="64"/>
              <w:ind w:left="106" w:right="93"/>
              <w:jc w:val="center"/>
              <w:rPr>
                <w:sz w:val="20"/>
              </w:rPr>
            </w:pPr>
            <w:r>
              <w:rPr>
                <w:w w:val="95"/>
                <w:sz w:val="20"/>
              </w:rPr>
              <w:t>2017</w:t>
            </w:r>
            <w:r>
              <w:rPr>
                <w:spacing w:val="-29"/>
                <w:w w:val="95"/>
                <w:sz w:val="20"/>
              </w:rPr>
              <w:t> 年 </w:t>
            </w:r>
            <w:r>
              <w:rPr>
                <w:w w:val="95"/>
                <w:sz w:val="20"/>
              </w:rPr>
              <w:t>10</w:t>
            </w:r>
            <w:r>
              <w:rPr>
                <w:spacing w:val="-30"/>
                <w:w w:val="95"/>
                <w:sz w:val="20"/>
              </w:rPr>
              <w:t> 月 </w:t>
            </w:r>
            <w:r>
              <w:rPr>
                <w:w w:val="95"/>
                <w:sz w:val="20"/>
              </w:rPr>
              <w:t>1</w:t>
            </w:r>
            <w:r>
              <w:rPr>
                <w:spacing w:val="-26"/>
                <w:w w:val="95"/>
                <w:sz w:val="20"/>
              </w:rPr>
              <w:t> 日</w:t>
            </w:r>
          </w:p>
          <w:p>
            <w:pPr>
              <w:pStyle w:val="TableParagraph"/>
              <w:spacing w:before="3"/>
              <w:ind w:left="104" w:right="93"/>
              <w:jc w:val="center"/>
              <w:rPr>
                <w:sz w:val="20"/>
              </w:rPr>
            </w:pPr>
            <w:r>
              <w:rPr>
                <w:spacing w:val="-18"/>
                <w:w w:val="95"/>
                <w:sz w:val="20"/>
              </w:rPr>
              <w:t>至 </w:t>
            </w:r>
            <w:r>
              <w:rPr>
                <w:w w:val="95"/>
                <w:sz w:val="20"/>
              </w:rPr>
              <w:t>2017</w:t>
            </w:r>
            <w:r>
              <w:rPr>
                <w:spacing w:val="-23"/>
                <w:w w:val="95"/>
                <w:sz w:val="20"/>
              </w:rPr>
              <w:t> 年 </w:t>
            </w:r>
            <w:r>
              <w:rPr>
                <w:w w:val="95"/>
                <w:sz w:val="20"/>
              </w:rPr>
              <w:t>10</w:t>
            </w:r>
            <w:r>
              <w:rPr>
                <w:spacing w:val="-22"/>
                <w:w w:val="95"/>
                <w:sz w:val="20"/>
              </w:rPr>
              <w:t> 月</w:t>
            </w:r>
          </w:p>
          <w:p>
            <w:pPr>
              <w:pStyle w:val="TableParagraph"/>
              <w:spacing w:line="237" w:lineRule="exact" w:before="3"/>
              <w:ind w:left="104" w:right="93"/>
              <w:jc w:val="center"/>
              <w:rPr>
                <w:sz w:val="20"/>
              </w:rPr>
            </w:pPr>
            <w:r>
              <w:rPr>
                <w:w w:val="95"/>
                <w:sz w:val="20"/>
              </w:rPr>
              <w:t>25</w:t>
            </w:r>
            <w:r>
              <w:rPr>
                <w:spacing w:val="-35"/>
                <w:w w:val="95"/>
                <w:sz w:val="20"/>
              </w:rPr>
              <w:t> </w:t>
            </w:r>
            <w:r>
              <w:rPr>
                <w:spacing w:val="-10"/>
                <w:sz w:val="20"/>
              </w:rPr>
              <w:t>日</w:t>
            </w:r>
          </w:p>
        </w:tc>
      </w:tr>
      <w:tr>
        <w:trPr>
          <w:trHeight w:val="578" w:hRule="atLeast"/>
        </w:trPr>
        <w:tc>
          <w:tcPr>
            <w:tcW w:w="2309" w:type="dxa"/>
          </w:tcPr>
          <w:p>
            <w:pPr>
              <w:pStyle w:val="TableParagraph"/>
              <w:spacing w:before="11"/>
              <w:rPr>
                <w:sz w:val="14"/>
              </w:rPr>
            </w:pPr>
          </w:p>
          <w:p>
            <w:pPr>
              <w:pStyle w:val="TableParagraph"/>
              <w:ind w:right="746"/>
              <w:jc w:val="right"/>
              <w:rPr>
                <w:sz w:val="20"/>
              </w:rPr>
            </w:pPr>
            <w:r>
              <w:rPr>
                <w:w w:val="95"/>
                <w:sz w:val="20"/>
              </w:rPr>
              <w:t>治</w:t>
            </w:r>
            <w:r>
              <w:rPr>
                <w:w w:val="95"/>
                <w:sz w:val="20"/>
              </w:rPr>
              <w:t>疗</w:t>
            </w:r>
            <w:r>
              <w:rPr>
                <w:w w:val="95"/>
                <w:sz w:val="20"/>
              </w:rPr>
              <w:t>项</w:t>
            </w:r>
            <w:r>
              <w:rPr>
                <w:spacing w:val="-10"/>
                <w:w w:val="95"/>
                <w:sz w:val="20"/>
              </w:rPr>
              <w:t>目</w:t>
            </w:r>
          </w:p>
        </w:tc>
        <w:tc>
          <w:tcPr>
            <w:tcW w:w="1644" w:type="dxa"/>
          </w:tcPr>
          <w:p>
            <w:pPr>
              <w:pStyle w:val="TableParagraph"/>
              <w:spacing w:before="61"/>
              <w:ind w:left="125" w:right="148"/>
              <w:jc w:val="center"/>
              <w:rPr>
                <w:sz w:val="20"/>
              </w:rPr>
            </w:pPr>
            <w:r>
              <w:rPr>
                <w:w w:val="95"/>
                <w:sz w:val="20"/>
              </w:rPr>
              <w:t>因</w:t>
            </w:r>
            <w:r>
              <w:rPr>
                <w:w w:val="95"/>
                <w:sz w:val="20"/>
              </w:rPr>
              <w:t>重</w:t>
            </w:r>
            <w:r>
              <w:rPr>
                <w:w w:val="95"/>
                <w:sz w:val="20"/>
              </w:rPr>
              <w:t>大</w:t>
            </w:r>
            <w:r>
              <w:rPr>
                <w:w w:val="95"/>
                <w:sz w:val="20"/>
              </w:rPr>
              <w:t>疾</w:t>
            </w:r>
            <w:r>
              <w:rPr>
                <w:w w:val="95"/>
                <w:sz w:val="20"/>
              </w:rPr>
              <w:t>病</w:t>
            </w:r>
            <w:r>
              <w:rPr>
                <w:w w:val="95"/>
                <w:sz w:val="20"/>
              </w:rPr>
              <w:t>住</w:t>
            </w:r>
            <w:r>
              <w:rPr>
                <w:spacing w:val="-10"/>
                <w:w w:val="95"/>
                <w:sz w:val="20"/>
              </w:rPr>
              <w:t>院</w:t>
            </w:r>
          </w:p>
        </w:tc>
        <w:tc>
          <w:tcPr>
            <w:tcW w:w="1725" w:type="dxa"/>
          </w:tcPr>
          <w:p>
            <w:pPr>
              <w:pStyle w:val="TableParagraph"/>
              <w:spacing w:line="260" w:lineRule="atLeast" w:before="37"/>
              <w:ind w:left="108" w:right="75"/>
              <w:rPr>
                <w:sz w:val="20"/>
              </w:rPr>
            </w:pPr>
            <w:r>
              <w:rPr>
                <w:spacing w:val="17"/>
                <w:sz w:val="20"/>
              </w:rPr>
              <w:t>非</w:t>
            </w:r>
            <w:r>
              <w:rPr>
                <w:spacing w:val="17"/>
                <w:sz w:val="20"/>
              </w:rPr>
              <w:t>因</w:t>
            </w:r>
            <w:r>
              <w:rPr>
                <w:spacing w:val="17"/>
                <w:sz w:val="20"/>
              </w:rPr>
              <w:t>重</w:t>
            </w:r>
            <w:r>
              <w:rPr>
                <w:spacing w:val="17"/>
                <w:sz w:val="20"/>
              </w:rPr>
              <w:t>大</w:t>
            </w:r>
            <w:r>
              <w:rPr>
                <w:spacing w:val="17"/>
                <w:sz w:val="20"/>
              </w:rPr>
              <w:t>疾</w:t>
            </w:r>
            <w:r>
              <w:rPr>
                <w:spacing w:val="17"/>
                <w:sz w:val="20"/>
              </w:rPr>
              <w:t>病</w:t>
            </w:r>
            <w:r>
              <w:rPr>
                <w:sz w:val="20"/>
              </w:rPr>
              <w:t>住</w:t>
            </w:r>
            <w:r>
              <w:rPr>
                <w:spacing w:val="-10"/>
                <w:sz w:val="20"/>
              </w:rPr>
              <w:t>院</w:t>
            </w:r>
          </w:p>
        </w:tc>
        <w:tc>
          <w:tcPr>
            <w:tcW w:w="1730" w:type="dxa"/>
          </w:tcPr>
          <w:p>
            <w:pPr>
              <w:pStyle w:val="TableParagraph"/>
              <w:spacing w:line="260" w:lineRule="atLeast" w:before="37"/>
              <w:ind w:left="109" w:right="81"/>
              <w:rPr>
                <w:sz w:val="20"/>
              </w:rPr>
            </w:pPr>
            <w:r>
              <w:rPr>
                <w:spacing w:val="17"/>
                <w:sz w:val="20"/>
              </w:rPr>
              <w:t>非</w:t>
            </w:r>
            <w:r>
              <w:rPr>
                <w:spacing w:val="17"/>
                <w:sz w:val="20"/>
              </w:rPr>
              <w:t>因</w:t>
            </w:r>
            <w:r>
              <w:rPr>
                <w:spacing w:val="17"/>
                <w:sz w:val="20"/>
              </w:rPr>
              <w:t>重</w:t>
            </w:r>
            <w:r>
              <w:rPr>
                <w:spacing w:val="17"/>
                <w:sz w:val="20"/>
              </w:rPr>
              <w:t>大</w:t>
            </w:r>
            <w:r>
              <w:rPr>
                <w:spacing w:val="17"/>
                <w:sz w:val="20"/>
              </w:rPr>
              <w:t>疾</w:t>
            </w:r>
            <w:r>
              <w:rPr>
                <w:spacing w:val="17"/>
                <w:sz w:val="20"/>
              </w:rPr>
              <w:t>病</w:t>
            </w:r>
            <w:r>
              <w:rPr>
                <w:sz w:val="20"/>
              </w:rPr>
              <w:t>住</w:t>
            </w:r>
            <w:r>
              <w:rPr>
                <w:spacing w:val="-10"/>
                <w:sz w:val="20"/>
              </w:rPr>
              <w:t>院</w:t>
            </w:r>
          </w:p>
        </w:tc>
      </w:tr>
      <w:tr>
        <w:trPr>
          <w:trHeight w:val="637" w:hRule="atLeast"/>
        </w:trPr>
        <w:tc>
          <w:tcPr>
            <w:tcW w:w="2309" w:type="dxa"/>
          </w:tcPr>
          <w:p>
            <w:pPr>
              <w:pStyle w:val="TableParagraph"/>
              <w:spacing w:line="320" w:lineRule="exact"/>
              <w:ind w:left="753" w:right="646" w:hanging="101"/>
              <w:rPr>
                <w:sz w:val="20"/>
              </w:rPr>
            </w:pPr>
            <w:r>
              <w:rPr>
                <w:spacing w:val="-2"/>
                <w:sz w:val="20"/>
              </w:rPr>
              <w:t>实</w:t>
            </w:r>
            <w:r>
              <w:rPr>
                <w:spacing w:val="-2"/>
                <w:sz w:val="20"/>
              </w:rPr>
              <w:t>际</w:t>
            </w:r>
            <w:r>
              <w:rPr>
                <w:spacing w:val="-2"/>
                <w:sz w:val="20"/>
              </w:rPr>
              <w:t>发</w:t>
            </w:r>
            <w:r>
              <w:rPr>
                <w:spacing w:val="-2"/>
                <w:sz w:val="20"/>
              </w:rPr>
              <w:t>生的</w:t>
            </w:r>
            <w:r>
              <w:rPr>
                <w:spacing w:val="-4"/>
                <w:sz w:val="20"/>
              </w:rPr>
              <w:t>医</w:t>
            </w:r>
            <w:r>
              <w:rPr>
                <w:spacing w:val="-4"/>
                <w:sz w:val="20"/>
              </w:rPr>
              <w:t>疗</w:t>
            </w:r>
            <w:r>
              <w:rPr>
                <w:spacing w:val="-4"/>
                <w:sz w:val="20"/>
              </w:rPr>
              <w:t>费</w:t>
            </w:r>
            <w:r>
              <w:rPr>
                <w:spacing w:val="-4"/>
                <w:sz w:val="20"/>
              </w:rPr>
              <w:t>用</w:t>
            </w:r>
          </w:p>
        </w:tc>
        <w:tc>
          <w:tcPr>
            <w:tcW w:w="1644" w:type="dxa"/>
          </w:tcPr>
          <w:p>
            <w:pPr>
              <w:pStyle w:val="TableParagraph"/>
              <w:spacing w:before="4"/>
              <w:rPr>
                <w:sz w:val="17"/>
              </w:rPr>
            </w:pPr>
          </w:p>
          <w:p>
            <w:pPr>
              <w:pStyle w:val="TableParagraph"/>
              <w:ind w:left="125" w:right="120"/>
              <w:jc w:val="center"/>
              <w:rPr>
                <w:sz w:val="20"/>
              </w:rPr>
            </w:pPr>
            <w:r>
              <w:rPr>
                <w:w w:val="95"/>
                <w:sz w:val="20"/>
              </w:rPr>
              <w:t>12</w:t>
            </w:r>
            <w:r>
              <w:rPr>
                <w:spacing w:val="-27"/>
                <w:w w:val="95"/>
                <w:sz w:val="20"/>
              </w:rPr>
              <w:t> </w:t>
            </w:r>
            <w:r>
              <w:rPr>
                <w:w w:val="95"/>
                <w:sz w:val="20"/>
              </w:rPr>
              <w:t>万</w:t>
            </w:r>
            <w:r>
              <w:rPr>
                <w:spacing w:val="-10"/>
                <w:w w:val="95"/>
                <w:sz w:val="20"/>
              </w:rPr>
              <w:t>元</w:t>
            </w:r>
          </w:p>
        </w:tc>
        <w:tc>
          <w:tcPr>
            <w:tcW w:w="1725" w:type="dxa"/>
          </w:tcPr>
          <w:p>
            <w:pPr>
              <w:pStyle w:val="TableParagraph"/>
              <w:spacing w:before="4"/>
              <w:rPr>
                <w:sz w:val="17"/>
              </w:rPr>
            </w:pPr>
          </w:p>
          <w:p>
            <w:pPr>
              <w:pStyle w:val="TableParagraph"/>
              <w:ind w:left="372" w:right="361"/>
              <w:jc w:val="center"/>
              <w:rPr>
                <w:sz w:val="20"/>
              </w:rPr>
            </w:pPr>
            <w:r>
              <w:rPr>
                <w:w w:val="95"/>
                <w:sz w:val="20"/>
              </w:rPr>
              <w:t>3</w:t>
            </w:r>
            <w:r>
              <w:rPr>
                <w:spacing w:val="-32"/>
                <w:w w:val="95"/>
                <w:sz w:val="20"/>
              </w:rPr>
              <w:t> </w:t>
            </w:r>
            <w:r>
              <w:rPr>
                <w:w w:val="95"/>
                <w:sz w:val="20"/>
              </w:rPr>
              <w:t>万</w:t>
            </w:r>
            <w:r>
              <w:rPr>
                <w:spacing w:val="-10"/>
                <w:w w:val="95"/>
                <w:sz w:val="20"/>
              </w:rPr>
              <w:t>元</w:t>
            </w:r>
          </w:p>
        </w:tc>
        <w:tc>
          <w:tcPr>
            <w:tcW w:w="1730" w:type="dxa"/>
          </w:tcPr>
          <w:p>
            <w:pPr>
              <w:pStyle w:val="TableParagraph"/>
              <w:spacing w:before="4"/>
              <w:rPr>
                <w:sz w:val="17"/>
              </w:rPr>
            </w:pPr>
          </w:p>
          <w:p>
            <w:pPr>
              <w:pStyle w:val="TableParagraph"/>
              <w:ind w:left="489"/>
              <w:rPr>
                <w:sz w:val="20"/>
              </w:rPr>
            </w:pPr>
            <w:r>
              <w:rPr>
                <w:w w:val="95"/>
                <w:sz w:val="20"/>
              </w:rPr>
              <w:t>2.2</w:t>
            </w:r>
            <w:r>
              <w:rPr>
                <w:spacing w:val="-24"/>
                <w:w w:val="95"/>
                <w:sz w:val="20"/>
              </w:rPr>
              <w:t> </w:t>
            </w:r>
            <w:r>
              <w:rPr>
                <w:w w:val="95"/>
                <w:sz w:val="20"/>
              </w:rPr>
              <w:t>万</w:t>
            </w:r>
            <w:r>
              <w:rPr>
                <w:spacing w:val="-10"/>
                <w:w w:val="95"/>
                <w:sz w:val="20"/>
              </w:rPr>
              <w:t>元</w:t>
            </w:r>
          </w:p>
        </w:tc>
      </w:tr>
      <w:tr>
        <w:trPr>
          <w:trHeight w:val="578" w:hRule="atLeast"/>
        </w:trPr>
        <w:tc>
          <w:tcPr>
            <w:tcW w:w="2309" w:type="dxa"/>
          </w:tcPr>
          <w:p>
            <w:pPr>
              <w:pStyle w:val="TableParagraph"/>
              <w:spacing w:line="260" w:lineRule="atLeast" w:before="38"/>
              <w:ind w:left="753" w:right="147" w:hanging="600"/>
              <w:rPr>
                <w:sz w:val="20"/>
              </w:rPr>
            </w:pPr>
            <w:r>
              <w:rPr>
                <w:spacing w:val="-2"/>
                <w:sz w:val="20"/>
              </w:rPr>
              <w:t>保</w:t>
            </w:r>
            <w:r>
              <w:rPr>
                <w:spacing w:val="-2"/>
                <w:sz w:val="20"/>
              </w:rPr>
              <w:t>险</w:t>
            </w:r>
            <w:r>
              <w:rPr>
                <w:spacing w:val="-2"/>
                <w:sz w:val="20"/>
              </w:rPr>
              <w:t>责</w:t>
            </w:r>
            <w:r>
              <w:rPr>
                <w:spacing w:val="-2"/>
                <w:sz w:val="20"/>
              </w:rPr>
              <w:t>任</w:t>
            </w:r>
            <w:r>
              <w:rPr>
                <w:spacing w:val="-2"/>
                <w:sz w:val="20"/>
              </w:rPr>
              <w:t>范</w:t>
            </w:r>
            <w:r>
              <w:rPr>
                <w:spacing w:val="-2"/>
                <w:sz w:val="20"/>
              </w:rPr>
              <w:t>围</w:t>
            </w:r>
            <w:r>
              <w:rPr>
                <w:spacing w:val="-2"/>
                <w:sz w:val="20"/>
              </w:rPr>
              <w:t>内</w:t>
            </w:r>
            <w:r>
              <w:rPr>
                <w:spacing w:val="-2"/>
                <w:sz w:val="20"/>
              </w:rPr>
              <w:t>的</w:t>
            </w:r>
            <w:r>
              <w:rPr>
                <w:spacing w:val="-2"/>
                <w:sz w:val="20"/>
              </w:rPr>
              <w:t>合</w:t>
            </w:r>
            <w:r>
              <w:rPr>
                <w:spacing w:val="-2"/>
                <w:sz w:val="20"/>
              </w:rPr>
              <w:t>理</w:t>
            </w:r>
            <w:r>
              <w:rPr>
                <w:spacing w:val="-4"/>
                <w:sz w:val="20"/>
              </w:rPr>
              <w:t>医</w:t>
            </w:r>
            <w:r>
              <w:rPr>
                <w:spacing w:val="-4"/>
                <w:sz w:val="20"/>
              </w:rPr>
              <w:t>疗</w:t>
            </w:r>
            <w:r>
              <w:rPr>
                <w:spacing w:val="-4"/>
                <w:sz w:val="20"/>
              </w:rPr>
              <w:t>费</w:t>
            </w:r>
            <w:r>
              <w:rPr>
                <w:spacing w:val="-4"/>
                <w:sz w:val="20"/>
              </w:rPr>
              <w:t>用</w:t>
            </w:r>
          </w:p>
        </w:tc>
        <w:tc>
          <w:tcPr>
            <w:tcW w:w="1644" w:type="dxa"/>
          </w:tcPr>
          <w:p>
            <w:pPr>
              <w:pStyle w:val="TableParagraph"/>
              <w:spacing w:before="12"/>
              <w:rPr>
                <w:sz w:val="14"/>
              </w:rPr>
            </w:pPr>
          </w:p>
          <w:p>
            <w:pPr>
              <w:pStyle w:val="TableParagraph"/>
              <w:ind w:left="393"/>
              <w:rPr>
                <w:sz w:val="20"/>
              </w:rPr>
            </w:pPr>
            <w:r>
              <w:rPr>
                <w:w w:val="95"/>
                <w:sz w:val="20"/>
              </w:rPr>
              <w:t>11.8</w:t>
            </w:r>
            <w:r>
              <w:rPr>
                <w:spacing w:val="-19"/>
                <w:w w:val="95"/>
                <w:sz w:val="20"/>
              </w:rPr>
              <w:t> </w:t>
            </w:r>
            <w:r>
              <w:rPr>
                <w:w w:val="95"/>
                <w:sz w:val="20"/>
              </w:rPr>
              <w:t>万</w:t>
            </w:r>
            <w:r>
              <w:rPr>
                <w:spacing w:val="-10"/>
                <w:w w:val="95"/>
                <w:sz w:val="20"/>
              </w:rPr>
              <w:t>元</w:t>
            </w:r>
          </w:p>
        </w:tc>
        <w:tc>
          <w:tcPr>
            <w:tcW w:w="1725" w:type="dxa"/>
          </w:tcPr>
          <w:p>
            <w:pPr>
              <w:pStyle w:val="TableParagraph"/>
              <w:spacing w:before="12"/>
              <w:rPr>
                <w:sz w:val="14"/>
              </w:rPr>
            </w:pPr>
          </w:p>
          <w:p>
            <w:pPr>
              <w:pStyle w:val="TableParagraph"/>
              <w:ind w:left="487"/>
              <w:rPr>
                <w:sz w:val="20"/>
              </w:rPr>
            </w:pPr>
            <w:r>
              <w:rPr>
                <w:w w:val="95"/>
                <w:sz w:val="20"/>
              </w:rPr>
              <w:t>2.8</w:t>
            </w:r>
            <w:r>
              <w:rPr>
                <w:spacing w:val="-24"/>
                <w:w w:val="95"/>
                <w:sz w:val="20"/>
              </w:rPr>
              <w:t> </w:t>
            </w:r>
            <w:r>
              <w:rPr>
                <w:w w:val="95"/>
                <w:sz w:val="20"/>
              </w:rPr>
              <w:t>万</w:t>
            </w:r>
            <w:r>
              <w:rPr>
                <w:spacing w:val="-10"/>
                <w:w w:val="95"/>
                <w:sz w:val="20"/>
              </w:rPr>
              <w:t>元</w:t>
            </w:r>
          </w:p>
        </w:tc>
        <w:tc>
          <w:tcPr>
            <w:tcW w:w="1730" w:type="dxa"/>
          </w:tcPr>
          <w:p>
            <w:pPr>
              <w:pStyle w:val="TableParagraph"/>
              <w:spacing w:before="12"/>
              <w:rPr>
                <w:sz w:val="14"/>
              </w:rPr>
            </w:pPr>
          </w:p>
          <w:p>
            <w:pPr>
              <w:pStyle w:val="TableParagraph"/>
              <w:ind w:left="102" w:right="93"/>
              <w:jc w:val="center"/>
              <w:rPr>
                <w:sz w:val="20"/>
              </w:rPr>
            </w:pPr>
            <w:r>
              <w:rPr>
                <w:w w:val="95"/>
                <w:sz w:val="20"/>
              </w:rPr>
              <w:t>2</w:t>
            </w:r>
            <w:r>
              <w:rPr>
                <w:spacing w:val="-32"/>
                <w:w w:val="95"/>
                <w:sz w:val="20"/>
              </w:rPr>
              <w:t> </w:t>
            </w:r>
            <w:r>
              <w:rPr>
                <w:w w:val="95"/>
                <w:sz w:val="20"/>
              </w:rPr>
              <w:t>万</w:t>
            </w:r>
            <w:r>
              <w:rPr>
                <w:spacing w:val="-10"/>
                <w:w w:val="95"/>
                <w:sz w:val="20"/>
              </w:rPr>
              <w:t>元</w:t>
            </w:r>
          </w:p>
        </w:tc>
      </w:tr>
      <w:tr>
        <w:trPr>
          <w:trHeight w:val="577" w:hRule="atLeast"/>
        </w:trPr>
        <w:tc>
          <w:tcPr>
            <w:tcW w:w="2309" w:type="dxa"/>
          </w:tcPr>
          <w:p>
            <w:pPr>
              <w:pStyle w:val="TableParagraph"/>
              <w:spacing w:line="260" w:lineRule="atLeast" w:before="38"/>
              <w:ind w:left="153" w:right="147"/>
              <w:rPr>
                <w:sz w:val="20"/>
              </w:rPr>
            </w:pPr>
            <w:r>
              <w:rPr>
                <w:spacing w:val="-2"/>
                <w:sz w:val="20"/>
              </w:rPr>
              <w:t>是</w:t>
            </w:r>
            <w:r>
              <w:rPr>
                <w:spacing w:val="-2"/>
                <w:sz w:val="20"/>
              </w:rPr>
              <w:t>否</w:t>
            </w:r>
            <w:r>
              <w:rPr>
                <w:spacing w:val="-2"/>
                <w:sz w:val="20"/>
              </w:rPr>
              <w:t>已</w:t>
            </w:r>
            <w:r>
              <w:rPr>
                <w:spacing w:val="-2"/>
                <w:sz w:val="20"/>
              </w:rPr>
              <w:t>从</w:t>
            </w:r>
            <w:r>
              <w:rPr>
                <w:spacing w:val="-2"/>
                <w:sz w:val="20"/>
              </w:rPr>
              <w:t>社</w:t>
            </w:r>
            <w:r>
              <w:rPr>
                <w:spacing w:val="-2"/>
                <w:sz w:val="20"/>
              </w:rPr>
              <w:t>会</w:t>
            </w:r>
            <w:r>
              <w:rPr>
                <w:spacing w:val="-2"/>
                <w:sz w:val="20"/>
              </w:rPr>
              <w:t>基</w:t>
            </w:r>
            <w:r>
              <w:rPr>
                <w:spacing w:val="-2"/>
                <w:sz w:val="20"/>
              </w:rPr>
              <w:t>本</w:t>
            </w:r>
            <w:r>
              <w:rPr>
                <w:spacing w:val="-2"/>
                <w:sz w:val="20"/>
              </w:rPr>
              <w:t>医</w:t>
            </w:r>
            <w:r>
              <w:rPr>
                <w:spacing w:val="-2"/>
                <w:sz w:val="20"/>
              </w:rPr>
              <w:t>疗</w:t>
            </w:r>
            <w:r>
              <w:rPr>
                <w:w w:val="95"/>
                <w:sz w:val="20"/>
              </w:rPr>
              <w:t>保</w:t>
            </w:r>
            <w:r>
              <w:rPr>
                <w:w w:val="95"/>
                <w:sz w:val="20"/>
              </w:rPr>
              <w:t>险</w:t>
            </w:r>
            <w:r>
              <w:rPr>
                <w:w w:val="95"/>
                <w:sz w:val="20"/>
              </w:rPr>
              <w:t>获</w:t>
            </w:r>
            <w:r>
              <w:rPr>
                <w:w w:val="95"/>
                <w:sz w:val="20"/>
              </w:rPr>
              <w:t>得</w:t>
            </w:r>
            <w:r>
              <w:rPr>
                <w:w w:val="95"/>
                <w:sz w:val="20"/>
              </w:rPr>
              <w:t>医</w:t>
            </w:r>
            <w:r>
              <w:rPr>
                <w:w w:val="95"/>
                <w:sz w:val="20"/>
              </w:rPr>
              <w:t>疗</w:t>
            </w:r>
            <w:r>
              <w:rPr>
                <w:w w:val="95"/>
                <w:sz w:val="20"/>
              </w:rPr>
              <w:t>费</w:t>
            </w:r>
            <w:r>
              <w:rPr>
                <w:w w:val="95"/>
                <w:sz w:val="20"/>
              </w:rPr>
              <w:t>用</w:t>
            </w:r>
            <w:r>
              <w:rPr>
                <w:w w:val="95"/>
                <w:sz w:val="20"/>
              </w:rPr>
              <w:t>补</w:t>
            </w:r>
            <w:r>
              <w:rPr>
                <w:spacing w:val="-10"/>
                <w:w w:val="95"/>
                <w:sz w:val="20"/>
              </w:rPr>
              <w:t>偿</w:t>
            </w:r>
          </w:p>
        </w:tc>
        <w:tc>
          <w:tcPr>
            <w:tcW w:w="1644" w:type="dxa"/>
          </w:tcPr>
          <w:p>
            <w:pPr>
              <w:pStyle w:val="TableParagraph"/>
              <w:spacing w:before="11"/>
              <w:rPr>
                <w:sz w:val="14"/>
              </w:rPr>
            </w:pPr>
          </w:p>
          <w:p>
            <w:pPr>
              <w:pStyle w:val="TableParagraph"/>
              <w:ind w:left="5"/>
              <w:jc w:val="center"/>
              <w:rPr>
                <w:sz w:val="20"/>
              </w:rPr>
            </w:pPr>
            <w:r>
              <w:rPr>
                <w:w w:val="99"/>
                <w:sz w:val="20"/>
              </w:rPr>
              <w:t>是</w:t>
            </w:r>
          </w:p>
        </w:tc>
        <w:tc>
          <w:tcPr>
            <w:tcW w:w="1725" w:type="dxa"/>
          </w:tcPr>
          <w:p>
            <w:pPr>
              <w:pStyle w:val="TableParagraph"/>
              <w:spacing w:before="11"/>
              <w:rPr>
                <w:sz w:val="14"/>
              </w:rPr>
            </w:pPr>
          </w:p>
          <w:p>
            <w:pPr>
              <w:pStyle w:val="TableParagraph"/>
              <w:ind w:left="11"/>
              <w:jc w:val="center"/>
              <w:rPr>
                <w:sz w:val="20"/>
              </w:rPr>
            </w:pPr>
            <w:r>
              <w:rPr>
                <w:w w:val="99"/>
                <w:sz w:val="20"/>
              </w:rPr>
              <w:t>是</w:t>
            </w:r>
          </w:p>
        </w:tc>
        <w:tc>
          <w:tcPr>
            <w:tcW w:w="1730" w:type="dxa"/>
          </w:tcPr>
          <w:p>
            <w:pPr>
              <w:pStyle w:val="TableParagraph"/>
              <w:spacing w:before="11"/>
              <w:rPr>
                <w:sz w:val="14"/>
              </w:rPr>
            </w:pPr>
          </w:p>
          <w:p>
            <w:pPr>
              <w:pStyle w:val="TableParagraph"/>
              <w:ind w:left="9"/>
              <w:jc w:val="center"/>
              <w:rPr>
                <w:sz w:val="20"/>
              </w:rPr>
            </w:pPr>
            <w:r>
              <w:rPr>
                <w:w w:val="99"/>
                <w:sz w:val="20"/>
              </w:rPr>
              <w:t>否</w:t>
            </w:r>
          </w:p>
        </w:tc>
      </w:tr>
      <w:tr>
        <w:trPr>
          <w:trHeight w:val="578" w:hRule="atLeast"/>
        </w:trPr>
        <w:tc>
          <w:tcPr>
            <w:tcW w:w="2309" w:type="dxa"/>
          </w:tcPr>
          <w:p>
            <w:pPr>
              <w:pStyle w:val="TableParagraph"/>
              <w:spacing w:line="260" w:lineRule="atLeast" w:before="38"/>
              <w:ind w:left="153" w:right="147"/>
              <w:rPr>
                <w:sz w:val="20"/>
              </w:rPr>
            </w:pPr>
            <w:r>
              <w:rPr>
                <w:spacing w:val="-2"/>
                <w:sz w:val="20"/>
              </w:rPr>
              <w:t>已</w:t>
            </w:r>
            <w:r>
              <w:rPr>
                <w:spacing w:val="-2"/>
                <w:sz w:val="20"/>
              </w:rPr>
              <w:t>通</w:t>
            </w:r>
            <w:r>
              <w:rPr>
                <w:spacing w:val="-2"/>
                <w:sz w:val="20"/>
              </w:rPr>
              <w:t>过</w:t>
            </w:r>
            <w:r>
              <w:rPr>
                <w:spacing w:val="-2"/>
                <w:sz w:val="20"/>
              </w:rPr>
              <w:t>社</w:t>
            </w:r>
            <w:r>
              <w:rPr>
                <w:spacing w:val="-2"/>
                <w:sz w:val="20"/>
              </w:rPr>
              <w:t>会</w:t>
            </w:r>
            <w:r>
              <w:rPr>
                <w:spacing w:val="-2"/>
                <w:sz w:val="20"/>
              </w:rPr>
              <w:t>基</w:t>
            </w:r>
            <w:r>
              <w:rPr>
                <w:spacing w:val="-2"/>
                <w:sz w:val="20"/>
              </w:rPr>
              <w:t>本</w:t>
            </w:r>
            <w:r>
              <w:rPr>
                <w:spacing w:val="-2"/>
                <w:sz w:val="20"/>
              </w:rPr>
              <w:t>医</w:t>
            </w:r>
            <w:r>
              <w:rPr>
                <w:spacing w:val="-2"/>
                <w:sz w:val="20"/>
              </w:rPr>
              <w:t>疗</w:t>
            </w:r>
            <w:r>
              <w:rPr>
                <w:spacing w:val="-2"/>
                <w:sz w:val="20"/>
              </w:rPr>
              <w:t>保</w:t>
            </w:r>
            <w:r>
              <w:rPr>
                <w:w w:val="95"/>
                <w:sz w:val="20"/>
              </w:rPr>
              <w:t>险</w:t>
            </w:r>
            <w:r>
              <w:rPr>
                <w:w w:val="95"/>
                <w:sz w:val="20"/>
              </w:rPr>
              <w:t>获</w:t>
            </w:r>
            <w:r>
              <w:rPr>
                <w:w w:val="95"/>
                <w:sz w:val="20"/>
              </w:rPr>
              <w:t>得</w:t>
            </w:r>
            <w:r>
              <w:rPr>
                <w:w w:val="95"/>
                <w:sz w:val="20"/>
              </w:rPr>
              <w:t>的</w:t>
            </w:r>
            <w:r>
              <w:rPr>
                <w:w w:val="95"/>
                <w:sz w:val="20"/>
              </w:rPr>
              <w:t>医</w:t>
            </w:r>
            <w:r>
              <w:rPr>
                <w:w w:val="95"/>
                <w:sz w:val="20"/>
              </w:rPr>
              <w:t>疗</w:t>
            </w:r>
            <w:r>
              <w:rPr>
                <w:w w:val="95"/>
                <w:sz w:val="20"/>
              </w:rPr>
              <w:t>费</w:t>
            </w:r>
            <w:r>
              <w:rPr>
                <w:w w:val="95"/>
                <w:sz w:val="20"/>
              </w:rPr>
              <w:t>用</w:t>
            </w:r>
            <w:r>
              <w:rPr>
                <w:w w:val="95"/>
                <w:sz w:val="20"/>
              </w:rPr>
              <w:t>补</w:t>
            </w:r>
            <w:r>
              <w:rPr>
                <w:spacing w:val="-10"/>
                <w:w w:val="95"/>
                <w:sz w:val="20"/>
              </w:rPr>
              <w:t>偿</w:t>
            </w:r>
          </w:p>
        </w:tc>
        <w:tc>
          <w:tcPr>
            <w:tcW w:w="1644" w:type="dxa"/>
          </w:tcPr>
          <w:p>
            <w:pPr>
              <w:pStyle w:val="TableParagraph"/>
              <w:spacing w:before="11"/>
              <w:rPr>
                <w:sz w:val="14"/>
              </w:rPr>
            </w:pPr>
          </w:p>
          <w:p>
            <w:pPr>
              <w:pStyle w:val="TableParagraph"/>
              <w:ind w:left="125" w:right="120"/>
              <w:jc w:val="center"/>
              <w:rPr>
                <w:sz w:val="20"/>
              </w:rPr>
            </w:pPr>
            <w:r>
              <w:rPr>
                <w:w w:val="95"/>
                <w:sz w:val="20"/>
              </w:rPr>
              <w:t>3</w:t>
            </w:r>
            <w:r>
              <w:rPr>
                <w:spacing w:val="-32"/>
                <w:w w:val="95"/>
                <w:sz w:val="20"/>
              </w:rPr>
              <w:t> </w:t>
            </w:r>
            <w:r>
              <w:rPr>
                <w:w w:val="95"/>
                <w:sz w:val="20"/>
              </w:rPr>
              <w:t>万</w:t>
            </w:r>
            <w:r>
              <w:rPr>
                <w:spacing w:val="-10"/>
                <w:w w:val="95"/>
                <w:sz w:val="20"/>
              </w:rPr>
              <w:t>元</w:t>
            </w:r>
          </w:p>
        </w:tc>
        <w:tc>
          <w:tcPr>
            <w:tcW w:w="1725" w:type="dxa"/>
          </w:tcPr>
          <w:p>
            <w:pPr>
              <w:pStyle w:val="TableParagraph"/>
              <w:spacing w:before="11"/>
              <w:rPr>
                <w:sz w:val="14"/>
              </w:rPr>
            </w:pPr>
          </w:p>
          <w:p>
            <w:pPr>
              <w:pStyle w:val="TableParagraph"/>
              <w:ind w:left="487"/>
              <w:rPr>
                <w:sz w:val="20"/>
              </w:rPr>
            </w:pPr>
            <w:r>
              <w:rPr>
                <w:w w:val="95"/>
                <w:sz w:val="20"/>
              </w:rPr>
              <w:t>1.6</w:t>
            </w:r>
            <w:r>
              <w:rPr>
                <w:spacing w:val="-24"/>
                <w:w w:val="95"/>
                <w:sz w:val="20"/>
              </w:rPr>
              <w:t> </w:t>
            </w:r>
            <w:r>
              <w:rPr>
                <w:w w:val="95"/>
                <w:sz w:val="20"/>
              </w:rPr>
              <w:t>万</w:t>
            </w:r>
            <w:r>
              <w:rPr>
                <w:spacing w:val="-10"/>
                <w:w w:val="95"/>
                <w:sz w:val="20"/>
              </w:rPr>
              <w:t>元</w:t>
            </w:r>
          </w:p>
        </w:tc>
        <w:tc>
          <w:tcPr>
            <w:tcW w:w="1730" w:type="dxa"/>
          </w:tcPr>
          <w:p>
            <w:pPr>
              <w:pStyle w:val="TableParagraph"/>
              <w:spacing w:before="11"/>
              <w:rPr>
                <w:sz w:val="14"/>
              </w:rPr>
            </w:pPr>
          </w:p>
          <w:p>
            <w:pPr>
              <w:pStyle w:val="TableParagraph"/>
              <w:ind w:left="102" w:right="93"/>
              <w:jc w:val="center"/>
              <w:rPr>
                <w:sz w:val="20"/>
              </w:rPr>
            </w:pPr>
            <w:r>
              <w:rPr>
                <w:w w:val="95"/>
                <w:sz w:val="20"/>
              </w:rPr>
              <w:t>0</w:t>
            </w:r>
            <w:r>
              <w:rPr>
                <w:spacing w:val="-32"/>
                <w:w w:val="95"/>
                <w:sz w:val="20"/>
              </w:rPr>
              <w:t> </w:t>
            </w:r>
            <w:r>
              <w:rPr>
                <w:w w:val="95"/>
                <w:sz w:val="20"/>
              </w:rPr>
              <w:t>万</w:t>
            </w:r>
            <w:r>
              <w:rPr>
                <w:spacing w:val="-10"/>
                <w:w w:val="95"/>
                <w:sz w:val="20"/>
              </w:rPr>
              <w:t>元</w:t>
            </w:r>
          </w:p>
        </w:tc>
      </w:tr>
    </w:tbl>
    <w:p>
      <w:pPr>
        <w:pStyle w:val="BodyText"/>
        <w:spacing w:before="64"/>
        <w:ind w:left="372"/>
      </w:pPr>
      <w:r>
        <w:rPr>
          <w:spacing w:val="-3"/>
        </w:rPr>
        <w:t>则医疗保险金的计算方法如下：</w:t>
      </w:r>
    </w:p>
    <w:p>
      <w:pPr>
        <w:pStyle w:val="ListParagraph"/>
        <w:numPr>
          <w:ilvl w:val="0"/>
          <w:numId w:val="69"/>
        </w:numPr>
        <w:tabs>
          <w:tab w:pos="1086" w:val="left" w:leader="none"/>
        </w:tabs>
        <w:spacing w:line="242" w:lineRule="auto" w:before="64" w:after="0"/>
        <w:ind w:left="1085" w:right="370" w:hanging="720"/>
        <w:jc w:val="both"/>
        <w:rPr>
          <w:sz w:val="21"/>
        </w:rPr>
      </w:pPr>
      <w:r>
        <w:rPr>
          <w:spacing w:val="-3"/>
          <w:sz w:val="21"/>
        </w:rPr>
        <w:t>被保险人首次治疗，因重大疾病住院，实际发生的医疗费用为 </w:t>
      </w:r>
      <w:r>
        <w:rPr>
          <w:spacing w:val="-2"/>
          <w:sz w:val="21"/>
        </w:rPr>
        <w:t>12</w:t>
      </w:r>
      <w:r>
        <w:rPr>
          <w:spacing w:val="-6"/>
          <w:sz w:val="21"/>
        </w:rPr>
        <w:t> 万元，其</w:t>
      </w:r>
      <w:r>
        <w:rPr>
          <w:spacing w:val="-3"/>
          <w:sz w:val="21"/>
        </w:rPr>
        <w:t>中保险责任范围内的合理医疗费用为 </w:t>
      </w:r>
      <w:r>
        <w:rPr>
          <w:spacing w:val="-2"/>
          <w:sz w:val="21"/>
        </w:rPr>
        <w:t>11.8</w:t>
      </w:r>
      <w:r>
        <w:rPr>
          <w:spacing w:val="-5"/>
          <w:sz w:val="21"/>
        </w:rPr>
        <w:t> 万元，本次重大疾病医疗保险金</w:t>
      </w:r>
      <w:r>
        <w:rPr>
          <w:spacing w:val="-2"/>
          <w:sz w:val="21"/>
        </w:rPr>
        <w:t>的计算方法如下：</w:t>
      </w:r>
    </w:p>
    <w:p>
      <w:pPr>
        <w:pStyle w:val="BodyText"/>
        <w:spacing w:line="244" w:lineRule="auto" w:before="61"/>
        <w:ind w:left="1085" w:right="373"/>
      </w:pPr>
      <w:r>
        <w:rPr>
          <w:spacing w:val="-5"/>
        </w:rPr>
        <w:t>被保险人以拥有社会基本医疗保险的状态投保，且已从社会基本医疗保险获</w:t>
      </w:r>
      <w:r>
        <w:rPr>
          <w:spacing w:val="-2"/>
        </w:rPr>
        <w:t>得重大疾病医疗费用补偿，因此与该次治疗相对应的给付比例为 </w:t>
      </w:r>
      <w:r>
        <w:rPr/>
        <w:t>100%。</w:t>
      </w:r>
    </w:p>
    <w:p>
      <w:pPr>
        <w:pStyle w:val="BodyText"/>
        <w:spacing w:before="56"/>
        <w:ind w:left="1085"/>
      </w:pPr>
      <w:r>
        <w:rPr>
          <w:spacing w:val="-4"/>
        </w:rPr>
        <w:t>根据公式，我们本次向医疗保险金受益人给付的重大疾病医疗保险金为 </w:t>
      </w:r>
      <w:r>
        <w:rPr>
          <w:spacing w:val="-5"/>
        </w:rPr>
        <w:t>8.8</w:t>
      </w:r>
    </w:p>
    <w:p>
      <w:pPr>
        <w:pStyle w:val="BodyText"/>
        <w:spacing w:line="242" w:lineRule="auto" w:before="4"/>
        <w:ind w:left="1085" w:right="372"/>
      </w:pPr>
      <w:r>
        <w:rPr>
          <w:spacing w:val="-2"/>
        </w:rPr>
        <w:t>万元（（</w:t>
      </w:r>
      <w:r>
        <w:rPr>
          <w:spacing w:val="-7"/>
        </w:rPr>
        <w:t>重大疾病合理医疗费用 </w:t>
      </w:r>
      <w:r>
        <w:rPr>
          <w:spacing w:val="-2"/>
        </w:rPr>
        <w:t>11.8</w:t>
      </w:r>
      <w:r>
        <w:rPr>
          <w:spacing w:val="-10"/>
        </w:rPr>
        <w:t> 万元-从社会基本医疗保险和公费医疗</w:t>
      </w:r>
      <w:r>
        <w:rPr>
          <w:spacing w:val="-1"/>
        </w:rPr>
        <w:t>已获得的重大疾病医疗费用补偿金额 </w:t>
      </w:r>
      <w:r>
        <w:rPr/>
        <w:t>3</w:t>
      </w:r>
      <w:r>
        <w:rPr>
          <w:spacing w:val="-6"/>
        </w:rPr>
        <w:t> 万元</w:t>
      </w:r>
      <w:r>
        <w:rPr/>
        <w:t>）</w:t>
      </w:r>
      <w:r>
        <w:rPr>
          <w:spacing w:val="-3"/>
        </w:rPr>
        <w:t>×给付比例 </w:t>
      </w:r>
      <w:r>
        <w:rPr/>
        <w:t>100%）。</w:t>
      </w:r>
    </w:p>
    <w:p>
      <w:pPr>
        <w:pStyle w:val="ListParagraph"/>
        <w:numPr>
          <w:ilvl w:val="0"/>
          <w:numId w:val="69"/>
        </w:numPr>
        <w:tabs>
          <w:tab w:pos="1086" w:val="left" w:leader="none"/>
        </w:tabs>
        <w:spacing w:line="240" w:lineRule="auto" w:before="61" w:after="0"/>
        <w:ind w:left="1085" w:right="0" w:hanging="721"/>
        <w:jc w:val="left"/>
        <w:rPr>
          <w:sz w:val="21"/>
        </w:rPr>
      </w:pPr>
      <w:r>
        <w:rPr>
          <w:spacing w:val="-4"/>
          <w:sz w:val="21"/>
        </w:rPr>
        <w:t>被保险人第二次治疗，非因重大疾病住院，实际发生的医疗费用为 </w:t>
      </w:r>
      <w:r>
        <w:rPr>
          <w:spacing w:val="-2"/>
          <w:sz w:val="21"/>
        </w:rPr>
        <w:t>3</w:t>
      </w:r>
      <w:r>
        <w:rPr>
          <w:spacing w:val="-15"/>
          <w:sz w:val="21"/>
        </w:rPr>
        <w:t> 万元，</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line="244" w:lineRule="auto" w:before="53"/>
        <w:ind w:left="3321" w:right="373"/>
        <w:jc w:val="both"/>
      </w:pPr>
      <w:r>
        <w:rPr>
          <w:spacing w:val="-4"/>
        </w:rPr>
        <w:t>其中保险责任范围内的合理医疗费用为 </w:t>
      </w:r>
      <w:r>
        <w:rPr>
          <w:spacing w:val="-2"/>
        </w:rPr>
        <w:t>2.8</w:t>
      </w:r>
      <w:r>
        <w:rPr>
          <w:spacing w:val="-12"/>
        </w:rPr>
        <w:t> 万元，本次非因重大疾病医疗保</w:t>
      </w:r>
      <w:r>
        <w:rPr>
          <w:spacing w:val="-2"/>
        </w:rPr>
        <w:t>险金的计算方法如下：</w:t>
      </w:r>
    </w:p>
    <w:p>
      <w:pPr>
        <w:pStyle w:val="BodyText"/>
        <w:spacing w:line="242" w:lineRule="auto" w:before="56"/>
        <w:ind w:left="3763" w:right="370" w:hanging="421"/>
        <w:jc w:val="both"/>
      </w:pPr>
      <w:r>
        <w:rPr>
          <w:spacing w:val="-4"/>
        </w:rPr>
        <w:t>① 被保险人以拥有社会基本医疗保险的状态投保，且已从社会基本医疗保</w:t>
      </w:r>
      <w:r>
        <w:rPr>
          <w:spacing w:val="-8"/>
        </w:rPr>
        <w:t>险获得非因重大疾病医疗费用补偿，因此与该次治疗相对应的给付比例</w:t>
      </w:r>
      <w:r>
        <w:rPr>
          <w:spacing w:val="-5"/>
        </w:rPr>
        <w:t>为 </w:t>
      </w:r>
      <w:r>
        <w:rPr/>
        <w:t>100%，则本合同保险期间内累计按比例计算的非因重大疾病合理医</w:t>
      </w:r>
      <w:r>
        <w:rPr>
          <w:spacing w:val="-6"/>
        </w:rPr>
        <w:t>疗费用为 </w:t>
      </w:r>
      <w:r>
        <w:rPr/>
        <w:t>2.8</w:t>
      </w:r>
      <w:r>
        <w:rPr>
          <w:spacing w:val="-9"/>
        </w:rPr>
        <w:t> 万元</w:t>
      </w:r>
      <w:r>
        <w:rPr/>
        <w:t>（</w:t>
      </w:r>
      <w:r>
        <w:rPr>
          <w:spacing w:val="-2"/>
        </w:rPr>
        <w:t>非因重大疾病合理医疗费用 </w:t>
      </w:r>
      <w:r>
        <w:rPr/>
        <w:t>2.8</w:t>
      </w:r>
      <w:r>
        <w:rPr>
          <w:spacing w:val="-5"/>
        </w:rPr>
        <w:t> 万元×给付比例</w:t>
      </w:r>
      <w:r>
        <w:rPr/>
        <w:t> </w:t>
      </w:r>
      <w:r>
        <w:rPr>
          <w:spacing w:val="-2"/>
        </w:rPr>
        <w:t>100%）；</w:t>
      </w:r>
    </w:p>
    <w:p>
      <w:pPr>
        <w:pStyle w:val="BodyText"/>
        <w:spacing w:before="65"/>
        <w:ind w:left="3342"/>
        <w:jc w:val="both"/>
      </w:pPr>
      <w:r>
        <w:rPr/>
        <w:t>② 非因重大疾病医疗保险金的年度免赔额：1</w:t>
      </w:r>
      <w:r>
        <w:rPr>
          <w:spacing w:val="-17"/>
        </w:rPr>
        <w:t> 万元；</w:t>
      </w:r>
    </w:p>
    <w:p>
      <w:pPr>
        <w:pStyle w:val="BodyText"/>
        <w:spacing w:line="244" w:lineRule="auto" w:before="62"/>
        <w:ind w:left="3763" w:right="380" w:hanging="421"/>
      </w:pPr>
      <w:r>
        <w:rPr/>
        <w:t>③ 本合同保险期间内累计从社会基本医疗保险已获得的非因重大疾病医疗费用补偿金额：1.6</w:t>
      </w:r>
      <w:r>
        <w:rPr>
          <w:spacing w:val="-12"/>
        </w:rPr>
        <w:t> 万元；</w:t>
      </w:r>
    </w:p>
    <w:p>
      <w:pPr>
        <w:pStyle w:val="BodyText"/>
        <w:spacing w:line="244" w:lineRule="auto" w:before="56"/>
        <w:ind w:left="3763" w:right="372" w:hanging="421"/>
      </w:pPr>
      <w:r>
        <w:rPr/>
        <w:t>④ 本合同保险期间内累计我们已给付的非因重大疾病医疗保险金：0 万</w:t>
      </w:r>
      <w:r>
        <w:rPr>
          <w:spacing w:val="-6"/>
        </w:rPr>
        <w:t>元；</w:t>
      </w:r>
    </w:p>
    <w:p>
      <w:pPr>
        <w:pStyle w:val="BodyText"/>
        <w:spacing w:before="56"/>
        <w:ind w:left="3321"/>
      </w:pPr>
      <w:r>
        <w:rPr>
          <w:spacing w:val="-10"/>
        </w:rPr>
        <w:t>根据公式，我们本次向医疗保险金受益人给付的非因重大疾病医疗保险金为</w:t>
      </w:r>
    </w:p>
    <w:p>
      <w:pPr>
        <w:pStyle w:val="BodyText"/>
        <w:spacing w:line="242" w:lineRule="auto" w:before="4"/>
        <w:ind w:left="3321" w:right="372"/>
        <w:jc w:val="both"/>
      </w:pPr>
      <w:r>
        <w:rPr>
          <w:w w:val="100"/>
        </w:rPr>
        <w:t>0.2</w:t>
      </w:r>
      <w:r>
        <w:rPr>
          <w:spacing w:val="-52"/>
        </w:rPr>
        <w:t> </w:t>
      </w:r>
      <w:r>
        <w:rPr>
          <w:spacing w:val="-8"/>
          <w:w w:val="100"/>
        </w:rPr>
        <w:t>万元</w:t>
      </w:r>
      <w:r>
        <w:rPr>
          <w:spacing w:val="-3"/>
          <w:w w:val="100"/>
        </w:rPr>
        <w:t>（本合同保险期间内累计的按比例计算的非因重大疾病合理医疗费</w:t>
      </w:r>
      <w:r>
        <w:rPr>
          <w:spacing w:val="36"/>
          <w:w w:val="100"/>
        </w:rPr>
        <w:t>用</w:t>
      </w:r>
      <w:r>
        <w:rPr>
          <w:w w:val="100"/>
        </w:rPr>
        <w:t>2.8</w:t>
      </w:r>
      <w:r>
        <w:rPr>
          <w:spacing w:val="-69"/>
        </w:rPr>
        <w:t> </w:t>
      </w:r>
      <w:r>
        <w:rPr>
          <w:spacing w:val="-2"/>
          <w:w w:val="100"/>
        </w:rPr>
        <w:t>万元-非因重大疾病医疗保险金的年度免赔额</w:t>
      </w:r>
      <w:r>
        <w:rPr>
          <w:w w:val="100"/>
        </w:rPr>
        <w:t>1</w:t>
      </w:r>
      <w:r>
        <w:rPr>
          <w:spacing w:val="-69"/>
        </w:rPr>
        <w:t> </w:t>
      </w:r>
      <w:r>
        <w:rPr>
          <w:spacing w:val="-3"/>
          <w:w w:val="100"/>
        </w:rPr>
        <w:t>万元-本合同保险期间</w:t>
      </w:r>
      <w:r>
        <w:rPr>
          <w:spacing w:val="1"/>
          <w:w w:val="100"/>
        </w:rPr>
        <w:t>内累计从社会基本医疗保险和公费医疗已获得的非因重大疾病医疗费用补偿金额</w:t>
      </w:r>
      <w:r>
        <w:rPr>
          <w:spacing w:val="-33"/>
        </w:rPr>
        <w:t> </w:t>
      </w:r>
      <w:r>
        <w:rPr>
          <w:spacing w:val="-3"/>
          <w:w w:val="100"/>
        </w:rPr>
        <w:t>1</w:t>
      </w:r>
      <w:r>
        <w:rPr>
          <w:w w:val="100"/>
        </w:rPr>
        <w:t>.6</w:t>
      </w:r>
      <w:r>
        <w:rPr>
          <w:spacing w:val="-34"/>
        </w:rPr>
        <w:t> </w:t>
      </w:r>
      <w:r>
        <w:rPr>
          <w:spacing w:val="-3"/>
          <w:w w:val="100"/>
        </w:rPr>
        <w:t>万元-本合同保险期间内累计我们已给付的非因重大疾病医疗保险金</w:t>
      </w:r>
      <w:r>
        <w:rPr>
          <w:spacing w:val="-52"/>
        </w:rPr>
        <w:t> </w:t>
      </w:r>
      <w:r>
        <w:rPr>
          <w:w w:val="100"/>
        </w:rPr>
        <w:t>0</w:t>
      </w:r>
      <w:r>
        <w:rPr>
          <w:spacing w:val="-55"/>
        </w:rPr>
        <w:t> </w:t>
      </w:r>
      <w:r>
        <w:rPr>
          <w:spacing w:val="-2"/>
          <w:w w:val="100"/>
        </w:rPr>
        <w:t>万元</w:t>
      </w:r>
      <w:r>
        <w:rPr>
          <w:spacing w:val="-1"/>
          <w:w w:val="100"/>
        </w:rPr>
        <w:t>）</w:t>
      </w:r>
      <w:r>
        <w:rPr>
          <w:w w:val="100"/>
        </w:rPr>
        <w:t>。</w:t>
      </w:r>
    </w:p>
    <w:p>
      <w:pPr>
        <w:pStyle w:val="BodyText"/>
        <w:spacing w:line="242" w:lineRule="auto" w:before="63"/>
        <w:ind w:left="3321" w:right="267" w:hanging="720"/>
      </w:pPr>
      <w:r>
        <w:rPr/>
        <w:t>（3）</w:t>
      </w:r>
      <w:r>
        <w:rPr>
          <w:spacing w:val="-11"/>
        </w:rPr>
        <w:t> 被保险人第三次治疗，非因重大疾病住院，实际发生的医疗费用为 </w:t>
      </w:r>
      <w:r>
        <w:rPr/>
        <w:t>2.2</w:t>
      </w:r>
      <w:r>
        <w:rPr>
          <w:spacing w:val="-15"/>
        </w:rPr>
        <w:t> 万元，</w:t>
      </w:r>
      <w:r>
        <w:rPr>
          <w:spacing w:val="-2"/>
        </w:rPr>
        <w:t>其中保险责任范围内的合理医疗费用为 </w:t>
      </w:r>
      <w:r>
        <w:rPr/>
        <w:t>2</w:t>
      </w:r>
      <w:r>
        <w:rPr>
          <w:spacing w:val="-10"/>
        </w:rPr>
        <w:t> 万元，本次非因重大疾病医疗保险</w:t>
      </w:r>
      <w:r>
        <w:rPr>
          <w:spacing w:val="-2"/>
        </w:rPr>
        <w:t>金的计算方法如下：</w:t>
      </w:r>
    </w:p>
    <w:p>
      <w:pPr>
        <w:pStyle w:val="BodyText"/>
        <w:spacing w:line="242" w:lineRule="auto" w:before="63"/>
        <w:ind w:left="3763" w:right="370" w:hanging="421"/>
        <w:jc w:val="both"/>
      </w:pPr>
      <w:r>
        <w:rPr>
          <w:spacing w:val="-4"/>
        </w:rPr>
        <w:t>① 被保险人以拥有社会基本医疗保险的状态投保，但未从社会基本医疗保</w:t>
      </w:r>
      <w:r>
        <w:rPr>
          <w:spacing w:val="-8"/>
        </w:rPr>
        <w:t>险获得非因重大疾病医疗费用补偿，因此与该次治疗相对应的给付比例</w:t>
      </w:r>
      <w:r>
        <w:rPr>
          <w:spacing w:val="-14"/>
        </w:rPr>
        <w:t>为 </w:t>
      </w:r>
      <w:r>
        <w:rPr>
          <w:spacing w:val="-2"/>
        </w:rPr>
        <w:t>60%，则本合同保险期间内累计按比例计算的非因重大疾病合理医疗</w:t>
      </w:r>
      <w:r>
        <w:rPr>
          <w:w w:val="95"/>
        </w:rPr>
        <w:t>费</w:t>
      </w:r>
      <w:r>
        <w:rPr>
          <w:w w:val="95"/>
        </w:rPr>
        <w:t>用为 4</w:t>
      </w:r>
      <w:r>
        <w:rPr>
          <w:spacing w:val="-29"/>
          <w:w w:val="95"/>
        </w:rPr>
        <w:t> 万元</w:t>
      </w:r>
      <w:r>
        <w:rPr>
          <w:w w:val="95"/>
        </w:rPr>
        <w:t>（第二次治疗</w:t>
      </w:r>
      <w:r>
        <w:rPr>
          <w:w w:val="95"/>
        </w:rPr>
        <w:t>的</w:t>
      </w:r>
      <w:r>
        <w:rPr>
          <w:w w:val="95"/>
        </w:rPr>
        <w:t>非</w:t>
      </w:r>
      <w:r>
        <w:rPr>
          <w:w w:val="95"/>
        </w:rPr>
        <w:t>因重大疾病合理医疗</w:t>
      </w:r>
      <w:r>
        <w:rPr>
          <w:w w:val="95"/>
        </w:rPr>
        <w:t>费</w:t>
      </w:r>
      <w:r>
        <w:rPr>
          <w:w w:val="95"/>
        </w:rPr>
        <w:t>用</w:t>
      </w:r>
      <w:r>
        <w:rPr>
          <w:w w:val="95"/>
        </w:rPr>
        <w:t> 2.8 万元×</w:t>
      </w:r>
      <w:r>
        <w:rPr>
          <w:w w:val="95"/>
        </w:rPr>
        <w:t>给</w:t>
      </w:r>
      <w:r>
        <w:rPr>
          <w:w w:val="95"/>
        </w:rPr>
        <w:t>付</w:t>
      </w:r>
      <w:r>
        <w:rPr>
          <w:w w:val="95"/>
        </w:rPr>
        <w:t>比</w:t>
      </w:r>
      <w:r>
        <w:rPr>
          <w:w w:val="95"/>
        </w:rPr>
        <w:t>例</w:t>
      </w:r>
      <w:r>
        <w:rPr>
          <w:w w:val="95"/>
        </w:rPr>
        <w:t> 100%+第三次</w:t>
      </w:r>
      <w:r>
        <w:rPr>
          <w:w w:val="95"/>
        </w:rPr>
        <w:t>治</w:t>
      </w:r>
      <w:r>
        <w:rPr>
          <w:w w:val="95"/>
        </w:rPr>
        <w:t>疗</w:t>
      </w:r>
      <w:r>
        <w:rPr>
          <w:w w:val="95"/>
        </w:rPr>
        <w:t>的</w:t>
      </w:r>
      <w:r>
        <w:rPr>
          <w:w w:val="95"/>
        </w:rPr>
        <w:t>非</w:t>
      </w:r>
      <w:r>
        <w:rPr>
          <w:w w:val="95"/>
        </w:rPr>
        <w:t>因重大疾病合理医疗</w:t>
      </w:r>
      <w:r>
        <w:rPr>
          <w:w w:val="95"/>
        </w:rPr>
        <w:t>费</w:t>
      </w:r>
      <w:r>
        <w:rPr>
          <w:w w:val="95"/>
        </w:rPr>
        <w:t>用</w:t>
      </w:r>
      <w:r>
        <w:rPr>
          <w:w w:val="95"/>
        </w:rPr>
        <w:t> 2 万元×给</w:t>
      </w:r>
      <w:r>
        <w:rPr>
          <w:w w:val="95"/>
        </w:rPr>
        <w:t>付</w:t>
      </w:r>
      <w:r>
        <w:rPr>
          <w:w w:val="95"/>
        </w:rPr>
        <w:t>比</w:t>
      </w:r>
      <w:r>
        <w:rPr>
          <w:spacing w:val="-21"/>
        </w:rPr>
        <w:t>例 </w:t>
      </w:r>
      <w:r>
        <w:rPr/>
        <w:t>60%）；</w:t>
      </w:r>
    </w:p>
    <w:p>
      <w:pPr>
        <w:pStyle w:val="BodyText"/>
        <w:spacing w:before="62"/>
        <w:ind w:left="3342"/>
        <w:jc w:val="both"/>
      </w:pPr>
      <w:r>
        <w:rPr/>
        <w:t>② 非因重大疾病医疗保险金的年度免赔额：1</w:t>
      </w:r>
      <w:r>
        <w:rPr>
          <w:spacing w:val="-17"/>
        </w:rPr>
        <w:t> 万元；</w:t>
      </w:r>
    </w:p>
    <w:p>
      <w:pPr>
        <w:pStyle w:val="BodyText"/>
        <w:spacing w:line="242" w:lineRule="auto" w:before="64"/>
        <w:ind w:left="3763" w:right="380" w:hanging="421"/>
      </w:pPr>
      <w:r>
        <w:rPr/>
        <w:t>③ 本合同保险期间内累计从社会基本医疗保险已获得的非因重大疾病医疗费用补偿金额：1.6</w:t>
      </w:r>
      <w:r>
        <w:rPr>
          <w:spacing w:val="-12"/>
        </w:rPr>
        <w:t> 万元；</w:t>
      </w:r>
    </w:p>
    <w:p>
      <w:pPr>
        <w:pStyle w:val="BodyText"/>
        <w:spacing w:line="242" w:lineRule="auto" w:before="62"/>
        <w:ind w:left="3763" w:right="370" w:hanging="421"/>
      </w:pPr>
      <w:r>
        <w:rPr/>
        <w:t>④ 本合同保险期间内累计我们已给付的非因重大疾病医疗保险金：0.2</w:t>
      </w:r>
      <w:r>
        <w:rPr>
          <w:spacing w:val="-28"/>
        </w:rPr>
        <w:t> 万</w:t>
      </w:r>
      <w:r>
        <w:rPr>
          <w:spacing w:val="-6"/>
        </w:rPr>
        <w:t>元；</w:t>
      </w:r>
    </w:p>
    <w:p>
      <w:pPr>
        <w:pStyle w:val="BodyText"/>
        <w:spacing w:before="61"/>
        <w:ind w:left="3321"/>
      </w:pPr>
      <w:r>
        <w:rPr>
          <w:spacing w:val="-10"/>
        </w:rPr>
        <w:t>根据公式，我们本次向医疗保险金受益人给付的非因重大疾病医疗保险金为</w:t>
      </w:r>
    </w:p>
    <w:p>
      <w:pPr>
        <w:pStyle w:val="BodyText"/>
        <w:spacing w:line="242" w:lineRule="auto" w:before="2"/>
        <w:ind w:left="3321" w:right="372"/>
        <w:jc w:val="both"/>
      </w:pPr>
      <w:r>
        <w:rPr>
          <w:w w:val="100"/>
        </w:rPr>
        <w:t>1.2</w:t>
      </w:r>
      <w:r>
        <w:rPr>
          <w:spacing w:val="-52"/>
        </w:rPr>
        <w:t> </w:t>
      </w:r>
      <w:r>
        <w:rPr>
          <w:spacing w:val="-8"/>
          <w:w w:val="100"/>
        </w:rPr>
        <w:t>万元</w:t>
      </w:r>
      <w:r>
        <w:rPr>
          <w:spacing w:val="-3"/>
          <w:w w:val="100"/>
        </w:rPr>
        <w:t>（本合同保险期间内累计按比例计算的非因重大疾病合理医疗费用 4</w:t>
      </w:r>
      <w:r>
        <w:rPr>
          <w:spacing w:val="-57"/>
        </w:rPr>
        <w:t> </w:t>
      </w:r>
      <w:r>
        <w:rPr>
          <w:spacing w:val="-3"/>
          <w:w w:val="100"/>
        </w:rPr>
        <w:t>万元-非因重大疾病医疗保险金的年度免赔额</w:t>
      </w:r>
      <w:r>
        <w:rPr>
          <w:spacing w:val="-58"/>
        </w:rPr>
        <w:t> </w:t>
      </w:r>
      <w:r>
        <w:rPr>
          <w:w w:val="100"/>
        </w:rPr>
        <w:t>1</w:t>
      </w:r>
      <w:r>
        <w:rPr>
          <w:spacing w:val="-60"/>
        </w:rPr>
        <w:t> </w:t>
      </w:r>
      <w:r>
        <w:rPr>
          <w:spacing w:val="-3"/>
          <w:w w:val="100"/>
        </w:rPr>
        <w:t>万元-本合同保险期间内累</w:t>
      </w:r>
      <w:r>
        <w:rPr>
          <w:spacing w:val="1"/>
          <w:w w:val="100"/>
        </w:rPr>
        <w:t>计从社会基本医疗保险和公费医疗已获得的非因重大疾病医疗费用补偿金额</w:t>
      </w:r>
      <w:r>
        <w:rPr>
          <w:spacing w:val="-33"/>
        </w:rPr>
        <w:t> </w:t>
      </w:r>
      <w:r>
        <w:rPr>
          <w:w w:val="100"/>
        </w:rPr>
        <w:t>1.6</w:t>
      </w:r>
      <w:r>
        <w:rPr>
          <w:spacing w:val="-33"/>
        </w:rPr>
        <w:t> </w:t>
      </w:r>
      <w:r>
        <w:rPr>
          <w:spacing w:val="-3"/>
          <w:w w:val="100"/>
        </w:rPr>
        <w:t>万元-本合同保险期间内累计我们已给付的非因重大疾病医疗保险金</w:t>
      </w:r>
    </w:p>
    <w:p>
      <w:pPr>
        <w:pStyle w:val="BodyText"/>
        <w:spacing w:before="3"/>
        <w:ind w:left="3321"/>
        <w:jc w:val="both"/>
      </w:pPr>
      <w:r>
        <w:rPr>
          <w:spacing w:val="-2"/>
        </w:rPr>
        <w:t>0.2</w:t>
      </w:r>
      <w:r>
        <w:rPr>
          <w:spacing w:val="-17"/>
        </w:rPr>
        <w:t> 万元</w:t>
      </w:r>
      <w:r>
        <w:rPr>
          <w:spacing w:val="-2"/>
        </w:rPr>
        <w:t>）</w:t>
      </w:r>
      <w:r>
        <w:rPr>
          <w:spacing w:val="-10"/>
        </w:rPr>
        <w:t>。</w:t>
      </w:r>
    </w:p>
    <w:p>
      <w:pPr>
        <w:pStyle w:val="BodyText"/>
        <w:spacing w:before="64"/>
        <w:ind w:left="3321"/>
      </w:pPr>
      <w:r>
        <w:rPr>
          <w:spacing w:val="-3"/>
        </w:rPr>
        <w:t>因此，本合同保险期间内累计我们已给付的医疗保险金为 </w:t>
      </w:r>
      <w:r>
        <w:rPr>
          <w:spacing w:val="-2"/>
        </w:rPr>
        <w:t>10.2</w:t>
      </w:r>
      <w:r>
        <w:rPr>
          <w:spacing w:val="-8"/>
        </w:rPr>
        <w:t> 万元</w:t>
      </w:r>
      <w:r>
        <w:rPr>
          <w:spacing w:val="-2"/>
        </w:rPr>
        <w:t>（</w:t>
      </w:r>
      <w:r>
        <w:rPr>
          <w:spacing w:val="-6"/>
        </w:rPr>
        <w:t>首次</w:t>
      </w:r>
    </w:p>
    <w:p>
      <w:pPr>
        <w:pStyle w:val="BodyText"/>
        <w:spacing w:before="3"/>
        <w:ind w:left="3321"/>
      </w:pPr>
      <w:r>
        <w:rPr/>
        <w:t>治疗给付重大疾病医疗保险金 8.8</w:t>
      </w:r>
      <w:r>
        <w:rPr>
          <w:spacing w:val="-1"/>
        </w:rPr>
        <w:t> 万元＋第二次治疗给付非因重大疾病医</w:t>
      </w:r>
    </w:p>
    <w:p>
      <w:pPr>
        <w:pStyle w:val="BodyText"/>
        <w:spacing w:before="4"/>
        <w:ind w:left="3321"/>
      </w:pPr>
      <w:r>
        <w:rPr>
          <w:spacing w:val="-11"/>
        </w:rPr>
        <w:t>疗保险金 </w:t>
      </w:r>
      <w:r>
        <w:rPr>
          <w:spacing w:val="-2"/>
        </w:rPr>
        <w:t>0.2</w:t>
      </w:r>
      <w:r>
        <w:rPr>
          <w:spacing w:val="-11"/>
        </w:rPr>
        <w:t> 万元+第三次治疗给付非因重大疾病医疗保险金 </w:t>
      </w:r>
      <w:r>
        <w:rPr>
          <w:spacing w:val="-2"/>
        </w:rPr>
        <w:t>1.2</w:t>
      </w:r>
      <w:r>
        <w:rPr>
          <w:spacing w:val="-18"/>
        </w:rPr>
        <w:t> 万元</w:t>
      </w:r>
      <w:r>
        <w:rPr>
          <w:spacing w:val="-2"/>
        </w:rPr>
        <w:t>）</w:t>
      </w:r>
      <w:r>
        <w:rPr>
          <w:spacing w:val="-10"/>
        </w:rPr>
        <w:t>。</w:t>
      </w:r>
    </w:p>
    <w:p>
      <w:pPr>
        <w:pStyle w:val="BodyText"/>
        <w:spacing w:before="2"/>
        <w:rPr>
          <w:sz w:val="18"/>
        </w:rPr>
      </w:pPr>
    </w:p>
    <w:p>
      <w:pPr>
        <w:pStyle w:val="ListParagraph"/>
        <w:numPr>
          <w:ilvl w:val="3"/>
          <w:numId w:val="4"/>
        </w:numPr>
        <w:tabs>
          <w:tab w:pos="1140" w:val="left" w:leader="none"/>
          <w:tab w:pos="2608" w:val="left" w:leader="none"/>
        </w:tabs>
        <w:spacing w:line="242" w:lineRule="auto" w:before="0" w:after="0"/>
        <w:ind w:left="2608" w:right="373" w:hanging="2130"/>
        <w:jc w:val="left"/>
        <w:rPr>
          <w:sz w:val="21"/>
        </w:rPr>
      </w:pPr>
      <w:r>
        <w:rPr>
          <w:b/>
          <w:spacing w:val="-4"/>
          <w:sz w:val="21"/>
        </w:rPr>
        <w:t>中</w:t>
      </w:r>
      <w:r>
        <w:rPr>
          <w:b/>
          <w:spacing w:val="-4"/>
          <w:sz w:val="21"/>
        </w:rPr>
        <w:t>国</w:t>
      </w:r>
      <w:r>
        <w:rPr>
          <w:b/>
          <w:spacing w:val="-4"/>
          <w:sz w:val="21"/>
        </w:rPr>
        <w:t>境</w:t>
      </w:r>
      <w:r>
        <w:rPr>
          <w:b/>
          <w:spacing w:val="-4"/>
          <w:sz w:val="21"/>
        </w:rPr>
        <w:t>外</w:t>
      </w:r>
      <w:r>
        <w:rPr>
          <w:b/>
          <w:sz w:val="21"/>
        </w:rPr>
        <w:tab/>
      </w:r>
      <w:r>
        <w:rPr>
          <w:spacing w:val="-2"/>
          <w:sz w:val="21"/>
        </w:rPr>
        <w:t>指</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领土之</w:t>
      </w:r>
      <w:r>
        <w:rPr>
          <w:spacing w:val="-2"/>
          <w:sz w:val="21"/>
        </w:rPr>
        <w:t>外</w:t>
      </w:r>
      <w:r>
        <w:rPr>
          <w:spacing w:val="-2"/>
          <w:sz w:val="21"/>
        </w:rPr>
        <w:t>的</w:t>
      </w:r>
      <w:r>
        <w:rPr>
          <w:spacing w:val="-2"/>
          <w:sz w:val="21"/>
        </w:rPr>
        <w:t>地</w:t>
      </w:r>
      <w:r>
        <w:rPr>
          <w:spacing w:val="-2"/>
          <w:sz w:val="21"/>
        </w:rPr>
        <w:t>区</w:t>
      </w:r>
      <w:r>
        <w:rPr>
          <w:spacing w:val="-2"/>
          <w:sz w:val="21"/>
        </w:rPr>
        <w:t>以</w:t>
      </w:r>
      <w:r>
        <w:rPr>
          <w:spacing w:val="-2"/>
          <w:sz w:val="21"/>
        </w:rPr>
        <w:t>及</w:t>
      </w:r>
      <w:r>
        <w:rPr>
          <w:spacing w:val="-2"/>
          <w:sz w:val="21"/>
        </w:rPr>
        <w:t>香</w:t>
      </w:r>
      <w:r>
        <w:rPr>
          <w:spacing w:val="-2"/>
          <w:sz w:val="21"/>
        </w:rPr>
        <w:t>港</w:t>
      </w:r>
      <w:r>
        <w:rPr>
          <w:spacing w:val="-2"/>
          <w:sz w:val="21"/>
        </w:rPr>
        <w:t>特别行</w:t>
      </w:r>
      <w:r>
        <w:rPr>
          <w:spacing w:val="-2"/>
          <w:sz w:val="21"/>
        </w:rPr>
        <w:t>政</w:t>
      </w:r>
      <w:r>
        <w:rPr>
          <w:spacing w:val="-2"/>
          <w:sz w:val="21"/>
        </w:rPr>
        <w:t>区</w:t>
      </w:r>
      <w:r>
        <w:rPr>
          <w:spacing w:val="-2"/>
          <w:sz w:val="21"/>
        </w:rPr>
        <w:t>、</w:t>
      </w:r>
      <w:r>
        <w:rPr>
          <w:spacing w:val="-2"/>
          <w:sz w:val="21"/>
        </w:rPr>
        <w:t>澳</w:t>
      </w:r>
      <w:r>
        <w:rPr>
          <w:spacing w:val="-2"/>
          <w:sz w:val="21"/>
        </w:rPr>
        <w:t>门</w:t>
      </w:r>
      <w:r>
        <w:rPr>
          <w:spacing w:val="-2"/>
          <w:sz w:val="21"/>
        </w:rPr>
        <w:t>特</w:t>
      </w:r>
      <w:r>
        <w:rPr>
          <w:spacing w:val="-2"/>
          <w:sz w:val="21"/>
        </w:rPr>
        <w:t>别</w:t>
      </w:r>
      <w:r>
        <w:rPr>
          <w:spacing w:val="-2"/>
          <w:sz w:val="21"/>
        </w:rPr>
        <w:t>行</w:t>
      </w:r>
      <w:r>
        <w:rPr>
          <w:spacing w:val="-2"/>
          <w:sz w:val="21"/>
        </w:rPr>
        <w:t>政区和</w:t>
      </w:r>
      <w:r>
        <w:rPr>
          <w:spacing w:val="-2"/>
          <w:sz w:val="21"/>
        </w:rPr>
        <w:t>台</w:t>
      </w:r>
      <w:r>
        <w:rPr>
          <w:spacing w:val="-2"/>
          <w:sz w:val="21"/>
        </w:rPr>
        <w:t>湾</w:t>
      </w:r>
      <w:r>
        <w:rPr>
          <w:spacing w:val="-2"/>
          <w:sz w:val="21"/>
        </w:rPr>
        <w:t>地</w:t>
      </w:r>
      <w:r>
        <w:rPr>
          <w:spacing w:val="-6"/>
          <w:sz w:val="21"/>
        </w:rPr>
        <w:t>区</w:t>
      </w:r>
      <w:r>
        <w:rPr>
          <w:spacing w:val="-6"/>
          <w:sz w:val="21"/>
        </w:rPr>
        <w:t>。</w:t>
      </w:r>
    </w:p>
    <w:p>
      <w:pPr>
        <w:pStyle w:val="BodyText"/>
        <w:spacing w:before="1"/>
        <w:rPr>
          <w:sz w:val="18"/>
        </w:rPr>
      </w:pPr>
    </w:p>
    <w:p>
      <w:pPr>
        <w:pStyle w:val="ListParagraph"/>
        <w:numPr>
          <w:ilvl w:val="3"/>
          <w:numId w:val="4"/>
        </w:numPr>
        <w:tabs>
          <w:tab w:pos="1140" w:val="left" w:leader="none"/>
          <w:tab w:pos="2608" w:val="left" w:leader="none"/>
        </w:tabs>
        <w:spacing w:line="240" w:lineRule="auto" w:before="0" w:after="0"/>
        <w:ind w:left="1139" w:right="0" w:hanging="661"/>
        <w:jc w:val="left"/>
        <w:rPr>
          <w:sz w:val="21"/>
        </w:rPr>
      </w:pPr>
      <w:r>
        <w:rPr>
          <w:b/>
          <w:sz w:val="21"/>
        </w:rPr>
        <w:t>既往</w:t>
      </w:r>
      <w:r>
        <w:rPr>
          <w:b/>
          <w:spacing w:val="-10"/>
          <w:sz w:val="21"/>
        </w:rPr>
        <w:t>症</w:t>
      </w:r>
      <w:r>
        <w:rPr>
          <w:b/>
          <w:sz w:val="21"/>
        </w:rPr>
        <w:tab/>
      </w:r>
      <w:r>
        <w:rPr>
          <w:spacing w:val="-2"/>
          <w:sz w:val="21"/>
        </w:rPr>
        <w:t>指</w:t>
      </w:r>
      <w:r>
        <w:rPr>
          <w:spacing w:val="-2"/>
          <w:sz w:val="21"/>
        </w:rPr>
        <w:t>在</w:t>
      </w:r>
      <w:r>
        <w:rPr>
          <w:spacing w:val="-2"/>
          <w:sz w:val="21"/>
        </w:rPr>
        <w:t>本合同生效日之前已</w:t>
      </w:r>
      <w:r>
        <w:rPr>
          <w:spacing w:val="-2"/>
          <w:sz w:val="21"/>
        </w:rPr>
        <w:t>患</w:t>
      </w:r>
      <w:r>
        <w:rPr>
          <w:spacing w:val="-2"/>
          <w:sz w:val="21"/>
        </w:rPr>
        <w:t>的</w:t>
      </w:r>
      <w:r>
        <w:rPr>
          <w:spacing w:val="-2"/>
          <w:sz w:val="21"/>
        </w:rPr>
        <w:t>疾病或者已有的症状</w:t>
      </w:r>
      <w:r>
        <w:rPr>
          <w:spacing w:val="-10"/>
          <w:sz w:val="21"/>
        </w:rPr>
        <w:t>。</w:t>
      </w:r>
    </w:p>
    <w:p>
      <w:pPr>
        <w:pStyle w:val="BodyText"/>
        <w:spacing w:before="2"/>
        <w:rPr>
          <w:sz w:val="18"/>
        </w:rPr>
      </w:pPr>
    </w:p>
    <w:p>
      <w:pPr>
        <w:pStyle w:val="ListParagraph"/>
        <w:numPr>
          <w:ilvl w:val="3"/>
          <w:numId w:val="4"/>
        </w:numPr>
        <w:tabs>
          <w:tab w:pos="1140" w:val="left" w:leader="none"/>
          <w:tab w:pos="2608" w:val="left" w:leader="none"/>
        </w:tabs>
        <w:spacing w:line="240" w:lineRule="auto" w:before="0" w:after="0"/>
        <w:ind w:left="1139" w:right="0" w:hanging="661"/>
        <w:jc w:val="left"/>
        <w:rPr>
          <w:sz w:val="21"/>
        </w:rPr>
      </w:pPr>
      <w:r>
        <w:rPr>
          <w:b/>
          <w:sz w:val="21"/>
        </w:rPr>
        <w:t>医</w:t>
      </w:r>
      <w:r>
        <w:rPr>
          <w:b/>
          <w:spacing w:val="-10"/>
          <w:sz w:val="21"/>
        </w:rPr>
        <w:t>生</w:t>
      </w:r>
      <w:r>
        <w:rPr>
          <w:b/>
          <w:sz w:val="21"/>
        </w:rPr>
        <w:tab/>
      </w:r>
      <w:r>
        <w:rPr>
          <w:spacing w:val="-2"/>
          <w:sz w:val="21"/>
        </w:rPr>
        <w:t>指</w:t>
      </w:r>
      <w:r>
        <w:rPr>
          <w:spacing w:val="-2"/>
          <w:sz w:val="21"/>
        </w:rPr>
        <w:t>在</w:t>
      </w:r>
      <w:r>
        <w:rPr>
          <w:spacing w:val="-2"/>
          <w:sz w:val="21"/>
        </w:rPr>
        <w:t>医院内合法注册的具有医师执业资格和诊断处</w:t>
      </w:r>
      <w:r>
        <w:rPr>
          <w:spacing w:val="-2"/>
          <w:sz w:val="21"/>
        </w:rPr>
        <w:t>方</w:t>
      </w:r>
      <w:r>
        <w:rPr>
          <w:spacing w:val="-2"/>
          <w:sz w:val="21"/>
        </w:rPr>
        <w:t>权</w:t>
      </w:r>
      <w:r>
        <w:rPr>
          <w:spacing w:val="-2"/>
          <w:sz w:val="21"/>
        </w:rPr>
        <w:t>且正在执业的医</w:t>
      </w:r>
      <w:r>
        <w:rPr>
          <w:spacing w:val="-2"/>
          <w:sz w:val="21"/>
        </w:rPr>
        <w:t>师</w:t>
      </w:r>
      <w:r>
        <w:rPr>
          <w:spacing w:val="-10"/>
          <w:sz w:val="21"/>
        </w:rPr>
        <w:t>。</w:t>
      </w:r>
    </w:p>
    <w:p>
      <w:pPr>
        <w:pStyle w:val="BodyText"/>
        <w:spacing w:before="2"/>
        <w:rPr>
          <w:sz w:val="18"/>
        </w:rPr>
      </w:pPr>
    </w:p>
    <w:p>
      <w:pPr>
        <w:pStyle w:val="ListParagraph"/>
        <w:numPr>
          <w:ilvl w:val="3"/>
          <w:numId w:val="4"/>
        </w:numPr>
        <w:tabs>
          <w:tab w:pos="1140" w:val="left" w:leader="none"/>
          <w:tab w:pos="2608" w:val="left" w:leader="none"/>
        </w:tabs>
        <w:spacing w:line="244" w:lineRule="auto" w:before="0" w:after="0"/>
        <w:ind w:left="2608" w:right="373" w:hanging="2130"/>
        <w:jc w:val="left"/>
        <w:rPr>
          <w:sz w:val="21"/>
        </w:rPr>
      </w:pPr>
      <w:r>
        <w:rPr>
          <w:b/>
          <w:spacing w:val="-2"/>
          <w:sz w:val="21"/>
        </w:rPr>
        <w:t>遗传</w:t>
      </w:r>
      <w:r>
        <w:rPr>
          <w:b/>
          <w:spacing w:val="-2"/>
          <w:sz w:val="21"/>
        </w:rPr>
        <w:t>性</w:t>
      </w:r>
      <w:r>
        <w:rPr>
          <w:b/>
          <w:spacing w:val="-2"/>
          <w:sz w:val="21"/>
        </w:rPr>
        <w:t>疾</w:t>
      </w:r>
      <w:r>
        <w:rPr>
          <w:b/>
          <w:spacing w:val="-2"/>
          <w:sz w:val="21"/>
        </w:rPr>
        <w:t>病</w:t>
      </w:r>
      <w:r>
        <w:rPr>
          <w:b/>
          <w:sz w:val="21"/>
        </w:rPr>
        <w:tab/>
      </w:r>
      <w:r>
        <w:rPr>
          <w:spacing w:val="-2"/>
          <w:sz w:val="21"/>
        </w:rPr>
        <w:t>指</w:t>
      </w:r>
      <w:r>
        <w:rPr>
          <w:spacing w:val="-2"/>
          <w:sz w:val="21"/>
        </w:rPr>
        <w:t>生</w:t>
      </w:r>
      <w:r>
        <w:rPr>
          <w:spacing w:val="-2"/>
          <w:sz w:val="21"/>
        </w:rPr>
        <w:t>殖</w:t>
      </w:r>
      <w:r>
        <w:rPr>
          <w:spacing w:val="-2"/>
          <w:sz w:val="21"/>
        </w:rPr>
        <w:t>细</w:t>
      </w:r>
      <w:r>
        <w:rPr>
          <w:spacing w:val="-2"/>
          <w:sz w:val="21"/>
        </w:rPr>
        <w:t>胞</w:t>
      </w:r>
      <w:r>
        <w:rPr>
          <w:spacing w:val="-2"/>
          <w:sz w:val="21"/>
        </w:rPr>
        <w:t>或</w:t>
      </w:r>
      <w:r>
        <w:rPr>
          <w:spacing w:val="-2"/>
          <w:sz w:val="21"/>
        </w:rPr>
        <w:t>者</w:t>
      </w:r>
      <w:r>
        <w:rPr>
          <w:spacing w:val="-2"/>
          <w:sz w:val="21"/>
        </w:rPr>
        <w:t>受</w:t>
      </w:r>
      <w:r>
        <w:rPr>
          <w:spacing w:val="-2"/>
          <w:sz w:val="21"/>
        </w:rPr>
        <w:t>精卵的</w:t>
      </w:r>
      <w:r>
        <w:rPr>
          <w:spacing w:val="-2"/>
          <w:sz w:val="21"/>
        </w:rPr>
        <w:t>遗</w:t>
      </w:r>
      <w:r>
        <w:rPr>
          <w:spacing w:val="-2"/>
          <w:sz w:val="21"/>
        </w:rPr>
        <w:t>传</w:t>
      </w:r>
      <w:r>
        <w:rPr>
          <w:spacing w:val="-2"/>
          <w:sz w:val="21"/>
        </w:rPr>
        <w:t>物</w:t>
      </w:r>
      <w:r>
        <w:rPr>
          <w:spacing w:val="-2"/>
          <w:sz w:val="21"/>
        </w:rPr>
        <w:t>质</w:t>
      </w:r>
      <w:r>
        <w:rPr>
          <w:spacing w:val="-2"/>
          <w:sz w:val="21"/>
        </w:rPr>
        <w:t>（</w:t>
      </w:r>
      <w:r>
        <w:rPr>
          <w:spacing w:val="-2"/>
          <w:sz w:val="21"/>
        </w:rPr>
        <w:t>染</w:t>
      </w:r>
      <w:r>
        <w:rPr>
          <w:spacing w:val="-2"/>
          <w:sz w:val="21"/>
        </w:rPr>
        <w:t>色</w:t>
      </w:r>
      <w:r>
        <w:rPr>
          <w:spacing w:val="-2"/>
          <w:sz w:val="21"/>
        </w:rPr>
        <w:t>体</w:t>
      </w:r>
      <w:r>
        <w:rPr>
          <w:spacing w:val="-2"/>
          <w:sz w:val="21"/>
        </w:rPr>
        <w:t>和基因）</w:t>
      </w:r>
      <w:r>
        <w:rPr>
          <w:spacing w:val="-2"/>
          <w:sz w:val="21"/>
        </w:rPr>
        <w:t>发</w:t>
      </w:r>
      <w:r>
        <w:rPr>
          <w:spacing w:val="-2"/>
          <w:sz w:val="21"/>
        </w:rPr>
        <w:t>生</w:t>
      </w:r>
      <w:r>
        <w:rPr>
          <w:spacing w:val="-2"/>
          <w:sz w:val="21"/>
        </w:rPr>
        <w:t>突</w:t>
      </w:r>
      <w:r>
        <w:rPr>
          <w:spacing w:val="-2"/>
          <w:sz w:val="21"/>
        </w:rPr>
        <w:t>变</w:t>
      </w:r>
      <w:r>
        <w:rPr>
          <w:spacing w:val="-2"/>
          <w:sz w:val="21"/>
        </w:rPr>
        <w:t>或</w:t>
      </w:r>
      <w:r>
        <w:rPr>
          <w:spacing w:val="-2"/>
          <w:sz w:val="21"/>
        </w:rPr>
        <w:t>者</w:t>
      </w:r>
      <w:r>
        <w:rPr>
          <w:spacing w:val="-2"/>
          <w:sz w:val="21"/>
        </w:rPr>
        <w:t>畸</w:t>
      </w:r>
      <w:r>
        <w:rPr>
          <w:spacing w:val="-2"/>
          <w:sz w:val="21"/>
        </w:rPr>
        <w:t>变所引</w:t>
      </w:r>
      <w:r>
        <w:rPr>
          <w:spacing w:val="-2"/>
          <w:sz w:val="21"/>
        </w:rPr>
        <w:t>起</w:t>
      </w:r>
      <w:r>
        <w:rPr>
          <w:spacing w:val="-2"/>
          <w:sz w:val="21"/>
        </w:rPr>
        <w:t>的</w:t>
      </w:r>
      <w:r>
        <w:rPr>
          <w:spacing w:val="-2"/>
          <w:sz w:val="21"/>
        </w:rPr>
        <w:t>疾</w:t>
      </w:r>
      <w:r>
        <w:rPr>
          <w:spacing w:val="-2"/>
          <w:sz w:val="21"/>
        </w:rPr>
        <w:t>病</w:t>
      </w:r>
      <w:r>
        <w:rPr>
          <w:spacing w:val="-2"/>
          <w:sz w:val="21"/>
        </w:rPr>
        <w:t>，通常具有由亲代传至</w:t>
      </w:r>
      <w:r>
        <w:rPr>
          <w:spacing w:val="-2"/>
          <w:sz w:val="21"/>
        </w:rPr>
        <w:t>后</w:t>
      </w:r>
      <w:r>
        <w:rPr>
          <w:spacing w:val="-2"/>
          <w:sz w:val="21"/>
        </w:rPr>
        <w:t>代</w:t>
      </w:r>
      <w:r>
        <w:rPr>
          <w:spacing w:val="-2"/>
          <w:sz w:val="21"/>
        </w:rPr>
        <w:t>的垂直传递的特</w:t>
      </w:r>
      <w:r>
        <w:rPr>
          <w:spacing w:val="-2"/>
          <w:sz w:val="21"/>
        </w:rPr>
        <w:t>征</w:t>
      </w:r>
      <w:r>
        <w:rPr>
          <w:spacing w:val="-2"/>
          <w:sz w:val="21"/>
        </w:rPr>
        <w:t>。</w:t>
      </w:r>
    </w:p>
    <w:p>
      <w:pPr>
        <w:spacing w:after="0" w:line="244" w:lineRule="auto"/>
        <w:jc w:val="left"/>
        <w:rPr>
          <w:sz w:val="21"/>
        </w:rPr>
        <w:sectPr>
          <w:pgSz w:w="11910" w:h="16850"/>
          <w:pgMar w:top="1080" w:bottom="280" w:left="620" w:right="720"/>
        </w:sectPr>
      </w:pPr>
    </w:p>
    <w:p>
      <w:pPr>
        <w:pStyle w:val="Heading3"/>
        <w:numPr>
          <w:ilvl w:val="3"/>
          <w:numId w:val="4"/>
        </w:numPr>
        <w:tabs>
          <w:tab w:pos="1140" w:val="left" w:leader="none"/>
        </w:tabs>
        <w:spacing w:line="240" w:lineRule="auto" w:before="43" w:after="0"/>
        <w:ind w:left="1139" w:right="0" w:hanging="661"/>
        <w:jc w:val="left"/>
      </w:pPr>
      <w:r>
        <w:rPr>
          <w:spacing w:val="-2"/>
        </w:rPr>
        <w:t>先天性畸形、</w:t>
      </w:r>
    </w:p>
    <w:p>
      <w:pPr>
        <w:spacing w:line="242" w:lineRule="auto" w:before="5"/>
        <w:ind w:left="1139" w:right="209" w:firstLine="0"/>
        <w:jc w:val="left"/>
        <w:rPr>
          <w:b/>
          <w:sz w:val="21"/>
        </w:rPr>
      </w:pPr>
      <w:r>
        <w:rPr>
          <w:b/>
          <w:spacing w:val="-2"/>
          <w:sz w:val="21"/>
        </w:rPr>
        <w:t>变形和染色</w:t>
      </w:r>
      <w:r>
        <w:rPr>
          <w:b/>
          <w:spacing w:val="-4"/>
          <w:sz w:val="21"/>
        </w:rPr>
        <w:t>体异常</w:t>
      </w:r>
    </w:p>
    <w:p>
      <w:pPr>
        <w:pStyle w:val="BodyText"/>
        <w:spacing w:line="244" w:lineRule="auto" w:before="43"/>
        <w:ind w:left="154" w:right="269"/>
      </w:pPr>
      <w:r>
        <w:rPr/>
        <w:br w:type="column"/>
      </w:r>
      <w:r>
        <w:rPr>
          <w:spacing w:val="-4"/>
        </w:rPr>
        <w:t>指被保险人出生时就具有的畸形、变形或者染色体异常。先天性畸形、变形和染色体</w:t>
      </w:r>
      <w:r>
        <w:rPr>
          <w:spacing w:val="-6"/>
        </w:rPr>
        <w:t>异常依照世界卫生组织《疾病和有关健康问题的国际统计分类》</w:t>
      </w:r>
      <w:r>
        <w:rPr>
          <w:spacing w:val="-2"/>
        </w:rPr>
        <w:t>（ICD-10）确定。</w:t>
      </w:r>
    </w:p>
    <w:p>
      <w:pPr>
        <w:spacing w:after="0" w:line="244" w:lineRule="auto"/>
        <w:sectPr>
          <w:pgSz w:w="11910" w:h="16850"/>
          <w:pgMar w:top="1320" w:bottom="280" w:left="620" w:right="720"/>
          <w:cols w:num="2" w:equalWidth="0">
            <w:col w:w="2407" w:space="40"/>
            <w:col w:w="8123"/>
          </w:cols>
        </w:sectPr>
      </w:pP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感染艾滋病</w:t>
      </w:r>
    </w:p>
    <w:p>
      <w:pPr>
        <w:spacing w:line="244" w:lineRule="auto" w:before="2"/>
        <w:ind w:left="1139" w:right="0" w:firstLine="0"/>
        <w:jc w:val="left"/>
        <w:rPr>
          <w:b/>
          <w:sz w:val="21"/>
        </w:rPr>
      </w:pPr>
      <w:r>
        <w:rPr>
          <w:b/>
          <w:spacing w:val="-2"/>
          <w:sz w:val="21"/>
        </w:rPr>
        <w:t>病毒或者患</w:t>
      </w:r>
      <w:r>
        <w:rPr>
          <w:b/>
          <w:spacing w:val="-4"/>
          <w:sz w:val="21"/>
        </w:rPr>
        <w:t>艾滋病</w:t>
      </w:r>
    </w:p>
    <w:p>
      <w:pPr>
        <w:pStyle w:val="BodyText"/>
        <w:spacing w:line="242" w:lineRule="auto" w:before="72"/>
        <w:ind w:left="372" w:right="373"/>
        <w:jc w:val="both"/>
      </w:pPr>
      <w:r>
        <w:rPr/>
        <w:br w:type="column"/>
      </w:r>
      <w:r>
        <w:rPr>
          <w:spacing w:val="-1"/>
        </w:rPr>
        <w:t>艾滋病病毒指人类免疫缺陷病毒，英文缩写为 </w:t>
      </w:r>
      <w:r>
        <w:rPr/>
        <w:t>HIV。艾滋病指人类免疫缺陷病毒引</w:t>
      </w:r>
      <w:r>
        <w:rPr>
          <w:spacing w:val="-3"/>
        </w:rPr>
        <w:t>起的获得性免疫缺陷综合征，英文缩写为 </w:t>
      </w:r>
      <w:r>
        <w:rPr/>
        <w:t>AIDS。</w:t>
      </w:r>
    </w:p>
    <w:p>
      <w:pPr>
        <w:pStyle w:val="BodyText"/>
        <w:spacing w:line="242" w:lineRule="auto" w:before="61"/>
        <w:ind w:left="372" w:right="372"/>
        <w:jc w:val="both"/>
      </w:pPr>
      <w:r>
        <w:rPr>
          <w:spacing w:val="-2"/>
        </w:rPr>
        <w:t>在人体血液或者其他样本中检测到艾滋病病毒或者其抗体呈阳性，没有出现临床症</w:t>
      </w:r>
      <w:r>
        <w:rPr>
          <w:spacing w:val="-2"/>
        </w:rPr>
        <w:t>状或者体征的，为感染艾滋病病毒；如果同时出现了明显临床症状或者体征的，为</w:t>
      </w:r>
      <w:r>
        <w:rPr>
          <w:spacing w:val="-2"/>
        </w:rPr>
        <w:t>患艾滋病。</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6"/>
        <w:rPr>
          <w:sz w:val="12"/>
        </w:rPr>
      </w:pPr>
    </w:p>
    <w:p>
      <w:pPr>
        <w:pStyle w:val="ListParagraph"/>
        <w:numPr>
          <w:ilvl w:val="3"/>
          <w:numId w:val="4"/>
        </w:numPr>
        <w:tabs>
          <w:tab w:pos="1140" w:val="left" w:leader="none"/>
        </w:tabs>
        <w:spacing w:line="242" w:lineRule="auto" w:before="72" w:after="0"/>
        <w:ind w:left="2608" w:right="372" w:hanging="2130"/>
        <w:jc w:val="both"/>
        <w:rPr>
          <w:sz w:val="21"/>
        </w:rPr>
      </w:pPr>
      <w:r>
        <w:rPr>
          <w:b/>
          <w:spacing w:val="101"/>
          <w:sz w:val="21"/>
        </w:rPr>
        <w:t>康复治疗 </w:t>
      </w:r>
      <w:r>
        <w:rPr>
          <w:sz w:val="21"/>
        </w:rPr>
        <w:t>指在康复医院、康复中心、普通医院的康复科诊治或者接受以促进机体各项功能恢</w:t>
      </w:r>
      <w:r>
        <w:rPr>
          <w:spacing w:val="-2"/>
          <w:sz w:val="21"/>
        </w:rPr>
        <w:t>复为目的的医疗方法，如理疗、按摩、推拿、生物反馈疗法、康复营养、康复护理</w:t>
      </w:r>
      <w:r>
        <w:rPr>
          <w:spacing w:val="-6"/>
          <w:sz w:val="21"/>
        </w:rPr>
        <w:t>等。</w:t>
      </w:r>
    </w:p>
    <w:p>
      <w:pPr>
        <w:pStyle w:val="BodyText"/>
        <w:rPr>
          <w:sz w:val="18"/>
        </w:rPr>
      </w:pPr>
    </w:p>
    <w:p>
      <w:pPr>
        <w:pStyle w:val="ListParagraph"/>
        <w:numPr>
          <w:ilvl w:val="3"/>
          <w:numId w:val="4"/>
        </w:numPr>
        <w:tabs>
          <w:tab w:pos="1140" w:val="left" w:leader="none"/>
          <w:tab w:pos="2608" w:val="left" w:leader="none"/>
        </w:tabs>
        <w:spacing w:line="240" w:lineRule="auto" w:before="0" w:after="0"/>
        <w:ind w:left="1139" w:right="0" w:hanging="661"/>
        <w:jc w:val="left"/>
        <w:rPr>
          <w:sz w:val="21"/>
        </w:rPr>
      </w:pPr>
      <w:r>
        <w:rPr>
          <w:b/>
          <w:sz w:val="21"/>
        </w:rPr>
        <w:t>牙齿治</w:t>
      </w:r>
      <w:r>
        <w:rPr>
          <w:b/>
          <w:spacing w:val="-10"/>
          <w:sz w:val="21"/>
        </w:rPr>
        <w:t>疗</w:t>
      </w:r>
      <w:r>
        <w:rPr>
          <w:b/>
          <w:sz w:val="21"/>
        </w:rPr>
        <w:tab/>
      </w:r>
      <w:r>
        <w:rPr>
          <w:spacing w:val="-2"/>
          <w:sz w:val="21"/>
        </w:rPr>
        <w:t>指</w:t>
      </w:r>
      <w:r>
        <w:rPr>
          <w:spacing w:val="-2"/>
          <w:sz w:val="21"/>
        </w:rPr>
        <w:t>牙</w:t>
      </w:r>
      <w:r>
        <w:rPr>
          <w:spacing w:val="-2"/>
          <w:sz w:val="21"/>
        </w:rPr>
        <w:t>齿的保健、洁牙、美</w:t>
      </w:r>
      <w:r>
        <w:rPr>
          <w:spacing w:val="-2"/>
          <w:sz w:val="21"/>
        </w:rPr>
        <w:t>白</w:t>
      </w:r>
      <w:r>
        <w:rPr>
          <w:spacing w:val="-2"/>
          <w:sz w:val="21"/>
        </w:rPr>
        <w:t>、</w:t>
      </w:r>
      <w:r>
        <w:rPr>
          <w:spacing w:val="-2"/>
          <w:sz w:val="21"/>
        </w:rPr>
        <w:t>矫形及种牙、镶牙、</w:t>
      </w:r>
      <w:r>
        <w:rPr>
          <w:spacing w:val="-2"/>
          <w:sz w:val="21"/>
        </w:rPr>
        <w:t>补</w:t>
      </w:r>
      <w:r>
        <w:rPr>
          <w:spacing w:val="-2"/>
          <w:sz w:val="21"/>
        </w:rPr>
        <w:t>牙</w:t>
      </w:r>
      <w:r>
        <w:rPr>
          <w:spacing w:val="-2"/>
          <w:sz w:val="21"/>
        </w:rPr>
        <w:t>、拔牙手术</w:t>
      </w:r>
      <w:r>
        <w:rPr>
          <w:spacing w:val="-10"/>
          <w:sz w:val="21"/>
        </w:rPr>
        <w:t>。</w:t>
      </w:r>
    </w:p>
    <w:p>
      <w:pPr>
        <w:pStyle w:val="BodyText"/>
        <w:spacing w:before="3"/>
        <w:rPr>
          <w:sz w:val="18"/>
        </w:rPr>
      </w:pPr>
    </w:p>
    <w:p>
      <w:pPr>
        <w:pStyle w:val="ListParagraph"/>
        <w:numPr>
          <w:ilvl w:val="3"/>
          <w:numId w:val="4"/>
        </w:numPr>
        <w:tabs>
          <w:tab w:pos="1140" w:val="left" w:leader="none"/>
          <w:tab w:pos="2608" w:val="left" w:leader="none"/>
        </w:tabs>
        <w:spacing w:line="240" w:lineRule="auto" w:before="0" w:after="0"/>
        <w:ind w:left="1139" w:right="0" w:hanging="661"/>
        <w:jc w:val="left"/>
        <w:rPr>
          <w:sz w:val="21"/>
        </w:rPr>
      </w:pPr>
      <w:r>
        <w:rPr>
          <w:b/>
          <w:sz w:val="21"/>
        </w:rPr>
        <w:t>醉</w:t>
      </w:r>
      <w:r>
        <w:rPr>
          <w:b/>
          <w:spacing w:val="-10"/>
          <w:sz w:val="21"/>
        </w:rPr>
        <w:t>酒</w:t>
      </w:r>
      <w:r>
        <w:rPr>
          <w:b/>
          <w:sz w:val="21"/>
        </w:rPr>
        <w:tab/>
      </w:r>
      <w:r>
        <w:rPr>
          <w:spacing w:val="-2"/>
          <w:sz w:val="21"/>
        </w:rPr>
        <w:t>指</w:t>
      </w:r>
      <w:r>
        <w:rPr>
          <w:spacing w:val="-2"/>
          <w:sz w:val="21"/>
        </w:rPr>
        <w:t>发</w:t>
      </w:r>
      <w:r>
        <w:rPr>
          <w:spacing w:val="-2"/>
          <w:sz w:val="21"/>
        </w:rPr>
        <w:t>生事故时每百毫升血</w:t>
      </w:r>
      <w:r>
        <w:rPr>
          <w:spacing w:val="-2"/>
          <w:sz w:val="21"/>
        </w:rPr>
        <w:t>液</w:t>
      </w:r>
      <w:r>
        <w:rPr>
          <w:spacing w:val="-2"/>
          <w:sz w:val="21"/>
        </w:rPr>
        <w:t>中</w:t>
      </w:r>
      <w:r>
        <w:rPr>
          <w:spacing w:val="-2"/>
          <w:sz w:val="21"/>
        </w:rPr>
        <w:t>的酒精含量大于或者</w:t>
      </w:r>
      <w:r>
        <w:rPr>
          <w:spacing w:val="-2"/>
          <w:sz w:val="21"/>
        </w:rPr>
        <w:t>等</w:t>
      </w:r>
      <w:r>
        <w:rPr>
          <w:spacing w:val="-2"/>
          <w:sz w:val="21"/>
        </w:rPr>
        <w:t>于</w:t>
      </w:r>
      <w:r>
        <w:rPr>
          <w:spacing w:val="-42"/>
          <w:sz w:val="21"/>
        </w:rPr>
        <w:t> </w:t>
      </w:r>
      <w:r>
        <w:rPr>
          <w:spacing w:val="-2"/>
          <w:sz w:val="21"/>
        </w:rPr>
        <w:t>80</w:t>
      </w:r>
      <w:r>
        <w:rPr>
          <w:spacing w:val="-43"/>
          <w:sz w:val="21"/>
        </w:rPr>
        <w:t> </w:t>
      </w:r>
      <w:r>
        <w:rPr>
          <w:spacing w:val="-2"/>
          <w:sz w:val="21"/>
        </w:rPr>
        <w:t>毫</w:t>
      </w:r>
      <w:r>
        <w:rPr>
          <w:spacing w:val="-2"/>
          <w:sz w:val="21"/>
        </w:rPr>
        <w:t>克</w:t>
      </w:r>
      <w:r>
        <w:rPr>
          <w:spacing w:val="-10"/>
          <w:sz w:val="21"/>
        </w:rPr>
        <w:t>。</w:t>
      </w:r>
    </w:p>
    <w:p>
      <w:pPr>
        <w:pStyle w:val="BodyText"/>
        <w:spacing w:before="4"/>
        <w:rPr>
          <w:sz w:val="18"/>
        </w:rPr>
      </w:pPr>
    </w:p>
    <w:p>
      <w:pPr>
        <w:pStyle w:val="ListParagraph"/>
        <w:numPr>
          <w:ilvl w:val="3"/>
          <w:numId w:val="4"/>
        </w:numPr>
        <w:tabs>
          <w:tab w:pos="1140" w:val="left" w:leader="none"/>
        </w:tabs>
        <w:spacing w:line="242" w:lineRule="auto" w:before="0" w:after="0"/>
        <w:ind w:left="2608" w:right="371" w:hanging="2130"/>
        <w:jc w:val="both"/>
        <w:rPr>
          <w:sz w:val="21"/>
        </w:rPr>
      </w:pPr>
      <w:r>
        <w:rPr>
          <w:b/>
          <w:sz w:val="21"/>
        </w:rPr>
        <w:t>毒品</w:t>
      </w:r>
      <w:r>
        <w:rPr>
          <w:b/>
          <w:spacing w:val="829"/>
          <w:sz w:val="21"/>
        </w:rPr>
        <w:t> </w:t>
      </w:r>
      <w:r>
        <w:rPr>
          <w:sz w:val="21"/>
        </w:rPr>
        <w:t>指中华人民共和国刑法规定的鸦片、海洛因、甲基苯丙胺（冰毒</w:t>
      </w:r>
      <w:r>
        <w:rPr>
          <w:spacing w:val="-108"/>
          <w:sz w:val="21"/>
        </w:rPr>
        <w:t>）</w:t>
      </w:r>
      <w:r>
        <w:rPr>
          <w:sz w:val="21"/>
        </w:rPr>
        <w:t>、吗啡、大麻、可</w:t>
      </w:r>
      <w:r>
        <w:rPr>
          <w:spacing w:val="-2"/>
          <w:sz w:val="21"/>
        </w:rPr>
        <w:t>卡因以及国家规定管制的其他能够使人形成瘾癖的麻醉药品和精神药品，但不包括</w:t>
      </w:r>
      <w:r>
        <w:rPr>
          <w:spacing w:val="-2"/>
          <w:sz w:val="21"/>
        </w:rPr>
        <w:t>由医生开具并遵医嘱使用的用于治疗疾病但含有毒品成分的处方药品。</w:t>
      </w:r>
    </w:p>
    <w:p>
      <w:pPr>
        <w:pStyle w:val="BodyText"/>
        <w:spacing w:before="1"/>
        <w:rPr>
          <w:sz w:val="18"/>
        </w:rPr>
      </w:pPr>
    </w:p>
    <w:p>
      <w:pPr>
        <w:pStyle w:val="ListParagraph"/>
        <w:numPr>
          <w:ilvl w:val="3"/>
          <w:numId w:val="4"/>
        </w:numPr>
        <w:tabs>
          <w:tab w:pos="1140" w:val="left" w:leader="none"/>
        </w:tabs>
        <w:spacing w:line="242" w:lineRule="auto" w:before="0" w:after="0"/>
        <w:ind w:left="2608" w:right="373" w:hanging="2130"/>
        <w:jc w:val="both"/>
        <w:rPr>
          <w:sz w:val="21"/>
        </w:rPr>
      </w:pPr>
      <w:r>
        <w:rPr>
          <w:b/>
          <w:spacing w:val="101"/>
          <w:sz w:val="21"/>
        </w:rPr>
        <w:t>酒后驾驶 </w:t>
      </w:r>
      <w:r>
        <w:rPr>
          <w:sz w:val="21"/>
        </w:rPr>
        <w:t>指经检测或者鉴定，发生保险事故时每百毫升血液中的酒精含量达到或者超过一定</w:t>
      </w:r>
      <w:r>
        <w:rPr>
          <w:spacing w:val="-2"/>
          <w:sz w:val="21"/>
        </w:rPr>
        <w:t>的标准，公安机关交通管理部门依据《道路交通安全法》的规定认定为饮酒后驾驶</w:t>
      </w:r>
      <w:r>
        <w:rPr>
          <w:spacing w:val="-2"/>
          <w:sz w:val="21"/>
        </w:rPr>
        <w:t>或者醉酒后驾驶。</w:t>
      </w:r>
    </w:p>
    <w:p>
      <w:pPr>
        <w:pStyle w:val="BodyText"/>
        <w:spacing w:before="5"/>
        <w:rPr>
          <w:sz w:val="12"/>
        </w:rPr>
      </w:pPr>
    </w:p>
    <w:p>
      <w:pPr>
        <w:spacing w:after="0"/>
        <w:rPr>
          <w:sz w:val="12"/>
        </w:rPr>
        <w:sectPr>
          <w:type w:val="continuous"/>
          <w:pgSz w:w="11910" w:h="16850"/>
          <w:pgMar w:top="520" w:bottom="280" w:left="620" w:right="720"/>
        </w:sectPr>
      </w:pPr>
    </w:p>
    <w:p>
      <w:pPr>
        <w:pStyle w:val="Heading3"/>
        <w:numPr>
          <w:ilvl w:val="3"/>
          <w:numId w:val="4"/>
        </w:numPr>
        <w:tabs>
          <w:tab w:pos="661" w:val="left" w:leader="none"/>
        </w:tabs>
        <w:spacing w:line="240" w:lineRule="auto" w:before="72" w:after="0"/>
        <w:ind w:left="660" w:right="0" w:hanging="661"/>
        <w:jc w:val="right"/>
      </w:pPr>
      <w:r>
        <w:rPr>
          <w:spacing w:val="-2"/>
        </w:rPr>
        <w:t>无合法有效</w:t>
      </w:r>
    </w:p>
    <w:p>
      <w:pPr>
        <w:spacing w:before="5"/>
        <w:ind w:left="0" w:right="0" w:firstLine="0"/>
        <w:jc w:val="right"/>
        <w:rPr>
          <w:b/>
          <w:sz w:val="21"/>
        </w:rPr>
      </w:pPr>
      <w:r>
        <w:rPr>
          <w:b/>
          <w:spacing w:val="-2"/>
          <w:sz w:val="21"/>
        </w:rPr>
        <w:t>驾驶证驾驶</w:t>
      </w:r>
    </w:p>
    <w:p>
      <w:pPr>
        <w:pStyle w:val="BodyText"/>
        <w:spacing w:before="72"/>
        <w:ind w:left="372"/>
      </w:pPr>
      <w:r>
        <w:rPr/>
        <w:br w:type="column"/>
      </w:r>
      <w:r>
        <w:rPr>
          <w:spacing w:val="-4"/>
        </w:rPr>
        <w:t>指下列情形之一：</w:t>
      </w:r>
    </w:p>
    <w:p>
      <w:pPr>
        <w:pStyle w:val="ListParagraph"/>
        <w:numPr>
          <w:ilvl w:val="0"/>
          <w:numId w:val="70"/>
        </w:numPr>
        <w:tabs>
          <w:tab w:pos="1108" w:val="left" w:leader="none"/>
        </w:tabs>
        <w:spacing w:line="240" w:lineRule="auto" w:before="65" w:after="0"/>
        <w:ind w:left="1107" w:right="0" w:hanging="736"/>
        <w:jc w:val="left"/>
        <w:rPr>
          <w:sz w:val="21"/>
        </w:rPr>
      </w:pPr>
      <w:r>
        <w:rPr>
          <w:spacing w:val="-3"/>
          <w:sz w:val="21"/>
        </w:rPr>
        <w:t>没有取得中华人民共和国有关主管部门颁发或者认可的驾驶资格证书；</w:t>
      </w:r>
    </w:p>
    <w:p>
      <w:pPr>
        <w:pStyle w:val="ListParagraph"/>
        <w:numPr>
          <w:ilvl w:val="0"/>
          <w:numId w:val="70"/>
        </w:numPr>
        <w:tabs>
          <w:tab w:pos="1108" w:val="left" w:leader="none"/>
        </w:tabs>
        <w:spacing w:line="240" w:lineRule="auto" w:before="62" w:after="0"/>
        <w:ind w:left="1107" w:right="0" w:hanging="736"/>
        <w:jc w:val="left"/>
        <w:rPr>
          <w:sz w:val="21"/>
        </w:rPr>
      </w:pPr>
      <w:r>
        <w:rPr>
          <w:spacing w:val="-3"/>
          <w:sz w:val="21"/>
        </w:rPr>
        <w:t>驾驶与合法有效驾驶证准驾车型不相符合的车辆；</w:t>
      </w:r>
    </w:p>
    <w:p>
      <w:pPr>
        <w:pStyle w:val="ListParagraph"/>
        <w:numPr>
          <w:ilvl w:val="0"/>
          <w:numId w:val="70"/>
        </w:numPr>
        <w:tabs>
          <w:tab w:pos="1108" w:val="left" w:leader="none"/>
        </w:tabs>
        <w:spacing w:line="240" w:lineRule="auto" w:before="65" w:after="0"/>
        <w:ind w:left="1107" w:right="0" w:hanging="736"/>
        <w:jc w:val="left"/>
        <w:rPr>
          <w:sz w:val="21"/>
        </w:rPr>
      </w:pPr>
      <w:r>
        <w:rPr>
          <w:spacing w:val="-3"/>
          <w:sz w:val="21"/>
        </w:rPr>
        <w:t>持审验不合格的驾驶证驾驶；</w:t>
      </w:r>
    </w:p>
    <w:p>
      <w:pPr>
        <w:pStyle w:val="ListParagraph"/>
        <w:numPr>
          <w:ilvl w:val="0"/>
          <w:numId w:val="70"/>
        </w:numPr>
        <w:tabs>
          <w:tab w:pos="1108" w:val="left" w:leader="none"/>
        </w:tabs>
        <w:spacing w:line="244" w:lineRule="auto" w:before="62" w:after="0"/>
        <w:ind w:left="1107" w:right="371" w:hanging="735"/>
        <w:jc w:val="left"/>
        <w:rPr>
          <w:sz w:val="21"/>
        </w:rPr>
      </w:pPr>
      <w:r>
        <w:rPr>
          <w:spacing w:val="-4"/>
          <w:sz w:val="21"/>
        </w:rPr>
        <w:t>在驾驶证有效期内未按照中华人民共和国法律、行政法规的规定，定期对机</w:t>
      </w:r>
      <w:r>
        <w:rPr>
          <w:spacing w:val="-2"/>
          <w:sz w:val="21"/>
        </w:rPr>
        <w:t>动车驾驶证实施审验的；</w:t>
      </w:r>
    </w:p>
    <w:p>
      <w:pPr>
        <w:pStyle w:val="ListParagraph"/>
        <w:numPr>
          <w:ilvl w:val="0"/>
          <w:numId w:val="70"/>
        </w:numPr>
        <w:tabs>
          <w:tab w:pos="1108" w:val="left" w:leader="none"/>
        </w:tabs>
        <w:spacing w:line="240" w:lineRule="auto" w:before="56" w:after="0"/>
        <w:ind w:left="1107" w:right="0" w:hanging="736"/>
        <w:jc w:val="left"/>
        <w:rPr>
          <w:sz w:val="21"/>
        </w:rPr>
      </w:pPr>
      <w:r>
        <w:rPr>
          <w:spacing w:val="-3"/>
          <w:sz w:val="21"/>
        </w:rPr>
        <w:t>驾驶证已过有效期的。</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无合法有效</w:t>
      </w:r>
    </w:p>
    <w:p>
      <w:pPr>
        <w:spacing w:before="4"/>
        <w:ind w:left="1139" w:right="0" w:firstLine="0"/>
        <w:jc w:val="left"/>
        <w:rPr>
          <w:b/>
          <w:sz w:val="21"/>
        </w:rPr>
      </w:pPr>
      <w:r>
        <w:rPr>
          <w:b/>
          <w:spacing w:val="-4"/>
          <w:sz w:val="21"/>
        </w:rPr>
        <w:t>行驶证</w:t>
      </w:r>
    </w:p>
    <w:p>
      <w:pPr>
        <w:pStyle w:val="BodyText"/>
        <w:spacing w:line="244" w:lineRule="auto" w:before="72"/>
        <w:ind w:left="372" w:right="373"/>
      </w:pPr>
      <w:r>
        <w:rPr/>
        <w:br w:type="column"/>
      </w:r>
      <w:r>
        <w:rPr>
          <w:spacing w:val="-2"/>
        </w:rPr>
        <w:t>指发生保险事故时没有按照公安机关交通管理部门机动车登记制度的规定进行登记</w:t>
      </w:r>
      <w:r>
        <w:rPr>
          <w:spacing w:val="-2"/>
        </w:rPr>
        <w:t>并领取机动车行驶证或者临时通行牌证等法定证件。包括下列情形之一：</w:t>
      </w:r>
    </w:p>
    <w:p>
      <w:pPr>
        <w:pStyle w:val="ListParagraph"/>
        <w:numPr>
          <w:ilvl w:val="0"/>
          <w:numId w:val="71"/>
        </w:numPr>
        <w:tabs>
          <w:tab w:pos="1108" w:val="left" w:leader="none"/>
        </w:tabs>
        <w:spacing w:line="240" w:lineRule="auto" w:before="55" w:after="0"/>
        <w:ind w:left="1107" w:right="0" w:hanging="736"/>
        <w:jc w:val="left"/>
        <w:rPr>
          <w:sz w:val="21"/>
        </w:rPr>
      </w:pPr>
      <w:r>
        <w:rPr>
          <w:spacing w:val="-3"/>
          <w:sz w:val="21"/>
        </w:rPr>
        <w:t>未办理行驶证或者行驶证在申办过程中的；</w:t>
      </w:r>
    </w:p>
    <w:p>
      <w:pPr>
        <w:pStyle w:val="ListParagraph"/>
        <w:numPr>
          <w:ilvl w:val="0"/>
          <w:numId w:val="71"/>
        </w:numPr>
        <w:tabs>
          <w:tab w:pos="1108" w:val="left" w:leader="none"/>
        </w:tabs>
        <w:spacing w:line="240" w:lineRule="auto" w:before="65" w:after="0"/>
        <w:ind w:left="1107" w:right="0" w:hanging="736"/>
        <w:jc w:val="left"/>
        <w:rPr>
          <w:sz w:val="21"/>
        </w:rPr>
      </w:pPr>
      <w:r>
        <w:rPr>
          <w:spacing w:val="-3"/>
          <w:sz w:val="21"/>
        </w:rPr>
        <w:t>机动车行驶证被依法注销登记的；</w:t>
      </w:r>
    </w:p>
    <w:p>
      <w:pPr>
        <w:pStyle w:val="ListParagraph"/>
        <w:numPr>
          <w:ilvl w:val="0"/>
          <w:numId w:val="71"/>
        </w:numPr>
        <w:tabs>
          <w:tab w:pos="1108" w:val="left" w:leader="none"/>
        </w:tabs>
        <w:spacing w:line="240" w:lineRule="auto" w:before="62" w:after="0"/>
        <w:ind w:left="1107" w:right="0" w:hanging="736"/>
        <w:jc w:val="left"/>
        <w:rPr>
          <w:sz w:val="21"/>
        </w:rPr>
      </w:pPr>
      <w:r>
        <w:rPr>
          <w:spacing w:val="-3"/>
          <w:sz w:val="21"/>
        </w:rPr>
        <w:t>未在行驶证检验有效期内依法按时进行或者未通过机动车安全技术检验的。</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10"/>
        <w:rPr>
          <w:sz w:val="12"/>
        </w:rPr>
      </w:pPr>
    </w:p>
    <w:p>
      <w:pPr>
        <w:pStyle w:val="ListParagraph"/>
        <w:numPr>
          <w:ilvl w:val="3"/>
          <w:numId w:val="4"/>
        </w:numPr>
        <w:tabs>
          <w:tab w:pos="1140" w:val="left" w:leader="none"/>
        </w:tabs>
        <w:spacing w:line="242" w:lineRule="auto" w:before="72" w:after="0"/>
        <w:ind w:left="2608" w:right="373" w:hanging="2130"/>
        <w:jc w:val="both"/>
        <w:rPr>
          <w:sz w:val="21"/>
        </w:rPr>
      </w:pPr>
      <w:r>
        <w:rPr>
          <w:b/>
          <w:sz w:val="21"/>
        </w:rPr>
        <w:t>机动车</w:t>
      </w:r>
      <w:r>
        <w:rPr>
          <w:b/>
          <w:spacing w:val="718"/>
          <w:sz w:val="21"/>
        </w:rPr>
        <w:t> </w:t>
      </w:r>
      <w:r>
        <w:rPr>
          <w:sz w:val="21"/>
        </w:rPr>
        <w:t>指以动力装置驱动或者牵引，上道路行驶的供人员乘用或者用于运送物品以及进行</w:t>
      </w:r>
      <w:r>
        <w:rPr>
          <w:spacing w:val="-2"/>
          <w:sz w:val="21"/>
        </w:rPr>
        <w:t>工程专项作业的轮式车辆。</w:t>
      </w:r>
    </w:p>
    <w:p>
      <w:pPr>
        <w:pStyle w:val="BodyText"/>
        <w:spacing w:before="11"/>
        <w:rPr>
          <w:sz w:val="17"/>
        </w:rPr>
      </w:pPr>
    </w:p>
    <w:p>
      <w:pPr>
        <w:pStyle w:val="ListParagraph"/>
        <w:numPr>
          <w:ilvl w:val="3"/>
          <w:numId w:val="4"/>
        </w:numPr>
        <w:tabs>
          <w:tab w:pos="1143" w:val="left" w:leader="none"/>
          <w:tab w:pos="2608" w:val="left" w:leader="none"/>
        </w:tabs>
        <w:spacing w:line="240" w:lineRule="auto" w:before="0" w:after="0"/>
        <w:ind w:left="1142" w:right="0" w:hanging="664"/>
        <w:jc w:val="left"/>
        <w:rPr>
          <w:sz w:val="21"/>
        </w:rPr>
      </w:pPr>
      <w:r>
        <w:rPr>
          <w:b/>
          <w:sz w:val="21"/>
        </w:rPr>
        <w:t>潜</w:t>
      </w:r>
      <w:r>
        <w:rPr>
          <w:b/>
          <w:spacing w:val="-10"/>
          <w:sz w:val="21"/>
        </w:rPr>
        <w:t>水</w:t>
      </w:r>
      <w:r>
        <w:rPr>
          <w:b/>
          <w:sz w:val="21"/>
        </w:rPr>
        <w:tab/>
      </w:r>
      <w:r>
        <w:rPr>
          <w:spacing w:val="-2"/>
          <w:sz w:val="21"/>
        </w:rPr>
        <w:t>指</w:t>
      </w:r>
      <w:r>
        <w:rPr>
          <w:spacing w:val="-2"/>
          <w:sz w:val="21"/>
        </w:rPr>
        <w:t>使</w:t>
      </w:r>
      <w:r>
        <w:rPr>
          <w:spacing w:val="-2"/>
          <w:sz w:val="21"/>
        </w:rPr>
        <w:t>用辅助呼吸器材在江</w:t>
      </w:r>
      <w:r>
        <w:rPr>
          <w:spacing w:val="-2"/>
          <w:sz w:val="21"/>
        </w:rPr>
        <w:t>、</w:t>
      </w:r>
      <w:r>
        <w:rPr>
          <w:spacing w:val="-2"/>
          <w:sz w:val="21"/>
        </w:rPr>
        <w:t>河</w:t>
      </w:r>
      <w:r>
        <w:rPr>
          <w:spacing w:val="-2"/>
          <w:sz w:val="21"/>
        </w:rPr>
        <w:t>、湖、海、水库、运</w:t>
      </w:r>
      <w:r>
        <w:rPr>
          <w:spacing w:val="-2"/>
          <w:sz w:val="21"/>
        </w:rPr>
        <w:t>河</w:t>
      </w:r>
      <w:r>
        <w:rPr>
          <w:spacing w:val="-2"/>
          <w:sz w:val="21"/>
        </w:rPr>
        <w:t>等</w:t>
      </w:r>
      <w:r>
        <w:rPr>
          <w:spacing w:val="-2"/>
          <w:sz w:val="21"/>
        </w:rPr>
        <w:t>水域进行的水下运动</w:t>
      </w:r>
      <w:r>
        <w:rPr>
          <w:spacing w:val="-10"/>
          <w:sz w:val="21"/>
        </w:rPr>
        <w:t>。</w:t>
      </w:r>
    </w:p>
    <w:p>
      <w:pPr>
        <w:pStyle w:val="BodyText"/>
        <w:spacing w:before="5"/>
        <w:rPr>
          <w:sz w:val="18"/>
        </w:rPr>
      </w:pPr>
    </w:p>
    <w:p>
      <w:pPr>
        <w:pStyle w:val="ListParagraph"/>
        <w:numPr>
          <w:ilvl w:val="3"/>
          <w:numId w:val="4"/>
        </w:numPr>
        <w:tabs>
          <w:tab w:pos="1143" w:val="left" w:leader="none"/>
          <w:tab w:pos="2608" w:val="left" w:leader="none"/>
        </w:tabs>
        <w:spacing w:line="240" w:lineRule="auto" w:before="0" w:after="0"/>
        <w:ind w:left="1142" w:right="0" w:hanging="664"/>
        <w:jc w:val="left"/>
        <w:rPr>
          <w:sz w:val="21"/>
        </w:rPr>
      </w:pPr>
      <w:r>
        <w:rPr>
          <w:b/>
          <w:sz w:val="21"/>
        </w:rPr>
        <w:t>攀</w:t>
      </w:r>
      <w:r>
        <w:rPr>
          <w:b/>
          <w:spacing w:val="-10"/>
          <w:sz w:val="21"/>
        </w:rPr>
        <w:t>岩</w:t>
      </w:r>
      <w:r>
        <w:rPr>
          <w:b/>
          <w:sz w:val="21"/>
        </w:rPr>
        <w:tab/>
      </w:r>
      <w:r>
        <w:rPr>
          <w:spacing w:val="-2"/>
          <w:sz w:val="21"/>
        </w:rPr>
        <w:t>指</w:t>
      </w:r>
      <w:r>
        <w:rPr>
          <w:spacing w:val="-2"/>
          <w:sz w:val="21"/>
        </w:rPr>
        <w:t>攀</w:t>
      </w:r>
      <w:r>
        <w:rPr>
          <w:spacing w:val="-2"/>
          <w:sz w:val="21"/>
        </w:rPr>
        <w:t>登悬崖、楼宇外墙、</w:t>
      </w:r>
      <w:r>
        <w:rPr>
          <w:spacing w:val="-2"/>
          <w:sz w:val="21"/>
        </w:rPr>
        <w:t>人</w:t>
      </w:r>
      <w:r>
        <w:rPr>
          <w:spacing w:val="-2"/>
          <w:sz w:val="21"/>
        </w:rPr>
        <w:t>造</w:t>
      </w:r>
      <w:r>
        <w:rPr>
          <w:spacing w:val="-2"/>
          <w:sz w:val="21"/>
        </w:rPr>
        <w:t>悬崖、冰崖、冰山等</w:t>
      </w:r>
      <w:r>
        <w:rPr>
          <w:spacing w:val="-2"/>
          <w:sz w:val="21"/>
        </w:rPr>
        <w:t>运</w:t>
      </w:r>
      <w:r>
        <w:rPr>
          <w:spacing w:val="-2"/>
          <w:sz w:val="21"/>
        </w:rPr>
        <w:t>动</w:t>
      </w:r>
      <w:r>
        <w:rPr>
          <w:spacing w:val="-10"/>
          <w:sz w:val="21"/>
        </w:rPr>
        <w:t>。</w:t>
      </w:r>
    </w:p>
    <w:p>
      <w:pPr>
        <w:pStyle w:val="BodyText"/>
        <w:spacing w:before="5"/>
        <w:rPr>
          <w:sz w:val="19"/>
        </w:rPr>
      </w:pPr>
    </w:p>
    <w:p>
      <w:pPr>
        <w:pStyle w:val="ListParagraph"/>
        <w:numPr>
          <w:ilvl w:val="3"/>
          <w:numId w:val="4"/>
        </w:numPr>
        <w:tabs>
          <w:tab w:pos="1143" w:val="left" w:leader="none"/>
        </w:tabs>
        <w:spacing w:line="242" w:lineRule="auto" w:before="1" w:after="0"/>
        <w:ind w:left="2608" w:right="373" w:hanging="2130"/>
        <w:jc w:val="both"/>
        <w:rPr>
          <w:sz w:val="21"/>
        </w:rPr>
      </w:pPr>
      <w:r>
        <w:rPr>
          <w:b/>
          <w:sz w:val="21"/>
        </w:rPr>
        <w:t>探险</w:t>
      </w:r>
      <w:r>
        <w:rPr>
          <w:b/>
          <w:spacing w:val="926"/>
          <w:sz w:val="21"/>
        </w:rPr>
        <w:t> </w:t>
      </w:r>
      <w:r>
        <w:rPr>
          <w:sz w:val="21"/>
        </w:rPr>
        <w:t>指明知在某种特定的自然条件下有失去生命或者使身体受到伤害的危险，而故意使</w:t>
      </w:r>
      <w:r>
        <w:rPr>
          <w:spacing w:val="-2"/>
          <w:sz w:val="21"/>
        </w:rPr>
        <w:t>自己置身于其中的行为，如：江河漂流、登山、徒步穿越沙漠或者人迹罕至的原始</w:t>
      </w:r>
      <w:r>
        <w:rPr>
          <w:spacing w:val="-2"/>
          <w:sz w:val="21"/>
        </w:rPr>
        <w:t>森林等活动。</w:t>
      </w:r>
    </w:p>
    <w:p>
      <w:pPr>
        <w:pStyle w:val="BodyText"/>
        <w:spacing w:before="2"/>
        <w:rPr>
          <w:sz w:val="18"/>
        </w:rPr>
      </w:pPr>
    </w:p>
    <w:p>
      <w:pPr>
        <w:pStyle w:val="ListParagraph"/>
        <w:numPr>
          <w:ilvl w:val="3"/>
          <w:numId w:val="4"/>
        </w:numPr>
        <w:tabs>
          <w:tab w:pos="1143" w:val="left" w:leader="none"/>
          <w:tab w:pos="2608" w:val="left" w:leader="none"/>
        </w:tabs>
        <w:spacing w:line="240" w:lineRule="auto" w:before="0" w:after="0"/>
        <w:ind w:left="1142" w:right="0" w:hanging="664"/>
        <w:jc w:val="left"/>
        <w:rPr>
          <w:sz w:val="21"/>
        </w:rPr>
      </w:pPr>
      <w:r>
        <w:rPr>
          <w:b/>
          <w:sz w:val="21"/>
        </w:rPr>
        <w:t>武术比</w:t>
      </w:r>
      <w:r>
        <w:rPr>
          <w:b/>
          <w:spacing w:val="-10"/>
          <w:sz w:val="21"/>
        </w:rPr>
        <w:t>赛</w:t>
      </w:r>
      <w:r>
        <w:rPr>
          <w:b/>
          <w:sz w:val="21"/>
        </w:rPr>
        <w:tab/>
      </w:r>
      <w:r>
        <w:rPr>
          <w:spacing w:val="-2"/>
          <w:sz w:val="21"/>
        </w:rPr>
        <w:t>指</w:t>
      </w:r>
      <w:r>
        <w:rPr>
          <w:spacing w:val="-2"/>
          <w:sz w:val="21"/>
        </w:rPr>
        <w:t>两</w:t>
      </w:r>
      <w:r>
        <w:rPr>
          <w:spacing w:val="-2"/>
          <w:sz w:val="21"/>
        </w:rPr>
        <w:t>人</w:t>
      </w:r>
      <w:r>
        <w:rPr>
          <w:spacing w:val="-2"/>
          <w:sz w:val="21"/>
        </w:rPr>
        <w:t>或</w:t>
      </w:r>
      <w:r>
        <w:rPr>
          <w:spacing w:val="-2"/>
          <w:sz w:val="21"/>
        </w:rPr>
        <w:t>者</w:t>
      </w:r>
      <w:r>
        <w:rPr>
          <w:spacing w:val="-2"/>
          <w:sz w:val="21"/>
        </w:rPr>
        <w:t>两</w:t>
      </w:r>
      <w:r>
        <w:rPr>
          <w:spacing w:val="-2"/>
          <w:sz w:val="21"/>
        </w:rPr>
        <w:t>人</w:t>
      </w:r>
      <w:r>
        <w:rPr>
          <w:spacing w:val="-2"/>
          <w:sz w:val="21"/>
        </w:rPr>
        <w:t>以</w:t>
      </w:r>
      <w:r>
        <w:rPr>
          <w:spacing w:val="-2"/>
          <w:sz w:val="21"/>
        </w:rPr>
        <w:t>上对抗</w:t>
      </w:r>
      <w:r>
        <w:rPr>
          <w:spacing w:val="-2"/>
          <w:sz w:val="21"/>
        </w:rPr>
        <w:t>性</w:t>
      </w:r>
      <w:r>
        <w:rPr>
          <w:spacing w:val="-2"/>
          <w:sz w:val="21"/>
        </w:rPr>
        <w:t>柔</w:t>
      </w:r>
      <w:r>
        <w:rPr>
          <w:spacing w:val="-2"/>
          <w:sz w:val="21"/>
        </w:rPr>
        <w:t>道</w:t>
      </w:r>
      <w:r>
        <w:rPr>
          <w:spacing w:val="-2"/>
          <w:sz w:val="21"/>
        </w:rPr>
        <w:t>、</w:t>
      </w:r>
      <w:r>
        <w:rPr>
          <w:spacing w:val="-2"/>
          <w:sz w:val="21"/>
        </w:rPr>
        <w:t>空</w:t>
      </w:r>
      <w:r>
        <w:rPr>
          <w:spacing w:val="-2"/>
          <w:sz w:val="21"/>
        </w:rPr>
        <w:t>手</w:t>
      </w:r>
      <w:r>
        <w:rPr>
          <w:spacing w:val="-2"/>
          <w:sz w:val="21"/>
        </w:rPr>
        <w:t>道</w:t>
      </w:r>
      <w:r>
        <w:rPr>
          <w:spacing w:val="-2"/>
          <w:sz w:val="21"/>
        </w:rPr>
        <w:t>、</w:t>
      </w:r>
      <w:r>
        <w:rPr>
          <w:spacing w:val="-2"/>
          <w:sz w:val="21"/>
        </w:rPr>
        <w:t>跆拳道</w:t>
      </w:r>
      <w:r>
        <w:rPr>
          <w:spacing w:val="-2"/>
          <w:sz w:val="21"/>
        </w:rPr>
        <w:t>、</w:t>
      </w:r>
      <w:r>
        <w:rPr>
          <w:spacing w:val="-2"/>
          <w:sz w:val="21"/>
        </w:rPr>
        <w:t>散</w:t>
      </w:r>
      <w:r>
        <w:rPr>
          <w:spacing w:val="-2"/>
          <w:sz w:val="21"/>
        </w:rPr>
        <w:t>打</w:t>
      </w:r>
      <w:r>
        <w:rPr>
          <w:spacing w:val="-2"/>
          <w:sz w:val="21"/>
        </w:rPr>
        <w:t>、</w:t>
      </w:r>
      <w:r>
        <w:rPr>
          <w:spacing w:val="-2"/>
          <w:sz w:val="21"/>
        </w:rPr>
        <w:t>拳</w:t>
      </w:r>
      <w:r>
        <w:rPr>
          <w:spacing w:val="-2"/>
          <w:sz w:val="21"/>
        </w:rPr>
        <w:t>击</w:t>
      </w:r>
      <w:r>
        <w:rPr>
          <w:spacing w:val="-2"/>
          <w:sz w:val="21"/>
        </w:rPr>
        <w:t>等</w:t>
      </w:r>
      <w:r>
        <w:rPr>
          <w:spacing w:val="-2"/>
          <w:sz w:val="21"/>
        </w:rPr>
        <w:t>各</w:t>
      </w:r>
      <w:r>
        <w:rPr>
          <w:spacing w:val="-2"/>
          <w:sz w:val="21"/>
        </w:rPr>
        <w:t>种拳术</w:t>
      </w:r>
      <w:r>
        <w:rPr>
          <w:spacing w:val="-2"/>
          <w:sz w:val="21"/>
        </w:rPr>
        <w:t>及</w:t>
      </w:r>
      <w:r>
        <w:rPr>
          <w:spacing w:val="-2"/>
          <w:sz w:val="21"/>
        </w:rPr>
        <w:t>使</w:t>
      </w:r>
      <w:r>
        <w:rPr>
          <w:spacing w:val="-10"/>
          <w:sz w:val="21"/>
        </w:rPr>
        <w:t>用</w:t>
      </w:r>
    </w:p>
    <w:p>
      <w:pPr>
        <w:spacing w:after="0" w:line="240" w:lineRule="auto"/>
        <w:jc w:val="left"/>
        <w:rPr>
          <w:sz w:val="21"/>
        </w:rPr>
        <w:sectPr>
          <w:type w:val="continuous"/>
          <w:pgSz w:w="11910" w:h="16850"/>
          <w:pgMar w:top="520" w:bottom="280" w:left="620" w:right="720"/>
        </w:sectPr>
      </w:pPr>
    </w:p>
    <w:p>
      <w:pPr>
        <w:pStyle w:val="BodyText"/>
        <w:spacing w:before="53"/>
        <w:ind w:left="2608"/>
      </w:pPr>
      <w:r>
        <w:rPr>
          <w:spacing w:val="-3"/>
        </w:rPr>
        <w:t>器械的对抗性比赛。</w:t>
      </w:r>
    </w:p>
    <w:p>
      <w:pPr>
        <w:pStyle w:val="BodyText"/>
        <w:spacing w:before="4"/>
        <w:rPr>
          <w:sz w:val="18"/>
        </w:rPr>
      </w:pPr>
    </w:p>
    <w:p>
      <w:pPr>
        <w:pStyle w:val="ListParagraph"/>
        <w:numPr>
          <w:ilvl w:val="3"/>
          <w:numId w:val="4"/>
        </w:numPr>
        <w:tabs>
          <w:tab w:pos="1143" w:val="left" w:leader="none"/>
          <w:tab w:pos="2608" w:val="left" w:leader="none"/>
        </w:tabs>
        <w:spacing w:line="240" w:lineRule="auto" w:before="1" w:after="0"/>
        <w:ind w:left="1142" w:right="0" w:hanging="664"/>
        <w:jc w:val="left"/>
        <w:rPr>
          <w:sz w:val="21"/>
        </w:rPr>
      </w:pPr>
      <w:r>
        <w:rPr>
          <w:b/>
          <w:sz w:val="21"/>
        </w:rPr>
        <w:t>特技表</w:t>
      </w:r>
      <w:r>
        <w:rPr>
          <w:b/>
          <w:spacing w:val="-10"/>
          <w:sz w:val="21"/>
        </w:rPr>
        <w:t>演</w:t>
      </w:r>
      <w:r>
        <w:rPr>
          <w:b/>
          <w:sz w:val="21"/>
        </w:rPr>
        <w:tab/>
      </w:r>
      <w:r>
        <w:rPr>
          <w:spacing w:val="-2"/>
          <w:sz w:val="21"/>
        </w:rPr>
        <w:t>指</w:t>
      </w:r>
      <w:r>
        <w:rPr>
          <w:spacing w:val="-2"/>
          <w:sz w:val="21"/>
        </w:rPr>
        <w:t>进</w:t>
      </w:r>
      <w:r>
        <w:rPr>
          <w:spacing w:val="-2"/>
          <w:sz w:val="21"/>
        </w:rPr>
        <w:t>行马术、杂技、驯兽</w:t>
      </w:r>
      <w:r>
        <w:rPr>
          <w:spacing w:val="-2"/>
          <w:sz w:val="21"/>
        </w:rPr>
        <w:t>等</w:t>
      </w:r>
      <w:r>
        <w:rPr>
          <w:spacing w:val="-2"/>
          <w:sz w:val="21"/>
        </w:rPr>
        <w:t>表</w:t>
      </w:r>
      <w:r>
        <w:rPr>
          <w:spacing w:val="-2"/>
          <w:sz w:val="21"/>
        </w:rPr>
        <w:t>演</w:t>
      </w:r>
      <w:r>
        <w:rPr>
          <w:spacing w:val="-10"/>
          <w:sz w:val="21"/>
        </w:rPr>
        <w:t>。</w:t>
      </w:r>
    </w:p>
    <w:p>
      <w:pPr>
        <w:pStyle w:val="BodyText"/>
        <w:spacing w:before="1"/>
        <w:rPr>
          <w:sz w:val="18"/>
        </w:rPr>
      </w:pPr>
    </w:p>
    <w:p>
      <w:pPr>
        <w:pStyle w:val="ListParagraph"/>
        <w:numPr>
          <w:ilvl w:val="3"/>
          <w:numId w:val="4"/>
        </w:numPr>
        <w:tabs>
          <w:tab w:pos="1143" w:val="left" w:leader="none"/>
          <w:tab w:pos="2608" w:val="left" w:leader="none"/>
        </w:tabs>
        <w:spacing w:line="244" w:lineRule="auto" w:before="1" w:after="0"/>
        <w:ind w:left="2608" w:right="373" w:hanging="2130"/>
        <w:jc w:val="left"/>
        <w:rPr>
          <w:sz w:val="21"/>
        </w:rPr>
      </w:pPr>
      <w:r>
        <w:rPr>
          <w:b/>
          <w:spacing w:val="-4"/>
          <w:sz w:val="21"/>
        </w:rPr>
        <w:t>质</w:t>
      </w:r>
      <w:r>
        <w:rPr>
          <w:b/>
          <w:spacing w:val="-4"/>
          <w:sz w:val="21"/>
        </w:rPr>
        <w:t>子</w:t>
      </w:r>
      <w:r>
        <w:rPr>
          <w:b/>
          <w:spacing w:val="-4"/>
          <w:sz w:val="21"/>
        </w:rPr>
        <w:t>治</w:t>
      </w:r>
      <w:r>
        <w:rPr>
          <w:b/>
          <w:spacing w:val="-4"/>
          <w:sz w:val="21"/>
        </w:rPr>
        <w:t>疗</w:t>
      </w:r>
      <w:r>
        <w:rPr>
          <w:b/>
          <w:sz w:val="21"/>
        </w:rPr>
        <w:tab/>
      </w:r>
      <w:r>
        <w:rPr>
          <w:spacing w:val="-2"/>
          <w:sz w:val="21"/>
        </w:rPr>
        <w:t>质</w:t>
      </w:r>
      <w:r>
        <w:rPr>
          <w:spacing w:val="-2"/>
          <w:sz w:val="21"/>
        </w:rPr>
        <w:t>子</w:t>
      </w:r>
      <w:r>
        <w:rPr>
          <w:spacing w:val="-2"/>
          <w:sz w:val="21"/>
        </w:rPr>
        <w:t>指</w:t>
      </w:r>
      <w:r>
        <w:rPr>
          <w:spacing w:val="-2"/>
          <w:sz w:val="21"/>
        </w:rPr>
        <w:t>氢</w:t>
      </w:r>
      <w:r>
        <w:rPr>
          <w:spacing w:val="-2"/>
          <w:sz w:val="21"/>
        </w:rPr>
        <w:t>原</w:t>
      </w:r>
      <w:r>
        <w:rPr>
          <w:spacing w:val="-2"/>
          <w:sz w:val="21"/>
        </w:rPr>
        <w:t>子</w:t>
      </w:r>
      <w:r>
        <w:rPr>
          <w:spacing w:val="-2"/>
          <w:sz w:val="21"/>
        </w:rPr>
        <w:t>剥</w:t>
      </w:r>
      <w:r>
        <w:rPr>
          <w:spacing w:val="-2"/>
          <w:sz w:val="21"/>
        </w:rPr>
        <w:t>去</w:t>
      </w:r>
      <w:r>
        <w:rPr>
          <w:spacing w:val="-2"/>
          <w:sz w:val="21"/>
        </w:rPr>
        <w:t>电子后</w:t>
      </w:r>
      <w:r>
        <w:rPr>
          <w:spacing w:val="-2"/>
          <w:sz w:val="21"/>
        </w:rPr>
        <w:t>带</w:t>
      </w:r>
      <w:r>
        <w:rPr>
          <w:spacing w:val="-2"/>
          <w:sz w:val="21"/>
        </w:rPr>
        <w:t>有</w:t>
      </w:r>
      <w:r>
        <w:rPr>
          <w:spacing w:val="-2"/>
          <w:sz w:val="21"/>
        </w:rPr>
        <w:t>正</w:t>
      </w:r>
      <w:r>
        <w:rPr>
          <w:spacing w:val="-2"/>
          <w:sz w:val="21"/>
        </w:rPr>
        <w:t>电</w:t>
      </w:r>
      <w:r>
        <w:rPr>
          <w:spacing w:val="-2"/>
          <w:sz w:val="21"/>
        </w:rPr>
        <w:t>荷</w:t>
      </w:r>
      <w:r>
        <w:rPr>
          <w:spacing w:val="-2"/>
          <w:sz w:val="21"/>
        </w:rPr>
        <w:t>的</w:t>
      </w:r>
      <w:r>
        <w:rPr>
          <w:spacing w:val="-2"/>
          <w:sz w:val="21"/>
        </w:rPr>
        <w:t>粒</w:t>
      </w:r>
      <w:r>
        <w:rPr>
          <w:spacing w:val="-2"/>
          <w:sz w:val="21"/>
        </w:rPr>
        <w:t>子</w:t>
      </w:r>
      <w:r>
        <w:rPr>
          <w:spacing w:val="-2"/>
          <w:sz w:val="21"/>
        </w:rPr>
        <w:t>。质子</w:t>
      </w:r>
      <w:r>
        <w:rPr>
          <w:spacing w:val="-2"/>
          <w:sz w:val="21"/>
        </w:rPr>
        <w:t>治</w:t>
      </w:r>
      <w:r>
        <w:rPr>
          <w:spacing w:val="-2"/>
          <w:sz w:val="21"/>
        </w:rPr>
        <w:t>疗</w:t>
      </w:r>
      <w:r>
        <w:rPr>
          <w:spacing w:val="-2"/>
          <w:sz w:val="21"/>
        </w:rPr>
        <w:t>指</w:t>
      </w:r>
      <w:r>
        <w:rPr>
          <w:spacing w:val="-2"/>
          <w:sz w:val="21"/>
        </w:rPr>
        <w:t>应</w:t>
      </w:r>
      <w:r>
        <w:rPr>
          <w:spacing w:val="-2"/>
          <w:sz w:val="21"/>
        </w:rPr>
        <w:t>用</w:t>
      </w:r>
      <w:r>
        <w:rPr>
          <w:spacing w:val="-2"/>
          <w:sz w:val="21"/>
        </w:rPr>
        <w:t>质</w:t>
      </w:r>
      <w:r>
        <w:rPr>
          <w:spacing w:val="-2"/>
          <w:sz w:val="21"/>
        </w:rPr>
        <w:t>子</w:t>
      </w:r>
      <w:r>
        <w:rPr>
          <w:spacing w:val="-2"/>
          <w:sz w:val="21"/>
        </w:rPr>
        <w:t>放</w:t>
      </w:r>
      <w:r>
        <w:rPr>
          <w:spacing w:val="-2"/>
          <w:sz w:val="21"/>
        </w:rPr>
        <w:t>射线治</w:t>
      </w:r>
      <w:r>
        <w:rPr>
          <w:spacing w:val="-2"/>
          <w:sz w:val="21"/>
        </w:rPr>
        <w:t>疗</w:t>
      </w:r>
      <w:r>
        <w:rPr>
          <w:spacing w:val="-2"/>
          <w:sz w:val="21"/>
        </w:rPr>
        <w:t>肿</w:t>
      </w:r>
      <w:r>
        <w:rPr>
          <w:spacing w:val="-2"/>
          <w:sz w:val="21"/>
        </w:rPr>
        <w:t>瘤</w:t>
      </w:r>
      <w:r>
        <w:rPr>
          <w:spacing w:val="-4"/>
          <w:sz w:val="21"/>
        </w:rPr>
        <w:t>的</w:t>
      </w:r>
      <w:r>
        <w:rPr>
          <w:spacing w:val="-4"/>
          <w:sz w:val="21"/>
        </w:rPr>
        <w:t>方</w:t>
      </w:r>
      <w:r>
        <w:rPr>
          <w:spacing w:val="-4"/>
          <w:sz w:val="21"/>
        </w:rPr>
        <w:t>法。</w:t>
      </w:r>
    </w:p>
    <w:p>
      <w:pPr>
        <w:pStyle w:val="BodyText"/>
        <w:spacing w:before="8"/>
        <w:rPr>
          <w:sz w:val="17"/>
        </w:rPr>
      </w:pPr>
    </w:p>
    <w:p>
      <w:pPr>
        <w:pStyle w:val="ListParagraph"/>
        <w:numPr>
          <w:ilvl w:val="3"/>
          <w:numId w:val="4"/>
        </w:numPr>
        <w:tabs>
          <w:tab w:pos="1143" w:val="left" w:leader="none"/>
          <w:tab w:pos="2608" w:val="left" w:leader="none"/>
        </w:tabs>
        <w:spacing w:line="240" w:lineRule="auto" w:before="0" w:after="0"/>
        <w:ind w:left="1142" w:right="0" w:hanging="664"/>
        <w:jc w:val="left"/>
        <w:rPr>
          <w:sz w:val="21"/>
        </w:rPr>
      </w:pPr>
      <w:r>
        <w:rPr>
          <w:b/>
          <w:sz w:val="21"/>
        </w:rPr>
        <w:t>重离子治</w:t>
      </w:r>
      <w:r>
        <w:rPr>
          <w:b/>
          <w:spacing w:val="-10"/>
          <w:sz w:val="21"/>
        </w:rPr>
        <w:t>疗</w:t>
      </w:r>
      <w:r>
        <w:rPr>
          <w:b/>
          <w:sz w:val="21"/>
        </w:rPr>
        <w:tab/>
      </w:r>
      <w:r>
        <w:rPr>
          <w:spacing w:val="-2"/>
          <w:sz w:val="21"/>
        </w:rPr>
        <w:t>重</w:t>
      </w:r>
      <w:r>
        <w:rPr>
          <w:spacing w:val="-2"/>
          <w:sz w:val="21"/>
        </w:rPr>
        <w:t>离</w:t>
      </w:r>
      <w:r>
        <w:rPr>
          <w:spacing w:val="-2"/>
          <w:sz w:val="21"/>
        </w:rPr>
        <w:t>子指比电子重的粒子</w:t>
      </w:r>
      <w:r>
        <w:rPr>
          <w:spacing w:val="-2"/>
          <w:sz w:val="21"/>
        </w:rPr>
        <w:t>。</w:t>
      </w:r>
      <w:r>
        <w:rPr>
          <w:spacing w:val="-2"/>
          <w:sz w:val="21"/>
        </w:rPr>
        <w:t>重</w:t>
      </w:r>
      <w:r>
        <w:rPr>
          <w:spacing w:val="-2"/>
          <w:sz w:val="21"/>
        </w:rPr>
        <w:t>离子治疗指应用重离</w:t>
      </w:r>
      <w:r>
        <w:rPr>
          <w:spacing w:val="-2"/>
          <w:sz w:val="21"/>
        </w:rPr>
        <w:t>子</w:t>
      </w:r>
      <w:r>
        <w:rPr>
          <w:spacing w:val="-2"/>
          <w:sz w:val="21"/>
        </w:rPr>
        <w:t>放</w:t>
      </w:r>
      <w:r>
        <w:rPr>
          <w:spacing w:val="-2"/>
          <w:sz w:val="21"/>
        </w:rPr>
        <w:t>射线治疗肿瘤的方法</w:t>
      </w:r>
      <w:r>
        <w:rPr>
          <w:spacing w:val="-10"/>
          <w:sz w:val="21"/>
        </w:rPr>
        <w:t>。</w:t>
      </w:r>
    </w:p>
    <w:p>
      <w:pPr>
        <w:pStyle w:val="BodyText"/>
        <w:spacing w:before="7"/>
        <w:rPr>
          <w:sz w:val="12"/>
        </w:rPr>
      </w:pPr>
    </w:p>
    <w:p>
      <w:pPr>
        <w:spacing w:after="0"/>
        <w:rPr>
          <w:sz w:val="12"/>
        </w:rPr>
        <w:sectPr>
          <w:pgSz w:w="11910" w:h="16850"/>
          <w:pgMar w:top="1080" w:bottom="280" w:left="620" w:right="720"/>
        </w:sectPr>
      </w:pPr>
    </w:p>
    <w:p>
      <w:pPr>
        <w:pStyle w:val="Heading3"/>
        <w:numPr>
          <w:ilvl w:val="3"/>
          <w:numId w:val="4"/>
        </w:numPr>
        <w:tabs>
          <w:tab w:pos="1140" w:val="left" w:leader="none"/>
        </w:tabs>
        <w:spacing w:line="244" w:lineRule="auto" w:before="72" w:after="0"/>
        <w:ind w:left="1139" w:right="0" w:hanging="661"/>
        <w:jc w:val="left"/>
      </w:pPr>
      <w:r>
        <w:rPr>
          <w:spacing w:val="-2"/>
        </w:rPr>
        <w:t>有效身份证</w:t>
      </w:r>
      <w:r>
        <w:rPr>
          <w:spacing w:val="-10"/>
        </w:rPr>
        <w:t>件</w:t>
      </w:r>
    </w:p>
    <w:p>
      <w:pPr>
        <w:pStyle w:val="BodyText"/>
        <w:spacing w:line="242" w:lineRule="auto" w:before="72"/>
        <w:ind w:left="372" w:right="265"/>
      </w:pPr>
      <w:r>
        <w:rPr/>
        <w:br w:type="column"/>
      </w:r>
      <w:r>
        <w:rPr>
          <w:spacing w:val="-7"/>
          <w:w w:val="100"/>
        </w:rPr>
        <w:t>指由中华人民共和国政府主管部门规定的能够证明其身份的证件，如：居民身份证、</w:t>
      </w:r>
      <w:r>
        <w:rPr>
          <w:spacing w:val="-6"/>
          <w:w w:val="100"/>
        </w:rPr>
        <w:t>军官证、警官证、士兵证、户口簿以及中华人民共和国政府主管部门颁发或者认可</w:t>
      </w:r>
      <w:r>
        <w:rPr>
          <w:spacing w:val="-4"/>
          <w:w w:val="100"/>
        </w:rPr>
        <w:t>的有效护照或者其他身份证明文件。</w:t>
      </w:r>
    </w:p>
    <w:p>
      <w:pPr>
        <w:spacing w:after="0" w:line="242" w:lineRule="auto"/>
        <w:sectPr>
          <w:type w:val="continuous"/>
          <w:pgSz w:w="11910" w:h="16850"/>
          <w:pgMar w:top="520" w:bottom="280" w:left="620" w:right="720"/>
          <w:cols w:num="2" w:equalWidth="0">
            <w:col w:w="2196" w:space="40"/>
            <w:col w:w="8334"/>
          </w:cols>
        </w:sectPr>
      </w:pPr>
    </w:p>
    <w:p>
      <w:pPr>
        <w:pStyle w:val="BodyText"/>
        <w:spacing w:before="6"/>
        <w:rPr>
          <w:sz w:val="12"/>
        </w:rPr>
      </w:pPr>
    </w:p>
    <w:p>
      <w:pPr>
        <w:pStyle w:val="ListParagraph"/>
        <w:numPr>
          <w:ilvl w:val="3"/>
          <w:numId w:val="4"/>
        </w:numPr>
        <w:tabs>
          <w:tab w:pos="1143" w:val="left" w:leader="none"/>
          <w:tab w:pos="2608" w:val="left" w:leader="none"/>
        </w:tabs>
        <w:spacing w:line="240" w:lineRule="auto" w:before="71" w:after="0"/>
        <w:ind w:left="1142" w:right="0" w:hanging="664"/>
        <w:jc w:val="left"/>
        <w:rPr>
          <w:sz w:val="21"/>
        </w:rPr>
      </w:pPr>
      <w:r>
        <w:rPr>
          <w:b/>
          <w:sz w:val="21"/>
        </w:rPr>
        <w:t>专科医</w:t>
      </w:r>
      <w:r>
        <w:rPr>
          <w:b/>
          <w:spacing w:val="-10"/>
          <w:sz w:val="21"/>
        </w:rPr>
        <w:t>生</w:t>
      </w:r>
      <w:r>
        <w:rPr>
          <w:b/>
          <w:sz w:val="21"/>
        </w:rPr>
        <w:tab/>
      </w:r>
      <w:r>
        <w:rPr>
          <w:spacing w:val="-2"/>
          <w:sz w:val="21"/>
        </w:rPr>
        <w:t>专</w:t>
      </w:r>
      <w:r>
        <w:rPr>
          <w:spacing w:val="-2"/>
          <w:sz w:val="21"/>
        </w:rPr>
        <w:t>科</w:t>
      </w:r>
      <w:r>
        <w:rPr>
          <w:spacing w:val="-2"/>
          <w:sz w:val="21"/>
        </w:rPr>
        <w:t>医生应当同时满足以</w:t>
      </w:r>
      <w:r>
        <w:rPr>
          <w:spacing w:val="-2"/>
          <w:sz w:val="21"/>
        </w:rPr>
        <w:t>下</w:t>
      </w:r>
      <w:r>
        <w:rPr>
          <w:spacing w:val="-2"/>
          <w:sz w:val="21"/>
        </w:rPr>
        <w:t>四</w:t>
      </w:r>
      <w:r>
        <w:rPr>
          <w:spacing w:val="-2"/>
          <w:sz w:val="21"/>
        </w:rPr>
        <w:t>项资格条件</w:t>
      </w:r>
      <w:r>
        <w:rPr>
          <w:spacing w:val="-10"/>
          <w:sz w:val="21"/>
        </w:rPr>
        <w:t>：</w:t>
      </w:r>
    </w:p>
    <w:p>
      <w:pPr>
        <w:pStyle w:val="ListParagraph"/>
        <w:numPr>
          <w:ilvl w:val="0"/>
          <w:numId w:val="72"/>
        </w:numPr>
        <w:tabs>
          <w:tab w:pos="3329" w:val="left" w:leader="none"/>
        </w:tabs>
        <w:spacing w:line="240" w:lineRule="auto" w:before="65" w:after="0"/>
        <w:ind w:left="3328" w:right="0" w:hanging="721"/>
        <w:jc w:val="left"/>
        <w:rPr>
          <w:sz w:val="21"/>
        </w:rPr>
      </w:pPr>
      <w:r>
        <w:rPr>
          <w:spacing w:val="-9"/>
          <w:sz w:val="21"/>
        </w:rPr>
        <w:t>具有有效的中华人民共和国《医师资格证书》；</w:t>
      </w:r>
    </w:p>
    <w:p>
      <w:pPr>
        <w:pStyle w:val="ListParagraph"/>
        <w:numPr>
          <w:ilvl w:val="0"/>
          <w:numId w:val="72"/>
        </w:numPr>
        <w:tabs>
          <w:tab w:pos="3329" w:val="left" w:leader="none"/>
        </w:tabs>
        <w:spacing w:line="240" w:lineRule="auto" w:before="62" w:after="0"/>
        <w:ind w:left="3328" w:right="0" w:hanging="721"/>
        <w:jc w:val="left"/>
        <w:rPr>
          <w:sz w:val="21"/>
        </w:rPr>
      </w:pPr>
      <w:r>
        <w:rPr>
          <w:spacing w:val="-10"/>
          <w:sz w:val="21"/>
        </w:rPr>
        <w:t>具有有效的中华人民共和国《医师执业证书》，并按期到相关部门登记注册；</w:t>
      </w:r>
    </w:p>
    <w:p>
      <w:pPr>
        <w:pStyle w:val="ListParagraph"/>
        <w:numPr>
          <w:ilvl w:val="0"/>
          <w:numId w:val="72"/>
        </w:numPr>
        <w:tabs>
          <w:tab w:pos="3329" w:val="left" w:leader="none"/>
        </w:tabs>
        <w:spacing w:line="242" w:lineRule="auto" w:before="65" w:after="0"/>
        <w:ind w:left="3328" w:right="370" w:hanging="720"/>
        <w:jc w:val="left"/>
        <w:rPr>
          <w:sz w:val="21"/>
        </w:rPr>
      </w:pPr>
      <w:r>
        <w:rPr>
          <w:spacing w:val="-5"/>
          <w:sz w:val="21"/>
        </w:rPr>
        <w:t>具有有效的中华人民共和国主治医师或者主治医师以上职称的《医师职称证</w:t>
      </w:r>
      <w:r>
        <w:rPr>
          <w:spacing w:val="-40"/>
          <w:sz w:val="21"/>
        </w:rPr>
        <w:t>书》；</w:t>
      </w:r>
    </w:p>
    <w:p>
      <w:pPr>
        <w:pStyle w:val="ListParagraph"/>
        <w:numPr>
          <w:ilvl w:val="0"/>
          <w:numId w:val="72"/>
        </w:numPr>
        <w:tabs>
          <w:tab w:pos="3329" w:val="left" w:leader="none"/>
        </w:tabs>
        <w:spacing w:line="240" w:lineRule="auto" w:before="61" w:after="0"/>
        <w:ind w:left="3328" w:right="0" w:hanging="721"/>
        <w:jc w:val="left"/>
        <w:rPr>
          <w:sz w:val="21"/>
        </w:rPr>
      </w:pPr>
      <w:r>
        <w:rPr>
          <w:spacing w:val="-3"/>
          <w:sz w:val="21"/>
        </w:rPr>
        <w:t>在二级或者二级以上医院的相应科室从事临床工作三年以上。</w:t>
      </w:r>
    </w:p>
    <w:p>
      <w:pPr>
        <w:pStyle w:val="BodyText"/>
        <w:spacing w:before="2"/>
        <w:rPr>
          <w:sz w:val="18"/>
        </w:rPr>
      </w:pPr>
    </w:p>
    <w:p>
      <w:pPr>
        <w:pStyle w:val="ListParagraph"/>
        <w:numPr>
          <w:ilvl w:val="3"/>
          <w:numId w:val="4"/>
        </w:numPr>
        <w:tabs>
          <w:tab w:pos="1140" w:val="left" w:leader="none"/>
          <w:tab w:pos="2608" w:val="left" w:leader="none"/>
        </w:tabs>
        <w:spacing w:line="244" w:lineRule="auto" w:before="0" w:after="0"/>
        <w:ind w:left="2608" w:right="351" w:hanging="2130"/>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19"/>
          <w:sz w:val="21"/>
        </w:rPr>
        <w:t>首次投保或者中断后再次投保本合同时，现金价值的计算公式为</w:t>
      </w:r>
      <w:r>
        <w:rPr>
          <w:sz w:val="21"/>
        </w:rPr>
        <w:t>“</w:t>
      </w:r>
      <w:r>
        <w:rPr>
          <w:spacing w:val="-87"/>
          <w:sz w:val="21"/>
        </w:rPr>
        <w:t> </w:t>
      </w:r>
      <w:r>
        <w:rPr>
          <w:spacing w:val="19"/>
          <w:sz w:val="21"/>
        </w:rPr>
        <w:t>保险费</w:t>
      </w:r>
      <w:r>
        <w:rPr>
          <w:sz w:val="21"/>
        </w:rPr>
        <w:t>× </w:t>
      </w:r>
      <w:r>
        <w:rPr>
          <w:spacing w:val="-2"/>
          <w:sz w:val="21"/>
        </w:rPr>
        <w:t>(1-35%)×(1-</w:t>
      </w:r>
      <w:r>
        <w:rPr>
          <w:spacing w:val="-2"/>
          <w:sz w:val="21"/>
        </w:rPr>
        <w:t>经</w:t>
      </w:r>
      <w:r>
        <w:rPr>
          <w:spacing w:val="-2"/>
          <w:sz w:val="21"/>
        </w:rPr>
        <w:t>过</w:t>
      </w:r>
      <w:r>
        <w:rPr>
          <w:spacing w:val="-2"/>
          <w:sz w:val="21"/>
        </w:rPr>
        <w:t>天</w:t>
      </w:r>
      <w:r>
        <w:rPr>
          <w:spacing w:val="-2"/>
          <w:sz w:val="21"/>
        </w:rPr>
        <w:t>数÷365)”</w:t>
      </w:r>
      <w:r>
        <w:rPr>
          <w:spacing w:val="-2"/>
          <w:sz w:val="21"/>
        </w:rPr>
        <w:t>。</w:t>
      </w:r>
      <w:r>
        <w:rPr>
          <w:spacing w:val="-2"/>
          <w:sz w:val="21"/>
        </w:rPr>
        <w:t>续</w:t>
      </w:r>
      <w:r>
        <w:rPr>
          <w:spacing w:val="-2"/>
          <w:sz w:val="21"/>
        </w:rPr>
        <w:t>保本</w:t>
      </w:r>
      <w:r>
        <w:rPr>
          <w:spacing w:val="-2"/>
          <w:sz w:val="21"/>
        </w:rPr>
        <w:t>合</w:t>
      </w:r>
      <w:r>
        <w:rPr>
          <w:spacing w:val="-2"/>
          <w:sz w:val="21"/>
        </w:rPr>
        <w:t>同</w:t>
      </w:r>
      <w:r>
        <w:rPr>
          <w:spacing w:val="-2"/>
          <w:sz w:val="21"/>
        </w:rPr>
        <w:t>时</w:t>
      </w:r>
      <w:r>
        <w:rPr>
          <w:spacing w:val="-2"/>
          <w:sz w:val="21"/>
        </w:rPr>
        <w:t>，现</w:t>
      </w:r>
      <w:r>
        <w:rPr>
          <w:spacing w:val="-2"/>
          <w:sz w:val="21"/>
        </w:rPr>
        <w:t>金</w:t>
      </w:r>
      <w:r>
        <w:rPr>
          <w:spacing w:val="-2"/>
          <w:sz w:val="21"/>
        </w:rPr>
        <w:t>价</w:t>
      </w:r>
      <w:r>
        <w:rPr>
          <w:spacing w:val="-2"/>
          <w:sz w:val="21"/>
        </w:rPr>
        <w:t>值</w:t>
      </w:r>
      <w:r>
        <w:rPr>
          <w:spacing w:val="-2"/>
          <w:sz w:val="21"/>
        </w:rPr>
        <w:t>的</w:t>
      </w:r>
      <w:r>
        <w:rPr>
          <w:spacing w:val="-2"/>
          <w:sz w:val="21"/>
        </w:rPr>
        <w:t>计</w:t>
      </w:r>
      <w:r>
        <w:rPr>
          <w:spacing w:val="-2"/>
          <w:sz w:val="21"/>
        </w:rPr>
        <w:t>算</w:t>
      </w:r>
      <w:r>
        <w:rPr>
          <w:spacing w:val="-2"/>
          <w:sz w:val="21"/>
        </w:rPr>
        <w:t>公</w:t>
      </w:r>
      <w:r>
        <w:rPr>
          <w:spacing w:val="-2"/>
          <w:sz w:val="21"/>
        </w:rPr>
        <w:t>式</w:t>
      </w:r>
      <w:r>
        <w:rPr>
          <w:spacing w:val="-2"/>
          <w:sz w:val="21"/>
        </w:rPr>
        <w:t>为</w:t>
      </w:r>
      <w:r>
        <w:rPr>
          <w:spacing w:val="-2"/>
          <w:sz w:val="21"/>
        </w:rPr>
        <w:t>“保</w:t>
      </w:r>
      <w:r>
        <w:rPr>
          <w:spacing w:val="-2"/>
          <w:sz w:val="21"/>
        </w:rPr>
        <w:t>险</w:t>
      </w:r>
      <w:r>
        <w:rPr>
          <w:spacing w:val="-2"/>
          <w:sz w:val="21"/>
        </w:rPr>
        <w:t>费</w:t>
      </w:r>
    </w:p>
    <w:p>
      <w:pPr>
        <w:pStyle w:val="BodyText"/>
        <w:spacing w:line="244" w:lineRule="auto"/>
        <w:ind w:left="2608" w:right="370"/>
      </w:pPr>
      <w:r>
        <w:rPr>
          <w:spacing w:val="-2"/>
        </w:rPr>
        <w:t>×(1-32%)×(1-经过天数÷365)”。经过天数不足一天的不计</w:t>
      </w:r>
      <w:r>
        <w:rPr>
          <w:spacing w:val="-18"/>
        </w:rPr>
        <w:t>。“经过天数”是指本</w:t>
      </w:r>
      <w:r>
        <w:rPr>
          <w:spacing w:val="-2"/>
        </w:rPr>
        <w:t>合同从生效之日至终止之日实际经过的天数。</w:t>
      </w:r>
    </w:p>
    <w:p>
      <w:pPr>
        <w:pStyle w:val="BodyText"/>
        <w:spacing w:before="4"/>
        <w:rPr>
          <w:sz w:val="17"/>
        </w:rPr>
      </w:pPr>
    </w:p>
    <w:p>
      <w:pPr>
        <w:pStyle w:val="ListParagraph"/>
        <w:numPr>
          <w:ilvl w:val="3"/>
          <w:numId w:val="4"/>
        </w:numPr>
        <w:tabs>
          <w:tab w:pos="1140" w:val="left" w:leader="none"/>
        </w:tabs>
        <w:spacing w:line="242" w:lineRule="auto" w:before="1" w:after="0"/>
        <w:ind w:left="2608" w:right="370" w:hanging="2130"/>
        <w:jc w:val="both"/>
        <w:rPr>
          <w:sz w:val="21"/>
        </w:rPr>
      </w:pPr>
      <w:r>
        <w:rPr>
          <w:b/>
          <w:spacing w:val="102"/>
          <w:sz w:val="21"/>
        </w:rPr>
        <w:t>净保险费 </w:t>
      </w:r>
      <w:r>
        <w:rPr>
          <w:sz w:val="21"/>
        </w:rPr>
        <w:t>指不包含营业费用、佣金等其他费用的保险费。首次投保或者中断后再次投保本合</w:t>
      </w:r>
      <w:r>
        <w:rPr>
          <w:spacing w:val="-4"/>
          <w:sz w:val="21"/>
        </w:rPr>
        <w:t>同时，净保险费的计算公式为“保险费×(1-35%)”。续保本合同时，净保险费的计</w:t>
      </w:r>
      <w:r>
        <w:rPr>
          <w:spacing w:val="-2"/>
          <w:sz w:val="21"/>
        </w:rPr>
        <w:t>算公式为“保险费×(1-32%)”。</w:t>
      </w: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1" w:after="0"/>
        <w:ind w:left="1139" w:right="0" w:hanging="661"/>
        <w:jc w:val="left"/>
      </w:pPr>
      <w:r>
        <w:rPr>
          <w:spacing w:val="-2"/>
        </w:rPr>
        <w:t>肢体机能完</w:t>
      </w:r>
    </w:p>
    <w:p>
      <w:pPr>
        <w:spacing w:before="5"/>
        <w:ind w:left="1139" w:right="0" w:firstLine="0"/>
        <w:jc w:val="left"/>
        <w:rPr>
          <w:b/>
          <w:sz w:val="21"/>
        </w:rPr>
      </w:pPr>
      <w:r>
        <w:rPr>
          <w:b/>
          <w:spacing w:val="-4"/>
          <w:sz w:val="21"/>
        </w:rPr>
        <w:t>全丧失</w:t>
      </w:r>
    </w:p>
    <w:p>
      <w:pPr>
        <w:pStyle w:val="BodyText"/>
        <w:spacing w:line="244" w:lineRule="auto" w:before="71"/>
        <w:ind w:left="372" w:right="373"/>
      </w:pPr>
      <w:r>
        <w:rPr/>
        <w:br w:type="column"/>
      </w:r>
      <w:r>
        <w:rPr>
          <w:spacing w:val="-2"/>
        </w:rPr>
        <w:t>指肢体的三大关节中的两大关节僵硬，或者不能随意识活动。肢体是指包括肩关节</w:t>
      </w:r>
      <w:r>
        <w:rPr>
          <w:spacing w:val="-2"/>
        </w:rPr>
        <w:t>的整个上肢或者包括髋关节的整个下肢。</w:t>
      </w:r>
    </w:p>
    <w:p>
      <w:pPr>
        <w:spacing w:after="0" w:line="244" w:lineRule="auto"/>
        <w:sectPr>
          <w:type w:val="continuous"/>
          <w:pgSz w:w="11910" w:h="16850"/>
          <w:pgMar w:top="520" w:bottom="280" w:left="620" w:right="720"/>
          <w:cols w:num="2" w:equalWidth="0">
            <w:col w:w="2196" w:space="40"/>
            <w:col w:w="8334"/>
          </w:cols>
        </w:sectPr>
      </w:pPr>
    </w:p>
    <w:p>
      <w:pPr>
        <w:pStyle w:val="BodyText"/>
        <w:spacing w:before="1"/>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语言能力或</w:t>
      </w:r>
    </w:p>
    <w:p>
      <w:pPr>
        <w:spacing w:line="244" w:lineRule="auto" w:before="2"/>
        <w:ind w:left="1139" w:right="0" w:firstLine="0"/>
        <w:jc w:val="left"/>
        <w:rPr>
          <w:b/>
          <w:sz w:val="21"/>
        </w:rPr>
      </w:pPr>
      <w:r>
        <w:rPr>
          <w:b/>
          <w:spacing w:val="-2"/>
          <w:sz w:val="21"/>
        </w:rPr>
        <w:t>咀嚼吞咽能</w:t>
      </w:r>
      <w:r>
        <w:rPr>
          <w:b/>
          <w:spacing w:val="-2"/>
          <w:sz w:val="21"/>
        </w:rPr>
        <w:t>力完全丧失</w:t>
      </w:r>
    </w:p>
    <w:p>
      <w:pPr>
        <w:pStyle w:val="BodyText"/>
        <w:spacing w:line="242" w:lineRule="auto" w:before="72"/>
        <w:ind w:left="372" w:right="265"/>
      </w:pPr>
      <w:r>
        <w:rPr/>
        <w:br w:type="column"/>
      </w:r>
      <w:r>
        <w:rPr>
          <w:spacing w:val="-4"/>
        </w:rPr>
        <w:t>语言能力完全丧失，指无法发出四种语音（包括口唇音、齿舌音、口盖音和喉头音）</w:t>
      </w:r>
      <w:r>
        <w:rPr>
          <w:spacing w:val="-2"/>
        </w:rPr>
        <w:t>中的任何三种、或者声带全部切除，或者因大脑语言中枢受伤害而患失语症。</w:t>
      </w:r>
    </w:p>
    <w:p>
      <w:pPr>
        <w:pStyle w:val="BodyText"/>
        <w:spacing w:line="242" w:lineRule="auto" w:before="61"/>
        <w:ind w:left="372" w:right="373"/>
      </w:pPr>
      <w:r>
        <w:rPr>
          <w:spacing w:val="-2"/>
        </w:rPr>
        <w:t>咀嚼吞咽能力完全丧失，指因牙齿以外的原因导致器质障碍或者机能障碍，以致不</w:t>
      </w:r>
      <w:r>
        <w:rPr>
          <w:spacing w:val="-2"/>
        </w:rPr>
        <w:t>能作咀嚼吞咽运动，除流质食物外不能摄取或者吞咽的状态。</w:t>
      </w:r>
    </w:p>
    <w:p>
      <w:pPr>
        <w:spacing w:after="0" w:line="242" w:lineRule="auto"/>
        <w:sectPr>
          <w:type w:val="continuous"/>
          <w:pgSz w:w="11910" w:h="16850"/>
          <w:pgMar w:top="520" w:bottom="280" w:left="620" w:right="720"/>
          <w:cols w:num="2" w:equalWidth="0">
            <w:col w:w="2196" w:space="40"/>
            <w:col w:w="8334"/>
          </w:cols>
        </w:sectPr>
      </w:pPr>
    </w:p>
    <w:p>
      <w:pPr>
        <w:pStyle w:val="BodyText"/>
        <w:spacing w:before="7"/>
        <w:rPr>
          <w:sz w:val="12"/>
        </w:rPr>
      </w:pPr>
    </w:p>
    <w:p>
      <w:pPr>
        <w:spacing w:after="0"/>
        <w:rPr>
          <w:sz w:val="12"/>
        </w:rPr>
        <w:sectPr>
          <w:type w:val="continuous"/>
          <w:pgSz w:w="11910" w:h="16850"/>
          <w:pgMar w:top="520" w:bottom="280" w:left="620" w:right="720"/>
        </w:sectPr>
      </w:pPr>
    </w:p>
    <w:p>
      <w:pPr>
        <w:pStyle w:val="Heading3"/>
        <w:numPr>
          <w:ilvl w:val="3"/>
          <w:numId w:val="4"/>
        </w:numPr>
        <w:tabs>
          <w:tab w:pos="661" w:val="left" w:leader="none"/>
        </w:tabs>
        <w:spacing w:line="240" w:lineRule="auto" w:before="71" w:after="0"/>
        <w:ind w:left="660" w:right="0" w:hanging="661"/>
        <w:jc w:val="right"/>
      </w:pPr>
      <w:r>
        <w:rPr>
          <w:spacing w:val="-2"/>
        </w:rPr>
        <w:t>六项基本日</w:t>
      </w:r>
    </w:p>
    <w:p>
      <w:pPr>
        <w:spacing w:before="2"/>
        <w:ind w:left="0" w:right="0" w:firstLine="0"/>
        <w:jc w:val="right"/>
        <w:rPr>
          <w:b/>
          <w:sz w:val="21"/>
        </w:rPr>
      </w:pPr>
      <w:r>
        <w:rPr>
          <w:b/>
          <w:spacing w:val="-2"/>
          <w:sz w:val="21"/>
        </w:rPr>
        <w:t>常生活活动</w:t>
      </w:r>
    </w:p>
    <w:p>
      <w:pPr>
        <w:pStyle w:val="BodyText"/>
        <w:spacing w:before="71"/>
        <w:ind w:left="372"/>
      </w:pPr>
      <w:r>
        <w:rPr/>
        <w:br w:type="column"/>
      </w:r>
      <w:r>
        <w:rPr>
          <w:spacing w:val="-3"/>
        </w:rPr>
        <w:t>六项基本日常生活活动是指：</w:t>
      </w:r>
    </w:p>
    <w:p>
      <w:pPr>
        <w:pStyle w:val="ListParagraph"/>
        <w:numPr>
          <w:ilvl w:val="0"/>
          <w:numId w:val="73"/>
        </w:numPr>
        <w:tabs>
          <w:tab w:pos="1093" w:val="left" w:leader="none"/>
        </w:tabs>
        <w:spacing w:line="240" w:lineRule="auto" w:before="62" w:after="0"/>
        <w:ind w:left="1092" w:right="0" w:hanging="721"/>
        <w:jc w:val="left"/>
        <w:rPr>
          <w:sz w:val="21"/>
        </w:rPr>
      </w:pPr>
      <w:r>
        <w:rPr>
          <w:spacing w:val="-3"/>
          <w:sz w:val="21"/>
        </w:rPr>
        <w:t>穿衣：自己能够穿衣及脱衣；</w:t>
      </w:r>
    </w:p>
    <w:p>
      <w:pPr>
        <w:pStyle w:val="ListParagraph"/>
        <w:numPr>
          <w:ilvl w:val="0"/>
          <w:numId w:val="73"/>
        </w:numPr>
        <w:tabs>
          <w:tab w:pos="1093" w:val="left" w:leader="none"/>
        </w:tabs>
        <w:spacing w:line="240" w:lineRule="auto" w:before="65" w:after="0"/>
        <w:ind w:left="1092" w:right="0" w:hanging="721"/>
        <w:jc w:val="left"/>
        <w:rPr>
          <w:sz w:val="21"/>
        </w:rPr>
      </w:pPr>
      <w:r>
        <w:rPr>
          <w:spacing w:val="-3"/>
          <w:sz w:val="21"/>
        </w:rPr>
        <w:t>移动：自己从一个房间到另一个房间；</w:t>
      </w:r>
    </w:p>
    <w:p>
      <w:pPr>
        <w:pStyle w:val="ListParagraph"/>
        <w:numPr>
          <w:ilvl w:val="0"/>
          <w:numId w:val="73"/>
        </w:numPr>
        <w:tabs>
          <w:tab w:pos="1093" w:val="left" w:leader="none"/>
        </w:tabs>
        <w:spacing w:line="240" w:lineRule="auto" w:before="62" w:after="0"/>
        <w:ind w:left="1092" w:right="0" w:hanging="721"/>
        <w:jc w:val="left"/>
        <w:rPr>
          <w:sz w:val="21"/>
        </w:rPr>
      </w:pPr>
      <w:r>
        <w:rPr>
          <w:spacing w:val="-3"/>
          <w:sz w:val="21"/>
        </w:rPr>
        <w:t>行动：自己上下床或者上下轮椅；</w:t>
      </w:r>
    </w:p>
    <w:p>
      <w:pPr>
        <w:pStyle w:val="ListParagraph"/>
        <w:numPr>
          <w:ilvl w:val="0"/>
          <w:numId w:val="73"/>
        </w:numPr>
        <w:tabs>
          <w:tab w:pos="1093" w:val="left" w:leader="none"/>
        </w:tabs>
        <w:spacing w:line="240" w:lineRule="auto" w:before="65" w:after="0"/>
        <w:ind w:left="1092" w:right="0" w:hanging="721"/>
        <w:jc w:val="left"/>
        <w:rPr>
          <w:sz w:val="21"/>
        </w:rPr>
      </w:pPr>
      <w:r>
        <w:rPr>
          <w:spacing w:val="-3"/>
          <w:sz w:val="21"/>
        </w:rPr>
        <w:t>如厕：自己控制进行大小便；</w:t>
      </w:r>
    </w:p>
    <w:p>
      <w:pPr>
        <w:pStyle w:val="ListParagraph"/>
        <w:numPr>
          <w:ilvl w:val="0"/>
          <w:numId w:val="73"/>
        </w:numPr>
        <w:tabs>
          <w:tab w:pos="1093" w:val="left" w:leader="none"/>
        </w:tabs>
        <w:spacing w:line="240" w:lineRule="auto" w:before="62" w:after="0"/>
        <w:ind w:left="1092" w:right="0" w:hanging="721"/>
        <w:jc w:val="left"/>
        <w:rPr>
          <w:sz w:val="21"/>
        </w:rPr>
      </w:pPr>
      <w:r>
        <w:rPr>
          <w:spacing w:val="-3"/>
          <w:sz w:val="21"/>
        </w:rPr>
        <w:t>进食：自己从已准备好的碗或者碟中取食物放入口中；</w:t>
      </w:r>
    </w:p>
    <w:p>
      <w:pPr>
        <w:pStyle w:val="ListParagraph"/>
        <w:numPr>
          <w:ilvl w:val="0"/>
          <w:numId w:val="73"/>
        </w:numPr>
        <w:tabs>
          <w:tab w:pos="1093" w:val="left" w:leader="none"/>
        </w:tabs>
        <w:spacing w:line="240" w:lineRule="auto" w:before="65" w:after="0"/>
        <w:ind w:left="1092" w:right="0" w:hanging="721"/>
        <w:jc w:val="left"/>
        <w:rPr>
          <w:sz w:val="21"/>
        </w:rPr>
      </w:pPr>
      <w:r>
        <w:rPr>
          <w:spacing w:val="-3"/>
          <w:sz w:val="21"/>
        </w:rPr>
        <w:t>洗澡：自己进行淋浴或者盆浴。</w:t>
      </w:r>
    </w:p>
    <w:p>
      <w:pPr>
        <w:spacing w:after="0" w:line="240" w:lineRule="auto"/>
        <w:jc w:val="left"/>
        <w:rPr>
          <w:sz w:val="21"/>
        </w:rPr>
        <w:sectPr>
          <w:type w:val="continuous"/>
          <w:pgSz w:w="11910" w:h="16850"/>
          <w:pgMar w:top="520" w:bottom="280" w:left="620" w:right="720"/>
          <w:cols w:num="2" w:equalWidth="0">
            <w:col w:w="2196" w:space="40"/>
            <w:col w:w="8334"/>
          </w:cols>
        </w:sectPr>
      </w:pPr>
    </w:p>
    <w:p>
      <w:pPr>
        <w:pStyle w:val="BodyText"/>
        <w:spacing w:before="7"/>
        <w:rPr>
          <w:sz w:val="12"/>
        </w:rPr>
      </w:pPr>
    </w:p>
    <w:p>
      <w:pPr>
        <w:pStyle w:val="ListParagraph"/>
        <w:numPr>
          <w:ilvl w:val="3"/>
          <w:numId w:val="4"/>
        </w:numPr>
        <w:tabs>
          <w:tab w:pos="1140" w:val="left" w:leader="none"/>
          <w:tab w:pos="2608" w:val="left" w:leader="none"/>
        </w:tabs>
        <w:spacing w:line="242" w:lineRule="auto" w:before="72" w:after="0"/>
        <w:ind w:left="2608" w:right="370" w:hanging="2130"/>
        <w:jc w:val="left"/>
        <w:rPr>
          <w:sz w:val="21"/>
        </w:rPr>
      </w:pPr>
      <w:r>
        <w:rPr>
          <w:b/>
          <w:spacing w:val="-2"/>
          <w:sz w:val="21"/>
        </w:rPr>
        <w:t>永</w:t>
      </w:r>
      <w:r>
        <w:rPr>
          <w:b/>
          <w:spacing w:val="-2"/>
          <w:sz w:val="21"/>
        </w:rPr>
        <w:t>久</w:t>
      </w:r>
      <w:r>
        <w:rPr>
          <w:b/>
          <w:spacing w:val="-2"/>
          <w:sz w:val="21"/>
        </w:rPr>
        <w:t>不</w:t>
      </w:r>
      <w:r>
        <w:rPr>
          <w:b/>
          <w:spacing w:val="-2"/>
          <w:sz w:val="21"/>
        </w:rPr>
        <w:t>可</w:t>
      </w:r>
      <w:r>
        <w:rPr>
          <w:b/>
          <w:spacing w:val="-2"/>
          <w:sz w:val="21"/>
        </w:rPr>
        <w:t>逆</w:t>
      </w:r>
      <w:r>
        <w:rPr>
          <w:b/>
          <w:sz w:val="21"/>
        </w:rPr>
        <w:tab/>
      </w:r>
      <w:r>
        <w:rPr>
          <w:spacing w:val="-4"/>
          <w:sz w:val="21"/>
        </w:rPr>
        <w:t>指</w:t>
      </w:r>
      <w:r>
        <w:rPr>
          <w:spacing w:val="-4"/>
          <w:sz w:val="21"/>
        </w:rPr>
        <w:t>自</w:t>
      </w:r>
      <w:r>
        <w:rPr>
          <w:spacing w:val="-4"/>
          <w:sz w:val="21"/>
        </w:rPr>
        <w:t>疾病确诊或者意外伤</w:t>
      </w:r>
      <w:r>
        <w:rPr>
          <w:spacing w:val="-4"/>
          <w:sz w:val="21"/>
        </w:rPr>
        <w:t>害</w:t>
      </w:r>
      <w:r>
        <w:rPr>
          <w:spacing w:val="-4"/>
          <w:sz w:val="21"/>
        </w:rPr>
        <w:t>发</w:t>
      </w:r>
      <w:r>
        <w:rPr>
          <w:spacing w:val="-4"/>
          <w:sz w:val="21"/>
        </w:rPr>
        <w:t>生之日起，经过积极</w:t>
      </w:r>
      <w:r>
        <w:rPr>
          <w:spacing w:val="-4"/>
          <w:sz w:val="21"/>
        </w:rPr>
        <w:t>治</w:t>
      </w:r>
      <w:r>
        <w:rPr>
          <w:spacing w:val="-4"/>
          <w:sz w:val="21"/>
        </w:rPr>
        <w:t>疗</w:t>
      </w:r>
      <w:r>
        <w:rPr>
          <w:spacing w:val="-4"/>
          <w:sz w:val="21"/>
        </w:rPr>
        <w:t>180天后，仍无法通过现有医</w:t>
      </w:r>
      <w:r>
        <w:rPr>
          <w:spacing w:val="-2"/>
          <w:sz w:val="21"/>
        </w:rPr>
        <w:t>疗</w:t>
      </w:r>
      <w:r>
        <w:rPr>
          <w:spacing w:val="-2"/>
          <w:sz w:val="21"/>
        </w:rPr>
        <w:t>手</w:t>
      </w:r>
      <w:r>
        <w:rPr>
          <w:spacing w:val="-2"/>
          <w:sz w:val="21"/>
        </w:rPr>
        <w:t>段恢复。</w:t>
      </w: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2" w:lineRule="auto" w:before="72" w:after="0"/>
        <w:ind w:left="1139" w:right="0" w:hanging="661"/>
        <w:jc w:val="left"/>
      </w:pPr>
      <w:r>
        <w:rPr>
          <w:spacing w:val="-2"/>
        </w:rPr>
        <w:t>床位费及膳</w:t>
      </w:r>
      <w:r>
        <w:rPr>
          <w:spacing w:val="-6"/>
        </w:rPr>
        <w:t>食费</w:t>
      </w:r>
    </w:p>
    <w:p>
      <w:pPr>
        <w:pStyle w:val="BodyText"/>
        <w:spacing w:before="72"/>
        <w:ind w:left="372"/>
        <w:rPr>
          <w:rFonts w:ascii="黑体" w:eastAsia="黑体"/>
        </w:rPr>
      </w:pPr>
      <w:r>
        <w:rPr/>
        <w:br w:type="column"/>
      </w:r>
      <w:r>
        <w:rPr>
          <w:spacing w:val="-2"/>
        </w:rPr>
        <w:t>床位费指被保险人住院期间使用的医院床位的费用，</w:t>
      </w:r>
      <w:r>
        <w:rPr>
          <w:rFonts w:ascii="黑体" w:eastAsia="黑体"/>
          <w:spacing w:val="-3"/>
        </w:rPr>
        <w:t>但不包括重症监护室床位费。</w:t>
      </w:r>
    </w:p>
    <w:p>
      <w:pPr>
        <w:pStyle w:val="BodyText"/>
        <w:spacing w:line="244" w:lineRule="auto" w:before="62"/>
        <w:ind w:left="372" w:right="373"/>
      </w:pPr>
      <w:r>
        <w:rPr>
          <w:spacing w:val="-2"/>
        </w:rPr>
        <w:t>膳食费指根据医生的医嘱且由医院内设的专门为住院病人配餐的食堂配送的并符合</w:t>
      </w:r>
      <w:r>
        <w:rPr>
          <w:spacing w:val="-2"/>
        </w:rPr>
        <w:t>通常惯例的膳食费用。</w:t>
      </w:r>
      <w:r>
        <w:rPr>
          <w:rFonts w:ascii="黑体" w:eastAsia="黑体"/>
          <w:spacing w:val="-2"/>
        </w:rPr>
        <w:t>膳食费应包含在医疗账单内</w:t>
      </w:r>
      <w:r>
        <w:rPr>
          <w:spacing w:val="-2"/>
        </w:rPr>
        <w:t>。</w:t>
      </w:r>
    </w:p>
    <w:p>
      <w:pPr>
        <w:pStyle w:val="BodyText"/>
        <w:spacing w:before="56"/>
        <w:ind w:left="365"/>
        <w:rPr>
          <w:rFonts w:ascii="黑体" w:eastAsia="黑体"/>
        </w:rPr>
      </w:pPr>
      <w:r>
        <w:rPr>
          <w:rFonts w:ascii="黑体" w:eastAsia="黑体"/>
          <w:spacing w:val="-4"/>
        </w:rPr>
        <w:t>膳食费不包括：</w:t>
      </w:r>
    </w:p>
    <w:p>
      <w:pPr>
        <w:spacing w:after="0"/>
        <w:rPr>
          <w:rFonts w:ascii="黑体" w:eastAsia="黑体"/>
        </w:rPr>
        <w:sectPr>
          <w:type w:val="continuous"/>
          <w:pgSz w:w="11910" w:h="16850"/>
          <w:pgMar w:top="520" w:bottom="280" w:left="620" w:right="720"/>
          <w:cols w:num="2" w:equalWidth="0">
            <w:col w:w="2196" w:space="40"/>
            <w:col w:w="8334"/>
          </w:cols>
        </w:sectPr>
      </w:pPr>
    </w:p>
    <w:p>
      <w:pPr>
        <w:pStyle w:val="ListParagraph"/>
        <w:numPr>
          <w:ilvl w:val="0"/>
          <w:numId w:val="74"/>
        </w:numPr>
        <w:tabs>
          <w:tab w:pos="3322" w:val="left" w:leader="none"/>
        </w:tabs>
        <w:spacing w:line="240" w:lineRule="auto" w:before="53" w:after="0"/>
        <w:ind w:left="3321" w:right="0" w:hanging="721"/>
        <w:jc w:val="left"/>
        <w:rPr>
          <w:rFonts w:ascii="黑体" w:eastAsia="黑体"/>
          <w:sz w:val="21"/>
        </w:rPr>
      </w:pPr>
      <w:r>
        <w:rPr>
          <w:rFonts w:ascii="黑体" w:eastAsia="黑体"/>
          <w:spacing w:val="-3"/>
          <w:sz w:val="21"/>
        </w:rPr>
        <w:t>所住医院外其他营利性餐饮服务机构提供的餐饮费用；</w:t>
      </w:r>
    </w:p>
    <w:p>
      <w:pPr>
        <w:pStyle w:val="ListParagraph"/>
        <w:numPr>
          <w:ilvl w:val="0"/>
          <w:numId w:val="74"/>
        </w:numPr>
        <w:tabs>
          <w:tab w:pos="3322" w:val="left" w:leader="none"/>
        </w:tabs>
        <w:spacing w:line="240" w:lineRule="auto" w:before="64" w:after="0"/>
        <w:ind w:left="3321" w:right="0" w:hanging="721"/>
        <w:jc w:val="left"/>
        <w:rPr>
          <w:rFonts w:ascii="黑体" w:eastAsia="黑体"/>
          <w:sz w:val="21"/>
        </w:rPr>
      </w:pPr>
      <w:r>
        <w:rPr>
          <w:rFonts w:ascii="黑体" w:eastAsia="黑体"/>
          <w:spacing w:val="-3"/>
          <w:sz w:val="21"/>
        </w:rPr>
        <w:t>不是根据医嘱配送的、在医院对外营业的餐厅或者食堂的餐饮费用；</w:t>
      </w:r>
    </w:p>
    <w:p>
      <w:pPr>
        <w:pStyle w:val="ListParagraph"/>
        <w:numPr>
          <w:ilvl w:val="0"/>
          <w:numId w:val="74"/>
        </w:numPr>
        <w:tabs>
          <w:tab w:pos="3322" w:val="left" w:leader="none"/>
        </w:tabs>
        <w:spacing w:line="240" w:lineRule="auto" w:before="63" w:after="0"/>
        <w:ind w:left="3321" w:right="0" w:hanging="721"/>
        <w:jc w:val="left"/>
        <w:rPr>
          <w:rFonts w:ascii="黑体" w:eastAsia="黑体"/>
          <w:sz w:val="21"/>
        </w:rPr>
      </w:pPr>
      <w:r>
        <w:rPr>
          <w:rFonts w:ascii="黑体" w:eastAsia="黑体"/>
          <w:spacing w:val="-3"/>
          <w:sz w:val="21"/>
        </w:rPr>
        <w:t>不在医院开具的医疗费用清单上的餐饮费用。</w:t>
      </w:r>
    </w:p>
    <w:p>
      <w:pPr>
        <w:pStyle w:val="BodyText"/>
        <w:spacing w:before="9"/>
        <w:rPr>
          <w:rFonts w:ascii="黑体"/>
          <w:sz w:val="12"/>
        </w:rPr>
      </w:pPr>
    </w:p>
    <w:p>
      <w:pPr>
        <w:spacing w:after="0"/>
        <w:rPr>
          <w:rFonts w:ascii="黑体"/>
          <w:sz w:val="12"/>
        </w:rPr>
        <w:sectPr>
          <w:pgSz w:w="11910" w:h="16850"/>
          <w:pgMar w:top="114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监护人陪护</w:t>
      </w:r>
    </w:p>
    <w:p>
      <w:pPr>
        <w:spacing w:before="2"/>
        <w:ind w:left="1139" w:right="0" w:firstLine="0"/>
        <w:jc w:val="left"/>
        <w:rPr>
          <w:b/>
          <w:sz w:val="21"/>
        </w:rPr>
      </w:pPr>
      <w:r>
        <w:rPr>
          <w:b/>
          <w:spacing w:val="-4"/>
          <w:sz w:val="21"/>
        </w:rPr>
        <w:t>床位费</w:t>
      </w:r>
    </w:p>
    <w:p>
      <w:pPr>
        <w:pStyle w:val="BodyText"/>
        <w:spacing w:line="242" w:lineRule="auto" w:before="72"/>
        <w:ind w:left="372" w:right="370"/>
        <w:jc w:val="both"/>
      </w:pPr>
      <w:r>
        <w:rPr/>
        <w:br w:type="column"/>
      </w:r>
      <w:r>
        <w:rPr>
          <w:spacing w:val="-2"/>
        </w:rPr>
        <w:t>指未满18</w:t>
      </w:r>
      <w:r>
        <w:rPr>
          <w:spacing w:val="-12"/>
        </w:rPr>
        <w:t>周岁的被保险人在住院治疗期间，我们根据合同约定给付其合法监护人</w:t>
      </w:r>
      <w:r>
        <w:rPr>
          <w:spacing w:val="-2"/>
        </w:rPr>
        <w:t>（限</w:t>
      </w:r>
      <w:r>
        <w:rPr>
          <w:spacing w:val="-2"/>
        </w:rPr>
        <w:t> </w:t>
      </w:r>
      <w:r>
        <w:rPr>
          <w:spacing w:val="-4"/>
        </w:rPr>
        <w:t>1人）在医院留宿发生的陪护床位费；或者女性被保险人在住院治疗期间，我们根据</w:t>
      </w:r>
      <w:r>
        <w:rPr>
          <w:spacing w:val="-2"/>
        </w:rPr>
        <w:t>合同约定给付其1周岁以下哺乳期婴儿在医院留宿发生的加床费。</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6"/>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0" w:lineRule="auto" w:before="72" w:after="0"/>
        <w:ind w:left="1139" w:right="0" w:hanging="661"/>
        <w:jc w:val="left"/>
      </w:pPr>
      <w:r>
        <w:rPr>
          <w:spacing w:val="-2"/>
        </w:rPr>
        <w:t>重症监护室</w:t>
      </w:r>
    </w:p>
    <w:p>
      <w:pPr>
        <w:spacing w:before="4"/>
        <w:ind w:left="1139" w:right="0" w:firstLine="0"/>
        <w:jc w:val="left"/>
        <w:rPr>
          <w:b/>
          <w:sz w:val="21"/>
        </w:rPr>
      </w:pPr>
      <w:r>
        <w:rPr>
          <w:b/>
          <w:spacing w:val="-4"/>
          <w:sz w:val="21"/>
        </w:rPr>
        <w:t>床位费</w:t>
      </w:r>
    </w:p>
    <w:p>
      <w:pPr>
        <w:pStyle w:val="BodyText"/>
        <w:spacing w:line="244" w:lineRule="auto" w:before="72"/>
        <w:ind w:left="372" w:right="372"/>
      </w:pPr>
      <w:r>
        <w:rPr/>
        <w:br w:type="column"/>
      </w:r>
      <w:r>
        <w:rPr>
          <w:spacing w:val="-2"/>
        </w:rPr>
        <w:t>指住院期间出于</w:t>
      </w:r>
      <w:r>
        <w:rPr>
          <w:rFonts w:ascii="黑体" w:eastAsia="黑体"/>
          <w:spacing w:val="-2"/>
        </w:rPr>
        <w:t>医学必需</w:t>
      </w:r>
      <w:r>
        <w:rPr>
          <w:spacing w:val="-2"/>
        </w:rPr>
        <w:t>被保险人需在重症监护室进行</w:t>
      </w:r>
      <w:r>
        <w:rPr>
          <w:rFonts w:ascii="黑体" w:eastAsia="黑体"/>
          <w:spacing w:val="-2"/>
        </w:rPr>
        <w:t>合理且必要</w:t>
      </w:r>
      <w:r>
        <w:rPr>
          <w:spacing w:val="-2"/>
        </w:rPr>
        <w:t>的医疗而产生的</w:t>
      </w:r>
      <w:r>
        <w:rPr>
          <w:spacing w:val="-4"/>
        </w:rPr>
        <w:t>床位费。</w:t>
      </w:r>
    </w:p>
    <w:p>
      <w:pPr>
        <w:pStyle w:val="BodyText"/>
        <w:spacing w:line="242" w:lineRule="auto" w:before="55"/>
        <w:ind w:left="372" w:right="373"/>
        <w:jc w:val="both"/>
      </w:pPr>
      <w:r>
        <w:rPr>
          <w:spacing w:val="-2"/>
        </w:rPr>
        <w:t>重症监护室指配有中心监护台、心电监护仪及其他监护抢救设施，相对封闭管理，</w:t>
      </w:r>
      <w:r>
        <w:rPr>
          <w:spacing w:val="-2"/>
        </w:rPr>
        <w:t>符合重症监护病房（ICU）、冠心病重症监护病房（CCU）标准的单人或者多人监护</w:t>
      </w:r>
      <w:r>
        <w:rPr>
          <w:spacing w:val="-4"/>
        </w:rPr>
        <w:t>病房。</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6"/>
        <w:rPr>
          <w:sz w:val="12"/>
        </w:rPr>
      </w:pPr>
    </w:p>
    <w:p>
      <w:pPr>
        <w:pStyle w:val="ListParagraph"/>
        <w:numPr>
          <w:ilvl w:val="3"/>
          <w:numId w:val="4"/>
        </w:numPr>
        <w:tabs>
          <w:tab w:pos="1140" w:val="left" w:leader="none"/>
        </w:tabs>
        <w:spacing w:line="244" w:lineRule="auto" w:before="72" w:after="0"/>
        <w:ind w:left="2608" w:right="372" w:hanging="2130"/>
        <w:jc w:val="both"/>
        <w:rPr>
          <w:sz w:val="21"/>
        </w:rPr>
      </w:pPr>
      <w:r>
        <w:rPr>
          <w:b/>
          <w:sz w:val="21"/>
        </w:rPr>
        <w:t>药品费</w:t>
      </w:r>
      <w:r>
        <w:rPr>
          <w:b/>
          <w:spacing w:val="719"/>
          <w:sz w:val="21"/>
        </w:rPr>
        <w:t> </w:t>
      </w:r>
      <w:r>
        <w:rPr>
          <w:sz w:val="21"/>
        </w:rPr>
        <w:t>指在住院、特殊门诊以及住院前后门急诊治疗期间根据医生开具的处方所发生的西</w:t>
      </w:r>
      <w:r>
        <w:rPr>
          <w:spacing w:val="-2"/>
          <w:sz w:val="21"/>
        </w:rPr>
        <w:t>药、中成药和中草药的费用。</w:t>
      </w:r>
    </w:p>
    <w:p>
      <w:pPr>
        <w:pStyle w:val="BodyText"/>
        <w:spacing w:line="244" w:lineRule="auto" w:before="56"/>
        <w:ind w:left="2601" w:right="373"/>
        <w:rPr>
          <w:rFonts w:ascii="黑体" w:eastAsia="黑体"/>
        </w:rPr>
      </w:pPr>
      <w:r>
        <w:rPr>
          <w:rFonts w:ascii="黑体" w:eastAsia="黑体"/>
          <w:spacing w:val="-2"/>
        </w:rPr>
        <w:t>在治疗时当地政府适用的《城镇职工基本医疗保险药品目录》及相关规定中不予给</w:t>
      </w:r>
      <w:r>
        <w:rPr>
          <w:rFonts w:ascii="黑体" w:eastAsia="黑体"/>
          <w:spacing w:val="-2"/>
        </w:rPr>
        <w:t>付的下列药品：</w:t>
      </w:r>
    </w:p>
    <w:p>
      <w:pPr>
        <w:pStyle w:val="BodyText"/>
        <w:spacing w:before="8"/>
        <w:rPr>
          <w:rFonts w:ascii="黑体"/>
          <w:sz w:val="6"/>
        </w:rPr>
      </w:pPr>
    </w:p>
    <w:tbl>
      <w:tblPr>
        <w:tblW w:w="0" w:type="auto"/>
        <w:jc w:val="left"/>
        <w:tblInd w:w="25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74"/>
        <w:gridCol w:w="2249"/>
      </w:tblGrid>
      <w:tr>
        <w:trPr>
          <w:trHeight w:val="272" w:hRule="atLeast"/>
        </w:trPr>
        <w:tc>
          <w:tcPr>
            <w:tcW w:w="674" w:type="dxa"/>
          </w:tcPr>
          <w:p>
            <w:pPr>
              <w:pStyle w:val="TableParagraph"/>
              <w:spacing w:line="241" w:lineRule="exact"/>
              <w:ind w:left="50"/>
              <w:rPr>
                <w:rFonts w:ascii="黑体" w:eastAsia="黑体"/>
                <w:sz w:val="21"/>
              </w:rPr>
            </w:pPr>
            <w:r>
              <w:rPr>
                <w:rFonts w:ascii="黑体" w:eastAsia="黑体"/>
                <w:spacing w:val="-5"/>
                <w:sz w:val="21"/>
              </w:rPr>
              <w:t>（1）</w:t>
            </w:r>
          </w:p>
        </w:tc>
        <w:tc>
          <w:tcPr>
            <w:tcW w:w="2249" w:type="dxa"/>
          </w:tcPr>
          <w:p>
            <w:pPr>
              <w:pStyle w:val="TableParagraph"/>
              <w:spacing w:line="241" w:lineRule="exact"/>
              <w:ind w:left="96"/>
              <w:rPr>
                <w:rFonts w:ascii="黑体" w:eastAsia="黑体"/>
                <w:sz w:val="21"/>
              </w:rPr>
            </w:pPr>
            <w:r>
              <w:rPr>
                <w:rFonts w:ascii="黑体" w:eastAsia="黑体"/>
                <w:spacing w:val="-4"/>
                <w:sz w:val="21"/>
              </w:rPr>
              <w:t>营养补充类药品；</w:t>
            </w:r>
          </w:p>
        </w:tc>
      </w:tr>
      <w:tr>
        <w:trPr>
          <w:trHeight w:val="332" w:hRule="atLeast"/>
        </w:trPr>
        <w:tc>
          <w:tcPr>
            <w:tcW w:w="674" w:type="dxa"/>
          </w:tcPr>
          <w:p>
            <w:pPr>
              <w:pStyle w:val="TableParagraph"/>
              <w:spacing w:before="32"/>
              <w:ind w:left="50"/>
              <w:rPr>
                <w:rFonts w:ascii="黑体" w:eastAsia="黑体"/>
                <w:sz w:val="21"/>
              </w:rPr>
            </w:pPr>
            <w:r>
              <w:rPr>
                <w:rFonts w:ascii="黑体" w:eastAsia="黑体"/>
                <w:spacing w:val="-5"/>
                <w:sz w:val="21"/>
              </w:rPr>
              <w:t>（2）</w:t>
            </w:r>
          </w:p>
        </w:tc>
        <w:tc>
          <w:tcPr>
            <w:tcW w:w="2249" w:type="dxa"/>
          </w:tcPr>
          <w:p>
            <w:pPr>
              <w:pStyle w:val="TableParagraph"/>
              <w:spacing w:before="32"/>
              <w:ind w:left="96"/>
              <w:rPr>
                <w:rFonts w:ascii="黑体" w:eastAsia="黑体"/>
                <w:sz w:val="21"/>
              </w:rPr>
            </w:pPr>
            <w:r>
              <w:rPr>
                <w:rFonts w:ascii="黑体" w:eastAsia="黑体"/>
                <w:spacing w:val="-3"/>
                <w:sz w:val="21"/>
              </w:rPr>
              <w:t>免疫功能调节类药品；</w:t>
            </w:r>
          </w:p>
        </w:tc>
      </w:tr>
      <w:tr>
        <w:trPr>
          <w:trHeight w:val="332" w:hRule="atLeast"/>
        </w:trPr>
        <w:tc>
          <w:tcPr>
            <w:tcW w:w="674" w:type="dxa"/>
          </w:tcPr>
          <w:p>
            <w:pPr>
              <w:pStyle w:val="TableParagraph"/>
              <w:spacing w:before="31"/>
              <w:ind w:left="50"/>
              <w:rPr>
                <w:rFonts w:ascii="黑体" w:eastAsia="黑体"/>
                <w:sz w:val="21"/>
              </w:rPr>
            </w:pPr>
            <w:r>
              <w:rPr>
                <w:rFonts w:ascii="黑体" w:eastAsia="黑体"/>
                <w:spacing w:val="-5"/>
                <w:sz w:val="21"/>
              </w:rPr>
              <w:t>（3）</w:t>
            </w:r>
          </w:p>
        </w:tc>
        <w:tc>
          <w:tcPr>
            <w:tcW w:w="2249" w:type="dxa"/>
          </w:tcPr>
          <w:p>
            <w:pPr>
              <w:pStyle w:val="TableParagraph"/>
              <w:spacing w:before="31"/>
              <w:ind w:left="96"/>
              <w:rPr>
                <w:rFonts w:ascii="黑体" w:eastAsia="黑体"/>
                <w:sz w:val="21"/>
              </w:rPr>
            </w:pPr>
            <w:r>
              <w:rPr>
                <w:rFonts w:ascii="黑体" w:eastAsia="黑体"/>
                <w:spacing w:val="-3"/>
                <w:sz w:val="21"/>
              </w:rPr>
              <w:t>美容及减肥类药品；</w:t>
            </w:r>
          </w:p>
        </w:tc>
      </w:tr>
      <w:tr>
        <w:trPr>
          <w:trHeight w:val="332" w:hRule="atLeast"/>
        </w:trPr>
        <w:tc>
          <w:tcPr>
            <w:tcW w:w="674" w:type="dxa"/>
          </w:tcPr>
          <w:p>
            <w:pPr>
              <w:pStyle w:val="TableParagraph"/>
              <w:spacing w:before="32"/>
              <w:ind w:left="50"/>
              <w:rPr>
                <w:rFonts w:ascii="黑体" w:eastAsia="黑体"/>
                <w:sz w:val="21"/>
              </w:rPr>
            </w:pPr>
            <w:r>
              <w:rPr>
                <w:rFonts w:ascii="黑体" w:eastAsia="黑体"/>
                <w:spacing w:val="-5"/>
                <w:sz w:val="21"/>
              </w:rPr>
              <w:t>（4）</w:t>
            </w:r>
          </w:p>
        </w:tc>
        <w:tc>
          <w:tcPr>
            <w:tcW w:w="2249" w:type="dxa"/>
          </w:tcPr>
          <w:p>
            <w:pPr>
              <w:pStyle w:val="TableParagraph"/>
              <w:spacing w:before="32"/>
              <w:ind w:left="96"/>
              <w:rPr>
                <w:rFonts w:ascii="黑体" w:eastAsia="黑体"/>
                <w:sz w:val="21"/>
              </w:rPr>
            </w:pPr>
            <w:r>
              <w:rPr>
                <w:rFonts w:ascii="黑体" w:eastAsia="黑体"/>
                <w:spacing w:val="-4"/>
                <w:sz w:val="21"/>
              </w:rPr>
              <w:t>预防类药品；</w:t>
            </w:r>
          </w:p>
        </w:tc>
      </w:tr>
      <w:tr>
        <w:trPr>
          <w:trHeight w:val="271" w:hRule="atLeast"/>
        </w:trPr>
        <w:tc>
          <w:tcPr>
            <w:tcW w:w="674" w:type="dxa"/>
          </w:tcPr>
          <w:p>
            <w:pPr>
              <w:pStyle w:val="TableParagraph"/>
              <w:spacing w:line="220" w:lineRule="exact" w:before="31"/>
              <w:ind w:left="50"/>
              <w:rPr>
                <w:rFonts w:ascii="黑体" w:eastAsia="黑体"/>
                <w:sz w:val="21"/>
              </w:rPr>
            </w:pPr>
            <w:r>
              <w:rPr>
                <w:rFonts w:ascii="黑体" w:eastAsia="黑体"/>
                <w:spacing w:val="-5"/>
                <w:sz w:val="21"/>
              </w:rPr>
              <w:t>（5）</w:t>
            </w:r>
          </w:p>
        </w:tc>
        <w:tc>
          <w:tcPr>
            <w:tcW w:w="2249" w:type="dxa"/>
          </w:tcPr>
          <w:p>
            <w:pPr>
              <w:pStyle w:val="TableParagraph"/>
              <w:spacing w:line="220" w:lineRule="exact" w:before="31"/>
              <w:ind w:left="96"/>
              <w:rPr>
                <w:rFonts w:ascii="黑体" w:eastAsia="黑体"/>
                <w:sz w:val="21"/>
              </w:rPr>
            </w:pPr>
            <w:r>
              <w:rPr>
                <w:rFonts w:ascii="黑体" w:eastAsia="黑体"/>
                <w:spacing w:val="-4"/>
                <w:sz w:val="21"/>
              </w:rPr>
              <w:t>中草药类药品，</w:t>
            </w:r>
          </w:p>
        </w:tc>
      </w:tr>
    </w:tbl>
    <w:p>
      <w:pPr>
        <w:pStyle w:val="BodyText"/>
        <w:spacing w:before="96"/>
        <w:ind w:left="2608"/>
        <w:rPr>
          <w:rFonts w:ascii="黑体" w:eastAsia="黑体"/>
        </w:rPr>
      </w:pPr>
      <w:r>
        <w:rPr>
          <w:rFonts w:ascii="黑体" w:eastAsia="黑体"/>
          <w:spacing w:val="-3"/>
        </w:rPr>
        <w:t>均不在本合同的保障范围内。</w:t>
      </w:r>
    </w:p>
    <w:p>
      <w:pPr>
        <w:pStyle w:val="BodyText"/>
        <w:spacing w:before="1"/>
        <w:rPr>
          <w:rFonts w:ascii="黑体"/>
          <w:sz w:val="18"/>
        </w:rPr>
      </w:pPr>
    </w:p>
    <w:p>
      <w:pPr>
        <w:pStyle w:val="ListParagraph"/>
        <w:numPr>
          <w:ilvl w:val="3"/>
          <w:numId w:val="4"/>
        </w:numPr>
        <w:tabs>
          <w:tab w:pos="1140" w:val="left" w:leader="none"/>
        </w:tabs>
        <w:spacing w:line="242" w:lineRule="auto" w:before="1" w:after="0"/>
        <w:ind w:left="2601" w:right="372" w:hanging="2122"/>
        <w:jc w:val="both"/>
        <w:rPr>
          <w:sz w:val="21"/>
        </w:rPr>
      </w:pPr>
      <w:r>
        <w:rPr>
          <w:b/>
          <w:sz w:val="21"/>
        </w:rPr>
        <w:t>治疗费</w:t>
      </w:r>
      <w:r>
        <w:rPr>
          <w:b/>
          <w:spacing w:val="719"/>
          <w:sz w:val="21"/>
        </w:rPr>
        <w:t> </w:t>
      </w:r>
      <w:r>
        <w:rPr>
          <w:sz w:val="21"/>
        </w:rPr>
        <w:t>指由医生或者护士对患者进行的除手术外的各种治疗项目而发生的治疗费，包括因</w:t>
      </w:r>
      <w:r>
        <w:rPr>
          <w:spacing w:val="-2"/>
          <w:sz w:val="21"/>
        </w:rPr>
        <w:t>清创、换药、拆线、脓肿切开引流、瘘管烧灼、血管穿刺、输血、输液、注射、肌</w:t>
      </w:r>
      <w:r>
        <w:rPr>
          <w:spacing w:val="-2"/>
          <w:sz w:val="21"/>
        </w:rPr>
        <w:t>肉封闭、吸氧、放疗、化疗、冷冻、激光、肾透析、急救治疗、心肺复苏等而发生</w:t>
      </w:r>
      <w:r>
        <w:rPr>
          <w:spacing w:val="-2"/>
          <w:sz w:val="21"/>
        </w:rPr>
        <w:t>的治疗费，具体以所就诊医院的费用项目划分为准。</w:t>
      </w:r>
    </w:p>
    <w:p>
      <w:pPr>
        <w:pStyle w:val="BodyText"/>
        <w:spacing w:before="2"/>
        <w:rPr>
          <w:sz w:val="18"/>
        </w:rPr>
      </w:pPr>
    </w:p>
    <w:p>
      <w:pPr>
        <w:pStyle w:val="ListParagraph"/>
        <w:numPr>
          <w:ilvl w:val="3"/>
          <w:numId w:val="4"/>
        </w:numPr>
        <w:tabs>
          <w:tab w:pos="1140" w:val="left" w:leader="none"/>
        </w:tabs>
        <w:spacing w:line="242" w:lineRule="auto" w:before="0" w:after="0"/>
        <w:ind w:left="2601" w:right="373" w:hanging="2122"/>
        <w:jc w:val="both"/>
        <w:rPr>
          <w:sz w:val="21"/>
        </w:rPr>
      </w:pPr>
      <w:r>
        <w:rPr>
          <w:b/>
          <w:sz w:val="21"/>
        </w:rPr>
        <w:t>护理费</w:t>
      </w:r>
      <w:r>
        <w:rPr>
          <w:b/>
          <w:spacing w:val="718"/>
          <w:sz w:val="21"/>
        </w:rPr>
        <w:t> </w:t>
      </w:r>
      <w:r>
        <w:rPr>
          <w:sz w:val="21"/>
        </w:rPr>
        <w:t>指住院期间由护士对被保险人提供临床护理服务所收取的费用。包括各级护理、重</w:t>
      </w:r>
      <w:r>
        <w:rPr>
          <w:spacing w:val="-2"/>
          <w:sz w:val="21"/>
        </w:rPr>
        <w:t>症监护与专项护理费用。</w:t>
      </w:r>
    </w:p>
    <w:p>
      <w:pPr>
        <w:pStyle w:val="BodyText"/>
        <w:spacing w:before="12"/>
        <w:rPr>
          <w:sz w:val="17"/>
        </w:rPr>
      </w:pPr>
    </w:p>
    <w:p>
      <w:pPr>
        <w:pStyle w:val="ListParagraph"/>
        <w:numPr>
          <w:ilvl w:val="3"/>
          <w:numId w:val="4"/>
        </w:numPr>
        <w:tabs>
          <w:tab w:pos="1140" w:val="left" w:leader="none"/>
          <w:tab w:pos="2601" w:val="left" w:leader="none"/>
        </w:tabs>
        <w:spacing w:line="242" w:lineRule="auto" w:before="0" w:after="0"/>
        <w:ind w:left="2601" w:right="264" w:hanging="2122"/>
        <w:jc w:val="left"/>
        <w:rPr>
          <w:sz w:val="21"/>
        </w:rPr>
      </w:pPr>
      <w:r>
        <w:rPr>
          <w:b/>
          <w:spacing w:val="-4"/>
          <w:sz w:val="21"/>
        </w:rPr>
        <w:t>检</w:t>
      </w:r>
      <w:r>
        <w:rPr>
          <w:b/>
          <w:spacing w:val="-4"/>
          <w:sz w:val="21"/>
        </w:rPr>
        <w:t>查</w:t>
      </w:r>
      <w:r>
        <w:rPr>
          <w:b/>
          <w:spacing w:val="-4"/>
          <w:sz w:val="21"/>
        </w:rPr>
        <w:t>化</w:t>
      </w:r>
      <w:r>
        <w:rPr>
          <w:b/>
          <w:spacing w:val="-4"/>
          <w:sz w:val="21"/>
        </w:rPr>
        <w:t>验</w:t>
      </w:r>
      <w:r>
        <w:rPr>
          <w:b/>
          <w:sz w:val="21"/>
        </w:rPr>
        <w:tab/>
      </w:r>
      <w:r>
        <w:rPr>
          <w:spacing w:val="-2"/>
          <w:sz w:val="21"/>
        </w:rPr>
        <w:t>指</w:t>
      </w:r>
      <w:r>
        <w:rPr>
          <w:spacing w:val="-2"/>
          <w:sz w:val="21"/>
        </w:rPr>
        <w:t>由</w:t>
      </w:r>
      <w:r>
        <w:rPr>
          <w:spacing w:val="-2"/>
          <w:sz w:val="21"/>
        </w:rPr>
        <w:t>医生开具的由医院专</w:t>
      </w:r>
      <w:r>
        <w:rPr>
          <w:spacing w:val="-2"/>
          <w:sz w:val="21"/>
        </w:rPr>
        <w:t>项</w:t>
      </w:r>
      <w:r>
        <w:rPr>
          <w:spacing w:val="-2"/>
          <w:sz w:val="21"/>
        </w:rPr>
        <w:t>检</w:t>
      </w:r>
      <w:r>
        <w:rPr>
          <w:spacing w:val="-2"/>
          <w:sz w:val="21"/>
        </w:rPr>
        <w:t>查科室的专业检查</w:t>
      </w:r>
      <w:r>
        <w:rPr>
          <w:spacing w:val="-82"/>
          <w:sz w:val="21"/>
        </w:rPr>
        <w:t>、</w:t>
      </w:r>
      <w:r>
        <w:rPr>
          <w:spacing w:val="-2"/>
          <w:sz w:val="21"/>
        </w:rPr>
        <w:t>检</w:t>
      </w:r>
      <w:r>
        <w:rPr>
          <w:spacing w:val="-2"/>
          <w:sz w:val="21"/>
        </w:rPr>
        <w:t>验</w:t>
      </w:r>
      <w:r>
        <w:rPr>
          <w:spacing w:val="-2"/>
          <w:sz w:val="21"/>
        </w:rPr>
        <w:t>人</w:t>
      </w:r>
      <w:r>
        <w:rPr>
          <w:spacing w:val="-2"/>
          <w:sz w:val="21"/>
        </w:rPr>
        <w:t>员实施的各检查化验</w:t>
      </w:r>
      <w:r>
        <w:rPr>
          <w:spacing w:val="-2"/>
          <w:sz w:val="21"/>
        </w:rPr>
        <w:t>项</w:t>
      </w:r>
      <w:r>
        <w:rPr>
          <w:spacing w:val="-2"/>
          <w:sz w:val="21"/>
        </w:rPr>
        <w:t>目</w:t>
      </w:r>
      <w:r>
        <w:rPr>
          <w:spacing w:val="-2"/>
          <w:sz w:val="21"/>
        </w:rPr>
        <w:t>，</w:t>
      </w:r>
      <w:r>
        <w:rPr>
          <w:spacing w:val="-2"/>
          <w:sz w:val="21"/>
        </w:rPr>
        <w:t>包</w:t>
      </w:r>
      <w:r>
        <w:rPr>
          <w:spacing w:val="-2"/>
          <w:sz w:val="21"/>
        </w:rPr>
        <w:t>括</w:t>
      </w:r>
      <w:r>
        <w:rPr>
          <w:spacing w:val="-2"/>
          <w:sz w:val="21"/>
        </w:rPr>
        <w:t>实验室检查、病理检查、放射线</w:t>
      </w:r>
      <w:r>
        <w:rPr>
          <w:spacing w:val="-2"/>
          <w:sz w:val="21"/>
        </w:rPr>
        <w:t>检</w:t>
      </w:r>
      <w:r>
        <w:rPr>
          <w:spacing w:val="-2"/>
          <w:sz w:val="21"/>
        </w:rPr>
        <w:t>查</w:t>
      </w:r>
      <w:r>
        <w:rPr>
          <w:spacing w:val="-2"/>
          <w:sz w:val="21"/>
        </w:rPr>
        <w:t>、CT、核</w:t>
      </w:r>
      <w:r>
        <w:rPr>
          <w:spacing w:val="-2"/>
          <w:sz w:val="21"/>
        </w:rPr>
        <w:t>磁</w:t>
      </w:r>
      <w:r>
        <w:rPr>
          <w:spacing w:val="-2"/>
          <w:sz w:val="21"/>
        </w:rPr>
        <w:t>共</w:t>
      </w:r>
      <w:r>
        <w:rPr>
          <w:spacing w:val="-2"/>
          <w:sz w:val="21"/>
        </w:rPr>
        <w:t>振检查</w:t>
      </w:r>
      <w:r>
        <w:rPr>
          <w:spacing w:val="18"/>
          <w:sz w:val="21"/>
        </w:rPr>
        <w:t>（</w:t>
      </w:r>
      <w:r>
        <w:rPr>
          <w:spacing w:val="19"/>
          <w:sz w:val="21"/>
        </w:rPr>
        <w:t>MR</w:t>
      </w:r>
      <w:r>
        <w:rPr>
          <w:spacing w:val="17"/>
          <w:sz w:val="21"/>
        </w:rPr>
        <w:t>I</w:t>
      </w:r>
      <w:r>
        <w:rPr>
          <w:spacing w:val="-87"/>
          <w:sz w:val="21"/>
        </w:rPr>
        <w:t>）</w:t>
      </w:r>
      <w:r>
        <w:rPr>
          <w:spacing w:val="-2"/>
          <w:sz w:val="21"/>
        </w:rPr>
        <w:t>、B超、</w:t>
      </w:r>
      <w:r>
        <w:rPr>
          <w:spacing w:val="-2"/>
          <w:sz w:val="21"/>
        </w:rPr>
        <w:t>血</w:t>
      </w:r>
      <w:r>
        <w:rPr>
          <w:spacing w:val="-2"/>
          <w:sz w:val="21"/>
        </w:rPr>
        <w:t>管</w:t>
      </w:r>
      <w:r>
        <w:rPr>
          <w:spacing w:val="-2"/>
          <w:sz w:val="21"/>
        </w:rPr>
        <w:t>造</w:t>
      </w:r>
      <w:r>
        <w:rPr>
          <w:spacing w:val="-2"/>
          <w:sz w:val="21"/>
        </w:rPr>
        <w:t>影</w:t>
      </w:r>
      <w:r>
        <w:rPr>
          <w:spacing w:val="-2"/>
          <w:sz w:val="21"/>
        </w:rPr>
        <w:t>、</w:t>
      </w:r>
      <w:r>
        <w:rPr>
          <w:spacing w:val="-2"/>
          <w:sz w:val="21"/>
        </w:rPr>
        <w:t>同位素、心电图、心</w:t>
      </w:r>
      <w:r>
        <w:rPr>
          <w:spacing w:val="-2"/>
          <w:sz w:val="21"/>
        </w:rPr>
        <w:t>功</w:t>
      </w:r>
      <w:r>
        <w:rPr>
          <w:spacing w:val="-2"/>
          <w:sz w:val="21"/>
        </w:rPr>
        <w:t>能</w:t>
      </w:r>
      <w:r>
        <w:rPr>
          <w:spacing w:val="-2"/>
          <w:sz w:val="21"/>
        </w:rPr>
        <w:t>、肺功能、骨密度、基因学检查。</w:t>
      </w:r>
    </w:p>
    <w:p>
      <w:pPr>
        <w:pStyle w:val="BodyText"/>
        <w:spacing w:before="2"/>
        <w:rPr>
          <w:sz w:val="18"/>
        </w:rPr>
      </w:pPr>
    </w:p>
    <w:p>
      <w:pPr>
        <w:pStyle w:val="ListParagraph"/>
        <w:numPr>
          <w:ilvl w:val="3"/>
          <w:numId w:val="4"/>
        </w:numPr>
        <w:tabs>
          <w:tab w:pos="1140" w:val="left" w:leader="none"/>
          <w:tab w:pos="2601" w:val="left" w:leader="none"/>
        </w:tabs>
        <w:spacing w:line="242" w:lineRule="auto" w:before="1" w:after="0"/>
        <w:ind w:left="2601" w:right="373" w:hanging="2122"/>
        <w:jc w:val="left"/>
        <w:rPr>
          <w:sz w:val="21"/>
        </w:rPr>
      </w:pPr>
      <w:r>
        <w:rPr>
          <w:b/>
          <w:spacing w:val="-4"/>
          <w:sz w:val="21"/>
        </w:rPr>
        <w:t>手</w:t>
      </w:r>
      <w:r>
        <w:rPr>
          <w:b/>
          <w:spacing w:val="-4"/>
          <w:sz w:val="21"/>
        </w:rPr>
        <w:t>术</w:t>
      </w:r>
      <w:r>
        <w:rPr>
          <w:b/>
          <w:spacing w:val="-4"/>
          <w:sz w:val="21"/>
        </w:rPr>
        <w:t>费</w:t>
      </w:r>
      <w:r>
        <w:rPr>
          <w:b/>
          <w:sz w:val="21"/>
        </w:rPr>
        <w:tab/>
      </w:r>
      <w:r>
        <w:rPr>
          <w:spacing w:val="-2"/>
          <w:sz w:val="21"/>
        </w:rPr>
        <w:t>包</w:t>
      </w:r>
      <w:r>
        <w:rPr>
          <w:spacing w:val="-2"/>
          <w:sz w:val="21"/>
        </w:rPr>
        <w:t>括</w:t>
      </w:r>
      <w:r>
        <w:rPr>
          <w:spacing w:val="-2"/>
          <w:sz w:val="21"/>
        </w:rPr>
        <w:t>手</w:t>
      </w:r>
      <w:r>
        <w:rPr>
          <w:spacing w:val="-2"/>
          <w:sz w:val="21"/>
        </w:rPr>
        <w:t>术</w:t>
      </w:r>
      <w:r>
        <w:rPr>
          <w:spacing w:val="-2"/>
          <w:sz w:val="21"/>
        </w:rPr>
        <w:t>费</w:t>
      </w:r>
      <w:r>
        <w:rPr>
          <w:spacing w:val="-2"/>
          <w:sz w:val="21"/>
        </w:rPr>
        <w:t>、</w:t>
      </w:r>
      <w:r>
        <w:rPr>
          <w:spacing w:val="-2"/>
          <w:sz w:val="21"/>
        </w:rPr>
        <w:t>麻</w:t>
      </w:r>
      <w:r>
        <w:rPr>
          <w:spacing w:val="-2"/>
          <w:sz w:val="21"/>
        </w:rPr>
        <w:t>醉</w:t>
      </w:r>
      <w:r>
        <w:rPr>
          <w:spacing w:val="-2"/>
          <w:sz w:val="21"/>
        </w:rPr>
        <w:t>费</w:t>
      </w:r>
      <w:r>
        <w:rPr>
          <w:spacing w:val="-2"/>
          <w:sz w:val="21"/>
        </w:rPr>
        <w:t>、</w:t>
      </w:r>
      <w:r>
        <w:rPr>
          <w:spacing w:val="-2"/>
          <w:sz w:val="21"/>
        </w:rPr>
        <w:t>手</w:t>
      </w:r>
      <w:r>
        <w:rPr>
          <w:spacing w:val="-2"/>
          <w:sz w:val="21"/>
        </w:rPr>
        <w:t>术</w:t>
      </w:r>
      <w:r>
        <w:rPr>
          <w:spacing w:val="-2"/>
          <w:sz w:val="21"/>
        </w:rPr>
        <w:t>监</w:t>
      </w:r>
      <w:r>
        <w:rPr>
          <w:spacing w:val="-2"/>
          <w:sz w:val="21"/>
        </w:rPr>
        <w:t>测</w:t>
      </w:r>
      <w:r>
        <w:rPr>
          <w:spacing w:val="-2"/>
          <w:sz w:val="21"/>
        </w:rPr>
        <w:t>费</w:t>
      </w:r>
      <w:r>
        <w:rPr>
          <w:spacing w:val="-2"/>
          <w:sz w:val="21"/>
        </w:rPr>
        <w:t>、</w:t>
      </w:r>
      <w:r>
        <w:rPr>
          <w:spacing w:val="-2"/>
          <w:sz w:val="21"/>
        </w:rPr>
        <w:t>手</w:t>
      </w:r>
      <w:r>
        <w:rPr>
          <w:spacing w:val="-2"/>
          <w:sz w:val="21"/>
        </w:rPr>
        <w:t>术</w:t>
      </w:r>
      <w:r>
        <w:rPr>
          <w:spacing w:val="-2"/>
          <w:sz w:val="21"/>
        </w:rPr>
        <w:t>辅</w:t>
      </w:r>
      <w:r>
        <w:rPr>
          <w:spacing w:val="-2"/>
          <w:sz w:val="21"/>
        </w:rPr>
        <w:t>助</w:t>
      </w:r>
      <w:r>
        <w:rPr>
          <w:spacing w:val="-2"/>
          <w:sz w:val="21"/>
        </w:rPr>
        <w:t>费</w:t>
      </w:r>
      <w:r>
        <w:rPr>
          <w:spacing w:val="-2"/>
          <w:sz w:val="21"/>
        </w:rPr>
        <w:t>、</w:t>
      </w:r>
      <w:r>
        <w:rPr>
          <w:spacing w:val="-2"/>
          <w:sz w:val="21"/>
        </w:rPr>
        <w:t>未</w:t>
      </w:r>
      <w:r>
        <w:rPr>
          <w:spacing w:val="-2"/>
          <w:sz w:val="21"/>
        </w:rPr>
        <w:t>独</w:t>
      </w:r>
      <w:r>
        <w:rPr>
          <w:spacing w:val="-2"/>
          <w:sz w:val="21"/>
        </w:rPr>
        <w:t>立</w:t>
      </w:r>
      <w:r>
        <w:rPr>
          <w:spacing w:val="-2"/>
          <w:sz w:val="21"/>
        </w:rPr>
        <w:t>记</w:t>
      </w:r>
      <w:r>
        <w:rPr>
          <w:spacing w:val="-2"/>
          <w:sz w:val="21"/>
        </w:rPr>
        <w:t>账</w:t>
      </w:r>
      <w:r>
        <w:rPr>
          <w:spacing w:val="-2"/>
          <w:sz w:val="21"/>
        </w:rPr>
        <w:t>的</w:t>
      </w:r>
      <w:r>
        <w:rPr>
          <w:spacing w:val="-2"/>
          <w:sz w:val="21"/>
        </w:rPr>
        <w:t>术</w:t>
      </w:r>
      <w:r>
        <w:rPr>
          <w:spacing w:val="-2"/>
          <w:sz w:val="21"/>
        </w:rPr>
        <w:t>中</w:t>
      </w:r>
      <w:r>
        <w:rPr>
          <w:spacing w:val="-2"/>
          <w:sz w:val="21"/>
        </w:rPr>
        <w:t>用</w:t>
      </w:r>
      <w:r>
        <w:rPr>
          <w:spacing w:val="-2"/>
          <w:sz w:val="21"/>
        </w:rPr>
        <w:t>药</w:t>
      </w:r>
      <w:r>
        <w:rPr>
          <w:spacing w:val="-2"/>
          <w:sz w:val="21"/>
        </w:rPr>
        <w:t>费</w:t>
      </w:r>
      <w:r>
        <w:rPr>
          <w:spacing w:val="-2"/>
          <w:sz w:val="21"/>
        </w:rPr>
        <w:t>、</w:t>
      </w:r>
      <w:r>
        <w:rPr>
          <w:spacing w:val="-2"/>
          <w:sz w:val="21"/>
        </w:rPr>
        <w:t>手</w:t>
      </w:r>
      <w:r>
        <w:rPr>
          <w:spacing w:val="-2"/>
          <w:sz w:val="21"/>
        </w:rPr>
        <w:t>术</w:t>
      </w:r>
      <w:r>
        <w:rPr>
          <w:spacing w:val="-2"/>
          <w:sz w:val="21"/>
        </w:rPr>
        <w:t>设</w:t>
      </w:r>
      <w:r>
        <w:rPr>
          <w:spacing w:val="-2"/>
          <w:sz w:val="21"/>
        </w:rPr>
        <w:t>备</w:t>
      </w:r>
      <w:r>
        <w:rPr>
          <w:spacing w:val="-2"/>
          <w:sz w:val="21"/>
        </w:rPr>
        <w:t>费、合理且必要的</w:t>
      </w:r>
      <w:r>
        <w:rPr>
          <w:b/>
          <w:spacing w:val="-2"/>
          <w:sz w:val="21"/>
        </w:rPr>
        <w:t>手</w:t>
      </w:r>
      <w:r>
        <w:rPr>
          <w:b/>
          <w:spacing w:val="-2"/>
          <w:sz w:val="21"/>
        </w:rPr>
        <w:t>术</w:t>
      </w:r>
      <w:r>
        <w:rPr>
          <w:b/>
          <w:spacing w:val="-2"/>
          <w:sz w:val="21"/>
        </w:rPr>
        <w:t>植</w:t>
      </w:r>
      <w:r>
        <w:rPr>
          <w:b/>
          <w:spacing w:val="-2"/>
          <w:sz w:val="21"/>
        </w:rPr>
        <w:t>入</w:t>
      </w:r>
      <w:r>
        <w:rPr>
          <w:b/>
          <w:spacing w:val="-2"/>
          <w:sz w:val="21"/>
        </w:rPr>
        <w:t>材</w:t>
      </w:r>
      <w:r>
        <w:rPr>
          <w:b/>
          <w:spacing w:val="-2"/>
          <w:sz w:val="21"/>
        </w:rPr>
        <w:t>料</w:t>
      </w:r>
      <w:r>
        <w:rPr>
          <w:spacing w:val="-2"/>
          <w:sz w:val="21"/>
        </w:rPr>
        <w:t>（</w:t>
      </w:r>
      <w:r>
        <w:rPr>
          <w:spacing w:val="-2"/>
          <w:sz w:val="21"/>
        </w:rPr>
        <w:t>见</w:t>
      </w:r>
      <w:r>
        <w:rPr>
          <w:spacing w:val="-2"/>
          <w:sz w:val="21"/>
        </w:rPr>
        <w:t>8.65）</w:t>
      </w:r>
      <w:r>
        <w:rPr>
          <w:spacing w:val="-2"/>
          <w:sz w:val="21"/>
        </w:rPr>
        <w:t>费</w:t>
      </w:r>
      <w:r>
        <w:rPr>
          <w:spacing w:val="-2"/>
          <w:sz w:val="21"/>
        </w:rPr>
        <w:t>。</w:t>
      </w:r>
    </w:p>
    <w:p>
      <w:pPr>
        <w:pStyle w:val="BodyText"/>
        <w:spacing w:before="4"/>
        <w:rPr>
          <w:sz w:val="12"/>
        </w:rPr>
      </w:pPr>
    </w:p>
    <w:p>
      <w:pPr>
        <w:spacing w:after="0"/>
        <w:rPr>
          <w:sz w:val="12"/>
        </w:rPr>
        <w:sectPr>
          <w:type w:val="continuous"/>
          <w:pgSz w:w="11910" w:h="16850"/>
          <w:pgMar w:top="520" w:bottom="280" w:left="620" w:right="720"/>
        </w:sectPr>
      </w:pPr>
    </w:p>
    <w:p>
      <w:pPr>
        <w:pStyle w:val="Heading3"/>
        <w:numPr>
          <w:ilvl w:val="3"/>
          <w:numId w:val="4"/>
        </w:numPr>
        <w:tabs>
          <w:tab w:pos="1140" w:val="left" w:leader="none"/>
        </w:tabs>
        <w:spacing w:line="244" w:lineRule="auto" w:before="72" w:after="0"/>
        <w:ind w:left="1139" w:right="0" w:hanging="661"/>
        <w:jc w:val="left"/>
      </w:pPr>
      <w:r>
        <w:rPr>
          <w:spacing w:val="-4"/>
        </w:rPr>
        <w:t>医生费（诊疗</w:t>
      </w:r>
      <w:r>
        <w:rPr>
          <w:spacing w:val="-6"/>
        </w:rPr>
        <w:t>费）</w:t>
      </w:r>
    </w:p>
    <w:p>
      <w:pPr>
        <w:pStyle w:val="BodyText"/>
        <w:spacing w:line="244" w:lineRule="auto" w:before="72"/>
        <w:ind w:left="166" w:right="372"/>
      </w:pPr>
      <w:r>
        <w:rPr/>
        <w:br w:type="column"/>
      </w:r>
      <w:r>
        <w:rPr>
          <w:spacing w:val="-2"/>
        </w:rPr>
        <w:t>指由医生所实施的病情咨询及检查、各种器械或者仪器检查、诊断、治疗方案拟订</w:t>
      </w:r>
      <w:r>
        <w:rPr>
          <w:spacing w:val="-2"/>
        </w:rPr>
        <w:t>等各项医疗服务所收取的费用。</w:t>
      </w:r>
    </w:p>
    <w:p>
      <w:pPr>
        <w:spacing w:after="0" w:line="244" w:lineRule="auto"/>
        <w:sectPr>
          <w:type w:val="continuous"/>
          <w:pgSz w:w="11910" w:h="16850"/>
          <w:pgMar w:top="520" w:bottom="280" w:left="620" w:right="720"/>
          <w:cols w:num="2" w:equalWidth="0">
            <w:col w:w="2395" w:space="40"/>
            <w:col w:w="8135"/>
          </w:cols>
        </w:sectPr>
      </w:pPr>
    </w:p>
    <w:p>
      <w:pPr>
        <w:pStyle w:val="BodyText"/>
        <w:spacing w:before="1"/>
        <w:rPr>
          <w:sz w:val="12"/>
        </w:rPr>
      </w:pPr>
    </w:p>
    <w:p>
      <w:pPr>
        <w:pStyle w:val="ListParagraph"/>
        <w:numPr>
          <w:ilvl w:val="3"/>
          <w:numId w:val="4"/>
        </w:numPr>
        <w:tabs>
          <w:tab w:pos="1140" w:val="left" w:leader="none"/>
        </w:tabs>
        <w:spacing w:line="244" w:lineRule="auto" w:before="71" w:after="0"/>
        <w:ind w:left="2601" w:right="372" w:hanging="2122"/>
        <w:jc w:val="both"/>
        <w:rPr>
          <w:sz w:val="21"/>
        </w:rPr>
      </w:pPr>
      <w:r>
        <w:rPr>
          <w:b/>
          <w:sz w:val="21"/>
        </w:rPr>
        <w:t>材料费</w:t>
      </w:r>
      <w:r>
        <w:rPr>
          <w:b/>
          <w:spacing w:val="717"/>
          <w:sz w:val="21"/>
        </w:rPr>
        <w:t> </w:t>
      </w:r>
      <w:r>
        <w:rPr>
          <w:sz w:val="21"/>
        </w:rPr>
        <w:t>指在住院、特殊门诊以及住院前后门急诊治疗期间医生或者</w:t>
      </w:r>
      <w:r>
        <w:rPr>
          <w:b/>
          <w:sz w:val="21"/>
        </w:rPr>
        <w:t>护士</w:t>
      </w:r>
      <w:r>
        <w:rPr>
          <w:sz w:val="21"/>
        </w:rPr>
        <w:t>（见8.66）在为被</w:t>
      </w:r>
      <w:r>
        <w:rPr>
          <w:spacing w:val="-2"/>
          <w:sz w:val="21"/>
        </w:rPr>
        <w:t>保险人进行的各种治疗中所使用的一次性敷料费用。</w:t>
      </w:r>
    </w:p>
    <w:p>
      <w:pPr>
        <w:pStyle w:val="BodyText"/>
        <w:spacing w:before="9"/>
        <w:rPr>
          <w:sz w:val="17"/>
        </w:rPr>
      </w:pPr>
    </w:p>
    <w:p>
      <w:pPr>
        <w:pStyle w:val="ListParagraph"/>
        <w:numPr>
          <w:ilvl w:val="3"/>
          <w:numId w:val="4"/>
        </w:numPr>
        <w:tabs>
          <w:tab w:pos="1140" w:val="left" w:leader="none"/>
        </w:tabs>
        <w:spacing w:line="242" w:lineRule="auto" w:before="0" w:after="0"/>
        <w:ind w:left="2601" w:right="373" w:hanging="2122"/>
        <w:jc w:val="both"/>
        <w:rPr>
          <w:rFonts w:ascii="黑体" w:eastAsia="黑体"/>
          <w:sz w:val="21"/>
        </w:rPr>
      </w:pPr>
      <w:r>
        <w:rPr>
          <w:b/>
          <w:spacing w:val="49"/>
          <w:sz w:val="21"/>
        </w:rPr>
        <w:t>器官移植费 </w:t>
      </w:r>
      <w:r>
        <w:rPr>
          <w:sz w:val="21"/>
        </w:rPr>
        <w:t>器官移植费是指经本公司认可的医院的专科医生明确诊断，根据医学需要必须进行</w:t>
      </w:r>
      <w:r>
        <w:rPr>
          <w:spacing w:val="-2"/>
          <w:sz w:val="21"/>
        </w:rPr>
        <w:t>肝脏移植、肾脏移植、心脏移植、肺脏移植或者骨髓移植而发生的手术费、辅助治</w:t>
      </w:r>
      <w:r>
        <w:rPr>
          <w:spacing w:val="-2"/>
          <w:sz w:val="21"/>
        </w:rPr>
        <w:t>疗费、检验费等。</w:t>
      </w:r>
      <w:r>
        <w:rPr>
          <w:rFonts w:ascii="黑体" w:eastAsia="黑体"/>
          <w:spacing w:val="-2"/>
          <w:sz w:val="21"/>
        </w:rPr>
        <w:t>但不包括因器官供体寻找、获取以及从供体切除、储藏、运送器</w:t>
      </w:r>
      <w:r>
        <w:rPr>
          <w:rFonts w:ascii="黑体" w:eastAsia="黑体"/>
          <w:spacing w:val="-2"/>
          <w:sz w:val="21"/>
        </w:rPr>
        <w:t>官而发生的相关费用。</w:t>
      </w:r>
    </w:p>
    <w:p>
      <w:pPr>
        <w:pStyle w:val="BodyText"/>
        <w:spacing w:before="2"/>
        <w:rPr>
          <w:rFonts w:ascii="黑体"/>
          <w:sz w:val="18"/>
        </w:rPr>
      </w:pPr>
    </w:p>
    <w:p>
      <w:pPr>
        <w:pStyle w:val="ListParagraph"/>
        <w:numPr>
          <w:ilvl w:val="3"/>
          <w:numId w:val="4"/>
        </w:numPr>
        <w:tabs>
          <w:tab w:pos="1140" w:val="left" w:leader="none"/>
          <w:tab w:pos="2601" w:val="left" w:leader="none"/>
        </w:tabs>
        <w:spacing w:line="240" w:lineRule="auto" w:before="0" w:after="0"/>
        <w:ind w:left="1139" w:right="0" w:hanging="661"/>
        <w:jc w:val="left"/>
        <w:rPr>
          <w:sz w:val="21"/>
        </w:rPr>
      </w:pPr>
      <w:r>
        <w:rPr>
          <w:b/>
          <w:sz w:val="21"/>
        </w:rPr>
        <w:t>救护车使</w:t>
      </w:r>
      <w:r>
        <w:rPr>
          <w:b/>
          <w:spacing w:val="-10"/>
          <w:sz w:val="21"/>
        </w:rPr>
        <w:t>用</w:t>
      </w:r>
      <w:r>
        <w:rPr>
          <w:b/>
          <w:sz w:val="21"/>
        </w:rPr>
        <w:tab/>
      </w:r>
      <w:r>
        <w:rPr>
          <w:spacing w:val="-2"/>
          <w:sz w:val="21"/>
        </w:rPr>
        <w:t>指</w:t>
      </w:r>
      <w:r>
        <w:rPr>
          <w:spacing w:val="-2"/>
          <w:sz w:val="21"/>
        </w:rPr>
        <w:t>住</w:t>
      </w:r>
      <w:r>
        <w:rPr>
          <w:spacing w:val="-2"/>
          <w:sz w:val="21"/>
        </w:rPr>
        <w:t>院</w:t>
      </w:r>
      <w:r>
        <w:rPr>
          <w:spacing w:val="-2"/>
          <w:sz w:val="21"/>
        </w:rPr>
        <w:t>期</w:t>
      </w:r>
      <w:r>
        <w:rPr>
          <w:spacing w:val="-2"/>
          <w:sz w:val="21"/>
        </w:rPr>
        <w:t>间</w:t>
      </w:r>
      <w:r>
        <w:rPr>
          <w:spacing w:val="-2"/>
          <w:sz w:val="21"/>
        </w:rPr>
        <w:t>以</w:t>
      </w:r>
      <w:r>
        <w:rPr>
          <w:spacing w:val="-2"/>
          <w:sz w:val="21"/>
        </w:rPr>
        <w:t>抢</w:t>
      </w:r>
      <w:r>
        <w:rPr>
          <w:spacing w:val="-2"/>
          <w:sz w:val="21"/>
        </w:rPr>
        <w:t>救</w:t>
      </w:r>
      <w:r>
        <w:rPr>
          <w:spacing w:val="-2"/>
          <w:sz w:val="21"/>
        </w:rPr>
        <w:t>生</w:t>
      </w:r>
      <w:r>
        <w:rPr>
          <w:spacing w:val="-2"/>
          <w:sz w:val="21"/>
        </w:rPr>
        <w:t>命</w:t>
      </w:r>
      <w:r>
        <w:rPr>
          <w:spacing w:val="-2"/>
          <w:sz w:val="21"/>
        </w:rPr>
        <w:t>或</w:t>
      </w:r>
      <w:r>
        <w:rPr>
          <w:spacing w:val="-2"/>
          <w:sz w:val="21"/>
        </w:rPr>
        <w:t>治</w:t>
      </w:r>
      <w:r>
        <w:rPr>
          <w:spacing w:val="-2"/>
          <w:sz w:val="21"/>
        </w:rPr>
        <w:t>疗</w:t>
      </w:r>
      <w:r>
        <w:rPr>
          <w:spacing w:val="-2"/>
          <w:sz w:val="21"/>
        </w:rPr>
        <w:t>疾</w:t>
      </w:r>
      <w:r>
        <w:rPr>
          <w:spacing w:val="-2"/>
          <w:sz w:val="21"/>
        </w:rPr>
        <w:t>病</w:t>
      </w:r>
      <w:r>
        <w:rPr>
          <w:spacing w:val="-2"/>
          <w:sz w:val="21"/>
        </w:rPr>
        <w:t>为</w:t>
      </w:r>
      <w:r>
        <w:rPr>
          <w:spacing w:val="-2"/>
          <w:sz w:val="21"/>
        </w:rPr>
        <w:t>目</w:t>
      </w:r>
      <w:r>
        <w:rPr>
          <w:spacing w:val="-2"/>
          <w:sz w:val="21"/>
        </w:rPr>
        <w:t>的</w:t>
      </w:r>
      <w:r>
        <w:rPr>
          <w:spacing w:val="-2"/>
          <w:sz w:val="21"/>
        </w:rPr>
        <w:t>，</w:t>
      </w:r>
      <w:r>
        <w:rPr>
          <w:spacing w:val="-2"/>
          <w:sz w:val="21"/>
        </w:rPr>
        <w:t>根</w:t>
      </w:r>
      <w:r>
        <w:rPr>
          <w:spacing w:val="-2"/>
          <w:sz w:val="21"/>
        </w:rPr>
        <w:t>据</w:t>
      </w:r>
      <w:r>
        <w:rPr>
          <w:spacing w:val="-2"/>
          <w:sz w:val="21"/>
        </w:rPr>
        <w:t>医</w:t>
      </w:r>
      <w:r>
        <w:rPr>
          <w:spacing w:val="-2"/>
          <w:sz w:val="21"/>
        </w:rPr>
        <w:t>生</w:t>
      </w:r>
      <w:r>
        <w:rPr>
          <w:spacing w:val="-2"/>
          <w:sz w:val="21"/>
        </w:rPr>
        <w:t>建</w:t>
      </w:r>
      <w:r>
        <w:rPr>
          <w:spacing w:val="-2"/>
          <w:sz w:val="21"/>
        </w:rPr>
        <w:t>议</w:t>
      </w:r>
      <w:r>
        <w:rPr>
          <w:spacing w:val="-2"/>
          <w:sz w:val="21"/>
        </w:rPr>
        <w:t>，</w:t>
      </w:r>
      <w:r>
        <w:rPr>
          <w:spacing w:val="-2"/>
          <w:sz w:val="21"/>
        </w:rPr>
        <w:t>被</w:t>
      </w:r>
      <w:r>
        <w:rPr>
          <w:spacing w:val="-2"/>
          <w:sz w:val="21"/>
        </w:rPr>
        <w:t>保</w:t>
      </w:r>
      <w:r>
        <w:rPr>
          <w:spacing w:val="-2"/>
          <w:sz w:val="21"/>
        </w:rPr>
        <w:t>险</w:t>
      </w:r>
      <w:r>
        <w:rPr>
          <w:spacing w:val="-2"/>
          <w:sz w:val="21"/>
        </w:rPr>
        <w:t>人</w:t>
      </w:r>
      <w:r>
        <w:rPr>
          <w:spacing w:val="-2"/>
          <w:sz w:val="21"/>
        </w:rPr>
        <w:t>需</w:t>
      </w:r>
      <w:r>
        <w:rPr>
          <w:spacing w:val="-2"/>
          <w:sz w:val="21"/>
        </w:rPr>
        <w:t>医</w:t>
      </w:r>
      <w:r>
        <w:rPr>
          <w:spacing w:val="-2"/>
          <w:sz w:val="21"/>
        </w:rPr>
        <w:t>院</w:t>
      </w:r>
      <w:r>
        <w:rPr>
          <w:spacing w:val="-2"/>
          <w:sz w:val="21"/>
        </w:rPr>
        <w:t>转</w:t>
      </w:r>
      <w:r>
        <w:rPr>
          <w:spacing w:val="-2"/>
          <w:sz w:val="21"/>
        </w:rPr>
        <w:t>诊</w:t>
      </w:r>
      <w:r>
        <w:rPr>
          <w:spacing w:val="-10"/>
          <w:sz w:val="21"/>
        </w:rPr>
        <w:t>过</w:t>
      </w:r>
    </w:p>
    <w:p>
      <w:pPr>
        <w:spacing w:after="0" w:line="240" w:lineRule="auto"/>
        <w:jc w:val="left"/>
        <w:rPr>
          <w:sz w:val="21"/>
        </w:rPr>
        <w:sectPr>
          <w:type w:val="continuous"/>
          <w:pgSz w:w="11910" w:h="16850"/>
          <w:pgMar w:top="520" w:bottom="280" w:left="620" w:right="720"/>
        </w:sectPr>
      </w:pPr>
    </w:p>
    <w:p>
      <w:pPr>
        <w:pStyle w:val="BodyText"/>
        <w:tabs>
          <w:tab w:pos="2601" w:val="left" w:leader="none"/>
        </w:tabs>
        <w:spacing w:before="53"/>
        <w:ind w:left="1139"/>
      </w:pPr>
      <w:r>
        <w:rPr>
          <w:b/>
          <w:spacing w:val="-10"/>
        </w:rPr>
        <w:t>费</w:t>
      </w:r>
      <w:r>
        <w:rPr>
          <w:b/>
        </w:rPr>
        <w:tab/>
      </w:r>
      <w:r>
        <w:rPr>
          <w:spacing w:val="-2"/>
        </w:rPr>
        <w:t>程</w:t>
      </w:r>
      <w:r>
        <w:rPr>
          <w:spacing w:val="-2"/>
        </w:rPr>
        <w:t>中</w:t>
      </w:r>
      <w:r>
        <w:rPr>
          <w:spacing w:val="-2"/>
        </w:rPr>
        <w:t>的医院用车费用，且</w:t>
      </w:r>
      <w:r>
        <w:rPr>
          <w:spacing w:val="-2"/>
        </w:rPr>
        <w:t>救</w:t>
      </w:r>
      <w:r>
        <w:rPr>
          <w:spacing w:val="-2"/>
        </w:rPr>
        <w:t>护</w:t>
      </w:r>
      <w:r>
        <w:rPr>
          <w:spacing w:val="-2"/>
        </w:rPr>
        <w:t>车的使用仅限于同一</w:t>
      </w:r>
      <w:r>
        <w:rPr>
          <w:spacing w:val="-2"/>
        </w:rPr>
        <w:t>城</w:t>
      </w:r>
      <w:r>
        <w:rPr>
          <w:spacing w:val="-2"/>
        </w:rPr>
        <w:t>市</w:t>
      </w:r>
      <w:r>
        <w:rPr>
          <w:spacing w:val="-2"/>
        </w:rPr>
        <w:t>中的医疗运</w:t>
      </w:r>
      <w:r>
        <w:rPr>
          <w:spacing w:val="-2"/>
        </w:rPr>
        <w:t>送</w:t>
      </w:r>
      <w:r>
        <w:rPr>
          <w:spacing w:val="-10"/>
        </w:rPr>
        <w:t>。</w:t>
      </w:r>
    </w:p>
    <w:p>
      <w:pPr>
        <w:pStyle w:val="BodyText"/>
        <w:spacing w:before="10"/>
        <w:rPr>
          <w:sz w:val="12"/>
        </w:rPr>
      </w:pPr>
    </w:p>
    <w:p>
      <w:pPr>
        <w:spacing w:after="0"/>
        <w:rPr>
          <w:sz w:val="12"/>
        </w:rPr>
        <w:sectPr>
          <w:pgSz w:w="11910" w:h="16850"/>
          <w:pgMar w:top="1080" w:bottom="280" w:left="620" w:right="720"/>
        </w:sectPr>
      </w:pPr>
    </w:p>
    <w:p>
      <w:pPr>
        <w:pStyle w:val="Heading3"/>
        <w:numPr>
          <w:ilvl w:val="3"/>
          <w:numId w:val="4"/>
        </w:numPr>
        <w:tabs>
          <w:tab w:pos="1140" w:val="left" w:leader="none"/>
        </w:tabs>
        <w:spacing w:line="242" w:lineRule="auto" w:before="71" w:after="0"/>
        <w:ind w:left="1139" w:right="0" w:hanging="661"/>
        <w:jc w:val="left"/>
      </w:pPr>
      <w:r>
        <w:rPr>
          <w:spacing w:val="-2"/>
        </w:rPr>
        <w:t>手术植入材</w:t>
      </w:r>
      <w:r>
        <w:rPr>
          <w:spacing w:val="-10"/>
        </w:rPr>
        <w:t>料</w:t>
      </w:r>
    </w:p>
    <w:p>
      <w:pPr>
        <w:pStyle w:val="BodyText"/>
        <w:spacing w:line="242" w:lineRule="auto" w:before="71"/>
        <w:ind w:left="372" w:right="372"/>
        <w:jc w:val="both"/>
      </w:pPr>
      <w:r>
        <w:rPr/>
        <w:br w:type="column"/>
      </w:r>
      <w:r>
        <w:rPr>
          <w:spacing w:val="-2"/>
        </w:rPr>
        <w:t>指在手术过程中由医生植入患者体内、术后无法自由取摘、只能由医生进行开创手</w:t>
      </w:r>
      <w:r>
        <w:rPr>
          <w:spacing w:val="-2"/>
        </w:rPr>
        <w:t>术才能取出的材料。手术植入材料包括起搏器、钛钉、钛板、钛网、各种支架、人</w:t>
      </w:r>
      <w:r>
        <w:rPr>
          <w:spacing w:val="-2"/>
        </w:rPr>
        <w:t>工关节、人工心脏瓣膜等植入式人工器官等手术中留置体内的生物相容性材料。</w:t>
      </w:r>
    </w:p>
    <w:p>
      <w:pPr>
        <w:spacing w:after="0" w:line="242" w:lineRule="auto"/>
        <w:jc w:val="both"/>
        <w:sectPr>
          <w:type w:val="continuous"/>
          <w:pgSz w:w="11910" w:h="16850"/>
          <w:pgMar w:top="520" w:bottom="280" w:left="620" w:right="720"/>
          <w:cols w:num="2" w:equalWidth="0">
            <w:col w:w="2196" w:space="40"/>
            <w:col w:w="8334"/>
          </w:cols>
        </w:sectPr>
      </w:pPr>
    </w:p>
    <w:p>
      <w:pPr>
        <w:pStyle w:val="BodyText"/>
        <w:spacing w:before="6"/>
        <w:rPr>
          <w:sz w:val="12"/>
        </w:rPr>
      </w:pPr>
    </w:p>
    <w:p>
      <w:pPr>
        <w:pStyle w:val="ListParagraph"/>
        <w:numPr>
          <w:ilvl w:val="3"/>
          <w:numId w:val="4"/>
        </w:numPr>
        <w:tabs>
          <w:tab w:pos="1140" w:val="left" w:leader="none"/>
          <w:tab w:pos="2608" w:val="left" w:leader="none"/>
        </w:tabs>
        <w:spacing w:line="240" w:lineRule="auto" w:before="72" w:after="0"/>
        <w:ind w:left="1139" w:right="0" w:hanging="661"/>
        <w:jc w:val="left"/>
        <w:rPr>
          <w:sz w:val="21"/>
        </w:rPr>
      </w:pPr>
      <w:r>
        <w:rPr>
          <w:b/>
          <w:sz w:val="21"/>
        </w:rPr>
        <w:t>护</w:t>
      </w:r>
      <w:r>
        <w:rPr>
          <w:b/>
          <w:spacing w:val="-10"/>
          <w:sz w:val="21"/>
        </w:rPr>
        <w:t>士</w:t>
      </w:r>
      <w:r>
        <w:rPr>
          <w:b/>
          <w:sz w:val="21"/>
        </w:rPr>
        <w:tab/>
      </w:r>
      <w:r>
        <w:rPr>
          <w:spacing w:val="-2"/>
          <w:sz w:val="21"/>
        </w:rPr>
        <w:t>指</w:t>
      </w:r>
      <w:r>
        <w:rPr>
          <w:spacing w:val="-2"/>
          <w:sz w:val="21"/>
        </w:rPr>
        <w:t>在</w:t>
      </w:r>
      <w:r>
        <w:rPr>
          <w:spacing w:val="-2"/>
          <w:sz w:val="21"/>
        </w:rPr>
        <w:t>医院内合法注册的具有护士执业资格且正在执</w:t>
      </w:r>
      <w:r>
        <w:rPr>
          <w:spacing w:val="-2"/>
          <w:sz w:val="21"/>
        </w:rPr>
        <w:t>业</w:t>
      </w:r>
      <w:r>
        <w:rPr>
          <w:spacing w:val="-2"/>
          <w:sz w:val="21"/>
        </w:rPr>
        <w:t>的</w:t>
      </w:r>
      <w:r>
        <w:rPr>
          <w:spacing w:val="-2"/>
          <w:sz w:val="21"/>
        </w:rPr>
        <w:t>护理人</w:t>
      </w:r>
      <w:r>
        <w:rPr>
          <w:spacing w:val="-2"/>
          <w:sz w:val="21"/>
        </w:rPr>
        <w:t>员</w:t>
      </w:r>
      <w:r>
        <w:rPr>
          <w:spacing w:val="-10"/>
          <w:sz w:val="21"/>
        </w:rPr>
        <w:t>。</w:t>
      </w:r>
    </w:p>
    <w:p>
      <w:pPr>
        <w:spacing w:after="0" w:line="240" w:lineRule="auto"/>
        <w:jc w:val="left"/>
        <w:rPr>
          <w:sz w:val="21"/>
        </w:rPr>
        <w:sectPr>
          <w:type w:val="continuous"/>
          <w:pgSz w:w="11910" w:h="16850"/>
          <w:pgMar w:top="520" w:bottom="280" w:left="620" w:right="720"/>
        </w:sectPr>
      </w:pPr>
    </w:p>
    <w:p>
      <w:pPr>
        <w:pStyle w:val="BodyText"/>
        <w:spacing w:before="53"/>
        <w:ind w:left="512"/>
        <w:rPr>
          <w:rFonts w:ascii="黑体" w:eastAsia="黑体"/>
        </w:rPr>
      </w:pPr>
      <w:r>
        <w:rPr>
          <w:rFonts w:ascii="黑体" w:eastAsia="黑体"/>
          <w:spacing w:val="-18"/>
        </w:rPr>
        <w:t>附表 </w:t>
      </w:r>
      <w:r>
        <w:rPr>
          <w:rFonts w:ascii="黑体" w:eastAsia="黑体"/>
          <w:spacing w:val="-10"/>
        </w:rPr>
        <w:t>1</w:t>
      </w:r>
    </w:p>
    <w:p>
      <w:pPr>
        <w:pStyle w:val="BodyText"/>
        <w:spacing w:before="2"/>
        <w:rPr>
          <w:rFonts w:ascii="黑体"/>
          <w:sz w:val="22"/>
        </w:rPr>
      </w:pPr>
    </w:p>
    <w:tbl>
      <w:tblPr>
        <w:tblW w:w="0" w:type="auto"/>
        <w:jc w:val="left"/>
        <w:tblInd w:w="419"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5850"/>
        <w:gridCol w:w="4040"/>
      </w:tblGrid>
      <w:tr>
        <w:trPr>
          <w:trHeight w:val="321" w:hRule="atLeast"/>
        </w:trPr>
        <w:tc>
          <w:tcPr>
            <w:tcW w:w="9890" w:type="dxa"/>
            <w:gridSpan w:val="2"/>
            <w:tcBorders>
              <w:bottom w:val="single" w:sz="4" w:space="0" w:color="000000"/>
            </w:tcBorders>
          </w:tcPr>
          <w:p>
            <w:pPr>
              <w:pStyle w:val="TableParagraph"/>
              <w:spacing w:line="237" w:lineRule="exact" w:before="64"/>
              <w:ind w:left="2438" w:right="2432"/>
              <w:jc w:val="center"/>
              <w:rPr>
                <w:b/>
                <w:sz w:val="20"/>
              </w:rPr>
            </w:pPr>
            <w:r>
              <w:rPr>
                <w:b/>
                <w:w w:val="95"/>
                <w:sz w:val="20"/>
              </w:rPr>
              <w:t>泰</w:t>
            </w:r>
            <w:r>
              <w:rPr>
                <w:b/>
                <w:w w:val="95"/>
                <w:sz w:val="20"/>
              </w:rPr>
              <w:t>康</w:t>
            </w:r>
            <w:r>
              <w:rPr>
                <w:b/>
                <w:w w:val="95"/>
                <w:sz w:val="20"/>
              </w:rPr>
              <w:t>惠</w:t>
            </w:r>
            <w:r>
              <w:rPr>
                <w:b/>
                <w:w w:val="95"/>
                <w:sz w:val="20"/>
              </w:rPr>
              <w:t>心</w:t>
            </w:r>
            <w:r>
              <w:rPr>
                <w:b/>
                <w:w w:val="95"/>
                <w:sz w:val="20"/>
              </w:rPr>
              <w:t>医</w:t>
            </w:r>
            <w:r>
              <w:rPr>
                <w:b/>
                <w:w w:val="95"/>
                <w:sz w:val="20"/>
              </w:rPr>
              <w:t>疗</w:t>
            </w:r>
            <w:r>
              <w:rPr>
                <w:b/>
                <w:w w:val="95"/>
                <w:sz w:val="20"/>
              </w:rPr>
              <w:t>保</w:t>
            </w:r>
            <w:r>
              <w:rPr>
                <w:b/>
                <w:w w:val="95"/>
                <w:sz w:val="20"/>
              </w:rPr>
              <w:t>险</w:t>
            </w:r>
            <w:r>
              <w:rPr>
                <w:b/>
                <w:w w:val="95"/>
                <w:sz w:val="20"/>
              </w:rPr>
              <w:t>年</w:t>
            </w:r>
            <w:r>
              <w:rPr>
                <w:b/>
                <w:w w:val="95"/>
                <w:sz w:val="20"/>
              </w:rPr>
              <w:t>度免赔额、保险金额及</w:t>
            </w:r>
            <w:r>
              <w:rPr>
                <w:b/>
                <w:w w:val="95"/>
                <w:sz w:val="20"/>
              </w:rPr>
              <w:t>年</w:t>
            </w:r>
            <w:r>
              <w:rPr>
                <w:b/>
                <w:w w:val="95"/>
                <w:sz w:val="20"/>
              </w:rPr>
              <w:t>度</w:t>
            </w:r>
            <w:r>
              <w:rPr>
                <w:b/>
                <w:spacing w:val="-2"/>
                <w:w w:val="95"/>
                <w:sz w:val="20"/>
              </w:rPr>
              <w:t>给付限额表</w:t>
            </w:r>
          </w:p>
        </w:tc>
      </w:tr>
      <w:tr>
        <w:trPr>
          <w:trHeight w:val="318" w:hRule="atLeast"/>
        </w:trPr>
        <w:tc>
          <w:tcPr>
            <w:tcW w:w="9890" w:type="dxa"/>
            <w:gridSpan w:val="2"/>
            <w:tcBorders>
              <w:top w:val="single" w:sz="4" w:space="0" w:color="000000"/>
              <w:bottom w:val="single" w:sz="4" w:space="0" w:color="000000"/>
            </w:tcBorders>
          </w:tcPr>
          <w:p>
            <w:pPr>
              <w:pStyle w:val="TableParagraph"/>
              <w:spacing w:line="237" w:lineRule="exact" w:before="61"/>
              <w:ind w:left="2434" w:right="2432"/>
              <w:jc w:val="center"/>
              <w:rPr>
                <w:sz w:val="20"/>
              </w:rPr>
            </w:pPr>
            <w:r>
              <w:rPr>
                <w:w w:val="95"/>
                <w:sz w:val="20"/>
              </w:rPr>
              <w:t>（</w:t>
            </w:r>
            <w:r>
              <w:rPr>
                <w:w w:val="95"/>
                <w:sz w:val="20"/>
              </w:rPr>
              <w:t>以</w:t>
            </w:r>
            <w:r>
              <w:rPr>
                <w:w w:val="95"/>
                <w:sz w:val="20"/>
              </w:rPr>
              <w:t>下</w:t>
            </w:r>
            <w:r>
              <w:rPr>
                <w:w w:val="95"/>
                <w:sz w:val="20"/>
              </w:rPr>
              <w:t>所</w:t>
            </w:r>
            <w:r>
              <w:rPr>
                <w:w w:val="95"/>
                <w:sz w:val="20"/>
              </w:rPr>
              <w:t>有</w:t>
            </w:r>
            <w:r>
              <w:rPr>
                <w:w w:val="95"/>
                <w:sz w:val="20"/>
              </w:rPr>
              <w:t>金</w:t>
            </w:r>
            <w:r>
              <w:rPr>
                <w:w w:val="95"/>
                <w:sz w:val="20"/>
              </w:rPr>
              <w:t>额</w:t>
            </w:r>
            <w:r>
              <w:rPr>
                <w:w w:val="95"/>
                <w:sz w:val="20"/>
              </w:rPr>
              <w:t>均</w:t>
            </w:r>
            <w:r>
              <w:rPr>
                <w:w w:val="95"/>
                <w:sz w:val="20"/>
              </w:rPr>
              <w:t>以</w:t>
            </w:r>
            <w:r>
              <w:rPr>
                <w:w w:val="95"/>
                <w:sz w:val="20"/>
              </w:rPr>
              <w:t>人民币</w:t>
            </w:r>
            <w:r>
              <w:rPr>
                <w:w w:val="95"/>
                <w:sz w:val="20"/>
              </w:rPr>
              <w:t>计</w:t>
            </w:r>
            <w:r>
              <w:rPr>
                <w:w w:val="95"/>
                <w:sz w:val="20"/>
              </w:rPr>
              <w:t>算</w:t>
            </w:r>
            <w:r>
              <w:rPr>
                <w:w w:val="95"/>
                <w:sz w:val="20"/>
              </w:rPr>
              <w:t>，单</w:t>
            </w:r>
            <w:r>
              <w:rPr>
                <w:w w:val="95"/>
                <w:sz w:val="20"/>
              </w:rPr>
              <w:t>位</w:t>
            </w:r>
            <w:r>
              <w:rPr>
                <w:w w:val="95"/>
                <w:sz w:val="20"/>
              </w:rPr>
              <w:t>为</w:t>
            </w:r>
            <w:r>
              <w:rPr>
                <w:w w:val="95"/>
                <w:sz w:val="20"/>
              </w:rPr>
              <w:t>元</w:t>
            </w:r>
            <w:r>
              <w:rPr>
                <w:spacing w:val="-10"/>
                <w:w w:val="95"/>
                <w:sz w:val="20"/>
              </w:rPr>
              <w:t>）</w:t>
            </w:r>
          </w:p>
        </w:tc>
      </w:tr>
      <w:tr>
        <w:trPr>
          <w:trHeight w:val="321" w:hRule="atLeast"/>
        </w:trPr>
        <w:tc>
          <w:tcPr>
            <w:tcW w:w="5850" w:type="dxa"/>
            <w:tcBorders>
              <w:top w:val="single" w:sz="4" w:space="0" w:color="000000"/>
              <w:bottom w:val="single" w:sz="4" w:space="0" w:color="000000"/>
              <w:right w:val="single" w:sz="4" w:space="0" w:color="000000"/>
            </w:tcBorders>
          </w:tcPr>
          <w:p>
            <w:pPr>
              <w:pStyle w:val="TableParagraph"/>
              <w:spacing w:line="240" w:lineRule="exact" w:before="61"/>
              <w:ind w:left="907" w:right="901"/>
              <w:jc w:val="center"/>
              <w:rPr>
                <w:sz w:val="20"/>
              </w:rPr>
            </w:pPr>
            <w:r>
              <w:rPr>
                <w:w w:val="95"/>
                <w:sz w:val="20"/>
              </w:rPr>
              <w:t>保</w:t>
            </w:r>
            <w:r>
              <w:rPr>
                <w:w w:val="95"/>
                <w:sz w:val="20"/>
              </w:rPr>
              <w:t>险</w:t>
            </w:r>
            <w:r>
              <w:rPr>
                <w:w w:val="95"/>
                <w:sz w:val="20"/>
              </w:rPr>
              <w:t>区</w:t>
            </w:r>
            <w:r>
              <w:rPr>
                <w:spacing w:val="-10"/>
                <w:w w:val="95"/>
                <w:sz w:val="20"/>
              </w:rPr>
              <w:t>域</w:t>
            </w:r>
          </w:p>
        </w:tc>
        <w:tc>
          <w:tcPr>
            <w:tcW w:w="4040" w:type="dxa"/>
            <w:tcBorders>
              <w:top w:val="single" w:sz="4" w:space="0" w:color="000000"/>
              <w:left w:val="single" w:sz="4" w:space="0" w:color="000000"/>
              <w:bottom w:val="single" w:sz="4" w:space="0" w:color="000000"/>
            </w:tcBorders>
          </w:tcPr>
          <w:p>
            <w:pPr>
              <w:pStyle w:val="TableParagraph"/>
              <w:spacing w:line="240" w:lineRule="exact" w:before="61"/>
              <w:ind w:left="106" w:right="100"/>
              <w:jc w:val="center"/>
              <w:rPr>
                <w:sz w:val="20"/>
              </w:rPr>
            </w:pPr>
            <w:r>
              <w:rPr>
                <w:w w:val="95"/>
                <w:sz w:val="20"/>
              </w:rPr>
              <w:t>中</w:t>
            </w:r>
            <w:r>
              <w:rPr>
                <w:w w:val="95"/>
                <w:sz w:val="20"/>
              </w:rPr>
              <w:t>国</w:t>
            </w:r>
            <w:r>
              <w:rPr>
                <w:w w:val="95"/>
                <w:sz w:val="20"/>
              </w:rPr>
              <w:t>大</w:t>
            </w:r>
            <w:r>
              <w:rPr>
                <w:spacing w:val="-10"/>
                <w:w w:val="95"/>
                <w:sz w:val="20"/>
              </w:rPr>
              <w:t>陆</w:t>
            </w:r>
          </w:p>
        </w:tc>
      </w:tr>
      <w:tr>
        <w:trPr>
          <w:trHeight w:val="897" w:hRule="atLeast"/>
        </w:trPr>
        <w:tc>
          <w:tcPr>
            <w:tcW w:w="5850" w:type="dxa"/>
            <w:tcBorders>
              <w:top w:val="single" w:sz="4" w:space="0" w:color="000000"/>
              <w:bottom w:val="single" w:sz="4" w:space="0" w:color="000000"/>
              <w:right w:val="single" w:sz="4" w:space="0" w:color="000000"/>
            </w:tcBorders>
          </w:tcPr>
          <w:p>
            <w:pPr>
              <w:pStyle w:val="TableParagraph"/>
              <w:spacing w:before="3"/>
              <w:rPr>
                <w:rFonts w:ascii="黑体"/>
                <w:sz w:val="27"/>
              </w:rPr>
            </w:pPr>
          </w:p>
          <w:p>
            <w:pPr>
              <w:pStyle w:val="TableParagraph"/>
              <w:ind w:left="907" w:right="901"/>
              <w:jc w:val="center"/>
              <w:rPr>
                <w:sz w:val="20"/>
              </w:rPr>
            </w:pPr>
            <w:r>
              <w:rPr>
                <w:w w:val="95"/>
                <w:sz w:val="20"/>
              </w:rPr>
              <w:t>医</w:t>
            </w:r>
            <w:r>
              <w:rPr>
                <w:w w:val="95"/>
                <w:sz w:val="20"/>
              </w:rPr>
              <w:t>院</w:t>
            </w:r>
            <w:r>
              <w:rPr>
                <w:w w:val="95"/>
                <w:sz w:val="20"/>
              </w:rPr>
              <w:t>类</w:t>
            </w:r>
            <w:r>
              <w:rPr>
                <w:spacing w:val="-10"/>
                <w:w w:val="95"/>
                <w:sz w:val="20"/>
              </w:rPr>
              <w:t>别</w:t>
            </w:r>
          </w:p>
        </w:tc>
        <w:tc>
          <w:tcPr>
            <w:tcW w:w="4040" w:type="dxa"/>
            <w:tcBorders>
              <w:top w:val="single" w:sz="4" w:space="0" w:color="000000"/>
              <w:left w:val="single" w:sz="4" w:space="0" w:color="000000"/>
              <w:bottom w:val="single" w:sz="4" w:space="0" w:color="000000"/>
            </w:tcBorders>
          </w:tcPr>
          <w:p>
            <w:pPr>
              <w:pStyle w:val="TableParagraph"/>
              <w:spacing w:before="61"/>
              <w:ind w:left="106" w:right="100"/>
              <w:jc w:val="center"/>
              <w:rPr>
                <w:sz w:val="20"/>
              </w:rPr>
            </w:pPr>
            <w:r>
              <w:rPr>
                <w:w w:val="95"/>
                <w:sz w:val="20"/>
              </w:rPr>
              <w:t>二</w:t>
            </w:r>
            <w:r>
              <w:rPr>
                <w:w w:val="95"/>
                <w:sz w:val="20"/>
              </w:rPr>
              <w:t>级</w:t>
            </w:r>
            <w:r>
              <w:rPr>
                <w:w w:val="95"/>
                <w:sz w:val="20"/>
              </w:rPr>
              <w:t>及</w:t>
            </w:r>
            <w:r>
              <w:rPr>
                <w:w w:val="95"/>
                <w:sz w:val="20"/>
              </w:rPr>
              <w:t>以</w:t>
            </w:r>
            <w:r>
              <w:rPr>
                <w:w w:val="95"/>
                <w:sz w:val="20"/>
              </w:rPr>
              <w:t>上</w:t>
            </w:r>
            <w:r>
              <w:rPr>
                <w:w w:val="95"/>
                <w:sz w:val="20"/>
              </w:rPr>
              <w:t>社</w:t>
            </w:r>
            <w:r>
              <w:rPr>
                <w:w w:val="95"/>
                <w:sz w:val="20"/>
              </w:rPr>
              <w:t>保</w:t>
            </w:r>
            <w:r>
              <w:rPr>
                <w:w w:val="95"/>
                <w:sz w:val="20"/>
              </w:rPr>
              <w:t>定</w:t>
            </w:r>
            <w:r>
              <w:rPr>
                <w:w w:val="95"/>
                <w:sz w:val="20"/>
              </w:rPr>
              <w:t>点</w:t>
            </w:r>
            <w:r>
              <w:rPr>
                <w:spacing w:val="-5"/>
                <w:w w:val="95"/>
                <w:sz w:val="20"/>
              </w:rPr>
              <w:t>医院</w:t>
            </w:r>
          </w:p>
          <w:p>
            <w:pPr>
              <w:pStyle w:val="TableParagraph"/>
              <w:spacing w:line="260" w:lineRule="atLeast" w:before="40"/>
              <w:ind w:left="110" w:right="100"/>
              <w:jc w:val="center"/>
              <w:rPr>
                <w:rFonts w:ascii="黑体" w:eastAsia="黑体"/>
                <w:sz w:val="20"/>
              </w:rPr>
            </w:pPr>
            <w:r>
              <w:rPr>
                <w:rFonts w:ascii="黑体" w:eastAsia="黑体"/>
                <w:spacing w:val="-2"/>
                <w:sz w:val="20"/>
              </w:rPr>
              <w:t>（</w:t>
            </w:r>
            <w:r>
              <w:rPr>
                <w:rFonts w:ascii="黑体" w:eastAsia="黑体"/>
                <w:spacing w:val="-2"/>
                <w:sz w:val="20"/>
              </w:rPr>
              <w:t>不</w:t>
            </w:r>
            <w:r>
              <w:rPr>
                <w:rFonts w:ascii="黑体" w:eastAsia="黑体"/>
                <w:spacing w:val="-2"/>
                <w:sz w:val="20"/>
              </w:rPr>
              <w:t>含</w:t>
            </w:r>
            <w:r>
              <w:rPr>
                <w:rFonts w:ascii="黑体" w:eastAsia="黑体"/>
                <w:spacing w:val="-2"/>
                <w:sz w:val="20"/>
              </w:rPr>
              <w:t>其</w:t>
            </w:r>
            <w:r>
              <w:rPr>
                <w:rFonts w:ascii="黑体" w:eastAsia="黑体"/>
                <w:spacing w:val="-2"/>
                <w:sz w:val="20"/>
              </w:rPr>
              <w:t>附</w:t>
            </w:r>
            <w:r>
              <w:rPr>
                <w:rFonts w:ascii="黑体" w:eastAsia="黑体"/>
                <w:spacing w:val="-2"/>
                <w:sz w:val="20"/>
              </w:rPr>
              <w:t>属</w:t>
            </w:r>
            <w:r>
              <w:rPr>
                <w:rFonts w:ascii="黑体" w:eastAsia="黑体"/>
                <w:spacing w:val="-2"/>
                <w:sz w:val="20"/>
              </w:rPr>
              <w:t>的</w:t>
            </w:r>
            <w:r>
              <w:rPr>
                <w:rFonts w:ascii="黑体" w:eastAsia="黑体"/>
                <w:spacing w:val="-2"/>
                <w:sz w:val="20"/>
              </w:rPr>
              <w:t>国</w:t>
            </w:r>
            <w:r>
              <w:rPr>
                <w:rFonts w:ascii="黑体" w:eastAsia="黑体"/>
                <w:spacing w:val="-2"/>
                <w:sz w:val="20"/>
              </w:rPr>
              <w:t>际</w:t>
            </w:r>
            <w:r>
              <w:rPr>
                <w:rFonts w:ascii="黑体" w:eastAsia="黑体"/>
                <w:spacing w:val="-2"/>
                <w:sz w:val="20"/>
              </w:rPr>
              <w:t>医</w:t>
            </w:r>
            <w:r>
              <w:rPr>
                <w:rFonts w:ascii="黑体" w:eastAsia="黑体"/>
                <w:spacing w:val="-2"/>
                <w:sz w:val="20"/>
              </w:rPr>
              <w:t>疗</w:t>
            </w:r>
            <w:r>
              <w:rPr>
                <w:rFonts w:ascii="黑体" w:eastAsia="黑体"/>
                <w:spacing w:val="-2"/>
                <w:sz w:val="20"/>
              </w:rPr>
              <w:t>、</w:t>
            </w:r>
            <w:r>
              <w:rPr>
                <w:rFonts w:ascii="黑体" w:eastAsia="黑体"/>
                <w:spacing w:val="-2"/>
                <w:sz w:val="20"/>
              </w:rPr>
              <w:t>特</w:t>
            </w:r>
            <w:r>
              <w:rPr>
                <w:rFonts w:ascii="黑体" w:eastAsia="黑体"/>
                <w:spacing w:val="-2"/>
                <w:sz w:val="20"/>
              </w:rPr>
              <w:t>需</w:t>
            </w:r>
            <w:r>
              <w:rPr>
                <w:rFonts w:ascii="黑体" w:eastAsia="黑体"/>
                <w:spacing w:val="-2"/>
                <w:sz w:val="20"/>
              </w:rPr>
              <w:t>医</w:t>
            </w:r>
            <w:r>
              <w:rPr>
                <w:rFonts w:ascii="黑体" w:eastAsia="黑体"/>
                <w:spacing w:val="-2"/>
                <w:sz w:val="20"/>
              </w:rPr>
              <w:t>疗</w:t>
            </w:r>
            <w:r>
              <w:rPr>
                <w:rFonts w:ascii="黑体" w:eastAsia="黑体"/>
                <w:spacing w:val="-2"/>
                <w:sz w:val="20"/>
              </w:rPr>
              <w:t>、</w:t>
            </w:r>
            <w:r>
              <w:rPr>
                <w:rFonts w:ascii="黑体" w:eastAsia="黑体"/>
                <w:spacing w:val="-2"/>
                <w:sz w:val="20"/>
              </w:rPr>
              <w:t>贵</w:t>
            </w:r>
            <w:r>
              <w:rPr>
                <w:rFonts w:ascii="黑体" w:eastAsia="黑体"/>
                <w:spacing w:val="-2"/>
                <w:sz w:val="20"/>
              </w:rPr>
              <w:t>宾</w:t>
            </w:r>
            <w:r>
              <w:rPr>
                <w:rFonts w:ascii="黑体" w:eastAsia="黑体"/>
                <w:w w:val="95"/>
                <w:sz w:val="20"/>
              </w:rPr>
              <w:t>医</w:t>
            </w:r>
            <w:r>
              <w:rPr>
                <w:rFonts w:ascii="黑体" w:eastAsia="黑体"/>
                <w:w w:val="95"/>
                <w:sz w:val="20"/>
              </w:rPr>
              <w:t>疗</w:t>
            </w:r>
            <w:r>
              <w:rPr>
                <w:rFonts w:ascii="黑体" w:eastAsia="黑体"/>
                <w:w w:val="95"/>
                <w:sz w:val="20"/>
              </w:rPr>
              <w:t>、</w:t>
            </w:r>
            <w:r>
              <w:rPr>
                <w:rFonts w:ascii="黑体" w:eastAsia="黑体"/>
                <w:w w:val="95"/>
                <w:sz w:val="20"/>
              </w:rPr>
              <w:t>外</w:t>
            </w:r>
            <w:r>
              <w:rPr>
                <w:rFonts w:ascii="黑体" w:eastAsia="黑体"/>
                <w:w w:val="95"/>
                <w:sz w:val="20"/>
              </w:rPr>
              <w:t>宾</w:t>
            </w:r>
            <w:r>
              <w:rPr>
                <w:rFonts w:ascii="黑体" w:eastAsia="黑体"/>
                <w:w w:val="95"/>
                <w:sz w:val="20"/>
              </w:rPr>
              <w:t>医</w:t>
            </w:r>
            <w:r>
              <w:rPr>
                <w:rFonts w:ascii="黑体" w:eastAsia="黑体"/>
                <w:w w:val="95"/>
                <w:sz w:val="20"/>
              </w:rPr>
              <w:t>疗</w:t>
            </w:r>
            <w:r>
              <w:rPr>
                <w:rFonts w:ascii="黑体" w:eastAsia="黑体"/>
                <w:w w:val="95"/>
                <w:sz w:val="20"/>
              </w:rPr>
              <w:t>或</w:t>
            </w:r>
            <w:r>
              <w:rPr>
                <w:rFonts w:ascii="黑体" w:eastAsia="黑体"/>
                <w:w w:val="95"/>
                <w:sz w:val="20"/>
              </w:rPr>
              <w:t>者</w:t>
            </w:r>
            <w:r>
              <w:rPr>
                <w:rFonts w:ascii="黑体" w:eastAsia="黑体"/>
                <w:w w:val="95"/>
                <w:sz w:val="20"/>
              </w:rPr>
              <w:t>相</w:t>
            </w:r>
            <w:r>
              <w:rPr>
                <w:rFonts w:ascii="黑体" w:eastAsia="黑体"/>
                <w:w w:val="95"/>
                <w:sz w:val="20"/>
              </w:rPr>
              <w:t>类</w:t>
            </w:r>
            <w:r>
              <w:rPr>
                <w:rFonts w:ascii="黑体" w:eastAsia="黑体"/>
                <w:w w:val="95"/>
                <w:sz w:val="20"/>
              </w:rPr>
              <w:t>似</w:t>
            </w:r>
            <w:r>
              <w:rPr>
                <w:rFonts w:ascii="黑体" w:eastAsia="黑体"/>
                <w:w w:val="95"/>
                <w:sz w:val="20"/>
              </w:rPr>
              <w:t>的</w:t>
            </w:r>
            <w:r>
              <w:rPr>
                <w:rFonts w:ascii="黑体" w:eastAsia="黑体"/>
                <w:w w:val="95"/>
                <w:sz w:val="20"/>
              </w:rPr>
              <w:t>部</w:t>
            </w:r>
            <w:r>
              <w:rPr>
                <w:rFonts w:ascii="黑体" w:eastAsia="黑体"/>
                <w:w w:val="95"/>
                <w:sz w:val="20"/>
              </w:rPr>
              <w:t>门</w:t>
            </w:r>
            <w:r>
              <w:rPr>
                <w:rFonts w:ascii="黑体" w:eastAsia="黑体"/>
                <w:w w:val="95"/>
                <w:sz w:val="20"/>
              </w:rPr>
              <w:t>和</w:t>
            </w:r>
            <w:r>
              <w:rPr>
                <w:rFonts w:ascii="黑体" w:eastAsia="黑体"/>
                <w:w w:val="95"/>
                <w:sz w:val="20"/>
              </w:rPr>
              <w:t>科</w:t>
            </w:r>
            <w:r>
              <w:rPr>
                <w:rFonts w:ascii="黑体" w:eastAsia="黑体"/>
                <w:w w:val="95"/>
                <w:sz w:val="20"/>
              </w:rPr>
              <w:t>室</w:t>
            </w:r>
            <w:r>
              <w:rPr>
                <w:rFonts w:ascii="黑体" w:eastAsia="黑体"/>
                <w:spacing w:val="-10"/>
                <w:w w:val="95"/>
                <w:sz w:val="20"/>
              </w:rPr>
              <w:t>）</w:t>
            </w:r>
          </w:p>
        </w:tc>
      </w:tr>
      <w:tr>
        <w:trPr>
          <w:trHeight w:val="318" w:hRule="atLeast"/>
        </w:trPr>
        <w:tc>
          <w:tcPr>
            <w:tcW w:w="5850" w:type="dxa"/>
            <w:tcBorders>
              <w:top w:val="single" w:sz="4" w:space="0" w:color="000000"/>
              <w:bottom w:val="single" w:sz="4" w:space="0" w:color="000000"/>
              <w:right w:val="single" w:sz="4" w:space="0" w:color="000000"/>
            </w:tcBorders>
          </w:tcPr>
          <w:p>
            <w:pPr>
              <w:pStyle w:val="TableParagraph"/>
              <w:spacing w:line="237" w:lineRule="exact" w:before="61"/>
              <w:ind w:left="1214"/>
              <w:rPr>
                <w:rFonts w:ascii="黑体" w:eastAsia="黑体"/>
                <w:sz w:val="20"/>
              </w:rPr>
            </w:pPr>
            <w:r>
              <w:rPr>
                <w:rFonts w:ascii="黑体" w:eastAsia="黑体"/>
                <w:w w:val="95"/>
                <w:sz w:val="20"/>
              </w:rPr>
              <w:t>非</w:t>
            </w:r>
            <w:r>
              <w:rPr>
                <w:rFonts w:ascii="黑体" w:eastAsia="黑体"/>
                <w:w w:val="95"/>
                <w:sz w:val="20"/>
              </w:rPr>
              <w:t>因</w:t>
            </w:r>
            <w:r>
              <w:rPr>
                <w:rFonts w:ascii="黑体" w:eastAsia="黑体"/>
                <w:w w:val="95"/>
                <w:sz w:val="20"/>
              </w:rPr>
              <w:t>重</w:t>
            </w:r>
            <w:r>
              <w:rPr>
                <w:rFonts w:ascii="黑体" w:eastAsia="黑体"/>
                <w:w w:val="95"/>
                <w:sz w:val="20"/>
              </w:rPr>
              <w:t>大</w:t>
            </w:r>
            <w:r>
              <w:rPr>
                <w:rFonts w:ascii="黑体" w:eastAsia="黑体"/>
                <w:w w:val="95"/>
                <w:sz w:val="20"/>
              </w:rPr>
              <w:t>疾</w:t>
            </w:r>
            <w:r>
              <w:rPr>
                <w:rFonts w:ascii="黑体" w:eastAsia="黑体"/>
                <w:w w:val="95"/>
                <w:sz w:val="20"/>
              </w:rPr>
              <w:t>病</w:t>
            </w:r>
            <w:r>
              <w:rPr>
                <w:rFonts w:ascii="黑体" w:eastAsia="黑体"/>
                <w:w w:val="95"/>
                <w:sz w:val="20"/>
              </w:rPr>
              <w:t>医</w:t>
            </w:r>
            <w:r>
              <w:rPr>
                <w:rFonts w:ascii="黑体" w:eastAsia="黑体"/>
                <w:w w:val="95"/>
                <w:sz w:val="20"/>
              </w:rPr>
              <w:t>疗</w:t>
            </w:r>
            <w:r>
              <w:rPr>
                <w:rFonts w:ascii="黑体" w:eastAsia="黑体"/>
                <w:w w:val="95"/>
                <w:sz w:val="20"/>
              </w:rPr>
              <w:t>保</w:t>
            </w:r>
            <w:r>
              <w:rPr>
                <w:rFonts w:ascii="黑体" w:eastAsia="黑体"/>
                <w:w w:val="95"/>
                <w:sz w:val="20"/>
              </w:rPr>
              <w:t>险</w:t>
            </w:r>
            <w:r>
              <w:rPr>
                <w:rFonts w:ascii="黑体" w:eastAsia="黑体"/>
                <w:w w:val="95"/>
                <w:sz w:val="20"/>
              </w:rPr>
              <w:t>金</w:t>
            </w:r>
            <w:r>
              <w:rPr>
                <w:rFonts w:ascii="黑体" w:eastAsia="黑体"/>
                <w:w w:val="95"/>
                <w:sz w:val="20"/>
              </w:rPr>
              <w:t>的</w:t>
            </w:r>
            <w:r>
              <w:rPr>
                <w:rFonts w:ascii="黑体" w:eastAsia="黑体"/>
                <w:w w:val="95"/>
                <w:sz w:val="20"/>
              </w:rPr>
              <w:t>年</w:t>
            </w:r>
            <w:r>
              <w:rPr>
                <w:rFonts w:ascii="黑体" w:eastAsia="黑体"/>
                <w:w w:val="95"/>
                <w:sz w:val="20"/>
              </w:rPr>
              <w:t>度</w:t>
            </w:r>
            <w:r>
              <w:rPr>
                <w:rFonts w:ascii="黑体" w:eastAsia="黑体"/>
                <w:w w:val="95"/>
                <w:sz w:val="20"/>
              </w:rPr>
              <w:t>免</w:t>
            </w:r>
            <w:r>
              <w:rPr>
                <w:rFonts w:ascii="黑体" w:eastAsia="黑体"/>
                <w:spacing w:val="-5"/>
                <w:w w:val="95"/>
                <w:sz w:val="20"/>
              </w:rPr>
              <w:t>赔额</w:t>
            </w:r>
          </w:p>
        </w:tc>
        <w:tc>
          <w:tcPr>
            <w:tcW w:w="4040" w:type="dxa"/>
            <w:tcBorders>
              <w:top w:val="single" w:sz="4" w:space="0" w:color="000000"/>
              <w:left w:val="single" w:sz="4" w:space="0" w:color="000000"/>
              <w:bottom w:val="single" w:sz="4" w:space="0" w:color="000000"/>
            </w:tcBorders>
          </w:tcPr>
          <w:p>
            <w:pPr>
              <w:pStyle w:val="TableParagraph"/>
              <w:spacing w:line="237" w:lineRule="exact" w:before="61"/>
              <w:ind w:left="110" w:right="99"/>
              <w:jc w:val="center"/>
              <w:rPr>
                <w:rFonts w:ascii="黑体"/>
                <w:sz w:val="20"/>
              </w:rPr>
            </w:pPr>
            <w:r>
              <w:rPr>
                <w:rFonts w:ascii="黑体"/>
                <w:spacing w:val="-2"/>
                <w:sz w:val="20"/>
              </w:rPr>
              <w:t>10,000</w:t>
            </w:r>
          </w:p>
        </w:tc>
      </w:tr>
      <w:tr>
        <w:trPr>
          <w:trHeight w:val="318" w:hRule="atLeast"/>
        </w:trPr>
        <w:tc>
          <w:tcPr>
            <w:tcW w:w="5850" w:type="dxa"/>
            <w:tcBorders>
              <w:top w:val="single" w:sz="4" w:space="0" w:color="000000"/>
              <w:bottom w:val="single" w:sz="4" w:space="0" w:color="000000"/>
              <w:right w:val="single" w:sz="4" w:space="0" w:color="000000"/>
            </w:tcBorders>
          </w:tcPr>
          <w:p>
            <w:pPr>
              <w:pStyle w:val="TableParagraph"/>
              <w:spacing w:line="237" w:lineRule="exact" w:before="61"/>
              <w:ind w:left="907" w:right="899"/>
              <w:jc w:val="center"/>
              <w:rPr>
                <w:rFonts w:ascii="黑体" w:eastAsia="黑体"/>
                <w:sz w:val="20"/>
              </w:rPr>
            </w:pPr>
            <w:r>
              <w:rPr>
                <w:rFonts w:ascii="黑体" w:eastAsia="黑体"/>
                <w:w w:val="95"/>
                <w:sz w:val="20"/>
              </w:rPr>
              <w:t>保</w:t>
            </w:r>
            <w:r>
              <w:rPr>
                <w:rFonts w:ascii="黑体" w:eastAsia="黑体"/>
                <w:w w:val="95"/>
                <w:sz w:val="20"/>
              </w:rPr>
              <w:t>险</w:t>
            </w:r>
            <w:r>
              <w:rPr>
                <w:rFonts w:ascii="黑体" w:eastAsia="黑体"/>
                <w:w w:val="95"/>
                <w:sz w:val="20"/>
              </w:rPr>
              <w:t>金</w:t>
            </w:r>
            <w:r>
              <w:rPr>
                <w:rFonts w:ascii="黑体" w:eastAsia="黑体"/>
                <w:spacing w:val="-10"/>
                <w:w w:val="95"/>
                <w:sz w:val="20"/>
              </w:rPr>
              <w:t>额</w:t>
            </w:r>
          </w:p>
        </w:tc>
        <w:tc>
          <w:tcPr>
            <w:tcW w:w="4040" w:type="dxa"/>
            <w:tcBorders>
              <w:top w:val="single" w:sz="4" w:space="0" w:color="000000"/>
              <w:left w:val="single" w:sz="4" w:space="0" w:color="000000"/>
              <w:bottom w:val="single" w:sz="4" w:space="0" w:color="000000"/>
            </w:tcBorders>
          </w:tcPr>
          <w:p>
            <w:pPr>
              <w:pStyle w:val="TableParagraph"/>
              <w:spacing w:line="237" w:lineRule="exact" w:before="61"/>
              <w:ind w:left="110" w:right="100"/>
              <w:jc w:val="center"/>
              <w:rPr>
                <w:rFonts w:ascii="黑体"/>
                <w:sz w:val="20"/>
              </w:rPr>
            </w:pPr>
            <w:r>
              <w:rPr>
                <w:rFonts w:ascii="黑体"/>
                <w:spacing w:val="-2"/>
                <w:sz w:val="20"/>
              </w:rPr>
              <w:t>4,000,000</w:t>
            </w:r>
          </w:p>
        </w:tc>
      </w:tr>
      <w:tr>
        <w:trPr>
          <w:trHeight w:val="321" w:hRule="atLeast"/>
        </w:trPr>
        <w:tc>
          <w:tcPr>
            <w:tcW w:w="5850" w:type="dxa"/>
            <w:tcBorders>
              <w:top w:val="single" w:sz="4" w:space="0" w:color="000000"/>
              <w:bottom w:val="single" w:sz="4" w:space="0" w:color="000000"/>
              <w:right w:val="single" w:sz="4" w:space="0" w:color="000000"/>
            </w:tcBorders>
          </w:tcPr>
          <w:p>
            <w:pPr>
              <w:pStyle w:val="TableParagraph"/>
              <w:spacing w:line="237" w:lineRule="exact" w:before="63"/>
              <w:ind w:left="907" w:right="902"/>
              <w:jc w:val="center"/>
              <w:rPr>
                <w:rFonts w:ascii="黑体" w:eastAsia="黑体"/>
                <w:sz w:val="20"/>
              </w:rPr>
            </w:pPr>
            <w:r>
              <w:rPr>
                <w:rFonts w:ascii="黑体" w:eastAsia="黑体"/>
                <w:w w:val="95"/>
                <w:sz w:val="20"/>
              </w:rPr>
              <w:t>其</w:t>
            </w:r>
            <w:r>
              <w:rPr>
                <w:rFonts w:ascii="黑体" w:eastAsia="黑体"/>
                <w:w w:val="95"/>
                <w:sz w:val="20"/>
              </w:rPr>
              <w:t>中</w:t>
            </w:r>
            <w:r>
              <w:rPr>
                <w:rFonts w:ascii="黑体" w:eastAsia="黑体"/>
                <w:w w:val="95"/>
                <w:sz w:val="20"/>
              </w:rPr>
              <w:t>：一</w:t>
            </w:r>
            <w:r>
              <w:rPr>
                <w:rFonts w:ascii="黑体" w:eastAsia="黑体"/>
                <w:w w:val="95"/>
                <w:sz w:val="20"/>
              </w:rPr>
              <w:t>、</w:t>
            </w:r>
            <w:r>
              <w:rPr>
                <w:rFonts w:ascii="黑体" w:eastAsia="黑体"/>
                <w:w w:val="95"/>
                <w:sz w:val="20"/>
              </w:rPr>
              <w:t>重</w:t>
            </w:r>
            <w:r>
              <w:rPr>
                <w:rFonts w:ascii="黑体" w:eastAsia="黑体"/>
                <w:w w:val="95"/>
                <w:sz w:val="20"/>
              </w:rPr>
              <w:t>大</w:t>
            </w:r>
            <w:r>
              <w:rPr>
                <w:rFonts w:ascii="黑体" w:eastAsia="黑体"/>
                <w:w w:val="95"/>
                <w:sz w:val="20"/>
              </w:rPr>
              <w:t>疾</w:t>
            </w:r>
            <w:r>
              <w:rPr>
                <w:rFonts w:ascii="黑体" w:eastAsia="黑体"/>
                <w:w w:val="95"/>
                <w:sz w:val="20"/>
              </w:rPr>
              <w:t>病</w:t>
            </w:r>
            <w:r>
              <w:rPr>
                <w:rFonts w:ascii="黑体" w:eastAsia="黑体"/>
                <w:w w:val="95"/>
                <w:sz w:val="20"/>
              </w:rPr>
              <w:t>医</w:t>
            </w:r>
            <w:r>
              <w:rPr>
                <w:rFonts w:ascii="黑体" w:eastAsia="黑体"/>
                <w:w w:val="95"/>
                <w:sz w:val="20"/>
              </w:rPr>
              <w:t>疗</w:t>
            </w:r>
            <w:r>
              <w:rPr>
                <w:rFonts w:ascii="黑体" w:eastAsia="黑体"/>
                <w:w w:val="95"/>
                <w:sz w:val="20"/>
              </w:rPr>
              <w:t>保</w:t>
            </w:r>
            <w:r>
              <w:rPr>
                <w:rFonts w:ascii="黑体" w:eastAsia="黑体"/>
                <w:w w:val="95"/>
                <w:sz w:val="20"/>
              </w:rPr>
              <w:t>险</w:t>
            </w:r>
            <w:r>
              <w:rPr>
                <w:rFonts w:ascii="黑体" w:eastAsia="黑体"/>
                <w:w w:val="95"/>
                <w:sz w:val="20"/>
              </w:rPr>
              <w:t>金</w:t>
            </w:r>
            <w:r>
              <w:rPr>
                <w:rFonts w:ascii="黑体" w:eastAsia="黑体"/>
                <w:w w:val="95"/>
                <w:sz w:val="20"/>
              </w:rPr>
              <w:t>的</w:t>
            </w:r>
            <w:r>
              <w:rPr>
                <w:rFonts w:ascii="黑体" w:eastAsia="黑体"/>
                <w:w w:val="95"/>
                <w:sz w:val="20"/>
              </w:rPr>
              <w:t>年</w:t>
            </w:r>
            <w:r>
              <w:rPr>
                <w:rFonts w:ascii="黑体" w:eastAsia="黑体"/>
                <w:w w:val="95"/>
                <w:sz w:val="20"/>
              </w:rPr>
              <w:t>度</w:t>
            </w:r>
            <w:r>
              <w:rPr>
                <w:rFonts w:ascii="黑体" w:eastAsia="黑体"/>
                <w:w w:val="95"/>
                <w:sz w:val="20"/>
              </w:rPr>
              <w:t>给</w:t>
            </w:r>
            <w:r>
              <w:rPr>
                <w:rFonts w:ascii="黑体" w:eastAsia="黑体"/>
                <w:w w:val="95"/>
                <w:sz w:val="20"/>
              </w:rPr>
              <w:t>付</w:t>
            </w:r>
            <w:r>
              <w:rPr>
                <w:rFonts w:ascii="黑体" w:eastAsia="黑体"/>
                <w:w w:val="95"/>
                <w:sz w:val="20"/>
              </w:rPr>
              <w:t>限</w:t>
            </w:r>
            <w:r>
              <w:rPr>
                <w:rFonts w:ascii="黑体" w:eastAsia="黑体"/>
                <w:spacing w:val="-10"/>
                <w:w w:val="95"/>
                <w:sz w:val="20"/>
              </w:rPr>
              <w:t>额</w:t>
            </w:r>
          </w:p>
        </w:tc>
        <w:tc>
          <w:tcPr>
            <w:tcW w:w="4040" w:type="dxa"/>
            <w:tcBorders>
              <w:top w:val="single" w:sz="4" w:space="0" w:color="000000"/>
              <w:left w:val="single" w:sz="4" w:space="0" w:color="000000"/>
              <w:bottom w:val="single" w:sz="4" w:space="0" w:color="000000"/>
            </w:tcBorders>
          </w:tcPr>
          <w:p>
            <w:pPr>
              <w:pStyle w:val="TableParagraph"/>
              <w:spacing w:line="237" w:lineRule="exact" w:before="63"/>
              <w:ind w:left="110" w:right="100"/>
              <w:jc w:val="center"/>
              <w:rPr>
                <w:rFonts w:ascii="黑体"/>
                <w:sz w:val="20"/>
              </w:rPr>
            </w:pPr>
            <w:r>
              <w:rPr>
                <w:rFonts w:ascii="黑体"/>
                <w:spacing w:val="-2"/>
                <w:sz w:val="20"/>
              </w:rPr>
              <w:t>4,000,000</w:t>
            </w:r>
          </w:p>
        </w:tc>
      </w:tr>
      <w:tr>
        <w:trPr>
          <w:trHeight w:val="318" w:hRule="atLeast"/>
        </w:trPr>
        <w:tc>
          <w:tcPr>
            <w:tcW w:w="5850" w:type="dxa"/>
            <w:tcBorders>
              <w:top w:val="single" w:sz="4" w:space="0" w:color="000000"/>
              <w:right w:val="single" w:sz="4" w:space="0" w:color="000000"/>
            </w:tcBorders>
          </w:tcPr>
          <w:p>
            <w:pPr>
              <w:pStyle w:val="TableParagraph"/>
              <w:spacing w:line="237" w:lineRule="exact" w:before="61"/>
              <w:ind w:left="1415"/>
              <w:rPr>
                <w:rFonts w:ascii="黑体" w:eastAsia="黑体"/>
                <w:sz w:val="20"/>
              </w:rPr>
            </w:pPr>
            <w:r>
              <w:rPr>
                <w:rFonts w:ascii="黑体" w:eastAsia="黑体"/>
                <w:w w:val="95"/>
                <w:sz w:val="20"/>
              </w:rPr>
              <w:t>二、</w:t>
            </w:r>
            <w:r>
              <w:rPr>
                <w:rFonts w:ascii="黑体" w:eastAsia="黑体"/>
                <w:w w:val="95"/>
                <w:sz w:val="20"/>
              </w:rPr>
              <w:t>非</w:t>
            </w:r>
            <w:r>
              <w:rPr>
                <w:rFonts w:ascii="黑体" w:eastAsia="黑体"/>
                <w:w w:val="95"/>
                <w:sz w:val="20"/>
              </w:rPr>
              <w:t>因</w:t>
            </w:r>
            <w:r>
              <w:rPr>
                <w:rFonts w:ascii="黑体" w:eastAsia="黑体"/>
                <w:w w:val="95"/>
                <w:sz w:val="20"/>
              </w:rPr>
              <w:t>重</w:t>
            </w:r>
            <w:r>
              <w:rPr>
                <w:rFonts w:ascii="黑体" w:eastAsia="黑体"/>
                <w:w w:val="95"/>
                <w:sz w:val="20"/>
              </w:rPr>
              <w:t>大</w:t>
            </w:r>
            <w:r>
              <w:rPr>
                <w:rFonts w:ascii="黑体" w:eastAsia="黑体"/>
                <w:w w:val="95"/>
                <w:sz w:val="20"/>
              </w:rPr>
              <w:t>疾</w:t>
            </w:r>
            <w:r>
              <w:rPr>
                <w:rFonts w:ascii="黑体" w:eastAsia="黑体"/>
                <w:w w:val="95"/>
                <w:sz w:val="20"/>
              </w:rPr>
              <w:t>病</w:t>
            </w:r>
            <w:r>
              <w:rPr>
                <w:rFonts w:ascii="黑体" w:eastAsia="黑体"/>
                <w:w w:val="95"/>
                <w:sz w:val="20"/>
              </w:rPr>
              <w:t>医</w:t>
            </w:r>
            <w:r>
              <w:rPr>
                <w:rFonts w:ascii="黑体" w:eastAsia="黑体"/>
                <w:w w:val="95"/>
                <w:sz w:val="20"/>
              </w:rPr>
              <w:t>疗</w:t>
            </w:r>
            <w:r>
              <w:rPr>
                <w:rFonts w:ascii="黑体" w:eastAsia="黑体"/>
                <w:w w:val="95"/>
                <w:sz w:val="20"/>
              </w:rPr>
              <w:t>保</w:t>
            </w:r>
            <w:r>
              <w:rPr>
                <w:rFonts w:ascii="黑体" w:eastAsia="黑体"/>
                <w:w w:val="95"/>
                <w:sz w:val="20"/>
              </w:rPr>
              <w:t>险</w:t>
            </w:r>
            <w:r>
              <w:rPr>
                <w:rFonts w:ascii="黑体" w:eastAsia="黑体"/>
                <w:w w:val="95"/>
                <w:sz w:val="20"/>
              </w:rPr>
              <w:t>金</w:t>
            </w:r>
            <w:r>
              <w:rPr>
                <w:rFonts w:ascii="黑体" w:eastAsia="黑体"/>
                <w:w w:val="95"/>
                <w:sz w:val="20"/>
              </w:rPr>
              <w:t>的</w:t>
            </w:r>
            <w:r>
              <w:rPr>
                <w:rFonts w:ascii="黑体" w:eastAsia="黑体"/>
                <w:w w:val="95"/>
                <w:sz w:val="20"/>
              </w:rPr>
              <w:t>年</w:t>
            </w:r>
            <w:r>
              <w:rPr>
                <w:rFonts w:ascii="黑体" w:eastAsia="黑体"/>
                <w:w w:val="95"/>
                <w:sz w:val="20"/>
              </w:rPr>
              <w:t>度</w:t>
            </w:r>
            <w:r>
              <w:rPr>
                <w:rFonts w:ascii="黑体" w:eastAsia="黑体"/>
                <w:w w:val="95"/>
                <w:sz w:val="20"/>
              </w:rPr>
              <w:t>给</w:t>
            </w:r>
            <w:r>
              <w:rPr>
                <w:rFonts w:ascii="黑体" w:eastAsia="黑体"/>
                <w:w w:val="95"/>
                <w:sz w:val="20"/>
              </w:rPr>
              <w:t>付</w:t>
            </w:r>
            <w:r>
              <w:rPr>
                <w:rFonts w:ascii="黑体" w:eastAsia="黑体"/>
                <w:w w:val="95"/>
                <w:sz w:val="20"/>
              </w:rPr>
              <w:t>限</w:t>
            </w:r>
            <w:r>
              <w:rPr>
                <w:rFonts w:ascii="黑体" w:eastAsia="黑体"/>
                <w:spacing w:val="-10"/>
                <w:w w:val="95"/>
                <w:sz w:val="20"/>
              </w:rPr>
              <w:t>额</w:t>
            </w:r>
          </w:p>
        </w:tc>
        <w:tc>
          <w:tcPr>
            <w:tcW w:w="4040" w:type="dxa"/>
            <w:tcBorders>
              <w:top w:val="single" w:sz="4" w:space="0" w:color="000000"/>
              <w:left w:val="single" w:sz="4" w:space="0" w:color="000000"/>
            </w:tcBorders>
          </w:tcPr>
          <w:p>
            <w:pPr>
              <w:pStyle w:val="TableParagraph"/>
              <w:spacing w:line="237" w:lineRule="exact" w:before="61"/>
              <w:ind w:left="110" w:right="100"/>
              <w:jc w:val="center"/>
              <w:rPr>
                <w:rFonts w:ascii="黑体"/>
                <w:sz w:val="20"/>
              </w:rPr>
            </w:pPr>
            <w:r>
              <w:rPr>
                <w:rFonts w:ascii="黑体"/>
                <w:spacing w:val="-2"/>
                <w:sz w:val="20"/>
              </w:rPr>
              <w:t>2,000,000</w:t>
            </w:r>
          </w:p>
        </w:tc>
      </w:tr>
    </w:tbl>
    <w:p>
      <w:pPr>
        <w:spacing w:after="0" w:line="237" w:lineRule="exact"/>
        <w:jc w:val="center"/>
        <w:rPr>
          <w:rFonts w:ascii="黑体"/>
          <w:sz w:val="20"/>
        </w:rPr>
        <w:sectPr>
          <w:pgSz w:w="11910" w:h="16850"/>
          <w:pgMar w:top="1080" w:bottom="280" w:left="620" w:right="720"/>
        </w:sectPr>
      </w:pPr>
    </w:p>
    <w:p>
      <w:pPr>
        <w:spacing w:before="23"/>
        <w:ind w:left="2617" w:right="2516" w:firstLine="0"/>
        <w:jc w:val="center"/>
        <w:rPr>
          <w:b/>
          <w:sz w:val="36"/>
        </w:rPr>
      </w:pPr>
      <w:r>
        <w:rPr>
          <w:b/>
          <w:w w:val="95"/>
          <w:sz w:val="36"/>
        </w:rPr>
        <w:t>泰</w:t>
      </w:r>
      <w:r>
        <w:rPr>
          <w:b/>
          <w:w w:val="95"/>
          <w:sz w:val="36"/>
        </w:rPr>
        <w:t>康</w:t>
      </w:r>
      <w:r>
        <w:rPr>
          <w:b/>
          <w:w w:val="95"/>
          <w:sz w:val="36"/>
        </w:rPr>
        <w:t>惠</w:t>
      </w:r>
      <w:r>
        <w:rPr>
          <w:b/>
          <w:w w:val="95"/>
          <w:sz w:val="36"/>
        </w:rPr>
        <w:t>心</w:t>
      </w:r>
      <w:r>
        <w:rPr>
          <w:b/>
          <w:w w:val="95"/>
          <w:sz w:val="36"/>
        </w:rPr>
        <w:t>医</w:t>
      </w:r>
      <w:r>
        <w:rPr>
          <w:b/>
          <w:spacing w:val="-2"/>
          <w:w w:val="95"/>
          <w:sz w:val="36"/>
        </w:rPr>
        <w:t>疗保险费率表</w:t>
      </w:r>
    </w:p>
    <w:p>
      <w:pPr>
        <w:pStyle w:val="Heading1"/>
        <w:spacing w:before="199"/>
      </w:pPr>
      <w:r>
        <w:rPr>
          <w:spacing w:val="-2"/>
          <w:w w:val="95"/>
        </w:rPr>
        <w:t>一、续保时费率表</w:t>
      </w:r>
    </w:p>
    <w:p>
      <w:pPr>
        <w:pStyle w:val="BodyText"/>
        <w:spacing w:before="145" w:after="20"/>
        <w:ind w:left="8742"/>
      </w:pPr>
      <w:r>
        <w:rPr>
          <w:spacing w:val="-28"/>
        </w:rPr>
        <w:t>单位：元</w:t>
      </w:r>
    </w:p>
    <w:tbl>
      <w:tblPr>
        <w:tblW w:w="0" w:type="auto"/>
        <w:jc w:val="left"/>
        <w:tblInd w:w="10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1"/>
        <w:gridCol w:w="1419"/>
        <w:gridCol w:w="1421"/>
        <w:gridCol w:w="1421"/>
        <w:gridCol w:w="1421"/>
        <w:gridCol w:w="1422"/>
      </w:tblGrid>
      <w:tr>
        <w:trPr>
          <w:trHeight w:val="623" w:hRule="atLeast"/>
        </w:trPr>
        <w:tc>
          <w:tcPr>
            <w:tcW w:w="1421" w:type="dxa"/>
          </w:tcPr>
          <w:p>
            <w:pPr>
              <w:pStyle w:val="TableParagraph"/>
              <w:spacing w:before="25"/>
              <w:ind w:left="208"/>
              <w:rPr>
                <w:b/>
                <w:sz w:val="20"/>
              </w:rPr>
            </w:pPr>
            <w:r>
              <w:rPr>
                <w:b/>
                <w:w w:val="95"/>
                <w:sz w:val="20"/>
              </w:rPr>
              <w:t>被</w:t>
            </w:r>
            <w:r>
              <w:rPr>
                <w:b/>
                <w:w w:val="95"/>
                <w:sz w:val="20"/>
              </w:rPr>
              <w:t>保</w:t>
            </w:r>
            <w:r>
              <w:rPr>
                <w:b/>
                <w:w w:val="95"/>
                <w:sz w:val="20"/>
              </w:rPr>
              <w:t>险</w:t>
            </w:r>
            <w:r>
              <w:rPr>
                <w:b/>
                <w:w w:val="95"/>
                <w:sz w:val="20"/>
              </w:rPr>
              <w:t>人</w:t>
            </w:r>
            <w:r>
              <w:rPr>
                <w:b/>
                <w:spacing w:val="-10"/>
                <w:w w:val="95"/>
                <w:sz w:val="20"/>
              </w:rPr>
              <w:t>年</w:t>
            </w:r>
          </w:p>
          <w:p>
            <w:pPr>
              <w:pStyle w:val="TableParagraph"/>
              <w:spacing w:before="56"/>
              <w:ind w:left="208"/>
              <w:rPr>
                <w:b/>
                <w:sz w:val="20"/>
              </w:rPr>
            </w:pPr>
            <w:r>
              <w:rPr>
                <w:b/>
                <w:w w:val="95"/>
                <w:sz w:val="20"/>
              </w:rPr>
              <w:t>龄</w:t>
            </w:r>
            <w:r>
              <w:rPr>
                <w:b/>
                <w:w w:val="95"/>
                <w:sz w:val="20"/>
              </w:rPr>
              <w:t>（</w:t>
            </w:r>
            <w:r>
              <w:rPr>
                <w:b/>
                <w:w w:val="95"/>
                <w:sz w:val="20"/>
              </w:rPr>
              <w:t>周</w:t>
            </w:r>
            <w:r>
              <w:rPr>
                <w:b/>
                <w:w w:val="95"/>
                <w:sz w:val="20"/>
              </w:rPr>
              <w:t>岁</w:t>
            </w:r>
            <w:r>
              <w:rPr>
                <w:b/>
                <w:spacing w:val="-10"/>
                <w:w w:val="95"/>
                <w:sz w:val="20"/>
              </w:rPr>
              <w:t>）</w:t>
            </w:r>
          </w:p>
        </w:tc>
        <w:tc>
          <w:tcPr>
            <w:tcW w:w="1419" w:type="dxa"/>
          </w:tcPr>
          <w:p>
            <w:pPr>
              <w:pStyle w:val="TableParagraph"/>
              <w:spacing w:before="25"/>
              <w:ind w:left="208"/>
              <w:rPr>
                <w:b/>
                <w:sz w:val="20"/>
              </w:rPr>
            </w:pPr>
            <w:r>
              <w:rPr>
                <w:b/>
                <w:w w:val="95"/>
                <w:sz w:val="20"/>
              </w:rPr>
              <w:t>有</w:t>
            </w:r>
            <w:r>
              <w:rPr>
                <w:b/>
                <w:w w:val="95"/>
                <w:sz w:val="20"/>
              </w:rPr>
              <w:t>社</w:t>
            </w:r>
            <w:r>
              <w:rPr>
                <w:b/>
                <w:w w:val="95"/>
                <w:sz w:val="20"/>
              </w:rPr>
              <w:t>会</w:t>
            </w:r>
            <w:r>
              <w:rPr>
                <w:b/>
                <w:w w:val="95"/>
                <w:sz w:val="20"/>
              </w:rPr>
              <w:t>基</w:t>
            </w:r>
            <w:r>
              <w:rPr>
                <w:b/>
                <w:spacing w:val="-10"/>
                <w:w w:val="95"/>
                <w:sz w:val="20"/>
              </w:rPr>
              <w:t>本</w:t>
            </w:r>
          </w:p>
          <w:p>
            <w:pPr>
              <w:pStyle w:val="TableParagraph"/>
              <w:spacing w:before="56"/>
              <w:ind w:left="306"/>
              <w:rPr>
                <w:b/>
                <w:sz w:val="20"/>
              </w:rPr>
            </w:pPr>
            <w:r>
              <w:rPr>
                <w:b/>
                <w:w w:val="95"/>
                <w:sz w:val="20"/>
              </w:rPr>
              <w:t>医</w:t>
            </w:r>
            <w:r>
              <w:rPr>
                <w:b/>
                <w:w w:val="95"/>
                <w:sz w:val="20"/>
              </w:rPr>
              <w:t>疗</w:t>
            </w:r>
            <w:r>
              <w:rPr>
                <w:b/>
                <w:w w:val="95"/>
                <w:sz w:val="20"/>
              </w:rPr>
              <w:t>保</w:t>
            </w:r>
            <w:r>
              <w:rPr>
                <w:b/>
                <w:spacing w:val="-10"/>
                <w:w w:val="95"/>
                <w:sz w:val="20"/>
              </w:rPr>
              <w:t>险</w:t>
            </w:r>
          </w:p>
        </w:tc>
        <w:tc>
          <w:tcPr>
            <w:tcW w:w="1421" w:type="dxa"/>
          </w:tcPr>
          <w:p>
            <w:pPr>
              <w:pStyle w:val="TableParagraph"/>
              <w:spacing w:before="25"/>
              <w:ind w:left="208"/>
              <w:rPr>
                <w:b/>
                <w:sz w:val="20"/>
              </w:rPr>
            </w:pPr>
            <w:r>
              <w:rPr>
                <w:b/>
                <w:w w:val="95"/>
                <w:sz w:val="20"/>
              </w:rPr>
              <w:t>无</w:t>
            </w:r>
            <w:r>
              <w:rPr>
                <w:b/>
                <w:w w:val="95"/>
                <w:sz w:val="20"/>
              </w:rPr>
              <w:t>社</w:t>
            </w:r>
            <w:r>
              <w:rPr>
                <w:b/>
                <w:w w:val="95"/>
                <w:sz w:val="20"/>
              </w:rPr>
              <w:t>会</w:t>
            </w:r>
            <w:r>
              <w:rPr>
                <w:b/>
                <w:w w:val="95"/>
                <w:sz w:val="20"/>
              </w:rPr>
              <w:t>基</w:t>
            </w:r>
            <w:r>
              <w:rPr>
                <w:b/>
                <w:spacing w:val="-10"/>
                <w:w w:val="95"/>
                <w:sz w:val="20"/>
              </w:rPr>
              <w:t>本</w:t>
            </w:r>
          </w:p>
          <w:p>
            <w:pPr>
              <w:pStyle w:val="TableParagraph"/>
              <w:spacing w:before="56"/>
              <w:ind w:left="306"/>
              <w:rPr>
                <w:b/>
                <w:sz w:val="20"/>
              </w:rPr>
            </w:pPr>
            <w:r>
              <w:rPr>
                <w:b/>
                <w:w w:val="95"/>
                <w:sz w:val="20"/>
              </w:rPr>
              <w:t>医</w:t>
            </w:r>
            <w:r>
              <w:rPr>
                <w:b/>
                <w:w w:val="95"/>
                <w:sz w:val="20"/>
              </w:rPr>
              <w:t>疗</w:t>
            </w:r>
            <w:r>
              <w:rPr>
                <w:b/>
                <w:w w:val="95"/>
                <w:sz w:val="20"/>
              </w:rPr>
              <w:t>保</w:t>
            </w:r>
            <w:r>
              <w:rPr>
                <w:b/>
                <w:spacing w:val="-10"/>
                <w:w w:val="95"/>
                <w:sz w:val="20"/>
              </w:rPr>
              <w:t>险</w:t>
            </w:r>
          </w:p>
        </w:tc>
        <w:tc>
          <w:tcPr>
            <w:tcW w:w="1421" w:type="dxa"/>
          </w:tcPr>
          <w:p>
            <w:pPr>
              <w:pStyle w:val="TableParagraph"/>
              <w:spacing w:before="25"/>
              <w:ind w:left="208"/>
              <w:rPr>
                <w:b/>
                <w:sz w:val="20"/>
              </w:rPr>
            </w:pPr>
            <w:r>
              <w:rPr>
                <w:b/>
                <w:w w:val="95"/>
                <w:sz w:val="20"/>
              </w:rPr>
              <w:t>被</w:t>
            </w:r>
            <w:r>
              <w:rPr>
                <w:b/>
                <w:w w:val="95"/>
                <w:sz w:val="20"/>
              </w:rPr>
              <w:t>保</w:t>
            </w:r>
            <w:r>
              <w:rPr>
                <w:b/>
                <w:w w:val="95"/>
                <w:sz w:val="20"/>
              </w:rPr>
              <w:t>险</w:t>
            </w:r>
            <w:r>
              <w:rPr>
                <w:b/>
                <w:w w:val="95"/>
                <w:sz w:val="20"/>
              </w:rPr>
              <w:t>人</w:t>
            </w:r>
            <w:r>
              <w:rPr>
                <w:b/>
                <w:spacing w:val="-10"/>
                <w:w w:val="95"/>
                <w:sz w:val="20"/>
              </w:rPr>
              <w:t>年</w:t>
            </w:r>
          </w:p>
          <w:p>
            <w:pPr>
              <w:pStyle w:val="TableParagraph"/>
              <w:spacing w:before="56"/>
              <w:ind w:left="208"/>
              <w:rPr>
                <w:b/>
                <w:sz w:val="20"/>
              </w:rPr>
            </w:pPr>
            <w:r>
              <w:rPr>
                <w:b/>
                <w:w w:val="95"/>
                <w:sz w:val="20"/>
              </w:rPr>
              <w:t>龄</w:t>
            </w:r>
            <w:r>
              <w:rPr>
                <w:b/>
                <w:w w:val="95"/>
                <w:sz w:val="20"/>
              </w:rPr>
              <w:t>（</w:t>
            </w:r>
            <w:r>
              <w:rPr>
                <w:b/>
                <w:w w:val="95"/>
                <w:sz w:val="20"/>
              </w:rPr>
              <w:t>周</w:t>
            </w:r>
            <w:r>
              <w:rPr>
                <w:b/>
                <w:w w:val="95"/>
                <w:sz w:val="20"/>
              </w:rPr>
              <w:t>岁</w:t>
            </w:r>
            <w:r>
              <w:rPr>
                <w:b/>
                <w:spacing w:val="-10"/>
                <w:w w:val="95"/>
                <w:sz w:val="20"/>
              </w:rPr>
              <w:t>）</w:t>
            </w:r>
          </w:p>
        </w:tc>
        <w:tc>
          <w:tcPr>
            <w:tcW w:w="1421" w:type="dxa"/>
          </w:tcPr>
          <w:p>
            <w:pPr>
              <w:pStyle w:val="TableParagraph"/>
              <w:spacing w:before="25"/>
              <w:ind w:left="123" w:right="115"/>
              <w:jc w:val="center"/>
              <w:rPr>
                <w:b/>
                <w:sz w:val="20"/>
              </w:rPr>
            </w:pPr>
            <w:r>
              <w:rPr>
                <w:b/>
                <w:w w:val="95"/>
                <w:sz w:val="20"/>
              </w:rPr>
              <w:t>有</w:t>
            </w:r>
            <w:r>
              <w:rPr>
                <w:b/>
                <w:w w:val="95"/>
                <w:sz w:val="20"/>
              </w:rPr>
              <w:t>社</w:t>
            </w:r>
            <w:r>
              <w:rPr>
                <w:b/>
                <w:w w:val="95"/>
                <w:sz w:val="20"/>
              </w:rPr>
              <w:t>会</w:t>
            </w:r>
            <w:r>
              <w:rPr>
                <w:b/>
                <w:spacing w:val="-4"/>
                <w:w w:val="95"/>
                <w:sz w:val="20"/>
              </w:rPr>
              <w:t>基本医</w:t>
            </w:r>
          </w:p>
          <w:p>
            <w:pPr>
              <w:pStyle w:val="TableParagraph"/>
              <w:spacing w:before="56"/>
              <w:ind w:left="123" w:right="115"/>
              <w:jc w:val="center"/>
              <w:rPr>
                <w:b/>
                <w:sz w:val="20"/>
              </w:rPr>
            </w:pPr>
            <w:r>
              <w:rPr>
                <w:b/>
                <w:w w:val="95"/>
                <w:sz w:val="20"/>
              </w:rPr>
              <w:t>疗</w:t>
            </w:r>
            <w:r>
              <w:rPr>
                <w:b/>
                <w:w w:val="95"/>
                <w:sz w:val="20"/>
              </w:rPr>
              <w:t>保</w:t>
            </w:r>
            <w:r>
              <w:rPr>
                <w:b/>
                <w:spacing w:val="-10"/>
                <w:w w:val="95"/>
                <w:sz w:val="20"/>
              </w:rPr>
              <w:t>险</w:t>
            </w:r>
          </w:p>
        </w:tc>
        <w:tc>
          <w:tcPr>
            <w:tcW w:w="1422" w:type="dxa"/>
          </w:tcPr>
          <w:p>
            <w:pPr>
              <w:pStyle w:val="TableParagraph"/>
              <w:spacing w:before="25"/>
              <w:ind w:left="122" w:right="116"/>
              <w:jc w:val="center"/>
              <w:rPr>
                <w:b/>
                <w:sz w:val="20"/>
              </w:rPr>
            </w:pPr>
            <w:r>
              <w:rPr>
                <w:b/>
                <w:w w:val="95"/>
                <w:sz w:val="20"/>
              </w:rPr>
              <w:t>无</w:t>
            </w:r>
            <w:r>
              <w:rPr>
                <w:b/>
                <w:w w:val="95"/>
                <w:sz w:val="20"/>
              </w:rPr>
              <w:t>社</w:t>
            </w:r>
            <w:r>
              <w:rPr>
                <w:b/>
                <w:w w:val="95"/>
                <w:sz w:val="20"/>
              </w:rPr>
              <w:t>会</w:t>
            </w:r>
            <w:r>
              <w:rPr>
                <w:b/>
                <w:spacing w:val="-4"/>
                <w:w w:val="95"/>
                <w:sz w:val="20"/>
              </w:rPr>
              <w:t>基本医</w:t>
            </w:r>
          </w:p>
          <w:p>
            <w:pPr>
              <w:pStyle w:val="TableParagraph"/>
              <w:spacing w:before="56"/>
              <w:ind w:left="122" w:right="115"/>
              <w:jc w:val="center"/>
              <w:rPr>
                <w:b/>
                <w:sz w:val="20"/>
              </w:rPr>
            </w:pPr>
            <w:r>
              <w:rPr>
                <w:b/>
                <w:w w:val="95"/>
                <w:sz w:val="20"/>
              </w:rPr>
              <w:t>疗</w:t>
            </w:r>
            <w:r>
              <w:rPr>
                <w:b/>
                <w:w w:val="95"/>
                <w:sz w:val="20"/>
              </w:rPr>
              <w:t>保</w:t>
            </w:r>
            <w:r>
              <w:rPr>
                <w:b/>
                <w:spacing w:val="-10"/>
                <w:w w:val="95"/>
                <w:sz w:val="20"/>
              </w:rPr>
              <w:t>险</w:t>
            </w:r>
          </w:p>
        </w:tc>
      </w:tr>
      <w:tr>
        <w:trPr>
          <w:trHeight w:val="311" w:hRule="atLeast"/>
        </w:trPr>
        <w:tc>
          <w:tcPr>
            <w:tcW w:w="1421" w:type="dxa"/>
          </w:tcPr>
          <w:p>
            <w:pPr>
              <w:pStyle w:val="TableParagraph"/>
              <w:spacing w:before="38"/>
              <w:ind w:left="123" w:right="114"/>
              <w:jc w:val="center"/>
              <w:rPr>
                <w:rFonts w:ascii="Arial"/>
                <w:sz w:val="20"/>
              </w:rPr>
            </w:pPr>
            <w:r>
              <w:rPr>
                <w:rFonts w:ascii="Arial"/>
                <w:w w:val="95"/>
                <w:sz w:val="20"/>
              </w:rPr>
              <w:t>1-</w:t>
            </w:r>
            <w:r>
              <w:rPr>
                <w:rFonts w:ascii="Arial"/>
                <w:spacing w:val="-10"/>
                <w:sz w:val="20"/>
              </w:rPr>
              <w:t>2</w:t>
            </w:r>
          </w:p>
        </w:tc>
        <w:tc>
          <w:tcPr>
            <w:tcW w:w="1419" w:type="dxa"/>
          </w:tcPr>
          <w:p>
            <w:pPr>
              <w:pStyle w:val="TableParagraph"/>
              <w:spacing w:before="38"/>
              <w:ind w:left="528" w:right="522"/>
              <w:jc w:val="center"/>
              <w:rPr>
                <w:rFonts w:ascii="Arial"/>
                <w:sz w:val="20"/>
              </w:rPr>
            </w:pPr>
            <w:r>
              <w:rPr>
                <w:rFonts w:ascii="Arial"/>
                <w:spacing w:val="-5"/>
                <w:sz w:val="20"/>
              </w:rPr>
              <w:t>738</w:t>
            </w:r>
          </w:p>
        </w:tc>
        <w:tc>
          <w:tcPr>
            <w:tcW w:w="1421" w:type="dxa"/>
          </w:tcPr>
          <w:p>
            <w:pPr>
              <w:pStyle w:val="TableParagraph"/>
              <w:spacing w:before="38"/>
              <w:ind w:left="119" w:right="115"/>
              <w:jc w:val="center"/>
              <w:rPr>
                <w:rFonts w:ascii="Arial"/>
                <w:sz w:val="20"/>
              </w:rPr>
            </w:pPr>
            <w:r>
              <w:rPr>
                <w:rFonts w:ascii="Arial"/>
                <w:spacing w:val="-2"/>
                <w:sz w:val="20"/>
              </w:rPr>
              <w:t>1,528</w:t>
            </w:r>
          </w:p>
        </w:tc>
        <w:tc>
          <w:tcPr>
            <w:tcW w:w="1421" w:type="dxa"/>
          </w:tcPr>
          <w:p>
            <w:pPr>
              <w:pStyle w:val="TableParagraph"/>
              <w:spacing w:before="38"/>
              <w:ind w:left="119" w:right="115"/>
              <w:jc w:val="center"/>
              <w:rPr>
                <w:rFonts w:ascii="Arial"/>
                <w:sz w:val="20"/>
              </w:rPr>
            </w:pPr>
            <w:r>
              <w:rPr>
                <w:rFonts w:ascii="Arial"/>
                <w:w w:val="95"/>
                <w:sz w:val="20"/>
              </w:rPr>
              <w:t>46-</w:t>
            </w:r>
            <w:r>
              <w:rPr>
                <w:rFonts w:ascii="Arial"/>
                <w:spacing w:val="-5"/>
                <w:sz w:val="20"/>
              </w:rPr>
              <w:t>50</w:t>
            </w:r>
          </w:p>
        </w:tc>
        <w:tc>
          <w:tcPr>
            <w:tcW w:w="1421" w:type="dxa"/>
          </w:tcPr>
          <w:p>
            <w:pPr>
              <w:pStyle w:val="TableParagraph"/>
              <w:spacing w:before="38"/>
              <w:ind w:left="119" w:right="115"/>
              <w:jc w:val="center"/>
              <w:rPr>
                <w:rFonts w:ascii="Arial"/>
                <w:sz w:val="20"/>
              </w:rPr>
            </w:pPr>
            <w:r>
              <w:rPr>
                <w:rFonts w:ascii="Arial"/>
                <w:spacing w:val="-5"/>
                <w:sz w:val="20"/>
              </w:rPr>
              <w:t>846</w:t>
            </w:r>
          </w:p>
        </w:tc>
        <w:tc>
          <w:tcPr>
            <w:tcW w:w="1422" w:type="dxa"/>
          </w:tcPr>
          <w:p>
            <w:pPr>
              <w:pStyle w:val="TableParagraph"/>
              <w:spacing w:before="38"/>
              <w:ind w:left="118" w:right="116"/>
              <w:jc w:val="center"/>
              <w:rPr>
                <w:rFonts w:ascii="Arial"/>
                <w:sz w:val="20"/>
              </w:rPr>
            </w:pPr>
            <w:r>
              <w:rPr>
                <w:rFonts w:ascii="Arial"/>
                <w:spacing w:val="-2"/>
                <w:sz w:val="20"/>
              </w:rPr>
              <w:t>2,536</w:t>
            </w:r>
          </w:p>
        </w:tc>
      </w:tr>
      <w:tr>
        <w:trPr>
          <w:trHeight w:val="311" w:hRule="atLeast"/>
        </w:trPr>
        <w:tc>
          <w:tcPr>
            <w:tcW w:w="1421" w:type="dxa"/>
          </w:tcPr>
          <w:p>
            <w:pPr>
              <w:pStyle w:val="TableParagraph"/>
              <w:spacing w:before="38"/>
              <w:ind w:left="123" w:right="114"/>
              <w:jc w:val="center"/>
              <w:rPr>
                <w:rFonts w:ascii="Arial"/>
                <w:sz w:val="20"/>
              </w:rPr>
            </w:pPr>
            <w:r>
              <w:rPr>
                <w:rFonts w:ascii="Arial"/>
                <w:w w:val="95"/>
                <w:sz w:val="20"/>
              </w:rPr>
              <w:t>3-</w:t>
            </w:r>
            <w:r>
              <w:rPr>
                <w:rFonts w:ascii="Arial"/>
                <w:spacing w:val="-10"/>
                <w:sz w:val="20"/>
              </w:rPr>
              <w:t>4</w:t>
            </w:r>
          </w:p>
        </w:tc>
        <w:tc>
          <w:tcPr>
            <w:tcW w:w="1419" w:type="dxa"/>
          </w:tcPr>
          <w:p>
            <w:pPr>
              <w:pStyle w:val="TableParagraph"/>
              <w:spacing w:before="38"/>
              <w:ind w:left="528" w:right="522"/>
              <w:jc w:val="center"/>
              <w:rPr>
                <w:rFonts w:ascii="Arial"/>
                <w:sz w:val="20"/>
              </w:rPr>
            </w:pPr>
            <w:r>
              <w:rPr>
                <w:rFonts w:ascii="Arial"/>
                <w:spacing w:val="-5"/>
                <w:sz w:val="20"/>
              </w:rPr>
              <w:t>616</w:t>
            </w:r>
          </w:p>
        </w:tc>
        <w:tc>
          <w:tcPr>
            <w:tcW w:w="1421" w:type="dxa"/>
          </w:tcPr>
          <w:p>
            <w:pPr>
              <w:pStyle w:val="TableParagraph"/>
              <w:spacing w:before="38"/>
              <w:ind w:left="119" w:right="115"/>
              <w:jc w:val="center"/>
              <w:rPr>
                <w:rFonts w:ascii="Arial"/>
                <w:sz w:val="20"/>
              </w:rPr>
            </w:pPr>
            <w:r>
              <w:rPr>
                <w:rFonts w:ascii="Arial"/>
                <w:spacing w:val="-2"/>
                <w:sz w:val="20"/>
              </w:rPr>
              <w:t>1,276</w:t>
            </w:r>
          </w:p>
        </w:tc>
        <w:tc>
          <w:tcPr>
            <w:tcW w:w="1421" w:type="dxa"/>
          </w:tcPr>
          <w:p>
            <w:pPr>
              <w:pStyle w:val="TableParagraph"/>
              <w:spacing w:before="38"/>
              <w:ind w:left="119" w:right="115"/>
              <w:jc w:val="center"/>
              <w:rPr>
                <w:rFonts w:ascii="Arial"/>
                <w:sz w:val="20"/>
              </w:rPr>
            </w:pPr>
            <w:r>
              <w:rPr>
                <w:rFonts w:ascii="Arial"/>
                <w:w w:val="95"/>
                <w:sz w:val="20"/>
              </w:rPr>
              <w:t>51-</w:t>
            </w:r>
            <w:r>
              <w:rPr>
                <w:rFonts w:ascii="Arial"/>
                <w:spacing w:val="-5"/>
                <w:sz w:val="20"/>
              </w:rPr>
              <w:t>55</w:t>
            </w:r>
          </w:p>
        </w:tc>
        <w:tc>
          <w:tcPr>
            <w:tcW w:w="1421" w:type="dxa"/>
          </w:tcPr>
          <w:p>
            <w:pPr>
              <w:pStyle w:val="TableParagraph"/>
              <w:spacing w:before="38"/>
              <w:ind w:left="119" w:right="115"/>
              <w:jc w:val="center"/>
              <w:rPr>
                <w:rFonts w:ascii="Arial"/>
                <w:sz w:val="20"/>
              </w:rPr>
            </w:pPr>
            <w:r>
              <w:rPr>
                <w:rFonts w:ascii="Arial"/>
                <w:spacing w:val="-2"/>
                <w:sz w:val="20"/>
              </w:rPr>
              <w:t>1,048</w:t>
            </w:r>
          </w:p>
        </w:tc>
        <w:tc>
          <w:tcPr>
            <w:tcW w:w="1422" w:type="dxa"/>
          </w:tcPr>
          <w:p>
            <w:pPr>
              <w:pStyle w:val="TableParagraph"/>
              <w:spacing w:before="38"/>
              <w:ind w:left="118" w:right="116"/>
              <w:jc w:val="center"/>
              <w:rPr>
                <w:rFonts w:ascii="Arial"/>
                <w:sz w:val="20"/>
              </w:rPr>
            </w:pPr>
            <w:r>
              <w:rPr>
                <w:rFonts w:ascii="Arial"/>
                <w:spacing w:val="-2"/>
                <w:sz w:val="20"/>
              </w:rPr>
              <w:t>3,408</w:t>
            </w:r>
          </w:p>
        </w:tc>
      </w:tr>
      <w:tr>
        <w:trPr>
          <w:trHeight w:val="314" w:hRule="atLeast"/>
        </w:trPr>
        <w:tc>
          <w:tcPr>
            <w:tcW w:w="1421" w:type="dxa"/>
          </w:tcPr>
          <w:p>
            <w:pPr>
              <w:pStyle w:val="TableParagraph"/>
              <w:spacing w:before="40"/>
              <w:ind w:left="123" w:right="114"/>
              <w:jc w:val="center"/>
              <w:rPr>
                <w:rFonts w:ascii="Arial"/>
                <w:sz w:val="20"/>
              </w:rPr>
            </w:pPr>
            <w:r>
              <w:rPr>
                <w:rFonts w:ascii="Arial"/>
                <w:w w:val="95"/>
                <w:sz w:val="20"/>
              </w:rPr>
              <w:t>5-</w:t>
            </w:r>
            <w:r>
              <w:rPr>
                <w:rFonts w:ascii="Arial"/>
                <w:spacing w:val="-10"/>
                <w:sz w:val="20"/>
              </w:rPr>
              <w:t>8</w:t>
            </w:r>
          </w:p>
        </w:tc>
        <w:tc>
          <w:tcPr>
            <w:tcW w:w="1419" w:type="dxa"/>
          </w:tcPr>
          <w:p>
            <w:pPr>
              <w:pStyle w:val="TableParagraph"/>
              <w:spacing w:before="40"/>
              <w:ind w:left="528" w:right="522"/>
              <w:jc w:val="center"/>
              <w:rPr>
                <w:rFonts w:ascii="Arial"/>
                <w:sz w:val="20"/>
              </w:rPr>
            </w:pPr>
            <w:r>
              <w:rPr>
                <w:rFonts w:ascii="Arial"/>
                <w:spacing w:val="-5"/>
                <w:sz w:val="20"/>
              </w:rPr>
              <w:t>318</w:t>
            </w:r>
          </w:p>
        </w:tc>
        <w:tc>
          <w:tcPr>
            <w:tcW w:w="1421" w:type="dxa"/>
          </w:tcPr>
          <w:p>
            <w:pPr>
              <w:pStyle w:val="TableParagraph"/>
              <w:spacing w:before="40"/>
              <w:ind w:left="119" w:right="115"/>
              <w:jc w:val="center"/>
              <w:rPr>
                <w:rFonts w:ascii="Arial"/>
                <w:sz w:val="20"/>
              </w:rPr>
            </w:pPr>
            <w:r>
              <w:rPr>
                <w:rFonts w:ascii="Arial"/>
                <w:spacing w:val="-5"/>
                <w:sz w:val="20"/>
              </w:rPr>
              <w:t>628</w:t>
            </w:r>
          </w:p>
        </w:tc>
        <w:tc>
          <w:tcPr>
            <w:tcW w:w="1421" w:type="dxa"/>
          </w:tcPr>
          <w:p>
            <w:pPr>
              <w:pStyle w:val="TableParagraph"/>
              <w:spacing w:before="40"/>
              <w:ind w:left="119" w:right="115"/>
              <w:jc w:val="center"/>
              <w:rPr>
                <w:rFonts w:ascii="Arial"/>
                <w:sz w:val="20"/>
              </w:rPr>
            </w:pPr>
            <w:r>
              <w:rPr>
                <w:rFonts w:ascii="Arial"/>
                <w:w w:val="95"/>
                <w:sz w:val="20"/>
              </w:rPr>
              <w:t>56-</w:t>
            </w:r>
            <w:r>
              <w:rPr>
                <w:rFonts w:ascii="Arial"/>
                <w:spacing w:val="-5"/>
                <w:sz w:val="20"/>
              </w:rPr>
              <w:t>60</w:t>
            </w:r>
          </w:p>
        </w:tc>
        <w:tc>
          <w:tcPr>
            <w:tcW w:w="1421" w:type="dxa"/>
          </w:tcPr>
          <w:p>
            <w:pPr>
              <w:pStyle w:val="TableParagraph"/>
              <w:spacing w:before="40"/>
              <w:ind w:left="119" w:right="115"/>
              <w:jc w:val="center"/>
              <w:rPr>
                <w:rFonts w:ascii="Arial"/>
                <w:sz w:val="20"/>
              </w:rPr>
            </w:pPr>
            <w:r>
              <w:rPr>
                <w:rFonts w:ascii="Arial"/>
                <w:spacing w:val="-2"/>
                <w:sz w:val="20"/>
              </w:rPr>
              <w:t>1,406</w:t>
            </w:r>
          </w:p>
        </w:tc>
        <w:tc>
          <w:tcPr>
            <w:tcW w:w="1422" w:type="dxa"/>
          </w:tcPr>
          <w:p>
            <w:pPr>
              <w:pStyle w:val="TableParagraph"/>
              <w:spacing w:before="40"/>
              <w:ind w:left="118" w:right="116"/>
              <w:jc w:val="center"/>
              <w:rPr>
                <w:rFonts w:ascii="Arial"/>
                <w:sz w:val="20"/>
              </w:rPr>
            </w:pPr>
            <w:r>
              <w:rPr>
                <w:rFonts w:ascii="Arial"/>
                <w:spacing w:val="-2"/>
                <w:sz w:val="20"/>
              </w:rPr>
              <w:t>4,386</w:t>
            </w:r>
          </w:p>
        </w:tc>
      </w:tr>
      <w:tr>
        <w:trPr>
          <w:trHeight w:val="311" w:hRule="atLeast"/>
        </w:trPr>
        <w:tc>
          <w:tcPr>
            <w:tcW w:w="1421" w:type="dxa"/>
          </w:tcPr>
          <w:p>
            <w:pPr>
              <w:pStyle w:val="TableParagraph"/>
              <w:spacing w:before="38"/>
              <w:ind w:left="119" w:right="115"/>
              <w:jc w:val="center"/>
              <w:rPr>
                <w:rFonts w:ascii="Arial"/>
                <w:sz w:val="20"/>
              </w:rPr>
            </w:pPr>
            <w:r>
              <w:rPr>
                <w:rFonts w:ascii="Arial"/>
                <w:w w:val="95"/>
                <w:sz w:val="20"/>
              </w:rPr>
              <w:t>9-</w:t>
            </w:r>
            <w:r>
              <w:rPr>
                <w:rFonts w:ascii="Arial"/>
                <w:spacing w:val="-5"/>
                <w:sz w:val="20"/>
              </w:rPr>
              <w:t>10</w:t>
            </w:r>
          </w:p>
        </w:tc>
        <w:tc>
          <w:tcPr>
            <w:tcW w:w="1419" w:type="dxa"/>
          </w:tcPr>
          <w:p>
            <w:pPr>
              <w:pStyle w:val="TableParagraph"/>
              <w:spacing w:before="38"/>
              <w:ind w:left="528" w:right="522"/>
              <w:jc w:val="center"/>
              <w:rPr>
                <w:rFonts w:ascii="Arial"/>
                <w:sz w:val="20"/>
              </w:rPr>
            </w:pPr>
            <w:r>
              <w:rPr>
                <w:rFonts w:ascii="Arial"/>
                <w:spacing w:val="-5"/>
                <w:sz w:val="20"/>
              </w:rPr>
              <w:t>276</w:t>
            </w:r>
          </w:p>
        </w:tc>
        <w:tc>
          <w:tcPr>
            <w:tcW w:w="1421" w:type="dxa"/>
          </w:tcPr>
          <w:p>
            <w:pPr>
              <w:pStyle w:val="TableParagraph"/>
              <w:spacing w:before="38"/>
              <w:ind w:left="119" w:right="115"/>
              <w:jc w:val="center"/>
              <w:rPr>
                <w:rFonts w:ascii="Arial"/>
                <w:sz w:val="20"/>
              </w:rPr>
            </w:pPr>
            <w:r>
              <w:rPr>
                <w:rFonts w:ascii="Arial"/>
                <w:spacing w:val="-5"/>
                <w:sz w:val="20"/>
              </w:rPr>
              <w:t>546</w:t>
            </w:r>
          </w:p>
        </w:tc>
        <w:tc>
          <w:tcPr>
            <w:tcW w:w="1421" w:type="dxa"/>
          </w:tcPr>
          <w:p>
            <w:pPr>
              <w:pStyle w:val="TableParagraph"/>
              <w:spacing w:before="38"/>
              <w:ind w:left="119" w:right="115"/>
              <w:jc w:val="center"/>
              <w:rPr>
                <w:rFonts w:ascii="Arial"/>
                <w:sz w:val="20"/>
              </w:rPr>
            </w:pPr>
            <w:r>
              <w:rPr>
                <w:rFonts w:ascii="Arial"/>
                <w:w w:val="95"/>
                <w:sz w:val="20"/>
              </w:rPr>
              <w:t>61-</w:t>
            </w:r>
            <w:r>
              <w:rPr>
                <w:rFonts w:ascii="Arial"/>
                <w:spacing w:val="-5"/>
                <w:sz w:val="20"/>
              </w:rPr>
              <w:t>65</w:t>
            </w:r>
          </w:p>
        </w:tc>
        <w:tc>
          <w:tcPr>
            <w:tcW w:w="1421" w:type="dxa"/>
          </w:tcPr>
          <w:p>
            <w:pPr>
              <w:pStyle w:val="TableParagraph"/>
              <w:spacing w:before="38"/>
              <w:ind w:left="119" w:right="115"/>
              <w:jc w:val="center"/>
              <w:rPr>
                <w:rFonts w:ascii="Arial"/>
                <w:sz w:val="20"/>
              </w:rPr>
            </w:pPr>
            <w:r>
              <w:rPr>
                <w:rFonts w:ascii="Arial"/>
                <w:spacing w:val="-2"/>
                <w:sz w:val="20"/>
              </w:rPr>
              <w:t>1,878</w:t>
            </w:r>
          </w:p>
        </w:tc>
        <w:tc>
          <w:tcPr>
            <w:tcW w:w="1422" w:type="dxa"/>
          </w:tcPr>
          <w:p>
            <w:pPr>
              <w:pStyle w:val="TableParagraph"/>
              <w:spacing w:before="38"/>
              <w:ind w:left="118" w:right="116"/>
              <w:jc w:val="center"/>
              <w:rPr>
                <w:rFonts w:ascii="Arial"/>
                <w:sz w:val="20"/>
              </w:rPr>
            </w:pPr>
            <w:r>
              <w:rPr>
                <w:rFonts w:ascii="Arial"/>
                <w:spacing w:val="-2"/>
                <w:sz w:val="20"/>
              </w:rPr>
              <w:t>5,658</w:t>
            </w:r>
          </w:p>
        </w:tc>
      </w:tr>
      <w:tr>
        <w:trPr>
          <w:trHeight w:val="311" w:hRule="atLeast"/>
        </w:trPr>
        <w:tc>
          <w:tcPr>
            <w:tcW w:w="1421" w:type="dxa"/>
          </w:tcPr>
          <w:p>
            <w:pPr>
              <w:pStyle w:val="TableParagraph"/>
              <w:spacing w:before="38"/>
              <w:ind w:left="119" w:right="115"/>
              <w:jc w:val="center"/>
              <w:rPr>
                <w:rFonts w:ascii="Arial"/>
                <w:sz w:val="20"/>
              </w:rPr>
            </w:pPr>
            <w:r>
              <w:rPr>
                <w:rFonts w:ascii="Arial"/>
                <w:w w:val="95"/>
                <w:sz w:val="20"/>
              </w:rPr>
              <w:t>11-</w:t>
            </w:r>
            <w:r>
              <w:rPr>
                <w:rFonts w:ascii="Arial"/>
                <w:spacing w:val="-5"/>
                <w:sz w:val="20"/>
              </w:rPr>
              <w:t>15</w:t>
            </w:r>
          </w:p>
        </w:tc>
        <w:tc>
          <w:tcPr>
            <w:tcW w:w="1419" w:type="dxa"/>
          </w:tcPr>
          <w:p>
            <w:pPr>
              <w:pStyle w:val="TableParagraph"/>
              <w:spacing w:before="38"/>
              <w:ind w:left="528" w:right="522"/>
              <w:jc w:val="center"/>
              <w:rPr>
                <w:rFonts w:ascii="Arial"/>
                <w:sz w:val="20"/>
              </w:rPr>
            </w:pPr>
            <w:r>
              <w:rPr>
                <w:rFonts w:ascii="Arial"/>
                <w:spacing w:val="-5"/>
                <w:sz w:val="20"/>
              </w:rPr>
              <w:t>128</w:t>
            </w:r>
          </w:p>
        </w:tc>
        <w:tc>
          <w:tcPr>
            <w:tcW w:w="1421" w:type="dxa"/>
          </w:tcPr>
          <w:p>
            <w:pPr>
              <w:pStyle w:val="TableParagraph"/>
              <w:spacing w:before="38"/>
              <w:ind w:left="119" w:right="115"/>
              <w:jc w:val="center"/>
              <w:rPr>
                <w:rFonts w:ascii="Arial"/>
                <w:sz w:val="20"/>
              </w:rPr>
            </w:pPr>
            <w:r>
              <w:rPr>
                <w:rFonts w:ascii="Arial"/>
                <w:spacing w:val="-5"/>
                <w:sz w:val="20"/>
              </w:rPr>
              <w:t>258</w:t>
            </w:r>
          </w:p>
        </w:tc>
        <w:tc>
          <w:tcPr>
            <w:tcW w:w="1421" w:type="dxa"/>
          </w:tcPr>
          <w:p>
            <w:pPr>
              <w:pStyle w:val="TableParagraph"/>
              <w:spacing w:before="38"/>
              <w:ind w:left="119" w:right="115"/>
              <w:jc w:val="center"/>
              <w:rPr>
                <w:rFonts w:ascii="Arial"/>
                <w:sz w:val="20"/>
              </w:rPr>
            </w:pPr>
            <w:r>
              <w:rPr>
                <w:rFonts w:ascii="Arial"/>
                <w:w w:val="95"/>
                <w:sz w:val="20"/>
              </w:rPr>
              <w:t>66-</w:t>
            </w:r>
            <w:r>
              <w:rPr>
                <w:rFonts w:ascii="Arial"/>
                <w:spacing w:val="-5"/>
                <w:sz w:val="20"/>
              </w:rPr>
              <w:t>70</w:t>
            </w:r>
          </w:p>
        </w:tc>
        <w:tc>
          <w:tcPr>
            <w:tcW w:w="1421" w:type="dxa"/>
          </w:tcPr>
          <w:p>
            <w:pPr>
              <w:pStyle w:val="TableParagraph"/>
              <w:spacing w:before="38"/>
              <w:ind w:left="119" w:right="115"/>
              <w:jc w:val="center"/>
              <w:rPr>
                <w:rFonts w:ascii="Arial"/>
                <w:sz w:val="20"/>
              </w:rPr>
            </w:pPr>
            <w:r>
              <w:rPr>
                <w:rFonts w:ascii="Arial"/>
                <w:spacing w:val="-2"/>
                <w:sz w:val="20"/>
              </w:rPr>
              <w:t>2,776</w:t>
            </w:r>
          </w:p>
        </w:tc>
        <w:tc>
          <w:tcPr>
            <w:tcW w:w="1422" w:type="dxa"/>
          </w:tcPr>
          <w:p>
            <w:pPr>
              <w:pStyle w:val="TableParagraph"/>
              <w:spacing w:before="38"/>
              <w:ind w:left="118" w:right="116"/>
              <w:jc w:val="center"/>
              <w:rPr>
                <w:rFonts w:ascii="Arial"/>
                <w:sz w:val="20"/>
              </w:rPr>
            </w:pPr>
            <w:r>
              <w:rPr>
                <w:rFonts w:ascii="Arial"/>
                <w:spacing w:val="-2"/>
                <w:sz w:val="20"/>
              </w:rPr>
              <w:t>8,076</w:t>
            </w:r>
          </w:p>
        </w:tc>
      </w:tr>
      <w:tr>
        <w:trPr>
          <w:trHeight w:val="311" w:hRule="atLeast"/>
        </w:trPr>
        <w:tc>
          <w:tcPr>
            <w:tcW w:w="1421" w:type="dxa"/>
          </w:tcPr>
          <w:p>
            <w:pPr>
              <w:pStyle w:val="TableParagraph"/>
              <w:spacing w:before="38"/>
              <w:ind w:left="119" w:right="115"/>
              <w:jc w:val="center"/>
              <w:rPr>
                <w:rFonts w:ascii="Arial"/>
                <w:sz w:val="20"/>
              </w:rPr>
            </w:pPr>
            <w:r>
              <w:rPr>
                <w:rFonts w:ascii="Arial"/>
                <w:w w:val="95"/>
                <w:sz w:val="20"/>
              </w:rPr>
              <w:t>16-</w:t>
            </w:r>
            <w:r>
              <w:rPr>
                <w:rFonts w:ascii="Arial"/>
                <w:spacing w:val="-5"/>
                <w:sz w:val="20"/>
              </w:rPr>
              <w:t>20</w:t>
            </w:r>
          </w:p>
        </w:tc>
        <w:tc>
          <w:tcPr>
            <w:tcW w:w="1419" w:type="dxa"/>
          </w:tcPr>
          <w:p>
            <w:pPr>
              <w:pStyle w:val="TableParagraph"/>
              <w:spacing w:before="38"/>
              <w:ind w:left="528" w:right="522"/>
              <w:jc w:val="center"/>
              <w:rPr>
                <w:rFonts w:ascii="Arial"/>
                <w:sz w:val="20"/>
              </w:rPr>
            </w:pPr>
            <w:r>
              <w:rPr>
                <w:rFonts w:ascii="Arial"/>
                <w:spacing w:val="-5"/>
                <w:sz w:val="20"/>
              </w:rPr>
              <w:t>146</w:t>
            </w:r>
          </w:p>
        </w:tc>
        <w:tc>
          <w:tcPr>
            <w:tcW w:w="1421" w:type="dxa"/>
          </w:tcPr>
          <w:p>
            <w:pPr>
              <w:pStyle w:val="TableParagraph"/>
              <w:spacing w:before="38"/>
              <w:ind w:left="119" w:right="115"/>
              <w:jc w:val="center"/>
              <w:rPr>
                <w:rFonts w:ascii="Arial"/>
                <w:sz w:val="20"/>
              </w:rPr>
            </w:pPr>
            <w:r>
              <w:rPr>
                <w:rFonts w:ascii="Arial"/>
                <w:spacing w:val="-5"/>
                <w:sz w:val="20"/>
              </w:rPr>
              <w:t>286</w:t>
            </w:r>
          </w:p>
        </w:tc>
        <w:tc>
          <w:tcPr>
            <w:tcW w:w="1421" w:type="dxa"/>
          </w:tcPr>
          <w:p>
            <w:pPr>
              <w:pStyle w:val="TableParagraph"/>
              <w:spacing w:before="38"/>
              <w:ind w:left="119" w:right="115"/>
              <w:jc w:val="center"/>
              <w:rPr>
                <w:rFonts w:ascii="Arial"/>
                <w:sz w:val="20"/>
              </w:rPr>
            </w:pPr>
            <w:r>
              <w:rPr>
                <w:rFonts w:ascii="Arial"/>
                <w:w w:val="95"/>
                <w:sz w:val="20"/>
              </w:rPr>
              <w:t>71-</w:t>
            </w:r>
            <w:r>
              <w:rPr>
                <w:rFonts w:ascii="Arial"/>
                <w:spacing w:val="-5"/>
                <w:sz w:val="20"/>
              </w:rPr>
              <w:t>75</w:t>
            </w:r>
          </w:p>
        </w:tc>
        <w:tc>
          <w:tcPr>
            <w:tcW w:w="1421" w:type="dxa"/>
          </w:tcPr>
          <w:p>
            <w:pPr>
              <w:pStyle w:val="TableParagraph"/>
              <w:spacing w:before="38"/>
              <w:ind w:left="119" w:right="115"/>
              <w:jc w:val="center"/>
              <w:rPr>
                <w:rFonts w:ascii="Arial"/>
                <w:sz w:val="20"/>
              </w:rPr>
            </w:pPr>
            <w:r>
              <w:rPr>
                <w:rFonts w:ascii="Arial"/>
                <w:spacing w:val="-2"/>
                <w:sz w:val="20"/>
              </w:rPr>
              <w:t>3,518</w:t>
            </w:r>
          </w:p>
        </w:tc>
        <w:tc>
          <w:tcPr>
            <w:tcW w:w="1422" w:type="dxa"/>
          </w:tcPr>
          <w:p>
            <w:pPr>
              <w:pStyle w:val="TableParagraph"/>
              <w:spacing w:before="38"/>
              <w:ind w:left="119" w:right="116"/>
              <w:jc w:val="center"/>
              <w:rPr>
                <w:rFonts w:ascii="Arial"/>
                <w:sz w:val="20"/>
              </w:rPr>
            </w:pPr>
            <w:r>
              <w:rPr>
                <w:rFonts w:ascii="Arial"/>
                <w:spacing w:val="-2"/>
                <w:sz w:val="20"/>
              </w:rPr>
              <w:t>10,128</w:t>
            </w:r>
          </w:p>
        </w:tc>
      </w:tr>
      <w:tr>
        <w:trPr>
          <w:trHeight w:val="312" w:hRule="atLeast"/>
        </w:trPr>
        <w:tc>
          <w:tcPr>
            <w:tcW w:w="1421" w:type="dxa"/>
          </w:tcPr>
          <w:p>
            <w:pPr>
              <w:pStyle w:val="TableParagraph"/>
              <w:spacing w:before="38"/>
              <w:ind w:left="119" w:right="115"/>
              <w:jc w:val="center"/>
              <w:rPr>
                <w:rFonts w:ascii="Arial"/>
                <w:sz w:val="20"/>
              </w:rPr>
            </w:pPr>
            <w:r>
              <w:rPr>
                <w:rFonts w:ascii="Arial"/>
                <w:w w:val="95"/>
                <w:sz w:val="20"/>
              </w:rPr>
              <w:t>21-</w:t>
            </w:r>
            <w:r>
              <w:rPr>
                <w:rFonts w:ascii="Arial"/>
                <w:spacing w:val="-5"/>
                <w:sz w:val="20"/>
              </w:rPr>
              <w:t>25</w:t>
            </w:r>
          </w:p>
        </w:tc>
        <w:tc>
          <w:tcPr>
            <w:tcW w:w="1419" w:type="dxa"/>
          </w:tcPr>
          <w:p>
            <w:pPr>
              <w:pStyle w:val="TableParagraph"/>
              <w:spacing w:before="38"/>
              <w:ind w:left="528" w:right="522"/>
              <w:jc w:val="center"/>
              <w:rPr>
                <w:rFonts w:ascii="Arial"/>
                <w:sz w:val="20"/>
              </w:rPr>
            </w:pPr>
            <w:r>
              <w:rPr>
                <w:rFonts w:ascii="Arial"/>
                <w:spacing w:val="-5"/>
                <w:sz w:val="20"/>
              </w:rPr>
              <w:t>208</w:t>
            </w:r>
          </w:p>
        </w:tc>
        <w:tc>
          <w:tcPr>
            <w:tcW w:w="1421" w:type="dxa"/>
          </w:tcPr>
          <w:p>
            <w:pPr>
              <w:pStyle w:val="TableParagraph"/>
              <w:spacing w:before="38"/>
              <w:ind w:left="119" w:right="115"/>
              <w:jc w:val="center"/>
              <w:rPr>
                <w:rFonts w:ascii="Arial"/>
                <w:sz w:val="20"/>
              </w:rPr>
            </w:pPr>
            <w:r>
              <w:rPr>
                <w:rFonts w:ascii="Arial"/>
                <w:spacing w:val="-5"/>
                <w:sz w:val="20"/>
              </w:rPr>
              <w:t>418</w:t>
            </w:r>
          </w:p>
        </w:tc>
        <w:tc>
          <w:tcPr>
            <w:tcW w:w="1421" w:type="dxa"/>
          </w:tcPr>
          <w:p>
            <w:pPr>
              <w:pStyle w:val="TableParagraph"/>
              <w:spacing w:before="38"/>
              <w:ind w:left="119" w:right="115"/>
              <w:jc w:val="center"/>
              <w:rPr>
                <w:rFonts w:ascii="Arial"/>
                <w:sz w:val="20"/>
              </w:rPr>
            </w:pPr>
            <w:r>
              <w:rPr>
                <w:rFonts w:ascii="Arial"/>
                <w:w w:val="95"/>
                <w:sz w:val="20"/>
              </w:rPr>
              <w:t>76-</w:t>
            </w:r>
            <w:r>
              <w:rPr>
                <w:rFonts w:ascii="Arial"/>
                <w:spacing w:val="-5"/>
                <w:sz w:val="20"/>
              </w:rPr>
              <w:t>80</w:t>
            </w:r>
          </w:p>
        </w:tc>
        <w:tc>
          <w:tcPr>
            <w:tcW w:w="1421" w:type="dxa"/>
          </w:tcPr>
          <w:p>
            <w:pPr>
              <w:pStyle w:val="TableParagraph"/>
              <w:spacing w:before="38"/>
              <w:ind w:left="119" w:right="115"/>
              <w:jc w:val="center"/>
              <w:rPr>
                <w:rFonts w:ascii="Arial"/>
                <w:sz w:val="20"/>
              </w:rPr>
            </w:pPr>
            <w:r>
              <w:rPr>
                <w:rFonts w:ascii="Arial"/>
                <w:spacing w:val="-2"/>
                <w:sz w:val="20"/>
              </w:rPr>
              <w:t>4,266</w:t>
            </w:r>
          </w:p>
        </w:tc>
        <w:tc>
          <w:tcPr>
            <w:tcW w:w="1422" w:type="dxa"/>
          </w:tcPr>
          <w:p>
            <w:pPr>
              <w:pStyle w:val="TableParagraph"/>
              <w:spacing w:before="38"/>
              <w:ind w:left="119" w:right="116"/>
              <w:jc w:val="center"/>
              <w:rPr>
                <w:rFonts w:ascii="Arial"/>
                <w:sz w:val="20"/>
              </w:rPr>
            </w:pPr>
            <w:r>
              <w:rPr>
                <w:rFonts w:ascii="Arial"/>
                <w:spacing w:val="-2"/>
                <w:sz w:val="20"/>
              </w:rPr>
              <w:t>12,476</w:t>
            </w:r>
          </w:p>
        </w:tc>
      </w:tr>
      <w:tr>
        <w:trPr>
          <w:trHeight w:val="311" w:hRule="atLeast"/>
        </w:trPr>
        <w:tc>
          <w:tcPr>
            <w:tcW w:w="1421" w:type="dxa"/>
          </w:tcPr>
          <w:p>
            <w:pPr>
              <w:pStyle w:val="TableParagraph"/>
              <w:spacing w:before="38"/>
              <w:ind w:left="119" w:right="115"/>
              <w:jc w:val="center"/>
              <w:rPr>
                <w:rFonts w:ascii="Arial"/>
                <w:sz w:val="20"/>
              </w:rPr>
            </w:pPr>
            <w:r>
              <w:rPr>
                <w:rFonts w:ascii="Arial"/>
                <w:w w:val="95"/>
                <w:sz w:val="20"/>
              </w:rPr>
              <w:t>26-</w:t>
            </w:r>
            <w:r>
              <w:rPr>
                <w:rFonts w:ascii="Arial"/>
                <w:spacing w:val="-5"/>
                <w:sz w:val="20"/>
              </w:rPr>
              <w:t>30</w:t>
            </w:r>
          </w:p>
        </w:tc>
        <w:tc>
          <w:tcPr>
            <w:tcW w:w="1419" w:type="dxa"/>
          </w:tcPr>
          <w:p>
            <w:pPr>
              <w:pStyle w:val="TableParagraph"/>
              <w:spacing w:before="38"/>
              <w:ind w:left="528" w:right="522"/>
              <w:jc w:val="center"/>
              <w:rPr>
                <w:rFonts w:ascii="Arial"/>
                <w:sz w:val="20"/>
              </w:rPr>
            </w:pPr>
            <w:r>
              <w:rPr>
                <w:rFonts w:ascii="Arial"/>
                <w:spacing w:val="-5"/>
                <w:sz w:val="20"/>
              </w:rPr>
              <w:t>266</w:t>
            </w:r>
          </w:p>
        </w:tc>
        <w:tc>
          <w:tcPr>
            <w:tcW w:w="1421" w:type="dxa"/>
          </w:tcPr>
          <w:p>
            <w:pPr>
              <w:pStyle w:val="TableParagraph"/>
              <w:spacing w:before="38"/>
              <w:ind w:left="119" w:right="115"/>
              <w:jc w:val="center"/>
              <w:rPr>
                <w:rFonts w:ascii="Arial"/>
                <w:sz w:val="20"/>
              </w:rPr>
            </w:pPr>
            <w:r>
              <w:rPr>
                <w:rFonts w:ascii="Arial"/>
                <w:spacing w:val="-5"/>
                <w:sz w:val="20"/>
              </w:rPr>
              <w:t>566</w:t>
            </w:r>
          </w:p>
        </w:tc>
        <w:tc>
          <w:tcPr>
            <w:tcW w:w="1421" w:type="dxa"/>
          </w:tcPr>
          <w:p>
            <w:pPr>
              <w:pStyle w:val="TableParagraph"/>
              <w:spacing w:before="38"/>
              <w:ind w:left="119" w:right="115"/>
              <w:jc w:val="center"/>
              <w:rPr>
                <w:rFonts w:ascii="Arial"/>
                <w:sz w:val="20"/>
              </w:rPr>
            </w:pPr>
            <w:r>
              <w:rPr>
                <w:rFonts w:ascii="Arial"/>
                <w:w w:val="95"/>
                <w:sz w:val="20"/>
              </w:rPr>
              <w:t>81-</w:t>
            </w:r>
            <w:r>
              <w:rPr>
                <w:rFonts w:ascii="Arial"/>
                <w:spacing w:val="-5"/>
                <w:sz w:val="20"/>
              </w:rPr>
              <w:t>85</w:t>
            </w:r>
          </w:p>
        </w:tc>
        <w:tc>
          <w:tcPr>
            <w:tcW w:w="1421" w:type="dxa"/>
          </w:tcPr>
          <w:p>
            <w:pPr>
              <w:pStyle w:val="TableParagraph"/>
              <w:spacing w:before="38"/>
              <w:ind w:left="119" w:right="115"/>
              <w:jc w:val="center"/>
              <w:rPr>
                <w:rFonts w:ascii="Arial"/>
                <w:sz w:val="20"/>
              </w:rPr>
            </w:pPr>
            <w:r>
              <w:rPr>
                <w:rFonts w:ascii="Arial"/>
                <w:spacing w:val="-2"/>
                <w:sz w:val="20"/>
              </w:rPr>
              <w:t>5,818</w:t>
            </w:r>
          </w:p>
        </w:tc>
        <w:tc>
          <w:tcPr>
            <w:tcW w:w="1422" w:type="dxa"/>
          </w:tcPr>
          <w:p>
            <w:pPr>
              <w:pStyle w:val="TableParagraph"/>
              <w:spacing w:before="38"/>
              <w:ind w:left="119" w:right="116"/>
              <w:jc w:val="center"/>
              <w:rPr>
                <w:rFonts w:ascii="Arial"/>
                <w:sz w:val="20"/>
              </w:rPr>
            </w:pPr>
            <w:r>
              <w:rPr>
                <w:rFonts w:ascii="Arial"/>
                <w:spacing w:val="-2"/>
                <w:sz w:val="20"/>
              </w:rPr>
              <w:t>15,858</w:t>
            </w:r>
          </w:p>
        </w:tc>
      </w:tr>
      <w:tr>
        <w:trPr>
          <w:trHeight w:val="314" w:hRule="atLeast"/>
        </w:trPr>
        <w:tc>
          <w:tcPr>
            <w:tcW w:w="1421" w:type="dxa"/>
          </w:tcPr>
          <w:p>
            <w:pPr>
              <w:pStyle w:val="TableParagraph"/>
              <w:spacing w:before="40"/>
              <w:ind w:left="119" w:right="115"/>
              <w:jc w:val="center"/>
              <w:rPr>
                <w:rFonts w:ascii="Arial"/>
                <w:sz w:val="20"/>
              </w:rPr>
            </w:pPr>
            <w:r>
              <w:rPr>
                <w:rFonts w:ascii="Arial"/>
                <w:w w:val="95"/>
                <w:sz w:val="20"/>
              </w:rPr>
              <w:t>31-</w:t>
            </w:r>
            <w:r>
              <w:rPr>
                <w:rFonts w:ascii="Arial"/>
                <w:spacing w:val="-5"/>
                <w:sz w:val="20"/>
              </w:rPr>
              <w:t>35</w:t>
            </w:r>
          </w:p>
        </w:tc>
        <w:tc>
          <w:tcPr>
            <w:tcW w:w="1419" w:type="dxa"/>
          </w:tcPr>
          <w:p>
            <w:pPr>
              <w:pStyle w:val="TableParagraph"/>
              <w:spacing w:before="40"/>
              <w:ind w:left="528" w:right="522"/>
              <w:jc w:val="center"/>
              <w:rPr>
                <w:rFonts w:ascii="Arial"/>
                <w:sz w:val="20"/>
              </w:rPr>
            </w:pPr>
            <w:r>
              <w:rPr>
                <w:rFonts w:ascii="Arial"/>
                <w:spacing w:val="-5"/>
                <w:sz w:val="20"/>
              </w:rPr>
              <w:t>368</w:t>
            </w:r>
          </w:p>
        </w:tc>
        <w:tc>
          <w:tcPr>
            <w:tcW w:w="1421" w:type="dxa"/>
          </w:tcPr>
          <w:p>
            <w:pPr>
              <w:pStyle w:val="TableParagraph"/>
              <w:spacing w:before="40"/>
              <w:ind w:left="119" w:right="115"/>
              <w:jc w:val="center"/>
              <w:rPr>
                <w:rFonts w:ascii="Arial"/>
                <w:sz w:val="20"/>
              </w:rPr>
            </w:pPr>
            <w:r>
              <w:rPr>
                <w:rFonts w:ascii="Arial"/>
                <w:spacing w:val="-5"/>
                <w:sz w:val="20"/>
              </w:rPr>
              <w:t>818</w:t>
            </w:r>
          </w:p>
        </w:tc>
        <w:tc>
          <w:tcPr>
            <w:tcW w:w="1421" w:type="dxa"/>
          </w:tcPr>
          <w:p>
            <w:pPr>
              <w:pStyle w:val="TableParagraph"/>
              <w:spacing w:before="40"/>
              <w:ind w:left="119" w:right="115"/>
              <w:jc w:val="center"/>
              <w:rPr>
                <w:rFonts w:ascii="Arial"/>
                <w:sz w:val="20"/>
              </w:rPr>
            </w:pPr>
            <w:r>
              <w:rPr>
                <w:rFonts w:ascii="Arial"/>
                <w:w w:val="95"/>
                <w:sz w:val="20"/>
              </w:rPr>
              <w:t>86-</w:t>
            </w:r>
            <w:r>
              <w:rPr>
                <w:rFonts w:ascii="Arial"/>
                <w:spacing w:val="-5"/>
                <w:sz w:val="20"/>
              </w:rPr>
              <w:t>90</w:t>
            </w:r>
          </w:p>
        </w:tc>
        <w:tc>
          <w:tcPr>
            <w:tcW w:w="1421" w:type="dxa"/>
          </w:tcPr>
          <w:p>
            <w:pPr>
              <w:pStyle w:val="TableParagraph"/>
              <w:spacing w:before="40"/>
              <w:ind w:left="119" w:right="115"/>
              <w:jc w:val="center"/>
              <w:rPr>
                <w:rFonts w:ascii="Arial"/>
                <w:sz w:val="20"/>
              </w:rPr>
            </w:pPr>
            <w:r>
              <w:rPr>
                <w:rFonts w:ascii="Arial"/>
                <w:spacing w:val="-2"/>
                <w:sz w:val="20"/>
              </w:rPr>
              <w:t>7,246</w:t>
            </w:r>
          </w:p>
        </w:tc>
        <w:tc>
          <w:tcPr>
            <w:tcW w:w="1422" w:type="dxa"/>
          </w:tcPr>
          <w:p>
            <w:pPr>
              <w:pStyle w:val="TableParagraph"/>
              <w:spacing w:before="40"/>
              <w:ind w:left="119" w:right="116"/>
              <w:jc w:val="center"/>
              <w:rPr>
                <w:rFonts w:ascii="Arial"/>
                <w:sz w:val="20"/>
              </w:rPr>
            </w:pPr>
            <w:r>
              <w:rPr>
                <w:rFonts w:ascii="Arial"/>
                <w:spacing w:val="-2"/>
                <w:sz w:val="20"/>
              </w:rPr>
              <w:t>18,486</w:t>
            </w:r>
          </w:p>
        </w:tc>
      </w:tr>
      <w:tr>
        <w:trPr>
          <w:trHeight w:val="311" w:hRule="atLeast"/>
        </w:trPr>
        <w:tc>
          <w:tcPr>
            <w:tcW w:w="1421" w:type="dxa"/>
          </w:tcPr>
          <w:p>
            <w:pPr>
              <w:pStyle w:val="TableParagraph"/>
              <w:spacing w:before="38"/>
              <w:ind w:left="119" w:right="115"/>
              <w:jc w:val="center"/>
              <w:rPr>
                <w:rFonts w:ascii="Arial"/>
                <w:sz w:val="20"/>
              </w:rPr>
            </w:pPr>
            <w:r>
              <w:rPr>
                <w:rFonts w:ascii="Arial"/>
                <w:w w:val="95"/>
                <w:sz w:val="20"/>
              </w:rPr>
              <w:t>36-</w:t>
            </w:r>
            <w:r>
              <w:rPr>
                <w:rFonts w:ascii="Arial"/>
                <w:spacing w:val="-5"/>
                <w:sz w:val="20"/>
              </w:rPr>
              <w:t>40</w:t>
            </w:r>
          </w:p>
        </w:tc>
        <w:tc>
          <w:tcPr>
            <w:tcW w:w="1419" w:type="dxa"/>
          </w:tcPr>
          <w:p>
            <w:pPr>
              <w:pStyle w:val="TableParagraph"/>
              <w:spacing w:before="38"/>
              <w:ind w:left="528" w:right="522"/>
              <w:jc w:val="center"/>
              <w:rPr>
                <w:rFonts w:ascii="Arial"/>
                <w:sz w:val="20"/>
              </w:rPr>
            </w:pPr>
            <w:r>
              <w:rPr>
                <w:rFonts w:ascii="Arial"/>
                <w:spacing w:val="-5"/>
                <w:sz w:val="20"/>
              </w:rPr>
              <w:t>446</w:t>
            </w:r>
          </w:p>
        </w:tc>
        <w:tc>
          <w:tcPr>
            <w:tcW w:w="1421" w:type="dxa"/>
          </w:tcPr>
          <w:p>
            <w:pPr>
              <w:pStyle w:val="TableParagraph"/>
              <w:spacing w:before="38"/>
              <w:ind w:left="119" w:right="115"/>
              <w:jc w:val="center"/>
              <w:rPr>
                <w:rFonts w:ascii="Arial"/>
                <w:sz w:val="20"/>
              </w:rPr>
            </w:pPr>
            <w:r>
              <w:rPr>
                <w:rFonts w:ascii="Arial"/>
                <w:spacing w:val="-2"/>
                <w:sz w:val="20"/>
              </w:rPr>
              <w:t>1,126</w:t>
            </w:r>
          </w:p>
        </w:tc>
        <w:tc>
          <w:tcPr>
            <w:tcW w:w="1421" w:type="dxa"/>
          </w:tcPr>
          <w:p>
            <w:pPr>
              <w:pStyle w:val="TableParagraph"/>
              <w:spacing w:before="38"/>
              <w:ind w:left="119" w:right="115"/>
              <w:jc w:val="center"/>
              <w:rPr>
                <w:rFonts w:ascii="Arial"/>
                <w:sz w:val="20"/>
              </w:rPr>
            </w:pPr>
            <w:r>
              <w:rPr>
                <w:rFonts w:ascii="Arial"/>
                <w:w w:val="95"/>
                <w:sz w:val="20"/>
              </w:rPr>
              <w:t>91-</w:t>
            </w:r>
            <w:r>
              <w:rPr>
                <w:rFonts w:ascii="Arial"/>
                <w:spacing w:val="-5"/>
                <w:sz w:val="20"/>
              </w:rPr>
              <w:t>95</w:t>
            </w:r>
          </w:p>
        </w:tc>
        <w:tc>
          <w:tcPr>
            <w:tcW w:w="1421" w:type="dxa"/>
          </w:tcPr>
          <w:p>
            <w:pPr>
              <w:pStyle w:val="TableParagraph"/>
              <w:spacing w:before="38"/>
              <w:ind w:left="119" w:right="115"/>
              <w:jc w:val="center"/>
              <w:rPr>
                <w:rFonts w:ascii="Arial"/>
                <w:sz w:val="20"/>
              </w:rPr>
            </w:pPr>
            <w:r>
              <w:rPr>
                <w:rFonts w:ascii="Arial"/>
                <w:spacing w:val="-2"/>
                <w:sz w:val="20"/>
              </w:rPr>
              <w:t>9,278</w:t>
            </w:r>
          </w:p>
        </w:tc>
        <w:tc>
          <w:tcPr>
            <w:tcW w:w="1422" w:type="dxa"/>
          </w:tcPr>
          <w:p>
            <w:pPr>
              <w:pStyle w:val="TableParagraph"/>
              <w:spacing w:before="38"/>
              <w:ind w:left="119" w:right="116"/>
              <w:jc w:val="center"/>
              <w:rPr>
                <w:rFonts w:ascii="Arial"/>
                <w:sz w:val="20"/>
              </w:rPr>
            </w:pPr>
            <w:r>
              <w:rPr>
                <w:rFonts w:ascii="Arial"/>
                <w:spacing w:val="-2"/>
                <w:sz w:val="20"/>
              </w:rPr>
              <w:t>22,618</w:t>
            </w:r>
          </w:p>
        </w:tc>
      </w:tr>
      <w:tr>
        <w:trPr>
          <w:trHeight w:val="311" w:hRule="atLeast"/>
        </w:trPr>
        <w:tc>
          <w:tcPr>
            <w:tcW w:w="1421" w:type="dxa"/>
          </w:tcPr>
          <w:p>
            <w:pPr>
              <w:pStyle w:val="TableParagraph"/>
              <w:spacing w:before="38"/>
              <w:ind w:left="119" w:right="115"/>
              <w:jc w:val="center"/>
              <w:rPr>
                <w:rFonts w:ascii="Arial"/>
                <w:sz w:val="20"/>
              </w:rPr>
            </w:pPr>
            <w:r>
              <w:rPr>
                <w:rFonts w:ascii="Arial"/>
                <w:w w:val="95"/>
                <w:sz w:val="20"/>
              </w:rPr>
              <w:t>41-</w:t>
            </w:r>
            <w:r>
              <w:rPr>
                <w:rFonts w:ascii="Arial"/>
                <w:spacing w:val="-5"/>
                <w:sz w:val="20"/>
              </w:rPr>
              <w:t>45</w:t>
            </w:r>
          </w:p>
        </w:tc>
        <w:tc>
          <w:tcPr>
            <w:tcW w:w="1419" w:type="dxa"/>
          </w:tcPr>
          <w:p>
            <w:pPr>
              <w:pStyle w:val="TableParagraph"/>
              <w:spacing w:before="38"/>
              <w:ind w:left="528" w:right="522"/>
              <w:jc w:val="center"/>
              <w:rPr>
                <w:rFonts w:ascii="Arial"/>
                <w:sz w:val="20"/>
              </w:rPr>
            </w:pPr>
            <w:r>
              <w:rPr>
                <w:rFonts w:ascii="Arial"/>
                <w:spacing w:val="-5"/>
                <w:sz w:val="20"/>
              </w:rPr>
              <w:t>538</w:t>
            </w:r>
          </w:p>
        </w:tc>
        <w:tc>
          <w:tcPr>
            <w:tcW w:w="1421" w:type="dxa"/>
          </w:tcPr>
          <w:p>
            <w:pPr>
              <w:pStyle w:val="TableParagraph"/>
              <w:spacing w:before="38"/>
              <w:ind w:left="119" w:right="115"/>
              <w:jc w:val="center"/>
              <w:rPr>
                <w:rFonts w:ascii="Arial"/>
                <w:sz w:val="20"/>
              </w:rPr>
            </w:pPr>
            <w:r>
              <w:rPr>
                <w:rFonts w:ascii="Arial"/>
                <w:spacing w:val="-2"/>
                <w:sz w:val="20"/>
              </w:rPr>
              <w:t>1,548</w:t>
            </w:r>
          </w:p>
        </w:tc>
        <w:tc>
          <w:tcPr>
            <w:tcW w:w="1421" w:type="dxa"/>
          </w:tcPr>
          <w:p>
            <w:pPr>
              <w:pStyle w:val="TableParagraph"/>
              <w:spacing w:before="38"/>
              <w:ind w:left="121" w:right="115"/>
              <w:jc w:val="center"/>
              <w:rPr>
                <w:rFonts w:ascii="Arial"/>
                <w:sz w:val="20"/>
              </w:rPr>
            </w:pPr>
            <w:r>
              <w:rPr>
                <w:rFonts w:ascii="Arial"/>
                <w:w w:val="95"/>
                <w:sz w:val="20"/>
              </w:rPr>
              <w:t>96-</w:t>
            </w:r>
            <w:r>
              <w:rPr>
                <w:rFonts w:ascii="Arial"/>
                <w:spacing w:val="-5"/>
                <w:sz w:val="20"/>
              </w:rPr>
              <w:t>100</w:t>
            </w:r>
          </w:p>
        </w:tc>
        <w:tc>
          <w:tcPr>
            <w:tcW w:w="1421" w:type="dxa"/>
          </w:tcPr>
          <w:p>
            <w:pPr>
              <w:pStyle w:val="TableParagraph"/>
              <w:spacing w:before="38"/>
              <w:ind w:left="119" w:right="115"/>
              <w:jc w:val="center"/>
              <w:rPr>
                <w:rFonts w:ascii="Arial"/>
                <w:sz w:val="20"/>
              </w:rPr>
            </w:pPr>
            <w:r>
              <w:rPr>
                <w:rFonts w:ascii="Arial"/>
                <w:spacing w:val="-2"/>
                <w:sz w:val="20"/>
              </w:rPr>
              <w:t>11,786</w:t>
            </w:r>
          </w:p>
        </w:tc>
        <w:tc>
          <w:tcPr>
            <w:tcW w:w="1422" w:type="dxa"/>
          </w:tcPr>
          <w:p>
            <w:pPr>
              <w:pStyle w:val="TableParagraph"/>
              <w:spacing w:before="38"/>
              <w:ind w:left="119" w:right="116"/>
              <w:jc w:val="center"/>
              <w:rPr>
                <w:rFonts w:ascii="Arial"/>
                <w:sz w:val="20"/>
              </w:rPr>
            </w:pPr>
            <w:r>
              <w:rPr>
                <w:rFonts w:ascii="Arial"/>
                <w:spacing w:val="-2"/>
                <w:sz w:val="20"/>
              </w:rPr>
              <w:t>27,456</w:t>
            </w:r>
          </w:p>
        </w:tc>
      </w:tr>
    </w:tbl>
    <w:p>
      <w:pPr>
        <w:pStyle w:val="BodyText"/>
        <w:spacing w:before="8"/>
        <w:rPr>
          <w:sz w:val="15"/>
        </w:rPr>
      </w:pPr>
    </w:p>
    <w:p>
      <w:pPr>
        <w:spacing w:line="266" w:lineRule="auto" w:before="0"/>
        <w:ind w:left="1180" w:right="939" w:firstLine="0"/>
        <w:jc w:val="left"/>
        <w:rPr>
          <w:rFonts w:ascii="黑体" w:hAnsi="黑体" w:eastAsia="黑体"/>
          <w:sz w:val="28"/>
        </w:rPr>
      </w:pPr>
      <w:r>
        <w:rPr>
          <w:rFonts w:ascii="黑体" w:hAnsi="黑体" w:eastAsia="黑体"/>
          <w:spacing w:val="-19"/>
          <w:sz w:val="28"/>
        </w:rPr>
        <w:t>注：投保人为被保险人续保合同时，我们有权调整续保合同的保险费，</w:t>
      </w:r>
      <w:r>
        <w:rPr>
          <w:rFonts w:ascii="黑体" w:hAnsi="黑体" w:eastAsia="黑体"/>
          <w:spacing w:val="-3"/>
          <w:sz w:val="28"/>
        </w:rPr>
        <w:t>同时变更费率表。有关“保险费率调整”请详见本合同条款 </w:t>
      </w:r>
      <w:r>
        <w:rPr>
          <w:rFonts w:ascii="黑体" w:hAnsi="黑体" w:eastAsia="黑体"/>
          <w:sz w:val="28"/>
        </w:rPr>
        <w:t>4.2</w:t>
      </w:r>
      <w:r>
        <w:rPr>
          <w:rFonts w:ascii="黑体" w:hAnsi="黑体" w:eastAsia="黑体"/>
          <w:spacing w:val="-22"/>
          <w:sz w:val="28"/>
        </w:rPr>
        <w:t> 条的</w:t>
      </w:r>
      <w:r>
        <w:rPr>
          <w:rFonts w:ascii="黑体" w:hAnsi="黑体" w:eastAsia="黑体"/>
          <w:spacing w:val="-4"/>
          <w:sz w:val="28"/>
        </w:rPr>
        <w:t>约定。</w:t>
      </w:r>
    </w:p>
    <w:p>
      <w:pPr>
        <w:pStyle w:val="BodyText"/>
        <w:spacing w:before="11"/>
        <w:rPr>
          <w:rFonts w:ascii="黑体"/>
          <w:sz w:val="30"/>
        </w:rPr>
      </w:pPr>
    </w:p>
    <w:p>
      <w:pPr>
        <w:pStyle w:val="Heading1"/>
      </w:pPr>
      <w:r>
        <w:rPr>
          <w:spacing w:val="-1"/>
          <w:w w:val="95"/>
        </w:rPr>
        <w:t>二、首次投保或中断后再次投保时费率表</w:t>
      </w:r>
    </w:p>
    <w:p>
      <w:pPr>
        <w:pStyle w:val="BodyText"/>
        <w:spacing w:before="146" w:after="20"/>
        <w:ind w:left="8742"/>
      </w:pPr>
      <w:r>
        <w:rPr>
          <w:spacing w:val="-28"/>
        </w:rPr>
        <w:t>单位：元</w:t>
      </w:r>
    </w:p>
    <w:tbl>
      <w:tblPr>
        <w:tblW w:w="0" w:type="auto"/>
        <w:jc w:val="left"/>
        <w:tblInd w:w="10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21"/>
        <w:gridCol w:w="1419"/>
        <w:gridCol w:w="1421"/>
        <w:gridCol w:w="1421"/>
        <w:gridCol w:w="1421"/>
        <w:gridCol w:w="1422"/>
      </w:tblGrid>
      <w:tr>
        <w:trPr>
          <w:trHeight w:val="623" w:hRule="atLeast"/>
        </w:trPr>
        <w:tc>
          <w:tcPr>
            <w:tcW w:w="1421" w:type="dxa"/>
          </w:tcPr>
          <w:p>
            <w:pPr>
              <w:pStyle w:val="TableParagraph"/>
              <w:spacing w:before="25"/>
              <w:ind w:left="208"/>
              <w:rPr>
                <w:b/>
                <w:sz w:val="20"/>
              </w:rPr>
            </w:pPr>
            <w:r>
              <w:rPr>
                <w:b/>
                <w:w w:val="95"/>
                <w:sz w:val="20"/>
              </w:rPr>
              <w:t>被</w:t>
            </w:r>
            <w:r>
              <w:rPr>
                <w:b/>
                <w:w w:val="95"/>
                <w:sz w:val="20"/>
              </w:rPr>
              <w:t>保</w:t>
            </w:r>
            <w:r>
              <w:rPr>
                <w:b/>
                <w:w w:val="95"/>
                <w:sz w:val="20"/>
              </w:rPr>
              <w:t>险</w:t>
            </w:r>
            <w:r>
              <w:rPr>
                <w:b/>
                <w:w w:val="95"/>
                <w:sz w:val="20"/>
              </w:rPr>
              <w:t>人</w:t>
            </w:r>
            <w:r>
              <w:rPr>
                <w:b/>
                <w:spacing w:val="-10"/>
                <w:w w:val="95"/>
                <w:sz w:val="20"/>
              </w:rPr>
              <w:t>年</w:t>
            </w:r>
          </w:p>
          <w:p>
            <w:pPr>
              <w:pStyle w:val="TableParagraph"/>
              <w:spacing w:before="56"/>
              <w:ind w:left="208"/>
              <w:rPr>
                <w:b/>
                <w:sz w:val="20"/>
              </w:rPr>
            </w:pPr>
            <w:r>
              <w:rPr>
                <w:b/>
                <w:w w:val="95"/>
                <w:sz w:val="20"/>
              </w:rPr>
              <w:t>龄</w:t>
            </w:r>
            <w:r>
              <w:rPr>
                <w:b/>
                <w:w w:val="95"/>
                <w:sz w:val="20"/>
              </w:rPr>
              <w:t>（</w:t>
            </w:r>
            <w:r>
              <w:rPr>
                <w:b/>
                <w:w w:val="95"/>
                <w:sz w:val="20"/>
              </w:rPr>
              <w:t>周</w:t>
            </w:r>
            <w:r>
              <w:rPr>
                <w:b/>
                <w:w w:val="95"/>
                <w:sz w:val="20"/>
              </w:rPr>
              <w:t>岁</w:t>
            </w:r>
            <w:r>
              <w:rPr>
                <w:b/>
                <w:spacing w:val="-10"/>
                <w:w w:val="95"/>
                <w:sz w:val="20"/>
              </w:rPr>
              <w:t>）</w:t>
            </w:r>
          </w:p>
        </w:tc>
        <w:tc>
          <w:tcPr>
            <w:tcW w:w="1419" w:type="dxa"/>
          </w:tcPr>
          <w:p>
            <w:pPr>
              <w:pStyle w:val="TableParagraph"/>
              <w:spacing w:before="25"/>
              <w:ind w:left="208"/>
              <w:rPr>
                <w:b/>
                <w:sz w:val="20"/>
              </w:rPr>
            </w:pPr>
            <w:r>
              <w:rPr>
                <w:b/>
                <w:w w:val="95"/>
                <w:sz w:val="20"/>
              </w:rPr>
              <w:t>有</w:t>
            </w:r>
            <w:r>
              <w:rPr>
                <w:b/>
                <w:w w:val="95"/>
                <w:sz w:val="20"/>
              </w:rPr>
              <w:t>社</w:t>
            </w:r>
            <w:r>
              <w:rPr>
                <w:b/>
                <w:w w:val="95"/>
                <w:sz w:val="20"/>
              </w:rPr>
              <w:t>会</w:t>
            </w:r>
            <w:r>
              <w:rPr>
                <w:b/>
                <w:w w:val="95"/>
                <w:sz w:val="20"/>
              </w:rPr>
              <w:t>基</w:t>
            </w:r>
            <w:r>
              <w:rPr>
                <w:b/>
                <w:spacing w:val="-10"/>
                <w:w w:val="95"/>
                <w:sz w:val="20"/>
              </w:rPr>
              <w:t>本</w:t>
            </w:r>
          </w:p>
          <w:p>
            <w:pPr>
              <w:pStyle w:val="TableParagraph"/>
              <w:spacing w:before="56"/>
              <w:ind w:left="306"/>
              <w:rPr>
                <w:b/>
                <w:sz w:val="20"/>
              </w:rPr>
            </w:pPr>
            <w:r>
              <w:rPr>
                <w:b/>
                <w:w w:val="95"/>
                <w:sz w:val="20"/>
              </w:rPr>
              <w:t>医</w:t>
            </w:r>
            <w:r>
              <w:rPr>
                <w:b/>
                <w:w w:val="95"/>
                <w:sz w:val="20"/>
              </w:rPr>
              <w:t>疗</w:t>
            </w:r>
            <w:r>
              <w:rPr>
                <w:b/>
                <w:w w:val="95"/>
                <w:sz w:val="20"/>
              </w:rPr>
              <w:t>保</w:t>
            </w:r>
            <w:r>
              <w:rPr>
                <w:b/>
                <w:spacing w:val="-10"/>
                <w:w w:val="95"/>
                <w:sz w:val="20"/>
              </w:rPr>
              <w:t>险</w:t>
            </w:r>
          </w:p>
        </w:tc>
        <w:tc>
          <w:tcPr>
            <w:tcW w:w="1421" w:type="dxa"/>
          </w:tcPr>
          <w:p>
            <w:pPr>
              <w:pStyle w:val="TableParagraph"/>
              <w:spacing w:before="25"/>
              <w:ind w:left="208"/>
              <w:rPr>
                <w:b/>
                <w:sz w:val="20"/>
              </w:rPr>
            </w:pPr>
            <w:r>
              <w:rPr>
                <w:b/>
                <w:w w:val="95"/>
                <w:sz w:val="20"/>
              </w:rPr>
              <w:t>无</w:t>
            </w:r>
            <w:r>
              <w:rPr>
                <w:b/>
                <w:w w:val="95"/>
                <w:sz w:val="20"/>
              </w:rPr>
              <w:t>社</w:t>
            </w:r>
            <w:r>
              <w:rPr>
                <w:b/>
                <w:w w:val="95"/>
                <w:sz w:val="20"/>
              </w:rPr>
              <w:t>会</w:t>
            </w:r>
            <w:r>
              <w:rPr>
                <w:b/>
                <w:w w:val="95"/>
                <w:sz w:val="20"/>
              </w:rPr>
              <w:t>基</w:t>
            </w:r>
            <w:r>
              <w:rPr>
                <w:b/>
                <w:spacing w:val="-10"/>
                <w:w w:val="95"/>
                <w:sz w:val="20"/>
              </w:rPr>
              <w:t>本</w:t>
            </w:r>
          </w:p>
          <w:p>
            <w:pPr>
              <w:pStyle w:val="TableParagraph"/>
              <w:spacing w:before="56"/>
              <w:ind w:left="306"/>
              <w:rPr>
                <w:b/>
                <w:sz w:val="20"/>
              </w:rPr>
            </w:pPr>
            <w:r>
              <w:rPr>
                <w:b/>
                <w:w w:val="95"/>
                <w:sz w:val="20"/>
              </w:rPr>
              <w:t>医</w:t>
            </w:r>
            <w:r>
              <w:rPr>
                <w:b/>
                <w:w w:val="95"/>
                <w:sz w:val="20"/>
              </w:rPr>
              <w:t>疗</w:t>
            </w:r>
            <w:r>
              <w:rPr>
                <w:b/>
                <w:w w:val="95"/>
                <w:sz w:val="20"/>
              </w:rPr>
              <w:t>保</w:t>
            </w:r>
            <w:r>
              <w:rPr>
                <w:b/>
                <w:spacing w:val="-10"/>
                <w:w w:val="95"/>
                <w:sz w:val="20"/>
              </w:rPr>
              <w:t>险</w:t>
            </w:r>
          </w:p>
        </w:tc>
        <w:tc>
          <w:tcPr>
            <w:tcW w:w="1421" w:type="dxa"/>
          </w:tcPr>
          <w:p>
            <w:pPr>
              <w:pStyle w:val="TableParagraph"/>
              <w:spacing w:before="25"/>
              <w:ind w:left="208"/>
              <w:rPr>
                <w:b/>
                <w:sz w:val="20"/>
              </w:rPr>
            </w:pPr>
            <w:r>
              <w:rPr>
                <w:b/>
                <w:w w:val="95"/>
                <w:sz w:val="20"/>
              </w:rPr>
              <w:t>被</w:t>
            </w:r>
            <w:r>
              <w:rPr>
                <w:b/>
                <w:w w:val="95"/>
                <w:sz w:val="20"/>
              </w:rPr>
              <w:t>保</w:t>
            </w:r>
            <w:r>
              <w:rPr>
                <w:b/>
                <w:w w:val="95"/>
                <w:sz w:val="20"/>
              </w:rPr>
              <w:t>险</w:t>
            </w:r>
            <w:r>
              <w:rPr>
                <w:b/>
                <w:w w:val="95"/>
                <w:sz w:val="20"/>
              </w:rPr>
              <w:t>人</w:t>
            </w:r>
            <w:r>
              <w:rPr>
                <w:b/>
                <w:spacing w:val="-10"/>
                <w:w w:val="95"/>
                <w:sz w:val="20"/>
              </w:rPr>
              <w:t>年</w:t>
            </w:r>
          </w:p>
          <w:p>
            <w:pPr>
              <w:pStyle w:val="TableParagraph"/>
              <w:spacing w:before="56"/>
              <w:ind w:left="208"/>
              <w:rPr>
                <w:b/>
                <w:sz w:val="20"/>
              </w:rPr>
            </w:pPr>
            <w:r>
              <w:rPr>
                <w:b/>
                <w:w w:val="95"/>
                <w:sz w:val="20"/>
              </w:rPr>
              <w:t>龄</w:t>
            </w:r>
            <w:r>
              <w:rPr>
                <w:b/>
                <w:w w:val="95"/>
                <w:sz w:val="20"/>
              </w:rPr>
              <w:t>（</w:t>
            </w:r>
            <w:r>
              <w:rPr>
                <w:b/>
                <w:w w:val="95"/>
                <w:sz w:val="20"/>
              </w:rPr>
              <w:t>周</w:t>
            </w:r>
            <w:r>
              <w:rPr>
                <w:b/>
                <w:w w:val="95"/>
                <w:sz w:val="20"/>
              </w:rPr>
              <w:t>岁</w:t>
            </w:r>
            <w:r>
              <w:rPr>
                <w:b/>
                <w:spacing w:val="-10"/>
                <w:w w:val="95"/>
                <w:sz w:val="20"/>
              </w:rPr>
              <w:t>）</w:t>
            </w:r>
          </w:p>
        </w:tc>
        <w:tc>
          <w:tcPr>
            <w:tcW w:w="1421" w:type="dxa"/>
          </w:tcPr>
          <w:p>
            <w:pPr>
              <w:pStyle w:val="TableParagraph"/>
              <w:spacing w:before="25"/>
              <w:ind w:left="123" w:right="115"/>
              <w:jc w:val="center"/>
              <w:rPr>
                <w:b/>
                <w:sz w:val="20"/>
              </w:rPr>
            </w:pPr>
            <w:r>
              <w:rPr>
                <w:b/>
                <w:w w:val="95"/>
                <w:sz w:val="20"/>
              </w:rPr>
              <w:t>有</w:t>
            </w:r>
            <w:r>
              <w:rPr>
                <w:b/>
                <w:w w:val="95"/>
                <w:sz w:val="20"/>
              </w:rPr>
              <w:t>社</w:t>
            </w:r>
            <w:r>
              <w:rPr>
                <w:b/>
                <w:w w:val="95"/>
                <w:sz w:val="20"/>
              </w:rPr>
              <w:t>会</w:t>
            </w:r>
            <w:r>
              <w:rPr>
                <w:b/>
                <w:spacing w:val="-4"/>
                <w:w w:val="95"/>
                <w:sz w:val="20"/>
              </w:rPr>
              <w:t>基本医</w:t>
            </w:r>
          </w:p>
          <w:p>
            <w:pPr>
              <w:pStyle w:val="TableParagraph"/>
              <w:spacing w:before="56"/>
              <w:ind w:left="123" w:right="115"/>
              <w:jc w:val="center"/>
              <w:rPr>
                <w:b/>
                <w:sz w:val="20"/>
              </w:rPr>
            </w:pPr>
            <w:r>
              <w:rPr>
                <w:b/>
                <w:w w:val="95"/>
                <w:sz w:val="20"/>
              </w:rPr>
              <w:t>疗</w:t>
            </w:r>
            <w:r>
              <w:rPr>
                <w:b/>
                <w:w w:val="95"/>
                <w:sz w:val="20"/>
              </w:rPr>
              <w:t>保</w:t>
            </w:r>
            <w:r>
              <w:rPr>
                <w:b/>
                <w:spacing w:val="-10"/>
                <w:w w:val="95"/>
                <w:sz w:val="20"/>
              </w:rPr>
              <w:t>险</w:t>
            </w:r>
          </w:p>
        </w:tc>
        <w:tc>
          <w:tcPr>
            <w:tcW w:w="1422" w:type="dxa"/>
          </w:tcPr>
          <w:p>
            <w:pPr>
              <w:pStyle w:val="TableParagraph"/>
              <w:spacing w:before="25"/>
              <w:ind w:left="122" w:right="116"/>
              <w:jc w:val="center"/>
              <w:rPr>
                <w:b/>
                <w:sz w:val="20"/>
              </w:rPr>
            </w:pPr>
            <w:r>
              <w:rPr>
                <w:b/>
                <w:w w:val="95"/>
                <w:sz w:val="20"/>
              </w:rPr>
              <w:t>无</w:t>
            </w:r>
            <w:r>
              <w:rPr>
                <w:b/>
                <w:w w:val="95"/>
                <w:sz w:val="20"/>
              </w:rPr>
              <w:t>社</w:t>
            </w:r>
            <w:r>
              <w:rPr>
                <w:b/>
                <w:w w:val="95"/>
                <w:sz w:val="20"/>
              </w:rPr>
              <w:t>会</w:t>
            </w:r>
            <w:r>
              <w:rPr>
                <w:b/>
                <w:spacing w:val="-4"/>
                <w:w w:val="95"/>
                <w:sz w:val="20"/>
              </w:rPr>
              <w:t>基本医</w:t>
            </w:r>
          </w:p>
          <w:p>
            <w:pPr>
              <w:pStyle w:val="TableParagraph"/>
              <w:spacing w:before="56"/>
              <w:ind w:left="122" w:right="115"/>
              <w:jc w:val="center"/>
              <w:rPr>
                <w:b/>
                <w:sz w:val="20"/>
              </w:rPr>
            </w:pPr>
            <w:r>
              <w:rPr>
                <w:b/>
                <w:w w:val="95"/>
                <w:sz w:val="20"/>
              </w:rPr>
              <w:t>疗</w:t>
            </w:r>
            <w:r>
              <w:rPr>
                <w:b/>
                <w:w w:val="95"/>
                <w:sz w:val="20"/>
              </w:rPr>
              <w:t>保</w:t>
            </w:r>
            <w:r>
              <w:rPr>
                <w:b/>
                <w:spacing w:val="-10"/>
                <w:w w:val="95"/>
                <w:sz w:val="20"/>
              </w:rPr>
              <w:t>险</w:t>
            </w:r>
          </w:p>
        </w:tc>
      </w:tr>
      <w:tr>
        <w:trPr>
          <w:trHeight w:val="311" w:hRule="atLeast"/>
        </w:trPr>
        <w:tc>
          <w:tcPr>
            <w:tcW w:w="1421" w:type="dxa"/>
          </w:tcPr>
          <w:p>
            <w:pPr>
              <w:pStyle w:val="TableParagraph"/>
              <w:spacing w:before="38"/>
              <w:ind w:left="123" w:right="114"/>
              <w:jc w:val="center"/>
              <w:rPr>
                <w:rFonts w:ascii="Arial"/>
                <w:sz w:val="20"/>
              </w:rPr>
            </w:pPr>
            <w:r>
              <w:rPr>
                <w:rFonts w:ascii="Arial"/>
                <w:w w:val="95"/>
                <w:sz w:val="20"/>
              </w:rPr>
              <w:t>0-</w:t>
            </w:r>
            <w:r>
              <w:rPr>
                <w:rFonts w:ascii="Arial"/>
                <w:spacing w:val="-10"/>
                <w:sz w:val="20"/>
              </w:rPr>
              <w:t>2</w:t>
            </w:r>
          </w:p>
        </w:tc>
        <w:tc>
          <w:tcPr>
            <w:tcW w:w="1419" w:type="dxa"/>
          </w:tcPr>
          <w:p>
            <w:pPr>
              <w:pStyle w:val="TableParagraph"/>
              <w:spacing w:before="38"/>
              <w:ind w:left="528" w:right="522"/>
              <w:jc w:val="center"/>
              <w:rPr>
                <w:rFonts w:ascii="Arial"/>
                <w:sz w:val="20"/>
              </w:rPr>
            </w:pPr>
            <w:r>
              <w:rPr>
                <w:rFonts w:ascii="Arial"/>
                <w:spacing w:val="-5"/>
                <w:sz w:val="20"/>
              </w:rPr>
              <w:t>707</w:t>
            </w:r>
          </w:p>
        </w:tc>
        <w:tc>
          <w:tcPr>
            <w:tcW w:w="1421" w:type="dxa"/>
          </w:tcPr>
          <w:p>
            <w:pPr>
              <w:pStyle w:val="TableParagraph"/>
              <w:spacing w:before="38"/>
              <w:ind w:left="119" w:right="115"/>
              <w:jc w:val="center"/>
              <w:rPr>
                <w:rFonts w:ascii="Arial"/>
                <w:sz w:val="20"/>
              </w:rPr>
            </w:pPr>
            <w:r>
              <w:rPr>
                <w:rFonts w:ascii="Arial"/>
                <w:spacing w:val="-2"/>
                <w:sz w:val="20"/>
              </w:rPr>
              <w:t>1,465</w:t>
            </w:r>
          </w:p>
        </w:tc>
        <w:tc>
          <w:tcPr>
            <w:tcW w:w="1421" w:type="dxa"/>
          </w:tcPr>
          <w:p>
            <w:pPr>
              <w:pStyle w:val="TableParagraph"/>
              <w:spacing w:before="38"/>
              <w:ind w:left="119" w:right="115"/>
              <w:jc w:val="center"/>
              <w:rPr>
                <w:rFonts w:ascii="Arial"/>
                <w:sz w:val="20"/>
              </w:rPr>
            </w:pPr>
            <w:r>
              <w:rPr>
                <w:rFonts w:ascii="Arial"/>
                <w:w w:val="95"/>
                <w:sz w:val="20"/>
              </w:rPr>
              <w:t>26-</w:t>
            </w:r>
            <w:r>
              <w:rPr>
                <w:rFonts w:ascii="Arial"/>
                <w:spacing w:val="-5"/>
                <w:sz w:val="20"/>
              </w:rPr>
              <w:t>30</w:t>
            </w:r>
          </w:p>
        </w:tc>
        <w:tc>
          <w:tcPr>
            <w:tcW w:w="1421" w:type="dxa"/>
          </w:tcPr>
          <w:p>
            <w:pPr>
              <w:pStyle w:val="TableParagraph"/>
              <w:spacing w:before="38"/>
              <w:ind w:left="119" w:right="115"/>
              <w:jc w:val="center"/>
              <w:rPr>
                <w:rFonts w:ascii="Arial"/>
                <w:sz w:val="20"/>
              </w:rPr>
            </w:pPr>
            <w:r>
              <w:rPr>
                <w:rFonts w:ascii="Arial"/>
                <w:spacing w:val="-5"/>
                <w:sz w:val="20"/>
              </w:rPr>
              <w:t>255</w:t>
            </w:r>
          </w:p>
        </w:tc>
        <w:tc>
          <w:tcPr>
            <w:tcW w:w="1422" w:type="dxa"/>
          </w:tcPr>
          <w:p>
            <w:pPr>
              <w:pStyle w:val="TableParagraph"/>
              <w:spacing w:before="38"/>
              <w:ind w:left="118" w:right="116"/>
              <w:jc w:val="center"/>
              <w:rPr>
                <w:rFonts w:ascii="Arial"/>
                <w:sz w:val="20"/>
              </w:rPr>
            </w:pPr>
            <w:r>
              <w:rPr>
                <w:rFonts w:ascii="Arial"/>
                <w:spacing w:val="-5"/>
                <w:sz w:val="20"/>
              </w:rPr>
              <w:t>542</w:t>
            </w:r>
          </w:p>
        </w:tc>
      </w:tr>
      <w:tr>
        <w:trPr>
          <w:trHeight w:val="314" w:hRule="atLeast"/>
        </w:trPr>
        <w:tc>
          <w:tcPr>
            <w:tcW w:w="1421" w:type="dxa"/>
          </w:tcPr>
          <w:p>
            <w:pPr>
              <w:pStyle w:val="TableParagraph"/>
              <w:spacing w:before="40"/>
              <w:ind w:left="123" w:right="114"/>
              <w:jc w:val="center"/>
              <w:rPr>
                <w:rFonts w:ascii="Arial"/>
                <w:sz w:val="20"/>
              </w:rPr>
            </w:pPr>
            <w:r>
              <w:rPr>
                <w:rFonts w:ascii="Arial"/>
                <w:w w:val="95"/>
                <w:sz w:val="20"/>
              </w:rPr>
              <w:t>3-</w:t>
            </w:r>
            <w:r>
              <w:rPr>
                <w:rFonts w:ascii="Arial"/>
                <w:spacing w:val="-10"/>
                <w:sz w:val="20"/>
              </w:rPr>
              <w:t>4</w:t>
            </w:r>
          </w:p>
        </w:tc>
        <w:tc>
          <w:tcPr>
            <w:tcW w:w="1419" w:type="dxa"/>
          </w:tcPr>
          <w:p>
            <w:pPr>
              <w:pStyle w:val="TableParagraph"/>
              <w:spacing w:before="40"/>
              <w:ind w:left="528" w:right="522"/>
              <w:jc w:val="center"/>
              <w:rPr>
                <w:rFonts w:ascii="Arial"/>
                <w:sz w:val="20"/>
              </w:rPr>
            </w:pPr>
            <w:r>
              <w:rPr>
                <w:rFonts w:ascii="Arial"/>
                <w:spacing w:val="-5"/>
                <w:sz w:val="20"/>
              </w:rPr>
              <w:t>590</w:t>
            </w:r>
          </w:p>
        </w:tc>
        <w:tc>
          <w:tcPr>
            <w:tcW w:w="1421" w:type="dxa"/>
          </w:tcPr>
          <w:p>
            <w:pPr>
              <w:pStyle w:val="TableParagraph"/>
              <w:spacing w:before="40"/>
              <w:ind w:left="119" w:right="115"/>
              <w:jc w:val="center"/>
              <w:rPr>
                <w:rFonts w:ascii="Arial"/>
                <w:sz w:val="20"/>
              </w:rPr>
            </w:pPr>
            <w:r>
              <w:rPr>
                <w:rFonts w:ascii="Arial"/>
                <w:spacing w:val="-2"/>
                <w:sz w:val="20"/>
              </w:rPr>
              <w:t>1,223</w:t>
            </w:r>
          </w:p>
        </w:tc>
        <w:tc>
          <w:tcPr>
            <w:tcW w:w="1421" w:type="dxa"/>
          </w:tcPr>
          <w:p>
            <w:pPr>
              <w:pStyle w:val="TableParagraph"/>
              <w:spacing w:before="40"/>
              <w:ind w:left="119" w:right="115"/>
              <w:jc w:val="center"/>
              <w:rPr>
                <w:rFonts w:ascii="Arial"/>
                <w:sz w:val="20"/>
              </w:rPr>
            </w:pPr>
            <w:r>
              <w:rPr>
                <w:rFonts w:ascii="Arial"/>
                <w:w w:val="95"/>
                <w:sz w:val="20"/>
              </w:rPr>
              <w:t>31-</w:t>
            </w:r>
            <w:r>
              <w:rPr>
                <w:rFonts w:ascii="Arial"/>
                <w:spacing w:val="-5"/>
                <w:sz w:val="20"/>
              </w:rPr>
              <w:t>35</w:t>
            </w:r>
          </w:p>
        </w:tc>
        <w:tc>
          <w:tcPr>
            <w:tcW w:w="1421" w:type="dxa"/>
          </w:tcPr>
          <w:p>
            <w:pPr>
              <w:pStyle w:val="TableParagraph"/>
              <w:spacing w:before="40"/>
              <w:ind w:left="119" w:right="115"/>
              <w:jc w:val="center"/>
              <w:rPr>
                <w:rFonts w:ascii="Arial"/>
                <w:sz w:val="20"/>
              </w:rPr>
            </w:pPr>
            <w:r>
              <w:rPr>
                <w:rFonts w:ascii="Arial"/>
                <w:spacing w:val="-5"/>
                <w:sz w:val="20"/>
              </w:rPr>
              <w:t>352</w:t>
            </w:r>
          </w:p>
        </w:tc>
        <w:tc>
          <w:tcPr>
            <w:tcW w:w="1422" w:type="dxa"/>
          </w:tcPr>
          <w:p>
            <w:pPr>
              <w:pStyle w:val="TableParagraph"/>
              <w:spacing w:before="40"/>
              <w:ind w:left="118" w:right="116"/>
              <w:jc w:val="center"/>
              <w:rPr>
                <w:rFonts w:ascii="Arial"/>
                <w:sz w:val="20"/>
              </w:rPr>
            </w:pPr>
            <w:r>
              <w:rPr>
                <w:rFonts w:ascii="Arial"/>
                <w:spacing w:val="-5"/>
                <w:sz w:val="20"/>
              </w:rPr>
              <w:t>784</w:t>
            </w:r>
          </w:p>
        </w:tc>
      </w:tr>
      <w:tr>
        <w:trPr>
          <w:trHeight w:val="311" w:hRule="atLeast"/>
        </w:trPr>
        <w:tc>
          <w:tcPr>
            <w:tcW w:w="1421" w:type="dxa"/>
          </w:tcPr>
          <w:p>
            <w:pPr>
              <w:pStyle w:val="TableParagraph"/>
              <w:spacing w:before="38"/>
              <w:ind w:left="123" w:right="114"/>
              <w:jc w:val="center"/>
              <w:rPr>
                <w:rFonts w:ascii="Arial"/>
                <w:sz w:val="20"/>
              </w:rPr>
            </w:pPr>
            <w:r>
              <w:rPr>
                <w:rFonts w:ascii="Arial"/>
                <w:w w:val="95"/>
                <w:sz w:val="20"/>
              </w:rPr>
              <w:t>5-</w:t>
            </w:r>
            <w:r>
              <w:rPr>
                <w:rFonts w:ascii="Arial"/>
                <w:spacing w:val="-10"/>
                <w:sz w:val="20"/>
              </w:rPr>
              <w:t>8</w:t>
            </w:r>
          </w:p>
        </w:tc>
        <w:tc>
          <w:tcPr>
            <w:tcW w:w="1419" w:type="dxa"/>
          </w:tcPr>
          <w:p>
            <w:pPr>
              <w:pStyle w:val="TableParagraph"/>
              <w:spacing w:before="38"/>
              <w:ind w:left="528" w:right="522"/>
              <w:jc w:val="center"/>
              <w:rPr>
                <w:rFonts w:ascii="Arial"/>
                <w:sz w:val="20"/>
              </w:rPr>
            </w:pPr>
            <w:r>
              <w:rPr>
                <w:rFonts w:ascii="Arial"/>
                <w:spacing w:val="-5"/>
                <w:sz w:val="20"/>
              </w:rPr>
              <w:t>304</w:t>
            </w:r>
          </w:p>
        </w:tc>
        <w:tc>
          <w:tcPr>
            <w:tcW w:w="1421" w:type="dxa"/>
          </w:tcPr>
          <w:p>
            <w:pPr>
              <w:pStyle w:val="TableParagraph"/>
              <w:spacing w:before="38"/>
              <w:ind w:left="119" w:right="115"/>
              <w:jc w:val="center"/>
              <w:rPr>
                <w:rFonts w:ascii="Arial"/>
                <w:sz w:val="20"/>
              </w:rPr>
            </w:pPr>
            <w:r>
              <w:rPr>
                <w:rFonts w:ascii="Arial"/>
                <w:spacing w:val="-5"/>
                <w:sz w:val="20"/>
              </w:rPr>
              <w:t>602</w:t>
            </w:r>
          </w:p>
        </w:tc>
        <w:tc>
          <w:tcPr>
            <w:tcW w:w="1421" w:type="dxa"/>
          </w:tcPr>
          <w:p>
            <w:pPr>
              <w:pStyle w:val="TableParagraph"/>
              <w:spacing w:before="38"/>
              <w:ind w:left="119" w:right="115"/>
              <w:jc w:val="center"/>
              <w:rPr>
                <w:rFonts w:ascii="Arial"/>
                <w:sz w:val="20"/>
              </w:rPr>
            </w:pPr>
            <w:r>
              <w:rPr>
                <w:rFonts w:ascii="Arial"/>
                <w:w w:val="95"/>
                <w:sz w:val="20"/>
              </w:rPr>
              <w:t>36-</w:t>
            </w:r>
            <w:r>
              <w:rPr>
                <w:rFonts w:ascii="Arial"/>
                <w:spacing w:val="-5"/>
                <w:sz w:val="20"/>
              </w:rPr>
              <w:t>40</w:t>
            </w:r>
          </w:p>
        </w:tc>
        <w:tc>
          <w:tcPr>
            <w:tcW w:w="1421" w:type="dxa"/>
          </w:tcPr>
          <w:p>
            <w:pPr>
              <w:pStyle w:val="TableParagraph"/>
              <w:spacing w:before="38"/>
              <w:ind w:left="119" w:right="115"/>
              <w:jc w:val="center"/>
              <w:rPr>
                <w:rFonts w:ascii="Arial"/>
                <w:sz w:val="20"/>
              </w:rPr>
            </w:pPr>
            <w:r>
              <w:rPr>
                <w:rFonts w:ascii="Arial"/>
                <w:spacing w:val="-5"/>
                <w:sz w:val="20"/>
              </w:rPr>
              <w:t>427</w:t>
            </w:r>
          </w:p>
        </w:tc>
        <w:tc>
          <w:tcPr>
            <w:tcW w:w="1422" w:type="dxa"/>
          </w:tcPr>
          <w:p>
            <w:pPr>
              <w:pStyle w:val="TableParagraph"/>
              <w:spacing w:before="38"/>
              <w:ind w:left="118" w:right="116"/>
              <w:jc w:val="center"/>
              <w:rPr>
                <w:rFonts w:ascii="Arial"/>
                <w:sz w:val="20"/>
              </w:rPr>
            </w:pPr>
            <w:r>
              <w:rPr>
                <w:rFonts w:ascii="Arial"/>
                <w:spacing w:val="-2"/>
                <w:sz w:val="20"/>
              </w:rPr>
              <w:t>1,079</w:t>
            </w:r>
          </w:p>
        </w:tc>
      </w:tr>
      <w:tr>
        <w:trPr>
          <w:trHeight w:val="311" w:hRule="atLeast"/>
        </w:trPr>
        <w:tc>
          <w:tcPr>
            <w:tcW w:w="1421" w:type="dxa"/>
          </w:tcPr>
          <w:p>
            <w:pPr>
              <w:pStyle w:val="TableParagraph"/>
              <w:spacing w:before="38"/>
              <w:ind w:left="119" w:right="115"/>
              <w:jc w:val="center"/>
              <w:rPr>
                <w:rFonts w:ascii="Arial"/>
                <w:sz w:val="20"/>
              </w:rPr>
            </w:pPr>
            <w:r>
              <w:rPr>
                <w:rFonts w:ascii="Arial"/>
                <w:w w:val="95"/>
                <w:sz w:val="20"/>
              </w:rPr>
              <w:t>9-</w:t>
            </w:r>
            <w:r>
              <w:rPr>
                <w:rFonts w:ascii="Arial"/>
                <w:spacing w:val="-5"/>
                <w:sz w:val="20"/>
              </w:rPr>
              <w:t>10</w:t>
            </w:r>
          </w:p>
        </w:tc>
        <w:tc>
          <w:tcPr>
            <w:tcW w:w="1419" w:type="dxa"/>
          </w:tcPr>
          <w:p>
            <w:pPr>
              <w:pStyle w:val="TableParagraph"/>
              <w:spacing w:before="38"/>
              <w:ind w:left="528" w:right="522"/>
              <w:jc w:val="center"/>
              <w:rPr>
                <w:rFonts w:ascii="Arial"/>
                <w:sz w:val="20"/>
              </w:rPr>
            </w:pPr>
            <w:r>
              <w:rPr>
                <w:rFonts w:ascii="Arial"/>
                <w:spacing w:val="-5"/>
                <w:sz w:val="20"/>
              </w:rPr>
              <w:t>264</w:t>
            </w:r>
          </w:p>
        </w:tc>
        <w:tc>
          <w:tcPr>
            <w:tcW w:w="1421" w:type="dxa"/>
          </w:tcPr>
          <w:p>
            <w:pPr>
              <w:pStyle w:val="TableParagraph"/>
              <w:spacing w:before="38"/>
              <w:ind w:left="119" w:right="115"/>
              <w:jc w:val="center"/>
              <w:rPr>
                <w:rFonts w:ascii="Arial"/>
                <w:sz w:val="20"/>
              </w:rPr>
            </w:pPr>
            <w:r>
              <w:rPr>
                <w:rFonts w:ascii="Arial"/>
                <w:spacing w:val="-5"/>
                <w:sz w:val="20"/>
              </w:rPr>
              <w:t>523</w:t>
            </w:r>
          </w:p>
        </w:tc>
        <w:tc>
          <w:tcPr>
            <w:tcW w:w="1421" w:type="dxa"/>
          </w:tcPr>
          <w:p>
            <w:pPr>
              <w:pStyle w:val="TableParagraph"/>
              <w:spacing w:before="38"/>
              <w:ind w:left="119" w:right="115"/>
              <w:jc w:val="center"/>
              <w:rPr>
                <w:rFonts w:ascii="Arial"/>
                <w:sz w:val="20"/>
              </w:rPr>
            </w:pPr>
            <w:r>
              <w:rPr>
                <w:rFonts w:ascii="Arial"/>
                <w:w w:val="95"/>
                <w:sz w:val="20"/>
              </w:rPr>
              <w:t>41-</w:t>
            </w:r>
            <w:r>
              <w:rPr>
                <w:rFonts w:ascii="Arial"/>
                <w:spacing w:val="-5"/>
                <w:sz w:val="20"/>
              </w:rPr>
              <w:t>45</w:t>
            </w:r>
          </w:p>
        </w:tc>
        <w:tc>
          <w:tcPr>
            <w:tcW w:w="1421" w:type="dxa"/>
          </w:tcPr>
          <w:p>
            <w:pPr>
              <w:pStyle w:val="TableParagraph"/>
              <w:spacing w:before="38"/>
              <w:ind w:left="119" w:right="115"/>
              <w:jc w:val="center"/>
              <w:rPr>
                <w:rFonts w:ascii="Arial"/>
                <w:sz w:val="20"/>
              </w:rPr>
            </w:pPr>
            <w:r>
              <w:rPr>
                <w:rFonts w:ascii="Arial"/>
                <w:spacing w:val="-5"/>
                <w:sz w:val="20"/>
              </w:rPr>
              <w:t>515</w:t>
            </w:r>
          </w:p>
        </w:tc>
        <w:tc>
          <w:tcPr>
            <w:tcW w:w="1422" w:type="dxa"/>
          </w:tcPr>
          <w:p>
            <w:pPr>
              <w:pStyle w:val="TableParagraph"/>
              <w:spacing w:before="38"/>
              <w:ind w:left="118" w:right="116"/>
              <w:jc w:val="center"/>
              <w:rPr>
                <w:rFonts w:ascii="Arial"/>
                <w:sz w:val="20"/>
              </w:rPr>
            </w:pPr>
            <w:r>
              <w:rPr>
                <w:rFonts w:ascii="Arial"/>
                <w:spacing w:val="-2"/>
                <w:sz w:val="20"/>
              </w:rPr>
              <w:t>1,484</w:t>
            </w:r>
          </w:p>
        </w:tc>
      </w:tr>
      <w:tr>
        <w:trPr>
          <w:trHeight w:val="311" w:hRule="atLeast"/>
        </w:trPr>
        <w:tc>
          <w:tcPr>
            <w:tcW w:w="1421" w:type="dxa"/>
          </w:tcPr>
          <w:p>
            <w:pPr>
              <w:pStyle w:val="TableParagraph"/>
              <w:spacing w:before="38"/>
              <w:ind w:left="119" w:right="115"/>
              <w:jc w:val="center"/>
              <w:rPr>
                <w:rFonts w:ascii="Arial"/>
                <w:sz w:val="20"/>
              </w:rPr>
            </w:pPr>
            <w:r>
              <w:rPr>
                <w:rFonts w:ascii="Arial"/>
                <w:w w:val="95"/>
                <w:sz w:val="20"/>
              </w:rPr>
              <w:t>11-</w:t>
            </w:r>
            <w:r>
              <w:rPr>
                <w:rFonts w:ascii="Arial"/>
                <w:spacing w:val="-5"/>
                <w:sz w:val="20"/>
              </w:rPr>
              <w:t>15</w:t>
            </w:r>
          </w:p>
        </w:tc>
        <w:tc>
          <w:tcPr>
            <w:tcW w:w="1419" w:type="dxa"/>
          </w:tcPr>
          <w:p>
            <w:pPr>
              <w:pStyle w:val="TableParagraph"/>
              <w:spacing w:before="38"/>
              <w:ind w:left="528" w:right="522"/>
              <w:jc w:val="center"/>
              <w:rPr>
                <w:rFonts w:ascii="Arial"/>
                <w:sz w:val="20"/>
              </w:rPr>
            </w:pPr>
            <w:r>
              <w:rPr>
                <w:rFonts w:ascii="Arial"/>
                <w:spacing w:val="-5"/>
                <w:sz w:val="20"/>
              </w:rPr>
              <w:t>122</w:t>
            </w:r>
          </w:p>
        </w:tc>
        <w:tc>
          <w:tcPr>
            <w:tcW w:w="1421" w:type="dxa"/>
          </w:tcPr>
          <w:p>
            <w:pPr>
              <w:pStyle w:val="TableParagraph"/>
              <w:spacing w:before="38"/>
              <w:ind w:left="119" w:right="115"/>
              <w:jc w:val="center"/>
              <w:rPr>
                <w:rFonts w:ascii="Arial"/>
                <w:sz w:val="20"/>
              </w:rPr>
            </w:pPr>
            <w:r>
              <w:rPr>
                <w:rFonts w:ascii="Arial"/>
                <w:spacing w:val="-5"/>
                <w:sz w:val="20"/>
              </w:rPr>
              <w:t>247</w:t>
            </w:r>
          </w:p>
        </w:tc>
        <w:tc>
          <w:tcPr>
            <w:tcW w:w="1421" w:type="dxa"/>
          </w:tcPr>
          <w:p>
            <w:pPr>
              <w:pStyle w:val="TableParagraph"/>
              <w:spacing w:before="38"/>
              <w:ind w:left="119" w:right="115"/>
              <w:jc w:val="center"/>
              <w:rPr>
                <w:rFonts w:ascii="Arial"/>
                <w:sz w:val="20"/>
              </w:rPr>
            </w:pPr>
            <w:r>
              <w:rPr>
                <w:rFonts w:ascii="Arial"/>
                <w:w w:val="95"/>
                <w:sz w:val="20"/>
              </w:rPr>
              <w:t>46-</w:t>
            </w:r>
            <w:r>
              <w:rPr>
                <w:rFonts w:ascii="Arial"/>
                <w:spacing w:val="-5"/>
                <w:sz w:val="20"/>
              </w:rPr>
              <w:t>50</w:t>
            </w:r>
          </w:p>
        </w:tc>
        <w:tc>
          <w:tcPr>
            <w:tcW w:w="1421" w:type="dxa"/>
          </w:tcPr>
          <w:p>
            <w:pPr>
              <w:pStyle w:val="TableParagraph"/>
              <w:spacing w:before="38"/>
              <w:ind w:left="119" w:right="115"/>
              <w:jc w:val="center"/>
              <w:rPr>
                <w:rFonts w:ascii="Arial"/>
                <w:sz w:val="20"/>
              </w:rPr>
            </w:pPr>
            <w:r>
              <w:rPr>
                <w:rFonts w:ascii="Arial"/>
                <w:spacing w:val="-5"/>
                <w:sz w:val="20"/>
              </w:rPr>
              <w:t>811</w:t>
            </w:r>
          </w:p>
        </w:tc>
        <w:tc>
          <w:tcPr>
            <w:tcW w:w="1422" w:type="dxa"/>
          </w:tcPr>
          <w:p>
            <w:pPr>
              <w:pStyle w:val="TableParagraph"/>
              <w:spacing w:before="38"/>
              <w:ind w:left="118" w:right="116"/>
              <w:jc w:val="center"/>
              <w:rPr>
                <w:rFonts w:ascii="Arial"/>
                <w:sz w:val="20"/>
              </w:rPr>
            </w:pPr>
            <w:r>
              <w:rPr>
                <w:rFonts w:ascii="Arial"/>
                <w:spacing w:val="-2"/>
                <w:sz w:val="20"/>
              </w:rPr>
              <w:t>2,431</w:t>
            </w:r>
          </w:p>
        </w:tc>
      </w:tr>
      <w:tr>
        <w:trPr>
          <w:trHeight w:val="311" w:hRule="atLeast"/>
        </w:trPr>
        <w:tc>
          <w:tcPr>
            <w:tcW w:w="1421" w:type="dxa"/>
          </w:tcPr>
          <w:p>
            <w:pPr>
              <w:pStyle w:val="TableParagraph"/>
              <w:spacing w:before="38"/>
              <w:ind w:left="119" w:right="115"/>
              <w:jc w:val="center"/>
              <w:rPr>
                <w:rFonts w:ascii="Arial"/>
                <w:sz w:val="20"/>
              </w:rPr>
            </w:pPr>
            <w:r>
              <w:rPr>
                <w:rFonts w:ascii="Arial"/>
                <w:w w:val="95"/>
                <w:sz w:val="20"/>
              </w:rPr>
              <w:t>16-</w:t>
            </w:r>
            <w:r>
              <w:rPr>
                <w:rFonts w:ascii="Arial"/>
                <w:spacing w:val="-5"/>
                <w:sz w:val="20"/>
              </w:rPr>
              <w:t>20</w:t>
            </w:r>
          </w:p>
        </w:tc>
        <w:tc>
          <w:tcPr>
            <w:tcW w:w="1419" w:type="dxa"/>
          </w:tcPr>
          <w:p>
            <w:pPr>
              <w:pStyle w:val="TableParagraph"/>
              <w:spacing w:before="38"/>
              <w:ind w:left="528" w:right="522"/>
              <w:jc w:val="center"/>
              <w:rPr>
                <w:rFonts w:ascii="Arial"/>
                <w:sz w:val="20"/>
              </w:rPr>
            </w:pPr>
            <w:r>
              <w:rPr>
                <w:rFonts w:ascii="Arial"/>
                <w:spacing w:val="-5"/>
                <w:sz w:val="20"/>
              </w:rPr>
              <w:t>140</w:t>
            </w:r>
          </w:p>
        </w:tc>
        <w:tc>
          <w:tcPr>
            <w:tcW w:w="1421" w:type="dxa"/>
          </w:tcPr>
          <w:p>
            <w:pPr>
              <w:pStyle w:val="TableParagraph"/>
              <w:spacing w:before="38"/>
              <w:ind w:left="119" w:right="115"/>
              <w:jc w:val="center"/>
              <w:rPr>
                <w:rFonts w:ascii="Arial"/>
                <w:sz w:val="20"/>
              </w:rPr>
            </w:pPr>
            <w:r>
              <w:rPr>
                <w:rFonts w:ascii="Arial"/>
                <w:spacing w:val="-5"/>
                <w:sz w:val="20"/>
              </w:rPr>
              <w:t>274</w:t>
            </w:r>
          </w:p>
        </w:tc>
        <w:tc>
          <w:tcPr>
            <w:tcW w:w="1421" w:type="dxa"/>
          </w:tcPr>
          <w:p>
            <w:pPr>
              <w:pStyle w:val="TableParagraph"/>
              <w:spacing w:before="38"/>
              <w:ind w:left="119" w:right="115"/>
              <w:jc w:val="center"/>
              <w:rPr>
                <w:rFonts w:ascii="Arial"/>
                <w:sz w:val="20"/>
              </w:rPr>
            </w:pPr>
            <w:r>
              <w:rPr>
                <w:rFonts w:ascii="Arial"/>
                <w:w w:val="95"/>
                <w:sz w:val="20"/>
              </w:rPr>
              <w:t>51-</w:t>
            </w:r>
            <w:r>
              <w:rPr>
                <w:rFonts w:ascii="Arial"/>
                <w:spacing w:val="-5"/>
                <w:sz w:val="20"/>
              </w:rPr>
              <w:t>55</w:t>
            </w:r>
          </w:p>
        </w:tc>
        <w:tc>
          <w:tcPr>
            <w:tcW w:w="1421" w:type="dxa"/>
          </w:tcPr>
          <w:p>
            <w:pPr>
              <w:pStyle w:val="TableParagraph"/>
              <w:spacing w:before="38"/>
              <w:ind w:left="119" w:right="115"/>
              <w:jc w:val="center"/>
              <w:rPr>
                <w:rFonts w:ascii="Arial"/>
                <w:sz w:val="20"/>
              </w:rPr>
            </w:pPr>
            <w:r>
              <w:rPr>
                <w:rFonts w:ascii="Arial"/>
                <w:spacing w:val="-2"/>
                <w:sz w:val="20"/>
              </w:rPr>
              <w:t>1,005</w:t>
            </w:r>
          </w:p>
        </w:tc>
        <w:tc>
          <w:tcPr>
            <w:tcW w:w="1422" w:type="dxa"/>
          </w:tcPr>
          <w:p>
            <w:pPr>
              <w:pStyle w:val="TableParagraph"/>
              <w:spacing w:before="38"/>
              <w:ind w:left="118" w:right="116"/>
              <w:jc w:val="center"/>
              <w:rPr>
                <w:rFonts w:ascii="Arial"/>
                <w:sz w:val="20"/>
              </w:rPr>
            </w:pPr>
            <w:r>
              <w:rPr>
                <w:rFonts w:ascii="Arial"/>
                <w:spacing w:val="-2"/>
                <w:sz w:val="20"/>
              </w:rPr>
              <w:t>3,268</w:t>
            </w:r>
          </w:p>
        </w:tc>
      </w:tr>
      <w:tr>
        <w:trPr>
          <w:trHeight w:val="313" w:hRule="atLeast"/>
        </w:trPr>
        <w:tc>
          <w:tcPr>
            <w:tcW w:w="1421" w:type="dxa"/>
          </w:tcPr>
          <w:p>
            <w:pPr>
              <w:pStyle w:val="TableParagraph"/>
              <w:spacing w:before="38"/>
              <w:ind w:left="119" w:right="115"/>
              <w:jc w:val="center"/>
              <w:rPr>
                <w:rFonts w:ascii="Arial"/>
                <w:sz w:val="20"/>
              </w:rPr>
            </w:pPr>
            <w:r>
              <w:rPr>
                <w:rFonts w:ascii="Arial"/>
                <w:w w:val="95"/>
                <w:sz w:val="20"/>
              </w:rPr>
              <w:t>21-</w:t>
            </w:r>
            <w:r>
              <w:rPr>
                <w:rFonts w:ascii="Arial"/>
                <w:spacing w:val="-5"/>
                <w:sz w:val="20"/>
              </w:rPr>
              <w:t>25</w:t>
            </w:r>
          </w:p>
        </w:tc>
        <w:tc>
          <w:tcPr>
            <w:tcW w:w="1419" w:type="dxa"/>
          </w:tcPr>
          <w:p>
            <w:pPr>
              <w:pStyle w:val="TableParagraph"/>
              <w:spacing w:before="38"/>
              <w:ind w:left="528" w:right="522"/>
              <w:jc w:val="center"/>
              <w:rPr>
                <w:rFonts w:ascii="Arial"/>
                <w:sz w:val="20"/>
              </w:rPr>
            </w:pPr>
            <w:r>
              <w:rPr>
                <w:rFonts w:ascii="Arial"/>
                <w:spacing w:val="-5"/>
                <w:sz w:val="20"/>
              </w:rPr>
              <w:t>199</w:t>
            </w:r>
          </w:p>
        </w:tc>
        <w:tc>
          <w:tcPr>
            <w:tcW w:w="1421" w:type="dxa"/>
          </w:tcPr>
          <w:p>
            <w:pPr>
              <w:pStyle w:val="TableParagraph"/>
              <w:spacing w:before="38"/>
              <w:ind w:left="119" w:right="115"/>
              <w:jc w:val="center"/>
              <w:rPr>
                <w:rFonts w:ascii="Arial"/>
                <w:sz w:val="20"/>
              </w:rPr>
            </w:pPr>
            <w:r>
              <w:rPr>
                <w:rFonts w:ascii="Arial"/>
                <w:spacing w:val="-5"/>
                <w:sz w:val="20"/>
              </w:rPr>
              <w:t>400</w:t>
            </w:r>
          </w:p>
        </w:tc>
        <w:tc>
          <w:tcPr>
            <w:tcW w:w="1421" w:type="dxa"/>
          </w:tcPr>
          <w:p>
            <w:pPr>
              <w:pStyle w:val="TableParagraph"/>
              <w:spacing w:before="38"/>
              <w:ind w:left="119" w:right="115"/>
              <w:jc w:val="center"/>
              <w:rPr>
                <w:rFonts w:ascii="Arial"/>
                <w:sz w:val="20"/>
              </w:rPr>
            </w:pPr>
            <w:r>
              <w:rPr>
                <w:rFonts w:ascii="Arial"/>
                <w:w w:val="95"/>
                <w:sz w:val="20"/>
              </w:rPr>
              <w:t>56-</w:t>
            </w:r>
            <w:r>
              <w:rPr>
                <w:rFonts w:ascii="Arial"/>
                <w:spacing w:val="-5"/>
                <w:sz w:val="20"/>
              </w:rPr>
              <w:t>60</w:t>
            </w:r>
          </w:p>
        </w:tc>
        <w:tc>
          <w:tcPr>
            <w:tcW w:w="1421" w:type="dxa"/>
          </w:tcPr>
          <w:p>
            <w:pPr>
              <w:pStyle w:val="TableParagraph"/>
              <w:spacing w:before="38"/>
              <w:ind w:left="119" w:right="115"/>
              <w:jc w:val="center"/>
              <w:rPr>
                <w:rFonts w:ascii="Arial"/>
                <w:sz w:val="20"/>
              </w:rPr>
            </w:pPr>
            <w:r>
              <w:rPr>
                <w:rFonts w:ascii="Arial"/>
                <w:spacing w:val="-2"/>
                <w:sz w:val="20"/>
              </w:rPr>
              <w:t>1,348</w:t>
            </w:r>
          </w:p>
        </w:tc>
        <w:tc>
          <w:tcPr>
            <w:tcW w:w="1422" w:type="dxa"/>
          </w:tcPr>
          <w:p>
            <w:pPr>
              <w:pStyle w:val="TableParagraph"/>
              <w:spacing w:before="38"/>
              <w:ind w:left="118" w:right="116"/>
              <w:jc w:val="center"/>
              <w:rPr>
                <w:rFonts w:ascii="Arial"/>
                <w:sz w:val="20"/>
              </w:rPr>
            </w:pPr>
            <w:r>
              <w:rPr>
                <w:rFonts w:ascii="Arial"/>
                <w:spacing w:val="-2"/>
                <w:sz w:val="20"/>
              </w:rPr>
              <w:t>4,206</w:t>
            </w:r>
          </w:p>
        </w:tc>
      </w:tr>
    </w:tbl>
    <w:sectPr>
      <w:pgSz w:w="11910" w:h="16840"/>
      <w:pgMar w:top="1480" w:bottom="280" w:left="620" w:right="7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华文中宋">
    <w:altName w:val="华文中宋"/>
    <w:charset w:val="86"/>
    <w:family w:val="auto"/>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Arial">
    <w:altName w:val="Arial"/>
    <w:charset w:val="0"/>
    <w:family w:val="swiss"/>
    <w:pitch w:val="variable"/>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3">
    <w:multiLevelType w:val="hybridMultilevel"/>
    <w:lvl w:ilvl="0">
      <w:start w:val="1"/>
      <w:numFmt w:val="decimal"/>
      <w:lvlText w:val="（%1）"/>
      <w:lvlJc w:val="left"/>
      <w:pPr>
        <w:ind w:left="3321" w:hanging="720"/>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4044" w:hanging="720"/>
      </w:pPr>
      <w:rPr>
        <w:rFonts w:hint="default"/>
        <w:lang w:val="en-US" w:eastAsia="zh-CN" w:bidi="ar-SA"/>
      </w:rPr>
    </w:lvl>
    <w:lvl w:ilvl="2">
      <w:start w:val="0"/>
      <w:numFmt w:val="bullet"/>
      <w:lvlText w:val="•"/>
      <w:lvlJc w:val="left"/>
      <w:pPr>
        <w:ind w:left="4769" w:hanging="720"/>
      </w:pPr>
      <w:rPr>
        <w:rFonts w:hint="default"/>
        <w:lang w:val="en-US" w:eastAsia="zh-CN" w:bidi="ar-SA"/>
      </w:rPr>
    </w:lvl>
    <w:lvl w:ilvl="3">
      <w:start w:val="0"/>
      <w:numFmt w:val="bullet"/>
      <w:lvlText w:val="•"/>
      <w:lvlJc w:val="left"/>
      <w:pPr>
        <w:ind w:left="5493" w:hanging="720"/>
      </w:pPr>
      <w:rPr>
        <w:rFonts w:hint="default"/>
        <w:lang w:val="en-US" w:eastAsia="zh-CN" w:bidi="ar-SA"/>
      </w:rPr>
    </w:lvl>
    <w:lvl w:ilvl="4">
      <w:start w:val="0"/>
      <w:numFmt w:val="bullet"/>
      <w:lvlText w:val="•"/>
      <w:lvlJc w:val="left"/>
      <w:pPr>
        <w:ind w:left="6218" w:hanging="720"/>
      </w:pPr>
      <w:rPr>
        <w:rFonts w:hint="default"/>
        <w:lang w:val="en-US" w:eastAsia="zh-CN" w:bidi="ar-SA"/>
      </w:rPr>
    </w:lvl>
    <w:lvl w:ilvl="5">
      <w:start w:val="0"/>
      <w:numFmt w:val="bullet"/>
      <w:lvlText w:val="•"/>
      <w:lvlJc w:val="left"/>
      <w:pPr>
        <w:ind w:left="6943" w:hanging="720"/>
      </w:pPr>
      <w:rPr>
        <w:rFonts w:hint="default"/>
        <w:lang w:val="en-US" w:eastAsia="zh-CN" w:bidi="ar-SA"/>
      </w:rPr>
    </w:lvl>
    <w:lvl w:ilvl="6">
      <w:start w:val="0"/>
      <w:numFmt w:val="bullet"/>
      <w:lvlText w:val="•"/>
      <w:lvlJc w:val="left"/>
      <w:pPr>
        <w:ind w:left="7667" w:hanging="720"/>
      </w:pPr>
      <w:rPr>
        <w:rFonts w:hint="default"/>
        <w:lang w:val="en-US" w:eastAsia="zh-CN" w:bidi="ar-SA"/>
      </w:rPr>
    </w:lvl>
    <w:lvl w:ilvl="7">
      <w:start w:val="0"/>
      <w:numFmt w:val="bullet"/>
      <w:lvlText w:val="•"/>
      <w:lvlJc w:val="left"/>
      <w:pPr>
        <w:ind w:left="839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72">
    <w:multiLevelType w:val="hybridMultilevel"/>
    <w:lvl w:ilvl="0">
      <w:start w:val="1"/>
      <w:numFmt w:val="decimal"/>
      <w:lvlText w:val="（%1）"/>
      <w:lvlJc w:val="left"/>
      <w:pPr>
        <w:ind w:left="1092"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20"/>
      </w:pPr>
      <w:rPr>
        <w:rFonts w:hint="default"/>
        <w:lang w:val="en-US" w:eastAsia="zh-CN" w:bidi="ar-SA"/>
      </w:rPr>
    </w:lvl>
    <w:lvl w:ilvl="2">
      <w:start w:val="0"/>
      <w:numFmt w:val="bullet"/>
      <w:lvlText w:val="•"/>
      <w:lvlJc w:val="left"/>
      <w:pPr>
        <w:ind w:left="2546" w:hanging="720"/>
      </w:pPr>
      <w:rPr>
        <w:rFonts w:hint="default"/>
        <w:lang w:val="en-US" w:eastAsia="zh-CN" w:bidi="ar-SA"/>
      </w:rPr>
    </w:lvl>
    <w:lvl w:ilvl="3">
      <w:start w:val="0"/>
      <w:numFmt w:val="bullet"/>
      <w:lvlText w:val="•"/>
      <w:lvlJc w:val="left"/>
      <w:pPr>
        <w:ind w:left="3269" w:hanging="720"/>
      </w:pPr>
      <w:rPr>
        <w:rFonts w:hint="default"/>
        <w:lang w:val="en-US" w:eastAsia="zh-CN" w:bidi="ar-SA"/>
      </w:rPr>
    </w:lvl>
    <w:lvl w:ilvl="4">
      <w:start w:val="0"/>
      <w:numFmt w:val="bullet"/>
      <w:lvlText w:val="•"/>
      <w:lvlJc w:val="left"/>
      <w:pPr>
        <w:ind w:left="3992" w:hanging="720"/>
      </w:pPr>
      <w:rPr>
        <w:rFonts w:hint="default"/>
        <w:lang w:val="en-US" w:eastAsia="zh-CN" w:bidi="ar-SA"/>
      </w:rPr>
    </w:lvl>
    <w:lvl w:ilvl="5">
      <w:start w:val="0"/>
      <w:numFmt w:val="bullet"/>
      <w:lvlText w:val="•"/>
      <w:lvlJc w:val="left"/>
      <w:pPr>
        <w:ind w:left="4715" w:hanging="720"/>
      </w:pPr>
      <w:rPr>
        <w:rFonts w:hint="default"/>
        <w:lang w:val="en-US" w:eastAsia="zh-CN" w:bidi="ar-SA"/>
      </w:rPr>
    </w:lvl>
    <w:lvl w:ilvl="6">
      <w:start w:val="0"/>
      <w:numFmt w:val="bullet"/>
      <w:lvlText w:val="•"/>
      <w:lvlJc w:val="left"/>
      <w:pPr>
        <w:ind w:left="5438" w:hanging="720"/>
      </w:pPr>
      <w:rPr>
        <w:rFonts w:hint="default"/>
        <w:lang w:val="en-US" w:eastAsia="zh-CN" w:bidi="ar-SA"/>
      </w:rPr>
    </w:lvl>
    <w:lvl w:ilvl="7">
      <w:start w:val="0"/>
      <w:numFmt w:val="bullet"/>
      <w:lvlText w:val="•"/>
      <w:lvlJc w:val="left"/>
      <w:pPr>
        <w:ind w:left="6161" w:hanging="720"/>
      </w:pPr>
      <w:rPr>
        <w:rFonts w:hint="default"/>
        <w:lang w:val="en-US" w:eastAsia="zh-CN" w:bidi="ar-SA"/>
      </w:rPr>
    </w:lvl>
    <w:lvl w:ilvl="8">
      <w:start w:val="0"/>
      <w:numFmt w:val="bullet"/>
      <w:lvlText w:val="•"/>
      <w:lvlJc w:val="left"/>
      <w:pPr>
        <w:ind w:left="6884" w:hanging="720"/>
      </w:pPr>
      <w:rPr>
        <w:rFonts w:hint="default"/>
        <w:lang w:val="en-US" w:eastAsia="zh-CN" w:bidi="ar-SA"/>
      </w:rPr>
    </w:lvl>
  </w:abstractNum>
  <w:abstractNum w:abstractNumId="71">
    <w:multiLevelType w:val="hybridMultilevel"/>
    <w:lvl w:ilvl="0">
      <w:start w:val="1"/>
      <w:numFmt w:val="decimal"/>
      <w:lvlText w:val="（%1）"/>
      <w:lvlJc w:val="left"/>
      <w:pPr>
        <w:ind w:left="3328"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44" w:hanging="720"/>
      </w:pPr>
      <w:rPr>
        <w:rFonts w:hint="default"/>
        <w:lang w:val="en-US" w:eastAsia="zh-CN" w:bidi="ar-SA"/>
      </w:rPr>
    </w:lvl>
    <w:lvl w:ilvl="2">
      <w:start w:val="0"/>
      <w:numFmt w:val="bullet"/>
      <w:lvlText w:val="•"/>
      <w:lvlJc w:val="left"/>
      <w:pPr>
        <w:ind w:left="4769" w:hanging="720"/>
      </w:pPr>
      <w:rPr>
        <w:rFonts w:hint="default"/>
        <w:lang w:val="en-US" w:eastAsia="zh-CN" w:bidi="ar-SA"/>
      </w:rPr>
    </w:lvl>
    <w:lvl w:ilvl="3">
      <w:start w:val="0"/>
      <w:numFmt w:val="bullet"/>
      <w:lvlText w:val="•"/>
      <w:lvlJc w:val="left"/>
      <w:pPr>
        <w:ind w:left="5493" w:hanging="720"/>
      </w:pPr>
      <w:rPr>
        <w:rFonts w:hint="default"/>
        <w:lang w:val="en-US" w:eastAsia="zh-CN" w:bidi="ar-SA"/>
      </w:rPr>
    </w:lvl>
    <w:lvl w:ilvl="4">
      <w:start w:val="0"/>
      <w:numFmt w:val="bullet"/>
      <w:lvlText w:val="•"/>
      <w:lvlJc w:val="left"/>
      <w:pPr>
        <w:ind w:left="6218" w:hanging="720"/>
      </w:pPr>
      <w:rPr>
        <w:rFonts w:hint="default"/>
        <w:lang w:val="en-US" w:eastAsia="zh-CN" w:bidi="ar-SA"/>
      </w:rPr>
    </w:lvl>
    <w:lvl w:ilvl="5">
      <w:start w:val="0"/>
      <w:numFmt w:val="bullet"/>
      <w:lvlText w:val="•"/>
      <w:lvlJc w:val="left"/>
      <w:pPr>
        <w:ind w:left="6943" w:hanging="720"/>
      </w:pPr>
      <w:rPr>
        <w:rFonts w:hint="default"/>
        <w:lang w:val="en-US" w:eastAsia="zh-CN" w:bidi="ar-SA"/>
      </w:rPr>
    </w:lvl>
    <w:lvl w:ilvl="6">
      <w:start w:val="0"/>
      <w:numFmt w:val="bullet"/>
      <w:lvlText w:val="•"/>
      <w:lvlJc w:val="left"/>
      <w:pPr>
        <w:ind w:left="7667" w:hanging="720"/>
      </w:pPr>
      <w:rPr>
        <w:rFonts w:hint="default"/>
        <w:lang w:val="en-US" w:eastAsia="zh-CN" w:bidi="ar-SA"/>
      </w:rPr>
    </w:lvl>
    <w:lvl w:ilvl="7">
      <w:start w:val="0"/>
      <w:numFmt w:val="bullet"/>
      <w:lvlText w:val="•"/>
      <w:lvlJc w:val="left"/>
      <w:pPr>
        <w:ind w:left="839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70">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69">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68">
    <w:multiLevelType w:val="hybridMultilevel"/>
    <w:lvl w:ilvl="0">
      <w:start w:val="1"/>
      <w:numFmt w:val="decimal"/>
      <w:lvlText w:val="（%1）"/>
      <w:lvlJc w:val="left"/>
      <w:pPr>
        <w:ind w:left="1085"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05" w:hanging="720"/>
      </w:pPr>
      <w:rPr>
        <w:rFonts w:hint="default"/>
        <w:lang w:val="en-US" w:eastAsia="zh-CN" w:bidi="ar-SA"/>
      </w:rPr>
    </w:lvl>
    <w:lvl w:ilvl="2">
      <w:start w:val="0"/>
      <w:numFmt w:val="bullet"/>
      <w:lvlText w:val="•"/>
      <w:lvlJc w:val="left"/>
      <w:pPr>
        <w:ind w:left="2530" w:hanging="720"/>
      </w:pPr>
      <w:rPr>
        <w:rFonts w:hint="default"/>
        <w:lang w:val="en-US" w:eastAsia="zh-CN" w:bidi="ar-SA"/>
      </w:rPr>
    </w:lvl>
    <w:lvl w:ilvl="3">
      <w:start w:val="0"/>
      <w:numFmt w:val="bullet"/>
      <w:lvlText w:val="•"/>
      <w:lvlJc w:val="left"/>
      <w:pPr>
        <w:ind w:left="3255" w:hanging="720"/>
      </w:pPr>
      <w:rPr>
        <w:rFonts w:hint="default"/>
        <w:lang w:val="en-US" w:eastAsia="zh-CN" w:bidi="ar-SA"/>
      </w:rPr>
    </w:lvl>
    <w:lvl w:ilvl="4">
      <w:start w:val="0"/>
      <w:numFmt w:val="bullet"/>
      <w:lvlText w:val="•"/>
      <w:lvlJc w:val="left"/>
      <w:pPr>
        <w:ind w:left="3980" w:hanging="720"/>
      </w:pPr>
      <w:rPr>
        <w:rFonts w:hint="default"/>
        <w:lang w:val="en-US" w:eastAsia="zh-CN" w:bidi="ar-SA"/>
      </w:rPr>
    </w:lvl>
    <w:lvl w:ilvl="5">
      <w:start w:val="0"/>
      <w:numFmt w:val="bullet"/>
      <w:lvlText w:val="•"/>
      <w:lvlJc w:val="left"/>
      <w:pPr>
        <w:ind w:left="4705" w:hanging="720"/>
      </w:pPr>
      <w:rPr>
        <w:rFonts w:hint="default"/>
        <w:lang w:val="en-US" w:eastAsia="zh-CN" w:bidi="ar-SA"/>
      </w:rPr>
    </w:lvl>
    <w:lvl w:ilvl="6">
      <w:start w:val="0"/>
      <w:numFmt w:val="bullet"/>
      <w:lvlText w:val="•"/>
      <w:lvlJc w:val="left"/>
      <w:pPr>
        <w:ind w:left="5430" w:hanging="720"/>
      </w:pPr>
      <w:rPr>
        <w:rFonts w:hint="default"/>
        <w:lang w:val="en-US" w:eastAsia="zh-CN" w:bidi="ar-SA"/>
      </w:rPr>
    </w:lvl>
    <w:lvl w:ilvl="7">
      <w:start w:val="0"/>
      <w:numFmt w:val="bullet"/>
      <w:lvlText w:val="•"/>
      <w:lvlJc w:val="left"/>
      <w:pPr>
        <w:ind w:left="6155" w:hanging="720"/>
      </w:pPr>
      <w:rPr>
        <w:rFonts w:hint="default"/>
        <w:lang w:val="en-US" w:eastAsia="zh-CN" w:bidi="ar-SA"/>
      </w:rPr>
    </w:lvl>
    <w:lvl w:ilvl="8">
      <w:start w:val="0"/>
      <w:numFmt w:val="bullet"/>
      <w:lvlText w:val="•"/>
      <w:lvlJc w:val="left"/>
      <w:pPr>
        <w:ind w:left="6880" w:hanging="720"/>
      </w:pPr>
      <w:rPr>
        <w:rFonts w:hint="default"/>
        <w:lang w:val="en-US" w:eastAsia="zh-CN" w:bidi="ar-SA"/>
      </w:rPr>
    </w:lvl>
  </w:abstractNum>
  <w:abstractNum w:abstractNumId="67">
    <w:multiLevelType w:val="hybridMultilevel"/>
    <w:lvl w:ilvl="0">
      <w:start w:val="1"/>
      <w:numFmt w:val="decimal"/>
      <w:lvlText w:val="（%1）"/>
      <w:lvlJc w:val="left"/>
      <w:pPr>
        <w:ind w:left="3321" w:hanging="720"/>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4044" w:hanging="720"/>
      </w:pPr>
      <w:rPr>
        <w:rFonts w:hint="default"/>
        <w:lang w:val="en-US" w:eastAsia="zh-CN" w:bidi="ar-SA"/>
      </w:rPr>
    </w:lvl>
    <w:lvl w:ilvl="2">
      <w:start w:val="0"/>
      <w:numFmt w:val="bullet"/>
      <w:lvlText w:val="•"/>
      <w:lvlJc w:val="left"/>
      <w:pPr>
        <w:ind w:left="4769" w:hanging="720"/>
      </w:pPr>
      <w:rPr>
        <w:rFonts w:hint="default"/>
        <w:lang w:val="en-US" w:eastAsia="zh-CN" w:bidi="ar-SA"/>
      </w:rPr>
    </w:lvl>
    <w:lvl w:ilvl="3">
      <w:start w:val="0"/>
      <w:numFmt w:val="bullet"/>
      <w:lvlText w:val="•"/>
      <w:lvlJc w:val="left"/>
      <w:pPr>
        <w:ind w:left="5493" w:hanging="720"/>
      </w:pPr>
      <w:rPr>
        <w:rFonts w:hint="default"/>
        <w:lang w:val="en-US" w:eastAsia="zh-CN" w:bidi="ar-SA"/>
      </w:rPr>
    </w:lvl>
    <w:lvl w:ilvl="4">
      <w:start w:val="0"/>
      <w:numFmt w:val="bullet"/>
      <w:lvlText w:val="•"/>
      <w:lvlJc w:val="left"/>
      <w:pPr>
        <w:ind w:left="6218" w:hanging="720"/>
      </w:pPr>
      <w:rPr>
        <w:rFonts w:hint="default"/>
        <w:lang w:val="en-US" w:eastAsia="zh-CN" w:bidi="ar-SA"/>
      </w:rPr>
    </w:lvl>
    <w:lvl w:ilvl="5">
      <w:start w:val="0"/>
      <w:numFmt w:val="bullet"/>
      <w:lvlText w:val="•"/>
      <w:lvlJc w:val="left"/>
      <w:pPr>
        <w:ind w:left="6943" w:hanging="720"/>
      </w:pPr>
      <w:rPr>
        <w:rFonts w:hint="default"/>
        <w:lang w:val="en-US" w:eastAsia="zh-CN" w:bidi="ar-SA"/>
      </w:rPr>
    </w:lvl>
    <w:lvl w:ilvl="6">
      <w:start w:val="0"/>
      <w:numFmt w:val="bullet"/>
      <w:lvlText w:val="•"/>
      <w:lvlJc w:val="left"/>
      <w:pPr>
        <w:ind w:left="7667" w:hanging="720"/>
      </w:pPr>
      <w:rPr>
        <w:rFonts w:hint="default"/>
        <w:lang w:val="en-US" w:eastAsia="zh-CN" w:bidi="ar-SA"/>
      </w:rPr>
    </w:lvl>
    <w:lvl w:ilvl="7">
      <w:start w:val="0"/>
      <w:numFmt w:val="bullet"/>
      <w:lvlText w:val="•"/>
      <w:lvlJc w:val="left"/>
      <w:pPr>
        <w:ind w:left="839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66">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3342" w:hanging="735"/>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894" w:hanging="735"/>
      </w:pPr>
      <w:rPr>
        <w:rFonts w:hint="default"/>
        <w:lang w:val="en-US" w:eastAsia="zh-CN" w:bidi="ar-SA"/>
      </w:rPr>
    </w:lvl>
    <w:lvl w:ilvl="3">
      <w:start w:val="0"/>
      <w:numFmt w:val="bullet"/>
      <w:lvlText w:val="•"/>
      <w:lvlJc w:val="left"/>
      <w:pPr>
        <w:ind w:left="4449" w:hanging="735"/>
      </w:pPr>
      <w:rPr>
        <w:rFonts w:hint="default"/>
        <w:lang w:val="en-US" w:eastAsia="zh-CN" w:bidi="ar-SA"/>
      </w:rPr>
    </w:lvl>
    <w:lvl w:ilvl="4">
      <w:start w:val="0"/>
      <w:numFmt w:val="bullet"/>
      <w:lvlText w:val="•"/>
      <w:lvlJc w:val="left"/>
      <w:pPr>
        <w:ind w:left="5003" w:hanging="735"/>
      </w:pPr>
      <w:rPr>
        <w:rFonts w:hint="default"/>
        <w:lang w:val="en-US" w:eastAsia="zh-CN" w:bidi="ar-SA"/>
      </w:rPr>
    </w:lvl>
    <w:lvl w:ilvl="5">
      <w:start w:val="0"/>
      <w:numFmt w:val="bullet"/>
      <w:lvlText w:val="•"/>
      <w:lvlJc w:val="left"/>
      <w:pPr>
        <w:ind w:left="5558" w:hanging="735"/>
      </w:pPr>
      <w:rPr>
        <w:rFonts w:hint="default"/>
        <w:lang w:val="en-US" w:eastAsia="zh-CN" w:bidi="ar-SA"/>
      </w:rPr>
    </w:lvl>
    <w:lvl w:ilvl="6">
      <w:start w:val="0"/>
      <w:numFmt w:val="bullet"/>
      <w:lvlText w:val="•"/>
      <w:lvlJc w:val="left"/>
      <w:pPr>
        <w:ind w:left="6112" w:hanging="735"/>
      </w:pPr>
      <w:rPr>
        <w:rFonts w:hint="default"/>
        <w:lang w:val="en-US" w:eastAsia="zh-CN" w:bidi="ar-SA"/>
      </w:rPr>
    </w:lvl>
    <w:lvl w:ilvl="7">
      <w:start w:val="0"/>
      <w:numFmt w:val="bullet"/>
      <w:lvlText w:val="•"/>
      <w:lvlJc w:val="left"/>
      <w:pPr>
        <w:ind w:left="6667" w:hanging="735"/>
      </w:pPr>
      <w:rPr>
        <w:rFonts w:hint="default"/>
        <w:lang w:val="en-US" w:eastAsia="zh-CN" w:bidi="ar-SA"/>
      </w:rPr>
    </w:lvl>
    <w:lvl w:ilvl="8">
      <w:start w:val="0"/>
      <w:numFmt w:val="bullet"/>
      <w:lvlText w:val="•"/>
      <w:lvlJc w:val="left"/>
      <w:pPr>
        <w:ind w:left="7221" w:hanging="735"/>
      </w:pPr>
      <w:rPr>
        <w:rFonts w:hint="default"/>
        <w:lang w:val="en-US" w:eastAsia="zh-CN" w:bidi="ar-SA"/>
      </w:rPr>
    </w:lvl>
  </w:abstractNum>
  <w:abstractNum w:abstractNumId="65">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64">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63">
    <w:multiLevelType w:val="hybridMultilevel"/>
    <w:lvl w:ilvl="0">
      <w:start w:val="1"/>
      <w:numFmt w:val="decimal"/>
      <w:lvlText w:val="（%1）"/>
      <w:lvlJc w:val="left"/>
      <w:pPr>
        <w:ind w:left="1001" w:hanging="735"/>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722" w:hanging="735"/>
      </w:pPr>
      <w:rPr>
        <w:rFonts w:hint="default"/>
        <w:lang w:val="en-US" w:eastAsia="zh-CN" w:bidi="ar-SA"/>
      </w:rPr>
    </w:lvl>
    <w:lvl w:ilvl="2">
      <w:start w:val="0"/>
      <w:numFmt w:val="bullet"/>
      <w:lvlText w:val="•"/>
      <w:lvlJc w:val="left"/>
      <w:pPr>
        <w:ind w:left="2445" w:hanging="735"/>
      </w:pPr>
      <w:rPr>
        <w:rFonts w:hint="default"/>
        <w:lang w:val="en-US" w:eastAsia="zh-CN" w:bidi="ar-SA"/>
      </w:rPr>
    </w:lvl>
    <w:lvl w:ilvl="3">
      <w:start w:val="0"/>
      <w:numFmt w:val="bullet"/>
      <w:lvlText w:val="•"/>
      <w:lvlJc w:val="left"/>
      <w:pPr>
        <w:ind w:left="3167" w:hanging="735"/>
      </w:pPr>
      <w:rPr>
        <w:rFonts w:hint="default"/>
        <w:lang w:val="en-US" w:eastAsia="zh-CN" w:bidi="ar-SA"/>
      </w:rPr>
    </w:lvl>
    <w:lvl w:ilvl="4">
      <w:start w:val="0"/>
      <w:numFmt w:val="bullet"/>
      <w:lvlText w:val="•"/>
      <w:lvlJc w:val="left"/>
      <w:pPr>
        <w:ind w:left="3890" w:hanging="735"/>
      </w:pPr>
      <w:rPr>
        <w:rFonts w:hint="default"/>
        <w:lang w:val="en-US" w:eastAsia="zh-CN" w:bidi="ar-SA"/>
      </w:rPr>
    </w:lvl>
    <w:lvl w:ilvl="5">
      <w:start w:val="0"/>
      <w:numFmt w:val="bullet"/>
      <w:lvlText w:val="•"/>
      <w:lvlJc w:val="left"/>
      <w:pPr>
        <w:ind w:left="4612" w:hanging="735"/>
      </w:pPr>
      <w:rPr>
        <w:rFonts w:hint="default"/>
        <w:lang w:val="en-US" w:eastAsia="zh-CN" w:bidi="ar-SA"/>
      </w:rPr>
    </w:lvl>
    <w:lvl w:ilvl="6">
      <w:start w:val="0"/>
      <w:numFmt w:val="bullet"/>
      <w:lvlText w:val="•"/>
      <w:lvlJc w:val="left"/>
      <w:pPr>
        <w:ind w:left="5335" w:hanging="735"/>
      </w:pPr>
      <w:rPr>
        <w:rFonts w:hint="default"/>
        <w:lang w:val="en-US" w:eastAsia="zh-CN" w:bidi="ar-SA"/>
      </w:rPr>
    </w:lvl>
    <w:lvl w:ilvl="7">
      <w:start w:val="0"/>
      <w:numFmt w:val="bullet"/>
      <w:lvlText w:val="•"/>
      <w:lvlJc w:val="left"/>
      <w:pPr>
        <w:ind w:left="6057" w:hanging="735"/>
      </w:pPr>
      <w:rPr>
        <w:rFonts w:hint="default"/>
        <w:lang w:val="en-US" w:eastAsia="zh-CN" w:bidi="ar-SA"/>
      </w:rPr>
    </w:lvl>
    <w:lvl w:ilvl="8">
      <w:start w:val="0"/>
      <w:numFmt w:val="bullet"/>
      <w:lvlText w:val="•"/>
      <w:lvlJc w:val="left"/>
      <w:pPr>
        <w:ind w:left="6780" w:hanging="735"/>
      </w:pPr>
      <w:rPr>
        <w:rFonts w:hint="default"/>
        <w:lang w:val="en-US" w:eastAsia="zh-CN" w:bidi="ar-SA"/>
      </w:rPr>
    </w:lvl>
  </w:abstractNum>
  <w:abstractNum w:abstractNumId="62">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61">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60">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59">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58">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2"/>
      <w:numFmt w:val="decimal"/>
      <w:lvlText w:val="（%2）"/>
      <w:lvlJc w:val="left"/>
      <w:pPr>
        <w:ind w:left="3342" w:hanging="735"/>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894" w:hanging="735"/>
      </w:pPr>
      <w:rPr>
        <w:rFonts w:hint="default"/>
        <w:lang w:val="en-US" w:eastAsia="zh-CN" w:bidi="ar-SA"/>
      </w:rPr>
    </w:lvl>
    <w:lvl w:ilvl="3">
      <w:start w:val="0"/>
      <w:numFmt w:val="bullet"/>
      <w:lvlText w:val="•"/>
      <w:lvlJc w:val="left"/>
      <w:pPr>
        <w:ind w:left="4449" w:hanging="735"/>
      </w:pPr>
      <w:rPr>
        <w:rFonts w:hint="default"/>
        <w:lang w:val="en-US" w:eastAsia="zh-CN" w:bidi="ar-SA"/>
      </w:rPr>
    </w:lvl>
    <w:lvl w:ilvl="4">
      <w:start w:val="0"/>
      <w:numFmt w:val="bullet"/>
      <w:lvlText w:val="•"/>
      <w:lvlJc w:val="left"/>
      <w:pPr>
        <w:ind w:left="5003" w:hanging="735"/>
      </w:pPr>
      <w:rPr>
        <w:rFonts w:hint="default"/>
        <w:lang w:val="en-US" w:eastAsia="zh-CN" w:bidi="ar-SA"/>
      </w:rPr>
    </w:lvl>
    <w:lvl w:ilvl="5">
      <w:start w:val="0"/>
      <w:numFmt w:val="bullet"/>
      <w:lvlText w:val="•"/>
      <w:lvlJc w:val="left"/>
      <w:pPr>
        <w:ind w:left="5558" w:hanging="735"/>
      </w:pPr>
      <w:rPr>
        <w:rFonts w:hint="default"/>
        <w:lang w:val="en-US" w:eastAsia="zh-CN" w:bidi="ar-SA"/>
      </w:rPr>
    </w:lvl>
    <w:lvl w:ilvl="6">
      <w:start w:val="0"/>
      <w:numFmt w:val="bullet"/>
      <w:lvlText w:val="•"/>
      <w:lvlJc w:val="left"/>
      <w:pPr>
        <w:ind w:left="6112" w:hanging="735"/>
      </w:pPr>
      <w:rPr>
        <w:rFonts w:hint="default"/>
        <w:lang w:val="en-US" w:eastAsia="zh-CN" w:bidi="ar-SA"/>
      </w:rPr>
    </w:lvl>
    <w:lvl w:ilvl="7">
      <w:start w:val="0"/>
      <w:numFmt w:val="bullet"/>
      <w:lvlText w:val="•"/>
      <w:lvlJc w:val="left"/>
      <w:pPr>
        <w:ind w:left="6667" w:hanging="735"/>
      </w:pPr>
      <w:rPr>
        <w:rFonts w:hint="default"/>
        <w:lang w:val="en-US" w:eastAsia="zh-CN" w:bidi="ar-SA"/>
      </w:rPr>
    </w:lvl>
    <w:lvl w:ilvl="8">
      <w:start w:val="0"/>
      <w:numFmt w:val="bullet"/>
      <w:lvlText w:val="•"/>
      <w:lvlJc w:val="left"/>
      <w:pPr>
        <w:ind w:left="7221" w:hanging="735"/>
      </w:pPr>
      <w:rPr>
        <w:rFonts w:hint="default"/>
        <w:lang w:val="en-US" w:eastAsia="zh-CN" w:bidi="ar-SA"/>
      </w:rPr>
    </w:lvl>
  </w:abstractNum>
  <w:abstractNum w:abstractNumId="57">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56">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55">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54">
    <w:multiLevelType w:val="hybridMultilevel"/>
    <w:lvl w:ilvl="0">
      <w:start w:val="1"/>
      <w:numFmt w:val="decimal"/>
      <w:lvlText w:val="（%1）"/>
      <w:lvlJc w:val="left"/>
      <w:pPr>
        <w:ind w:left="1107" w:hanging="735"/>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53">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52">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51">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50">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49">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48">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47">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46">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45">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44">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43">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42">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41">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40">
    <w:multiLevelType w:val="hybridMultilevel"/>
    <w:lvl w:ilvl="0">
      <w:start w:val="1"/>
      <w:numFmt w:val="decimal"/>
      <w:lvlText w:val="（%1）"/>
      <w:lvlJc w:val="left"/>
      <w:pPr>
        <w:ind w:left="1107" w:hanging="735"/>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39">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38">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37">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36">
    <w:multiLevelType w:val="hybridMultilevel"/>
    <w:lvl w:ilvl="0">
      <w:start w:val="7"/>
      <w:numFmt w:val="decimal"/>
      <w:lvlText w:val="%1"/>
      <w:lvlJc w:val="left"/>
      <w:pPr>
        <w:ind w:left="1139" w:hanging="661"/>
        <w:jc w:val="left"/>
      </w:pPr>
      <w:rPr>
        <w:rFonts w:hint="default"/>
        <w:lang w:val="en-US" w:eastAsia="zh-CN" w:bidi="ar-SA"/>
      </w:rPr>
    </w:lvl>
    <w:lvl w:ilvl="1">
      <w:start w:val="55"/>
      <w:numFmt w:val="decimal"/>
      <w:lvlText w:val="%1.%2"/>
      <w:lvlJc w:val="left"/>
      <w:pPr>
        <w:ind w:left="1139" w:hanging="661"/>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342" w:hanging="735"/>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085" w:hanging="735"/>
      </w:pPr>
      <w:rPr>
        <w:rFonts w:hint="default"/>
        <w:lang w:val="en-US" w:eastAsia="zh-CN" w:bidi="ar-SA"/>
      </w:rPr>
    </w:lvl>
    <w:lvl w:ilvl="4">
      <w:start w:val="0"/>
      <w:numFmt w:val="bullet"/>
      <w:lvlText w:val="•"/>
      <w:lvlJc w:val="left"/>
      <w:pPr>
        <w:ind w:left="2958" w:hanging="735"/>
      </w:pPr>
      <w:rPr>
        <w:rFonts w:hint="default"/>
        <w:lang w:val="en-US" w:eastAsia="zh-CN" w:bidi="ar-SA"/>
      </w:rPr>
    </w:lvl>
    <w:lvl w:ilvl="5">
      <w:start w:val="0"/>
      <w:numFmt w:val="bullet"/>
      <w:lvlText w:val="•"/>
      <w:lvlJc w:val="left"/>
      <w:pPr>
        <w:ind w:left="2831" w:hanging="735"/>
      </w:pPr>
      <w:rPr>
        <w:rFonts w:hint="default"/>
        <w:lang w:val="en-US" w:eastAsia="zh-CN" w:bidi="ar-SA"/>
      </w:rPr>
    </w:lvl>
    <w:lvl w:ilvl="6">
      <w:start w:val="0"/>
      <w:numFmt w:val="bullet"/>
      <w:lvlText w:val="•"/>
      <w:lvlJc w:val="left"/>
      <w:pPr>
        <w:ind w:left="2704" w:hanging="735"/>
      </w:pPr>
      <w:rPr>
        <w:rFonts w:hint="default"/>
        <w:lang w:val="en-US" w:eastAsia="zh-CN" w:bidi="ar-SA"/>
      </w:rPr>
    </w:lvl>
    <w:lvl w:ilvl="7">
      <w:start w:val="0"/>
      <w:numFmt w:val="bullet"/>
      <w:lvlText w:val="•"/>
      <w:lvlJc w:val="left"/>
      <w:pPr>
        <w:ind w:left="2577" w:hanging="735"/>
      </w:pPr>
      <w:rPr>
        <w:rFonts w:hint="default"/>
        <w:lang w:val="en-US" w:eastAsia="zh-CN" w:bidi="ar-SA"/>
      </w:rPr>
    </w:lvl>
    <w:lvl w:ilvl="8">
      <w:start w:val="0"/>
      <w:numFmt w:val="bullet"/>
      <w:lvlText w:val="•"/>
      <w:lvlJc w:val="left"/>
      <w:pPr>
        <w:ind w:left="2449" w:hanging="735"/>
      </w:pPr>
      <w:rPr>
        <w:rFonts w:hint="default"/>
        <w:lang w:val="en-US" w:eastAsia="zh-CN" w:bidi="ar-SA"/>
      </w:rPr>
    </w:lvl>
  </w:abstractNum>
  <w:abstractNum w:abstractNumId="35">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1"/>
      <w:numFmt w:val="decimal"/>
      <w:lvlText w:val="（%2）"/>
      <w:lvlJc w:val="left"/>
      <w:pPr>
        <w:ind w:left="3342" w:hanging="735"/>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3894" w:hanging="735"/>
      </w:pPr>
      <w:rPr>
        <w:rFonts w:hint="default"/>
        <w:lang w:val="en-US" w:eastAsia="zh-CN" w:bidi="ar-SA"/>
      </w:rPr>
    </w:lvl>
    <w:lvl w:ilvl="3">
      <w:start w:val="0"/>
      <w:numFmt w:val="bullet"/>
      <w:lvlText w:val="•"/>
      <w:lvlJc w:val="left"/>
      <w:pPr>
        <w:ind w:left="4449" w:hanging="735"/>
      </w:pPr>
      <w:rPr>
        <w:rFonts w:hint="default"/>
        <w:lang w:val="en-US" w:eastAsia="zh-CN" w:bidi="ar-SA"/>
      </w:rPr>
    </w:lvl>
    <w:lvl w:ilvl="4">
      <w:start w:val="0"/>
      <w:numFmt w:val="bullet"/>
      <w:lvlText w:val="•"/>
      <w:lvlJc w:val="left"/>
      <w:pPr>
        <w:ind w:left="5003" w:hanging="735"/>
      </w:pPr>
      <w:rPr>
        <w:rFonts w:hint="default"/>
        <w:lang w:val="en-US" w:eastAsia="zh-CN" w:bidi="ar-SA"/>
      </w:rPr>
    </w:lvl>
    <w:lvl w:ilvl="5">
      <w:start w:val="0"/>
      <w:numFmt w:val="bullet"/>
      <w:lvlText w:val="•"/>
      <w:lvlJc w:val="left"/>
      <w:pPr>
        <w:ind w:left="5558" w:hanging="735"/>
      </w:pPr>
      <w:rPr>
        <w:rFonts w:hint="default"/>
        <w:lang w:val="en-US" w:eastAsia="zh-CN" w:bidi="ar-SA"/>
      </w:rPr>
    </w:lvl>
    <w:lvl w:ilvl="6">
      <w:start w:val="0"/>
      <w:numFmt w:val="bullet"/>
      <w:lvlText w:val="•"/>
      <w:lvlJc w:val="left"/>
      <w:pPr>
        <w:ind w:left="6112" w:hanging="735"/>
      </w:pPr>
      <w:rPr>
        <w:rFonts w:hint="default"/>
        <w:lang w:val="en-US" w:eastAsia="zh-CN" w:bidi="ar-SA"/>
      </w:rPr>
    </w:lvl>
    <w:lvl w:ilvl="7">
      <w:start w:val="0"/>
      <w:numFmt w:val="bullet"/>
      <w:lvlText w:val="•"/>
      <w:lvlJc w:val="left"/>
      <w:pPr>
        <w:ind w:left="6667" w:hanging="735"/>
      </w:pPr>
      <w:rPr>
        <w:rFonts w:hint="default"/>
        <w:lang w:val="en-US" w:eastAsia="zh-CN" w:bidi="ar-SA"/>
      </w:rPr>
    </w:lvl>
    <w:lvl w:ilvl="8">
      <w:start w:val="0"/>
      <w:numFmt w:val="bullet"/>
      <w:lvlText w:val="•"/>
      <w:lvlJc w:val="left"/>
      <w:pPr>
        <w:ind w:left="7221" w:hanging="735"/>
      </w:pPr>
      <w:rPr>
        <w:rFonts w:hint="default"/>
        <w:lang w:val="en-US" w:eastAsia="zh-CN" w:bidi="ar-SA"/>
      </w:rPr>
    </w:lvl>
  </w:abstractNum>
  <w:abstractNum w:abstractNumId="34">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33">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32">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31">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30">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29">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28">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27">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26">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25">
    <w:multiLevelType w:val="hybridMultilevel"/>
    <w:lvl w:ilvl="0">
      <w:start w:val="1"/>
      <w:numFmt w:val="decimal"/>
      <w:lvlText w:val="（%1）"/>
      <w:lvlJc w:val="left"/>
      <w:pPr>
        <w:ind w:left="1107" w:hanging="735"/>
        <w:jc w:val="righ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24">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23">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22">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21">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20">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19">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18">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17">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16">
    <w:multiLevelType w:val="hybridMultilevel"/>
    <w:lvl w:ilvl="0">
      <w:start w:val="1"/>
      <w:numFmt w:val="decimal"/>
      <w:lvlText w:val="（%1）"/>
      <w:lvlJc w:val="left"/>
      <w:pPr>
        <w:ind w:left="3342"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15">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14">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13">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12">
    <w:multiLevelType w:val="hybridMultilevel"/>
    <w:lvl w:ilvl="0">
      <w:start w:val="1"/>
      <w:numFmt w:val="decimal"/>
      <w:lvlText w:val="（%1）"/>
      <w:lvlJc w:val="left"/>
      <w:pPr>
        <w:ind w:left="3342" w:hanging="735"/>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4062" w:hanging="735"/>
      </w:pPr>
      <w:rPr>
        <w:rFonts w:hint="default"/>
        <w:lang w:val="en-US" w:eastAsia="zh-CN" w:bidi="ar-SA"/>
      </w:rPr>
    </w:lvl>
    <w:lvl w:ilvl="2">
      <w:start w:val="0"/>
      <w:numFmt w:val="bullet"/>
      <w:lvlText w:val="•"/>
      <w:lvlJc w:val="left"/>
      <w:pPr>
        <w:ind w:left="4785" w:hanging="735"/>
      </w:pPr>
      <w:rPr>
        <w:rFonts w:hint="default"/>
        <w:lang w:val="en-US" w:eastAsia="zh-CN" w:bidi="ar-SA"/>
      </w:rPr>
    </w:lvl>
    <w:lvl w:ilvl="3">
      <w:start w:val="0"/>
      <w:numFmt w:val="bullet"/>
      <w:lvlText w:val="•"/>
      <w:lvlJc w:val="left"/>
      <w:pPr>
        <w:ind w:left="5507" w:hanging="735"/>
      </w:pPr>
      <w:rPr>
        <w:rFonts w:hint="default"/>
        <w:lang w:val="en-US" w:eastAsia="zh-CN" w:bidi="ar-SA"/>
      </w:rPr>
    </w:lvl>
    <w:lvl w:ilvl="4">
      <w:start w:val="0"/>
      <w:numFmt w:val="bullet"/>
      <w:lvlText w:val="•"/>
      <w:lvlJc w:val="left"/>
      <w:pPr>
        <w:ind w:left="6230" w:hanging="735"/>
      </w:pPr>
      <w:rPr>
        <w:rFonts w:hint="default"/>
        <w:lang w:val="en-US" w:eastAsia="zh-CN" w:bidi="ar-SA"/>
      </w:rPr>
    </w:lvl>
    <w:lvl w:ilvl="5">
      <w:start w:val="0"/>
      <w:numFmt w:val="bullet"/>
      <w:lvlText w:val="•"/>
      <w:lvlJc w:val="left"/>
      <w:pPr>
        <w:ind w:left="6953" w:hanging="735"/>
      </w:pPr>
      <w:rPr>
        <w:rFonts w:hint="default"/>
        <w:lang w:val="en-US" w:eastAsia="zh-CN" w:bidi="ar-SA"/>
      </w:rPr>
    </w:lvl>
    <w:lvl w:ilvl="6">
      <w:start w:val="0"/>
      <w:numFmt w:val="bullet"/>
      <w:lvlText w:val="•"/>
      <w:lvlJc w:val="left"/>
      <w:pPr>
        <w:ind w:left="7675" w:hanging="735"/>
      </w:pPr>
      <w:rPr>
        <w:rFonts w:hint="default"/>
        <w:lang w:val="en-US" w:eastAsia="zh-CN" w:bidi="ar-SA"/>
      </w:rPr>
    </w:lvl>
    <w:lvl w:ilvl="7">
      <w:start w:val="0"/>
      <w:numFmt w:val="bullet"/>
      <w:lvlText w:val="•"/>
      <w:lvlJc w:val="left"/>
      <w:pPr>
        <w:ind w:left="8398" w:hanging="735"/>
      </w:pPr>
      <w:rPr>
        <w:rFonts w:hint="default"/>
        <w:lang w:val="en-US" w:eastAsia="zh-CN" w:bidi="ar-SA"/>
      </w:rPr>
    </w:lvl>
    <w:lvl w:ilvl="8">
      <w:start w:val="0"/>
      <w:numFmt w:val="bullet"/>
      <w:lvlText w:val="•"/>
      <w:lvlJc w:val="left"/>
      <w:pPr>
        <w:ind w:left="9121" w:hanging="735"/>
      </w:pPr>
      <w:rPr>
        <w:rFonts w:hint="default"/>
        <w:lang w:val="en-US" w:eastAsia="zh-CN" w:bidi="ar-SA"/>
      </w:rPr>
    </w:lvl>
  </w:abstractNum>
  <w:abstractNum w:abstractNumId="11">
    <w:multiLevelType w:val="hybridMultilevel"/>
    <w:lvl w:ilvl="0">
      <w:start w:val="1"/>
      <w:numFmt w:val="decimal"/>
      <w:lvlText w:val="（%1）"/>
      <w:lvlJc w:val="left"/>
      <w:pPr>
        <w:ind w:left="3321"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44" w:hanging="720"/>
      </w:pPr>
      <w:rPr>
        <w:rFonts w:hint="default"/>
        <w:lang w:val="en-US" w:eastAsia="zh-CN" w:bidi="ar-SA"/>
      </w:rPr>
    </w:lvl>
    <w:lvl w:ilvl="2">
      <w:start w:val="0"/>
      <w:numFmt w:val="bullet"/>
      <w:lvlText w:val="•"/>
      <w:lvlJc w:val="left"/>
      <w:pPr>
        <w:ind w:left="4769" w:hanging="720"/>
      </w:pPr>
      <w:rPr>
        <w:rFonts w:hint="default"/>
        <w:lang w:val="en-US" w:eastAsia="zh-CN" w:bidi="ar-SA"/>
      </w:rPr>
    </w:lvl>
    <w:lvl w:ilvl="3">
      <w:start w:val="0"/>
      <w:numFmt w:val="bullet"/>
      <w:lvlText w:val="•"/>
      <w:lvlJc w:val="left"/>
      <w:pPr>
        <w:ind w:left="5493" w:hanging="720"/>
      </w:pPr>
      <w:rPr>
        <w:rFonts w:hint="default"/>
        <w:lang w:val="en-US" w:eastAsia="zh-CN" w:bidi="ar-SA"/>
      </w:rPr>
    </w:lvl>
    <w:lvl w:ilvl="4">
      <w:start w:val="0"/>
      <w:numFmt w:val="bullet"/>
      <w:lvlText w:val="•"/>
      <w:lvlJc w:val="left"/>
      <w:pPr>
        <w:ind w:left="6218" w:hanging="720"/>
      </w:pPr>
      <w:rPr>
        <w:rFonts w:hint="default"/>
        <w:lang w:val="en-US" w:eastAsia="zh-CN" w:bidi="ar-SA"/>
      </w:rPr>
    </w:lvl>
    <w:lvl w:ilvl="5">
      <w:start w:val="0"/>
      <w:numFmt w:val="bullet"/>
      <w:lvlText w:val="•"/>
      <w:lvlJc w:val="left"/>
      <w:pPr>
        <w:ind w:left="6943" w:hanging="720"/>
      </w:pPr>
      <w:rPr>
        <w:rFonts w:hint="default"/>
        <w:lang w:val="en-US" w:eastAsia="zh-CN" w:bidi="ar-SA"/>
      </w:rPr>
    </w:lvl>
    <w:lvl w:ilvl="6">
      <w:start w:val="0"/>
      <w:numFmt w:val="bullet"/>
      <w:lvlText w:val="•"/>
      <w:lvlJc w:val="left"/>
      <w:pPr>
        <w:ind w:left="7667" w:hanging="720"/>
      </w:pPr>
      <w:rPr>
        <w:rFonts w:hint="default"/>
        <w:lang w:val="en-US" w:eastAsia="zh-CN" w:bidi="ar-SA"/>
      </w:rPr>
    </w:lvl>
    <w:lvl w:ilvl="7">
      <w:start w:val="0"/>
      <w:numFmt w:val="bullet"/>
      <w:lvlText w:val="•"/>
      <w:lvlJc w:val="left"/>
      <w:pPr>
        <w:ind w:left="839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10">
    <w:multiLevelType w:val="hybridMultilevel"/>
    <w:lvl w:ilvl="0">
      <w:start w:val="1"/>
      <w:numFmt w:val="decimal"/>
      <w:lvlText w:val="（%1）"/>
      <w:lvlJc w:val="left"/>
      <w:pPr>
        <w:ind w:left="1085" w:hanging="720"/>
        <w:jc w:val="left"/>
      </w:pPr>
      <w:rPr>
        <w:rFonts w:hint="default"/>
        <w:w w:val="100"/>
        <w:lang w:val="en-US" w:eastAsia="zh-CN" w:bidi="ar-SA"/>
      </w:rPr>
    </w:lvl>
    <w:lvl w:ilvl="1">
      <w:start w:val="0"/>
      <w:numFmt w:val="bullet"/>
      <w:lvlText w:val="•"/>
      <w:lvlJc w:val="left"/>
      <w:pPr>
        <w:ind w:left="1805" w:hanging="720"/>
      </w:pPr>
      <w:rPr>
        <w:rFonts w:hint="default"/>
        <w:lang w:val="en-US" w:eastAsia="zh-CN" w:bidi="ar-SA"/>
      </w:rPr>
    </w:lvl>
    <w:lvl w:ilvl="2">
      <w:start w:val="0"/>
      <w:numFmt w:val="bullet"/>
      <w:lvlText w:val="•"/>
      <w:lvlJc w:val="left"/>
      <w:pPr>
        <w:ind w:left="2530" w:hanging="720"/>
      </w:pPr>
      <w:rPr>
        <w:rFonts w:hint="default"/>
        <w:lang w:val="en-US" w:eastAsia="zh-CN" w:bidi="ar-SA"/>
      </w:rPr>
    </w:lvl>
    <w:lvl w:ilvl="3">
      <w:start w:val="0"/>
      <w:numFmt w:val="bullet"/>
      <w:lvlText w:val="•"/>
      <w:lvlJc w:val="left"/>
      <w:pPr>
        <w:ind w:left="3255" w:hanging="720"/>
      </w:pPr>
      <w:rPr>
        <w:rFonts w:hint="default"/>
        <w:lang w:val="en-US" w:eastAsia="zh-CN" w:bidi="ar-SA"/>
      </w:rPr>
    </w:lvl>
    <w:lvl w:ilvl="4">
      <w:start w:val="0"/>
      <w:numFmt w:val="bullet"/>
      <w:lvlText w:val="•"/>
      <w:lvlJc w:val="left"/>
      <w:pPr>
        <w:ind w:left="3980" w:hanging="720"/>
      </w:pPr>
      <w:rPr>
        <w:rFonts w:hint="default"/>
        <w:lang w:val="en-US" w:eastAsia="zh-CN" w:bidi="ar-SA"/>
      </w:rPr>
    </w:lvl>
    <w:lvl w:ilvl="5">
      <w:start w:val="0"/>
      <w:numFmt w:val="bullet"/>
      <w:lvlText w:val="•"/>
      <w:lvlJc w:val="left"/>
      <w:pPr>
        <w:ind w:left="4705" w:hanging="720"/>
      </w:pPr>
      <w:rPr>
        <w:rFonts w:hint="default"/>
        <w:lang w:val="en-US" w:eastAsia="zh-CN" w:bidi="ar-SA"/>
      </w:rPr>
    </w:lvl>
    <w:lvl w:ilvl="6">
      <w:start w:val="0"/>
      <w:numFmt w:val="bullet"/>
      <w:lvlText w:val="•"/>
      <w:lvlJc w:val="left"/>
      <w:pPr>
        <w:ind w:left="5430" w:hanging="720"/>
      </w:pPr>
      <w:rPr>
        <w:rFonts w:hint="default"/>
        <w:lang w:val="en-US" w:eastAsia="zh-CN" w:bidi="ar-SA"/>
      </w:rPr>
    </w:lvl>
    <w:lvl w:ilvl="7">
      <w:start w:val="0"/>
      <w:numFmt w:val="bullet"/>
      <w:lvlText w:val="•"/>
      <w:lvlJc w:val="left"/>
      <w:pPr>
        <w:ind w:left="6155" w:hanging="720"/>
      </w:pPr>
      <w:rPr>
        <w:rFonts w:hint="default"/>
        <w:lang w:val="en-US" w:eastAsia="zh-CN" w:bidi="ar-SA"/>
      </w:rPr>
    </w:lvl>
    <w:lvl w:ilvl="8">
      <w:start w:val="0"/>
      <w:numFmt w:val="bullet"/>
      <w:lvlText w:val="•"/>
      <w:lvlJc w:val="left"/>
      <w:pPr>
        <w:ind w:left="6880" w:hanging="720"/>
      </w:pPr>
      <w:rPr>
        <w:rFonts w:hint="default"/>
        <w:lang w:val="en-US" w:eastAsia="zh-CN" w:bidi="ar-SA"/>
      </w:rPr>
    </w:lvl>
  </w:abstractNum>
  <w:abstractNum w:abstractNumId="9">
    <w:multiLevelType w:val="hybridMultilevel"/>
    <w:lvl w:ilvl="0">
      <w:start w:val="1"/>
      <w:numFmt w:val="decimal"/>
      <w:lvlText w:val="（%1）"/>
      <w:lvlJc w:val="left"/>
      <w:pPr>
        <w:ind w:left="1107" w:hanging="735"/>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823" w:hanging="735"/>
      </w:pPr>
      <w:rPr>
        <w:rFonts w:hint="default"/>
        <w:lang w:val="en-US" w:eastAsia="zh-CN" w:bidi="ar-SA"/>
      </w:rPr>
    </w:lvl>
    <w:lvl w:ilvl="2">
      <w:start w:val="0"/>
      <w:numFmt w:val="bullet"/>
      <w:lvlText w:val="•"/>
      <w:lvlJc w:val="left"/>
      <w:pPr>
        <w:ind w:left="2546" w:hanging="735"/>
      </w:pPr>
      <w:rPr>
        <w:rFonts w:hint="default"/>
        <w:lang w:val="en-US" w:eastAsia="zh-CN" w:bidi="ar-SA"/>
      </w:rPr>
    </w:lvl>
    <w:lvl w:ilvl="3">
      <w:start w:val="0"/>
      <w:numFmt w:val="bullet"/>
      <w:lvlText w:val="•"/>
      <w:lvlJc w:val="left"/>
      <w:pPr>
        <w:ind w:left="3269" w:hanging="735"/>
      </w:pPr>
      <w:rPr>
        <w:rFonts w:hint="default"/>
        <w:lang w:val="en-US" w:eastAsia="zh-CN" w:bidi="ar-SA"/>
      </w:rPr>
    </w:lvl>
    <w:lvl w:ilvl="4">
      <w:start w:val="0"/>
      <w:numFmt w:val="bullet"/>
      <w:lvlText w:val="•"/>
      <w:lvlJc w:val="left"/>
      <w:pPr>
        <w:ind w:left="3992" w:hanging="735"/>
      </w:pPr>
      <w:rPr>
        <w:rFonts w:hint="default"/>
        <w:lang w:val="en-US" w:eastAsia="zh-CN" w:bidi="ar-SA"/>
      </w:rPr>
    </w:lvl>
    <w:lvl w:ilvl="5">
      <w:start w:val="0"/>
      <w:numFmt w:val="bullet"/>
      <w:lvlText w:val="•"/>
      <w:lvlJc w:val="left"/>
      <w:pPr>
        <w:ind w:left="4715" w:hanging="735"/>
      </w:pPr>
      <w:rPr>
        <w:rFonts w:hint="default"/>
        <w:lang w:val="en-US" w:eastAsia="zh-CN" w:bidi="ar-SA"/>
      </w:rPr>
    </w:lvl>
    <w:lvl w:ilvl="6">
      <w:start w:val="0"/>
      <w:numFmt w:val="bullet"/>
      <w:lvlText w:val="•"/>
      <w:lvlJc w:val="left"/>
      <w:pPr>
        <w:ind w:left="5438" w:hanging="735"/>
      </w:pPr>
      <w:rPr>
        <w:rFonts w:hint="default"/>
        <w:lang w:val="en-US" w:eastAsia="zh-CN" w:bidi="ar-SA"/>
      </w:rPr>
    </w:lvl>
    <w:lvl w:ilvl="7">
      <w:start w:val="0"/>
      <w:numFmt w:val="bullet"/>
      <w:lvlText w:val="•"/>
      <w:lvlJc w:val="left"/>
      <w:pPr>
        <w:ind w:left="6161" w:hanging="735"/>
      </w:pPr>
      <w:rPr>
        <w:rFonts w:hint="default"/>
        <w:lang w:val="en-US" w:eastAsia="zh-CN" w:bidi="ar-SA"/>
      </w:rPr>
    </w:lvl>
    <w:lvl w:ilvl="8">
      <w:start w:val="0"/>
      <w:numFmt w:val="bullet"/>
      <w:lvlText w:val="•"/>
      <w:lvlJc w:val="left"/>
      <w:pPr>
        <w:ind w:left="6884" w:hanging="735"/>
      </w:pPr>
      <w:rPr>
        <w:rFonts w:hint="default"/>
        <w:lang w:val="en-US" w:eastAsia="zh-CN" w:bidi="ar-SA"/>
      </w:rPr>
    </w:lvl>
  </w:abstractNum>
  <w:abstractNum w:abstractNumId="8">
    <w:multiLevelType w:val="hybridMultilevel"/>
    <w:lvl w:ilvl="0">
      <w:start w:val="1"/>
      <w:numFmt w:val="decimal"/>
      <w:lvlText w:val="（%1）"/>
      <w:lvlJc w:val="left"/>
      <w:pPr>
        <w:ind w:left="3321" w:hanging="720"/>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4044" w:hanging="720"/>
      </w:pPr>
      <w:rPr>
        <w:rFonts w:hint="default"/>
        <w:lang w:val="en-US" w:eastAsia="zh-CN" w:bidi="ar-SA"/>
      </w:rPr>
    </w:lvl>
    <w:lvl w:ilvl="2">
      <w:start w:val="0"/>
      <w:numFmt w:val="bullet"/>
      <w:lvlText w:val="•"/>
      <w:lvlJc w:val="left"/>
      <w:pPr>
        <w:ind w:left="4769" w:hanging="720"/>
      </w:pPr>
      <w:rPr>
        <w:rFonts w:hint="default"/>
        <w:lang w:val="en-US" w:eastAsia="zh-CN" w:bidi="ar-SA"/>
      </w:rPr>
    </w:lvl>
    <w:lvl w:ilvl="3">
      <w:start w:val="0"/>
      <w:numFmt w:val="bullet"/>
      <w:lvlText w:val="•"/>
      <w:lvlJc w:val="left"/>
      <w:pPr>
        <w:ind w:left="5493" w:hanging="720"/>
      </w:pPr>
      <w:rPr>
        <w:rFonts w:hint="default"/>
        <w:lang w:val="en-US" w:eastAsia="zh-CN" w:bidi="ar-SA"/>
      </w:rPr>
    </w:lvl>
    <w:lvl w:ilvl="4">
      <w:start w:val="0"/>
      <w:numFmt w:val="bullet"/>
      <w:lvlText w:val="•"/>
      <w:lvlJc w:val="left"/>
      <w:pPr>
        <w:ind w:left="6218" w:hanging="720"/>
      </w:pPr>
      <w:rPr>
        <w:rFonts w:hint="default"/>
        <w:lang w:val="en-US" w:eastAsia="zh-CN" w:bidi="ar-SA"/>
      </w:rPr>
    </w:lvl>
    <w:lvl w:ilvl="5">
      <w:start w:val="0"/>
      <w:numFmt w:val="bullet"/>
      <w:lvlText w:val="•"/>
      <w:lvlJc w:val="left"/>
      <w:pPr>
        <w:ind w:left="6943" w:hanging="720"/>
      </w:pPr>
      <w:rPr>
        <w:rFonts w:hint="default"/>
        <w:lang w:val="en-US" w:eastAsia="zh-CN" w:bidi="ar-SA"/>
      </w:rPr>
    </w:lvl>
    <w:lvl w:ilvl="6">
      <w:start w:val="0"/>
      <w:numFmt w:val="bullet"/>
      <w:lvlText w:val="•"/>
      <w:lvlJc w:val="left"/>
      <w:pPr>
        <w:ind w:left="7667" w:hanging="720"/>
      </w:pPr>
      <w:rPr>
        <w:rFonts w:hint="default"/>
        <w:lang w:val="en-US" w:eastAsia="zh-CN" w:bidi="ar-SA"/>
      </w:rPr>
    </w:lvl>
    <w:lvl w:ilvl="7">
      <w:start w:val="0"/>
      <w:numFmt w:val="bullet"/>
      <w:lvlText w:val="•"/>
      <w:lvlJc w:val="left"/>
      <w:pPr>
        <w:ind w:left="839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7">
    <w:multiLevelType w:val="hybridMultilevel"/>
    <w:lvl w:ilvl="0">
      <w:start w:val="1"/>
      <w:numFmt w:val="decimal"/>
      <w:lvlText w:val="（%1）"/>
      <w:lvlJc w:val="left"/>
      <w:pPr>
        <w:ind w:left="3321"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044" w:hanging="720"/>
      </w:pPr>
      <w:rPr>
        <w:rFonts w:hint="default"/>
        <w:lang w:val="en-US" w:eastAsia="zh-CN" w:bidi="ar-SA"/>
      </w:rPr>
    </w:lvl>
    <w:lvl w:ilvl="2">
      <w:start w:val="0"/>
      <w:numFmt w:val="bullet"/>
      <w:lvlText w:val="•"/>
      <w:lvlJc w:val="left"/>
      <w:pPr>
        <w:ind w:left="4769" w:hanging="720"/>
      </w:pPr>
      <w:rPr>
        <w:rFonts w:hint="default"/>
        <w:lang w:val="en-US" w:eastAsia="zh-CN" w:bidi="ar-SA"/>
      </w:rPr>
    </w:lvl>
    <w:lvl w:ilvl="3">
      <w:start w:val="0"/>
      <w:numFmt w:val="bullet"/>
      <w:lvlText w:val="•"/>
      <w:lvlJc w:val="left"/>
      <w:pPr>
        <w:ind w:left="5493" w:hanging="720"/>
      </w:pPr>
      <w:rPr>
        <w:rFonts w:hint="default"/>
        <w:lang w:val="en-US" w:eastAsia="zh-CN" w:bidi="ar-SA"/>
      </w:rPr>
    </w:lvl>
    <w:lvl w:ilvl="4">
      <w:start w:val="0"/>
      <w:numFmt w:val="bullet"/>
      <w:lvlText w:val="•"/>
      <w:lvlJc w:val="left"/>
      <w:pPr>
        <w:ind w:left="6218" w:hanging="720"/>
      </w:pPr>
      <w:rPr>
        <w:rFonts w:hint="default"/>
        <w:lang w:val="en-US" w:eastAsia="zh-CN" w:bidi="ar-SA"/>
      </w:rPr>
    </w:lvl>
    <w:lvl w:ilvl="5">
      <w:start w:val="0"/>
      <w:numFmt w:val="bullet"/>
      <w:lvlText w:val="•"/>
      <w:lvlJc w:val="left"/>
      <w:pPr>
        <w:ind w:left="6943" w:hanging="720"/>
      </w:pPr>
      <w:rPr>
        <w:rFonts w:hint="default"/>
        <w:lang w:val="en-US" w:eastAsia="zh-CN" w:bidi="ar-SA"/>
      </w:rPr>
    </w:lvl>
    <w:lvl w:ilvl="6">
      <w:start w:val="0"/>
      <w:numFmt w:val="bullet"/>
      <w:lvlText w:val="•"/>
      <w:lvlJc w:val="left"/>
      <w:pPr>
        <w:ind w:left="7667" w:hanging="720"/>
      </w:pPr>
      <w:rPr>
        <w:rFonts w:hint="default"/>
        <w:lang w:val="en-US" w:eastAsia="zh-CN" w:bidi="ar-SA"/>
      </w:rPr>
    </w:lvl>
    <w:lvl w:ilvl="7">
      <w:start w:val="0"/>
      <w:numFmt w:val="bullet"/>
      <w:lvlText w:val="•"/>
      <w:lvlJc w:val="left"/>
      <w:pPr>
        <w:ind w:left="839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6">
    <w:multiLevelType w:val="hybridMultilevel"/>
    <w:lvl w:ilvl="0">
      <w:start w:val="1"/>
      <w:numFmt w:val="decimal"/>
      <w:lvlText w:val="（%1）"/>
      <w:lvlJc w:val="left"/>
      <w:pPr>
        <w:ind w:left="3328" w:hanging="720"/>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4044" w:hanging="720"/>
      </w:pPr>
      <w:rPr>
        <w:rFonts w:hint="default"/>
        <w:lang w:val="en-US" w:eastAsia="zh-CN" w:bidi="ar-SA"/>
      </w:rPr>
    </w:lvl>
    <w:lvl w:ilvl="2">
      <w:start w:val="0"/>
      <w:numFmt w:val="bullet"/>
      <w:lvlText w:val="•"/>
      <w:lvlJc w:val="left"/>
      <w:pPr>
        <w:ind w:left="4769" w:hanging="720"/>
      </w:pPr>
      <w:rPr>
        <w:rFonts w:hint="default"/>
        <w:lang w:val="en-US" w:eastAsia="zh-CN" w:bidi="ar-SA"/>
      </w:rPr>
    </w:lvl>
    <w:lvl w:ilvl="3">
      <w:start w:val="0"/>
      <w:numFmt w:val="bullet"/>
      <w:lvlText w:val="•"/>
      <w:lvlJc w:val="left"/>
      <w:pPr>
        <w:ind w:left="5493" w:hanging="720"/>
      </w:pPr>
      <w:rPr>
        <w:rFonts w:hint="default"/>
        <w:lang w:val="en-US" w:eastAsia="zh-CN" w:bidi="ar-SA"/>
      </w:rPr>
    </w:lvl>
    <w:lvl w:ilvl="4">
      <w:start w:val="0"/>
      <w:numFmt w:val="bullet"/>
      <w:lvlText w:val="•"/>
      <w:lvlJc w:val="left"/>
      <w:pPr>
        <w:ind w:left="6218" w:hanging="720"/>
      </w:pPr>
      <w:rPr>
        <w:rFonts w:hint="default"/>
        <w:lang w:val="en-US" w:eastAsia="zh-CN" w:bidi="ar-SA"/>
      </w:rPr>
    </w:lvl>
    <w:lvl w:ilvl="5">
      <w:start w:val="0"/>
      <w:numFmt w:val="bullet"/>
      <w:lvlText w:val="•"/>
      <w:lvlJc w:val="left"/>
      <w:pPr>
        <w:ind w:left="6943" w:hanging="720"/>
      </w:pPr>
      <w:rPr>
        <w:rFonts w:hint="default"/>
        <w:lang w:val="en-US" w:eastAsia="zh-CN" w:bidi="ar-SA"/>
      </w:rPr>
    </w:lvl>
    <w:lvl w:ilvl="6">
      <w:start w:val="0"/>
      <w:numFmt w:val="bullet"/>
      <w:lvlText w:val="•"/>
      <w:lvlJc w:val="left"/>
      <w:pPr>
        <w:ind w:left="7667" w:hanging="720"/>
      </w:pPr>
      <w:rPr>
        <w:rFonts w:hint="default"/>
        <w:lang w:val="en-US" w:eastAsia="zh-CN" w:bidi="ar-SA"/>
      </w:rPr>
    </w:lvl>
    <w:lvl w:ilvl="7">
      <w:start w:val="0"/>
      <w:numFmt w:val="bullet"/>
      <w:lvlText w:val="•"/>
      <w:lvlJc w:val="left"/>
      <w:pPr>
        <w:ind w:left="8392" w:hanging="720"/>
      </w:pPr>
      <w:rPr>
        <w:rFonts w:hint="default"/>
        <w:lang w:val="en-US" w:eastAsia="zh-CN" w:bidi="ar-SA"/>
      </w:rPr>
    </w:lvl>
    <w:lvl w:ilvl="8">
      <w:start w:val="0"/>
      <w:numFmt w:val="bullet"/>
      <w:lvlText w:val="•"/>
      <w:lvlJc w:val="left"/>
      <w:pPr>
        <w:ind w:left="9117" w:hanging="720"/>
      </w:pPr>
      <w:rPr>
        <w:rFonts w:hint="default"/>
        <w:lang w:val="en-US" w:eastAsia="zh-CN" w:bidi="ar-SA"/>
      </w:rPr>
    </w:lvl>
  </w:abstractNum>
  <w:abstractNum w:abstractNumId="5">
    <w:multiLevelType w:val="hybridMultilevel"/>
    <w:lvl w:ilvl="0">
      <w:start w:val="1"/>
      <w:numFmt w:val="decimal"/>
      <w:lvlText w:val="（%1）"/>
      <w:lvlJc w:val="left"/>
      <w:pPr>
        <w:ind w:left="1044" w:hanging="720"/>
        <w:jc w:val="left"/>
      </w:pPr>
      <w:rPr>
        <w:rFonts w:hint="default"/>
        <w:spacing w:val="-2"/>
        <w:w w:val="99"/>
        <w:lang w:val="en-US" w:eastAsia="zh-CN" w:bidi="ar-SA"/>
      </w:rPr>
    </w:lvl>
    <w:lvl w:ilvl="1">
      <w:start w:val="0"/>
      <w:numFmt w:val="bullet"/>
      <w:lvlText w:val="•"/>
      <w:lvlJc w:val="left"/>
      <w:pPr>
        <w:ind w:left="1764" w:hanging="720"/>
      </w:pPr>
      <w:rPr>
        <w:rFonts w:hint="default"/>
        <w:lang w:val="en-US" w:eastAsia="zh-CN" w:bidi="ar-SA"/>
      </w:rPr>
    </w:lvl>
    <w:lvl w:ilvl="2">
      <w:start w:val="0"/>
      <w:numFmt w:val="bullet"/>
      <w:lvlText w:val="•"/>
      <w:lvlJc w:val="left"/>
      <w:pPr>
        <w:ind w:left="2488" w:hanging="720"/>
      </w:pPr>
      <w:rPr>
        <w:rFonts w:hint="default"/>
        <w:lang w:val="en-US" w:eastAsia="zh-CN" w:bidi="ar-SA"/>
      </w:rPr>
    </w:lvl>
    <w:lvl w:ilvl="3">
      <w:start w:val="0"/>
      <w:numFmt w:val="bullet"/>
      <w:lvlText w:val="•"/>
      <w:lvlJc w:val="left"/>
      <w:pPr>
        <w:ind w:left="3212" w:hanging="720"/>
      </w:pPr>
      <w:rPr>
        <w:rFonts w:hint="default"/>
        <w:lang w:val="en-US" w:eastAsia="zh-CN" w:bidi="ar-SA"/>
      </w:rPr>
    </w:lvl>
    <w:lvl w:ilvl="4">
      <w:start w:val="0"/>
      <w:numFmt w:val="bullet"/>
      <w:lvlText w:val="•"/>
      <w:lvlJc w:val="left"/>
      <w:pPr>
        <w:ind w:left="3937" w:hanging="720"/>
      </w:pPr>
      <w:rPr>
        <w:rFonts w:hint="default"/>
        <w:lang w:val="en-US" w:eastAsia="zh-CN" w:bidi="ar-SA"/>
      </w:rPr>
    </w:lvl>
    <w:lvl w:ilvl="5">
      <w:start w:val="0"/>
      <w:numFmt w:val="bullet"/>
      <w:lvlText w:val="•"/>
      <w:lvlJc w:val="left"/>
      <w:pPr>
        <w:ind w:left="4661" w:hanging="720"/>
      </w:pPr>
      <w:rPr>
        <w:rFonts w:hint="default"/>
        <w:lang w:val="en-US" w:eastAsia="zh-CN" w:bidi="ar-SA"/>
      </w:rPr>
    </w:lvl>
    <w:lvl w:ilvl="6">
      <w:start w:val="0"/>
      <w:numFmt w:val="bullet"/>
      <w:lvlText w:val="•"/>
      <w:lvlJc w:val="left"/>
      <w:pPr>
        <w:ind w:left="5385" w:hanging="720"/>
      </w:pPr>
      <w:rPr>
        <w:rFonts w:hint="default"/>
        <w:lang w:val="en-US" w:eastAsia="zh-CN" w:bidi="ar-SA"/>
      </w:rPr>
    </w:lvl>
    <w:lvl w:ilvl="7">
      <w:start w:val="0"/>
      <w:numFmt w:val="bullet"/>
      <w:lvlText w:val="•"/>
      <w:lvlJc w:val="left"/>
      <w:pPr>
        <w:ind w:left="6109" w:hanging="720"/>
      </w:pPr>
      <w:rPr>
        <w:rFonts w:hint="default"/>
        <w:lang w:val="en-US" w:eastAsia="zh-CN" w:bidi="ar-SA"/>
      </w:rPr>
    </w:lvl>
    <w:lvl w:ilvl="8">
      <w:start w:val="0"/>
      <w:numFmt w:val="bullet"/>
      <w:lvlText w:val="•"/>
      <w:lvlJc w:val="left"/>
      <w:pPr>
        <w:ind w:left="6834" w:hanging="720"/>
      </w:pPr>
      <w:rPr>
        <w:rFonts w:hint="default"/>
        <w:lang w:val="en-US" w:eastAsia="zh-CN" w:bidi="ar-SA"/>
      </w:rPr>
    </w:lvl>
  </w:abstractNum>
  <w:abstractNum w:abstractNumId="4">
    <w:multiLevelType w:val="hybridMultilevel"/>
    <w:lvl w:ilvl="0">
      <w:start w:val="1"/>
      <w:numFmt w:val="decimal"/>
      <w:lvlText w:val="（%1）"/>
      <w:lvlJc w:val="left"/>
      <w:pPr>
        <w:ind w:left="105" w:hanging="527"/>
        <w:jc w:val="left"/>
      </w:pPr>
      <w:rPr>
        <w:rFonts w:hint="default" w:ascii="宋体" w:hAnsi="宋体" w:eastAsia="宋体" w:cs="宋体"/>
        <w:b w:val="0"/>
        <w:bCs w:val="0"/>
        <w:i w:val="0"/>
        <w:iCs w:val="0"/>
        <w:spacing w:val="-13"/>
        <w:w w:val="100"/>
        <w:sz w:val="19"/>
        <w:szCs w:val="19"/>
        <w:lang w:val="en-US" w:eastAsia="zh-CN" w:bidi="ar-SA"/>
      </w:rPr>
    </w:lvl>
    <w:lvl w:ilvl="1">
      <w:start w:val="0"/>
      <w:numFmt w:val="bullet"/>
      <w:lvlText w:val="•"/>
      <w:lvlJc w:val="left"/>
      <w:pPr>
        <w:ind w:left="516" w:hanging="527"/>
      </w:pPr>
      <w:rPr>
        <w:rFonts w:hint="default"/>
        <w:lang w:val="en-US" w:eastAsia="zh-CN" w:bidi="ar-SA"/>
      </w:rPr>
    </w:lvl>
    <w:lvl w:ilvl="2">
      <w:start w:val="0"/>
      <w:numFmt w:val="bullet"/>
      <w:lvlText w:val="•"/>
      <w:lvlJc w:val="left"/>
      <w:pPr>
        <w:ind w:left="933" w:hanging="527"/>
      </w:pPr>
      <w:rPr>
        <w:rFonts w:hint="default"/>
        <w:lang w:val="en-US" w:eastAsia="zh-CN" w:bidi="ar-SA"/>
      </w:rPr>
    </w:lvl>
    <w:lvl w:ilvl="3">
      <w:start w:val="0"/>
      <w:numFmt w:val="bullet"/>
      <w:lvlText w:val="•"/>
      <w:lvlJc w:val="left"/>
      <w:pPr>
        <w:ind w:left="1349" w:hanging="527"/>
      </w:pPr>
      <w:rPr>
        <w:rFonts w:hint="default"/>
        <w:lang w:val="en-US" w:eastAsia="zh-CN" w:bidi="ar-SA"/>
      </w:rPr>
    </w:lvl>
    <w:lvl w:ilvl="4">
      <w:start w:val="0"/>
      <w:numFmt w:val="bullet"/>
      <w:lvlText w:val="•"/>
      <w:lvlJc w:val="left"/>
      <w:pPr>
        <w:ind w:left="1766" w:hanging="527"/>
      </w:pPr>
      <w:rPr>
        <w:rFonts w:hint="default"/>
        <w:lang w:val="en-US" w:eastAsia="zh-CN" w:bidi="ar-SA"/>
      </w:rPr>
    </w:lvl>
    <w:lvl w:ilvl="5">
      <w:start w:val="0"/>
      <w:numFmt w:val="bullet"/>
      <w:lvlText w:val="•"/>
      <w:lvlJc w:val="left"/>
      <w:pPr>
        <w:ind w:left="2182" w:hanging="527"/>
      </w:pPr>
      <w:rPr>
        <w:rFonts w:hint="default"/>
        <w:lang w:val="en-US" w:eastAsia="zh-CN" w:bidi="ar-SA"/>
      </w:rPr>
    </w:lvl>
    <w:lvl w:ilvl="6">
      <w:start w:val="0"/>
      <w:numFmt w:val="bullet"/>
      <w:lvlText w:val="•"/>
      <w:lvlJc w:val="left"/>
      <w:pPr>
        <w:ind w:left="2599" w:hanging="527"/>
      </w:pPr>
      <w:rPr>
        <w:rFonts w:hint="default"/>
        <w:lang w:val="en-US" w:eastAsia="zh-CN" w:bidi="ar-SA"/>
      </w:rPr>
    </w:lvl>
    <w:lvl w:ilvl="7">
      <w:start w:val="0"/>
      <w:numFmt w:val="bullet"/>
      <w:lvlText w:val="•"/>
      <w:lvlJc w:val="left"/>
      <w:pPr>
        <w:ind w:left="3015" w:hanging="527"/>
      </w:pPr>
      <w:rPr>
        <w:rFonts w:hint="default"/>
        <w:lang w:val="en-US" w:eastAsia="zh-CN" w:bidi="ar-SA"/>
      </w:rPr>
    </w:lvl>
    <w:lvl w:ilvl="8">
      <w:start w:val="0"/>
      <w:numFmt w:val="bullet"/>
      <w:lvlText w:val="•"/>
      <w:lvlJc w:val="left"/>
      <w:pPr>
        <w:ind w:left="3432" w:hanging="527"/>
      </w:pPr>
      <w:rPr>
        <w:rFonts w:hint="default"/>
        <w:lang w:val="en-US" w:eastAsia="zh-CN" w:bidi="ar-SA"/>
      </w:rPr>
    </w:lvl>
  </w:abstractNum>
  <w:abstractNum w:abstractNumId="3">
    <w:multiLevelType w:val="hybridMultilevel"/>
    <w:lvl w:ilvl="0">
      <w:start w:val="8"/>
      <w:numFmt w:val="decimal"/>
      <w:lvlText w:val="%1"/>
      <w:lvlJc w:val="left"/>
      <w:pPr>
        <w:ind w:left="690" w:hanging="536"/>
        <w:jc w:val="left"/>
      </w:pPr>
      <w:rPr>
        <w:rFonts w:hint="default"/>
        <w:lang w:val="en-US" w:eastAsia="zh-CN" w:bidi="ar-SA"/>
      </w:rPr>
    </w:lvl>
    <w:lvl w:ilvl="1">
      <w:start w:val="35"/>
      <w:numFmt w:val="decimal"/>
      <w:lvlText w:val="%1.%2"/>
      <w:lvlJc w:val="left"/>
      <w:pPr>
        <w:ind w:left="690" w:hanging="536"/>
        <w:jc w:val="left"/>
      </w:pPr>
      <w:rPr>
        <w:rFonts w:hint="default" w:ascii="宋体" w:hAnsi="宋体" w:eastAsia="宋体" w:cs="宋体"/>
        <w:b w:val="0"/>
        <w:bCs w:val="0"/>
        <w:i w:val="0"/>
        <w:iCs w:val="0"/>
        <w:w w:val="100"/>
        <w:sz w:val="21"/>
        <w:szCs w:val="21"/>
        <w:lang w:val="en-US" w:eastAsia="zh-CN" w:bidi="ar-SA"/>
      </w:rPr>
    </w:lvl>
    <w:lvl w:ilvl="2">
      <w:start w:val="1"/>
      <w:numFmt w:val="decimal"/>
      <w:lvlText w:val="%3."/>
      <w:lvlJc w:val="left"/>
      <w:pPr>
        <w:ind w:left="1139" w:hanging="661"/>
        <w:jc w:val="left"/>
      </w:pPr>
      <w:rPr>
        <w:rFonts w:hint="default" w:ascii="宋体" w:hAnsi="宋体" w:eastAsia="宋体" w:cs="宋体"/>
        <w:b/>
        <w:bCs/>
        <w:i w:val="0"/>
        <w:iCs w:val="0"/>
        <w:spacing w:val="0"/>
        <w:w w:val="99"/>
        <w:sz w:val="24"/>
        <w:szCs w:val="24"/>
        <w:lang w:val="en-US" w:eastAsia="zh-CN" w:bidi="ar-SA"/>
      </w:rPr>
    </w:lvl>
    <w:lvl w:ilvl="3">
      <w:start w:val="1"/>
      <w:numFmt w:val="decimal"/>
      <w:lvlText w:val="%3.%4"/>
      <w:lvlJc w:val="left"/>
      <w:pPr>
        <w:ind w:left="2608" w:hanging="661"/>
        <w:jc w:val="left"/>
      </w:pPr>
      <w:rPr>
        <w:rFonts w:hint="default" w:ascii="宋体" w:hAnsi="宋体" w:eastAsia="宋体" w:cs="宋体"/>
        <w:b/>
        <w:bCs/>
        <w:i w:val="0"/>
        <w:iCs w:val="0"/>
        <w:w w:val="99"/>
        <w:sz w:val="21"/>
        <w:szCs w:val="21"/>
        <w:lang w:val="en-US" w:eastAsia="zh-CN" w:bidi="ar-SA"/>
      </w:rPr>
    </w:lvl>
    <w:lvl w:ilvl="4">
      <w:start w:val="1"/>
      <w:numFmt w:val="decimal"/>
      <w:lvlText w:val="（%5）"/>
      <w:lvlJc w:val="left"/>
      <w:pPr>
        <w:ind w:left="3328" w:hanging="720"/>
        <w:jc w:val="left"/>
      </w:pPr>
      <w:rPr>
        <w:rFonts w:hint="default"/>
        <w:spacing w:val="-2"/>
        <w:w w:val="99"/>
        <w:lang w:val="en-US" w:eastAsia="zh-CN" w:bidi="ar-SA"/>
      </w:rPr>
    </w:lvl>
    <w:lvl w:ilvl="5">
      <w:start w:val="0"/>
      <w:numFmt w:val="bullet"/>
      <w:lvlText w:val="•"/>
      <w:lvlJc w:val="left"/>
      <w:pPr>
        <w:ind w:left="882" w:hanging="720"/>
      </w:pPr>
      <w:rPr>
        <w:rFonts w:hint="default"/>
        <w:lang w:val="en-US" w:eastAsia="zh-CN" w:bidi="ar-SA"/>
      </w:rPr>
    </w:lvl>
    <w:lvl w:ilvl="6">
      <w:start w:val="0"/>
      <w:numFmt w:val="bullet"/>
      <w:lvlText w:val="•"/>
      <w:lvlJc w:val="left"/>
      <w:pPr>
        <w:ind w:left="-337" w:hanging="720"/>
      </w:pPr>
      <w:rPr>
        <w:rFonts w:hint="default"/>
        <w:lang w:val="en-US" w:eastAsia="zh-CN" w:bidi="ar-SA"/>
      </w:rPr>
    </w:lvl>
    <w:lvl w:ilvl="7">
      <w:start w:val="0"/>
      <w:numFmt w:val="bullet"/>
      <w:lvlText w:val="•"/>
      <w:lvlJc w:val="left"/>
      <w:pPr>
        <w:ind w:left="-1556" w:hanging="720"/>
      </w:pPr>
      <w:rPr>
        <w:rFonts w:hint="default"/>
        <w:lang w:val="en-US" w:eastAsia="zh-CN" w:bidi="ar-SA"/>
      </w:rPr>
    </w:lvl>
    <w:lvl w:ilvl="8">
      <w:start w:val="0"/>
      <w:numFmt w:val="bullet"/>
      <w:lvlText w:val="•"/>
      <w:lvlJc w:val="left"/>
      <w:pPr>
        <w:ind w:left="-2775" w:hanging="720"/>
      </w:pPr>
      <w:rPr>
        <w:rFonts w:hint="default"/>
        <w:lang w:val="en-US" w:eastAsia="zh-CN" w:bidi="ar-SA"/>
      </w:rPr>
    </w:lvl>
  </w:abstractNum>
  <w:abstractNum w:abstractNumId="2">
    <w:multiLevelType w:val="hybridMultilevel"/>
    <w:lvl w:ilvl="0">
      <w:start w:val="8"/>
      <w:numFmt w:val="decimal"/>
      <w:lvlText w:val="%1."/>
      <w:lvlJc w:val="left"/>
      <w:pPr>
        <w:ind w:left="443" w:hanging="288"/>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721" w:hanging="43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818" w:hanging="430"/>
      </w:pPr>
      <w:rPr>
        <w:rFonts w:hint="default"/>
        <w:lang w:val="en-US" w:eastAsia="zh-CN" w:bidi="ar-SA"/>
      </w:rPr>
    </w:lvl>
    <w:lvl w:ilvl="3">
      <w:start w:val="0"/>
      <w:numFmt w:val="bullet"/>
      <w:lvlText w:val="•"/>
      <w:lvlJc w:val="left"/>
      <w:pPr>
        <w:ind w:left="916" w:hanging="430"/>
      </w:pPr>
      <w:rPr>
        <w:rFonts w:hint="default"/>
        <w:lang w:val="en-US" w:eastAsia="zh-CN" w:bidi="ar-SA"/>
      </w:rPr>
    </w:lvl>
    <w:lvl w:ilvl="4">
      <w:start w:val="0"/>
      <w:numFmt w:val="bullet"/>
      <w:lvlText w:val="•"/>
      <w:lvlJc w:val="left"/>
      <w:pPr>
        <w:ind w:left="1014" w:hanging="430"/>
      </w:pPr>
      <w:rPr>
        <w:rFonts w:hint="default"/>
        <w:lang w:val="en-US" w:eastAsia="zh-CN" w:bidi="ar-SA"/>
      </w:rPr>
    </w:lvl>
    <w:lvl w:ilvl="5">
      <w:start w:val="0"/>
      <w:numFmt w:val="bullet"/>
      <w:lvlText w:val="•"/>
      <w:lvlJc w:val="left"/>
      <w:pPr>
        <w:ind w:left="1112" w:hanging="430"/>
      </w:pPr>
      <w:rPr>
        <w:rFonts w:hint="default"/>
        <w:lang w:val="en-US" w:eastAsia="zh-CN" w:bidi="ar-SA"/>
      </w:rPr>
    </w:lvl>
    <w:lvl w:ilvl="6">
      <w:start w:val="0"/>
      <w:numFmt w:val="bullet"/>
      <w:lvlText w:val="•"/>
      <w:lvlJc w:val="left"/>
      <w:pPr>
        <w:ind w:left="1211" w:hanging="430"/>
      </w:pPr>
      <w:rPr>
        <w:rFonts w:hint="default"/>
        <w:lang w:val="en-US" w:eastAsia="zh-CN" w:bidi="ar-SA"/>
      </w:rPr>
    </w:lvl>
    <w:lvl w:ilvl="7">
      <w:start w:val="0"/>
      <w:numFmt w:val="bullet"/>
      <w:lvlText w:val="•"/>
      <w:lvlJc w:val="left"/>
      <w:pPr>
        <w:ind w:left="1309" w:hanging="430"/>
      </w:pPr>
      <w:rPr>
        <w:rFonts w:hint="default"/>
        <w:lang w:val="en-US" w:eastAsia="zh-CN" w:bidi="ar-SA"/>
      </w:rPr>
    </w:lvl>
    <w:lvl w:ilvl="8">
      <w:start w:val="0"/>
      <w:numFmt w:val="bullet"/>
      <w:lvlText w:val="•"/>
      <w:lvlJc w:val="left"/>
      <w:pPr>
        <w:ind w:left="1407" w:hanging="430"/>
      </w:pPr>
      <w:rPr>
        <w:rFonts w:hint="default"/>
        <w:lang w:val="en-US" w:eastAsia="zh-CN" w:bidi="ar-SA"/>
      </w:rPr>
    </w:lvl>
  </w:abstractNum>
  <w:abstractNum w:abstractNumId="1">
    <w:multiLevelType w:val="hybridMultilevel"/>
    <w:lvl w:ilvl="0">
      <w:start w:val="1"/>
      <w:numFmt w:val="decimal"/>
      <w:lvlText w:val="%1."/>
      <w:lvlJc w:val="left"/>
      <w:pPr>
        <w:ind w:left="443" w:hanging="288"/>
        <w:jc w:val="left"/>
      </w:pPr>
      <w:rPr>
        <w:rFonts w:hint="default" w:ascii="宋体" w:hAnsi="宋体" w:eastAsia="宋体" w:cs="宋体"/>
        <w:b/>
        <w:bCs/>
        <w:i w:val="0"/>
        <w:iCs w:val="0"/>
        <w:w w:val="99"/>
        <w:sz w:val="21"/>
        <w:szCs w:val="21"/>
        <w:lang w:val="en-US" w:eastAsia="zh-CN" w:bidi="ar-SA"/>
      </w:rPr>
    </w:lvl>
    <w:lvl w:ilvl="1">
      <w:start w:val="1"/>
      <w:numFmt w:val="decimal"/>
      <w:lvlText w:val="%1.%2"/>
      <w:lvlJc w:val="left"/>
      <w:pPr>
        <w:ind w:left="722"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904" w:hanging="423"/>
      </w:pPr>
      <w:rPr>
        <w:rFonts w:hint="default"/>
        <w:lang w:val="en-US" w:eastAsia="zh-CN" w:bidi="ar-SA"/>
      </w:rPr>
    </w:lvl>
    <w:lvl w:ilvl="3">
      <w:start w:val="0"/>
      <w:numFmt w:val="bullet"/>
      <w:lvlText w:val="•"/>
      <w:lvlJc w:val="left"/>
      <w:pPr>
        <w:ind w:left="1089" w:hanging="423"/>
      </w:pPr>
      <w:rPr>
        <w:rFonts w:hint="default"/>
        <w:lang w:val="en-US" w:eastAsia="zh-CN" w:bidi="ar-SA"/>
      </w:rPr>
    </w:lvl>
    <w:lvl w:ilvl="4">
      <w:start w:val="0"/>
      <w:numFmt w:val="bullet"/>
      <w:lvlText w:val="•"/>
      <w:lvlJc w:val="left"/>
      <w:pPr>
        <w:ind w:left="1274" w:hanging="423"/>
      </w:pPr>
      <w:rPr>
        <w:rFonts w:hint="default"/>
        <w:lang w:val="en-US" w:eastAsia="zh-CN" w:bidi="ar-SA"/>
      </w:rPr>
    </w:lvl>
    <w:lvl w:ilvl="5">
      <w:start w:val="0"/>
      <w:numFmt w:val="bullet"/>
      <w:lvlText w:val="•"/>
      <w:lvlJc w:val="left"/>
      <w:pPr>
        <w:ind w:left="1459" w:hanging="423"/>
      </w:pPr>
      <w:rPr>
        <w:rFonts w:hint="default"/>
        <w:lang w:val="en-US" w:eastAsia="zh-CN" w:bidi="ar-SA"/>
      </w:rPr>
    </w:lvl>
    <w:lvl w:ilvl="6">
      <w:start w:val="0"/>
      <w:numFmt w:val="bullet"/>
      <w:lvlText w:val="•"/>
      <w:lvlJc w:val="left"/>
      <w:pPr>
        <w:ind w:left="1644" w:hanging="423"/>
      </w:pPr>
      <w:rPr>
        <w:rFonts w:hint="default"/>
        <w:lang w:val="en-US" w:eastAsia="zh-CN" w:bidi="ar-SA"/>
      </w:rPr>
    </w:lvl>
    <w:lvl w:ilvl="7">
      <w:start w:val="0"/>
      <w:numFmt w:val="bullet"/>
      <w:lvlText w:val="•"/>
      <w:lvlJc w:val="left"/>
      <w:pPr>
        <w:ind w:left="1829" w:hanging="423"/>
      </w:pPr>
      <w:rPr>
        <w:rFonts w:hint="default"/>
        <w:lang w:val="en-US" w:eastAsia="zh-CN" w:bidi="ar-SA"/>
      </w:rPr>
    </w:lvl>
    <w:lvl w:ilvl="8">
      <w:start w:val="0"/>
      <w:numFmt w:val="bullet"/>
      <w:lvlText w:val="•"/>
      <w:lvlJc w:val="left"/>
      <w:pPr>
        <w:ind w:left="2014" w:hanging="423"/>
      </w:pPr>
      <w:rPr>
        <w:rFonts w:hint="default"/>
        <w:lang w:val="en-US" w:eastAsia="zh-CN" w:bidi="ar-SA"/>
      </w:rPr>
    </w:lvl>
  </w:abstractNum>
  <w:abstractNum w:abstractNumId="0">
    <w:multiLevelType w:val="hybridMultilevel"/>
    <w:lvl w:ilvl="0">
      <w:start w:val="0"/>
      <w:numFmt w:val="bullet"/>
      <w:lvlText w:val=""/>
      <w:lvlJc w:val="left"/>
      <w:pPr>
        <w:ind w:left="1144" w:hanging="420"/>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082" w:hanging="420"/>
      </w:pPr>
      <w:rPr>
        <w:rFonts w:hint="default"/>
        <w:lang w:val="en-US" w:eastAsia="zh-CN" w:bidi="ar-SA"/>
      </w:rPr>
    </w:lvl>
    <w:lvl w:ilvl="2">
      <w:start w:val="0"/>
      <w:numFmt w:val="bullet"/>
      <w:lvlText w:val="•"/>
      <w:lvlJc w:val="left"/>
      <w:pPr>
        <w:ind w:left="3025" w:hanging="420"/>
      </w:pPr>
      <w:rPr>
        <w:rFonts w:hint="default"/>
        <w:lang w:val="en-US" w:eastAsia="zh-CN" w:bidi="ar-SA"/>
      </w:rPr>
    </w:lvl>
    <w:lvl w:ilvl="3">
      <w:start w:val="0"/>
      <w:numFmt w:val="bullet"/>
      <w:lvlText w:val="•"/>
      <w:lvlJc w:val="left"/>
      <w:pPr>
        <w:ind w:left="3967" w:hanging="420"/>
      </w:pPr>
      <w:rPr>
        <w:rFonts w:hint="default"/>
        <w:lang w:val="en-US" w:eastAsia="zh-CN" w:bidi="ar-SA"/>
      </w:rPr>
    </w:lvl>
    <w:lvl w:ilvl="4">
      <w:start w:val="0"/>
      <w:numFmt w:val="bullet"/>
      <w:lvlText w:val="•"/>
      <w:lvlJc w:val="left"/>
      <w:pPr>
        <w:ind w:left="4910" w:hanging="420"/>
      </w:pPr>
      <w:rPr>
        <w:rFonts w:hint="default"/>
        <w:lang w:val="en-US" w:eastAsia="zh-CN" w:bidi="ar-SA"/>
      </w:rPr>
    </w:lvl>
    <w:lvl w:ilvl="5">
      <w:start w:val="0"/>
      <w:numFmt w:val="bullet"/>
      <w:lvlText w:val="•"/>
      <w:lvlJc w:val="left"/>
      <w:pPr>
        <w:ind w:left="5853" w:hanging="420"/>
      </w:pPr>
      <w:rPr>
        <w:rFonts w:hint="default"/>
        <w:lang w:val="en-US" w:eastAsia="zh-CN" w:bidi="ar-SA"/>
      </w:rPr>
    </w:lvl>
    <w:lvl w:ilvl="6">
      <w:start w:val="0"/>
      <w:numFmt w:val="bullet"/>
      <w:lvlText w:val="•"/>
      <w:lvlJc w:val="left"/>
      <w:pPr>
        <w:ind w:left="6795" w:hanging="420"/>
      </w:pPr>
      <w:rPr>
        <w:rFonts w:hint="default"/>
        <w:lang w:val="en-US" w:eastAsia="zh-CN" w:bidi="ar-SA"/>
      </w:rPr>
    </w:lvl>
    <w:lvl w:ilvl="7">
      <w:start w:val="0"/>
      <w:numFmt w:val="bullet"/>
      <w:lvlText w:val="•"/>
      <w:lvlJc w:val="left"/>
      <w:pPr>
        <w:ind w:left="7738" w:hanging="420"/>
      </w:pPr>
      <w:rPr>
        <w:rFonts w:hint="default"/>
        <w:lang w:val="en-US" w:eastAsia="zh-CN" w:bidi="ar-SA"/>
      </w:rPr>
    </w:lvl>
    <w:lvl w:ilvl="8">
      <w:start w:val="0"/>
      <w:numFmt w:val="bullet"/>
      <w:lvlText w:val="•"/>
      <w:lvlJc w:val="left"/>
      <w:pPr>
        <w:ind w:left="8681" w:hanging="420"/>
      </w:pPr>
      <w:rPr>
        <w:rFonts w:hint="default"/>
        <w:lang w:val="en-US" w:eastAsia="zh-CN" w:bidi="ar-SA"/>
      </w:rPr>
    </w:lvl>
  </w:abstractNum>
  <w:num w:numId="74">
    <w:abstractNumId w:val="73"/>
  </w:num>
  <w:num w:numId="73">
    <w:abstractNumId w:val="72"/>
  </w:num>
  <w:num w:numId="72">
    <w:abstractNumId w:val="71"/>
  </w:num>
  <w:num w:numId="71">
    <w:abstractNumId w:val="70"/>
  </w:num>
  <w:num w:numId="70">
    <w:abstractNumId w:val="69"/>
  </w:num>
  <w:num w:numId="69">
    <w:abstractNumId w:val="68"/>
  </w:num>
  <w:num w:numId="68">
    <w:abstractNumId w:val="67"/>
  </w:num>
  <w:num w:numId="67">
    <w:abstractNumId w:val="66"/>
  </w:num>
  <w:num w:numId="66">
    <w:abstractNumId w:val="65"/>
  </w:num>
  <w:num w:numId="65">
    <w:abstractNumId w:val="64"/>
  </w:num>
  <w:num w:numId="64">
    <w:abstractNumId w:val="63"/>
  </w:num>
  <w:num w:numId="63">
    <w:abstractNumId w:val="62"/>
  </w:num>
  <w:num w:numId="62">
    <w:abstractNumId w:val="61"/>
  </w:num>
  <w:num w:numId="61">
    <w:abstractNumId w:val="60"/>
  </w:num>
  <w:num w:numId="60">
    <w:abstractNumId w:val="59"/>
  </w:num>
  <w:num w:numId="59">
    <w:abstractNumId w:val="58"/>
  </w:num>
  <w:num w:numId="58">
    <w:abstractNumId w:val="57"/>
  </w:num>
  <w:num w:numId="57">
    <w:abstractNumId w:val="56"/>
  </w:num>
  <w:num w:numId="56">
    <w:abstractNumId w:val="55"/>
  </w: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614" w:right="2516"/>
      <w:jc w:val="center"/>
      <w:outlineLvl w:val="1"/>
    </w:pPr>
    <w:rPr>
      <w:rFonts w:ascii="宋体" w:hAnsi="宋体" w:eastAsia="宋体" w:cs="宋体"/>
      <w:b/>
      <w:bCs/>
      <w:sz w:val="30"/>
      <w:szCs w:val="30"/>
      <w:lang w:val="en-US" w:eastAsia="zh-CN" w:bidi="ar-SA"/>
    </w:rPr>
  </w:style>
  <w:style w:styleId="Heading2" w:type="paragraph">
    <w:name w:val="Heading 2"/>
    <w:basedOn w:val="Normal"/>
    <w:uiPriority w:val="1"/>
    <w:qFormat/>
    <w:pPr>
      <w:spacing w:after="4"/>
      <w:ind w:left="1139" w:hanging="661"/>
      <w:outlineLvl w:val="2"/>
    </w:pPr>
    <w:rPr>
      <w:rFonts w:ascii="宋体" w:hAnsi="宋体" w:eastAsia="宋体" w:cs="宋体"/>
      <w:b/>
      <w:bCs/>
      <w:sz w:val="24"/>
      <w:szCs w:val="24"/>
      <w:lang w:val="en-US" w:eastAsia="zh-CN" w:bidi="ar-SA"/>
    </w:rPr>
  </w:style>
  <w:style w:styleId="Heading3" w:type="paragraph">
    <w:name w:val="Heading 3"/>
    <w:basedOn w:val="Normal"/>
    <w:uiPriority w:val="1"/>
    <w:qFormat/>
    <w:pPr>
      <w:spacing w:before="72"/>
      <w:ind w:left="1139" w:hanging="661"/>
      <w:outlineLvl w:val="3"/>
    </w:pPr>
    <w:rPr>
      <w:rFonts w:ascii="宋体" w:hAnsi="宋体" w:eastAsia="宋体" w:cs="宋体"/>
      <w:b/>
      <w:bCs/>
      <w:sz w:val="21"/>
      <w:szCs w:val="21"/>
      <w:lang w:val="en-US" w:eastAsia="zh-CN" w:bidi="ar-SA"/>
    </w:rPr>
  </w:style>
  <w:style w:styleId="ListParagraph" w:type="paragraph">
    <w:name w:val="List Paragraph"/>
    <w:basedOn w:val="Normal"/>
    <w:uiPriority w:val="1"/>
    <w:qFormat/>
    <w:pPr>
      <w:spacing w:before="72"/>
      <w:ind w:left="1107" w:hanging="661"/>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hyperlink" Target="http://baike.baidu.com/view/229771.htm" TargetMode="External"/><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2023-06-02T02:24:40Z</dcterms:created>
  <dcterms:modified xsi:type="dcterms:W3CDTF">2023-06-02T02:24:40Z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