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49"/>
        <w:ind w:left="219" w:right="0" w:firstLine="0"/>
        <w:jc w:val="left"/>
        <w:rPr>
          <w:rFonts w:ascii="仿宋" w:eastAsia="仿宋"/>
          <w:sz w:val="28"/>
        </w:rPr>
      </w:pPr>
      <w:r>
        <w:rPr>
          <w:rFonts w:ascii="仿宋" w:eastAsia="仿宋"/>
          <w:spacing w:val="-24"/>
          <w:sz w:val="28"/>
        </w:rPr>
        <w:t xml:space="preserve">附件 </w:t>
      </w:r>
      <w:r>
        <w:rPr>
          <w:rFonts w:ascii="仿宋" w:eastAsia="仿宋"/>
          <w:spacing w:val="-10"/>
          <w:sz w:val="28"/>
        </w:rPr>
        <w:t>1</w:t>
      </w:r>
    </w:p>
    <w:p>
      <w:pPr>
        <w:spacing w:before="0" w:line="240" w:lineRule="auto"/>
        <w:rPr>
          <w:rFonts w:ascii="仿宋"/>
          <w:sz w:val="20"/>
        </w:rPr>
      </w:pPr>
      <w:r>
        <w:br w:type="column"/>
      </w:r>
    </w:p>
    <w:p>
      <w:pPr>
        <w:pStyle w:val="4"/>
        <w:spacing w:before="1"/>
        <w:rPr>
          <w:rFonts w:ascii="仿宋"/>
          <w:sz w:val="22"/>
        </w:rPr>
      </w:pPr>
    </w:p>
    <w:p>
      <w:pPr>
        <w:pStyle w:val="4"/>
        <w:ind w:left="221" w:right="254"/>
        <w:jc w:val="center"/>
        <w:rPr>
          <w:rFonts w:ascii="仿宋" w:eastAsia="仿宋"/>
        </w:rPr>
      </w:pPr>
      <w:r>
        <w:rPr>
          <w:rFonts w:ascii="仿宋" w:eastAsia="仿宋"/>
          <w:spacing w:val="-2"/>
        </w:rPr>
        <w:t>爱心人寿[2020</w:t>
      </w:r>
      <w:r>
        <w:rPr>
          <w:rFonts w:ascii="仿宋" w:eastAsia="仿宋"/>
          <w:spacing w:val="-10"/>
        </w:rPr>
        <w:t xml:space="preserve">]医疗保险 </w:t>
      </w:r>
      <w:r>
        <w:rPr>
          <w:rFonts w:ascii="仿宋" w:eastAsia="仿宋"/>
          <w:spacing w:val="-2"/>
        </w:rPr>
        <w:t>013</w:t>
      </w:r>
      <w:r>
        <w:rPr>
          <w:rFonts w:ascii="仿宋" w:eastAsia="仿宋"/>
          <w:spacing w:val="-27"/>
        </w:rPr>
        <w:t xml:space="preserve"> 号</w:t>
      </w:r>
    </w:p>
    <w:p>
      <w:pPr>
        <w:pStyle w:val="4"/>
        <w:spacing w:before="10"/>
        <w:rPr>
          <w:rFonts w:ascii="仿宋"/>
          <w:sz w:val="3"/>
        </w:rPr>
      </w:pPr>
      <w:r>
        <w:drawing>
          <wp:anchor distT="0" distB="0" distL="0" distR="0" simplePos="0" relativeHeight="251659264" behindDoc="0" locked="0" layoutInCell="1" allowOverlap="1">
            <wp:simplePos x="0" y="0"/>
            <wp:positionH relativeFrom="page">
              <wp:posOffset>5568315</wp:posOffset>
            </wp:positionH>
            <wp:positionV relativeFrom="paragraph">
              <wp:posOffset>46355</wp:posOffset>
            </wp:positionV>
            <wp:extent cx="723900" cy="723900"/>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6" cstate="print"/>
                    <a:stretch>
                      <a:fillRect/>
                    </a:stretch>
                  </pic:blipFill>
                  <pic:spPr>
                    <a:xfrm>
                      <a:off x="0" y="0"/>
                      <a:ext cx="723900" cy="723900"/>
                    </a:xfrm>
                    <a:prstGeom prst="rect">
                      <a:avLst/>
                    </a:prstGeom>
                  </pic:spPr>
                </pic:pic>
              </a:graphicData>
            </a:graphic>
          </wp:anchor>
        </w:drawing>
      </w:r>
    </w:p>
    <w:p>
      <w:pPr>
        <w:pStyle w:val="4"/>
        <w:spacing w:before="75"/>
        <w:ind w:left="221" w:right="254"/>
        <w:jc w:val="center"/>
        <w:rPr>
          <w:rFonts w:ascii="仿宋" w:eastAsia="仿宋"/>
        </w:rPr>
      </w:pPr>
      <w:r>
        <w:rPr>
          <w:rFonts w:ascii="仿宋" w:eastAsia="仿宋"/>
          <w:spacing w:val="-3"/>
        </w:rPr>
        <w:t>请扫描以查询验证条款</w:t>
      </w:r>
    </w:p>
    <w:p>
      <w:pPr>
        <w:spacing w:after="0"/>
        <w:jc w:val="center"/>
        <w:rPr>
          <w:rFonts w:ascii="仿宋" w:eastAsia="仿宋"/>
        </w:rPr>
        <w:sectPr>
          <w:type w:val="continuous"/>
          <w:pgSz w:w="11910" w:h="16840"/>
          <w:pgMar w:top="500" w:right="840" w:bottom="280" w:left="860" w:header="720" w:footer="720" w:gutter="0"/>
          <w:cols w:equalWidth="0" w:num="2">
            <w:col w:w="1032" w:space="5755"/>
            <w:col w:w="3423"/>
          </w:cols>
        </w:sectPr>
      </w:pPr>
    </w:p>
    <w:p>
      <w:pPr>
        <w:pStyle w:val="4"/>
        <w:rPr>
          <w:rFonts w:ascii="仿宋"/>
          <w:sz w:val="20"/>
        </w:rPr>
      </w:pPr>
      <w:r>
        <w:drawing>
          <wp:anchor distT="0" distB="0" distL="0" distR="0" simplePos="0" relativeHeight="251667456" behindDoc="1" locked="0" layoutInCell="1" allowOverlap="1">
            <wp:simplePos x="0" y="0"/>
            <wp:positionH relativeFrom="page">
              <wp:posOffset>880110</wp:posOffset>
            </wp:positionH>
            <wp:positionV relativeFrom="page">
              <wp:posOffset>7341235</wp:posOffset>
            </wp:positionV>
            <wp:extent cx="450850" cy="423545"/>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7" cstate="print"/>
                    <a:stretch>
                      <a:fillRect/>
                    </a:stretch>
                  </pic:blipFill>
                  <pic:spPr>
                    <a:xfrm>
                      <a:off x="0" y="0"/>
                      <a:ext cx="450803" cy="423862"/>
                    </a:xfrm>
                    <a:prstGeom prst="rect">
                      <a:avLst/>
                    </a:prstGeom>
                  </pic:spPr>
                </pic:pic>
              </a:graphicData>
            </a:graphic>
          </wp:anchor>
        </w:drawing>
      </w:r>
    </w:p>
    <w:p>
      <w:pPr>
        <w:spacing w:before="231"/>
        <w:ind w:left="1730" w:right="1746" w:firstLine="0"/>
        <w:jc w:val="center"/>
        <w:rPr>
          <w:rFonts w:hint="eastAsia" w:ascii="华文中宋" w:eastAsia="华文中宋"/>
          <w:b/>
          <w:sz w:val="32"/>
        </w:rPr>
      </w:pPr>
      <w:r>
        <w:rPr>
          <w:rFonts w:hint="eastAsia" w:ascii="华文中宋" w:eastAsia="华文中宋"/>
          <w:b/>
          <w:w w:val="95"/>
          <w:sz w:val="32"/>
        </w:rPr>
        <w:t>爱心人寿保险股份有限公</w:t>
      </w:r>
      <w:r>
        <w:rPr>
          <w:rFonts w:hint="eastAsia" w:ascii="华文中宋" w:eastAsia="华文中宋"/>
          <w:b/>
          <w:spacing w:val="-10"/>
          <w:w w:val="95"/>
          <w:sz w:val="32"/>
        </w:rPr>
        <w:t>司</w:t>
      </w:r>
    </w:p>
    <w:p>
      <w:pPr>
        <w:spacing w:before="116"/>
        <w:ind w:left="2109" w:right="2128" w:firstLine="0"/>
        <w:jc w:val="center"/>
        <w:rPr>
          <w:rFonts w:hint="eastAsia" w:ascii="华文中宋" w:eastAsia="华文中宋"/>
          <w:b/>
          <w:sz w:val="32"/>
        </w:rPr>
      </w:pPr>
      <w:r>
        <w:rPr>
          <w:rFonts w:hint="eastAsia" w:ascii="华文中宋" w:eastAsia="华文中宋"/>
          <w:b/>
          <w:w w:val="95"/>
          <w:sz w:val="32"/>
        </w:rPr>
        <w:t>爱心人寿爱安享医疗保险（2020</w:t>
      </w:r>
      <w:r>
        <w:rPr>
          <w:rFonts w:hint="eastAsia" w:ascii="华文中宋" w:eastAsia="华文中宋"/>
          <w:b/>
          <w:spacing w:val="56"/>
          <w:sz w:val="32"/>
        </w:rPr>
        <w:t xml:space="preserve">  </w:t>
      </w:r>
      <w:r>
        <w:rPr>
          <w:rFonts w:hint="eastAsia" w:ascii="华文中宋" w:eastAsia="华文中宋"/>
          <w:b/>
          <w:w w:val="95"/>
          <w:sz w:val="32"/>
        </w:rPr>
        <w:t>版）条</w:t>
      </w:r>
      <w:r>
        <w:rPr>
          <w:rFonts w:hint="eastAsia" w:ascii="华文中宋" w:eastAsia="华文中宋"/>
          <w:b/>
          <w:spacing w:val="-10"/>
          <w:w w:val="95"/>
          <w:sz w:val="32"/>
        </w:rPr>
        <w:t>款</w:t>
      </w:r>
    </w:p>
    <w:p>
      <w:pPr>
        <w:pStyle w:val="4"/>
        <w:rPr>
          <w:rFonts w:ascii="华文中宋"/>
          <w:b/>
          <w:sz w:val="20"/>
        </w:rPr>
      </w:pPr>
    </w:p>
    <w:p>
      <w:pPr>
        <w:pStyle w:val="4"/>
        <w:spacing w:before="4"/>
        <w:rPr>
          <w:rFonts w:ascii="华文中宋"/>
          <w:b/>
          <w:sz w:val="16"/>
        </w:rPr>
      </w:pPr>
      <w:r>
        <w:drawing>
          <wp:anchor distT="0" distB="0" distL="0" distR="0" simplePos="0" relativeHeight="251660288" behindDoc="0" locked="0" layoutInCell="1" allowOverlap="1">
            <wp:simplePos x="0" y="0"/>
            <wp:positionH relativeFrom="page">
              <wp:posOffset>749300</wp:posOffset>
            </wp:positionH>
            <wp:positionV relativeFrom="paragraph">
              <wp:posOffset>179070</wp:posOffset>
            </wp:positionV>
            <wp:extent cx="6064250" cy="8890"/>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8" cstate="print"/>
                    <a:stretch>
                      <a:fillRect/>
                    </a:stretch>
                  </pic:blipFill>
                  <pic:spPr>
                    <a:xfrm>
                      <a:off x="0" y="0"/>
                      <a:ext cx="6063996" cy="9144"/>
                    </a:xfrm>
                    <a:prstGeom prst="rect">
                      <a:avLst/>
                    </a:prstGeom>
                  </pic:spPr>
                </pic:pic>
              </a:graphicData>
            </a:graphic>
          </wp:anchor>
        </w:drawing>
      </w:r>
    </w:p>
    <w:p>
      <w:pPr>
        <w:pStyle w:val="4"/>
        <w:spacing w:before="9"/>
        <w:rPr>
          <w:rFonts w:ascii="华文中宋"/>
          <w:b/>
          <w:sz w:val="27"/>
        </w:rPr>
      </w:pPr>
    </w:p>
    <w:p>
      <w:pPr>
        <w:spacing w:before="0"/>
        <w:ind w:left="2109" w:right="2128" w:firstLine="0"/>
        <w:jc w:val="center"/>
        <w:rPr>
          <w:rFonts w:hint="eastAsia" w:ascii="华文中宋" w:eastAsia="华文中宋"/>
          <w:b/>
          <w:sz w:val="32"/>
        </w:rPr>
      </w:pPr>
      <w:r>
        <w:rPr>
          <w:rFonts w:hint="eastAsia" w:ascii="华文中宋" w:eastAsia="华文中宋"/>
          <w:b/>
          <w:spacing w:val="20"/>
          <w:sz w:val="32"/>
        </w:rPr>
        <w:t>阅 读 指 引</w:t>
      </w:r>
    </w:p>
    <w:p>
      <w:pPr>
        <w:pStyle w:val="4"/>
        <w:spacing w:before="316" w:line="417" w:lineRule="auto"/>
        <w:ind w:left="1732" w:right="1746"/>
        <w:jc w:val="center"/>
      </w:pPr>
      <w:r>
        <w:rPr>
          <w:spacing w:val="-2"/>
        </w:rPr>
        <w:t>条款是保险合同的重要内容，为充分保障您的权益，请您仔细阅读条款。本阅读指引有助于您理解条款，对本合同内容的解释以条款为准。</w:t>
      </w:r>
    </w:p>
    <w:p>
      <w:pPr>
        <w:pStyle w:val="4"/>
        <w:spacing w:before="9"/>
        <w:rPr>
          <w:sz w:val="22"/>
        </w:rPr>
      </w:pPr>
    </w:p>
    <w:p>
      <w:pPr>
        <w:spacing w:before="0"/>
        <w:ind w:left="1729" w:right="1746" w:firstLine="0"/>
        <w:jc w:val="center"/>
        <w:rPr>
          <w:b/>
          <w:sz w:val="24"/>
        </w:rPr>
      </w:pPr>
      <w:r>
        <w:rPr>
          <w:b/>
          <w:w w:val="95"/>
          <w:sz w:val="24"/>
        </w:rPr>
        <w:t>您拥有的重要权</w:t>
      </w:r>
      <w:r>
        <w:rPr>
          <w:b/>
          <w:spacing w:val="-10"/>
          <w:w w:val="95"/>
          <w:sz w:val="24"/>
        </w:rPr>
        <w:t>益</w:t>
      </w:r>
    </w:p>
    <w:p>
      <w:pPr>
        <w:pStyle w:val="4"/>
        <w:spacing w:before="1"/>
        <w:rPr>
          <w:b/>
          <w:sz w:val="19"/>
        </w:rPr>
      </w:pPr>
    </w:p>
    <w:tbl>
      <w:tblPr>
        <w:tblStyle w:val="5"/>
        <w:tblW w:w="0" w:type="auto"/>
        <w:tblInd w:w="12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918"/>
        <w:gridCol w:w="70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79" w:hRule="atLeast"/>
        </w:trPr>
        <w:tc>
          <w:tcPr>
            <w:tcW w:w="2918" w:type="dxa"/>
            <w:tcBorders>
              <w:top w:val="double" w:color="000000" w:sz="4" w:space="0"/>
              <w:left w:val="double" w:color="000000" w:sz="4" w:space="0"/>
            </w:tcBorders>
          </w:tcPr>
          <w:p>
            <w:pPr>
              <w:pStyle w:val="9"/>
              <w:spacing w:before="645"/>
              <w:ind w:left="316" w:right="141"/>
              <w:jc w:val="center"/>
              <w:rPr>
                <w:rFonts w:ascii="微软雅黑" w:eastAsia="微软雅黑"/>
                <w:sz w:val="20"/>
              </w:rPr>
            </w:pPr>
            <w:r>
              <w:rPr>
                <w:position w:val="-30"/>
              </w:rPr>
              <w:drawing>
                <wp:inline distT="0" distB="0" distL="0" distR="0">
                  <wp:extent cx="426085" cy="459740"/>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9" cstate="print"/>
                          <a:stretch>
                            <a:fillRect/>
                          </a:stretch>
                        </pic:blipFill>
                        <pic:spPr>
                          <a:xfrm>
                            <a:off x="0" y="0"/>
                            <a:ext cx="426719" cy="460248"/>
                          </a:xfrm>
                          <a:prstGeom prst="rect">
                            <a:avLst/>
                          </a:prstGeom>
                        </pic:spPr>
                      </pic:pic>
                    </a:graphicData>
                  </a:graphic>
                </wp:inline>
              </w:drawing>
            </w:r>
            <w:r>
              <w:rPr>
                <w:rFonts w:ascii="Times New Roman" w:eastAsia="Times New Roman"/>
                <w:spacing w:val="782"/>
                <w:sz w:val="20"/>
              </w:rPr>
              <w:t xml:space="preserve"> </w:t>
            </w:r>
            <w:r>
              <w:rPr>
                <w:rFonts w:ascii="微软雅黑" w:eastAsia="微软雅黑"/>
                <w:w w:val="95"/>
                <w:sz w:val="20"/>
              </w:rPr>
              <w:t>保障责任</w:t>
            </w:r>
          </w:p>
        </w:tc>
        <w:tc>
          <w:tcPr>
            <w:tcW w:w="7043" w:type="dxa"/>
            <w:tcBorders>
              <w:top w:val="double" w:color="000000" w:sz="4" w:space="0"/>
              <w:right w:val="double" w:color="000000" w:sz="4" w:space="0"/>
            </w:tcBorders>
          </w:tcPr>
          <w:p>
            <w:pPr>
              <w:pStyle w:val="9"/>
              <w:tabs>
                <w:tab w:val="left" w:pos="3122"/>
              </w:tabs>
              <w:spacing w:before="131"/>
              <w:ind w:left="215"/>
              <w:rPr>
                <w:rFonts w:ascii="微软雅黑" w:eastAsia="微软雅黑"/>
                <w:sz w:val="20"/>
              </w:rPr>
            </w:pPr>
            <w:r>
              <w:rPr>
                <w:rFonts w:ascii="微软雅黑" w:eastAsia="微软雅黑"/>
                <w:w w:val="95"/>
                <w:sz w:val="20"/>
              </w:rPr>
              <w:t>必选责任</w:t>
            </w:r>
            <w:r>
              <w:rPr>
                <w:rFonts w:ascii="微软雅黑" w:eastAsia="微软雅黑"/>
                <w:spacing w:val="-10"/>
                <w:w w:val="95"/>
                <w:sz w:val="20"/>
              </w:rPr>
              <w:t>：</w:t>
            </w:r>
            <w:r>
              <w:rPr>
                <w:rFonts w:ascii="微软雅黑" w:eastAsia="微软雅黑"/>
                <w:sz w:val="20"/>
              </w:rPr>
              <w:tab/>
            </w:r>
            <w:r>
              <w:rPr>
                <w:rFonts w:ascii="微软雅黑" w:eastAsia="微软雅黑"/>
                <w:w w:val="95"/>
                <w:sz w:val="20"/>
              </w:rPr>
              <w:t>可选责任</w:t>
            </w:r>
            <w:r>
              <w:rPr>
                <w:rFonts w:ascii="微软雅黑" w:eastAsia="微软雅黑"/>
                <w:spacing w:val="-10"/>
                <w:w w:val="95"/>
                <w:sz w:val="20"/>
              </w:rPr>
              <w:t>：</w:t>
            </w:r>
          </w:p>
          <w:p>
            <w:pPr>
              <w:pStyle w:val="9"/>
              <w:tabs>
                <w:tab w:val="left" w:pos="635"/>
                <w:tab w:val="left" w:pos="3122"/>
                <w:tab w:val="left" w:pos="3542"/>
              </w:tabs>
              <w:spacing w:before="74"/>
              <w:ind w:left="215"/>
              <w:rPr>
                <w:rFonts w:ascii="微软雅黑" w:hAnsi="微软雅黑" w:eastAsia="微软雅黑"/>
                <w:sz w:val="20"/>
              </w:rPr>
            </w:pPr>
            <w:r>
              <w:rPr>
                <w:rFonts w:ascii="微软雅黑" w:hAnsi="微软雅黑" w:eastAsia="微软雅黑"/>
                <w:spacing w:val="-10"/>
                <w:sz w:val="21"/>
              </w:rPr>
              <w:t>①</w:t>
            </w:r>
            <w:r>
              <w:rPr>
                <w:rFonts w:ascii="微软雅黑" w:hAnsi="微软雅黑" w:eastAsia="微软雅黑"/>
                <w:sz w:val="21"/>
              </w:rPr>
              <w:tab/>
            </w:r>
            <w:r>
              <w:rPr>
                <w:rFonts w:ascii="微软雅黑" w:hAnsi="微软雅黑" w:eastAsia="微软雅黑"/>
                <w:w w:val="95"/>
                <w:sz w:val="20"/>
              </w:rPr>
              <w:t>一般医疗保险</w:t>
            </w:r>
            <w:r>
              <w:rPr>
                <w:rFonts w:ascii="微软雅黑" w:hAnsi="微软雅黑" w:eastAsia="微软雅黑"/>
                <w:spacing w:val="-10"/>
                <w:w w:val="95"/>
                <w:sz w:val="20"/>
              </w:rPr>
              <w:t>金</w:t>
            </w:r>
            <w:r>
              <w:rPr>
                <w:rFonts w:ascii="微软雅黑" w:hAnsi="微软雅黑" w:eastAsia="微软雅黑"/>
                <w:sz w:val="20"/>
              </w:rPr>
              <w:tab/>
            </w:r>
            <w:r>
              <w:rPr>
                <w:rFonts w:ascii="微软雅黑" w:hAnsi="微软雅黑" w:eastAsia="微软雅黑"/>
                <w:spacing w:val="-10"/>
                <w:sz w:val="21"/>
              </w:rPr>
              <w:t>③</w:t>
            </w:r>
            <w:r>
              <w:rPr>
                <w:rFonts w:ascii="微软雅黑" w:hAnsi="微软雅黑" w:eastAsia="微软雅黑"/>
                <w:sz w:val="21"/>
              </w:rPr>
              <w:tab/>
            </w:r>
            <w:r>
              <w:rPr>
                <w:rFonts w:ascii="微软雅黑" w:hAnsi="微软雅黑" w:eastAsia="微软雅黑"/>
                <w:w w:val="95"/>
                <w:sz w:val="20"/>
              </w:rPr>
              <w:t>恶性肿瘤赴德国或日本医疗保险</w:t>
            </w:r>
            <w:r>
              <w:rPr>
                <w:rFonts w:ascii="微软雅黑" w:hAnsi="微软雅黑" w:eastAsia="微软雅黑"/>
                <w:spacing w:val="-10"/>
                <w:w w:val="95"/>
                <w:sz w:val="20"/>
              </w:rPr>
              <w:t>金</w:t>
            </w:r>
          </w:p>
          <w:p>
            <w:pPr>
              <w:pStyle w:val="9"/>
              <w:tabs>
                <w:tab w:val="left" w:pos="635"/>
                <w:tab w:val="left" w:pos="3122"/>
                <w:tab w:val="left" w:pos="3542"/>
              </w:tabs>
              <w:spacing w:before="69"/>
              <w:ind w:left="215"/>
              <w:rPr>
                <w:rFonts w:ascii="微软雅黑" w:hAnsi="微软雅黑" w:eastAsia="微软雅黑"/>
                <w:sz w:val="20"/>
              </w:rPr>
            </w:pPr>
            <w:r>
              <w:rPr>
                <w:rFonts w:ascii="微软雅黑" w:hAnsi="微软雅黑" w:eastAsia="微软雅黑"/>
                <w:spacing w:val="-10"/>
                <w:sz w:val="21"/>
              </w:rPr>
              <w:t>②</w:t>
            </w:r>
            <w:r>
              <w:rPr>
                <w:rFonts w:ascii="微软雅黑" w:hAnsi="微软雅黑" w:eastAsia="微软雅黑"/>
                <w:sz w:val="21"/>
              </w:rPr>
              <w:tab/>
            </w:r>
            <w:r>
              <w:rPr>
                <w:rFonts w:ascii="微软雅黑" w:hAnsi="微软雅黑" w:eastAsia="微软雅黑"/>
                <w:w w:val="95"/>
                <w:sz w:val="20"/>
              </w:rPr>
              <w:t>重大疾病医疗保险</w:t>
            </w:r>
            <w:r>
              <w:rPr>
                <w:rFonts w:ascii="微软雅黑" w:hAnsi="微软雅黑" w:eastAsia="微软雅黑"/>
                <w:spacing w:val="-10"/>
                <w:w w:val="95"/>
                <w:sz w:val="20"/>
              </w:rPr>
              <w:t>金</w:t>
            </w:r>
            <w:r>
              <w:rPr>
                <w:rFonts w:ascii="微软雅黑" w:hAnsi="微软雅黑" w:eastAsia="微软雅黑"/>
                <w:sz w:val="20"/>
              </w:rPr>
              <w:tab/>
            </w:r>
            <w:r>
              <w:rPr>
                <w:rFonts w:ascii="微软雅黑" w:hAnsi="微软雅黑" w:eastAsia="微软雅黑"/>
                <w:spacing w:val="-10"/>
                <w:sz w:val="21"/>
              </w:rPr>
              <w:t>④</w:t>
            </w:r>
            <w:r>
              <w:rPr>
                <w:rFonts w:ascii="微软雅黑" w:hAnsi="微软雅黑" w:eastAsia="微软雅黑"/>
                <w:sz w:val="21"/>
              </w:rPr>
              <w:tab/>
            </w:r>
            <w:r>
              <w:rPr>
                <w:rFonts w:ascii="微软雅黑" w:hAnsi="微软雅黑" w:eastAsia="微软雅黑"/>
                <w:w w:val="95"/>
                <w:sz w:val="20"/>
              </w:rPr>
              <w:t>恶性肿瘤住院津</w:t>
            </w:r>
            <w:r>
              <w:rPr>
                <w:rFonts w:ascii="微软雅黑" w:hAnsi="微软雅黑" w:eastAsia="微软雅黑"/>
                <w:spacing w:val="-10"/>
                <w:w w:val="95"/>
                <w:sz w:val="20"/>
              </w:rPr>
              <w:t>贴</w:t>
            </w:r>
          </w:p>
          <w:p>
            <w:pPr>
              <w:pStyle w:val="9"/>
              <w:tabs>
                <w:tab w:val="left" w:pos="3542"/>
              </w:tabs>
              <w:spacing w:before="69"/>
              <w:ind w:left="3122"/>
              <w:rPr>
                <w:rFonts w:ascii="微软雅黑" w:hAnsi="微软雅黑" w:eastAsia="微软雅黑"/>
                <w:sz w:val="20"/>
              </w:rPr>
            </w:pPr>
            <w:r>
              <w:rPr>
                <w:rFonts w:ascii="微软雅黑" w:hAnsi="微软雅黑" w:eastAsia="微软雅黑"/>
                <w:spacing w:val="-10"/>
                <w:sz w:val="21"/>
              </w:rPr>
              <w:t>⑤</w:t>
            </w:r>
            <w:r>
              <w:rPr>
                <w:rFonts w:ascii="微软雅黑" w:hAnsi="微软雅黑" w:eastAsia="微软雅黑"/>
                <w:sz w:val="21"/>
              </w:rPr>
              <w:tab/>
            </w:r>
            <w:r>
              <w:rPr>
                <w:rFonts w:ascii="微软雅黑" w:hAnsi="微软雅黑" w:eastAsia="微软雅黑"/>
                <w:w w:val="95"/>
                <w:sz w:val="20"/>
              </w:rPr>
              <w:t>家庭共享免赔</w:t>
            </w:r>
            <w:r>
              <w:rPr>
                <w:rFonts w:ascii="微软雅黑" w:hAnsi="微软雅黑" w:eastAsia="微软雅黑"/>
                <w:spacing w:val="-10"/>
                <w:w w:val="95"/>
                <w:sz w:val="20"/>
              </w:rPr>
              <w:t>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4" w:hRule="atLeast"/>
        </w:trPr>
        <w:tc>
          <w:tcPr>
            <w:tcW w:w="2918" w:type="dxa"/>
            <w:tcBorders>
              <w:left w:val="double" w:color="000000" w:sz="4" w:space="0"/>
            </w:tcBorders>
            <w:shd w:val="clear" w:color="auto" w:fill="D9D9D9"/>
          </w:tcPr>
          <w:p>
            <w:pPr>
              <w:pStyle w:val="9"/>
              <w:spacing w:before="104"/>
              <w:ind w:left="315" w:right="211"/>
              <w:jc w:val="center"/>
              <w:rPr>
                <w:rFonts w:ascii="微软雅黑" w:eastAsia="微软雅黑"/>
                <w:sz w:val="20"/>
              </w:rPr>
            </w:pPr>
            <w:r>
              <w:rPr>
                <w:position w:val="-24"/>
              </w:rPr>
              <w:drawing>
                <wp:inline distT="0" distB="0" distL="0" distR="0">
                  <wp:extent cx="479425" cy="450850"/>
                  <wp:effectExtent l="0" t="0" r="0" b="0"/>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a:picLocks noChangeAspect="1"/>
                          </pic:cNvPicPr>
                        </pic:nvPicPr>
                        <pic:blipFill>
                          <a:blip r:embed="rId10" cstate="print"/>
                          <a:stretch>
                            <a:fillRect/>
                          </a:stretch>
                        </pic:blipFill>
                        <pic:spPr>
                          <a:xfrm>
                            <a:off x="0" y="0"/>
                            <a:ext cx="480059" cy="451103"/>
                          </a:xfrm>
                          <a:prstGeom prst="rect">
                            <a:avLst/>
                          </a:prstGeom>
                        </pic:spPr>
                      </pic:pic>
                    </a:graphicData>
                  </a:graphic>
                </wp:inline>
              </w:drawing>
            </w:r>
            <w:r>
              <w:rPr>
                <w:rFonts w:ascii="Times New Roman" w:eastAsia="Times New Roman"/>
                <w:spacing w:val="769"/>
                <w:sz w:val="20"/>
              </w:rPr>
              <w:t xml:space="preserve"> </w:t>
            </w:r>
            <w:r>
              <w:rPr>
                <w:rFonts w:ascii="微软雅黑" w:eastAsia="微软雅黑"/>
                <w:w w:val="95"/>
                <w:sz w:val="20"/>
              </w:rPr>
              <w:t>保障范围</w:t>
            </w:r>
          </w:p>
        </w:tc>
        <w:tc>
          <w:tcPr>
            <w:tcW w:w="7043" w:type="dxa"/>
            <w:tcBorders>
              <w:right w:val="double" w:color="000000" w:sz="4" w:space="0"/>
            </w:tcBorders>
            <w:shd w:val="clear" w:color="auto" w:fill="D9D9D9"/>
          </w:tcPr>
          <w:p>
            <w:pPr>
              <w:pStyle w:val="9"/>
              <w:spacing w:before="151" w:line="355" w:lineRule="exact"/>
              <w:ind w:left="215"/>
              <w:rPr>
                <w:rFonts w:ascii="微软雅黑" w:eastAsia="微软雅黑"/>
                <w:sz w:val="20"/>
              </w:rPr>
            </w:pPr>
            <w:r>
              <w:rPr>
                <w:rFonts w:ascii="微软雅黑" w:eastAsia="微软雅黑"/>
                <w:w w:val="95"/>
                <w:sz w:val="20"/>
              </w:rPr>
              <w:t>有无社保均可</w:t>
            </w:r>
            <w:r>
              <w:rPr>
                <w:rFonts w:ascii="微软雅黑" w:eastAsia="微软雅黑"/>
                <w:spacing w:val="-5"/>
                <w:w w:val="95"/>
                <w:sz w:val="20"/>
              </w:rPr>
              <w:t>购买</w:t>
            </w:r>
          </w:p>
          <w:p>
            <w:pPr>
              <w:pStyle w:val="9"/>
              <w:spacing w:line="355" w:lineRule="exact"/>
              <w:ind w:left="215"/>
              <w:rPr>
                <w:rFonts w:ascii="微软雅黑" w:eastAsia="微软雅黑"/>
                <w:sz w:val="20"/>
              </w:rPr>
            </w:pPr>
            <w:r>
              <w:rPr>
                <w:rFonts w:ascii="微软雅黑" w:eastAsia="微软雅黑"/>
                <w:w w:val="95"/>
                <w:sz w:val="20"/>
              </w:rPr>
              <w:t>不限医保目录，自费药、进口药均可报</w:t>
            </w:r>
            <w:r>
              <w:rPr>
                <w:rFonts w:ascii="微软雅黑" w:eastAsia="微软雅黑"/>
                <w:spacing w:val="-10"/>
                <w:w w:val="95"/>
                <w:sz w:val="20"/>
              </w:rPr>
              <w:t>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6" w:hRule="atLeast"/>
        </w:trPr>
        <w:tc>
          <w:tcPr>
            <w:tcW w:w="2918" w:type="dxa"/>
            <w:tcBorders>
              <w:left w:val="double" w:color="000000" w:sz="4" w:space="0"/>
            </w:tcBorders>
          </w:tcPr>
          <w:p>
            <w:pPr>
              <w:pStyle w:val="9"/>
              <w:rPr>
                <w:rFonts w:ascii="Times New Roman"/>
                <w:sz w:val="20"/>
              </w:rPr>
            </w:pPr>
          </w:p>
        </w:tc>
        <w:tc>
          <w:tcPr>
            <w:tcW w:w="7043" w:type="dxa"/>
            <w:tcBorders>
              <w:right w:val="double" w:color="000000" w:sz="4" w:space="0"/>
            </w:tcBorders>
          </w:tcPr>
          <w:p>
            <w:pPr>
              <w:pStyle w:val="9"/>
              <w:spacing w:before="122" w:line="334" w:lineRule="exact"/>
              <w:ind w:left="215"/>
              <w:rPr>
                <w:rFonts w:ascii="微软雅黑" w:eastAsia="微软雅黑"/>
                <w:sz w:val="20"/>
              </w:rPr>
            </w:pPr>
            <w:r>
              <w:rPr>
                <w:rFonts w:ascii="微软雅黑" w:eastAsia="微软雅黑"/>
                <w:w w:val="95"/>
                <w:sz w:val="20"/>
              </w:rPr>
              <w:t>年免赔额</w:t>
            </w:r>
            <w:r>
              <w:rPr>
                <w:rFonts w:ascii="微软雅黑" w:eastAsia="微软雅黑"/>
                <w:spacing w:val="44"/>
                <w:sz w:val="20"/>
              </w:rPr>
              <w:t xml:space="preserve"> </w:t>
            </w:r>
            <w:r>
              <w:rPr>
                <w:rFonts w:ascii="微软雅黑" w:eastAsia="微软雅黑"/>
                <w:w w:val="95"/>
                <w:sz w:val="20"/>
              </w:rPr>
              <w:t>1</w:t>
            </w:r>
            <w:r>
              <w:rPr>
                <w:rFonts w:ascii="微软雅黑" w:eastAsia="微软雅黑"/>
                <w:spacing w:val="46"/>
                <w:sz w:val="20"/>
              </w:rPr>
              <w:t xml:space="preserve"> </w:t>
            </w:r>
            <w:r>
              <w:rPr>
                <w:rFonts w:ascii="微软雅黑" w:eastAsia="微软雅黑"/>
                <w:w w:val="95"/>
                <w:sz w:val="20"/>
              </w:rPr>
              <w:t>万元，100%比例赔</w:t>
            </w:r>
            <w:r>
              <w:rPr>
                <w:rFonts w:ascii="微软雅黑" w:eastAsia="微软雅黑"/>
                <w:spacing w:val="-10"/>
                <w:w w:val="95"/>
                <w:sz w:val="20"/>
              </w:rPr>
              <w:t>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9" w:hRule="atLeast"/>
        </w:trPr>
        <w:tc>
          <w:tcPr>
            <w:tcW w:w="2918" w:type="dxa"/>
            <w:tcBorders>
              <w:left w:val="double" w:color="000000" w:sz="4" w:space="0"/>
            </w:tcBorders>
          </w:tcPr>
          <w:p>
            <w:pPr>
              <w:pStyle w:val="9"/>
              <w:spacing w:before="131" w:line="189" w:lineRule="exact"/>
              <w:ind w:left="1891" w:right="211"/>
              <w:jc w:val="center"/>
              <w:rPr>
                <w:rFonts w:ascii="微软雅黑" w:eastAsia="微软雅黑"/>
                <w:sz w:val="20"/>
              </w:rPr>
            </w:pPr>
            <w:r>
              <w:rPr>
                <w:rFonts w:ascii="微软雅黑" w:eastAsia="微软雅黑"/>
                <w:w w:val="95"/>
                <w:sz w:val="20"/>
              </w:rPr>
              <w:t>赔付比</w:t>
            </w:r>
            <w:r>
              <w:rPr>
                <w:rFonts w:ascii="微软雅黑" w:eastAsia="微软雅黑"/>
                <w:spacing w:val="-10"/>
                <w:w w:val="95"/>
                <w:sz w:val="20"/>
              </w:rPr>
              <w:t>例</w:t>
            </w:r>
          </w:p>
        </w:tc>
        <w:tc>
          <w:tcPr>
            <w:tcW w:w="7043" w:type="dxa"/>
            <w:tcBorders>
              <w:right w:val="double" w:color="000000" w:sz="4" w:space="0"/>
            </w:tcBorders>
          </w:tcPr>
          <w:p>
            <w:pPr>
              <w:pStyle w:val="9"/>
              <w:spacing w:line="320" w:lineRule="exact"/>
              <w:ind w:left="215"/>
              <w:rPr>
                <w:rFonts w:ascii="微软雅黑" w:eastAsia="微软雅黑"/>
                <w:sz w:val="20"/>
              </w:rPr>
            </w:pPr>
            <w:r>
              <w:rPr>
                <w:rFonts w:ascii="微软雅黑" w:eastAsia="微软雅黑"/>
                <w:w w:val="95"/>
                <w:sz w:val="20"/>
              </w:rPr>
              <w:t>如果以享有基本医疗保险、城乡居民大病保险或公费医疗的身</w:t>
            </w:r>
            <w:r>
              <w:rPr>
                <w:rFonts w:ascii="微软雅黑" w:eastAsia="微软雅黑"/>
                <w:spacing w:val="-2"/>
                <w:w w:val="95"/>
                <w:sz w:val="20"/>
              </w:rPr>
              <w:t>份投保，但就诊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rPr>
        <w:tc>
          <w:tcPr>
            <w:tcW w:w="2918" w:type="dxa"/>
            <w:tcBorders>
              <w:left w:val="double" w:color="000000" w:sz="4" w:space="0"/>
            </w:tcBorders>
          </w:tcPr>
          <w:p>
            <w:pPr>
              <w:pStyle w:val="9"/>
              <w:rPr>
                <w:rFonts w:ascii="Times New Roman"/>
                <w:sz w:val="20"/>
              </w:rPr>
            </w:pPr>
          </w:p>
        </w:tc>
        <w:tc>
          <w:tcPr>
            <w:tcW w:w="7043" w:type="dxa"/>
            <w:tcBorders>
              <w:right w:val="double" w:color="000000" w:sz="4" w:space="0"/>
            </w:tcBorders>
          </w:tcPr>
          <w:p>
            <w:pPr>
              <w:pStyle w:val="9"/>
              <w:spacing w:line="321" w:lineRule="exact"/>
              <w:ind w:left="215"/>
              <w:rPr>
                <w:rFonts w:ascii="微软雅黑" w:eastAsia="微软雅黑"/>
                <w:sz w:val="20"/>
              </w:rPr>
            </w:pPr>
            <w:r>
              <w:rPr>
                <w:rFonts w:ascii="微软雅黑" w:eastAsia="微软雅黑"/>
                <w:w w:val="95"/>
                <w:sz w:val="20"/>
              </w:rPr>
              <w:t>时未从中获得医疗费用补偿，按</w:t>
            </w:r>
            <w:r>
              <w:rPr>
                <w:rFonts w:ascii="微软雅黑" w:eastAsia="微软雅黑"/>
                <w:spacing w:val="47"/>
                <w:sz w:val="20"/>
              </w:rPr>
              <w:t xml:space="preserve">  </w:t>
            </w:r>
            <w:r>
              <w:rPr>
                <w:rFonts w:ascii="微软雅黑" w:eastAsia="微软雅黑"/>
                <w:w w:val="95"/>
                <w:sz w:val="20"/>
              </w:rPr>
              <w:t>60%比例</w:t>
            </w:r>
            <w:r>
              <w:rPr>
                <w:rFonts w:ascii="微软雅黑" w:eastAsia="微软雅黑"/>
                <w:spacing w:val="-5"/>
                <w:w w:val="95"/>
                <w:sz w:val="20"/>
              </w:rPr>
              <w:t>赔付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9" w:hRule="atLeast"/>
        </w:trPr>
        <w:tc>
          <w:tcPr>
            <w:tcW w:w="2918" w:type="dxa"/>
            <w:tcBorders>
              <w:left w:val="double" w:color="000000" w:sz="4" w:space="0"/>
            </w:tcBorders>
          </w:tcPr>
          <w:p>
            <w:pPr>
              <w:pStyle w:val="9"/>
              <w:rPr>
                <w:rFonts w:ascii="Times New Roman"/>
                <w:sz w:val="20"/>
              </w:rPr>
            </w:pPr>
          </w:p>
        </w:tc>
        <w:tc>
          <w:tcPr>
            <w:tcW w:w="7043" w:type="dxa"/>
            <w:tcBorders>
              <w:right w:val="double" w:color="000000" w:sz="4" w:space="0"/>
            </w:tcBorders>
          </w:tcPr>
          <w:p>
            <w:pPr>
              <w:pStyle w:val="9"/>
              <w:spacing w:line="354" w:lineRule="exact"/>
              <w:ind w:left="215"/>
              <w:rPr>
                <w:rFonts w:ascii="微软雅黑" w:eastAsia="微软雅黑"/>
                <w:sz w:val="20"/>
              </w:rPr>
            </w:pPr>
            <w:r>
              <w:rPr>
                <w:rFonts w:ascii="微软雅黑" w:eastAsia="微软雅黑"/>
                <w:w w:val="95"/>
                <w:sz w:val="20"/>
              </w:rPr>
              <w:t>恶性肿瘤赴德国或日本医疗保险金的赔付比例为</w:t>
            </w:r>
            <w:r>
              <w:rPr>
                <w:rFonts w:ascii="微软雅黑" w:eastAsia="微软雅黑"/>
                <w:spacing w:val="55"/>
                <w:sz w:val="20"/>
              </w:rPr>
              <w:t xml:space="preserve">  </w:t>
            </w:r>
            <w:r>
              <w:rPr>
                <w:rFonts w:ascii="微软雅黑" w:eastAsia="微软雅黑"/>
                <w:spacing w:val="-5"/>
                <w:w w:val="95"/>
                <w:sz w:val="20"/>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2" w:hRule="atLeast"/>
        </w:trPr>
        <w:tc>
          <w:tcPr>
            <w:tcW w:w="2918" w:type="dxa"/>
            <w:tcBorders>
              <w:left w:val="double" w:color="000000" w:sz="4" w:space="0"/>
            </w:tcBorders>
            <w:shd w:val="clear" w:color="auto" w:fill="D9D9D9"/>
          </w:tcPr>
          <w:p>
            <w:pPr>
              <w:pStyle w:val="9"/>
              <w:spacing w:before="59"/>
              <w:ind w:left="167" w:right="211"/>
              <w:jc w:val="center"/>
              <w:rPr>
                <w:rFonts w:ascii="微软雅黑" w:eastAsia="微软雅黑"/>
                <w:sz w:val="20"/>
              </w:rPr>
            </w:pPr>
            <w:r>
              <w:rPr>
                <w:position w:val="-20"/>
              </w:rPr>
              <w:drawing>
                <wp:inline distT="0" distB="0" distL="0" distR="0">
                  <wp:extent cx="478155" cy="452120"/>
                  <wp:effectExtent l="0" t="0" r="0" b="0"/>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a:picLocks noChangeAspect="1"/>
                          </pic:cNvPicPr>
                        </pic:nvPicPr>
                        <pic:blipFill>
                          <a:blip r:embed="rId11" cstate="print"/>
                          <a:stretch>
                            <a:fillRect/>
                          </a:stretch>
                        </pic:blipFill>
                        <pic:spPr>
                          <a:xfrm>
                            <a:off x="0" y="0"/>
                            <a:ext cx="478535" cy="452246"/>
                          </a:xfrm>
                          <a:prstGeom prst="rect">
                            <a:avLst/>
                          </a:prstGeom>
                        </pic:spPr>
                      </pic:pic>
                    </a:graphicData>
                  </a:graphic>
                </wp:inline>
              </w:drawing>
            </w:r>
            <w:r>
              <w:rPr>
                <w:rFonts w:ascii="Times New Roman" w:eastAsia="Times New Roman"/>
                <w:spacing w:val="923"/>
                <w:sz w:val="20"/>
              </w:rPr>
              <w:t xml:space="preserve"> </w:t>
            </w:r>
            <w:r>
              <w:rPr>
                <w:rFonts w:ascii="微软雅黑" w:eastAsia="微软雅黑"/>
                <w:w w:val="95"/>
                <w:sz w:val="20"/>
              </w:rPr>
              <w:t>医</w:t>
            </w:r>
            <w:r>
              <w:rPr>
                <w:rFonts w:ascii="微软雅黑" w:eastAsia="微软雅黑"/>
                <w:sz w:val="20"/>
              </w:rPr>
              <w:t>院</w:t>
            </w:r>
          </w:p>
        </w:tc>
        <w:tc>
          <w:tcPr>
            <w:tcW w:w="7043" w:type="dxa"/>
            <w:tcBorders>
              <w:right w:val="double" w:color="000000" w:sz="4" w:space="0"/>
            </w:tcBorders>
            <w:shd w:val="clear" w:color="auto" w:fill="D9D9D9"/>
          </w:tcPr>
          <w:p>
            <w:pPr>
              <w:pStyle w:val="9"/>
              <w:spacing w:before="148" w:line="355" w:lineRule="exact"/>
              <w:ind w:left="215"/>
              <w:rPr>
                <w:rFonts w:ascii="微软雅黑" w:eastAsia="微软雅黑"/>
                <w:sz w:val="20"/>
              </w:rPr>
            </w:pPr>
            <w:r>
              <w:rPr>
                <w:rFonts w:ascii="微软雅黑" w:eastAsia="微软雅黑"/>
                <w:w w:val="95"/>
                <w:sz w:val="20"/>
              </w:rPr>
              <w:t>国内医疗：二级或二级以上公立医院，具体详见</w:t>
            </w:r>
            <w:r>
              <w:rPr>
                <w:rFonts w:ascii="微软雅黑" w:eastAsia="微软雅黑"/>
                <w:spacing w:val="-5"/>
                <w:w w:val="95"/>
                <w:sz w:val="20"/>
              </w:rPr>
              <w:t>释义</w:t>
            </w:r>
          </w:p>
          <w:p>
            <w:pPr>
              <w:pStyle w:val="9"/>
              <w:spacing w:line="355" w:lineRule="exact"/>
              <w:ind w:left="215"/>
              <w:rPr>
                <w:rFonts w:ascii="微软雅黑" w:eastAsia="微软雅黑"/>
                <w:sz w:val="20"/>
              </w:rPr>
            </w:pPr>
            <w:r>
              <w:rPr>
                <w:rFonts w:ascii="微软雅黑" w:eastAsia="微软雅黑"/>
                <w:w w:val="95"/>
                <w:sz w:val="20"/>
              </w:rPr>
              <w:t>海外医疗：我们根据客户健康状况、就医意愿等因素，推荐境外医疗</w:t>
            </w:r>
            <w:r>
              <w:rPr>
                <w:rFonts w:ascii="微软雅黑" w:eastAsia="微软雅黑"/>
                <w:spacing w:val="-5"/>
                <w:w w:val="95"/>
                <w:sz w:val="20"/>
              </w:rPr>
              <w:t>机构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4" w:hRule="atLeast"/>
        </w:trPr>
        <w:tc>
          <w:tcPr>
            <w:tcW w:w="2918" w:type="dxa"/>
            <w:tcBorders>
              <w:left w:val="double" w:color="000000" w:sz="4" w:space="0"/>
              <w:bottom w:val="double" w:color="000000" w:sz="4" w:space="0"/>
            </w:tcBorders>
          </w:tcPr>
          <w:p>
            <w:pPr>
              <w:pStyle w:val="9"/>
              <w:spacing w:before="163"/>
              <w:ind w:left="316" w:right="112"/>
              <w:jc w:val="center"/>
              <w:rPr>
                <w:rFonts w:ascii="微软雅黑" w:eastAsia="微软雅黑"/>
                <w:sz w:val="20"/>
              </w:rPr>
            </w:pPr>
            <w:r>
              <w:rPr>
                <w:position w:val="-22"/>
              </w:rPr>
              <w:drawing>
                <wp:inline distT="0" distB="0" distL="0" distR="0">
                  <wp:extent cx="420370" cy="398780"/>
                  <wp:effectExtent l="0" t="0" r="0" b="0"/>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a:picLocks noChangeAspect="1"/>
                          </pic:cNvPicPr>
                        </pic:nvPicPr>
                        <pic:blipFill>
                          <a:blip r:embed="rId12" cstate="print"/>
                          <a:stretch>
                            <a:fillRect/>
                          </a:stretch>
                        </pic:blipFill>
                        <pic:spPr>
                          <a:xfrm>
                            <a:off x="0" y="0"/>
                            <a:ext cx="420624" cy="399288"/>
                          </a:xfrm>
                          <a:prstGeom prst="rect">
                            <a:avLst/>
                          </a:prstGeom>
                        </pic:spPr>
                      </pic:pic>
                    </a:graphicData>
                  </a:graphic>
                </wp:inline>
              </w:drawing>
            </w:r>
            <w:r>
              <w:rPr>
                <w:rFonts w:ascii="Times New Roman" w:eastAsia="Times New Roman"/>
                <w:spacing w:val="763"/>
                <w:sz w:val="20"/>
              </w:rPr>
              <w:t xml:space="preserve"> </w:t>
            </w:r>
            <w:r>
              <w:rPr>
                <w:rFonts w:ascii="微软雅黑" w:eastAsia="微软雅黑"/>
                <w:w w:val="95"/>
                <w:sz w:val="20"/>
              </w:rPr>
              <w:t>保险期间</w:t>
            </w:r>
          </w:p>
        </w:tc>
        <w:tc>
          <w:tcPr>
            <w:tcW w:w="7043" w:type="dxa"/>
            <w:tcBorders>
              <w:bottom w:val="double" w:color="000000" w:sz="4" w:space="0"/>
              <w:right w:val="double" w:color="000000" w:sz="4" w:space="0"/>
            </w:tcBorders>
          </w:tcPr>
          <w:p>
            <w:pPr>
              <w:pStyle w:val="9"/>
              <w:spacing w:before="151" w:line="355" w:lineRule="exact"/>
              <w:ind w:left="215"/>
              <w:rPr>
                <w:rFonts w:ascii="微软雅黑" w:eastAsia="微软雅黑"/>
                <w:sz w:val="20"/>
              </w:rPr>
            </w:pPr>
            <w:r>
              <w:rPr>
                <w:rFonts w:ascii="微软雅黑" w:eastAsia="微软雅黑"/>
                <w:sz w:val="20"/>
              </w:rPr>
              <w:t>保险期</w:t>
            </w:r>
            <w:r>
              <w:rPr>
                <w:rFonts w:ascii="微软雅黑" w:eastAsia="微软雅黑"/>
                <w:spacing w:val="-5"/>
                <w:sz w:val="20"/>
              </w:rPr>
              <w:t xml:space="preserve">间为 </w:t>
            </w:r>
            <w:r>
              <w:rPr>
                <w:rFonts w:ascii="微软雅黑" w:eastAsia="微软雅黑"/>
                <w:sz w:val="20"/>
              </w:rPr>
              <w:t>1</w:t>
            </w:r>
            <w:r>
              <w:rPr>
                <w:rFonts w:ascii="微软雅黑" w:eastAsia="微软雅黑"/>
                <w:spacing w:val="-12"/>
                <w:sz w:val="20"/>
              </w:rPr>
              <w:t xml:space="preserve"> 年</w:t>
            </w:r>
          </w:p>
          <w:p>
            <w:pPr>
              <w:pStyle w:val="9"/>
              <w:spacing w:line="355" w:lineRule="exact"/>
              <w:ind w:left="215"/>
              <w:rPr>
                <w:rFonts w:ascii="微软雅黑" w:eastAsia="微软雅黑"/>
                <w:sz w:val="20"/>
              </w:rPr>
            </w:pPr>
            <w:r>
              <w:rPr>
                <w:rFonts w:ascii="微软雅黑" w:eastAsia="微软雅黑"/>
                <w:w w:val="95"/>
                <w:sz w:val="20"/>
              </w:rPr>
              <w:t>首次投保的年龄为出生满</w:t>
            </w:r>
            <w:r>
              <w:rPr>
                <w:rFonts w:ascii="微软雅黑" w:eastAsia="微软雅黑"/>
                <w:spacing w:val="28"/>
                <w:sz w:val="20"/>
              </w:rPr>
              <w:t xml:space="preserve"> </w:t>
            </w:r>
            <w:r>
              <w:rPr>
                <w:rFonts w:ascii="微软雅黑" w:eastAsia="微软雅黑"/>
                <w:w w:val="95"/>
                <w:sz w:val="20"/>
              </w:rPr>
              <w:t>28</w:t>
            </w:r>
            <w:r>
              <w:rPr>
                <w:rFonts w:ascii="微软雅黑" w:eastAsia="微软雅黑"/>
                <w:spacing w:val="29"/>
                <w:sz w:val="20"/>
              </w:rPr>
              <w:t xml:space="preserve"> </w:t>
            </w:r>
            <w:r>
              <w:rPr>
                <w:rFonts w:ascii="微软雅黑" w:eastAsia="微软雅黑"/>
                <w:w w:val="95"/>
                <w:sz w:val="20"/>
              </w:rPr>
              <w:t>天至</w:t>
            </w:r>
            <w:r>
              <w:rPr>
                <w:rFonts w:ascii="微软雅黑" w:eastAsia="微软雅黑"/>
                <w:spacing w:val="28"/>
                <w:sz w:val="20"/>
              </w:rPr>
              <w:t xml:space="preserve"> </w:t>
            </w:r>
            <w:r>
              <w:rPr>
                <w:rFonts w:ascii="微软雅黑" w:eastAsia="微软雅黑"/>
                <w:w w:val="95"/>
                <w:sz w:val="20"/>
              </w:rPr>
              <w:t>60</w:t>
            </w:r>
            <w:r>
              <w:rPr>
                <w:rFonts w:ascii="微软雅黑" w:eastAsia="微软雅黑"/>
                <w:spacing w:val="30"/>
                <w:sz w:val="20"/>
              </w:rPr>
              <w:t xml:space="preserve"> </w:t>
            </w:r>
            <w:r>
              <w:rPr>
                <w:rFonts w:ascii="微软雅黑" w:eastAsia="微软雅黑"/>
                <w:w w:val="95"/>
                <w:sz w:val="20"/>
              </w:rPr>
              <w:t>周岁，最高可续保至</w:t>
            </w:r>
            <w:r>
              <w:rPr>
                <w:rFonts w:ascii="微软雅黑" w:eastAsia="微软雅黑"/>
                <w:spacing w:val="28"/>
                <w:sz w:val="20"/>
              </w:rPr>
              <w:t xml:space="preserve"> </w:t>
            </w:r>
            <w:r>
              <w:rPr>
                <w:rFonts w:ascii="微软雅黑" w:eastAsia="微软雅黑"/>
                <w:w w:val="95"/>
                <w:sz w:val="20"/>
              </w:rPr>
              <w:t>100</w:t>
            </w:r>
            <w:r>
              <w:rPr>
                <w:rFonts w:ascii="微软雅黑" w:eastAsia="微软雅黑"/>
                <w:spacing w:val="28"/>
                <w:sz w:val="20"/>
              </w:rPr>
              <w:t xml:space="preserve"> </w:t>
            </w:r>
            <w:r>
              <w:rPr>
                <w:rFonts w:ascii="微软雅黑" w:eastAsia="微软雅黑"/>
                <w:w w:val="95"/>
                <w:sz w:val="20"/>
              </w:rPr>
              <w:t>周</w:t>
            </w:r>
            <w:r>
              <w:rPr>
                <w:rFonts w:ascii="微软雅黑" w:eastAsia="微软雅黑"/>
                <w:spacing w:val="-10"/>
                <w:w w:val="95"/>
                <w:sz w:val="20"/>
              </w:rPr>
              <w:t>岁</w:t>
            </w:r>
          </w:p>
        </w:tc>
      </w:tr>
    </w:tbl>
    <w:p>
      <w:pPr>
        <w:pStyle w:val="4"/>
        <w:spacing w:before="8"/>
        <w:rPr>
          <w:b/>
          <w:sz w:val="6"/>
        </w:rPr>
      </w:pPr>
    </w:p>
    <w:p>
      <w:pPr>
        <w:spacing w:before="67"/>
        <w:ind w:left="220" w:right="0" w:firstLine="0"/>
        <w:jc w:val="left"/>
        <w:rPr>
          <w:b/>
          <w:sz w:val="24"/>
        </w:rPr>
      </w:pPr>
      <w:r>
        <w:drawing>
          <wp:anchor distT="0" distB="0" distL="0" distR="0" simplePos="0" relativeHeight="251661312" behindDoc="0" locked="0" layoutInCell="1" allowOverlap="1">
            <wp:simplePos x="0" y="0"/>
            <wp:positionH relativeFrom="page">
              <wp:posOffset>1267460</wp:posOffset>
            </wp:positionH>
            <wp:positionV relativeFrom="paragraph">
              <wp:posOffset>207010</wp:posOffset>
            </wp:positionV>
            <wp:extent cx="478790" cy="631190"/>
            <wp:effectExtent l="0" t="0" r="0" b="0"/>
            <wp:wrapNone/>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jpeg"/>
                    <pic:cNvPicPr>
                      <a:picLocks noChangeAspect="1"/>
                    </pic:cNvPicPr>
                  </pic:nvPicPr>
                  <pic:blipFill>
                    <a:blip r:embed="rId13" cstate="print"/>
                    <a:stretch>
                      <a:fillRect/>
                    </a:stretch>
                  </pic:blipFill>
                  <pic:spPr>
                    <a:xfrm>
                      <a:off x="0" y="0"/>
                      <a:ext cx="478536" cy="630936"/>
                    </a:xfrm>
                    <a:prstGeom prst="rect">
                      <a:avLst/>
                    </a:prstGeom>
                  </pic:spPr>
                </pic:pic>
              </a:graphicData>
            </a:graphic>
          </wp:anchor>
        </w:drawing>
      </w:r>
      <w:r>
        <w:pict>
          <v:shape id="docshape1" o:spid="_x0000_s1026" o:spt="202" type="#_x0000_t202" style="position:absolute;left:0pt;margin-left:144pt;margin-top:7.4pt;height:62.2pt;width:397.2pt;mso-position-horizontal-relative:page;z-index:251662336;mso-width-relative:page;mso-height-relative:page;" fillcolor="#D8D8D8" filled="t" stroked="f" coordsize="21600,21600">
            <v:path/>
            <v:fill on="t" focussize="0,0"/>
            <v:stroke on="f" joinstyle="miter"/>
            <v:imagedata o:title=""/>
            <o:lock v:ext="edit"/>
            <v:textbox inset="0mm,0mm,0mm,0mm">
              <w:txbxContent>
                <w:p>
                  <w:pPr>
                    <w:pStyle w:val="4"/>
                    <w:spacing w:before="119" w:line="319" w:lineRule="auto"/>
                    <w:ind w:left="143" w:right="137"/>
                    <w:jc w:val="both"/>
                    <w:rPr>
                      <w:color w:val="000000"/>
                    </w:rPr>
                  </w:pPr>
                  <w:r>
                    <w:rPr>
                      <w:color w:val="000000"/>
                    </w:rPr>
                    <w:t>甲先生，</w:t>
                  </w:r>
                  <w:r>
                    <w:rPr>
                      <w:rFonts w:ascii="Times New Roman" w:eastAsia="Times New Roman"/>
                      <w:color w:val="000000"/>
                    </w:rPr>
                    <w:t xml:space="preserve">35 </w:t>
                  </w:r>
                  <w:r>
                    <w:rPr>
                      <w:color w:val="000000"/>
                    </w:rPr>
                    <w:t>岁，为儿子小甲、妻子乙女士以及自己同时投保了《爱心人寿爱安享医</w:t>
                  </w:r>
                  <w:r>
                    <w:rPr>
                      <w:color w:val="000000"/>
                      <w:spacing w:val="-2"/>
                    </w:rPr>
                    <w:t>疗保险（</w:t>
                  </w:r>
                  <w:r>
                    <w:rPr>
                      <w:rFonts w:ascii="Times New Roman" w:eastAsia="Times New Roman"/>
                      <w:color w:val="000000"/>
                      <w:spacing w:val="-2"/>
                    </w:rPr>
                    <w:t>2020</w:t>
                  </w:r>
                  <w:r>
                    <w:rPr>
                      <w:rFonts w:ascii="Times New Roman" w:eastAsia="Times New Roman"/>
                      <w:color w:val="000000"/>
                      <w:spacing w:val="-12"/>
                    </w:rPr>
                    <w:t xml:space="preserve"> </w:t>
                  </w:r>
                  <w:r>
                    <w:rPr>
                      <w:color w:val="000000"/>
                      <w:spacing w:val="-2"/>
                    </w:rPr>
                    <w:t>版</w:t>
                  </w:r>
                  <w:r>
                    <w:rPr>
                      <w:color w:val="000000"/>
                      <w:spacing w:val="-106"/>
                    </w:rPr>
                    <w:t>）</w:t>
                  </w:r>
                  <w:r>
                    <w:rPr>
                      <w:color w:val="000000"/>
                      <w:spacing w:val="-2"/>
                    </w:rPr>
                    <w:t>》的尊享计划，并选择投保了所有可选责任，家庭成员共享年免赔</w:t>
                  </w:r>
                  <w:r>
                    <w:rPr>
                      <w:color w:val="000000"/>
                      <w:spacing w:val="-8"/>
                    </w:rPr>
                    <w:t xml:space="preserve">额 </w:t>
                  </w:r>
                  <w:r>
                    <w:rPr>
                      <w:rFonts w:ascii="Times New Roman" w:eastAsia="Times New Roman"/>
                      <w:color w:val="000000"/>
                    </w:rPr>
                    <w:t xml:space="preserve">1 </w:t>
                  </w:r>
                  <w:r>
                    <w:rPr>
                      <w:color w:val="000000"/>
                      <w:spacing w:val="-3"/>
                    </w:rPr>
                    <w:t xml:space="preserve">万元。未来 </w:t>
                  </w:r>
                  <w:r>
                    <w:rPr>
                      <w:rFonts w:ascii="Times New Roman" w:eastAsia="Times New Roman"/>
                      <w:color w:val="000000"/>
                    </w:rPr>
                    <w:t xml:space="preserve">1 </w:t>
                  </w:r>
                  <w:r>
                    <w:rPr>
                      <w:color w:val="000000"/>
                    </w:rPr>
                    <w:t>年里，甲先生一家将获得如下保障：</w:t>
                  </w:r>
                </w:p>
              </w:txbxContent>
            </v:textbox>
          </v:shape>
        </w:pict>
      </w:r>
      <w:r>
        <w:rPr>
          <w:b/>
          <w:w w:val="95"/>
          <w:sz w:val="24"/>
        </w:rPr>
        <w:t>示例</w:t>
      </w:r>
      <w:r>
        <w:rPr>
          <w:b/>
          <w:spacing w:val="-10"/>
          <w:w w:val="95"/>
          <w:sz w:val="24"/>
        </w:rPr>
        <w:t>：</w:t>
      </w:r>
    </w:p>
    <w:p>
      <w:pPr>
        <w:spacing w:after="0"/>
        <w:jc w:val="left"/>
        <w:rPr>
          <w:sz w:val="24"/>
        </w:rPr>
        <w:sectPr>
          <w:type w:val="continuous"/>
          <w:pgSz w:w="11910" w:h="16840"/>
          <w:pgMar w:top="500" w:right="840" w:bottom="280" w:left="860" w:header="720" w:footer="720" w:gutter="0"/>
          <w:cols w:space="720" w:num="1"/>
        </w:sect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82"/>
        <w:gridCol w:w="1488"/>
        <w:gridCol w:w="65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882" w:type="dxa"/>
            <w:shd w:val="clear" w:color="auto" w:fill="BFBFBF"/>
          </w:tcPr>
          <w:p>
            <w:pPr>
              <w:pStyle w:val="9"/>
              <w:spacing w:before="68"/>
              <w:ind w:left="118" w:right="109"/>
              <w:jc w:val="center"/>
              <w:rPr>
                <w:b/>
                <w:sz w:val="21"/>
              </w:rPr>
            </w:pPr>
            <w:r>
              <w:rPr>
                <w:b/>
                <w:spacing w:val="-3"/>
                <w:sz w:val="21"/>
              </w:rPr>
              <w:t>保障范围</w:t>
            </w:r>
          </w:p>
        </w:tc>
        <w:tc>
          <w:tcPr>
            <w:tcW w:w="1488" w:type="dxa"/>
            <w:shd w:val="clear" w:color="auto" w:fill="BFBFBF"/>
          </w:tcPr>
          <w:p>
            <w:pPr>
              <w:pStyle w:val="9"/>
              <w:spacing w:before="68"/>
              <w:ind w:left="189" w:right="181"/>
              <w:jc w:val="center"/>
              <w:rPr>
                <w:b/>
                <w:sz w:val="21"/>
              </w:rPr>
            </w:pPr>
            <w:r>
              <w:rPr>
                <w:b/>
                <w:spacing w:val="-3"/>
                <w:sz w:val="21"/>
              </w:rPr>
              <w:t>保险金额</w:t>
            </w:r>
          </w:p>
        </w:tc>
        <w:tc>
          <w:tcPr>
            <w:tcW w:w="6593" w:type="dxa"/>
            <w:shd w:val="clear" w:color="auto" w:fill="BFBFBF"/>
          </w:tcPr>
          <w:p>
            <w:pPr>
              <w:pStyle w:val="9"/>
              <w:spacing w:before="68"/>
              <w:ind w:left="2861" w:right="2850"/>
              <w:jc w:val="center"/>
              <w:rPr>
                <w:b/>
                <w:sz w:val="21"/>
              </w:rPr>
            </w:pPr>
            <w:r>
              <w:rPr>
                <w:b/>
                <w:spacing w:val="-3"/>
                <w:sz w:val="21"/>
              </w:rPr>
              <w:t>案例说明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1" w:hRule="atLeast"/>
        </w:trPr>
        <w:tc>
          <w:tcPr>
            <w:tcW w:w="1882" w:type="dxa"/>
            <w:tcBorders>
              <w:bottom w:val="nil"/>
            </w:tcBorders>
          </w:tcPr>
          <w:p>
            <w:pPr>
              <w:pStyle w:val="9"/>
              <w:rPr>
                <w:b/>
                <w:sz w:val="18"/>
              </w:rPr>
            </w:pPr>
          </w:p>
          <w:p>
            <w:pPr>
              <w:pStyle w:val="9"/>
              <w:rPr>
                <w:b/>
                <w:sz w:val="18"/>
              </w:rPr>
            </w:pPr>
          </w:p>
          <w:p>
            <w:pPr>
              <w:pStyle w:val="9"/>
              <w:rPr>
                <w:b/>
                <w:sz w:val="18"/>
              </w:rPr>
            </w:pPr>
          </w:p>
          <w:p>
            <w:pPr>
              <w:pStyle w:val="9"/>
              <w:rPr>
                <w:b/>
                <w:sz w:val="18"/>
              </w:rPr>
            </w:pPr>
          </w:p>
          <w:p>
            <w:pPr>
              <w:pStyle w:val="9"/>
              <w:rPr>
                <w:b/>
                <w:sz w:val="18"/>
              </w:rPr>
            </w:pPr>
          </w:p>
          <w:p>
            <w:pPr>
              <w:pStyle w:val="9"/>
              <w:rPr>
                <w:b/>
                <w:sz w:val="18"/>
              </w:rPr>
            </w:pPr>
          </w:p>
          <w:p>
            <w:pPr>
              <w:pStyle w:val="9"/>
              <w:rPr>
                <w:b/>
                <w:sz w:val="18"/>
              </w:rPr>
            </w:pPr>
          </w:p>
          <w:p>
            <w:pPr>
              <w:pStyle w:val="9"/>
              <w:rPr>
                <w:b/>
                <w:sz w:val="18"/>
              </w:rPr>
            </w:pPr>
          </w:p>
          <w:p>
            <w:pPr>
              <w:pStyle w:val="9"/>
              <w:rPr>
                <w:b/>
                <w:sz w:val="18"/>
              </w:rPr>
            </w:pPr>
          </w:p>
          <w:p>
            <w:pPr>
              <w:pStyle w:val="9"/>
              <w:spacing w:before="151"/>
              <w:ind w:left="118" w:right="112"/>
              <w:jc w:val="center"/>
              <w:rPr>
                <w:sz w:val="18"/>
              </w:rPr>
            </w:pPr>
            <w:r>
              <w:rPr>
                <w:spacing w:val="-2"/>
                <w:sz w:val="18"/>
              </w:rPr>
              <w:t>一般医疗保险金</w:t>
            </w:r>
          </w:p>
        </w:tc>
        <w:tc>
          <w:tcPr>
            <w:tcW w:w="1488" w:type="dxa"/>
            <w:tcBorders>
              <w:bottom w:val="nil"/>
            </w:tcBorders>
          </w:tcPr>
          <w:p>
            <w:pPr>
              <w:pStyle w:val="9"/>
              <w:rPr>
                <w:b/>
                <w:sz w:val="18"/>
              </w:rPr>
            </w:pPr>
          </w:p>
          <w:p>
            <w:pPr>
              <w:pStyle w:val="9"/>
              <w:rPr>
                <w:b/>
                <w:sz w:val="18"/>
              </w:rPr>
            </w:pPr>
          </w:p>
          <w:p>
            <w:pPr>
              <w:pStyle w:val="9"/>
              <w:rPr>
                <w:b/>
                <w:sz w:val="18"/>
              </w:rPr>
            </w:pPr>
          </w:p>
          <w:p>
            <w:pPr>
              <w:pStyle w:val="9"/>
              <w:rPr>
                <w:b/>
                <w:sz w:val="18"/>
              </w:rPr>
            </w:pPr>
          </w:p>
          <w:p>
            <w:pPr>
              <w:pStyle w:val="9"/>
              <w:rPr>
                <w:b/>
                <w:sz w:val="18"/>
              </w:rPr>
            </w:pPr>
          </w:p>
          <w:p>
            <w:pPr>
              <w:pStyle w:val="9"/>
              <w:rPr>
                <w:b/>
                <w:sz w:val="18"/>
              </w:rPr>
            </w:pPr>
          </w:p>
          <w:p>
            <w:pPr>
              <w:pStyle w:val="9"/>
              <w:rPr>
                <w:b/>
                <w:sz w:val="18"/>
              </w:rPr>
            </w:pPr>
          </w:p>
          <w:p>
            <w:pPr>
              <w:pStyle w:val="9"/>
              <w:spacing w:before="144"/>
              <w:ind w:left="203"/>
              <w:rPr>
                <w:sz w:val="18"/>
              </w:rPr>
            </w:pPr>
            <w:r>
              <w:rPr>
                <w:spacing w:val="-2"/>
                <w:sz w:val="18"/>
              </w:rPr>
              <w:t>每人给付限额</w:t>
            </w:r>
          </w:p>
          <w:p>
            <w:pPr>
              <w:pStyle w:val="9"/>
              <w:spacing w:before="2" w:line="310" w:lineRule="atLeast"/>
              <w:ind w:left="112" w:right="103" w:firstLine="204"/>
              <w:rPr>
                <w:sz w:val="18"/>
              </w:rPr>
            </w:pPr>
            <w:r>
              <w:rPr>
                <w:rFonts w:ascii="Times New Roman" w:eastAsia="Times New Roman"/>
                <w:sz w:val="18"/>
              </w:rPr>
              <w:t xml:space="preserve">200 </w:t>
            </w:r>
            <w:r>
              <w:rPr>
                <w:sz w:val="18"/>
              </w:rPr>
              <w:t xml:space="preserve">万元， </w:t>
            </w:r>
            <w:r>
              <w:rPr>
                <w:spacing w:val="-2"/>
                <w:sz w:val="18"/>
              </w:rPr>
              <w:t>三人共享年免赔</w:t>
            </w:r>
          </w:p>
        </w:tc>
        <w:tc>
          <w:tcPr>
            <w:tcW w:w="6593" w:type="dxa"/>
            <w:tcBorders>
              <w:bottom w:val="nil"/>
            </w:tcBorders>
          </w:tcPr>
          <w:p>
            <w:pPr>
              <w:pStyle w:val="9"/>
              <w:spacing w:before="122"/>
              <w:ind w:left="107"/>
              <w:rPr>
                <w:sz w:val="18"/>
              </w:rPr>
            </w:pPr>
            <w:r>
              <w:rPr>
                <w:spacing w:val="-3"/>
                <w:sz w:val="18"/>
              </w:rPr>
              <w:t xml:space="preserve">若甲先生因车祸在三甲医院普通部接受住院治疗，住院天数为 </w:t>
            </w:r>
            <w:r>
              <w:rPr>
                <w:rFonts w:ascii="Times New Roman" w:eastAsia="Times New Roman"/>
                <w:spacing w:val="-2"/>
                <w:sz w:val="18"/>
              </w:rPr>
              <w:t>30</w:t>
            </w:r>
            <w:r>
              <w:rPr>
                <w:rFonts w:ascii="Times New Roman" w:eastAsia="Times New Roman"/>
                <w:spacing w:val="29"/>
                <w:sz w:val="18"/>
              </w:rPr>
              <w:t xml:space="preserve"> </w:t>
            </w:r>
            <w:r>
              <w:rPr>
                <w:spacing w:val="-4"/>
                <w:sz w:val="18"/>
              </w:rPr>
              <w:t>天，总共花费了</w:t>
            </w:r>
          </w:p>
          <w:p>
            <w:pPr>
              <w:pStyle w:val="9"/>
              <w:spacing w:before="81"/>
              <w:ind w:left="107"/>
              <w:rPr>
                <w:sz w:val="18"/>
              </w:rPr>
            </w:pPr>
            <w:r>
              <w:rPr>
                <w:spacing w:val="-7"/>
                <w:sz w:val="18"/>
              </w:rPr>
              <w:t xml:space="preserve">住院医疗费用 </w:t>
            </w:r>
            <w:r>
              <w:rPr>
                <w:rFonts w:ascii="Times New Roman" w:eastAsia="Times New Roman"/>
                <w:sz w:val="18"/>
              </w:rPr>
              <w:t>30</w:t>
            </w:r>
            <w:r>
              <w:rPr>
                <w:rFonts w:ascii="Times New Roman" w:eastAsia="Times New Roman"/>
                <w:spacing w:val="-11"/>
                <w:sz w:val="18"/>
              </w:rPr>
              <w:t xml:space="preserve"> </w:t>
            </w:r>
            <w:r>
              <w:rPr>
                <w:sz w:val="18"/>
              </w:rPr>
              <w:t>万元（</w:t>
            </w:r>
            <w:r>
              <w:rPr>
                <w:spacing w:val="-16"/>
                <w:sz w:val="18"/>
              </w:rPr>
              <w:t xml:space="preserve">其中 </w:t>
            </w:r>
            <w:r>
              <w:rPr>
                <w:rFonts w:ascii="Times New Roman" w:eastAsia="Times New Roman"/>
                <w:sz w:val="18"/>
              </w:rPr>
              <w:t>20</w:t>
            </w:r>
            <w:r>
              <w:rPr>
                <w:rFonts w:ascii="Times New Roman" w:eastAsia="Times New Roman"/>
                <w:spacing w:val="-3"/>
                <w:sz w:val="18"/>
              </w:rPr>
              <w:t xml:space="preserve"> </w:t>
            </w:r>
            <w:r>
              <w:rPr>
                <w:sz w:val="18"/>
              </w:rPr>
              <w:t>万元在医保目录外</w:t>
            </w:r>
            <w:r>
              <w:rPr>
                <w:spacing w:val="-92"/>
                <w:sz w:val="18"/>
              </w:rPr>
              <w:t>）</w:t>
            </w:r>
            <w:r>
              <w:rPr>
                <w:spacing w:val="-1"/>
                <w:sz w:val="18"/>
              </w:rPr>
              <w:t>。出院后因此次车祸继续在普</w:t>
            </w:r>
          </w:p>
          <w:p>
            <w:pPr>
              <w:pStyle w:val="9"/>
              <w:spacing w:before="82"/>
              <w:ind w:left="107"/>
              <w:rPr>
                <w:sz w:val="18"/>
              </w:rPr>
            </w:pPr>
            <w:r>
              <w:rPr>
                <w:spacing w:val="-8"/>
                <w:sz w:val="18"/>
              </w:rPr>
              <w:t xml:space="preserve">通部接受了 </w:t>
            </w:r>
            <w:r>
              <w:rPr>
                <w:rFonts w:ascii="Times New Roman" w:eastAsia="Times New Roman"/>
                <w:sz w:val="18"/>
              </w:rPr>
              <w:t>25</w:t>
            </w:r>
            <w:r>
              <w:rPr>
                <w:rFonts w:ascii="Times New Roman" w:eastAsia="Times New Roman"/>
                <w:spacing w:val="-12"/>
                <w:sz w:val="18"/>
              </w:rPr>
              <w:t xml:space="preserve"> </w:t>
            </w:r>
            <w:r>
              <w:rPr>
                <w:spacing w:val="-3"/>
                <w:sz w:val="18"/>
              </w:rPr>
              <w:t xml:space="preserve">天的门诊治疗，总共花费门诊医疗费用 </w:t>
            </w:r>
            <w:r>
              <w:rPr>
                <w:rFonts w:ascii="Times New Roman" w:eastAsia="Times New Roman"/>
                <w:sz w:val="18"/>
              </w:rPr>
              <w:t>5</w:t>
            </w:r>
            <w:r>
              <w:rPr>
                <w:rFonts w:ascii="Times New Roman" w:eastAsia="Times New Roman"/>
                <w:spacing w:val="-2"/>
                <w:sz w:val="18"/>
              </w:rPr>
              <w:t xml:space="preserve"> </w:t>
            </w:r>
            <w:r>
              <w:rPr>
                <w:sz w:val="18"/>
              </w:rPr>
              <w:t>万元（</w:t>
            </w:r>
            <w:r>
              <w:rPr>
                <w:spacing w:val="-15"/>
                <w:sz w:val="18"/>
              </w:rPr>
              <w:t xml:space="preserve">其中 </w:t>
            </w:r>
            <w:r>
              <w:rPr>
                <w:rFonts w:ascii="Times New Roman" w:eastAsia="Times New Roman"/>
                <w:sz w:val="18"/>
              </w:rPr>
              <w:t>3</w:t>
            </w:r>
            <w:r>
              <w:rPr>
                <w:rFonts w:ascii="Times New Roman" w:eastAsia="Times New Roman"/>
                <w:spacing w:val="-2"/>
                <w:sz w:val="18"/>
              </w:rPr>
              <w:t xml:space="preserve"> </w:t>
            </w:r>
            <w:r>
              <w:rPr>
                <w:spacing w:val="-2"/>
                <w:sz w:val="18"/>
              </w:rPr>
              <w:t>万元在医保</w:t>
            </w:r>
          </w:p>
          <w:p>
            <w:pPr>
              <w:pStyle w:val="9"/>
              <w:spacing w:before="81"/>
              <w:ind w:left="107"/>
              <w:rPr>
                <w:sz w:val="18"/>
              </w:rPr>
            </w:pPr>
            <w:r>
              <w:rPr>
                <w:sz w:val="18"/>
              </w:rPr>
              <w:t>目录外</w:t>
            </w:r>
            <w:r>
              <w:rPr>
                <w:spacing w:val="-92"/>
                <w:sz w:val="18"/>
              </w:rPr>
              <w:t>）</w:t>
            </w:r>
            <w:r>
              <w:rPr>
                <w:spacing w:val="-6"/>
                <w:sz w:val="18"/>
              </w:rPr>
              <w:t xml:space="preserve">。在获得了 </w:t>
            </w:r>
            <w:r>
              <w:rPr>
                <w:rFonts w:ascii="Times New Roman" w:eastAsia="Times New Roman"/>
                <w:sz w:val="18"/>
              </w:rPr>
              <w:t>10</w:t>
            </w:r>
            <w:r>
              <w:rPr>
                <w:rFonts w:ascii="Times New Roman" w:eastAsia="Times New Roman"/>
                <w:spacing w:val="13"/>
                <w:sz w:val="18"/>
              </w:rPr>
              <w:t xml:space="preserve"> </w:t>
            </w:r>
            <w:r>
              <w:rPr>
                <w:spacing w:val="-2"/>
                <w:sz w:val="18"/>
              </w:rPr>
              <w:t xml:space="preserve">万元的医保报销后，甲先生就剩余的 </w:t>
            </w:r>
            <w:r>
              <w:rPr>
                <w:rFonts w:ascii="Times New Roman" w:eastAsia="Times New Roman"/>
                <w:sz w:val="18"/>
              </w:rPr>
              <w:t>25</w:t>
            </w:r>
            <w:r>
              <w:rPr>
                <w:rFonts w:ascii="Times New Roman" w:eastAsia="Times New Roman"/>
                <w:spacing w:val="13"/>
                <w:sz w:val="18"/>
              </w:rPr>
              <w:t xml:space="preserve"> </w:t>
            </w:r>
            <w:r>
              <w:rPr>
                <w:sz w:val="18"/>
              </w:rPr>
              <w:t>万元（</w:t>
            </w:r>
            <w:r>
              <w:rPr>
                <w:spacing w:val="-11"/>
                <w:sz w:val="18"/>
              </w:rPr>
              <w:t xml:space="preserve">其中 </w:t>
            </w:r>
            <w:r>
              <w:rPr>
                <w:rFonts w:ascii="Times New Roman" w:eastAsia="Times New Roman"/>
                <w:sz w:val="18"/>
              </w:rPr>
              <w:t>23</w:t>
            </w:r>
            <w:r>
              <w:rPr>
                <w:rFonts w:ascii="Times New Roman" w:eastAsia="Times New Roman"/>
                <w:spacing w:val="13"/>
                <w:sz w:val="18"/>
              </w:rPr>
              <w:t xml:space="preserve"> </w:t>
            </w:r>
            <w:r>
              <w:rPr>
                <w:spacing w:val="-10"/>
                <w:sz w:val="18"/>
              </w:rPr>
              <w:t>万</w:t>
            </w:r>
          </w:p>
          <w:p>
            <w:pPr>
              <w:pStyle w:val="9"/>
              <w:spacing w:before="81"/>
              <w:ind w:left="107"/>
              <w:rPr>
                <w:sz w:val="18"/>
              </w:rPr>
            </w:pPr>
            <w:r>
              <w:rPr>
                <w:sz w:val="18"/>
              </w:rPr>
              <w:t>元在医保目录外）</w:t>
            </w:r>
            <w:r>
              <w:rPr>
                <w:spacing w:val="-1"/>
                <w:sz w:val="18"/>
              </w:rPr>
              <w:t xml:space="preserve">向我们申请理赔。我们在扣除 </w:t>
            </w:r>
            <w:r>
              <w:rPr>
                <w:rFonts w:ascii="Times New Roman" w:eastAsia="Times New Roman"/>
                <w:sz w:val="18"/>
              </w:rPr>
              <w:t>1</w:t>
            </w:r>
            <w:r>
              <w:rPr>
                <w:rFonts w:ascii="Times New Roman" w:eastAsia="Times New Roman"/>
                <w:spacing w:val="39"/>
                <w:sz w:val="18"/>
              </w:rPr>
              <w:t xml:space="preserve"> </w:t>
            </w:r>
            <w:r>
              <w:rPr>
                <w:spacing w:val="-1"/>
                <w:sz w:val="18"/>
              </w:rPr>
              <w:t>万元的年免赔额后，向甲先生</w:t>
            </w:r>
          </w:p>
          <w:p>
            <w:pPr>
              <w:pStyle w:val="9"/>
              <w:spacing w:before="82" w:line="324" w:lineRule="auto"/>
              <w:ind w:left="107" w:right="96"/>
              <w:rPr>
                <w:sz w:val="18"/>
              </w:rPr>
            </w:pPr>
            <w:r>
              <w:rPr>
                <w:spacing w:val="-11"/>
                <w:sz w:val="18"/>
              </w:rPr>
              <w:t xml:space="preserve">支付了 </w:t>
            </w:r>
            <w:r>
              <w:rPr>
                <w:rFonts w:ascii="Times New Roman" w:eastAsia="Times New Roman"/>
                <w:spacing w:val="-2"/>
                <w:sz w:val="18"/>
              </w:rPr>
              <w:t xml:space="preserve">24 </w:t>
            </w:r>
            <w:r>
              <w:rPr>
                <w:spacing w:val="-2"/>
                <w:sz w:val="18"/>
              </w:rPr>
              <w:t>万元的一般医疗保险金，补偿了甲先生的医疗费用开支，减轻了甲先生的家庭经济负担。</w:t>
            </w:r>
          </w:p>
          <w:p>
            <w:pPr>
              <w:pStyle w:val="9"/>
              <w:spacing w:before="157" w:line="209" w:lineRule="exact"/>
              <w:ind w:left="107"/>
              <w:rPr>
                <w:sz w:val="18"/>
              </w:rPr>
            </w:pPr>
            <w:r>
              <w:rPr>
                <w:spacing w:val="-1"/>
                <w:sz w:val="18"/>
              </w:rPr>
              <w:t>在同一保单年度内，小甲因意外伤害在三甲医院普通部接受住院治疗，住院天数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95" w:hRule="atLeast"/>
        </w:trPr>
        <w:tc>
          <w:tcPr>
            <w:tcW w:w="1882" w:type="dxa"/>
            <w:tcBorders>
              <w:top w:val="nil"/>
            </w:tcBorders>
          </w:tcPr>
          <w:p>
            <w:pPr>
              <w:pStyle w:val="9"/>
              <w:rPr>
                <w:rFonts w:ascii="Times New Roman"/>
                <w:sz w:val="18"/>
              </w:rPr>
            </w:pPr>
          </w:p>
        </w:tc>
        <w:tc>
          <w:tcPr>
            <w:tcW w:w="1488" w:type="dxa"/>
            <w:tcBorders>
              <w:top w:val="nil"/>
            </w:tcBorders>
          </w:tcPr>
          <w:p>
            <w:pPr>
              <w:pStyle w:val="9"/>
              <w:spacing w:before="4"/>
              <w:ind w:left="189" w:right="178"/>
              <w:jc w:val="center"/>
              <w:rPr>
                <w:sz w:val="18"/>
              </w:rPr>
            </w:pPr>
            <w:r>
              <w:rPr>
                <w:spacing w:val="-23"/>
                <w:sz w:val="18"/>
              </w:rPr>
              <w:t xml:space="preserve">额 </w:t>
            </w:r>
            <w:r>
              <w:rPr>
                <w:rFonts w:ascii="Times New Roman" w:eastAsia="Times New Roman"/>
                <w:sz w:val="18"/>
              </w:rPr>
              <w:t>1</w:t>
            </w:r>
            <w:r>
              <w:rPr>
                <w:rFonts w:ascii="Times New Roman" w:eastAsia="Times New Roman"/>
                <w:spacing w:val="1"/>
                <w:sz w:val="18"/>
              </w:rPr>
              <w:t xml:space="preserve"> </w:t>
            </w:r>
            <w:r>
              <w:rPr>
                <w:spacing w:val="-5"/>
                <w:sz w:val="18"/>
              </w:rPr>
              <w:t>万元</w:t>
            </w:r>
          </w:p>
        </w:tc>
        <w:tc>
          <w:tcPr>
            <w:tcW w:w="6593" w:type="dxa"/>
            <w:tcBorders>
              <w:top w:val="nil"/>
            </w:tcBorders>
          </w:tcPr>
          <w:p>
            <w:pPr>
              <w:pStyle w:val="9"/>
              <w:spacing w:before="83"/>
              <w:ind w:left="107"/>
              <w:rPr>
                <w:sz w:val="18"/>
              </w:rPr>
            </w:pPr>
            <w:r>
              <w:rPr>
                <w:spacing w:val="-23"/>
                <w:sz w:val="18"/>
              </w:rPr>
              <w:t xml:space="preserve">为 </w:t>
            </w:r>
            <w:r>
              <w:rPr>
                <w:rFonts w:ascii="Times New Roman" w:eastAsia="Times New Roman"/>
                <w:sz w:val="18"/>
              </w:rPr>
              <w:t>15</w:t>
            </w:r>
            <w:r>
              <w:rPr>
                <w:rFonts w:ascii="Times New Roman" w:eastAsia="Times New Roman"/>
                <w:spacing w:val="-12"/>
                <w:sz w:val="18"/>
              </w:rPr>
              <w:t xml:space="preserve"> </w:t>
            </w:r>
            <w:r>
              <w:rPr>
                <w:spacing w:val="-4"/>
                <w:sz w:val="18"/>
              </w:rPr>
              <w:t xml:space="preserve">天，总共花费了住院医疗费用 </w:t>
            </w:r>
            <w:r>
              <w:rPr>
                <w:rFonts w:ascii="Times New Roman" w:eastAsia="Times New Roman"/>
                <w:sz w:val="18"/>
              </w:rPr>
              <w:t>10</w:t>
            </w:r>
            <w:r>
              <w:rPr>
                <w:rFonts w:ascii="Times New Roman" w:eastAsia="Times New Roman"/>
                <w:spacing w:val="-5"/>
                <w:sz w:val="18"/>
              </w:rPr>
              <w:t xml:space="preserve"> </w:t>
            </w:r>
            <w:r>
              <w:rPr>
                <w:sz w:val="18"/>
              </w:rPr>
              <w:t>万元（</w:t>
            </w:r>
            <w:r>
              <w:rPr>
                <w:spacing w:val="-15"/>
                <w:sz w:val="18"/>
              </w:rPr>
              <w:t xml:space="preserve">其中 </w:t>
            </w:r>
            <w:r>
              <w:rPr>
                <w:rFonts w:ascii="Times New Roman" w:eastAsia="Times New Roman"/>
                <w:sz w:val="18"/>
              </w:rPr>
              <w:t>5</w:t>
            </w:r>
            <w:r>
              <w:rPr>
                <w:rFonts w:ascii="Times New Roman" w:eastAsia="Times New Roman"/>
                <w:spacing w:val="-2"/>
                <w:sz w:val="18"/>
              </w:rPr>
              <w:t xml:space="preserve"> </w:t>
            </w:r>
            <w:r>
              <w:rPr>
                <w:sz w:val="18"/>
              </w:rPr>
              <w:t>万元在医保目录外</w:t>
            </w:r>
            <w:r>
              <w:rPr>
                <w:spacing w:val="-92"/>
                <w:sz w:val="18"/>
              </w:rPr>
              <w:t>）</w:t>
            </w:r>
            <w:r>
              <w:rPr>
                <w:spacing w:val="-3"/>
                <w:sz w:val="18"/>
              </w:rPr>
              <w:t>。出院后</w:t>
            </w:r>
          </w:p>
          <w:p>
            <w:pPr>
              <w:pStyle w:val="9"/>
              <w:spacing w:before="81"/>
              <w:ind w:left="107"/>
              <w:rPr>
                <w:sz w:val="18"/>
              </w:rPr>
            </w:pPr>
            <w:r>
              <w:rPr>
                <w:spacing w:val="-3"/>
                <w:sz w:val="18"/>
              </w:rPr>
              <w:t xml:space="preserve">因此次意外继续在普通部接受了 </w:t>
            </w:r>
            <w:r>
              <w:rPr>
                <w:rFonts w:ascii="Times New Roman" w:eastAsia="Times New Roman"/>
                <w:sz w:val="18"/>
              </w:rPr>
              <w:t>10</w:t>
            </w:r>
            <w:r>
              <w:rPr>
                <w:rFonts w:ascii="Times New Roman" w:eastAsia="Times New Roman"/>
                <w:spacing w:val="-12"/>
                <w:sz w:val="18"/>
              </w:rPr>
              <w:t xml:space="preserve"> </w:t>
            </w:r>
            <w:r>
              <w:rPr>
                <w:spacing w:val="-3"/>
                <w:sz w:val="18"/>
              </w:rPr>
              <w:t xml:space="preserve">天的门诊治疗，总共花费门诊医疗费用 </w:t>
            </w:r>
            <w:r>
              <w:rPr>
                <w:rFonts w:ascii="Times New Roman" w:eastAsia="Times New Roman"/>
                <w:sz w:val="18"/>
              </w:rPr>
              <w:t>3</w:t>
            </w:r>
            <w:r>
              <w:rPr>
                <w:rFonts w:ascii="Times New Roman" w:eastAsia="Times New Roman"/>
                <w:spacing w:val="-3"/>
                <w:sz w:val="18"/>
              </w:rPr>
              <w:t xml:space="preserve"> </w:t>
            </w:r>
            <w:r>
              <w:rPr>
                <w:spacing w:val="-5"/>
                <w:sz w:val="18"/>
              </w:rPr>
              <w:t>万元</w:t>
            </w:r>
          </w:p>
          <w:p>
            <w:pPr>
              <w:pStyle w:val="9"/>
              <w:spacing w:before="82"/>
              <w:ind w:left="107"/>
              <w:rPr>
                <w:rFonts w:ascii="Times New Roman" w:eastAsia="Times New Roman"/>
                <w:sz w:val="18"/>
              </w:rPr>
            </w:pPr>
            <w:r>
              <w:rPr>
                <w:sz w:val="18"/>
              </w:rPr>
              <w:t>（</w:t>
            </w:r>
            <w:r>
              <w:rPr>
                <w:spacing w:val="-14"/>
                <w:sz w:val="18"/>
              </w:rPr>
              <w:t xml:space="preserve">其中 </w:t>
            </w:r>
            <w:r>
              <w:rPr>
                <w:rFonts w:ascii="Times New Roman" w:eastAsia="Times New Roman"/>
                <w:sz w:val="18"/>
              </w:rPr>
              <w:t>1</w:t>
            </w:r>
            <w:r>
              <w:rPr>
                <w:rFonts w:ascii="Times New Roman" w:eastAsia="Times New Roman"/>
                <w:spacing w:val="6"/>
                <w:sz w:val="18"/>
              </w:rPr>
              <w:t xml:space="preserve"> </w:t>
            </w:r>
            <w:r>
              <w:rPr>
                <w:sz w:val="18"/>
              </w:rPr>
              <w:t>万元在医保目录外</w:t>
            </w:r>
            <w:r>
              <w:rPr>
                <w:spacing w:val="-92"/>
                <w:sz w:val="18"/>
              </w:rPr>
              <w:t>）</w:t>
            </w:r>
            <w:r>
              <w:rPr>
                <w:spacing w:val="-7"/>
                <w:sz w:val="18"/>
              </w:rPr>
              <w:t xml:space="preserve">。在获得了 </w:t>
            </w:r>
            <w:r>
              <w:rPr>
                <w:rFonts w:ascii="Times New Roman" w:eastAsia="Times New Roman"/>
                <w:sz w:val="18"/>
              </w:rPr>
              <w:t>4</w:t>
            </w:r>
            <w:r>
              <w:rPr>
                <w:rFonts w:ascii="Times New Roman" w:eastAsia="Times New Roman"/>
                <w:spacing w:val="6"/>
                <w:sz w:val="18"/>
              </w:rPr>
              <w:t xml:space="preserve"> </w:t>
            </w:r>
            <w:r>
              <w:rPr>
                <w:spacing w:val="-3"/>
                <w:sz w:val="18"/>
              </w:rPr>
              <w:t xml:space="preserve">万元的医保报销后，甲先生就剩余的 </w:t>
            </w:r>
            <w:r>
              <w:rPr>
                <w:rFonts w:ascii="Times New Roman" w:eastAsia="Times New Roman"/>
                <w:spacing w:val="-10"/>
                <w:sz w:val="18"/>
              </w:rPr>
              <w:t>9</w:t>
            </w:r>
          </w:p>
          <w:p>
            <w:pPr>
              <w:pStyle w:val="9"/>
              <w:spacing w:before="81"/>
              <w:ind w:left="107"/>
              <w:rPr>
                <w:sz w:val="18"/>
              </w:rPr>
            </w:pPr>
            <w:r>
              <w:rPr>
                <w:sz w:val="18"/>
              </w:rPr>
              <w:t>万元（</w:t>
            </w:r>
            <w:r>
              <w:rPr>
                <w:spacing w:val="-4"/>
                <w:sz w:val="18"/>
              </w:rPr>
              <w:t xml:space="preserve">其中 </w:t>
            </w:r>
            <w:r>
              <w:rPr>
                <w:rFonts w:ascii="Times New Roman" w:eastAsia="Times New Roman"/>
                <w:sz w:val="18"/>
              </w:rPr>
              <w:t>6</w:t>
            </w:r>
            <w:r>
              <w:rPr>
                <w:rFonts w:ascii="Times New Roman" w:eastAsia="Times New Roman"/>
                <w:spacing w:val="39"/>
                <w:sz w:val="18"/>
              </w:rPr>
              <w:t xml:space="preserve"> </w:t>
            </w:r>
            <w:r>
              <w:rPr>
                <w:sz w:val="18"/>
              </w:rPr>
              <w:t>万元在医保目录外）</w:t>
            </w:r>
            <w:r>
              <w:rPr>
                <w:spacing w:val="-1"/>
                <w:sz w:val="18"/>
              </w:rPr>
              <w:t>向我们申请理赔。由于家庭共享免赔额，且此</w:t>
            </w:r>
          </w:p>
          <w:p>
            <w:pPr>
              <w:pStyle w:val="9"/>
              <w:spacing w:before="81" w:line="324" w:lineRule="auto"/>
              <w:ind w:left="107" w:right="94"/>
              <w:rPr>
                <w:sz w:val="18"/>
              </w:rPr>
            </w:pPr>
            <w:r>
              <w:rPr>
                <w:spacing w:val="-2"/>
                <w:sz w:val="18"/>
              </w:rPr>
              <w:t xml:space="preserve">前在向甲先生给付保险金时已扣除 </w:t>
            </w:r>
            <w:r>
              <w:rPr>
                <w:rFonts w:ascii="Times New Roman" w:eastAsia="Times New Roman"/>
                <w:sz w:val="18"/>
              </w:rPr>
              <w:t>1</w:t>
            </w:r>
            <w:r>
              <w:rPr>
                <w:rFonts w:ascii="Times New Roman" w:eastAsia="Times New Roman"/>
                <w:spacing w:val="-3"/>
                <w:sz w:val="18"/>
              </w:rPr>
              <w:t xml:space="preserve"> </w:t>
            </w:r>
            <w:r>
              <w:rPr>
                <w:spacing w:val="-2"/>
                <w:sz w:val="18"/>
              </w:rPr>
              <w:t xml:space="preserve">万元年免赔额，我们向小甲支付了 </w:t>
            </w:r>
            <w:r>
              <w:rPr>
                <w:rFonts w:ascii="Times New Roman" w:eastAsia="Times New Roman"/>
                <w:sz w:val="18"/>
              </w:rPr>
              <w:t>9</w:t>
            </w:r>
            <w:r>
              <w:rPr>
                <w:rFonts w:ascii="Times New Roman" w:eastAsia="Times New Roman"/>
                <w:spacing w:val="6"/>
                <w:sz w:val="18"/>
              </w:rPr>
              <w:t xml:space="preserve"> </w:t>
            </w:r>
            <w:r>
              <w:rPr>
                <w:sz w:val="18"/>
              </w:rPr>
              <w:t>万元的</w:t>
            </w:r>
            <w:r>
              <w:rPr>
                <w:spacing w:val="-2"/>
                <w:sz w:val="18"/>
              </w:rPr>
              <w:t>一般医疗保险金，补偿了小甲的医疗费用开支，减轻了甲先生的家庭经济负担。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1882" w:type="dxa"/>
            <w:tcBorders>
              <w:bottom w:val="nil"/>
            </w:tcBorders>
          </w:tcPr>
          <w:p>
            <w:pPr>
              <w:pStyle w:val="9"/>
              <w:rPr>
                <w:rFonts w:ascii="Times New Roman"/>
                <w:sz w:val="18"/>
              </w:rPr>
            </w:pPr>
          </w:p>
        </w:tc>
        <w:tc>
          <w:tcPr>
            <w:tcW w:w="1488" w:type="dxa"/>
            <w:tcBorders>
              <w:bottom w:val="nil"/>
            </w:tcBorders>
          </w:tcPr>
          <w:p>
            <w:pPr>
              <w:pStyle w:val="9"/>
              <w:rPr>
                <w:rFonts w:ascii="Times New Roman"/>
                <w:sz w:val="18"/>
              </w:rPr>
            </w:pPr>
          </w:p>
        </w:tc>
        <w:tc>
          <w:tcPr>
            <w:tcW w:w="6593" w:type="dxa"/>
            <w:tcBorders>
              <w:bottom w:val="nil"/>
            </w:tcBorders>
          </w:tcPr>
          <w:p>
            <w:pPr>
              <w:pStyle w:val="9"/>
              <w:spacing w:before="143"/>
              <w:ind w:left="107"/>
              <w:rPr>
                <w:sz w:val="18"/>
              </w:rPr>
            </w:pPr>
            <w:r>
              <w:rPr>
                <w:spacing w:val="-1"/>
                <w:sz w:val="18"/>
              </w:rPr>
              <w:t>若乙女士不幸初次罹患恶性肿瘤，在三甲医院国际部接受住院治疗，住院天数为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7" w:hRule="atLeast"/>
        </w:trPr>
        <w:tc>
          <w:tcPr>
            <w:tcW w:w="1882" w:type="dxa"/>
            <w:tcBorders>
              <w:top w:val="nil"/>
            </w:tcBorders>
          </w:tcPr>
          <w:p>
            <w:pPr>
              <w:pStyle w:val="9"/>
              <w:rPr>
                <w:b/>
                <w:sz w:val="18"/>
              </w:rPr>
            </w:pPr>
          </w:p>
          <w:p>
            <w:pPr>
              <w:pStyle w:val="9"/>
              <w:rPr>
                <w:b/>
                <w:sz w:val="18"/>
              </w:rPr>
            </w:pPr>
          </w:p>
          <w:p>
            <w:pPr>
              <w:pStyle w:val="9"/>
              <w:spacing w:before="1"/>
              <w:rPr>
                <w:b/>
                <w:sz w:val="16"/>
              </w:rPr>
            </w:pPr>
          </w:p>
          <w:p>
            <w:pPr>
              <w:pStyle w:val="9"/>
              <w:ind w:left="118" w:right="112"/>
              <w:jc w:val="center"/>
              <w:rPr>
                <w:sz w:val="18"/>
              </w:rPr>
            </w:pPr>
            <w:r>
              <w:rPr>
                <w:spacing w:val="-2"/>
                <w:sz w:val="18"/>
              </w:rPr>
              <w:t>重大疾病医疗保险金</w:t>
            </w:r>
          </w:p>
        </w:tc>
        <w:tc>
          <w:tcPr>
            <w:tcW w:w="1488" w:type="dxa"/>
            <w:tcBorders>
              <w:top w:val="nil"/>
            </w:tcBorders>
          </w:tcPr>
          <w:p>
            <w:pPr>
              <w:pStyle w:val="9"/>
              <w:rPr>
                <w:b/>
                <w:sz w:val="18"/>
              </w:rPr>
            </w:pPr>
          </w:p>
          <w:p>
            <w:pPr>
              <w:pStyle w:val="9"/>
              <w:spacing w:before="11"/>
              <w:rPr>
                <w:b/>
                <w:sz w:val="21"/>
              </w:rPr>
            </w:pPr>
          </w:p>
          <w:p>
            <w:pPr>
              <w:pStyle w:val="9"/>
              <w:spacing w:before="1"/>
              <w:ind w:left="189" w:right="181"/>
              <w:jc w:val="center"/>
              <w:rPr>
                <w:sz w:val="18"/>
              </w:rPr>
            </w:pPr>
            <w:r>
              <w:rPr>
                <w:spacing w:val="-2"/>
                <w:sz w:val="18"/>
              </w:rPr>
              <w:t>每人给付限额</w:t>
            </w:r>
          </w:p>
          <w:p>
            <w:pPr>
              <w:pStyle w:val="9"/>
              <w:spacing w:before="81"/>
              <w:ind w:left="189" w:right="181"/>
              <w:jc w:val="center"/>
              <w:rPr>
                <w:sz w:val="18"/>
              </w:rPr>
            </w:pPr>
            <w:r>
              <w:rPr>
                <w:rFonts w:ascii="Times New Roman" w:eastAsia="Times New Roman"/>
                <w:sz w:val="18"/>
              </w:rPr>
              <w:t>200</w:t>
            </w:r>
            <w:r>
              <w:rPr>
                <w:rFonts w:ascii="Times New Roman" w:eastAsia="Times New Roman"/>
                <w:spacing w:val="1"/>
                <w:sz w:val="18"/>
              </w:rPr>
              <w:t xml:space="preserve"> </w:t>
            </w:r>
            <w:r>
              <w:rPr>
                <w:spacing w:val="-5"/>
                <w:sz w:val="18"/>
              </w:rPr>
              <w:t>万元</w:t>
            </w:r>
          </w:p>
        </w:tc>
        <w:tc>
          <w:tcPr>
            <w:tcW w:w="6593" w:type="dxa"/>
            <w:tcBorders>
              <w:top w:val="nil"/>
            </w:tcBorders>
          </w:tcPr>
          <w:p>
            <w:pPr>
              <w:pStyle w:val="9"/>
              <w:spacing w:before="43"/>
              <w:ind w:left="107"/>
              <w:rPr>
                <w:sz w:val="18"/>
              </w:rPr>
            </w:pPr>
            <w:r>
              <w:rPr>
                <w:rFonts w:ascii="Times New Roman" w:eastAsia="Times New Roman"/>
                <w:spacing w:val="-2"/>
                <w:sz w:val="18"/>
              </w:rPr>
              <w:t>80</w:t>
            </w:r>
            <w:r>
              <w:rPr>
                <w:rFonts w:ascii="Times New Roman" w:eastAsia="Times New Roman"/>
                <w:spacing w:val="3"/>
                <w:sz w:val="18"/>
              </w:rPr>
              <w:t xml:space="preserve"> </w:t>
            </w:r>
            <w:r>
              <w:rPr>
                <w:spacing w:val="-5"/>
                <w:sz w:val="18"/>
              </w:rPr>
              <w:t xml:space="preserve">天，总共花费了住院医疗费用 </w:t>
            </w:r>
            <w:r>
              <w:rPr>
                <w:rFonts w:ascii="Times New Roman" w:eastAsia="Times New Roman"/>
                <w:spacing w:val="-2"/>
                <w:sz w:val="18"/>
              </w:rPr>
              <w:t>180</w:t>
            </w:r>
            <w:r>
              <w:rPr>
                <w:rFonts w:ascii="Times New Roman" w:eastAsia="Times New Roman"/>
                <w:spacing w:val="3"/>
                <w:sz w:val="18"/>
              </w:rPr>
              <w:t xml:space="preserve"> </w:t>
            </w:r>
            <w:r>
              <w:rPr>
                <w:spacing w:val="-2"/>
                <w:sz w:val="18"/>
              </w:rPr>
              <w:t>万元（全部在医保目录外</w:t>
            </w:r>
            <w:r>
              <w:rPr>
                <w:spacing w:val="-92"/>
                <w:sz w:val="18"/>
              </w:rPr>
              <w:t>）</w:t>
            </w:r>
            <w:r>
              <w:rPr>
                <w:spacing w:val="-3"/>
                <w:sz w:val="18"/>
              </w:rPr>
              <w:t>。出院后为治疗恶</w:t>
            </w:r>
          </w:p>
          <w:p>
            <w:pPr>
              <w:pStyle w:val="9"/>
              <w:spacing w:before="82"/>
              <w:ind w:left="107"/>
              <w:rPr>
                <w:sz w:val="18"/>
              </w:rPr>
            </w:pPr>
            <w:r>
              <w:rPr>
                <w:spacing w:val="-3"/>
                <w:sz w:val="18"/>
              </w:rPr>
              <w:t xml:space="preserve">性肿瘤继续在普通部接受特殊门诊治疗，总共花费特殊门诊医疗费用 </w:t>
            </w:r>
            <w:r>
              <w:rPr>
                <w:rFonts w:ascii="Times New Roman" w:eastAsia="Times New Roman"/>
                <w:spacing w:val="-2"/>
                <w:sz w:val="18"/>
              </w:rPr>
              <w:t>80</w:t>
            </w:r>
            <w:r>
              <w:rPr>
                <w:rFonts w:ascii="Times New Roman" w:eastAsia="Times New Roman"/>
                <w:spacing w:val="29"/>
                <w:sz w:val="18"/>
              </w:rPr>
              <w:t xml:space="preserve"> </w:t>
            </w:r>
            <w:r>
              <w:rPr>
                <w:spacing w:val="-2"/>
                <w:sz w:val="18"/>
              </w:rPr>
              <w:t>万元（</w:t>
            </w:r>
            <w:r>
              <w:rPr>
                <w:spacing w:val="-10"/>
                <w:sz w:val="18"/>
              </w:rPr>
              <w:t>其</w:t>
            </w:r>
          </w:p>
          <w:p>
            <w:pPr>
              <w:pStyle w:val="9"/>
              <w:spacing w:before="81"/>
              <w:ind w:left="107"/>
              <w:rPr>
                <w:rFonts w:ascii="Times New Roman" w:eastAsia="Times New Roman"/>
                <w:sz w:val="18"/>
              </w:rPr>
            </w:pPr>
            <w:r>
              <w:rPr>
                <w:spacing w:val="-20"/>
                <w:sz w:val="18"/>
              </w:rPr>
              <w:t xml:space="preserve">中 </w:t>
            </w:r>
            <w:r>
              <w:rPr>
                <w:rFonts w:ascii="Times New Roman" w:eastAsia="Times New Roman"/>
                <w:sz w:val="18"/>
              </w:rPr>
              <w:t>40</w:t>
            </w:r>
            <w:r>
              <w:rPr>
                <w:rFonts w:ascii="Times New Roman" w:eastAsia="Times New Roman"/>
                <w:spacing w:val="6"/>
                <w:sz w:val="18"/>
              </w:rPr>
              <w:t xml:space="preserve"> </w:t>
            </w:r>
            <w:r>
              <w:rPr>
                <w:sz w:val="18"/>
              </w:rPr>
              <w:t>万元在医保目录外</w:t>
            </w:r>
            <w:r>
              <w:rPr>
                <w:spacing w:val="-92"/>
                <w:sz w:val="18"/>
              </w:rPr>
              <w:t>）</w:t>
            </w:r>
            <w:r>
              <w:rPr>
                <w:spacing w:val="-7"/>
                <w:sz w:val="18"/>
              </w:rPr>
              <w:t xml:space="preserve">。在获得了 </w:t>
            </w:r>
            <w:r>
              <w:rPr>
                <w:rFonts w:ascii="Times New Roman" w:eastAsia="Times New Roman"/>
                <w:sz w:val="18"/>
              </w:rPr>
              <w:t>20</w:t>
            </w:r>
            <w:r>
              <w:rPr>
                <w:rFonts w:ascii="Times New Roman" w:eastAsia="Times New Roman"/>
                <w:spacing w:val="6"/>
                <w:sz w:val="18"/>
              </w:rPr>
              <w:t xml:space="preserve"> </w:t>
            </w:r>
            <w:r>
              <w:rPr>
                <w:spacing w:val="-3"/>
                <w:sz w:val="18"/>
              </w:rPr>
              <w:t xml:space="preserve">万元的医保报销后，乙女士就剩余的 </w:t>
            </w:r>
            <w:r>
              <w:rPr>
                <w:rFonts w:ascii="Times New Roman" w:eastAsia="Times New Roman"/>
                <w:spacing w:val="-5"/>
                <w:sz w:val="18"/>
              </w:rPr>
              <w:t>240</w:t>
            </w:r>
          </w:p>
          <w:p>
            <w:pPr>
              <w:pStyle w:val="9"/>
              <w:spacing w:before="81"/>
              <w:ind w:left="107"/>
              <w:rPr>
                <w:rFonts w:ascii="Times New Roman" w:eastAsia="Times New Roman"/>
                <w:sz w:val="18"/>
              </w:rPr>
            </w:pPr>
            <w:r>
              <w:rPr>
                <w:sz w:val="18"/>
              </w:rPr>
              <w:t>万元（</w:t>
            </w:r>
            <w:r>
              <w:rPr>
                <w:spacing w:val="-2"/>
                <w:sz w:val="18"/>
              </w:rPr>
              <w:t xml:space="preserve">其中 </w:t>
            </w:r>
            <w:r>
              <w:rPr>
                <w:rFonts w:ascii="Times New Roman" w:eastAsia="Times New Roman"/>
                <w:sz w:val="18"/>
              </w:rPr>
              <w:t>220</w:t>
            </w:r>
            <w:r>
              <w:rPr>
                <w:rFonts w:ascii="Times New Roman" w:eastAsia="Times New Roman"/>
                <w:spacing w:val="40"/>
                <w:sz w:val="18"/>
              </w:rPr>
              <w:t xml:space="preserve"> </w:t>
            </w:r>
            <w:r>
              <w:rPr>
                <w:sz w:val="18"/>
              </w:rPr>
              <w:t>万元在医保目录外）</w:t>
            </w:r>
            <w:r>
              <w:rPr>
                <w:spacing w:val="-1"/>
                <w:sz w:val="18"/>
              </w:rPr>
              <w:t xml:space="preserve">向我们申请理赔。我们向乙女士支付了 </w:t>
            </w:r>
            <w:r>
              <w:rPr>
                <w:rFonts w:ascii="Times New Roman" w:eastAsia="Times New Roman"/>
                <w:spacing w:val="-5"/>
                <w:sz w:val="18"/>
              </w:rPr>
              <w:t>200</w:t>
            </w:r>
          </w:p>
          <w:p>
            <w:pPr>
              <w:pStyle w:val="9"/>
              <w:spacing w:before="82" w:line="324" w:lineRule="auto"/>
              <w:ind w:left="107" w:right="7"/>
              <w:rPr>
                <w:sz w:val="18"/>
              </w:rPr>
            </w:pPr>
            <w:r>
              <w:rPr>
                <w:spacing w:val="-1"/>
                <w:sz w:val="18"/>
              </w:rPr>
              <w:t xml:space="preserve">万元的一般医疗保险金，该项责任终止；随后，又向乙女士支付了 </w:t>
            </w:r>
            <w:r>
              <w:rPr>
                <w:rFonts w:ascii="Times New Roman" w:eastAsia="Times New Roman"/>
                <w:sz w:val="18"/>
              </w:rPr>
              <w:t xml:space="preserve">40 </w:t>
            </w:r>
            <w:r>
              <w:rPr>
                <w:sz w:val="18"/>
              </w:rPr>
              <w:t>万元的重大</w:t>
            </w:r>
            <w:r>
              <w:rPr>
                <w:spacing w:val="-3"/>
                <w:sz w:val="18"/>
              </w:rPr>
              <w:t>疾病医疗保险金，补偿了乙女士的医疗费用开支，减轻了乙女士的家庭经济负担。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9" w:hRule="atLeast"/>
        </w:trPr>
        <w:tc>
          <w:tcPr>
            <w:tcW w:w="1882" w:type="dxa"/>
          </w:tcPr>
          <w:p>
            <w:pPr>
              <w:pStyle w:val="9"/>
              <w:spacing w:before="1"/>
              <w:rPr>
                <w:b/>
                <w:sz w:val="24"/>
              </w:rPr>
            </w:pPr>
          </w:p>
          <w:p>
            <w:pPr>
              <w:pStyle w:val="9"/>
              <w:spacing w:before="1"/>
              <w:ind w:left="118" w:right="109"/>
              <w:jc w:val="center"/>
              <w:rPr>
                <w:sz w:val="18"/>
              </w:rPr>
            </w:pPr>
            <w:r>
              <w:rPr>
                <w:spacing w:val="-2"/>
                <w:sz w:val="18"/>
              </w:rPr>
              <w:t>恶性肿瘤住院津贴</w:t>
            </w:r>
          </w:p>
        </w:tc>
        <w:tc>
          <w:tcPr>
            <w:tcW w:w="1488" w:type="dxa"/>
          </w:tcPr>
          <w:p>
            <w:pPr>
              <w:pStyle w:val="9"/>
              <w:spacing w:before="1"/>
              <w:rPr>
                <w:b/>
                <w:sz w:val="24"/>
              </w:rPr>
            </w:pPr>
          </w:p>
          <w:p>
            <w:pPr>
              <w:pStyle w:val="9"/>
              <w:spacing w:before="1"/>
              <w:ind w:left="189" w:right="178"/>
              <w:jc w:val="center"/>
              <w:rPr>
                <w:sz w:val="18"/>
              </w:rPr>
            </w:pPr>
            <w:r>
              <w:rPr>
                <w:spacing w:val="-16"/>
                <w:sz w:val="18"/>
              </w:rPr>
              <w:t xml:space="preserve">上限 </w:t>
            </w:r>
            <w:r>
              <w:rPr>
                <w:sz w:val="18"/>
              </w:rPr>
              <w:t>90</w:t>
            </w:r>
            <w:r>
              <w:rPr>
                <w:spacing w:val="-27"/>
                <w:sz w:val="18"/>
              </w:rPr>
              <w:t xml:space="preserve"> 天</w:t>
            </w:r>
          </w:p>
        </w:tc>
        <w:tc>
          <w:tcPr>
            <w:tcW w:w="6593" w:type="dxa"/>
          </w:tcPr>
          <w:p>
            <w:pPr>
              <w:pStyle w:val="9"/>
              <w:spacing w:before="153" w:line="324" w:lineRule="auto"/>
              <w:ind w:left="107" w:right="96"/>
              <w:rPr>
                <w:sz w:val="18"/>
              </w:rPr>
            </w:pPr>
            <w:r>
              <w:rPr>
                <w:spacing w:val="-2"/>
                <w:sz w:val="18"/>
              </w:rPr>
              <w:t>在乙女士患恶性肿瘤住院期间，我们按照合同约定，根据住院天数向乙女士给付恶性肿瘤住院津贴，补偿了乙女士因住院治疗导致的经济损失。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882" w:type="dxa"/>
            <w:tcBorders>
              <w:bottom w:val="nil"/>
            </w:tcBorders>
          </w:tcPr>
          <w:p>
            <w:pPr>
              <w:pStyle w:val="9"/>
              <w:rPr>
                <w:rFonts w:ascii="Times New Roman"/>
                <w:sz w:val="18"/>
              </w:rPr>
            </w:pPr>
          </w:p>
        </w:tc>
        <w:tc>
          <w:tcPr>
            <w:tcW w:w="1488" w:type="dxa"/>
            <w:tcBorders>
              <w:bottom w:val="nil"/>
            </w:tcBorders>
          </w:tcPr>
          <w:p>
            <w:pPr>
              <w:pStyle w:val="9"/>
              <w:rPr>
                <w:rFonts w:ascii="Times New Roman"/>
                <w:sz w:val="18"/>
              </w:rPr>
            </w:pPr>
          </w:p>
        </w:tc>
        <w:tc>
          <w:tcPr>
            <w:tcW w:w="6593" w:type="dxa"/>
            <w:tcBorders>
              <w:bottom w:val="nil"/>
            </w:tcBorders>
          </w:tcPr>
          <w:p>
            <w:pPr>
              <w:pStyle w:val="9"/>
              <w:spacing w:before="160"/>
              <w:ind w:left="107"/>
              <w:rPr>
                <w:sz w:val="18"/>
              </w:rPr>
            </w:pPr>
            <w:r>
              <w:rPr>
                <w:spacing w:val="-1"/>
                <w:sz w:val="18"/>
              </w:rPr>
              <w:t>乙女士确诊患有恶性肿瘤，我们会为乙女士安排二次诊疗意见服务，对病情进行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882" w:type="dxa"/>
            <w:tcBorders>
              <w:top w:val="nil"/>
              <w:bottom w:val="nil"/>
            </w:tcBorders>
          </w:tcPr>
          <w:p>
            <w:pPr>
              <w:pStyle w:val="9"/>
              <w:rPr>
                <w:rFonts w:ascii="Times New Roman"/>
                <w:sz w:val="18"/>
              </w:rPr>
            </w:pPr>
          </w:p>
        </w:tc>
        <w:tc>
          <w:tcPr>
            <w:tcW w:w="1488" w:type="dxa"/>
            <w:tcBorders>
              <w:top w:val="nil"/>
              <w:bottom w:val="nil"/>
            </w:tcBorders>
          </w:tcPr>
          <w:p>
            <w:pPr>
              <w:pStyle w:val="9"/>
              <w:rPr>
                <w:rFonts w:ascii="Times New Roman"/>
                <w:sz w:val="18"/>
              </w:rPr>
            </w:pPr>
          </w:p>
        </w:tc>
        <w:tc>
          <w:tcPr>
            <w:tcW w:w="6593" w:type="dxa"/>
            <w:tcBorders>
              <w:top w:val="nil"/>
              <w:bottom w:val="nil"/>
            </w:tcBorders>
          </w:tcPr>
          <w:p>
            <w:pPr>
              <w:pStyle w:val="9"/>
              <w:spacing w:before="40"/>
              <w:ind w:left="107"/>
              <w:rPr>
                <w:sz w:val="18"/>
              </w:rPr>
            </w:pPr>
            <w:r>
              <w:rPr>
                <w:spacing w:val="-1"/>
                <w:sz w:val="18"/>
              </w:rPr>
              <w:t>国际会诊并详细分析解读诊断结果，形成二次诊疗意见，为后续治疗提供有效指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882" w:type="dxa"/>
            <w:tcBorders>
              <w:top w:val="nil"/>
              <w:bottom w:val="nil"/>
            </w:tcBorders>
          </w:tcPr>
          <w:p>
            <w:pPr>
              <w:pStyle w:val="9"/>
              <w:spacing w:before="40"/>
              <w:ind w:left="118" w:right="112"/>
              <w:jc w:val="center"/>
              <w:rPr>
                <w:sz w:val="18"/>
              </w:rPr>
            </w:pPr>
            <w:r>
              <w:rPr>
                <w:spacing w:val="-2"/>
                <w:sz w:val="18"/>
              </w:rPr>
              <w:t>恶性肿瘤赴德国或日</w:t>
            </w:r>
          </w:p>
        </w:tc>
        <w:tc>
          <w:tcPr>
            <w:tcW w:w="1488" w:type="dxa"/>
            <w:tcBorders>
              <w:top w:val="nil"/>
              <w:bottom w:val="nil"/>
            </w:tcBorders>
          </w:tcPr>
          <w:p>
            <w:pPr>
              <w:pStyle w:val="9"/>
              <w:spacing w:before="40"/>
              <w:ind w:left="189" w:right="181"/>
              <w:jc w:val="center"/>
              <w:rPr>
                <w:sz w:val="18"/>
              </w:rPr>
            </w:pPr>
            <w:r>
              <w:rPr>
                <w:sz w:val="18"/>
              </w:rPr>
              <w:t>200</w:t>
            </w:r>
            <w:r>
              <w:rPr>
                <w:spacing w:val="-18"/>
                <w:sz w:val="18"/>
              </w:rPr>
              <w:t xml:space="preserve"> 万元</w:t>
            </w:r>
          </w:p>
        </w:tc>
        <w:tc>
          <w:tcPr>
            <w:tcW w:w="6593" w:type="dxa"/>
            <w:tcBorders>
              <w:top w:val="nil"/>
              <w:bottom w:val="nil"/>
            </w:tcBorders>
          </w:tcPr>
          <w:p>
            <w:pPr>
              <w:pStyle w:val="9"/>
              <w:spacing w:before="40"/>
              <w:ind w:left="107"/>
              <w:rPr>
                <w:sz w:val="18"/>
              </w:rPr>
            </w:pPr>
            <w:r>
              <w:rPr>
                <w:spacing w:val="-5"/>
                <w:sz w:val="18"/>
              </w:rPr>
              <w:t>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2" w:type="dxa"/>
            <w:tcBorders>
              <w:top w:val="nil"/>
              <w:bottom w:val="nil"/>
            </w:tcBorders>
          </w:tcPr>
          <w:p>
            <w:pPr>
              <w:pStyle w:val="9"/>
              <w:spacing w:before="40"/>
              <w:ind w:left="118" w:right="109"/>
              <w:jc w:val="center"/>
              <w:rPr>
                <w:sz w:val="18"/>
              </w:rPr>
            </w:pPr>
            <w:r>
              <w:rPr>
                <w:spacing w:val="-2"/>
                <w:sz w:val="18"/>
              </w:rPr>
              <w:t>本医疗保险金</w:t>
            </w:r>
          </w:p>
        </w:tc>
        <w:tc>
          <w:tcPr>
            <w:tcW w:w="1488" w:type="dxa"/>
            <w:tcBorders>
              <w:top w:val="nil"/>
              <w:bottom w:val="nil"/>
            </w:tcBorders>
          </w:tcPr>
          <w:p>
            <w:pPr>
              <w:pStyle w:val="9"/>
              <w:spacing w:before="40"/>
              <w:ind w:left="188" w:right="181"/>
              <w:jc w:val="center"/>
              <w:rPr>
                <w:sz w:val="18"/>
              </w:rPr>
            </w:pPr>
            <w:r>
              <w:rPr>
                <w:spacing w:val="-9"/>
                <w:sz w:val="18"/>
              </w:rPr>
              <w:t xml:space="preserve">赔付比例 </w:t>
            </w:r>
            <w:r>
              <w:rPr>
                <w:spacing w:val="-5"/>
                <w:sz w:val="18"/>
              </w:rPr>
              <w:t>70%</w:t>
            </w:r>
          </w:p>
        </w:tc>
        <w:tc>
          <w:tcPr>
            <w:tcW w:w="6593" w:type="dxa"/>
            <w:tcBorders>
              <w:top w:val="nil"/>
              <w:bottom w:val="nil"/>
            </w:tcBorders>
          </w:tcPr>
          <w:p>
            <w:pPr>
              <w:pStyle w:val="9"/>
              <w:spacing w:before="40"/>
              <w:ind w:left="107"/>
              <w:rPr>
                <w:sz w:val="18"/>
              </w:rPr>
            </w:pPr>
            <w:r>
              <w:rPr>
                <w:spacing w:val="-1"/>
                <w:sz w:val="18"/>
              </w:rPr>
              <w:t>若乙女士在进行了二次诊疗后，符合海外就医条件并希望赴境外医疗机构接受治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1882" w:type="dxa"/>
            <w:tcBorders>
              <w:top w:val="nil"/>
              <w:bottom w:val="nil"/>
            </w:tcBorders>
          </w:tcPr>
          <w:p>
            <w:pPr>
              <w:pStyle w:val="9"/>
              <w:rPr>
                <w:rFonts w:ascii="Times New Roman"/>
                <w:sz w:val="18"/>
              </w:rPr>
            </w:pPr>
          </w:p>
        </w:tc>
        <w:tc>
          <w:tcPr>
            <w:tcW w:w="1488" w:type="dxa"/>
            <w:tcBorders>
              <w:top w:val="nil"/>
              <w:bottom w:val="nil"/>
            </w:tcBorders>
          </w:tcPr>
          <w:p>
            <w:pPr>
              <w:pStyle w:val="9"/>
              <w:rPr>
                <w:rFonts w:ascii="Times New Roman"/>
                <w:sz w:val="18"/>
              </w:rPr>
            </w:pPr>
          </w:p>
        </w:tc>
        <w:tc>
          <w:tcPr>
            <w:tcW w:w="6593" w:type="dxa"/>
            <w:tcBorders>
              <w:top w:val="nil"/>
              <w:bottom w:val="nil"/>
            </w:tcBorders>
          </w:tcPr>
          <w:p>
            <w:pPr>
              <w:pStyle w:val="9"/>
              <w:spacing w:before="40"/>
              <w:ind w:left="107"/>
              <w:rPr>
                <w:sz w:val="18"/>
              </w:rPr>
            </w:pPr>
            <w:r>
              <w:rPr>
                <w:spacing w:val="-1"/>
                <w:sz w:val="18"/>
              </w:rPr>
              <w:t>疗，由我们安排赴德国或日本医疗机构就诊事宜。在治疗期间产生的保险责任范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2" w:hRule="atLeast"/>
        </w:trPr>
        <w:tc>
          <w:tcPr>
            <w:tcW w:w="1882" w:type="dxa"/>
            <w:tcBorders>
              <w:top w:val="nil"/>
            </w:tcBorders>
          </w:tcPr>
          <w:p>
            <w:pPr>
              <w:pStyle w:val="9"/>
              <w:rPr>
                <w:rFonts w:ascii="Times New Roman"/>
                <w:sz w:val="18"/>
              </w:rPr>
            </w:pPr>
          </w:p>
        </w:tc>
        <w:tc>
          <w:tcPr>
            <w:tcW w:w="1488" w:type="dxa"/>
            <w:tcBorders>
              <w:top w:val="nil"/>
            </w:tcBorders>
          </w:tcPr>
          <w:p>
            <w:pPr>
              <w:pStyle w:val="9"/>
              <w:rPr>
                <w:rFonts w:ascii="Times New Roman"/>
                <w:sz w:val="18"/>
              </w:rPr>
            </w:pPr>
          </w:p>
        </w:tc>
        <w:tc>
          <w:tcPr>
            <w:tcW w:w="6593" w:type="dxa"/>
            <w:tcBorders>
              <w:top w:val="nil"/>
            </w:tcBorders>
          </w:tcPr>
          <w:p>
            <w:pPr>
              <w:pStyle w:val="9"/>
              <w:spacing w:before="43"/>
              <w:ind w:left="107"/>
              <w:rPr>
                <w:sz w:val="18"/>
              </w:rPr>
            </w:pPr>
            <w:r>
              <w:rPr>
                <w:spacing w:val="-4"/>
                <w:sz w:val="18"/>
              </w:rPr>
              <w:t xml:space="preserve">围内的医疗费用共计人民币 </w:t>
            </w:r>
            <w:r>
              <w:rPr>
                <w:rFonts w:ascii="Times New Roman" w:eastAsia="Times New Roman"/>
                <w:sz w:val="18"/>
              </w:rPr>
              <w:t>150</w:t>
            </w:r>
            <w:r>
              <w:rPr>
                <w:rFonts w:ascii="Times New Roman" w:eastAsia="Times New Roman"/>
                <w:spacing w:val="-1"/>
                <w:sz w:val="18"/>
              </w:rPr>
              <w:t xml:space="preserve"> </w:t>
            </w:r>
            <w:r>
              <w:rPr>
                <w:spacing w:val="-4"/>
                <w:sz w:val="18"/>
              </w:rPr>
              <w:t xml:space="preserve">万元，该医疗费用由我们承担 </w:t>
            </w:r>
            <w:r>
              <w:rPr>
                <w:rFonts w:ascii="Times New Roman" w:eastAsia="Times New Roman"/>
                <w:sz w:val="18"/>
              </w:rPr>
              <w:t xml:space="preserve">105 </w:t>
            </w:r>
            <w:r>
              <w:rPr>
                <w:spacing w:val="-4"/>
                <w:sz w:val="18"/>
              </w:rPr>
              <w:t>万元。</w:t>
            </w:r>
          </w:p>
        </w:tc>
      </w:tr>
    </w:tbl>
    <w:p>
      <w:pPr>
        <w:spacing w:after="0"/>
        <w:rPr>
          <w:sz w:val="18"/>
        </w:rPr>
        <w:sectPr>
          <w:pgSz w:w="11910" w:h="16840"/>
          <w:pgMar w:top="1420" w:right="840" w:bottom="280" w:left="860" w:header="720" w:footer="720" w:gutter="0"/>
          <w:cols w:space="720" w:num="1"/>
        </w:sectPr>
      </w:pPr>
    </w:p>
    <w:p>
      <w:pPr>
        <w:spacing w:before="48"/>
        <w:ind w:left="2109" w:right="2128" w:firstLine="0"/>
        <w:jc w:val="center"/>
        <w:rPr>
          <w:b/>
          <w:sz w:val="24"/>
        </w:rPr>
      </w:pPr>
      <w:r>
        <w:rPr>
          <w:b/>
          <w:w w:val="95"/>
          <w:sz w:val="24"/>
        </w:rPr>
        <w:t>您需要注意的几个关键</w:t>
      </w:r>
      <w:r>
        <w:rPr>
          <w:b/>
          <w:spacing w:val="-10"/>
          <w:w w:val="95"/>
          <w:sz w:val="24"/>
        </w:rPr>
        <w:t>词</w:t>
      </w:r>
    </w:p>
    <w:p>
      <w:pPr>
        <w:pStyle w:val="4"/>
        <w:spacing w:before="4"/>
        <w:rPr>
          <w:b/>
        </w:rPr>
      </w:pPr>
    </w:p>
    <w:p>
      <w:pPr>
        <w:pStyle w:val="4"/>
        <w:spacing w:before="78" w:line="280" w:lineRule="auto"/>
        <w:ind w:left="1688" w:right="112"/>
        <w:jc w:val="both"/>
      </w:pPr>
      <w:r>
        <w:drawing>
          <wp:anchor distT="0" distB="0" distL="0" distR="0" simplePos="0" relativeHeight="251664384" behindDoc="0" locked="0" layoutInCell="1" allowOverlap="1">
            <wp:simplePos x="0" y="0"/>
            <wp:positionH relativeFrom="page">
              <wp:posOffset>685800</wp:posOffset>
            </wp:positionH>
            <wp:positionV relativeFrom="paragraph">
              <wp:posOffset>20955</wp:posOffset>
            </wp:positionV>
            <wp:extent cx="620395" cy="63246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a:picLocks noChangeAspect="1"/>
                    </pic:cNvPicPr>
                  </pic:nvPicPr>
                  <pic:blipFill>
                    <a:blip r:embed="rId14" cstate="print"/>
                    <a:stretch>
                      <a:fillRect/>
                    </a:stretch>
                  </pic:blipFill>
                  <pic:spPr>
                    <a:xfrm>
                      <a:off x="0" y="0"/>
                      <a:ext cx="620268" cy="632460"/>
                    </a:xfrm>
                    <a:prstGeom prst="rect">
                      <a:avLst/>
                    </a:prstGeom>
                  </pic:spPr>
                </pic:pic>
              </a:graphicData>
            </a:graphic>
          </wp:anchor>
        </w:drawing>
      </w:r>
      <w:r>
        <w:pict>
          <v:shape id="docshape2" o:spid="_x0000_s1027" o:spt="202" type="#_x0000_t202" style="position:absolute;left:0pt;margin-left:54pt;margin-top:1.65pt;height:49.8pt;width:48.85pt;mso-position-horizontal-relative:page;z-index:251664384;mso-width-relative:page;mso-height-relative:page;" filled="f" stroked="f" coordsize="21600,21600">
            <v:path/>
            <v:fill on="f" focussize="0,0"/>
            <v:stroke on="f" joinstyle="miter"/>
            <v:imagedata o:title=""/>
            <o:lock v:ext="edit"/>
            <v:textbox inset="0mm,0mm,0mm,0mm">
              <w:txbxContent>
                <w:p>
                  <w:pPr>
                    <w:spacing w:before="262"/>
                    <w:ind w:left="172" w:right="0" w:firstLine="0"/>
                    <w:jc w:val="left"/>
                    <w:rPr>
                      <w:rFonts w:hint="eastAsia" w:ascii="幼圆" w:eastAsia="幼圆"/>
                      <w:b/>
                      <w:sz w:val="28"/>
                    </w:rPr>
                  </w:pPr>
                  <w:r>
                    <w:rPr>
                      <w:rFonts w:ascii="Times New Roman" w:eastAsia="Times New Roman"/>
                      <w:b/>
                      <w:sz w:val="28"/>
                    </w:rPr>
                    <w:t>30</w:t>
                  </w:r>
                  <w:r>
                    <w:rPr>
                      <w:rFonts w:ascii="Times New Roman" w:eastAsia="Times New Roman"/>
                      <w:b/>
                      <w:spacing w:val="-3"/>
                      <w:sz w:val="28"/>
                    </w:rPr>
                    <w:t xml:space="preserve"> </w:t>
                  </w:r>
                  <w:r>
                    <w:rPr>
                      <w:rFonts w:hint="eastAsia" w:ascii="幼圆" w:eastAsia="幼圆"/>
                      <w:b/>
                      <w:spacing w:val="-12"/>
                      <w:sz w:val="28"/>
                    </w:rPr>
                    <w:t>天</w:t>
                  </w:r>
                </w:p>
              </w:txbxContent>
            </v:textbox>
          </v:shape>
        </w:pict>
      </w:r>
      <w:r>
        <w:rPr>
          <w:b/>
        </w:rPr>
        <w:t>等待期：</w:t>
      </w:r>
      <w:r>
        <w:rPr>
          <w:spacing w:val="-2"/>
        </w:rPr>
        <w:t xml:space="preserve">从本合同生效之日起 </w:t>
      </w:r>
      <w:r>
        <w:rPr>
          <w:rFonts w:ascii="Times New Roman" w:eastAsia="Times New Roman"/>
        </w:rPr>
        <w:t>30</w:t>
      </w:r>
      <w:r>
        <w:rPr>
          <w:rFonts w:ascii="Times New Roman" w:eastAsia="Times New Roman"/>
          <w:spacing w:val="35"/>
        </w:rPr>
        <w:t xml:space="preserve"> </w:t>
      </w:r>
      <w:r>
        <w:t>日内，被保险人发生疾病，由治疗该疾病产生的医疗费用</w:t>
      </w:r>
      <w:r>
        <w:rPr>
          <w:spacing w:val="-5"/>
        </w:rPr>
        <w:t xml:space="preserve">无论是发生在该 </w:t>
      </w:r>
      <w:r>
        <w:rPr>
          <w:rFonts w:ascii="Times New Roman" w:eastAsia="Times New Roman"/>
          <w:spacing w:val="-2"/>
        </w:rPr>
        <w:t>30</w:t>
      </w:r>
      <w:r>
        <w:rPr>
          <w:rFonts w:ascii="Times New Roman" w:eastAsia="Times New Roman"/>
          <w:spacing w:val="-11"/>
        </w:rPr>
        <w:t xml:space="preserve"> </w:t>
      </w:r>
      <w:r>
        <w:rPr>
          <w:spacing w:val="-3"/>
        </w:rPr>
        <w:t xml:space="preserve">日之内或之外，我们都不承担给付保险金的责任。这 </w:t>
      </w:r>
      <w:r>
        <w:rPr>
          <w:rFonts w:ascii="Times New Roman" w:eastAsia="Times New Roman"/>
          <w:spacing w:val="-2"/>
        </w:rPr>
        <w:t>30</w:t>
      </w:r>
      <w:r>
        <w:rPr>
          <w:rFonts w:ascii="Times New Roman" w:eastAsia="Times New Roman"/>
          <w:spacing w:val="6"/>
        </w:rPr>
        <w:t xml:space="preserve"> </w:t>
      </w:r>
      <w:r>
        <w:rPr>
          <w:spacing w:val="-2"/>
        </w:rPr>
        <w:t>日的时间称为等待期。续保或因意外伤害发生上述情形的，无等待期。</w:t>
      </w:r>
    </w:p>
    <w:p>
      <w:pPr>
        <w:pStyle w:val="4"/>
        <w:rPr>
          <w:sz w:val="20"/>
        </w:rPr>
      </w:pPr>
    </w:p>
    <w:p>
      <w:pPr>
        <w:pStyle w:val="4"/>
        <w:spacing w:before="4"/>
        <w:rPr>
          <w:sz w:val="19"/>
        </w:rPr>
      </w:pPr>
    </w:p>
    <w:p>
      <w:pPr>
        <w:spacing w:before="72" w:line="278" w:lineRule="auto"/>
        <w:ind w:left="1684" w:right="118" w:firstLine="0"/>
        <w:jc w:val="both"/>
        <w:rPr>
          <w:sz w:val="21"/>
        </w:rPr>
      </w:pPr>
      <w:r>
        <w:drawing>
          <wp:anchor distT="0" distB="0" distL="0" distR="0" simplePos="0" relativeHeight="251665408" behindDoc="0" locked="0" layoutInCell="1" allowOverlap="1">
            <wp:simplePos x="0" y="0"/>
            <wp:positionH relativeFrom="page">
              <wp:posOffset>685800</wp:posOffset>
            </wp:positionH>
            <wp:positionV relativeFrom="paragraph">
              <wp:posOffset>74930</wp:posOffset>
            </wp:positionV>
            <wp:extent cx="620395" cy="63119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a:picLocks noChangeAspect="1"/>
                    </pic:cNvPicPr>
                  </pic:nvPicPr>
                  <pic:blipFill>
                    <a:blip r:embed="rId15" cstate="print"/>
                    <a:stretch>
                      <a:fillRect/>
                    </a:stretch>
                  </pic:blipFill>
                  <pic:spPr>
                    <a:xfrm>
                      <a:off x="0" y="0"/>
                      <a:ext cx="620268" cy="630936"/>
                    </a:xfrm>
                    <a:prstGeom prst="rect">
                      <a:avLst/>
                    </a:prstGeom>
                  </pic:spPr>
                </pic:pic>
              </a:graphicData>
            </a:graphic>
          </wp:anchor>
        </w:drawing>
      </w:r>
      <w:r>
        <w:pict>
          <v:shape id="docshape3" o:spid="_x0000_s1028" o:spt="202" type="#_x0000_t202" style="position:absolute;left:0pt;margin-left:54pt;margin-top:5.9pt;height:49.7pt;width:48.85pt;mso-position-horizontal-relative:page;z-index:251665408;mso-width-relative:page;mso-height-relative:page;" filled="f" stroked="f" coordsize="21600,21600">
            <v:path/>
            <v:fill on="f" focussize="0,0"/>
            <v:stroke on="f" joinstyle="miter"/>
            <v:imagedata o:title=""/>
            <o:lock v:ext="edit"/>
            <v:textbox inset="0mm,0mm,0mm,0mm">
              <w:txbxContent>
                <w:p>
                  <w:pPr>
                    <w:spacing w:before="159" w:line="285" w:lineRule="auto"/>
                    <w:ind w:left="172" w:right="157" w:firstLine="0"/>
                    <w:jc w:val="left"/>
                    <w:rPr>
                      <w:rFonts w:ascii="Times New Roman"/>
                      <w:b/>
                      <w:sz w:val="24"/>
                    </w:rPr>
                  </w:pPr>
                  <w:r>
                    <w:rPr>
                      <w:rFonts w:ascii="Times New Roman"/>
                      <w:b/>
                      <w:spacing w:val="-4"/>
                      <w:sz w:val="22"/>
                    </w:rPr>
                    <w:t>100% &amp;60</w:t>
                  </w:r>
                  <w:r>
                    <w:rPr>
                      <w:rFonts w:ascii="Times New Roman"/>
                      <w:b/>
                      <w:spacing w:val="-4"/>
                      <w:sz w:val="24"/>
                    </w:rPr>
                    <w:t>%</w:t>
                  </w:r>
                </w:p>
              </w:txbxContent>
            </v:textbox>
          </v:shape>
        </w:pict>
      </w:r>
      <w:r>
        <w:rPr>
          <w:b/>
          <w:spacing w:val="-2"/>
          <w:sz w:val="21"/>
        </w:rPr>
        <w:t>一般医疗保险金、重大疾病医疗保险金的赔付比例：</w:t>
      </w:r>
      <w:r>
        <w:rPr>
          <w:spacing w:val="-2"/>
          <w:sz w:val="21"/>
        </w:rPr>
        <w:t>如果被保险人以有基本医疗保险、城乡居民大病保险或公费医疗的身份投保本保险，但申请理赔时未从中获得对该次治疗的医疗费</w:t>
      </w:r>
      <w:r>
        <w:rPr>
          <w:spacing w:val="-3"/>
          <w:sz w:val="21"/>
        </w:rPr>
        <w:t xml:space="preserve">用补偿，赔付比例为 </w:t>
      </w:r>
      <w:r>
        <w:rPr>
          <w:rFonts w:ascii="Times New Roman" w:eastAsia="Times New Roman"/>
          <w:sz w:val="21"/>
        </w:rPr>
        <w:t>60%</w:t>
      </w:r>
      <w:r>
        <w:rPr>
          <w:spacing w:val="-2"/>
          <w:sz w:val="21"/>
        </w:rPr>
        <w:t xml:space="preserve">；其他情形下，赔付比例为 </w:t>
      </w:r>
      <w:r>
        <w:rPr>
          <w:rFonts w:ascii="Times New Roman" w:eastAsia="Times New Roman"/>
          <w:sz w:val="21"/>
        </w:rPr>
        <w:t>100%</w:t>
      </w:r>
      <w:r>
        <w:rPr>
          <w:sz w:val="21"/>
        </w:rPr>
        <w:t>。</w:t>
      </w:r>
    </w:p>
    <w:p>
      <w:pPr>
        <w:pStyle w:val="4"/>
        <w:spacing w:before="2"/>
        <w:ind w:left="1684"/>
        <w:jc w:val="both"/>
      </w:pPr>
      <w:r>
        <w:rPr>
          <w:spacing w:val="-5"/>
        </w:rPr>
        <w:t xml:space="preserve">质子重离子医疗费用的赔付比例为 </w:t>
      </w:r>
      <w:r>
        <w:rPr>
          <w:rFonts w:ascii="Times New Roman" w:eastAsia="Times New Roman"/>
          <w:spacing w:val="-2"/>
        </w:rPr>
        <w:t>100%</w:t>
      </w:r>
      <w:r>
        <w:rPr>
          <w:spacing w:val="-10"/>
        </w:rPr>
        <w:t>。</w:t>
      </w:r>
    </w:p>
    <w:p>
      <w:pPr>
        <w:pStyle w:val="4"/>
        <w:rPr>
          <w:sz w:val="20"/>
        </w:rPr>
      </w:pPr>
    </w:p>
    <w:p>
      <w:pPr>
        <w:pStyle w:val="4"/>
        <w:spacing w:before="8"/>
        <w:rPr>
          <w:sz w:val="17"/>
        </w:rPr>
      </w:pPr>
    </w:p>
    <w:p>
      <w:pPr>
        <w:spacing w:before="0" w:line="280" w:lineRule="auto"/>
        <w:ind w:left="1688" w:right="112" w:firstLine="0"/>
        <w:jc w:val="both"/>
        <w:rPr>
          <w:sz w:val="21"/>
        </w:rPr>
      </w:pPr>
      <w:r>
        <w:drawing>
          <wp:anchor distT="0" distB="0" distL="0" distR="0" simplePos="0" relativeHeight="251663360" behindDoc="0" locked="0" layoutInCell="1" allowOverlap="1">
            <wp:simplePos x="0" y="0"/>
            <wp:positionH relativeFrom="page">
              <wp:posOffset>685800</wp:posOffset>
            </wp:positionH>
            <wp:positionV relativeFrom="paragraph">
              <wp:posOffset>-21590</wp:posOffset>
            </wp:positionV>
            <wp:extent cx="620395" cy="63246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a:picLocks noChangeAspect="1"/>
                    </pic:cNvPicPr>
                  </pic:nvPicPr>
                  <pic:blipFill>
                    <a:blip r:embed="rId16" cstate="print"/>
                    <a:stretch>
                      <a:fillRect/>
                    </a:stretch>
                  </pic:blipFill>
                  <pic:spPr>
                    <a:xfrm>
                      <a:off x="0" y="0"/>
                      <a:ext cx="620268" cy="632459"/>
                    </a:xfrm>
                    <a:prstGeom prst="rect">
                      <a:avLst/>
                    </a:prstGeom>
                  </pic:spPr>
                </pic:pic>
              </a:graphicData>
            </a:graphic>
          </wp:anchor>
        </w:drawing>
      </w:r>
      <w:r>
        <w:pict>
          <v:shape id="docshape4" o:spid="_x0000_s1029" o:spt="202" type="#_x0000_t202" style="position:absolute;left:0pt;margin-left:54pt;margin-top:-1.7pt;height:49.8pt;width:48.85pt;mso-position-horizontal-relative:page;z-index:251663360;mso-width-relative:page;mso-height-relative:page;" filled="f" stroked="f" coordsize="21600,21600">
            <v:path/>
            <v:fill on="f" focussize="0,0"/>
            <v:stroke on="f" joinstyle="miter"/>
            <v:imagedata o:title=""/>
            <o:lock v:ext="edit"/>
            <v:textbox inset="0mm,0mm,0mm,0mm">
              <w:txbxContent>
                <w:p>
                  <w:pPr>
                    <w:pStyle w:val="4"/>
                    <w:spacing w:before="9"/>
                  </w:pPr>
                </w:p>
                <w:p>
                  <w:pPr>
                    <w:spacing w:before="0"/>
                    <w:ind w:left="172" w:right="0" w:firstLine="0"/>
                    <w:jc w:val="left"/>
                    <w:rPr>
                      <w:rFonts w:ascii="Times New Roman"/>
                      <w:b/>
                      <w:sz w:val="28"/>
                    </w:rPr>
                  </w:pPr>
                  <w:r>
                    <w:rPr>
                      <w:rFonts w:ascii="Times New Roman"/>
                      <w:b/>
                      <w:spacing w:val="-5"/>
                      <w:sz w:val="28"/>
                    </w:rPr>
                    <w:t>70%</w:t>
                  </w:r>
                </w:p>
              </w:txbxContent>
            </v:textbox>
          </v:shape>
        </w:pict>
      </w:r>
      <w:r>
        <w:rPr>
          <w:b/>
          <w:spacing w:val="-2"/>
          <w:sz w:val="21"/>
        </w:rPr>
        <w:t>恶性肿瘤赴德国或日本医疗保险金的赔付比例：</w:t>
      </w:r>
      <w:r>
        <w:rPr>
          <w:spacing w:val="-2"/>
          <w:sz w:val="21"/>
        </w:rPr>
        <w:t>被保险人于等待期后首次发病并经我们认可的医院的专科医生确诊为本合同约定的恶性肿瘤，选择赴德国或日本治疗恶性肿瘤的，赔付</w:t>
      </w:r>
      <w:r>
        <w:rPr>
          <w:spacing w:val="-11"/>
          <w:sz w:val="21"/>
        </w:rPr>
        <w:t xml:space="preserve">比例为 </w:t>
      </w:r>
      <w:r>
        <w:rPr>
          <w:rFonts w:ascii="Times New Roman" w:eastAsia="Times New Roman"/>
          <w:sz w:val="21"/>
        </w:rPr>
        <w:t>70%</w:t>
      </w:r>
      <w:r>
        <w:rPr>
          <w:sz w:val="21"/>
        </w:rPr>
        <w:t>。</w:t>
      </w:r>
    </w:p>
    <w:p>
      <w:pPr>
        <w:spacing w:after="0" w:line="280" w:lineRule="auto"/>
        <w:jc w:val="both"/>
        <w:rPr>
          <w:sz w:val="21"/>
        </w:rPr>
        <w:sectPr>
          <w:pgSz w:w="11910" w:h="16840"/>
          <w:pgMar w:top="1400" w:right="840" w:bottom="280" w:left="860" w:header="720" w:footer="720" w:gutter="0"/>
          <w:cols w:space="720" w:num="1"/>
        </w:sectPr>
      </w:pPr>
    </w:p>
    <w:p>
      <w:pPr>
        <w:pStyle w:val="3"/>
        <w:spacing w:before="44" w:line="240" w:lineRule="auto"/>
        <w:ind w:left="2109" w:right="2128"/>
        <w:jc w:val="center"/>
        <w:rPr>
          <w:rFonts w:hint="eastAsia" w:ascii="宋体" w:eastAsia="宋体"/>
        </w:rPr>
      </w:pPr>
      <w:r>
        <w:rPr>
          <w:rFonts w:hint="eastAsia" w:ascii="宋体" w:eastAsia="宋体"/>
          <w:spacing w:val="-3"/>
          <w:w w:val="95"/>
        </w:rPr>
        <w:t>责任免除</w:t>
      </w:r>
    </w:p>
    <w:p>
      <w:pPr>
        <w:pStyle w:val="4"/>
        <w:spacing w:before="2"/>
        <w:rPr>
          <w:b/>
          <w:sz w:val="26"/>
        </w:rPr>
      </w:pPr>
    </w:p>
    <w:p>
      <w:pPr>
        <w:pStyle w:val="4"/>
        <w:spacing w:before="72"/>
        <w:ind w:left="220"/>
        <w:rPr>
          <w:rFonts w:ascii="黑体" w:eastAsia="黑体"/>
        </w:rPr>
      </w:pPr>
      <w:r>
        <w:rPr>
          <w:rFonts w:ascii="黑体" w:eastAsia="黑体"/>
          <w:color w:val="000000"/>
          <w:spacing w:val="-3"/>
          <w:shd w:val="clear" w:color="auto" w:fill="D9D9D9"/>
        </w:rPr>
        <w:t>您需要特别注意，因下列情形之一，导致被保险人医疗费用支出的，我们不承担给付保险金的责任：</w:t>
      </w:r>
    </w:p>
    <w:p>
      <w:pPr>
        <w:pStyle w:val="4"/>
        <w:spacing w:before="5"/>
        <w:rPr>
          <w:rFonts w:ascii="黑体"/>
          <w:sz w:val="29"/>
        </w:rPr>
      </w:pPr>
    </w:p>
    <w:p>
      <w:pPr>
        <w:pStyle w:val="8"/>
        <w:numPr>
          <w:ilvl w:val="0"/>
          <w:numId w:val="1"/>
        </w:numPr>
        <w:tabs>
          <w:tab w:val="left" w:pos="852"/>
        </w:tabs>
        <w:spacing w:before="72" w:after="0" w:line="240" w:lineRule="auto"/>
        <w:ind w:left="851" w:right="0" w:hanging="632"/>
        <w:jc w:val="left"/>
        <w:rPr>
          <w:rFonts w:ascii="黑体" w:eastAsia="黑体"/>
          <w:sz w:val="21"/>
        </w:rPr>
      </w:pPr>
      <w:r>
        <w:rPr>
          <w:rFonts w:ascii="黑体" w:eastAsia="黑体"/>
          <w:color w:val="000000"/>
          <w:spacing w:val="-3"/>
          <w:sz w:val="21"/>
          <w:shd w:val="clear" w:color="auto" w:fill="D9D9D9"/>
        </w:rPr>
        <w:t>投保人对被保险人的故意杀害、故意伤害；</w:t>
      </w:r>
    </w:p>
    <w:p>
      <w:pPr>
        <w:pStyle w:val="8"/>
        <w:numPr>
          <w:ilvl w:val="0"/>
          <w:numId w:val="1"/>
        </w:numPr>
        <w:tabs>
          <w:tab w:val="left" w:pos="852"/>
        </w:tabs>
        <w:spacing w:before="91" w:after="0" w:line="240" w:lineRule="auto"/>
        <w:ind w:left="851" w:right="0" w:hanging="632"/>
        <w:jc w:val="left"/>
        <w:rPr>
          <w:rFonts w:ascii="黑体" w:eastAsia="黑体"/>
          <w:sz w:val="21"/>
        </w:rPr>
      </w:pPr>
      <w:r>
        <w:rPr>
          <w:rFonts w:ascii="黑体" w:eastAsia="黑体"/>
          <w:color w:val="000000"/>
          <w:spacing w:val="-3"/>
          <w:sz w:val="21"/>
          <w:shd w:val="clear" w:color="auto" w:fill="D9D9D9"/>
        </w:rPr>
        <w:t>被保险人故意自伤、故意犯罪或抗拒依法采取的刑事强制措施；</w:t>
      </w:r>
    </w:p>
    <w:p>
      <w:pPr>
        <w:pStyle w:val="8"/>
        <w:numPr>
          <w:ilvl w:val="0"/>
          <w:numId w:val="1"/>
        </w:numPr>
        <w:tabs>
          <w:tab w:val="left" w:pos="852"/>
        </w:tabs>
        <w:spacing w:before="88" w:after="0" w:line="240" w:lineRule="auto"/>
        <w:ind w:left="851" w:right="0" w:hanging="632"/>
        <w:jc w:val="left"/>
        <w:rPr>
          <w:rFonts w:ascii="黑体" w:eastAsia="黑体"/>
          <w:sz w:val="21"/>
        </w:rPr>
      </w:pPr>
      <w:r>
        <w:rPr>
          <w:rFonts w:ascii="黑体" w:eastAsia="黑体"/>
          <w:color w:val="000000"/>
          <w:spacing w:val="-3"/>
          <w:sz w:val="21"/>
          <w:shd w:val="clear" w:color="auto" w:fill="D9D9D9"/>
        </w:rPr>
        <w:t>被保险人自杀，但被保险人自杀时为无民事行为能力人的除外；</w:t>
      </w:r>
    </w:p>
    <w:p>
      <w:pPr>
        <w:pStyle w:val="8"/>
        <w:numPr>
          <w:ilvl w:val="0"/>
          <w:numId w:val="1"/>
        </w:numPr>
        <w:tabs>
          <w:tab w:val="left" w:pos="852"/>
        </w:tabs>
        <w:spacing w:before="91" w:after="0" w:line="240" w:lineRule="auto"/>
        <w:ind w:left="851" w:right="0" w:hanging="632"/>
        <w:jc w:val="left"/>
        <w:rPr>
          <w:rFonts w:ascii="黑体" w:eastAsia="黑体"/>
          <w:sz w:val="21"/>
        </w:rPr>
      </w:pPr>
      <w:r>
        <w:rPr>
          <w:rFonts w:ascii="黑体" w:eastAsia="黑体"/>
          <w:color w:val="000000"/>
          <w:spacing w:val="-3"/>
          <w:sz w:val="21"/>
          <w:shd w:val="clear" w:color="auto" w:fill="D9D9D9"/>
        </w:rPr>
        <w:t>被保险人殴斗、醉酒，主动吸食或注射毒品；</w:t>
      </w:r>
    </w:p>
    <w:p>
      <w:pPr>
        <w:pStyle w:val="8"/>
        <w:numPr>
          <w:ilvl w:val="0"/>
          <w:numId w:val="1"/>
        </w:numPr>
        <w:tabs>
          <w:tab w:val="left" w:pos="852"/>
        </w:tabs>
        <w:spacing w:before="89" w:after="0" w:line="240" w:lineRule="auto"/>
        <w:ind w:left="851" w:right="0" w:hanging="632"/>
        <w:jc w:val="left"/>
        <w:rPr>
          <w:rFonts w:ascii="黑体" w:eastAsia="黑体"/>
          <w:sz w:val="21"/>
        </w:rPr>
      </w:pPr>
      <w:r>
        <w:rPr>
          <w:rFonts w:ascii="黑体" w:eastAsia="黑体"/>
          <w:color w:val="000000"/>
          <w:spacing w:val="-3"/>
          <w:sz w:val="21"/>
          <w:shd w:val="clear" w:color="auto" w:fill="D9D9D9"/>
        </w:rPr>
        <w:t>被保险人酒后驾驶，无合法有效驾驶证驾驶，或驾驶无有效行驶证的机动车；</w:t>
      </w:r>
    </w:p>
    <w:p>
      <w:pPr>
        <w:pStyle w:val="8"/>
        <w:numPr>
          <w:ilvl w:val="0"/>
          <w:numId w:val="1"/>
        </w:numPr>
        <w:tabs>
          <w:tab w:val="left" w:pos="852"/>
        </w:tabs>
        <w:spacing w:before="91" w:after="0" w:line="240" w:lineRule="auto"/>
        <w:ind w:left="851" w:right="0" w:hanging="632"/>
        <w:jc w:val="left"/>
        <w:rPr>
          <w:rFonts w:ascii="黑体" w:eastAsia="黑体"/>
          <w:sz w:val="21"/>
        </w:rPr>
      </w:pPr>
      <w:r>
        <w:rPr>
          <w:rFonts w:ascii="黑体" w:eastAsia="黑体"/>
          <w:color w:val="000000"/>
          <w:spacing w:val="-2"/>
          <w:sz w:val="21"/>
          <w:shd w:val="clear" w:color="auto" w:fill="D9D9D9"/>
        </w:rPr>
        <w:t>被保险人感染艾滋病病毒或患艾滋病期间因疾病导致的医疗行为（本合同另有约定的除外</w:t>
      </w:r>
      <w:r>
        <w:rPr>
          <w:rFonts w:ascii="黑体" w:eastAsia="黑体"/>
          <w:color w:val="000000"/>
          <w:spacing w:val="-111"/>
          <w:sz w:val="21"/>
          <w:shd w:val="clear" w:color="auto" w:fill="D9D9D9"/>
        </w:rPr>
        <w:t>）</w:t>
      </w:r>
      <w:r>
        <w:rPr>
          <w:rFonts w:ascii="黑体" w:eastAsia="黑体"/>
          <w:color w:val="000000"/>
          <w:spacing w:val="-5"/>
          <w:sz w:val="21"/>
          <w:shd w:val="clear" w:color="auto" w:fill="D9D9D9"/>
        </w:rPr>
        <w:t>；</w:t>
      </w:r>
    </w:p>
    <w:p>
      <w:pPr>
        <w:pStyle w:val="8"/>
        <w:numPr>
          <w:ilvl w:val="0"/>
          <w:numId w:val="1"/>
        </w:numPr>
        <w:tabs>
          <w:tab w:val="left" w:pos="852"/>
        </w:tabs>
        <w:spacing w:before="88" w:after="0" w:line="240" w:lineRule="auto"/>
        <w:ind w:left="851" w:right="0" w:hanging="632"/>
        <w:jc w:val="left"/>
        <w:rPr>
          <w:rFonts w:ascii="黑体" w:eastAsia="黑体"/>
          <w:sz w:val="21"/>
        </w:rPr>
      </w:pPr>
      <w:r>
        <w:rPr>
          <w:rFonts w:ascii="黑体" w:eastAsia="黑体"/>
          <w:color w:val="000000"/>
          <w:spacing w:val="-2"/>
          <w:sz w:val="21"/>
          <w:shd w:val="clear" w:color="auto" w:fill="D9D9D9"/>
        </w:rPr>
        <w:t>遗传性疾病，先天性畸形、变形或染色体异常（本合同另有约定的除外</w:t>
      </w:r>
      <w:r>
        <w:rPr>
          <w:rFonts w:ascii="黑体" w:eastAsia="黑体"/>
          <w:color w:val="000000"/>
          <w:spacing w:val="-111"/>
          <w:sz w:val="21"/>
          <w:shd w:val="clear" w:color="auto" w:fill="D9D9D9"/>
        </w:rPr>
        <w:t>）</w:t>
      </w:r>
      <w:r>
        <w:rPr>
          <w:rFonts w:ascii="黑体" w:eastAsia="黑体"/>
          <w:color w:val="000000"/>
          <w:spacing w:val="-5"/>
          <w:sz w:val="21"/>
          <w:shd w:val="clear" w:color="auto" w:fill="D9D9D9"/>
        </w:rPr>
        <w:t>；</w:t>
      </w:r>
    </w:p>
    <w:p>
      <w:pPr>
        <w:pStyle w:val="8"/>
        <w:numPr>
          <w:ilvl w:val="0"/>
          <w:numId w:val="1"/>
        </w:numPr>
        <w:tabs>
          <w:tab w:val="left" w:pos="852"/>
        </w:tabs>
        <w:spacing w:before="91" w:after="0" w:line="240" w:lineRule="auto"/>
        <w:ind w:left="851" w:right="0" w:hanging="632"/>
        <w:jc w:val="left"/>
        <w:rPr>
          <w:rFonts w:ascii="黑体" w:eastAsia="黑体"/>
          <w:sz w:val="21"/>
        </w:rPr>
      </w:pPr>
      <w:r>
        <w:rPr>
          <w:rFonts w:ascii="黑体" w:eastAsia="黑体"/>
          <w:color w:val="000000"/>
          <w:spacing w:val="-3"/>
          <w:sz w:val="21"/>
          <w:shd w:val="clear" w:color="auto" w:fill="D9D9D9"/>
        </w:rPr>
        <w:t>未如实告知的既往症，以及本合同特别约定的除外疾病；</w:t>
      </w:r>
    </w:p>
    <w:p>
      <w:pPr>
        <w:pStyle w:val="8"/>
        <w:numPr>
          <w:ilvl w:val="0"/>
          <w:numId w:val="1"/>
        </w:numPr>
        <w:tabs>
          <w:tab w:val="left" w:pos="847"/>
        </w:tabs>
        <w:spacing w:before="89" w:after="0" w:line="240" w:lineRule="auto"/>
        <w:ind w:left="846" w:right="0" w:hanging="627"/>
        <w:jc w:val="left"/>
        <w:rPr>
          <w:rFonts w:ascii="黑体" w:eastAsia="黑体"/>
          <w:sz w:val="21"/>
        </w:rPr>
      </w:pPr>
      <w:r>
        <w:rPr>
          <w:rFonts w:ascii="黑体" w:eastAsia="黑体"/>
          <w:color w:val="000000"/>
          <w:spacing w:val="-2"/>
          <w:sz w:val="21"/>
          <w:shd w:val="clear" w:color="auto" w:fill="D9D9D9"/>
        </w:rPr>
        <w:t>被保险人所患精神和行为障碍（以世界卫生组织颁布的《疾病和有关健康问题的国际统计分类</w:t>
      </w:r>
      <w:r>
        <w:rPr>
          <w:rFonts w:ascii="黑体" w:eastAsia="黑体"/>
          <w:color w:val="000000"/>
          <w:spacing w:val="-4"/>
          <w:sz w:val="21"/>
          <w:shd w:val="clear" w:color="auto" w:fill="D9D9D9"/>
        </w:rPr>
        <w:t>（ICD</w:t>
      </w:r>
    </w:p>
    <w:p>
      <w:pPr>
        <w:pStyle w:val="4"/>
        <w:spacing w:before="90"/>
        <w:ind w:left="851"/>
        <w:rPr>
          <w:rFonts w:ascii="黑体" w:eastAsia="黑体"/>
        </w:rPr>
      </w:pPr>
      <w:r>
        <w:rPr>
          <w:rFonts w:ascii="黑体" w:eastAsia="黑体"/>
          <w:color w:val="000000"/>
          <w:spacing w:val="11"/>
          <w:shd w:val="clear" w:color="auto" w:fill="D9D9D9"/>
        </w:rPr>
        <w:t>－10</w:t>
      </w:r>
      <w:r>
        <w:rPr>
          <w:rFonts w:ascii="黑体" w:eastAsia="黑体"/>
          <w:color w:val="000000"/>
          <w:spacing w:val="-97"/>
          <w:shd w:val="clear" w:color="auto" w:fill="D9D9D9"/>
        </w:rPr>
        <w:t>）</w:t>
      </w:r>
      <w:r>
        <w:rPr>
          <w:rFonts w:ascii="黑体" w:eastAsia="黑体"/>
          <w:color w:val="000000"/>
          <w:spacing w:val="-16"/>
          <w:shd w:val="clear" w:color="auto" w:fill="D9D9D9"/>
        </w:rPr>
        <w:t>》为准</w:t>
      </w:r>
      <w:r>
        <w:rPr>
          <w:rFonts w:ascii="黑体" w:eastAsia="黑体"/>
          <w:color w:val="000000"/>
          <w:spacing w:val="-111"/>
          <w:shd w:val="clear" w:color="auto" w:fill="D9D9D9"/>
        </w:rPr>
        <w:t>）</w:t>
      </w:r>
      <w:r>
        <w:rPr>
          <w:rFonts w:ascii="黑体" w:eastAsia="黑体"/>
          <w:color w:val="000000"/>
          <w:spacing w:val="-5"/>
          <w:shd w:val="clear" w:color="auto" w:fill="D9D9D9"/>
        </w:rPr>
        <w:t>；</w:t>
      </w:r>
    </w:p>
    <w:p>
      <w:pPr>
        <w:pStyle w:val="8"/>
        <w:numPr>
          <w:ilvl w:val="0"/>
          <w:numId w:val="1"/>
        </w:numPr>
        <w:tabs>
          <w:tab w:val="left" w:pos="855"/>
        </w:tabs>
        <w:spacing w:before="89" w:after="0" w:line="321" w:lineRule="auto"/>
        <w:ind w:left="851" w:right="234" w:hanging="632"/>
        <w:jc w:val="left"/>
        <w:rPr>
          <w:rFonts w:ascii="黑体" w:eastAsia="黑体"/>
          <w:sz w:val="21"/>
        </w:rPr>
      </w:pPr>
      <w:r>
        <w:rPr>
          <w:rFonts w:ascii="黑体" w:eastAsia="黑体"/>
          <w:color w:val="000000"/>
          <w:spacing w:val="-2"/>
          <w:sz w:val="21"/>
          <w:shd w:val="clear" w:color="auto" w:fill="D9D9D9"/>
        </w:rPr>
        <w:t>妊娠（含异位妊娠</w:t>
      </w:r>
      <w:r>
        <w:rPr>
          <w:rFonts w:ascii="黑体" w:eastAsia="黑体"/>
          <w:color w:val="000000"/>
          <w:spacing w:val="-108"/>
          <w:sz w:val="21"/>
          <w:shd w:val="clear" w:color="auto" w:fill="D9D9D9"/>
        </w:rPr>
        <w:t>）</w:t>
      </w:r>
      <w:r>
        <w:rPr>
          <w:rFonts w:ascii="黑体" w:eastAsia="黑体"/>
          <w:color w:val="000000"/>
          <w:spacing w:val="-2"/>
          <w:sz w:val="21"/>
          <w:shd w:val="clear" w:color="auto" w:fill="D9D9D9"/>
        </w:rPr>
        <w:t>、分娩（含剖腹产</w:t>
      </w:r>
      <w:r>
        <w:rPr>
          <w:rFonts w:ascii="黑体" w:eastAsia="黑体"/>
          <w:color w:val="000000"/>
          <w:spacing w:val="-106"/>
          <w:sz w:val="21"/>
          <w:shd w:val="clear" w:color="auto" w:fill="D9D9D9"/>
        </w:rPr>
        <w:t>）</w:t>
      </w:r>
      <w:r>
        <w:rPr>
          <w:rFonts w:ascii="黑体" w:eastAsia="黑体"/>
          <w:color w:val="000000"/>
          <w:spacing w:val="-2"/>
          <w:sz w:val="21"/>
          <w:shd w:val="clear" w:color="auto" w:fill="D9D9D9"/>
        </w:rPr>
        <w:t>、流产（含人工流产</w:t>
      </w:r>
      <w:r>
        <w:rPr>
          <w:rFonts w:ascii="黑体" w:eastAsia="黑体"/>
          <w:color w:val="000000"/>
          <w:spacing w:val="-106"/>
          <w:sz w:val="21"/>
          <w:shd w:val="clear" w:color="auto" w:fill="D9D9D9"/>
        </w:rPr>
        <w:t>）</w:t>
      </w:r>
      <w:r>
        <w:rPr>
          <w:rFonts w:ascii="黑体" w:eastAsia="黑体"/>
          <w:color w:val="000000"/>
          <w:spacing w:val="-2"/>
          <w:sz w:val="21"/>
          <w:shd w:val="clear" w:color="auto" w:fill="D9D9D9"/>
        </w:rPr>
        <w:t>、不孕不育治疗、人工授精、避孕、节</w:t>
      </w:r>
      <w:r>
        <w:rPr>
          <w:rFonts w:ascii="黑体" w:eastAsia="黑体"/>
          <w:color w:val="000000"/>
          <w:spacing w:val="17745"/>
          <w:sz w:val="21"/>
          <w:shd w:val="clear" w:color="auto" w:fill="D9D9D9"/>
        </w:rPr>
        <w:t xml:space="preserve"> </w:t>
      </w:r>
      <w:r>
        <w:rPr>
          <w:rFonts w:ascii="黑体" w:eastAsia="黑体"/>
          <w:color w:val="000000"/>
          <w:spacing w:val="-2"/>
          <w:sz w:val="21"/>
          <w:shd w:val="clear" w:color="auto" w:fill="D9D9D9"/>
        </w:rPr>
        <w:t>育（含绝育</w:t>
      </w:r>
      <w:r>
        <w:rPr>
          <w:rFonts w:ascii="黑体" w:eastAsia="黑体"/>
          <w:color w:val="000000"/>
          <w:spacing w:val="-106"/>
          <w:sz w:val="21"/>
          <w:shd w:val="clear" w:color="auto" w:fill="D9D9D9"/>
        </w:rPr>
        <w:t>）</w:t>
      </w:r>
      <w:r>
        <w:rPr>
          <w:rFonts w:ascii="黑体" w:eastAsia="黑体"/>
          <w:color w:val="000000"/>
          <w:spacing w:val="-2"/>
          <w:sz w:val="21"/>
          <w:shd w:val="clear" w:color="auto" w:fill="D9D9D9"/>
        </w:rPr>
        <w:t>、绝育后复通、产前产后检查以及由于以上原因引起的并发症；</w:t>
      </w:r>
    </w:p>
    <w:p>
      <w:pPr>
        <w:pStyle w:val="8"/>
        <w:numPr>
          <w:ilvl w:val="0"/>
          <w:numId w:val="1"/>
        </w:numPr>
        <w:tabs>
          <w:tab w:val="left" w:pos="857"/>
        </w:tabs>
        <w:spacing w:before="0" w:after="0" w:line="319" w:lineRule="auto"/>
        <w:ind w:left="851" w:right="126" w:hanging="632"/>
        <w:jc w:val="left"/>
        <w:rPr>
          <w:rFonts w:ascii="黑体" w:eastAsia="黑体"/>
          <w:sz w:val="21"/>
        </w:rPr>
      </w:pPr>
      <w:r>
        <w:rPr>
          <w:rFonts w:ascii="黑体" w:eastAsia="黑体"/>
          <w:color w:val="000000"/>
          <w:spacing w:val="-2"/>
          <w:sz w:val="21"/>
          <w:shd w:val="clear" w:color="auto" w:fill="D9D9D9"/>
        </w:rPr>
        <w:t>休养或疗养、康复性治疗、特别护理或静养、身体健康检查、椎间盘突出症、美容减肥、各类医疗</w:t>
      </w:r>
      <w:r>
        <w:rPr>
          <w:rFonts w:ascii="黑体" w:eastAsia="黑体"/>
          <w:color w:val="000000"/>
          <w:spacing w:val="80"/>
          <w:w w:val="150"/>
          <w:sz w:val="21"/>
          <w:shd w:val="clear" w:color="auto" w:fill="D9D9D9"/>
        </w:rPr>
        <w:t xml:space="preserve">                                                  </w:t>
      </w:r>
      <w:r>
        <w:rPr>
          <w:rFonts w:ascii="黑体" w:eastAsia="黑体"/>
          <w:color w:val="000000"/>
          <w:spacing w:val="-2"/>
          <w:sz w:val="21"/>
          <w:shd w:val="clear" w:color="auto" w:fill="D9D9D9"/>
        </w:rPr>
        <w:t>咨询（包括心理咨询、健康咨询、睡眠咨询等</w:t>
      </w:r>
      <w:r>
        <w:rPr>
          <w:rFonts w:ascii="黑体" w:eastAsia="黑体"/>
          <w:color w:val="000000"/>
          <w:spacing w:val="-106"/>
          <w:sz w:val="21"/>
          <w:shd w:val="clear" w:color="auto" w:fill="D9D9D9"/>
        </w:rPr>
        <w:t>）</w:t>
      </w:r>
      <w:r>
        <w:rPr>
          <w:rFonts w:ascii="黑体" w:eastAsia="黑体"/>
          <w:color w:val="000000"/>
          <w:spacing w:val="-2"/>
          <w:sz w:val="21"/>
          <w:shd w:val="clear" w:color="auto" w:fill="D9D9D9"/>
        </w:rPr>
        <w:t>、各类医疗鉴定（包括医疗事故鉴定、精神病鉴定、孕妇胎儿性别鉴定、验伤鉴定、亲子鉴定、遗传基因鉴定等</w:t>
      </w:r>
      <w:r>
        <w:rPr>
          <w:rFonts w:ascii="黑体" w:eastAsia="黑体"/>
          <w:color w:val="000000"/>
          <w:spacing w:val="-108"/>
          <w:sz w:val="21"/>
          <w:shd w:val="clear" w:color="auto" w:fill="D9D9D9"/>
        </w:rPr>
        <w:t>）</w:t>
      </w:r>
      <w:r>
        <w:rPr>
          <w:rFonts w:ascii="黑体" w:eastAsia="黑体"/>
          <w:color w:val="000000"/>
          <w:spacing w:val="-2"/>
          <w:sz w:val="21"/>
          <w:shd w:val="clear" w:color="auto" w:fill="D9D9D9"/>
        </w:rPr>
        <w:t>、非手术或药物治疗；</w:t>
      </w:r>
    </w:p>
    <w:p>
      <w:pPr>
        <w:pStyle w:val="8"/>
        <w:numPr>
          <w:ilvl w:val="0"/>
          <w:numId w:val="1"/>
        </w:numPr>
        <w:tabs>
          <w:tab w:val="left" w:pos="857"/>
        </w:tabs>
        <w:spacing w:before="0" w:after="0" w:line="319" w:lineRule="auto"/>
        <w:ind w:left="851" w:right="130" w:hanging="632"/>
        <w:jc w:val="left"/>
        <w:rPr>
          <w:rFonts w:ascii="黑体" w:eastAsia="黑体"/>
          <w:sz w:val="21"/>
        </w:rPr>
      </w:pPr>
      <w:r>
        <w:rPr>
          <w:rFonts w:ascii="黑体" w:eastAsia="黑体"/>
          <w:color w:val="000000"/>
          <w:spacing w:val="-2"/>
          <w:sz w:val="21"/>
          <w:shd w:val="clear" w:color="auto" w:fill="D9D9D9"/>
        </w:rPr>
        <w:t>整容手术（因意外伤害导致的整容手术除外</w:t>
      </w:r>
      <w:r>
        <w:rPr>
          <w:rFonts w:ascii="黑体" w:eastAsia="黑体"/>
          <w:color w:val="000000"/>
          <w:spacing w:val="-106"/>
          <w:sz w:val="21"/>
          <w:shd w:val="clear" w:color="auto" w:fill="D9D9D9"/>
        </w:rPr>
        <w:t>）</w:t>
      </w:r>
      <w:r>
        <w:rPr>
          <w:rFonts w:ascii="黑体" w:eastAsia="黑体"/>
          <w:color w:val="000000"/>
          <w:spacing w:val="-2"/>
          <w:sz w:val="21"/>
          <w:shd w:val="clear" w:color="auto" w:fill="D9D9D9"/>
        </w:rPr>
        <w:t>、矫形、视力矫正、牙科治疗（包括牙科保健、拔牙、</w:t>
      </w:r>
      <w:r>
        <w:rPr>
          <w:rFonts w:ascii="黑体" w:eastAsia="黑体"/>
          <w:color w:val="000000"/>
          <w:spacing w:val="17955"/>
          <w:sz w:val="21"/>
          <w:shd w:val="clear" w:color="auto" w:fill="D9D9D9"/>
        </w:rPr>
        <w:t xml:space="preserve"> </w:t>
      </w:r>
      <w:r>
        <w:rPr>
          <w:rFonts w:ascii="黑体" w:eastAsia="黑体"/>
          <w:color w:val="000000"/>
          <w:spacing w:val="-2"/>
          <w:sz w:val="21"/>
          <w:shd w:val="clear" w:color="auto" w:fill="D9D9D9"/>
        </w:rPr>
        <w:t>洗牙、牙齿美白、牙齿正畸、补牙、种植牙、镶牙等</w:t>
      </w:r>
      <w:r>
        <w:rPr>
          <w:rFonts w:ascii="黑体" w:eastAsia="黑体"/>
          <w:color w:val="000000"/>
          <w:spacing w:val="-106"/>
          <w:sz w:val="21"/>
          <w:shd w:val="clear" w:color="auto" w:fill="D9D9D9"/>
        </w:rPr>
        <w:t>）</w:t>
      </w:r>
      <w:r>
        <w:rPr>
          <w:rFonts w:ascii="黑体" w:eastAsia="黑体"/>
          <w:color w:val="000000"/>
          <w:sz w:val="21"/>
          <w:shd w:val="clear" w:color="auto" w:fill="D9D9D9"/>
        </w:rPr>
        <w:t>；</w:t>
      </w:r>
    </w:p>
    <w:p>
      <w:pPr>
        <w:pStyle w:val="8"/>
        <w:numPr>
          <w:ilvl w:val="0"/>
          <w:numId w:val="1"/>
        </w:numPr>
        <w:tabs>
          <w:tab w:val="left" w:pos="857"/>
        </w:tabs>
        <w:spacing w:before="2" w:after="0" w:line="319" w:lineRule="auto"/>
        <w:ind w:left="851" w:right="236" w:hanging="632"/>
        <w:jc w:val="left"/>
        <w:rPr>
          <w:rFonts w:ascii="黑体" w:eastAsia="黑体"/>
          <w:sz w:val="21"/>
        </w:rPr>
      </w:pPr>
      <w:r>
        <w:rPr>
          <w:rFonts w:ascii="黑体" w:eastAsia="黑体"/>
          <w:color w:val="000000"/>
          <w:spacing w:val="-2"/>
          <w:sz w:val="21"/>
          <w:shd w:val="clear" w:color="auto" w:fill="D9D9D9"/>
        </w:rPr>
        <w:t>体内植入或体外使用的医疗辅助设备（包括义肢、假体、义眼、助听器、眼镜或隐形眼镜、轮椅、</w:t>
      </w:r>
      <w:r>
        <w:rPr>
          <w:rFonts w:ascii="黑体" w:eastAsia="黑体"/>
          <w:color w:val="000000"/>
          <w:spacing w:val="17745"/>
          <w:sz w:val="21"/>
          <w:shd w:val="clear" w:color="auto" w:fill="D9D9D9"/>
        </w:rPr>
        <w:t xml:space="preserve"> </w:t>
      </w:r>
      <w:r>
        <w:rPr>
          <w:rFonts w:ascii="黑体" w:eastAsia="黑体"/>
          <w:color w:val="000000"/>
          <w:spacing w:val="-2"/>
          <w:sz w:val="21"/>
          <w:shd w:val="clear" w:color="auto" w:fill="D9D9D9"/>
        </w:rPr>
        <w:t>拐杖、康复治疗器械、按摩保健用品、非处方医疗器械等）的购买、租用、安装和置换费用；</w:t>
      </w:r>
    </w:p>
    <w:p>
      <w:pPr>
        <w:pStyle w:val="8"/>
        <w:numPr>
          <w:ilvl w:val="0"/>
          <w:numId w:val="1"/>
        </w:numPr>
        <w:tabs>
          <w:tab w:val="left" w:pos="857"/>
        </w:tabs>
        <w:spacing w:before="2" w:after="0" w:line="319" w:lineRule="auto"/>
        <w:ind w:left="851" w:right="236" w:hanging="632"/>
        <w:jc w:val="left"/>
        <w:rPr>
          <w:rFonts w:ascii="黑体" w:eastAsia="黑体"/>
          <w:sz w:val="21"/>
        </w:rPr>
      </w:pPr>
      <w:r>
        <w:rPr>
          <w:rFonts w:ascii="黑体" w:eastAsia="黑体"/>
          <w:color w:val="000000"/>
          <w:spacing w:val="-2"/>
          <w:sz w:val="21"/>
          <w:shd w:val="clear" w:color="auto" w:fill="D9D9D9"/>
        </w:rPr>
        <w:t>包皮环切术、包皮剥离术、包皮气囊扩张术、性功能障碍治疗、各类矫形及生理缺陷治疗（手术和</w:t>
      </w:r>
      <w:r>
        <w:rPr>
          <w:rFonts w:ascii="黑体" w:eastAsia="黑体"/>
          <w:color w:val="000000"/>
          <w:spacing w:val="17745"/>
          <w:sz w:val="21"/>
          <w:shd w:val="clear" w:color="auto" w:fill="D9D9D9"/>
        </w:rPr>
        <w:t xml:space="preserve"> </w:t>
      </w:r>
      <w:r>
        <w:rPr>
          <w:rFonts w:ascii="黑体" w:eastAsia="黑体"/>
          <w:color w:val="000000"/>
          <w:spacing w:val="-2"/>
          <w:sz w:val="21"/>
          <w:shd w:val="clear" w:color="auto" w:fill="D9D9D9"/>
        </w:rPr>
        <w:t>检查检验项目</w:t>
      </w:r>
      <w:r>
        <w:rPr>
          <w:rFonts w:ascii="黑体" w:eastAsia="黑体"/>
          <w:color w:val="000000"/>
          <w:spacing w:val="-108"/>
          <w:sz w:val="21"/>
          <w:shd w:val="clear" w:color="auto" w:fill="D9D9D9"/>
        </w:rPr>
        <w:t>）</w:t>
      </w:r>
      <w:r>
        <w:rPr>
          <w:rFonts w:ascii="黑体" w:eastAsia="黑体"/>
          <w:color w:val="000000"/>
          <w:sz w:val="21"/>
          <w:shd w:val="clear" w:color="auto" w:fill="D9D9D9"/>
        </w:rPr>
        <w:t>；</w:t>
      </w:r>
    </w:p>
    <w:p>
      <w:pPr>
        <w:pStyle w:val="8"/>
        <w:numPr>
          <w:ilvl w:val="0"/>
          <w:numId w:val="1"/>
        </w:numPr>
        <w:tabs>
          <w:tab w:val="left" w:pos="857"/>
        </w:tabs>
        <w:spacing w:before="2" w:after="0" w:line="319" w:lineRule="auto"/>
        <w:ind w:left="851" w:right="232" w:hanging="632"/>
        <w:jc w:val="both"/>
        <w:rPr>
          <w:rFonts w:ascii="黑体" w:eastAsia="黑体"/>
          <w:sz w:val="21"/>
        </w:rPr>
      </w:pPr>
      <w:r>
        <w:rPr>
          <w:rFonts w:ascii="黑体" w:eastAsia="黑体"/>
          <w:color w:val="000000"/>
          <w:spacing w:val="-2"/>
          <w:sz w:val="21"/>
          <w:shd w:val="clear" w:color="auto" w:fill="D9D9D9"/>
        </w:rPr>
        <w:t>被保险人未遵医嘱私自服用、涂用、注射药物，未遵医嘱使用管制药物或处方药物，未按说明书所</w:t>
      </w:r>
      <w:r>
        <w:rPr>
          <w:rFonts w:ascii="黑体" w:eastAsia="黑体"/>
          <w:color w:val="000000"/>
          <w:spacing w:val="40"/>
          <w:sz w:val="21"/>
          <w:shd w:val="clear" w:color="auto" w:fill="D9D9D9"/>
        </w:rPr>
        <w:t xml:space="preserve"> </w:t>
      </w:r>
      <w:r>
        <w:rPr>
          <w:rFonts w:ascii="黑体" w:eastAsia="黑体"/>
          <w:color w:val="000000"/>
          <w:spacing w:val="-2"/>
          <w:sz w:val="21"/>
          <w:shd w:val="clear" w:color="auto" w:fill="D9D9D9"/>
        </w:rPr>
        <w:t xml:space="preserve">示的内容使用非处方药物，使用非医院药房购买的药品、未经专科医生处方自行购买的药品、有毒物质，专科医生开具的超过 </w:t>
      </w:r>
      <w:r>
        <w:rPr>
          <w:rFonts w:ascii="黑体" w:eastAsia="黑体"/>
          <w:color w:val="000000"/>
          <w:sz w:val="21"/>
          <w:shd w:val="clear" w:color="auto" w:fill="D9D9D9"/>
        </w:rPr>
        <w:t>30</w:t>
      </w:r>
      <w:r>
        <w:rPr>
          <w:rFonts w:ascii="黑体" w:eastAsia="黑体"/>
          <w:color w:val="000000"/>
          <w:spacing w:val="-5"/>
          <w:sz w:val="21"/>
          <w:shd w:val="clear" w:color="auto" w:fill="D9D9D9"/>
        </w:rPr>
        <w:t xml:space="preserve"> 日部分的药品费用；</w:t>
      </w:r>
    </w:p>
    <w:p>
      <w:pPr>
        <w:pStyle w:val="8"/>
        <w:numPr>
          <w:ilvl w:val="0"/>
          <w:numId w:val="1"/>
        </w:numPr>
        <w:tabs>
          <w:tab w:val="left" w:pos="857"/>
        </w:tabs>
        <w:spacing w:before="2" w:after="0" w:line="319" w:lineRule="auto"/>
        <w:ind w:left="851" w:right="232" w:hanging="632"/>
        <w:jc w:val="both"/>
        <w:rPr>
          <w:rFonts w:ascii="黑体" w:eastAsia="黑体"/>
          <w:sz w:val="21"/>
        </w:rPr>
      </w:pPr>
      <w:r>
        <w:rPr>
          <w:rFonts w:ascii="黑体" w:eastAsia="黑体"/>
          <w:color w:val="000000"/>
          <w:spacing w:val="-2"/>
          <w:sz w:val="21"/>
          <w:shd w:val="clear" w:color="auto" w:fill="D9D9D9"/>
        </w:rPr>
        <w:t>被保险人从事潜水、滑水、跳伞、动力伞、滑翔翼、搭乘或驾驶有固定航线的付费民用商业航空班</w:t>
      </w:r>
      <w:r>
        <w:rPr>
          <w:rFonts w:ascii="黑体" w:eastAsia="黑体"/>
          <w:color w:val="000000"/>
          <w:spacing w:val="40"/>
          <w:sz w:val="21"/>
          <w:shd w:val="clear" w:color="auto" w:fill="D9D9D9"/>
        </w:rPr>
        <w:t xml:space="preserve"> </w:t>
      </w:r>
      <w:r>
        <w:rPr>
          <w:rFonts w:ascii="黑体" w:eastAsia="黑体"/>
          <w:color w:val="000000"/>
          <w:spacing w:val="-2"/>
          <w:sz w:val="21"/>
          <w:shd w:val="clear" w:color="auto" w:fill="D9D9D9"/>
        </w:rPr>
        <w:t>机以外的飞行器具、攀岩、蹦极跳、探险活动、武术比赛、摔跤比赛、特技表演、赛马、赛车等高风险运动；</w:t>
      </w:r>
    </w:p>
    <w:p>
      <w:pPr>
        <w:pStyle w:val="8"/>
        <w:numPr>
          <w:ilvl w:val="0"/>
          <w:numId w:val="1"/>
        </w:numPr>
        <w:tabs>
          <w:tab w:val="left" w:pos="855"/>
        </w:tabs>
        <w:spacing w:before="4" w:after="0" w:line="240" w:lineRule="auto"/>
        <w:ind w:left="854" w:right="0" w:hanging="635"/>
        <w:jc w:val="left"/>
        <w:rPr>
          <w:rFonts w:ascii="黑体" w:eastAsia="黑体"/>
          <w:sz w:val="21"/>
        </w:rPr>
      </w:pPr>
      <w:r>
        <w:rPr>
          <w:rFonts w:ascii="黑体" w:eastAsia="黑体"/>
          <w:color w:val="000000"/>
          <w:spacing w:val="-3"/>
          <w:sz w:val="21"/>
          <w:shd w:val="clear" w:color="auto" w:fill="D9D9D9"/>
        </w:rPr>
        <w:t>被保险人作为器官捐献者摘除捐献器官；</w:t>
      </w:r>
    </w:p>
    <w:p>
      <w:pPr>
        <w:pStyle w:val="8"/>
        <w:numPr>
          <w:ilvl w:val="0"/>
          <w:numId w:val="1"/>
        </w:numPr>
        <w:tabs>
          <w:tab w:val="left" w:pos="857"/>
        </w:tabs>
        <w:spacing w:before="88" w:after="0" w:line="321" w:lineRule="auto"/>
        <w:ind w:left="851" w:right="236" w:hanging="632"/>
        <w:jc w:val="left"/>
        <w:rPr>
          <w:rFonts w:ascii="黑体" w:eastAsia="黑体"/>
          <w:sz w:val="21"/>
        </w:rPr>
      </w:pPr>
      <w:r>
        <w:rPr>
          <w:rFonts w:ascii="黑体" w:eastAsia="黑体"/>
          <w:color w:val="000000"/>
          <w:spacing w:val="-2"/>
          <w:sz w:val="21"/>
          <w:shd w:val="clear" w:color="auto" w:fill="D9D9D9"/>
        </w:rPr>
        <w:t>被保险人接受未经科学或医学认可的试验性或研究性治疗，或接受未被治疗所在地权威部门批准的</w:t>
      </w:r>
      <w:r>
        <w:rPr>
          <w:rFonts w:ascii="黑体" w:eastAsia="黑体"/>
          <w:color w:val="000000"/>
          <w:spacing w:val="17745"/>
          <w:sz w:val="21"/>
          <w:shd w:val="clear" w:color="auto" w:fill="D9D9D9"/>
        </w:rPr>
        <w:t xml:space="preserve"> </w:t>
      </w:r>
      <w:r>
        <w:rPr>
          <w:rFonts w:ascii="黑体" w:eastAsia="黑体"/>
          <w:color w:val="000000"/>
          <w:spacing w:val="-2"/>
          <w:sz w:val="21"/>
          <w:shd w:val="clear" w:color="auto" w:fill="D9D9D9"/>
        </w:rPr>
        <w:t>治疗，或使用未获得治疗所在地政府许可或批准的药品或药物。</w:t>
      </w:r>
    </w:p>
    <w:p>
      <w:pPr>
        <w:spacing w:after="0" w:line="321" w:lineRule="auto"/>
        <w:jc w:val="left"/>
        <w:rPr>
          <w:rFonts w:ascii="黑体" w:eastAsia="黑体"/>
          <w:sz w:val="21"/>
        </w:rPr>
        <w:sectPr>
          <w:pgSz w:w="11910" w:h="16840"/>
          <w:pgMar w:top="1380" w:right="840" w:bottom="280" w:left="860" w:header="720" w:footer="720" w:gutter="0"/>
          <w:cols w:space="720" w:num="1"/>
        </w:sectPr>
      </w:pPr>
    </w:p>
    <w:p>
      <w:pPr>
        <w:spacing w:before="41"/>
        <w:ind w:left="2109" w:right="2128" w:firstLine="0"/>
        <w:jc w:val="center"/>
        <w:rPr>
          <w:rFonts w:hint="eastAsia" w:ascii="华文中宋" w:eastAsia="华文中宋"/>
          <w:b/>
          <w:sz w:val="32"/>
        </w:rPr>
      </w:pPr>
      <w:r>
        <w:rPr>
          <w:rFonts w:hint="eastAsia" w:ascii="华文中宋" w:eastAsia="华文中宋"/>
          <w:b/>
          <w:spacing w:val="-3"/>
          <w:w w:val="95"/>
          <w:sz w:val="32"/>
        </w:rPr>
        <w:t>条款目录</w:t>
      </w:r>
    </w:p>
    <w:p>
      <w:pPr>
        <w:pStyle w:val="4"/>
        <w:spacing w:before="14"/>
        <w:rPr>
          <w:rFonts w:ascii="华文中宋"/>
          <w:b/>
          <w:sz w:val="6"/>
        </w:rPr>
      </w:pPr>
      <w:r>
        <w:drawing>
          <wp:anchor distT="0" distB="0" distL="0" distR="0" simplePos="0" relativeHeight="251668480" behindDoc="1" locked="0" layoutInCell="1" allowOverlap="1">
            <wp:simplePos x="0" y="0"/>
            <wp:positionH relativeFrom="page">
              <wp:posOffset>694690</wp:posOffset>
            </wp:positionH>
            <wp:positionV relativeFrom="paragraph">
              <wp:posOffset>85090</wp:posOffset>
            </wp:positionV>
            <wp:extent cx="6228715" cy="963295"/>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a:picLocks noChangeAspect="1"/>
                    </pic:cNvPicPr>
                  </pic:nvPicPr>
                  <pic:blipFill>
                    <a:blip r:embed="rId17" cstate="print"/>
                    <a:stretch>
                      <a:fillRect/>
                    </a:stretch>
                  </pic:blipFill>
                  <pic:spPr>
                    <a:xfrm>
                      <a:off x="0" y="0"/>
                      <a:ext cx="6228587" cy="963168"/>
                    </a:xfrm>
                    <a:prstGeom prst="rect">
                      <a:avLst/>
                    </a:prstGeom>
                  </pic:spPr>
                </pic:pic>
              </a:graphicData>
            </a:graphic>
          </wp:anchor>
        </w:drawing>
      </w:r>
      <w:r>
        <w:pict>
          <v:shape id="docshape5" o:spid="_x0000_s1030" o:spt="202" type="#_x0000_t202" style="position:absolute;left:0pt;margin-left:125.4pt;margin-top:17.65pt;height:52.8pt;width:49pt;mso-position-horizontal-relative:page;z-index:-251648000;mso-width-relative:page;mso-height-relative:page;" filled="f" stroked="f" coordsize="21600,21600">
            <v:path/>
            <v:fill on="f" focussize="0,0"/>
            <v:stroke on="f" joinstyle="miter"/>
            <v:imagedata o:title=""/>
            <o:lock v:ext="edit"/>
            <v:textbox inset="0mm,0mm,0mm,0mm">
              <w:txbxContent>
                <w:p>
                  <w:pPr>
                    <w:spacing w:before="0" w:line="304" w:lineRule="exact"/>
                    <w:ind w:left="7" w:right="0" w:firstLine="0"/>
                    <w:jc w:val="left"/>
                    <w:rPr>
                      <w:rFonts w:ascii="仿宋"/>
                      <w:b/>
                      <w:sz w:val="30"/>
                    </w:rPr>
                  </w:pPr>
                  <w:r>
                    <w:rPr>
                      <w:rFonts w:ascii="仿宋"/>
                      <w:b/>
                      <w:w w:val="99"/>
                      <w:sz w:val="30"/>
                    </w:rPr>
                    <w:t>1</w:t>
                  </w:r>
                </w:p>
                <w:p>
                  <w:pPr>
                    <w:spacing w:before="0" w:line="388" w:lineRule="exact"/>
                    <w:ind w:left="0" w:right="0" w:firstLine="0"/>
                    <w:jc w:val="left"/>
                    <w:rPr>
                      <w:rFonts w:ascii="微软雅黑" w:eastAsia="微软雅黑"/>
                      <w:b/>
                      <w:sz w:val="24"/>
                    </w:rPr>
                  </w:pPr>
                  <w:r>
                    <w:rPr>
                      <w:rFonts w:ascii="微软雅黑" w:eastAsia="微软雅黑"/>
                      <w:b/>
                      <w:spacing w:val="-4"/>
                      <w:sz w:val="24"/>
                    </w:rPr>
                    <w:t>我们的</w:t>
                  </w:r>
                </w:p>
                <w:p>
                  <w:pPr>
                    <w:spacing w:before="0" w:line="364" w:lineRule="exact"/>
                    <w:ind w:left="0" w:right="0" w:firstLine="0"/>
                    <w:jc w:val="left"/>
                    <w:rPr>
                      <w:rFonts w:ascii="微软雅黑" w:eastAsia="微软雅黑"/>
                      <w:b/>
                      <w:sz w:val="24"/>
                    </w:rPr>
                  </w:pPr>
                  <w:r>
                    <w:rPr>
                      <w:rFonts w:ascii="微软雅黑" w:eastAsia="微软雅黑"/>
                      <w:b/>
                      <w:spacing w:val="-3"/>
                      <w:sz w:val="24"/>
                    </w:rPr>
                    <w:t>保障范围</w:t>
                  </w:r>
                </w:p>
              </w:txbxContent>
            </v:textbox>
          </v:shape>
        </w:pict>
      </w:r>
      <w:r>
        <w:pict>
          <v:shape id="docshape6" o:spid="_x0000_s1031" o:spt="202" type="#_x0000_t202" style="position:absolute;left:0pt;margin-left:226.65pt;margin-top:23.85pt;height:40.8pt;width:189.3pt;mso-position-horizontal-relative:page;mso-wrap-distance-bottom:0pt;mso-wrap-distance-top:0pt;z-index:-251628544;mso-width-relative:page;mso-height-relative:page;" filled="f" stroked="f" coordsize="21600,21600">
            <v:path/>
            <v:fill on="f" focussize="0,0"/>
            <v:stroke on="f" joinstyle="miter"/>
            <v:imagedata o:title=""/>
            <o:lock v:ext="edit"/>
            <v:textbox inset="0mm,0mm,0mm,0mm">
              <w:txbxContent>
                <w:p>
                  <w:pPr>
                    <w:tabs>
                      <w:tab w:val="left" w:pos="2404"/>
                    </w:tabs>
                    <w:spacing w:before="0" w:line="384" w:lineRule="exact"/>
                    <w:ind w:left="2" w:right="0" w:firstLine="0"/>
                    <w:jc w:val="left"/>
                    <w:rPr>
                      <w:rFonts w:ascii="微软雅黑" w:eastAsia="微软雅黑"/>
                      <w:sz w:val="24"/>
                    </w:rPr>
                  </w:pPr>
                  <w:r>
                    <w:rPr>
                      <w:rFonts w:ascii="微软雅黑" w:eastAsia="微软雅黑"/>
                      <w:sz w:val="24"/>
                    </w:rPr>
                    <w:t>1.1</w:t>
                  </w:r>
                  <w:r>
                    <w:rPr>
                      <w:rFonts w:ascii="微软雅黑" w:eastAsia="微软雅黑"/>
                      <w:spacing w:val="-12"/>
                      <w:sz w:val="24"/>
                    </w:rPr>
                    <w:t xml:space="preserve"> </w:t>
                  </w:r>
                  <w:r>
                    <w:rPr>
                      <w:rFonts w:ascii="微软雅黑" w:eastAsia="微软雅黑"/>
                      <w:sz w:val="24"/>
                    </w:rPr>
                    <w:t>保障计</w:t>
                  </w:r>
                  <w:r>
                    <w:rPr>
                      <w:rFonts w:ascii="微软雅黑" w:eastAsia="微软雅黑"/>
                      <w:spacing w:val="-10"/>
                      <w:sz w:val="24"/>
                    </w:rPr>
                    <w:t>划</w:t>
                  </w:r>
                  <w:r>
                    <w:rPr>
                      <w:rFonts w:ascii="微软雅黑" w:eastAsia="微软雅黑"/>
                      <w:sz w:val="24"/>
                    </w:rPr>
                    <w:tab/>
                  </w:r>
                  <w:r>
                    <w:rPr>
                      <w:rFonts w:ascii="微软雅黑" w:eastAsia="微软雅黑"/>
                      <w:sz w:val="24"/>
                    </w:rPr>
                    <w:t>1.2</w:t>
                  </w:r>
                  <w:r>
                    <w:rPr>
                      <w:rFonts w:ascii="微软雅黑" w:eastAsia="微软雅黑"/>
                      <w:spacing w:val="-14"/>
                      <w:sz w:val="24"/>
                    </w:rPr>
                    <w:t xml:space="preserve"> </w:t>
                  </w:r>
                  <w:r>
                    <w:rPr>
                      <w:rFonts w:ascii="微软雅黑" w:eastAsia="微软雅黑"/>
                      <w:sz w:val="24"/>
                    </w:rPr>
                    <w:t>保险责</w:t>
                  </w:r>
                  <w:r>
                    <w:rPr>
                      <w:rFonts w:ascii="微软雅黑" w:eastAsia="微软雅黑"/>
                      <w:spacing w:val="-10"/>
                      <w:sz w:val="24"/>
                    </w:rPr>
                    <w:t>任</w:t>
                  </w:r>
                </w:p>
                <w:p>
                  <w:pPr>
                    <w:spacing w:before="52" w:line="380" w:lineRule="exact"/>
                    <w:ind w:left="0" w:right="0" w:firstLine="0"/>
                    <w:jc w:val="left"/>
                    <w:rPr>
                      <w:rFonts w:ascii="微软雅黑" w:eastAsia="微软雅黑"/>
                      <w:sz w:val="24"/>
                    </w:rPr>
                  </w:pPr>
                  <w:r>
                    <w:rPr>
                      <w:rFonts w:ascii="微软雅黑" w:eastAsia="微软雅黑"/>
                      <w:sz w:val="24"/>
                    </w:rPr>
                    <w:t>1.3</w:t>
                  </w:r>
                  <w:r>
                    <w:rPr>
                      <w:rFonts w:ascii="微软雅黑" w:eastAsia="微软雅黑"/>
                      <w:spacing w:val="-4"/>
                      <w:sz w:val="24"/>
                    </w:rPr>
                    <w:t xml:space="preserve"> 保险期间和续保</w:t>
                  </w:r>
                </w:p>
              </w:txbxContent>
            </v:textbox>
            <w10:wrap type="topAndBottom"/>
          </v:shape>
        </w:pict>
      </w:r>
      <w:r>
        <w:drawing>
          <wp:anchor distT="0" distB="0" distL="0" distR="0" simplePos="0" relativeHeight="251669504" behindDoc="1" locked="0" layoutInCell="1" allowOverlap="1">
            <wp:simplePos x="0" y="0"/>
            <wp:positionH relativeFrom="page">
              <wp:posOffset>694690</wp:posOffset>
            </wp:positionH>
            <wp:positionV relativeFrom="paragraph">
              <wp:posOffset>1273810</wp:posOffset>
            </wp:positionV>
            <wp:extent cx="6228715" cy="963295"/>
            <wp:effectExtent l="0" t="0" r="0" b="0"/>
            <wp:wrapNone/>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a:picLocks noChangeAspect="1"/>
                    </pic:cNvPicPr>
                  </pic:nvPicPr>
                  <pic:blipFill>
                    <a:blip r:embed="rId18" cstate="print"/>
                    <a:stretch>
                      <a:fillRect/>
                    </a:stretch>
                  </pic:blipFill>
                  <pic:spPr>
                    <a:xfrm>
                      <a:off x="0" y="0"/>
                      <a:ext cx="6228587" cy="963168"/>
                    </a:xfrm>
                    <a:prstGeom prst="rect">
                      <a:avLst/>
                    </a:prstGeom>
                  </pic:spPr>
                </pic:pic>
              </a:graphicData>
            </a:graphic>
          </wp:anchor>
        </w:drawing>
      </w:r>
      <w:r>
        <w:pict>
          <v:shape id="docshape7" o:spid="_x0000_s1032" o:spt="202" type="#_x0000_t202" style="position:absolute;left:0pt;margin-left:125.4pt;margin-top:111.25pt;height:52.8pt;width:61pt;mso-position-horizontal-relative:page;z-index:-251645952;mso-width-relative:page;mso-height-relative:page;" filled="f" stroked="f" coordsize="21600,21600">
            <v:path/>
            <v:fill on="f" focussize="0,0"/>
            <v:stroke on="f" joinstyle="miter"/>
            <v:imagedata o:title=""/>
            <o:lock v:ext="edit"/>
            <v:textbox inset="0mm,0mm,0mm,0mm">
              <w:txbxContent>
                <w:p>
                  <w:pPr>
                    <w:spacing w:before="0" w:line="304" w:lineRule="exact"/>
                    <w:ind w:left="7" w:right="0" w:firstLine="0"/>
                    <w:jc w:val="left"/>
                    <w:rPr>
                      <w:rFonts w:ascii="仿宋"/>
                      <w:b/>
                      <w:sz w:val="30"/>
                    </w:rPr>
                  </w:pPr>
                  <w:r>
                    <w:rPr>
                      <w:rFonts w:ascii="仿宋"/>
                      <w:b/>
                      <w:w w:val="99"/>
                      <w:sz w:val="30"/>
                    </w:rPr>
                    <w:t>2</w:t>
                  </w:r>
                </w:p>
                <w:p>
                  <w:pPr>
                    <w:spacing w:before="0" w:line="388" w:lineRule="exact"/>
                    <w:ind w:left="0" w:right="0" w:firstLine="0"/>
                    <w:jc w:val="left"/>
                    <w:rPr>
                      <w:rFonts w:ascii="微软雅黑" w:eastAsia="微软雅黑"/>
                      <w:b/>
                      <w:sz w:val="24"/>
                    </w:rPr>
                  </w:pPr>
                  <w:r>
                    <w:rPr>
                      <w:rFonts w:ascii="微软雅黑" w:eastAsia="微软雅黑"/>
                      <w:b/>
                      <w:spacing w:val="-2"/>
                      <w:sz w:val="24"/>
                    </w:rPr>
                    <w:t>我们不给付</w:t>
                  </w:r>
                </w:p>
                <w:p>
                  <w:pPr>
                    <w:spacing w:before="0" w:line="364" w:lineRule="exact"/>
                    <w:ind w:left="0" w:right="0" w:firstLine="0"/>
                    <w:jc w:val="left"/>
                    <w:rPr>
                      <w:rFonts w:ascii="微软雅黑" w:eastAsia="微软雅黑"/>
                      <w:b/>
                      <w:sz w:val="24"/>
                    </w:rPr>
                  </w:pPr>
                  <w:r>
                    <w:rPr>
                      <w:rFonts w:ascii="微软雅黑" w:eastAsia="微软雅黑"/>
                      <w:b/>
                      <w:spacing w:val="-4"/>
                      <w:sz w:val="24"/>
                    </w:rPr>
                    <w:t>的情形</w:t>
                  </w:r>
                </w:p>
              </w:txbxContent>
            </v:textbox>
          </v:shape>
        </w:pict>
      </w:r>
      <w:r>
        <w:pict>
          <v:shape id="docshape8" o:spid="_x0000_s1033" o:spt="202" type="#_x0000_t202" style="position:absolute;left:0pt;margin-left:226.55pt;margin-top:127.45pt;height:15.85pt;width:69.05pt;mso-position-horizontal-relative:page;mso-wrap-distance-bottom:0pt;mso-wrap-distance-top:0pt;z-index:-251627520;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2.1</w:t>
                  </w:r>
                  <w:r>
                    <w:rPr>
                      <w:rFonts w:ascii="微软雅黑" w:eastAsia="微软雅黑"/>
                      <w:spacing w:val="-5"/>
                      <w:sz w:val="24"/>
                    </w:rPr>
                    <w:t xml:space="preserve"> 责任免除</w:t>
                  </w:r>
                </w:p>
              </w:txbxContent>
            </v:textbox>
            <w10:wrap type="topAndBottom"/>
          </v:shape>
        </w:pict>
      </w:r>
      <w:r>
        <w:drawing>
          <wp:anchor distT="0" distB="0" distL="0" distR="0" simplePos="0" relativeHeight="251671552" behindDoc="1" locked="0" layoutInCell="1" allowOverlap="1">
            <wp:simplePos x="0" y="0"/>
            <wp:positionH relativeFrom="page">
              <wp:posOffset>694690</wp:posOffset>
            </wp:positionH>
            <wp:positionV relativeFrom="paragraph">
              <wp:posOffset>2462530</wp:posOffset>
            </wp:positionV>
            <wp:extent cx="6228715" cy="963295"/>
            <wp:effectExtent l="0" t="0" r="0" b="0"/>
            <wp:wrapNone/>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a:picLocks noChangeAspect="1"/>
                    </pic:cNvPicPr>
                  </pic:nvPicPr>
                  <pic:blipFill>
                    <a:blip r:embed="rId19" cstate="print"/>
                    <a:stretch>
                      <a:fillRect/>
                    </a:stretch>
                  </pic:blipFill>
                  <pic:spPr>
                    <a:xfrm>
                      <a:off x="0" y="0"/>
                      <a:ext cx="6228587" cy="963167"/>
                    </a:xfrm>
                    <a:prstGeom prst="rect">
                      <a:avLst/>
                    </a:prstGeom>
                  </pic:spPr>
                </pic:pic>
              </a:graphicData>
            </a:graphic>
          </wp:anchor>
        </w:drawing>
      </w:r>
      <w:r>
        <w:pict>
          <v:shape id="docshape9" o:spid="_x0000_s1034" o:spt="202" type="#_x0000_t202" style="position:absolute;left:0pt;margin-left:125.6pt;margin-top:204.85pt;height:52.05pt;width:49pt;mso-position-horizontal-relative:page;z-index:-251644928;mso-width-relative:page;mso-height-relative:page;" filled="f" stroked="f" coordsize="21600,21600">
            <v:path/>
            <v:fill on="f" focussize="0,0"/>
            <v:stroke on="f" joinstyle="miter"/>
            <v:imagedata o:title=""/>
            <o:lock v:ext="edit"/>
            <v:textbox inset="0mm,0mm,0mm,0mm">
              <w:txbxContent>
                <w:p>
                  <w:pPr>
                    <w:spacing w:before="0" w:line="296" w:lineRule="exact"/>
                    <w:ind w:left="2" w:right="0" w:firstLine="0"/>
                    <w:jc w:val="left"/>
                    <w:rPr>
                      <w:rFonts w:ascii="仿宋"/>
                      <w:b/>
                      <w:sz w:val="30"/>
                    </w:rPr>
                  </w:pPr>
                  <w:r>
                    <w:rPr>
                      <w:rFonts w:ascii="仿宋"/>
                      <w:b/>
                      <w:w w:val="99"/>
                      <w:sz w:val="30"/>
                    </w:rPr>
                    <w:t>3</w:t>
                  </w:r>
                </w:p>
                <w:p>
                  <w:pPr>
                    <w:spacing w:before="0" w:line="381" w:lineRule="exact"/>
                    <w:ind w:left="0" w:right="0" w:firstLine="0"/>
                    <w:jc w:val="left"/>
                    <w:rPr>
                      <w:rFonts w:ascii="微软雅黑" w:eastAsia="微软雅黑"/>
                      <w:b/>
                      <w:sz w:val="24"/>
                    </w:rPr>
                  </w:pPr>
                  <w:r>
                    <w:rPr>
                      <w:rFonts w:ascii="微软雅黑" w:eastAsia="微软雅黑"/>
                      <w:b/>
                      <w:spacing w:val="-3"/>
                      <w:sz w:val="24"/>
                    </w:rPr>
                    <w:t>如何支付</w:t>
                  </w:r>
                </w:p>
                <w:p>
                  <w:pPr>
                    <w:spacing w:before="0" w:line="364" w:lineRule="exact"/>
                    <w:ind w:left="0" w:right="0" w:firstLine="0"/>
                    <w:jc w:val="left"/>
                    <w:rPr>
                      <w:rFonts w:ascii="微软雅黑" w:eastAsia="微软雅黑"/>
                      <w:b/>
                      <w:sz w:val="24"/>
                    </w:rPr>
                  </w:pPr>
                  <w:r>
                    <w:rPr>
                      <w:rFonts w:ascii="微软雅黑" w:eastAsia="微软雅黑"/>
                      <w:b/>
                      <w:spacing w:val="-4"/>
                      <w:sz w:val="24"/>
                    </w:rPr>
                    <w:t>保险费</w:t>
                  </w:r>
                </w:p>
              </w:txbxContent>
            </v:textbox>
          </v:shape>
        </w:pict>
      </w:r>
      <w:r>
        <w:pict>
          <v:shape id="docshape10" o:spid="_x0000_s1035" o:spt="202" type="#_x0000_t202" style="position:absolute;left:0pt;margin-left:226.65pt;margin-top:222.1pt;height:15.85pt;width:93.05pt;mso-position-horizontal-relative:page;mso-wrap-distance-bottom:0pt;mso-wrap-distance-top:0pt;z-index:-251626496;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3.1</w:t>
                  </w:r>
                  <w:r>
                    <w:rPr>
                      <w:rFonts w:ascii="微软雅黑" w:eastAsia="微软雅黑"/>
                      <w:spacing w:val="-4"/>
                      <w:sz w:val="24"/>
                    </w:rPr>
                    <w:t xml:space="preserve"> 保险费的支付</w:t>
                  </w:r>
                </w:p>
              </w:txbxContent>
            </v:textbox>
            <w10:wrap type="topAndBottom"/>
          </v:shape>
        </w:pict>
      </w:r>
      <w:r>
        <w:drawing>
          <wp:anchor distT="0" distB="0" distL="0" distR="0" simplePos="0" relativeHeight="251672576" behindDoc="1" locked="0" layoutInCell="1" allowOverlap="1">
            <wp:simplePos x="0" y="0"/>
            <wp:positionH relativeFrom="page">
              <wp:posOffset>694690</wp:posOffset>
            </wp:positionH>
            <wp:positionV relativeFrom="paragraph">
              <wp:posOffset>3651250</wp:posOffset>
            </wp:positionV>
            <wp:extent cx="6228715" cy="963295"/>
            <wp:effectExtent l="0" t="0" r="0" b="0"/>
            <wp:wrapNone/>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a:picLocks noChangeAspect="1"/>
                    </pic:cNvPicPr>
                  </pic:nvPicPr>
                  <pic:blipFill>
                    <a:blip r:embed="rId20" cstate="print"/>
                    <a:stretch>
                      <a:fillRect/>
                    </a:stretch>
                  </pic:blipFill>
                  <pic:spPr>
                    <a:xfrm>
                      <a:off x="0" y="0"/>
                      <a:ext cx="6228587" cy="963168"/>
                    </a:xfrm>
                    <a:prstGeom prst="rect">
                      <a:avLst/>
                    </a:prstGeom>
                  </pic:spPr>
                </pic:pic>
              </a:graphicData>
            </a:graphic>
          </wp:anchor>
        </w:drawing>
      </w:r>
      <w:r>
        <w:pict>
          <v:shape id="docshape11" o:spid="_x0000_s1036" o:spt="202" type="#_x0000_t202" style="position:absolute;left:0pt;margin-left:125.6pt;margin-top:298.45pt;height:51.8pt;width:49pt;mso-position-horizontal-relative:page;z-index:-251642880;mso-width-relative:page;mso-height-relative:page;" filled="f" stroked="f" coordsize="21600,21600">
            <v:path/>
            <v:fill on="f" focussize="0,0"/>
            <v:stroke on="f" joinstyle="miter"/>
            <v:imagedata o:title=""/>
            <o:lock v:ext="edit"/>
            <v:textbox inset="0mm,0mm,0mm,0mm">
              <w:txbxContent>
                <w:p>
                  <w:pPr>
                    <w:spacing w:before="0" w:line="294" w:lineRule="exact"/>
                    <w:ind w:left="16" w:right="0" w:firstLine="0"/>
                    <w:jc w:val="left"/>
                    <w:rPr>
                      <w:rFonts w:ascii="仿宋"/>
                      <w:b/>
                      <w:sz w:val="30"/>
                    </w:rPr>
                  </w:pPr>
                  <w:r>
                    <w:rPr>
                      <w:rFonts w:ascii="仿宋"/>
                      <w:b/>
                      <w:w w:val="99"/>
                      <w:sz w:val="30"/>
                    </w:rPr>
                    <w:t>4</w:t>
                  </w:r>
                </w:p>
                <w:p>
                  <w:pPr>
                    <w:spacing w:before="0" w:line="378" w:lineRule="exact"/>
                    <w:ind w:left="0" w:right="0" w:firstLine="0"/>
                    <w:jc w:val="left"/>
                    <w:rPr>
                      <w:rFonts w:ascii="微软雅黑" w:eastAsia="微软雅黑"/>
                      <w:b/>
                      <w:sz w:val="24"/>
                    </w:rPr>
                  </w:pPr>
                  <w:r>
                    <w:rPr>
                      <w:rFonts w:ascii="微软雅黑" w:eastAsia="微软雅黑"/>
                      <w:b/>
                      <w:spacing w:val="-3"/>
                      <w:sz w:val="24"/>
                    </w:rPr>
                    <w:t>如何领取</w:t>
                  </w:r>
                </w:p>
                <w:p>
                  <w:pPr>
                    <w:spacing w:before="0" w:line="364" w:lineRule="exact"/>
                    <w:ind w:left="0" w:right="0" w:firstLine="0"/>
                    <w:jc w:val="left"/>
                    <w:rPr>
                      <w:rFonts w:ascii="微软雅黑" w:eastAsia="微软雅黑"/>
                      <w:b/>
                      <w:sz w:val="24"/>
                    </w:rPr>
                  </w:pPr>
                  <w:r>
                    <w:rPr>
                      <w:rFonts w:ascii="微软雅黑" w:eastAsia="微软雅黑"/>
                      <w:b/>
                      <w:spacing w:val="-4"/>
                      <w:sz w:val="24"/>
                    </w:rPr>
                    <w:t>保险金</w:t>
                  </w:r>
                </w:p>
              </w:txbxContent>
            </v:textbox>
          </v:shape>
        </w:pict>
      </w:r>
      <w:r>
        <w:pict>
          <v:shape id="docshape12" o:spid="_x0000_s1037" o:spt="202" type="#_x0000_t202" style="position:absolute;left:0pt;margin-left:226.55pt;margin-top:303.1pt;height:42.15pt;width:81.2pt;mso-position-horizontal-relative:page;z-index:-251642880;mso-width-relative:page;mso-height-relative:page;" filled="f" stroked="f" coordsize="21600,21600">
            <v:path/>
            <v:fill on="f" focussize="0,0"/>
            <v:stroke on="f" joinstyle="miter"/>
            <v:imagedata o:title=""/>
            <o:lock v:ext="edit"/>
            <v:textbox inset="0mm,0mm,0mm,0mm">
              <w:txbxContent>
                <w:p>
                  <w:pPr>
                    <w:spacing w:before="0" w:line="380" w:lineRule="exact"/>
                    <w:ind w:left="0" w:right="0" w:firstLine="0"/>
                    <w:jc w:val="left"/>
                    <w:rPr>
                      <w:rFonts w:ascii="微软雅黑" w:eastAsia="微软雅黑"/>
                      <w:sz w:val="24"/>
                    </w:rPr>
                  </w:pPr>
                  <w:r>
                    <w:rPr>
                      <w:rFonts w:ascii="微软雅黑" w:eastAsia="微软雅黑"/>
                      <w:sz w:val="24"/>
                    </w:rPr>
                    <w:t>4.1</w:t>
                  </w:r>
                  <w:r>
                    <w:rPr>
                      <w:rFonts w:ascii="微软雅黑" w:eastAsia="微软雅黑"/>
                      <w:spacing w:val="-6"/>
                      <w:sz w:val="24"/>
                    </w:rPr>
                    <w:t xml:space="preserve"> 受益人</w:t>
                  </w:r>
                </w:p>
                <w:p>
                  <w:pPr>
                    <w:spacing w:before="83" w:line="380" w:lineRule="exact"/>
                    <w:ind w:left="2" w:right="0" w:firstLine="0"/>
                    <w:jc w:val="left"/>
                    <w:rPr>
                      <w:rFonts w:ascii="微软雅黑" w:eastAsia="微软雅黑"/>
                      <w:sz w:val="24"/>
                    </w:rPr>
                  </w:pPr>
                  <w:r>
                    <w:rPr>
                      <w:rFonts w:ascii="微软雅黑" w:eastAsia="微软雅黑"/>
                      <w:sz w:val="24"/>
                    </w:rPr>
                    <w:t>4.3</w:t>
                  </w:r>
                  <w:r>
                    <w:rPr>
                      <w:rFonts w:ascii="微软雅黑" w:eastAsia="微软雅黑"/>
                      <w:spacing w:val="-5"/>
                      <w:sz w:val="24"/>
                    </w:rPr>
                    <w:t xml:space="preserve"> 保险金申请</w:t>
                  </w:r>
                </w:p>
              </w:txbxContent>
            </v:textbox>
          </v:shape>
        </w:pict>
      </w:r>
      <w:r>
        <w:pict>
          <v:shape id="docshape13" o:spid="_x0000_s1038" o:spt="202" type="#_x0000_t202" style="position:absolute;left:0pt;margin-left:346.8pt;margin-top:303.1pt;height:41.8pt;width:93.05pt;mso-position-horizontal-relative:page;mso-wrap-distance-bottom:0pt;mso-wrap-distance-top:0pt;z-index:-251625472;mso-width-relative:page;mso-height-relative:page;" filled="f" stroked="f" coordsize="21600,21600">
            <v:path/>
            <v:fill on="f" focussize="0,0"/>
            <v:stroke on="f" joinstyle="miter"/>
            <v:imagedata o:title=""/>
            <o:lock v:ext="edit"/>
            <v:textbox inset="0mm,0mm,0mm,0mm">
              <w:txbxContent>
                <w:p>
                  <w:pPr>
                    <w:spacing w:before="0" w:line="380" w:lineRule="exact"/>
                    <w:ind w:left="0" w:right="0" w:firstLine="0"/>
                    <w:jc w:val="left"/>
                    <w:rPr>
                      <w:rFonts w:ascii="微软雅黑" w:eastAsia="微软雅黑"/>
                      <w:sz w:val="24"/>
                    </w:rPr>
                  </w:pPr>
                  <w:r>
                    <w:rPr>
                      <w:rFonts w:ascii="微软雅黑" w:eastAsia="微软雅黑"/>
                      <w:sz w:val="24"/>
                    </w:rPr>
                    <w:t>4.2</w:t>
                  </w:r>
                  <w:r>
                    <w:rPr>
                      <w:rFonts w:ascii="微软雅黑" w:eastAsia="微软雅黑"/>
                      <w:spacing w:val="-4"/>
                      <w:sz w:val="24"/>
                    </w:rPr>
                    <w:t xml:space="preserve"> 保险事故通知</w:t>
                  </w:r>
                </w:p>
                <w:p>
                  <w:pPr>
                    <w:spacing w:before="76" w:line="380" w:lineRule="exact"/>
                    <w:ind w:left="0" w:right="0" w:firstLine="0"/>
                    <w:jc w:val="left"/>
                    <w:rPr>
                      <w:rFonts w:ascii="微软雅黑" w:eastAsia="微软雅黑"/>
                      <w:sz w:val="24"/>
                    </w:rPr>
                  </w:pPr>
                  <w:r>
                    <w:rPr>
                      <w:rFonts w:ascii="微软雅黑" w:eastAsia="微软雅黑"/>
                      <w:sz w:val="24"/>
                    </w:rPr>
                    <w:t>4.4</w:t>
                  </w:r>
                  <w:r>
                    <w:rPr>
                      <w:rFonts w:ascii="微软雅黑" w:eastAsia="微软雅黑"/>
                      <w:spacing w:val="-5"/>
                      <w:sz w:val="24"/>
                    </w:rPr>
                    <w:t xml:space="preserve"> 保险金给付</w:t>
                  </w:r>
                </w:p>
              </w:txbxContent>
            </v:textbox>
            <w10:wrap type="topAndBottom"/>
          </v:shape>
        </w:pict>
      </w:r>
      <w:r>
        <w:drawing>
          <wp:anchor distT="0" distB="0" distL="0" distR="0" simplePos="0" relativeHeight="251674624" behindDoc="1" locked="0" layoutInCell="1" allowOverlap="1">
            <wp:simplePos x="0" y="0"/>
            <wp:positionH relativeFrom="page">
              <wp:posOffset>694690</wp:posOffset>
            </wp:positionH>
            <wp:positionV relativeFrom="paragraph">
              <wp:posOffset>4839970</wp:posOffset>
            </wp:positionV>
            <wp:extent cx="6228715" cy="963295"/>
            <wp:effectExtent l="0" t="0" r="0" b="0"/>
            <wp:wrapNone/>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png"/>
                    <pic:cNvPicPr>
                      <a:picLocks noChangeAspect="1"/>
                    </pic:cNvPicPr>
                  </pic:nvPicPr>
                  <pic:blipFill>
                    <a:blip r:embed="rId21" cstate="print"/>
                    <a:stretch>
                      <a:fillRect/>
                    </a:stretch>
                  </pic:blipFill>
                  <pic:spPr>
                    <a:xfrm>
                      <a:off x="0" y="0"/>
                      <a:ext cx="6228587" cy="963167"/>
                    </a:xfrm>
                    <a:prstGeom prst="rect">
                      <a:avLst/>
                    </a:prstGeom>
                  </pic:spPr>
                </pic:pic>
              </a:graphicData>
            </a:graphic>
          </wp:anchor>
        </w:drawing>
      </w:r>
      <w:r>
        <w:pict>
          <v:shape id="docshape14" o:spid="_x0000_s1039" o:spt="202" type="#_x0000_t202" style="position:absolute;left:0pt;margin-left:125.6pt;margin-top:392.05pt;height:34.4pt;width:49pt;mso-position-horizontal-relative:page;z-index:-251640832;mso-width-relative:page;mso-height-relative:page;" filled="f" stroked="f" coordsize="21600,21600">
            <v:path/>
            <v:fill on="f" focussize="0,0"/>
            <v:stroke on="f" joinstyle="miter"/>
            <v:imagedata o:title=""/>
            <o:lock v:ext="edit"/>
            <v:textbox inset="0mm,0mm,0mm,0mm">
              <w:txbxContent>
                <w:p>
                  <w:pPr>
                    <w:spacing w:before="0" w:line="325" w:lineRule="exact"/>
                    <w:ind w:left="9" w:right="0" w:firstLine="0"/>
                    <w:jc w:val="left"/>
                    <w:rPr>
                      <w:rFonts w:ascii="仿宋"/>
                      <w:b/>
                      <w:sz w:val="30"/>
                    </w:rPr>
                  </w:pPr>
                  <w:r>
                    <w:rPr>
                      <w:rFonts w:ascii="仿宋"/>
                      <w:b/>
                      <w:w w:val="99"/>
                      <w:sz w:val="30"/>
                    </w:rPr>
                    <w:t>5</w:t>
                  </w:r>
                </w:p>
                <w:p>
                  <w:pPr>
                    <w:spacing w:before="0" w:line="363" w:lineRule="exact"/>
                    <w:ind w:left="0" w:right="0" w:firstLine="0"/>
                    <w:jc w:val="left"/>
                    <w:rPr>
                      <w:rFonts w:ascii="微软雅黑" w:eastAsia="微软雅黑"/>
                      <w:b/>
                      <w:sz w:val="24"/>
                    </w:rPr>
                  </w:pPr>
                  <w:r>
                    <w:rPr>
                      <w:rFonts w:ascii="微软雅黑" w:eastAsia="微软雅黑"/>
                      <w:b/>
                      <w:spacing w:val="-3"/>
                      <w:sz w:val="24"/>
                    </w:rPr>
                    <w:t>如何退保</w:t>
                  </w:r>
                </w:p>
              </w:txbxContent>
            </v:textbox>
          </v:shape>
        </w:pict>
      </w:r>
      <w:r>
        <w:pict>
          <v:shape id="docshape15" o:spid="_x0000_s1040" o:spt="202" type="#_x0000_t202" style="position:absolute;left:0pt;margin-left:226.9pt;margin-top:409.05pt;height:15.85pt;width:117.05pt;mso-position-horizontal-relative:page;mso-wrap-distance-bottom:0pt;mso-wrap-distance-top:0pt;z-index:-251624448;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5.1</w:t>
                  </w:r>
                  <w:r>
                    <w:rPr>
                      <w:rFonts w:ascii="微软雅黑" w:eastAsia="微软雅黑"/>
                      <w:spacing w:val="-4"/>
                      <w:sz w:val="24"/>
                    </w:rPr>
                    <w:t xml:space="preserve"> 退保的手续及风险</w:t>
                  </w:r>
                </w:p>
              </w:txbxContent>
            </v:textbox>
            <w10:wrap type="topAndBottom"/>
          </v:shape>
        </w:pict>
      </w:r>
      <w:r>
        <w:drawing>
          <wp:anchor distT="0" distB="0" distL="0" distR="0" simplePos="0" relativeHeight="251676672" behindDoc="1" locked="0" layoutInCell="1" allowOverlap="1">
            <wp:simplePos x="0" y="0"/>
            <wp:positionH relativeFrom="page">
              <wp:posOffset>694690</wp:posOffset>
            </wp:positionH>
            <wp:positionV relativeFrom="paragraph">
              <wp:posOffset>6028690</wp:posOffset>
            </wp:positionV>
            <wp:extent cx="6228715" cy="963295"/>
            <wp:effectExtent l="0" t="0" r="0" b="0"/>
            <wp:wrapNone/>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png"/>
                    <pic:cNvPicPr>
                      <a:picLocks noChangeAspect="1"/>
                    </pic:cNvPicPr>
                  </pic:nvPicPr>
                  <pic:blipFill>
                    <a:blip r:embed="rId22" cstate="print"/>
                    <a:stretch>
                      <a:fillRect/>
                    </a:stretch>
                  </pic:blipFill>
                  <pic:spPr>
                    <a:xfrm>
                      <a:off x="0" y="0"/>
                      <a:ext cx="6228587" cy="963168"/>
                    </a:xfrm>
                    <a:prstGeom prst="rect">
                      <a:avLst/>
                    </a:prstGeom>
                  </pic:spPr>
                </pic:pic>
              </a:graphicData>
            </a:graphic>
          </wp:anchor>
        </w:drawing>
      </w:r>
      <w:r>
        <w:pict>
          <v:shape id="docshape16" o:spid="_x0000_s1041" o:spt="202" type="#_x0000_t202" style="position:absolute;left:0pt;margin-left:53.95pt;margin-top:479.25pt;height:14.65pt;width:15.05pt;mso-position-horizontal-relative:page;z-index:-251639808;mso-width-relative:page;mso-height-relative:page;" filled="f" stroked="f" coordsize="21600,21600">
            <v:path/>
            <v:fill on="f" focussize="0,0"/>
            <v:stroke on="f" joinstyle="miter"/>
            <v:imagedata o:title=""/>
            <o:lock v:ext="edit"/>
            <v:textbox inset="0mm,0mm,0mm,0mm">
              <w:txbxContent>
                <w:p>
                  <w:pPr>
                    <w:spacing w:before="0" w:line="293" w:lineRule="exact"/>
                    <w:ind w:left="0" w:right="0" w:firstLine="0"/>
                    <w:jc w:val="left"/>
                    <w:rPr>
                      <w:rFonts w:ascii="等线" w:eastAsia="等线"/>
                      <w:b/>
                      <w:sz w:val="28"/>
                    </w:rPr>
                  </w:pPr>
                  <w:r>
                    <w:rPr>
                      <w:rFonts w:ascii="等线" w:eastAsia="等线"/>
                      <w:b/>
                      <w:w w:val="100"/>
                      <w:sz w:val="28"/>
                    </w:rPr>
                    <w:t>岁</w:t>
                  </w:r>
                </w:p>
              </w:txbxContent>
            </v:textbox>
          </v:shape>
        </w:pict>
      </w:r>
      <w:r>
        <w:pict>
          <v:shape id="docshape17" o:spid="_x0000_s1042" o:spt="202" type="#_x0000_t202" style="position:absolute;left:0pt;margin-left:125.6pt;margin-top:485.65pt;height:52.2pt;width:61pt;mso-position-horizontal-relative:page;z-index:-251638784;mso-width-relative:page;mso-height-relative:page;" filled="f" stroked="f" coordsize="21600,21600">
            <v:path/>
            <v:fill on="f" focussize="0,0"/>
            <v:stroke on="f" joinstyle="miter"/>
            <v:imagedata o:title=""/>
            <o:lock v:ext="edit"/>
            <v:textbox inset="0mm,0mm,0mm,0mm">
              <w:txbxContent>
                <w:p>
                  <w:pPr>
                    <w:spacing w:before="0" w:line="298" w:lineRule="exact"/>
                    <w:ind w:left="16" w:right="0" w:firstLine="0"/>
                    <w:jc w:val="left"/>
                    <w:rPr>
                      <w:rFonts w:ascii="仿宋"/>
                      <w:b/>
                      <w:sz w:val="30"/>
                    </w:rPr>
                  </w:pPr>
                  <w:r>
                    <w:rPr>
                      <w:rFonts w:ascii="仿宋"/>
                      <w:b/>
                      <w:w w:val="99"/>
                      <w:sz w:val="30"/>
                    </w:rPr>
                    <w:t>6</w:t>
                  </w:r>
                </w:p>
                <w:p>
                  <w:pPr>
                    <w:spacing w:before="0" w:line="382" w:lineRule="exact"/>
                    <w:ind w:left="0" w:right="0" w:firstLine="0"/>
                    <w:jc w:val="left"/>
                    <w:rPr>
                      <w:rFonts w:ascii="微软雅黑" w:eastAsia="微软雅黑"/>
                      <w:b/>
                      <w:sz w:val="24"/>
                    </w:rPr>
                  </w:pPr>
                  <w:r>
                    <w:rPr>
                      <w:rFonts w:ascii="微软雅黑" w:eastAsia="微软雅黑"/>
                      <w:b/>
                      <w:spacing w:val="-2"/>
                      <w:sz w:val="24"/>
                    </w:rPr>
                    <w:t>需要关注的</w:t>
                  </w:r>
                </w:p>
                <w:p>
                  <w:pPr>
                    <w:spacing w:before="0" w:line="364" w:lineRule="exact"/>
                    <w:ind w:left="0" w:right="0" w:firstLine="0"/>
                    <w:jc w:val="left"/>
                    <w:rPr>
                      <w:rFonts w:ascii="微软雅黑" w:eastAsia="微软雅黑"/>
                      <w:b/>
                      <w:sz w:val="24"/>
                    </w:rPr>
                  </w:pPr>
                  <w:r>
                    <w:rPr>
                      <w:rFonts w:ascii="微软雅黑" w:eastAsia="微软雅黑"/>
                      <w:b/>
                      <w:spacing w:val="-3"/>
                      <w:sz w:val="24"/>
                    </w:rPr>
                    <w:t>其他内容</w:t>
                  </w:r>
                </w:p>
              </w:txbxContent>
            </v:textbox>
          </v:shape>
        </w:pict>
      </w:r>
      <w:r>
        <w:pict>
          <v:shape id="docshape18" o:spid="_x0000_s1043" o:spt="202" type="#_x0000_t202" style="position:absolute;left:0pt;margin-left:225.8pt;margin-top:486.45pt;height:54.4pt;width:69.55pt;mso-position-horizontal-relative:page;z-index:-251638784;mso-width-relative:page;mso-height-relative:page;" filled="f" stroked="f" coordsize="21600,21600">
            <v:path/>
            <v:fill on="f" focussize="0,0"/>
            <v:stroke on="f" joinstyle="miter"/>
            <v:imagedata o:title=""/>
            <o:lock v:ext="edit"/>
            <v:textbox inset="0mm,0mm,0mm,0mm">
              <w:txbxContent>
                <w:p>
                  <w:pPr>
                    <w:spacing w:before="0" w:line="342" w:lineRule="exact"/>
                    <w:ind w:left="9" w:right="0" w:firstLine="0"/>
                    <w:jc w:val="left"/>
                    <w:rPr>
                      <w:rFonts w:ascii="微软雅黑" w:eastAsia="微软雅黑"/>
                      <w:sz w:val="24"/>
                    </w:rPr>
                  </w:pPr>
                  <w:r>
                    <w:rPr>
                      <w:rFonts w:ascii="微软雅黑" w:eastAsia="微软雅黑"/>
                      <w:sz w:val="24"/>
                    </w:rPr>
                    <w:t>6.1</w:t>
                  </w:r>
                  <w:r>
                    <w:rPr>
                      <w:rFonts w:ascii="微软雅黑" w:eastAsia="微软雅黑"/>
                      <w:spacing w:val="-5"/>
                      <w:sz w:val="24"/>
                    </w:rPr>
                    <w:t xml:space="preserve"> 合同构成</w:t>
                  </w:r>
                </w:p>
                <w:p>
                  <w:pPr>
                    <w:spacing w:before="0" w:line="385" w:lineRule="exact"/>
                    <w:ind w:left="0" w:right="0" w:firstLine="0"/>
                    <w:jc w:val="left"/>
                    <w:rPr>
                      <w:rFonts w:ascii="微软雅黑" w:eastAsia="微软雅黑"/>
                      <w:sz w:val="24"/>
                    </w:rPr>
                  </w:pPr>
                  <w:r>
                    <w:rPr>
                      <w:rFonts w:ascii="微软雅黑" w:eastAsia="微软雅黑"/>
                      <w:sz w:val="24"/>
                    </w:rPr>
                    <w:t>6.3</w:t>
                  </w:r>
                  <w:r>
                    <w:rPr>
                      <w:rFonts w:ascii="微软雅黑" w:eastAsia="微软雅黑"/>
                      <w:spacing w:val="-5"/>
                      <w:sz w:val="24"/>
                    </w:rPr>
                    <w:t xml:space="preserve"> 投保年龄</w:t>
                  </w:r>
                </w:p>
                <w:p>
                  <w:pPr>
                    <w:spacing w:before="0" w:line="360" w:lineRule="exact"/>
                    <w:ind w:left="4" w:right="0" w:firstLine="0"/>
                    <w:jc w:val="left"/>
                    <w:rPr>
                      <w:rFonts w:ascii="微软雅黑" w:eastAsia="微软雅黑"/>
                      <w:sz w:val="24"/>
                    </w:rPr>
                  </w:pPr>
                  <w:r>
                    <w:rPr>
                      <w:rFonts w:ascii="微软雅黑" w:eastAsia="微软雅黑"/>
                      <w:sz w:val="24"/>
                    </w:rPr>
                    <w:t>6.6</w:t>
                  </w:r>
                  <w:r>
                    <w:rPr>
                      <w:rFonts w:ascii="微软雅黑" w:eastAsia="微软雅黑"/>
                      <w:spacing w:val="-5"/>
                      <w:sz w:val="24"/>
                    </w:rPr>
                    <w:t xml:space="preserve"> 合同变更</w:t>
                  </w:r>
                </w:p>
              </w:txbxContent>
            </v:textbox>
          </v:shape>
        </w:pict>
      </w:r>
      <w:r>
        <w:pict>
          <v:shape id="docshape19" o:spid="_x0000_s1044" o:spt="202" type="#_x0000_t202" style="position:absolute;left:0pt;margin-left:348pt;margin-top:486.1pt;height:15.85pt;width:117.05pt;mso-position-horizontal-relative:page;z-index:-251637760;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6.2</w:t>
                  </w:r>
                  <w:r>
                    <w:rPr>
                      <w:rFonts w:ascii="微软雅黑" w:eastAsia="微软雅黑"/>
                      <w:spacing w:val="-4"/>
                      <w:sz w:val="24"/>
                    </w:rPr>
                    <w:t xml:space="preserve"> 合同的成立与生效</w:t>
                  </w:r>
                </w:p>
              </w:txbxContent>
            </v:textbox>
          </v:shape>
        </w:pict>
      </w:r>
      <w:r>
        <w:pict>
          <v:shape id="docshape20" o:spid="_x0000_s1045" o:spt="202" type="#_x0000_t202" style="position:absolute;left:0pt;margin-left:348.85pt;margin-top:504.95pt;height:34.45pt;width:69.05pt;mso-position-horizontal-relative:page;z-index:-251637760;mso-width-relative:page;mso-height-relative:page;" filled="f" stroked="f" coordsize="21600,21600">
            <v:path/>
            <v:fill on="f" focussize="0,0"/>
            <v:stroke on="f" joinstyle="miter"/>
            <v:imagedata o:title=""/>
            <o:lock v:ext="edit"/>
            <v:textbox inset="0mm,0mm,0mm,0mm">
              <w:txbxContent>
                <w:p>
                  <w:pPr>
                    <w:spacing w:before="0" w:line="344" w:lineRule="exact"/>
                    <w:ind w:left="0" w:right="0" w:firstLine="0"/>
                    <w:jc w:val="left"/>
                    <w:rPr>
                      <w:rFonts w:ascii="微软雅黑" w:eastAsia="微软雅黑"/>
                      <w:sz w:val="24"/>
                    </w:rPr>
                  </w:pPr>
                  <w:r>
                    <w:rPr>
                      <w:rFonts w:ascii="微软雅黑" w:eastAsia="微软雅黑"/>
                      <w:sz w:val="24"/>
                    </w:rPr>
                    <w:t>6.4</w:t>
                  </w:r>
                  <w:r>
                    <w:rPr>
                      <w:rFonts w:ascii="微软雅黑" w:eastAsia="微软雅黑"/>
                      <w:spacing w:val="-5"/>
                      <w:sz w:val="24"/>
                    </w:rPr>
                    <w:t xml:space="preserve"> 效力终止</w:t>
                  </w:r>
                </w:p>
                <w:p>
                  <w:pPr>
                    <w:spacing w:before="0" w:line="344" w:lineRule="exact"/>
                    <w:ind w:left="0" w:right="0" w:firstLine="0"/>
                    <w:jc w:val="left"/>
                    <w:rPr>
                      <w:rFonts w:ascii="微软雅黑" w:eastAsia="微软雅黑"/>
                      <w:sz w:val="24"/>
                    </w:rPr>
                  </w:pPr>
                  <w:r>
                    <w:rPr>
                      <w:rFonts w:ascii="微软雅黑" w:eastAsia="微软雅黑"/>
                      <w:sz w:val="24"/>
                    </w:rPr>
                    <w:t>6.7</w:t>
                  </w:r>
                  <w:r>
                    <w:rPr>
                      <w:rFonts w:ascii="微软雅黑" w:eastAsia="微软雅黑"/>
                      <w:spacing w:val="-5"/>
                      <w:sz w:val="24"/>
                    </w:rPr>
                    <w:t xml:space="preserve"> 通知送达</w:t>
                  </w:r>
                </w:p>
              </w:txbxContent>
            </v:textbox>
          </v:shape>
        </w:pict>
      </w:r>
      <w:r>
        <w:pict>
          <v:shape id="docshape21" o:spid="_x0000_s1046" o:spt="202" type="#_x0000_t202" style="position:absolute;left:0pt;margin-left:447.25pt;margin-top:503.85pt;height:34.6pt;width:93.05pt;mso-position-horizontal-relative:page;mso-wrap-distance-bottom:0pt;mso-wrap-distance-top:0pt;z-index:-251623424;mso-width-relative:page;mso-height-relative:page;" filled="f" stroked="f" coordsize="21600,21600">
            <v:path/>
            <v:fill on="f" focussize="0,0"/>
            <v:stroke on="f" joinstyle="miter"/>
            <v:imagedata o:title=""/>
            <o:lock v:ext="edit"/>
            <v:textbox inset="0mm,0mm,0mm,0mm">
              <w:txbxContent>
                <w:p>
                  <w:pPr>
                    <w:spacing w:before="0" w:line="346" w:lineRule="exact"/>
                    <w:ind w:left="0" w:right="0" w:firstLine="0"/>
                    <w:jc w:val="left"/>
                    <w:rPr>
                      <w:rFonts w:ascii="微软雅黑" w:eastAsia="微软雅黑"/>
                      <w:sz w:val="24"/>
                    </w:rPr>
                  </w:pPr>
                  <w:r>
                    <w:rPr>
                      <w:rFonts w:ascii="微软雅黑" w:eastAsia="微软雅黑"/>
                      <w:sz w:val="24"/>
                    </w:rPr>
                    <w:t>6.5</w:t>
                  </w:r>
                  <w:r>
                    <w:rPr>
                      <w:rFonts w:ascii="微软雅黑" w:eastAsia="微软雅黑"/>
                      <w:spacing w:val="-4"/>
                      <w:sz w:val="24"/>
                    </w:rPr>
                    <w:t xml:space="preserve"> 社保状态变更</w:t>
                  </w:r>
                </w:p>
                <w:p>
                  <w:pPr>
                    <w:spacing w:before="0" w:line="346" w:lineRule="exact"/>
                    <w:ind w:left="2" w:right="0" w:firstLine="0"/>
                    <w:jc w:val="left"/>
                    <w:rPr>
                      <w:rFonts w:ascii="微软雅黑" w:eastAsia="微软雅黑"/>
                      <w:sz w:val="24"/>
                    </w:rPr>
                  </w:pPr>
                  <w:r>
                    <w:rPr>
                      <w:rFonts w:ascii="微软雅黑" w:eastAsia="微软雅黑"/>
                      <w:sz w:val="24"/>
                    </w:rPr>
                    <w:t>6.8</w:t>
                  </w:r>
                  <w:r>
                    <w:rPr>
                      <w:rFonts w:ascii="微软雅黑" w:eastAsia="微软雅黑"/>
                      <w:spacing w:val="-5"/>
                      <w:sz w:val="24"/>
                    </w:rPr>
                    <w:t xml:space="preserve"> 争议处理</w:t>
                  </w:r>
                </w:p>
              </w:txbxContent>
            </v:textbox>
            <w10:wrap type="topAndBottom"/>
          </v:shape>
        </w:pict>
      </w:r>
      <w:r>
        <w:drawing>
          <wp:anchor distT="0" distB="0" distL="0" distR="0" simplePos="0" relativeHeight="251679744" behindDoc="1" locked="0" layoutInCell="1" allowOverlap="1">
            <wp:simplePos x="0" y="0"/>
            <wp:positionH relativeFrom="page">
              <wp:posOffset>694690</wp:posOffset>
            </wp:positionH>
            <wp:positionV relativeFrom="paragraph">
              <wp:posOffset>7216775</wp:posOffset>
            </wp:positionV>
            <wp:extent cx="6228715" cy="963295"/>
            <wp:effectExtent l="0" t="0" r="0" b="0"/>
            <wp:wrapNone/>
            <wp:docPr id="3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8.png"/>
                    <pic:cNvPicPr>
                      <a:picLocks noChangeAspect="1"/>
                    </pic:cNvPicPr>
                  </pic:nvPicPr>
                  <pic:blipFill>
                    <a:blip r:embed="rId23" cstate="print"/>
                    <a:stretch>
                      <a:fillRect/>
                    </a:stretch>
                  </pic:blipFill>
                  <pic:spPr>
                    <a:xfrm>
                      <a:off x="0" y="0"/>
                      <a:ext cx="6228587" cy="963168"/>
                    </a:xfrm>
                    <a:prstGeom prst="rect">
                      <a:avLst/>
                    </a:prstGeom>
                  </pic:spPr>
                </pic:pic>
              </a:graphicData>
            </a:graphic>
          </wp:anchor>
        </w:drawing>
      </w:r>
      <w:r>
        <w:pict>
          <v:shape id="docshape22" o:spid="_x0000_s1047" o:spt="202" type="#_x0000_t202" style="position:absolute;left:0pt;margin-left:126.1pt;margin-top:579.25pt;height:33.95pt;width:25pt;mso-position-horizontal-relative:page;z-index:-251635712;mso-width-relative:page;mso-height-relative:page;" filled="f" stroked="f" coordsize="21600,21600">
            <v:path/>
            <v:fill on="f" focussize="0,0"/>
            <v:stroke on="f" joinstyle="miter"/>
            <v:imagedata o:title=""/>
            <o:lock v:ext="edit"/>
            <v:textbox inset="0mm,0mm,0mm,0mm">
              <w:txbxContent>
                <w:p>
                  <w:pPr>
                    <w:spacing w:before="0" w:line="320" w:lineRule="exact"/>
                    <w:ind w:left="7" w:right="0" w:firstLine="0"/>
                    <w:jc w:val="left"/>
                    <w:rPr>
                      <w:rFonts w:ascii="仿宋"/>
                      <w:b/>
                      <w:sz w:val="30"/>
                    </w:rPr>
                  </w:pPr>
                  <w:r>
                    <w:rPr>
                      <w:rFonts w:ascii="仿宋"/>
                      <w:b/>
                      <w:w w:val="99"/>
                      <w:sz w:val="30"/>
                    </w:rPr>
                    <w:t>7</w:t>
                  </w:r>
                </w:p>
                <w:p>
                  <w:pPr>
                    <w:spacing w:before="0" w:line="358" w:lineRule="exact"/>
                    <w:ind w:left="0" w:right="0" w:firstLine="0"/>
                    <w:jc w:val="left"/>
                    <w:rPr>
                      <w:rFonts w:ascii="微软雅黑" w:eastAsia="微软雅黑"/>
                      <w:b/>
                      <w:sz w:val="24"/>
                    </w:rPr>
                  </w:pPr>
                  <w:r>
                    <w:rPr>
                      <w:rFonts w:ascii="微软雅黑" w:eastAsia="微软雅黑"/>
                      <w:b/>
                      <w:spacing w:val="-5"/>
                      <w:sz w:val="24"/>
                    </w:rPr>
                    <w:t>释义</w:t>
                  </w:r>
                </w:p>
              </w:txbxContent>
            </v:textbox>
          </v:shape>
        </w:pict>
      </w:r>
      <w:r>
        <w:pict>
          <v:shape id="docshape23" o:spid="_x0000_s1048" o:spt="202" type="#_x0000_t202" style="position:absolute;left:0pt;margin-left:226.55pt;margin-top:596.25pt;height:15.85pt;width:93.05pt;mso-position-horizontal-relative:page;z-index:-251635712;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7.1</w:t>
                  </w:r>
                  <w:r>
                    <w:rPr>
                      <w:rFonts w:ascii="微软雅黑" w:eastAsia="微软雅黑"/>
                      <w:spacing w:val="-4"/>
                      <w:sz w:val="24"/>
                    </w:rPr>
                    <w:t xml:space="preserve"> 医疗费用释义</w:t>
                  </w:r>
                </w:p>
              </w:txbxContent>
            </v:textbox>
          </v:shape>
        </w:pict>
      </w:r>
      <w:r>
        <w:pict>
          <v:shape id="docshape24" o:spid="_x0000_s1049" o:spt="202" type="#_x0000_t202" style="position:absolute;left:0pt;margin-left:359.65pt;margin-top:596.1pt;height:15.85pt;width:93.05pt;mso-position-horizontal-relative:page;mso-wrap-distance-bottom:0pt;mso-wrap-distance-top:0pt;z-index:-251622400;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7.2</w:t>
                  </w:r>
                  <w:r>
                    <w:rPr>
                      <w:rFonts w:ascii="微软雅黑" w:eastAsia="微软雅黑"/>
                      <w:spacing w:val="-4"/>
                      <w:sz w:val="24"/>
                    </w:rPr>
                    <w:t xml:space="preserve"> 重大疾病释义</w:t>
                  </w:r>
                </w:p>
              </w:txbxContent>
            </v:textbox>
            <w10:wrap type="topAndBottom"/>
          </v:shape>
        </w:pict>
      </w:r>
    </w:p>
    <w:p>
      <w:pPr>
        <w:pStyle w:val="4"/>
        <w:spacing w:before="13"/>
        <w:rPr>
          <w:rFonts w:ascii="华文中宋"/>
          <w:b/>
          <w:sz w:val="20"/>
        </w:rPr>
      </w:pPr>
    </w:p>
    <w:p>
      <w:pPr>
        <w:pStyle w:val="4"/>
        <w:spacing w:before="13"/>
        <w:rPr>
          <w:rFonts w:ascii="华文中宋"/>
          <w:b/>
          <w:sz w:val="20"/>
        </w:rPr>
      </w:pPr>
    </w:p>
    <w:p>
      <w:pPr>
        <w:pStyle w:val="4"/>
        <w:spacing w:before="13"/>
        <w:rPr>
          <w:rFonts w:ascii="华文中宋"/>
          <w:b/>
          <w:sz w:val="20"/>
        </w:rPr>
      </w:pPr>
    </w:p>
    <w:p>
      <w:pPr>
        <w:pStyle w:val="4"/>
        <w:spacing w:before="13"/>
        <w:rPr>
          <w:rFonts w:ascii="华文中宋"/>
          <w:b/>
          <w:sz w:val="20"/>
        </w:rPr>
      </w:pPr>
    </w:p>
    <w:p>
      <w:pPr>
        <w:pStyle w:val="4"/>
        <w:spacing w:before="13"/>
        <w:rPr>
          <w:rFonts w:ascii="华文中宋"/>
          <w:b/>
          <w:sz w:val="20"/>
        </w:rPr>
      </w:pPr>
    </w:p>
    <w:p>
      <w:pPr>
        <w:pStyle w:val="4"/>
        <w:spacing w:before="13"/>
        <w:rPr>
          <w:rFonts w:ascii="华文中宋"/>
          <w:b/>
          <w:sz w:val="20"/>
        </w:rPr>
      </w:pPr>
    </w:p>
    <w:p>
      <w:pPr>
        <w:spacing w:after="0"/>
        <w:rPr>
          <w:rFonts w:ascii="华文中宋"/>
          <w:sz w:val="20"/>
        </w:rPr>
        <w:sectPr>
          <w:pgSz w:w="11910" w:h="16840"/>
          <w:pgMar w:top="1440" w:right="840" w:bottom="280" w:left="860" w:header="720" w:footer="720" w:gutter="0"/>
          <w:cols w:space="720" w:num="1"/>
        </w:sectPr>
      </w:pPr>
    </w:p>
    <w:p>
      <w:pPr>
        <w:spacing w:before="41"/>
        <w:ind w:left="2109" w:right="2128" w:firstLine="0"/>
        <w:jc w:val="center"/>
        <w:rPr>
          <w:rFonts w:hint="eastAsia" w:ascii="华文中宋" w:eastAsia="华文中宋"/>
          <w:b/>
          <w:sz w:val="32"/>
        </w:rPr>
      </w:pPr>
      <w:r>
        <w:rPr>
          <w:rFonts w:hint="eastAsia" w:ascii="华文中宋" w:eastAsia="华文中宋"/>
          <w:b/>
          <w:w w:val="95"/>
          <w:sz w:val="32"/>
        </w:rPr>
        <w:t>爱心人寿爱安享医疗保险（2020</w:t>
      </w:r>
      <w:r>
        <w:rPr>
          <w:rFonts w:hint="eastAsia" w:ascii="华文中宋" w:eastAsia="华文中宋"/>
          <w:b/>
          <w:spacing w:val="56"/>
          <w:sz w:val="32"/>
        </w:rPr>
        <w:t xml:space="preserve">  </w:t>
      </w:r>
      <w:r>
        <w:rPr>
          <w:rFonts w:hint="eastAsia" w:ascii="华文中宋" w:eastAsia="华文中宋"/>
          <w:b/>
          <w:w w:val="95"/>
          <w:sz w:val="32"/>
        </w:rPr>
        <w:t>版）条</w:t>
      </w:r>
      <w:r>
        <w:rPr>
          <w:rFonts w:hint="eastAsia" w:ascii="华文中宋" w:eastAsia="华文中宋"/>
          <w:b/>
          <w:spacing w:val="-10"/>
          <w:w w:val="95"/>
          <w:sz w:val="32"/>
        </w:rPr>
        <w:t>款</w:t>
      </w:r>
    </w:p>
    <w:p>
      <w:pPr>
        <w:pStyle w:val="4"/>
        <w:spacing w:before="13"/>
        <w:rPr>
          <w:rFonts w:ascii="华文中宋"/>
          <w:b/>
          <w:sz w:val="24"/>
        </w:rPr>
      </w:pPr>
    </w:p>
    <w:p>
      <w:pPr>
        <w:pStyle w:val="4"/>
        <w:ind w:left="220"/>
      </w:pPr>
      <w:r>
        <w:rPr>
          <w:spacing w:val="-18"/>
        </w:rPr>
        <w:t>在本条款中，“您”指投保人，“我们”指爱心人寿保险股份有限公司。</w:t>
      </w:r>
    </w:p>
    <w:p>
      <w:pPr>
        <w:pStyle w:val="4"/>
        <w:spacing w:before="8"/>
        <w:rPr>
          <w:sz w:val="28"/>
        </w:rPr>
      </w:pPr>
    </w:p>
    <w:p>
      <w:pPr>
        <w:tabs>
          <w:tab w:val="left" w:pos="1196"/>
        </w:tabs>
        <w:spacing w:before="0"/>
        <w:ind w:left="220" w:right="0" w:firstLine="0"/>
        <w:jc w:val="left"/>
        <w:rPr>
          <w:sz w:val="21"/>
        </w:rPr>
      </w:pPr>
      <w:r>
        <w:rPr>
          <w:rFonts w:ascii="Wingdings 2" w:hAnsi="Wingdings 2" w:eastAsia="Wingdings 2"/>
          <w:b/>
          <w:spacing w:val="-10"/>
          <w:position w:val="-5"/>
          <w:sz w:val="52"/>
        </w:rPr>
        <w:t></w:t>
      </w:r>
      <w:r>
        <w:rPr>
          <w:rFonts w:ascii="Times New Roman" w:hAnsi="Times New Roman" w:eastAsia="Times New Roman"/>
          <w:position w:val="-5"/>
          <w:sz w:val="52"/>
        </w:rPr>
        <w:tab/>
      </w:r>
      <w:r>
        <w:rPr>
          <w:b/>
          <w:spacing w:val="-2"/>
          <w:sz w:val="28"/>
        </w:rPr>
        <w:t>我们的保障范围</w:t>
      </w:r>
      <w:r>
        <w:rPr>
          <w:b/>
          <w:spacing w:val="9"/>
          <w:sz w:val="28"/>
        </w:rPr>
        <w:t xml:space="preserve"> </w:t>
      </w:r>
      <w:r>
        <w:rPr>
          <w:spacing w:val="-3"/>
          <w:sz w:val="21"/>
        </w:rPr>
        <w:t>这部分讲的是我们提供的保障以及保障的期间。</w:t>
      </w:r>
    </w:p>
    <w:p>
      <w:pPr>
        <w:pStyle w:val="8"/>
        <w:numPr>
          <w:ilvl w:val="1"/>
          <w:numId w:val="2"/>
        </w:numPr>
        <w:tabs>
          <w:tab w:val="left" w:pos="1196"/>
          <w:tab w:val="left" w:pos="1197"/>
          <w:tab w:val="left" w:pos="3260"/>
        </w:tabs>
        <w:spacing w:before="376" w:after="0" w:line="240" w:lineRule="auto"/>
        <w:ind w:left="1196" w:right="0" w:hanging="977"/>
        <w:jc w:val="left"/>
        <w:rPr>
          <w:sz w:val="21"/>
        </w:rPr>
      </w:pPr>
      <w:r>
        <w:rPr>
          <w:b/>
          <w:sz w:val="21"/>
        </w:rPr>
        <w:t>保障计</w:t>
      </w:r>
      <w:r>
        <w:rPr>
          <w:b/>
          <w:spacing w:val="-10"/>
          <w:sz w:val="21"/>
        </w:rPr>
        <w:t>划</w:t>
      </w:r>
      <w:r>
        <w:rPr>
          <w:b/>
          <w:sz w:val="21"/>
        </w:rPr>
        <w:tab/>
      </w:r>
      <w:r>
        <w:rPr>
          <w:sz w:val="21"/>
        </w:rPr>
        <w:t>本合同的保障计划由您在投保时与我们约定，并在保险单或批注单上</w:t>
      </w:r>
      <w:r>
        <w:rPr>
          <w:spacing w:val="-10"/>
          <w:sz w:val="21"/>
        </w:rPr>
        <w:t>载</w:t>
      </w:r>
    </w:p>
    <w:p>
      <w:pPr>
        <w:pStyle w:val="4"/>
        <w:spacing w:before="43" w:line="278" w:lineRule="auto"/>
        <w:ind w:left="3260" w:right="236"/>
      </w:pPr>
      <w:r>
        <w:rPr>
          <w:spacing w:val="-2"/>
        </w:rPr>
        <w:t>明。保障计划一经确定，在保险期间内不得变更。各保障计划下的医院范围、各项责任的给付限额、年免赔额等信息详见“附表一”。</w:t>
      </w:r>
    </w:p>
    <w:p>
      <w:pPr>
        <w:pStyle w:val="4"/>
        <w:spacing w:before="4"/>
        <w:rPr>
          <w:sz w:val="24"/>
        </w:rPr>
      </w:pPr>
    </w:p>
    <w:p>
      <w:pPr>
        <w:pStyle w:val="8"/>
        <w:numPr>
          <w:ilvl w:val="1"/>
          <w:numId w:val="2"/>
        </w:numPr>
        <w:tabs>
          <w:tab w:val="left" w:pos="1196"/>
          <w:tab w:val="left" w:pos="1197"/>
          <w:tab w:val="left" w:pos="3260"/>
        </w:tabs>
        <w:spacing w:before="1" w:after="0" w:line="240" w:lineRule="auto"/>
        <w:ind w:left="1196" w:right="0" w:hanging="977"/>
        <w:jc w:val="left"/>
        <w:rPr>
          <w:sz w:val="21"/>
        </w:rPr>
      </w:pPr>
      <w:r>
        <w:rPr>
          <w:b/>
          <w:sz w:val="21"/>
        </w:rPr>
        <w:t>保险责</w:t>
      </w:r>
      <w:r>
        <w:rPr>
          <w:b/>
          <w:spacing w:val="-10"/>
          <w:sz w:val="21"/>
        </w:rPr>
        <w:t>任</w:t>
      </w:r>
      <w:r>
        <w:rPr>
          <w:b/>
          <w:sz w:val="21"/>
        </w:rPr>
        <w:tab/>
      </w:r>
      <w:r>
        <w:rPr>
          <w:spacing w:val="-2"/>
          <w:sz w:val="21"/>
        </w:rPr>
        <w:t>本合同保险责任分为必选责任和可选责任。您在投保必选责任的基础上</w:t>
      </w:r>
      <w:r>
        <w:rPr>
          <w:spacing w:val="-10"/>
          <w:sz w:val="21"/>
        </w:rPr>
        <w:t>可</w:t>
      </w:r>
    </w:p>
    <w:p>
      <w:pPr>
        <w:pStyle w:val="4"/>
        <w:spacing w:before="43" w:line="278" w:lineRule="auto"/>
        <w:ind w:left="3260" w:right="234"/>
      </w:pPr>
      <w:r>
        <w:rPr>
          <w:spacing w:val="-2"/>
        </w:rPr>
        <w:t>选择投保一项或多项可选责任。保险责任一经确定，在保险期间内不得变更，并在保险单上载明。</w:t>
      </w:r>
    </w:p>
    <w:p>
      <w:pPr>
        <w:pStyle w:val="4"/>
        <w:spacing w:before="4"/>
        <w:rPr>
          <w:sz w:val="24"/>
        </w:rPr>
      </w:pPr>
    </w:p>
    <w:p>
      <w:pPr>
        <w:pStyle w:val="4"/>
        <w:ind w:left="3260"/>
      </w:pPr>
      <w:r>
        <w:rPr>
          <w:spacing w:val="-3"/>
        </w:rPr>
        <w:t>在本合同保险期间内，我们承担如下保险责任：</w:t>
      </w:r>
    </w:p>
    <w:p>
      <w:pPr>
        <w:pStyle w:val="4"/>
        <w:spacing w:before="9"/>
        <w:rPr>
          <w:sz w:val="27"/>
        </w:rPr>
      </w:pPr>
    </w:p>
    <w:p>
      <w:pPr>
        <w:pStyle w:val="4"/>
        <w:tabs>
          <w:tab w:val="left" w:pos="3260"/>
        </w:tabs>
        <w:spacing w:line="276" w:lineRule="auto"/>
        <w:ind w:left="3260" w:right="234" w:hanging="2065"/>
        <w:jc w:val="both"/>
      </w:pPr>
      <w:r>
        <w:rPr>
          <w:b/>
          <w:spacing w:val="-4"/>
        </w:rPr>
        <w:t>等待期</w:t>
      </w:r>
      <w:r>
        <w:rPr>
          <w:b/>
        </w:rPr>
        <w:tab/>
      </w:r>
      <w:r>
        <w:rPr>
          <w:rFonts w:ascii="黑体" w:eastAsia="黑体"/>
          <w:color w:val="000000"/>
          <w:shd w:val="clear" w:color="auto" w:fill="D9D9D9"/>
        </w:rPr>
        <w:t>从本合同生效之日起</w:t>
      </w:r>
      <w:r>
        <w:rPr>
          <w:rFonts w:ascii="黑体" w:eastAsia="黑体"/>
          <w:color w:val="000000"/>
          <w:spacing w:val="-21"/>
          <w:shd w:val="clear" w:color="auto" w:fill="D9D9D9"/>
        </w:rPr>
        <w:t xml:space="preserve"> </w:t>
      </w:r>
      <w:r>
        <w:rPr>
          <w:rFonts w:ascii="黑体" w:eastAsia="黑体"/>
          <w:color w:val="000000"/>
          <w:shd w:val="clear" w:color="auto" w:fill="D9D9D9"/>
        </w:rPr>
        <w:t>30</w:t>
      </w:r>
      <w:r>
        <w:rPr>
          <w:rFonts w:ascii="黑体" w:eastAsia="黑体"/>
          <w:color w:val="000000"/>
          <w:spacing w:val="-24"/>
          <w:shd w:val="clear" w:color="auto" w:fill="D9D9D9"/>
        </w:rPr>
        <w:t xml:space="preserve"> </w:t>
      </w:r>
      <w:r>
        <w:rPr>
          <w:rFonts w:ascii="黑体" w:eastAsia="黑体"/>
          <w:color w:val="000000"/>
          <w:shd w:val="clear" w:color="auto" w:fill="D9D9D9"/>
        </w:rPr>
        <w:t>日内，被保险人发生疾病，由治疗该疾病产生的</w:t>
      </w:r>
      <w:r>
        <w:rPr>
          <w:rFonts w:ascii="黑体" w:eastAsia="黑体"/>
          <w:color w:val="000000"/>
          <w:spacing w:val="40"/>
          <w:shd w:val="clear" w:color="auto" w:fill="D9D9D9"/>
        </w:rPr>
        <w:t xml:space="preserve"> </w:t>
      </w:r>
      <w:r>
        <w:rPr>
          <w:rFonts w:ascii="黑体" w:eastAsia="黑体"/>
          <w:color w:val="000000"/>
          <w:shd w:val="clear" w:color="auto" w:fill="D9D9D9"/>
        </w:rPr>
        <w:t>医疗费用无论是发生在该</w:t>
      </w:r>
      <w:r>
        <w:rPr>
          <w:rFonts w:ascii="黑体" w:eastAsia="黑体"/>
          <w:color w:val="000000"/>
          <w:spacing w:val="-23"/>
          <w:shd w:val="clear" w:color="auto" w:fill="D9D9D9"/>
        </w:rPr>
        <w:t xml:space="preserve"> </w:t>
      </w:r>
      <w:r>
        <w:rPr>
          <w:rFonts w:ascii="黑体" w:eastAsia="黑体"/>
          <w:color w:val="000000"/>
          <w:shd w:val="clear" w:color="auto" w:fill="D9D9D9"/>
        </w:rPr>
        <w:t>30</w:t>
      </w:r>
      <w:r>
        <w:rPr>
          <w:rFonts w:ascii="黑体" w:eastAsia="黑体"/>
          <w:color w:val="000000"/>
          <w:spacing w:val="-22"/>
          <w:shd w:val="clear" w:color="auto" w:fill="D9D9D9"/>
        </w:rPr>
        <w:t xml:space="preserve"> </w:t>
      </w:r>
      <w:r>
        <w:rPr>
          <w:rFonts w:ascii="黑体" w:eastAsia="黑体"/>
          <w:color w:val="000000"/>
          <w:shd w:val="clear" w:color="auto" w:fill="D9D9D9"/>
        </w:rPr>
        <w:t>日之内或之外，我们都不承担给付保险金的</w:t>
      </w:r>
      <w:r>
        <w:rPr>
          <w:rFonts w:ascii="黑体" w:eastAsia="黑体"/>
          <w:color w:val="000000"/>
          <w:spacing w:val="-2"/>
          <w:shd w:val="clear" w:color="auto" w:fill="D9D9D9"/>
        </w:rPr>
        <w:t>责任。这</w:t>
      </w:r>
      <w:r>
        <w:rPr>
          <w:rFonts w:ascii="黑体" w:eastAsia="黑体"/>
          <w:color w:val="000000"/>
          <w:spacing w:val="-17"/>
          <w:shd w:val="clear" w:color="auto" w:fill="D9D9D9"/>
        </w:rPr>
        <w:t xml:space="preserve"> </w:t>
      </w:r>
      <w:r>
        <w:rPr>
          <w:rFonts w:ascii="黑体" w:eastAsia="黑体"/>
          <w:color w:val="000000"/>
          <w:spacing w:val="-2"/>
          <w:shd w:val="clear" w:color="auto" w:fill="D9D9D9"/>
        </w:rPr>
        <w:t>30</w:t>
      </w:r>
      <w:r>
        <w:rPr>
          <w:rFonts w:ascii="黑体" w:eastAsia="黑体"/>
          <w:color w:val="000000"/>
          <w:spacing w:val="-21"/>
          <w:shd w:val="clear" w:color="auto" w:fill="D9D9D9"/>
        </w:rPr>
        <w:t xml:space="preserve"> </w:t>
      </w:r>
      <w:r>
        <w:rPr>
          <w:rFonts w:ascii="黑体" w:eastAsia="黑体"/>
          <w:color w:val="000000"/>
          <w:spacing w:val="-2"/>
          <w:shd w:val="clear" w:color="auto" w:fill="D9D9D9"/>
        </w:rPr>
        <w:t>日的时间称为等待期。</w:t>
      </w:r>
      <w:r>
        <w:rPr>
          <w:color w:val="000000"/>
          <w:spacing w:val="-2"/>
        </w:rPr>
        <w:t>续保或因</w:t>
      </w:r>
      <w:r>
        <w:rPr>
          <w:b/>
          <w:color w:val="000000"/>
          <w:spacing w:val="-2"/>
        </w:rPr>
        <w:t>意外伤害</w:t>
      </w:r>
      <w:r>
        <w:rPr>
          <w:b/>
          <w:color w:val="000000"/>
          <w:spacing w:val="-2"/>
          <w:position w:val="11"/>
          <w:sz w:val="11"/>
        </w:rPr>
        <w:t>1</w:t>
      </w:r>
      <w:r>
        <w:rPr>
          <w:color w:val="000000"/>
          <w:spacing w:val="-2"/>
        </w:rPr>
        <w:t>发生上述情形的，</w:t>
      </w:r>
      <w:r>
        <w:rPr>
          <w:color w:val="000000"/>
          <w:spacing w:val="-4"/>
        </w:rPr>
        <w:t>无等待期。</w:t>
      </w:r>
    </w:p>
    <w:p>
      <w:pPr>
        <w:pStyle w:val="4"/>
        <w:spacing w:before="5"/>
        <w:rPr>
          <w:sz w:val="24"/>
        </w:rPr>
      </w:pPr>
    </w:p>
    <w:p>
      <w:pPr>
        <w:pStyle w:val="4"/>
        <w:spacing w:line="278" w:lineRule="auto"/>
        <w:ind w:left="3260" w:right="234"/>
      </w:pPr>
      <w:r>
        <w:rPr>
          <w:spacing w:val="-2"/>
        </w:rPr>
        <w:t>被保险人因意外伤害或于等待期后发生保险事故，我们按下列方式给付保</w:t>
      </w:r>
      <w:r>
        <w:rPr>
          <w:spacing w:val="-4"/>
        </w:rPr>
        <w:t>险金：</w:t>
      </w:r>
    </w:p>
    <w:p>
      <w:pPr>
        <w:pStyle w:val="4"/>
        <w:spacing w:before="4"/>
        <w:rPr>
          <w:sz w:val="24"/>
        </w:rPr>
      </w:pPr>
    </w:p>
    <w:p>
      <w:pPr>
        <w:pStyle w:val="4"/>
        <w:tabs>
          <w:tab w:val="left" w:pos="2201"/>
        </w:tabs>
        <w:ind w:left="137"/>
        <w:jc w:val="center"/>
      </w:pPr>
      <w:r>
        <w:rPr>
          <w:b/>
        </w:rPr>
        <w:t>必选责</w:t>
      </w:r>
      <w:r>
        <w:rPr>
          <w:b/>
          <w:spacing w:val="-10"/>
        </w:rPr>
        <w:t>任</w:t>
      </w:r>
      <w:r>
        <w:rPr>
          <w:b/>
        </w:rPr>
        <w:tab/>
      </w:r>
      <w:r>
        <w:rPr>
          <w:spacing w:val="-2"/>
        </w:rPr>
        <w:t>本合同的必选责任包括一般医疗保险金和重大疾病医疗保险金</w:t>
      </w:r>
      <w:r>
        <w:rPr>
          <w:spacing w:val="-10"/>
        </w:rPr>
        <w:t>。</w:t>
      </w: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spacing w:before="10"/>
        <w:rPr>
          <w:sz w:val="19"/>
        </w:rPr>
      </w:pPr>
      <w:r>
        <w:drawing>
          <wp:anchor distT="0" distB="0" distL="0" distR="0" simplePos="0" relativeHeight="251660288" behindDoc="0" locked="0" layoutInCell="1" allowOverlap="1">
            <wp:simplePos x="0" y="0"/>
            <wp:positionH relativeFrom="page">
              <wp:posOffset>685800</wp:posOffset>
            </wp:positionH>
            <wp:positionV relativeFrom="paragraph">
              <wp:posOffset>175895</wp:posOffset>
            </wp:positionV>
            <wp:extent cx="1828800" cy="6350"/>
            <wp:effectExtent l="0" t="0" r="0" b="0"/>
            <wp:wrapTopAndBottom/>
            <wp:docPr id="3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9.png"/>
                    <pic:cNvPicPr>
                      <a:picLocks noChangeAspect="1"/>
                    </pic:cNvPicPr>
                  </pic:nvPicPr>
                  <pic:blipFill>
                    <a:blip r:embed="rId24" cstate="print"/>
                    <a:stretch>
                      <a:fillRect/>
                    </a:stretch>
                  </pic:blipFill>
                  <pic:spPr>
                    <a:xfrm>
                      <a:off x="0" y="0"/>
                      <a:ext cx="1828799" cy="6096"/>
                    </a:xfrm>
                    <a:prstGeom prst="rect">
                      <a:avLst/>
                    </a:prstGeom>
                  </pic:spPr>
                </pic:pic>
              </a:graphicData>
            </a:graphic>
          </wp:anchor>
        </w:drawing>
      </w:r>
    </w:p>
    <w:p>
      <w:pPr>
        <w:spacing w:before="156"/>
        <w:ind w:left="220" w:right="0" w:firstLine="0"/>
        <w:jc w:val="left"/>
        <w:rPr>
          <w:sz w:val="18"/>
        </w:rPr>
      </w:pPr>
      <w:r>
        <w:rPr>
          <w:rFonts w:ascii="Times New Roman" w:eastAsia="Times New Roman"/>
          <w:sz w:val="18"/>
          <w:vertAlign w:val="superscript"/>
        </w:rPr>
        <w:t>1</w:t>
      </w:r>
      <w:r>
        <w:rPr>
          <w:rFonts w:ascii="Times New Roman" w:eastAsia="Times New Roman"/>
          <w:spacing w:val="39"/>
          <w:sz w:val="18"/>
          <w:vertAlign w:val="baseline"/>
        </w:rPr>
        <w:t xml:space="preserve"> </w:t>
      </w:r>
      <w:r>
        <w:rPr>
          <w:b/>
          <w:sz w:val="18"/>
          <w:vertAlign w:val="baseline"/>
        </w:rPr>
        <w:t>意外伤害</w:t>
      </w:r>
      <w:r>
        <w:rPr>
          <w:spacing w:val="-1"/>
          <w:sz w:val="18"/>
          <w:vertAlign w:val="baseline"/>
        </w:rPr>
        <w:t>指外来的、突发的、非本意的、非疾病的客观事件直接致使身体受到的伤害。</w:t>
      </w:r>
    </w:p>
    <w:p>
      <w:pPr>
        <w:spacing w:after="0"/>
        <w:jc w:val="left"/>
        <w:rPr>
          <w:sz w:val="18"/>
        </w:rPr>
        <w:sectPr>
          <w:pgSz w:w="11910" w:h="16840"/>
          <w:pgMar w:top="1440" w:right="840" w:bottom="280" w:left="860" w:header="720" w:footer="720" w:gutter="0"/>
          <w:cols w:space="720" w:num="1"/>
        </w:sectPr>
      </w:pPr>
    </w:p>
    <w:p>
      <w:pPr>
        <w:spacing w:before="47"/>
        <w:ind w:left="1196" w:right="0" w:firstLine="0"/>
        <w:jc w:val="both"/>
        <w:rPr>
          <w:sz w:val="21"/>
        </w:rPr>
      </w:pPr>
      <w:r>
        <w:rPr>
          <w:b/>
          <w:spacing w:val="58"/>
          <w:sz w:val="21"/>
        </w:rPr>
        <w:t xml:space="preserve">一般医疗保险金 </w:t>
      </w:r>
      <w:r>
        <w:rPr>
          <w:spacing w:val="-2"/>
          <w:sz w:val="21"/>
        </w:rPr>
        <w:t>一、住院医疗费用</w:t>
      </w:r>
    </w:p>
    <w:p>
      <w:pPr>
        <w:pStyle w:val="4"/>
        <w:spacing w:before="33" w:line="276" w:lineRule="auto"/>
        <w:ind w:left="3260" w:right="234"/>
        <w:jc w:val="both"/>
      </w:pPr>
      <w:r>
        <w:rPr>
          <w:spacing w:val="-2"/>
        </w:rPr>
        <w:t>被保险人因意外伤害或于等待期后经我们认可的</w:t>
      </w:r>
      <w:r>
        <w:rPr>
          <w:b/>
          <w:spacing w:val="-2"/>
        </w:rPr>
        <w:t>医院</w:t>
      </w:r>
      <w:r>
        <w:rPr>
          <w:b/>
          <w:spacing w:val="-2"/>
          <w:position w:val="11"/>
          <w:sz w:val="11"/>
        </w:rPr>
        <w:t>2</w:t>
      </w:r>
      <w:r>
        <w:rPr>
          <w:spacing w:val="-2"/>
        </w:rPr>
        <w:t>诊断必须接受</w:t>
      </w:r>
      <w:r>
        <w:rPr>
          <w:b/>
          <w:spacing w:val="-2"/>
        </w:rPr>
        <w:t>住院</w:t>
      </w:r>
      <w:r>
        <w:rPr>
          <w:b/>
          <w:spacing w:val="-2"/>
          <w:position w:val="11"/>
          <w:sz w:val="11"/>
        </w:rPr>
        <w:t>3</w:t>
      </w:r>
      <w:r>
        <w:rPr>
          <w:spacing w:val="-2"/>
        </w:rPr>
        <w:t>治疗的，对于住院期间在医院发生的</w:t>
      </w:r>
      <w:r>
        <w:rPr>
          <w:b/>
          <w:spacing w:val="-2"/>
        </w:rPr>
        <w:t>必需且合理</w:t>
      </w:r>
      <w:r>
        <w:rPr>
          <w:b/>
          <w:spacing w:val="-2"/>
          <w:position w:val="11"/>
          <w:sz w:val="11"/>
        </w:rPr>
        <w:t>4</w:t>
      </w:r>
      <w:r>
        <w:rPr>
          <w:spacing w:val="-2"/>
        </w:rPr>
        <w:t>的</w:t>
      </w:r>
      <w:r>
        <w:rPr>
          <w:b/>
          <w:spacing w:val="-2"/>
        </w:rPr>
        <w:t>住院医疗费用</w:t>
      </w:r>
      <w:r>
        <w:rPr>
          <w:b/>
          <w:spacing w:val="-2"/>
          <w:position w:val="11"/>
          <w:sz w:val="11"/>
        </w:rPr>
        <w:t>5</w:t>
      </w:r>
      <w:r>
        <w:rPr>
          <w:spacing w:val="-2"/>
        </w:rPr>
        <w:t>，我们按本合同约定的保险金计算方法，在一般医疗保险金年度给付限额内给付一般医疗保险金。</w:t>
      </w:r>
    </w:p>
    <w:p>
      <w:pPr>
        <w:pStyle w:val="4"/>
        <w:spacing w:before="5"/>
        <w:rPr>
          <w:sz w:val="24"/>
        </w:rPr>
      </w:pPr>
    </w:p>
    <w:p>
      <w:pPr>
        <w:pStyle w:val="4"/>
        <w:spacing w:line="278" w:lineRule="auto"/>
        <w:ind w:left="3260" w:right="234"/>
        <w:jc w:val="both"/>
      </w:pPr>
      <w:r>
        <w:rPr>
          <w:spacing w:val="-2"/>
        </w:rPr>
        <w:t xml:space="preserve">被保险人在本合同有效期内开始接受住院治疗，至本合同保险期间届满时住院治疗仍未结束的，我们仍将继续按本合同约定承担给付一般医疗保险金的责任，但最长不超过本合同期满日后第 </w:t>
      </w:r>
      <w:r>
        <w:rPr>
          <w:rFonts w:ascii="Times New Roman" w:eastAsia="Times New Roman"/>
        </w:rPr>
        <w:t xml:space="preserve">30 </w:t>
      </w:r>
      <w:r>
        <w:t>日（含</w:t>
      </w:r>
      <w:r>
        <w:rPr>
          <w:spacing w:val="-106"/>
        </w:rPr>
        <w:t>）</w:t>
      </w:r>
      <w:r>
        <w:t>。</w:t>
      </w:r>
    </w:p>
    <w:p>
      <w:pPr>
        <w:pStyle w:val="4"/>
        <w:spacing w:before="4"/>
        <w:rPr>
          <w:sz w:val="24"/>
        </w:rPr>
      </w:pPr>
    </w:p>
    <w:p>
      <w:pPr>
        <w:pStyle w:val="4"/>
        <w:ind w:left="3260"/>
      </w:pPr>
      <w:r>
        <w:rPr>
          <w:spacing w:val="-3"/>
        </w:rPr>
        <w:t>二、特殊门诊医疗费用</w:t>
      </w:r>
    </w:p>
    <w:p>
      <w:pPr>
        <w:pStyle w:val="4"/>
        <w:spacing w:before="43" w:line="278" w:lineRule="auto"/>
        <w:ind w:left="3260" w:right="234"/>
        <w:jc w:val="both"/>
      </w:pPr>
      <w:r>
        <w:rPr>
          <w:spacing w:val="-2"/>
        </w:rPr>
        <w:t>被保险人因意外伤害或于等待期后在医院接受特殊门诊治疗的，对于特殊门诊治疗期间在医院发生的必需且合理的特殊门诊医疗费用，我们按本合同约定的保险金计算方法，在一般医疗保险金年度给付限额内给付一般医疗保险金。</w:t>
      </w:r>
    </w:p>
    <w:p>
      <w:pPr>
        <w:pStyle w:val="4"/>
        <w:spacing w:before="4"/>
        <w:rPr>
          <w:sz w:val="24"/>
        </w:rPr>
      </w:pPr>
    </w:p>
    <w:p>
      <w:pPr>
        <w:pStyle w:val="4"/>
        <w:ind w:left="3260"/>
      </w:pPr>
      <w:r>
        <w:rPr>
          <w:spacing w:val="-3"/>
        </w:rPr>
        <w:t>特殊门诊医疗费用包括：</w:t>
      </w:r>
    </w:p>
    <w:p>
      <w:pPr>
        <w:pStyle w:val="4"/>
        <w:spacing w:before="1"/>
        <w:rPr>
          <w:sz w:val="11"/>
        </w:rPr>
      </w:pPr>
      <w:r>
        <w:drawing>
          <wp:anchor distT="0" distB="0" distL="0" distR="0" simplePos="0" relativeHeight="251660288" behindDoc="0" locked="0" layoutInCell="1" allowOverlap="1">
            <wp:simplePos x="0" y="0"/>
            <wp:positionH relativeFrom="page">
              <wp:posOffset>685800</wp:posOffset>
            </wp:positionH>
            <wp:positionV relativeFrom="paragraph">
              <wp:posOffset>105410</wp:posOffset>
            </wp:positionV>
            <wp:extent cx="1828800" cy="6350"/>
            <wp:effectExtent l="0" t="0" r="0" b="0"/>
            <wp:wrapTopAndBottom/>
            <wp:docPr id="3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9.png"/>
                    <pic:cNvPicPr>
                      <a:picLocks noChangeAspect="1"/>
                    </pic:cNvPicPr>
                  </pic:nvPicPr>
                  <pic:blipFill>
                    <a:blip r:embed="rId24" cstate="print"/>
                    <a:stretch>
                      <a:fillRect/>
                    </a:stretch>
                  </pic:blipFill>
                  <pic:spPr>
                    <a:xfrm>
                      <a:off x="0" y="0"/>
                      <a:ext cx="1828799" cy="6096"/>
                    </a:xfrm>
                    <a:prstGeom prst="rect">
                      <a:avLst/>
                    </a:prstGeom>
                  </pic:spPr>
                </pic:pic>
              </a:graphicData>
            </a:graphic>
          </wp:anchor>
        </w:drawing>
      </w:r>
    </w:p>
    <w:p>
      <w:pPr>
        <w:spacing w:before="156" w:line="312" w:lineRule="auto"/>
        <w:ind w:left="383" w:right="234" w:hanging="164"/>
        <w:jc w:val="both"/>
        <w:rPr>
          <w:sz w:val="18"/>
        </w:rPr>
      </w:pPr>
      <w:r>
        <w:rPr>
          <w:rFonts w:ascii="Times New Roman" w:eastAsia="Times New Roman"/>
          <w:sz w:val="18"/>
          <w:vertAlign w:val="superscript"/>
        </w:rPr>
        <w:t>2</w:t>
      </w:r>
      <w:r>
        <w:rPr>
          <w:rFonts w:ascii="Times New Roman" w:eastAsia="Times New Roman"/>
          <w:sz w:val="18"/>
          <w:vertAlign w:val="baseline"/>
        </w:rPr>
        <w:t xml:space="preserve">  </w:t>
      </w:r>
      <w:r>
        <w:rPr>
          <w:b/>
          <w:spacing w:val="2"/>
          <w:w w:val="99"/>
          <w:sz w:val="18"/>
          <w:vertAlign w:val="baseline"/>
        </w:rPr>
        <w:t>医院：</w:t>
      </w:r>
      <w:r>
        <w:rPr>
          <w:sz w:val="18"/>
          <w:vertAlign w:val="baseline"/>
        </w:rPr>
        <w:t>除本合同另有约定外，医院指中华人民共和国境内</w:t>
      </w:r>
      <w:r>
        <w:rPr>
          <w:spacing w:val="2"/>
          <w:sz w:val="18"/>
          <w:vertAlign w:val="baseline"/>
        </w:rPr>
        <w:t>（</w:t>
      </w:r>
      <w:r>
        <w:rPr>
          <w:sz w:val="18"/>
          <w:vertAlign w:val="baseline"/>
        </w:rPr>
        <w:t>港、澳、台地区除外</w:t>
      </w:r>
      <w:r>
        <w:rPr>
          <w:spacing w:val="2"/>
          <w:sz w:val="18"/>
          <w:vertAlign w:val="baseline"/>
        </w:rPr>
        <w:t>）</w:t>
      </w:r>
      <w:r>
        <w:rPr>
          <w:sz w:val="18"/>
          <w:vertAlign w:val="baseline"/>
        </w:rPr>
        <w:t>经中华人民共和国卫生部门评审确定的</w:t>
      </w:r>
      <w:r>
        <w:rPr>
          <w:spacing w:val="-1"/>
          <w:sz w:val="18"/>
          <w:vertAlign w:val="baseline"/>
        </w:rPr>
        <w:t>二级或二级以上公立医院，</w:t>
      </w:r>
      <w:r>
        <w:rPr>
          <w:rFonts w:ascii="黑体" w:eastAsia="黑体"/>
          <w:color w:val="000000"/>
          <w:spacing w:val="-1"/>
          <w:sz w:val="18"/>
          <w:shd w:val="clear" w:color="auto" w:fill="D9D9D9"/>
          <w:vertAlign w:val="baseline"/>
        </w:rPr>
        <w:t>不包括精神病院及专供康复、休养、护理、戒毒、戒酒、养老、临终关怀等非以直接诊治病人</w:t>
      </w:r>
      <w:r>
        <w:rPr>
          <w:rFonts w:ascii="黑体" w:eastAsia="黑体"/>
          <w:color w:val="000000"/>
          <w:spacing w:val="-4"/>
          <w:sz w:val="18"/>
          <w:shd w:val="clear" w:color="auto" w:fill="D9D9D9"/>
          <w:vertAlign w:val="baseline"/>
        </w:rPr>
        <w:t>为目的的医疗机构。</w:t>
      </w:r>
      <w:r>
        <w:rPr>
          <w:color w:val="000000"/>
          <w:spacing w:val="-4"/>
          <w:sz w:val="18"/>
          <w:vertAlign w:val="baseline"/>
        </w:rPr>
        <w:t xml:space="preserve">该医院必须具有符合国家有关医院管理规则设置标准的医疗设备，且全日 </w:t>
      </w:r>
      <w:r>
        <w:rPr>
          <w:color w:val="000000"/>
          <w:spacing w:val="1"/>
          <w:sz w:val="18"/>
          <w:vertAlign w:val="baseline"/>
        </w:rPr>
        <w:t>2</w:t>
      </w:r>
      <w:r>
        <w:rPr>
          <w:color w:val="000000"/>
          <w:sz w:val="18"/>
          <w:vertAlign w:val="baseline"/>
        </w:rPr>
        <w:t>4</w:t>
      </w:r>
      <w:r>
        <w:rPr>
          <w:color w:val="000000"/>
          <w:spacing w:val="-8"/>
          <w:sz w:val="18"/>
          <w:vertAlign w:val="baseline"/>
        </w:rPr>
        <w:t xml:space="preserve"> 小时有合格医师及护士驻</w:t>
      </w:r>
      <w:r>
        <w:rPr>
          <w:color w:val="000000"/>
          <w:sz w:val="18"/>
          <w:vertAlign w:val="baseline"/>
        </w:rPr>
        <w:t>医院提供医疗及护理服务。</w:t>
      </w:r>
    </w:p>
    <w:p>
      <w:pPr>
        <w:spacing w:before="1"/>
        <w:ind w:left="220" w:right="0" w:firstLine="0"/>
        <w:jc w:val="both"/>
        <w:rPr>
          <w:rFonts w:ascii="黑体" w:eastAsia="黑体"/>
          <w:sz w:val="18"/>
        </w:rPr>
      </w:pPr>
      <w:r>
        <w:rPr>
          <w:rFonts w:ascii="Times New Roman" w:eastAsia="Times New Roman"/>
          <w:sz w:val="18"/>
          <w:vertAlign w:val="superscript"/>
        </w:rPr>
        <w:t>3</w:t>
      </w:r>
      <w:r>
        <w:rPr>
          <w:rFonts w:ascii="Times New Roman" w:eastAsia="Times New Roman"/>
          <w:spacing w:val="41"/>
          <w:sz w:val="18"/>
          <w:vertAlign w:val="baseline"/>
        </w:rPr>
        <w:t xml:space="preserve"> </w:t>
      </w:r>
      <w:r>
        <w:rPr>
          <w:b/>
          <w:sz w:val="18"/>
          <w:vertAlign w:val="baseline"/>
        </w:rPr>
        <w:t>住院</w:t>
      </w:r>
      <w:r>
        <w:rPr>
          <w:sz w:val="18"/>
          <w:vertAlign w:val="baseline"/>
        </w:rPr>
        <w:t>指被保险人入住医院的正式病房接受治疗，并正式办理入出院手续，</w:t>
      </w:r>
      <w:r>
        <w:rPr>
          <w:rFonts w:ascii="黑体" w:eastAsia="黑体"/>
          <w:color w:val="000000"/>
          <w:sz w:val="18"/>
          <w:shd w:val="clear" w:color="auto" w:fill="D9D9D9"/>
          <w:vertAlign w:val="baseline"/>
        </w:rPr>
        <w:t>但不包括下列情形</w:t>
      </w:r>
      <w:r>
        <w:rPr>
          <w:rFonts w:ascii="黑体" w:eastAsia="黑体"/>
          <w:color w:val="000000"/>
          <w:spacing w:val="-10"/>
          <w:sz w:val="18"/>
          <w:vertAlign w:val="baseline"/>
        </w:rPr>
        <w:t>：</w:t>
      </w:r>
    </w:p>
    <w:p>
      <w:pPr>
        <w:pStyle w:val="8"/>
        <w:numPr>
          <w:ilvl w:val="2"/>
          <w:numId w:val="2"/>
        </w:numPr>
        <w:tabs>
          <w:tab w:val="left" w:pos="836"/>
        </w:tabs>
        <w:spacing w:before="69" w:after="0" w:line="240" w:lineRule="auto"/>
        <w:ind w:left="835" w:right="0" w:hanging="453"/>
        <w:jc w:val="left"/>
        <w:rPr>
          <w:rFonts w:ascii="黑体" w:eastAsia="黑体"/>
          <w:sz w:val="18"/>
        </w:rPr>
      </w:pPr>
      <w:r>
        <w:rPr>
          <w:rFonts w:ascii="黑体" w:eastAsia="黑体"/>
          <w:color w:val="000000"/>
          <w:sz w:val="18"/>
          <w:shd w:val="clear" w:color="auto" w:fill="D9D9D9"/>
        </w:rPr>
        <w:t>被保险人入住医院的门（急）诊观察室、家庭病床（房</w:t>
      </w:r>
      <w:r>
        <w:rPr>
          <w:rFonts w:ascii="黑体" w:eastAsia="黑体"/>
          <w:color w:val="000000"/>
          <w:spacing w:val="-5"/>
          <w:sz w:val="18"/>
          <w:shd w:val="clear" w:color="auto" w:fill="D9D9D9"/>
        </w:rPr>
        <w:t>）；</w:t>
      </w:r>
    </w:p>
    <w:p>
      <w:pPr>
        <w:pStyle w:val="8"/>
        <w:numPr>
          <w:ilvl w:val="2"/>
          <w:numId w:val="2"/>
        </w:numPr>
        <w:tabs>
          <w:tab w:val="left" w:pos="836"/>
        </w:tabs>
        <w:spacing w:before="69" w:after="0" w:line="240" w:lineRule="auto"/>
        <w:ind w:left="835" w:right="0" w:hanging="453"/>
        <w:jc w:val="left"/>
        <w:rPr>
          <w:rFonts w:ascii="黑体" w:eastAsia="黑体"/>
          <w:sz w:val="18"/>
        </w:rPr>
      </w:pPr>
      <w:r>
        <w:rPr>
          <w:rFonts w:ascii="黑体" w:eastAsia="黑体"/>
          <w:color w:val="000000"/>
          <w:sz w:val="18"/>
          <w:shd w:val="clear" w:color="auto" w:fill="D9D9D9"/>
        </w:rPr>
        <w:t>被保险人入住康复科、康复病床（房）</w:t>
      </w:r>
      <w:r>
        <w:rPr>
          <w:rFonts w:ascii="黑体" w:eastAsia="黑体"/>
          <w:color w:val="000000"/>
          <w:spacing w:val="-2"/>
          <w:sz w:val="18"/>
          <w:shd w:val="clear" w:color="auto" w:fill="D9D9D9"/>
        </w:rPr>
        <w:t>或接受康复治疗；</w:t>
      </w:r>
    </w:p>
    <w:p>
      <w:pPr>
        <w:pStyle w:val="8"/>
        <w:numPr>
          <w:ilvl w:val="2"/>
          <w:numId w:val="2"/>
        </w:numPr>
        <w:tabs>
          <w:tab w:val="left" w:pos="836"/>
        </w:tabs>
        <w:spacing w:before="70" w:after="0" w:line="312" w:lineRule="auto"/>
        <w:ind w:left="383" w:right="236" w:firstLine="0"/>
        <w:jc w:val="left"/>
        <w:rPr>
          <w:rFonts w:ascii="黑体" w:eastAsia="黑体"/>
          <w:sz w:val="18"/>
        </w:rPr>
      </w:pPr>
      <w:r>
        <w:rPr>
          <w:rFonts w:ascii="黑体" w:eastAsia="黑体"/>
          <w:color w:val="000000"/>
          <w:spacing w:val="-2"/>
          <w:sz w:val="18"/>
          <w:shd w:val="clear" w:color="auto" w:fill="D9D9D9"/>
        </w:rPr>
        <w:t>被保险人住院期间一日内未接受与入院诊断相关的检查和治疗，或一日内住院不满 24 小时，但遵医嘱到外院接受临</w:t>
      </w:r>
      <w:r>
        <w:rPr>
          <w:rFonts w:ascii="黑体" w:eastAsia="黑体"/>
          <w:color w:val="000000"/>
          <w:spacing w:val="18810"/>
          <w:sz w:val="18"/>
          <w:shd w:val="clear" w:color="auto" w:fill="D9D9D9"/>
        </w:rPr>
        <w:t xml:space="preserve"> </w:t>
      </w:r>
      <w:r>
        <w:rPr>
          <w:rFonts w:ascii="黑体" w:eastAsia="黑体"/>
          <w:color w:val="000000"/>
          <w:spacing w:val="-2"/>
          <w:sz w:val="18"/>
          <w:shd w:val="clear" w:color="auto" w:fill="D9D9D9"/>
        </w:rPr>
        <w:t>时治疗的情形除外；</w:t>
      </w:r>
    </w:p>
    <w:p>
      <w:pPr>
        <w:pStyle w:val="8"/>
        <w:numPr>
          <w:ilvl w:val="2"/>
          <w:numId w:val="2"/>
        </w:numPr>
        <w:tabs>
          <w:tab w:val="left" w:pos="836"/>
        </w:tabs>
        <w:spacing w:before="0" w:after="0" w:line="240" w:lineRule="auto"/>
        <w:ind w:left="835" w:right="0" w:hanging="453"/>
        <w:jc w:val="left"/>
        <w:rPr>
          <w:rFonts w:ascii="黑体" w:eastAsia="黑体"/>
          <w:sz w:val="18"/>
        </w:rPr>
      </w:pPr>
      <w:r>
        <w:rPr>
          <w:rFonts w:ascii="黑体" w:eastAsia="黑体"/>
          <w:color w:val="000000"/>
          <w:spacing w:val="-1"/>
          <w:sz w:val="18"/>
          <w:shd w:val="clear" w:color="auto" w:fill="D9D9D9"/>
        </w:rPr>
        <w:t>被保险人未达到入院标准而办理入院手续，或已达到出院标准而不办理出院手续；</w:t>
      </w:r>
    </w:p>
    <w:p>
      <w:pPr>
        <w:pStyle w:val="8"/>
        <w:numPr>
          <w:ilvl w:val="2"/>
          <w:numId w:val="2"/>
        </w:numPr>
        <w:tabs>
          <w:tab w:val="left" w:pos="836"/>
        </w:tabs>
        <w:spacing w:before="69" w:after="0" w:line="240" w:lineRule="auto"/>
        <w:ind w:left="835" w:right="0" w:hanging="453"/>
        <w:jc w:val="left"/>
        <w:rPr>
          <w:rFonts w:ascii="黑体" w:eastAsia="黑体"/>
          <w:sz w:val="18"/>
        </w:rPr>
      </w:pPr>
      <w:r>
        <w:rPr>
          <w:rFonts w:ascii="黑体" w:eastAsia="黑体"/>
          <w:color w:val="000000"/>
          <w:spacing w:val="-2"/>
          <w:sz w:val="18"/>
          <w:shd w:val="clear" w:color="auto" w:fill="D9D9D9"/>
        </w:rPr>
        <w:t>被保险人住院体检；</w:t>
      </w:r>
    </w:p>
    <w:p>
      <w:pPr>
        <w:pStyle w:val="8"/>
        <w:numPr>
          <w:ilvl w:val="2"/>
          <w:numId w:val="2"/>
        </w:numPr>
        <w:tabs>
          <w:tab w:val="left" w:pos="836"/>
        </w:tabs>
        <w:spacing w:before="70" w:after="0" w:line="240" w:lineRule="auto"/>
        <w:ind w:left="835" w:right="0" w:hanging="453"/>
        <w:jc w:val="left"/>
        <w:rPr>
          <w:rFonts w:ascii="黑体" w:eastAsia="黑体"/>
          <w:sz w:val="18"/>
        </w:rPr>
      </w:pPr>
      <w:r>
        <w:rPr>
          <w:rFonts w:ascii="黑体" w:eastAsia="黑体"/>
          <w:color w:val="000000"/>
          <w:spacing w:val="-1"/>
          <w:sz w:val="18"/>
          <w:shd w:val="clear" w:color="auto" w:fill="D9D9D9"/>
        </w:rPr>
        <w:t>挂床住院及其他不合理的住院。</w:t>
      </w:r>
    </w:p>
    <w:p>
      <w:pPr>
        <w:spacing w:before="69" w:line="312" w:lineRule="auto"/>
        <w:ind w:left="383" w:right="234" w:firstLine="0"/>
        <w:jc w:val="left"/>
        <w:rPr>
          <w:sz w:val="18"/>
        </w:rPr>
      </w:pPr>
      <w:r>
        <w:rPr>
          <w:spacing w:val="-4"/>
          <w:sz w:val="18"/>
        </w:rPr>
        <w:t xml:space="preserve">挂床住院指办理正式住院手续的被保险人，在住院期间每日非 </w:t>
      </w:r>
      <w:r>
        <w:rPr>
          <w:spacing w:val="-2"/>
          <w:sz w:val="18"/>
        </w:rPr>
        <w:t>24</w:t>
      </w:r>
      <w:r>
        <w:rPr>
          <w:spacing w:val="-8"/>
          <w:sz w:val="18"/>
        </w:rPr>
        <w:t xml:space="preserve"> 小时在床、在院。具体表现包括在住院期间连续若干日无</w:t>
      </w:r>
      <w:r>
        <w:rPr>
          <w:spacing w:val="-2"/>
          <w:sz w:val="18"/>
        </w:rPr>
        <w:t>任何治疗，只发生护理费、诊疗费、床位费等情形。</w:t>
      </w:r>
    </w:p>
    <w:p>
      <w:pPr>
        <w:spacing w:before="0"/>
        <w:ind w:left="220" w:right="0" w:firstLine="0"/>
        <w:jc w:val="left"/>
        <w:rPr>
          <w:sz w:val="18"/>
        </w:rPr>
      </w:pPr>
      <w:r>
        <w:rPr>
          <w:rFonts w:ascii="Times New Roman" w:eastAsia="Times New Roman"/>
          <w:sz w:val="18"/>
          <w:vertAlign w:val="superscript"/>
        </w:rPr>
        <w:t>4</w:t>
      </w:r>
      <w:r>
        <w:rPr>
          <w:rFonts w:ascii="Times New Roman" w:eastAsia="Times New Roman"/>
          <w:spacing w:val="37"/>
          <w:sz w:val="18"/>
          <w:vertAlign w:val="baseline"/>
        </w:rPr>
        <w:t xml:space="preserve"> </w:t>
      </w:r>
      <w:r>
        <w:rPr>
          <w:b/>
          <w:sz w:val="18"/>
          <w:vertAlign w:val="baseline"/>
        </w:rPr>
        <w:t>必需且合理</w:t>
      </w:r>
      <w:r>
        <w:rPr>
          <w:spacing w:val="-1"/>
          <w:sz w:val="18"/>
          <w:vertAlign w:val="baseline"/>
        </w:rPr>
        <w:t>指所发生的医疗费用是合理的、符合通常惯例且医学必要的。</w:t>
      </w:r>
    </w:p>
    <w:p>
      <w:pPr>
        <w:spacing w:before="70"/>
        <w:ind w:left="383" w:right="0" w:firstLine="0"/>
        <w:jc w:val="left"/>
        <w:rPr>
          <w:sz w:val="18"/>
        </w:rPr>
      </w:pPr>
      <w:r>
        <w:rPr>
          <w:b/>
          <w:w w:val="95"/>
          <w:sz w:val="18"/>
        </w:rPr>
        <w:t>符合通常惯例</w:t>
      </w:r>
      <w:r>
        <w:rPr>
          <w:w w:val="95"/>
          <w:sz w:val="18"/>
        </w:rPr>
        <w:t>指被保险人接受的医疗服务及发生的医疗费用满足下列全部条件</w:t>
      </w:r>
      <w:r>
        <w:rPr>
          <w:spacing w:val="-10"/>
          <w:w w:val="95"/>
          <w:sz w:val="18"/>
        </w:rPr>
        <w:t>：</w:t>
      </w:r>
    </w:p>
    <w:p>
      <w:pPr>
        <w:pStyle w:val="8"/>
        <w:numPr>
          <w:ilvl w:val="0"/>
          <w:numId w:val="3"/>
        </w:numPr>
        <w:tabs>
          <w:tab w:val="left" w:pos="836"/>
        </w:tabs>
        <w:spacing w:before="69" w:after="0" w:line="240" w:lineRule="auto"/>
        <w:ind w:left="835" w:right="0" w:hanging="453"/>
        <w:jc w:val="left"/>
        <w:rPr>
          <w:sz w:val="18"/>
        </w:rPr>
      </w:pPr>
      <w:r>
        <w:rPr>
          <w:spacing w:val="-1"/>
          <w:sz w:val="18"/>
        </w:rPr>
        <w:t>该治疗满足医疗需要，且根据治疗所在地通行的治疗规范而采用了通行的治疗方法；</w:t>
      </w:r>
    </w:p>
    <w:p>
      <w:pPr>
        <w:pStyle w:val="8"/>
        <w:numPr>
          <w:ilvl w:val="0"/>
          <w:numId w:val="3"/>
        </w:numPr>
        <w:tabs>
          <w:tab w:val="left" w:pos="836"/>
        </w:tabs>
        <w:spacing w:before="70" w:after="0" w:line="312" w:lineRule="auto"/>
        <w:ind w:left="383" w:right="236" w:firstLine="0"/>
        <w:jc w:val="left"/>
        <w:rPr>
          <w:sz w:val="18"/>
        </w:rPr>
      </w:pPr>
      <w:r>
        <w:rPr>
          <w:spacing w:val="-2"/>
          <w:sz w:val="18"/>
        </w:rPr>
        <w:t>医疗费用没有超过治疗所在地对类似情形治疗的常规费用。类似情形是指在同一地区、对相同性别、近似年龄的人所患的同类疾病或身体伤害实施的类似治疗或医疗服务。</w:t>
      </w:r>
    </w:p>
    <w:p>
      <w:pPr>
        <w:spacing w:before="0"/>
        <w:ind w:left="383" w:right="0" w:firstLine="0"/>
        <w:jc w:val="left"/>
        <w:rPr>
          <w:sz w:val="18"/>
        </w:rPr>
      </w:pPr>
      <w:r>
        <w:rPr>
          <w:b/>
          <w:w w:val="95"/>
          <w:sz w:val="18"/>
        </w:rPr>
        <w:t>医学必要</w:t>
      </w:r>
      <w:r>
        <w:rPr>
          <w:w w:val="95"/>
          <w:sz w:val="18"/>
        </w:rPr>
        <w:t>指被保险人接受的医疗服务及发生的医疗费用满足下列全部条件</w:t>
      </w:r>
      <w:r>
        <w:rPr>
          <w:spacing w:val="-10"/>
          <w:w w:val="95"/>
          <w:sz w:val="18"/>
        </w:rPr>
        <w:t>：</w:t>
      </w:r>
    </w:p>
    <w:p>
      <w:pPr>
        <w:pStyle w:val="8"/>
        <w:numPr>
          <w:ilvl w:val="0"/>
          <w:numId w:val="4"/>
        </w:numPr>
        <w:tabs>
          <w:tab w:val="left" w:pos="836"/>
        </w:tabs>
        <w:spacing w:before="69" w:after="0" w:line="240" w:lineRule="auto"/>
        <w:ind w:left="835" w:right="0" w:hanging="453"/>
        <w:jc w:val="left"/>
        <w:rPr>
          <w:sz w:val="18"/>
        </w:rPr>
      </w:pPr>
      <w:r>
        <w:rPr>
          <w:spacing w:val="-1"/>
          <w:sz w:val="18"/>
        </w:rPr>
        <w:t>是治疗意外伤害或疾病所必须的、医生处方所要求的项目或开具的药品；</w:t>
      </w:r>
    </w:p>
    <w:p>
      <w:pPr>
        <w:pStyle w:val="8"/>
        <w:numPr>
          <w:ilvl w:val="0"/>
          <w:numId w:val="4"/>
        </w:numPr>
        <w:tabs>
          <w:tab w:val="left" w:pos="836"/>
        </w:tabs>
        <w:spacing w:before="70" w:after="0" w:line="240" w:lineRule="auto"/>
        <w:ind w:left="835" w:right="0" w:hanging="453"/>
        <w:jc w:val="left"/>
        <w:rPr>
          <w:sz w:val="18"/>
        </w:rPr>
      </w:pPr>
      <w:r>
        <w:rPr>
          <w:spacing w:val="-1"/>
          <w:sz w:val="18"/>
        </w:rPr>
        <w:t>与接受治疗所在地普遍接受的医疗专业实践标准一致；</w:t>
      </w:r>
    </w:p>
    <w:p>
      <w:pPr>
        <w:pStyle w:val="8"/>
        <w:numPr>
          <w:ilvl w:val="0"/>
          <w:numId w:val="4"/>
        </w:numPr>
        <w:tabs>
          <w:tab w:val="left" w:pos="836"/>
        </w:tabs>
        <w:spacing w:before="69" w:after="0" w:line="240" w:lineRule="auto"/>
        <w:ind w:left="835" w:right="0" w:hanging="453"/>
        <w:jc w:val="left"/>
        <w:rPr>
          <w:sz w:val="18"/>
        </w:rPr>
      </w:pPr>
      <w:r>
        <w:rPr>
          <w:spacing w:val="-1"/>
          <w:sz w:val="18"/>
        </w:rPr>
        <w:t>非试验性的、非研究性的、非被保险人学术教育或职业培训的一部分或与之相关；</w:t>
      </w:r>
    </w:p>
    <w:p>
      <w:pPr>
        <w:pStyle w:val="8"/>
        <w:numPr>
          <w:ilvl w:val="0"/>
          <w:numId w:val="4"/>
        </w:numPr>
        <w:tabs>
          <w:tab w:val="left" w:pos="836"/>
        </w:tabs>
        <w:spacing w:before="69" w:after="0" w:line="240" w:lineRule="auto"/>
        <w:ind w:left="835" w:right="0" w:hanging="453"/>
        <w:jc w:val="left"/>
        <w:rPr>
          <w:sz w:val="18"/>
        </w:rPr>
      </w:pPr>
      <w:r>
        <w:rPr>
          <w:spacing w:val="-1"/>
          <w:sz w:val="18"/>
        </w:rPr>
        <w:t>非为了被保险人个人舒适、被保险人父母或家庭、医师或其他医疗提供方的方便而实施的项目或开具的药品；</w:t>
      </w:r>
    </w:p>
    <w:p>
      <w:pPr>
        <w:pStyle w:val="8"/>
        <w:numPr>
          <w:ilvl w:val="0"/>
          <w:numId w:val="4"/>
        </w:numPr>
        <w:tabs>
          <w:tab w:val="left" w:pos="836"/>
        </w:tabs>
        <w:spacing w:before="70" w:after="0" w:line="240" w:lineRule="auto"/>
        <w:ind w:left="835" w:right="0" w:hanging="453"/>
        <w:jc w:val="left"/>
        <w:rPr>
          <w:sz w:val="18"/>
        </w:rPr>
      </w:pPr>
      <w:r>
        <w:rPr>
          <w:spacing w:val="-1"/>
          <w:sz w:val="18"/>
        </w:rPr>
        <w:t>接受的医疗服务范围是合适的而且经济有效的；</w:t>
      </w:r>
    </w:p>
    <w:p>
      <w:pPr>
        <w:pStyle w:val="8"/>
        <w:numPr>
          <w:ilvl w:val="0"/>
          <w:numId w:val="4"/>
        </w:numPr>
        <w:tabs>
          <w:tab w:val="left" w:pos="836"/>
        </w:tabs>
        <w:spacing w:before="69" w:after="0" w:line="240" w:lineRule="auto"/>
        <w:ind w:left="835" w:right="0" w:hanging="453"/>
        <w:jc w:val="left"/>
        <w:rPr>
          <w:sz w:val="18"/>
        </w:rPr>
      </w:pPr>
      <w:r>
        <w:rPr>
          <w:spacing w:val="-1"/>
          <w:sz w:val="18"/>
        </w:rPr>
        <w:t>在范围、持续期、强度、护理等级上不超过为被保险人安全、足量、恰当的诊断或治疗所需水平。</w:t>
      </w:r>
    </w:p>
    <w:p>
      <w:pPr>
        <w:spacing w:before="70" w:line="312" w:lineRule="auto"/>
        <w:ind w:left="383" w:right="239" w:hanging="164"/>
        <w:jc w:val="left"/>
        <w:rPr>
          <w:sz w:val="18"/>
        </w:rPr>
      </w:pPr>
      <w:r>
        <w:rPr>
          <w:rFonts w:ascii="Times New Roman" w:hAnsi="Times New Roman" w:eastAsia="Times New Roman"/>
          <w:spacing w:val="-2"/>
          <w:position w:val="6"/>
          <w:sz w:val="12"/>
        </w:rPr>
        <w:t>5</w:t>
      </w:r>
      <w:r>
        <w:rPr>
          <w:rFonts w:ascii="Times New Roman" w:hAnsi="Times New Roman" w:eastAsia="Times New Roman"/>
          <w:spacing w:val="40"/>
          <w:position w:val="6"/>
          <w:sz w:val="12"/>
        </w:rPr>
        <w:t xml:space="preserve"> </w:t>
      </w:r>
      <w:r>
        <w:rPr>
          <w:b/>
          <w:spacing w:val="-2"/>
          <w:sz w:val="18"/>
        </w:rPr>
        <w:t>住院医疗费用</w:t>
      </w:r>
      <w:r>
        <w:rPr>
          <w:spacing w:val="-2"/>
          <w:sz w:val="18"/>
        </w:rPr>
        <w:t>指被保险人住院期间在医院发生的符合“</w:t>
      </w:r>
      <w:r>
        <w:rPr>
          <w:rFonts w:ascii="Times New Roman" w:hAnsi="Times New Roman" w:eastAsia="Times New Roman"/>
          <w:spacing w:val="-2"/>
          <w:sz w:val="18"/>
        </w:rPr>
        <w:t>7.1</w:t>
      </w:r>
      <w:r>
        <w:rPr>
          <w:rFonts w:ascii="Times New Roman" w:hAnsi="Times New Roman" w:eastAsia="Times New Roman"/>
          <w:spacing w:val="40"/>
          <w:sz w:val="18"/>
        </w:rPr>
        <w:t xml:space="preserve"> </w:t>
      </w:r>
      <w:r>
        <w:rPr>
          <w:spacing w:val="-2"/>
          <w:sz w:val="18"/>
        </w:rPr>
        <w:t>医疗费用释义”定义的医疗费用，包括床位费、重症监护室床位费、护理费、膳食费、检查检验费、治疗费、药品费、医生诊疗费、手术费、救护车使用费。</w:t>
      </w:r>
    </w:p>
    <w:p>
      <w:pPr>
        <w:spacing w:after="0" w:line="312" w:lineRule="auto"/>
        <w:jc w:val="left"/>
        <w:rPr>
          <w:sz w:val="18"/>
        </w:rPr>
        <w:sectPr>
          <w:pgSz w:w="11910" w:h="16840"/>
          <w:pgMar w:top="1400" w:right="840" w:bottom="280" w:left="860" w:header="720" w:footer="720" w:gutter="0"/>
          <w:cols w:space="720" w:num="1"/>
        </w:sectPr>
      </w:pPr>
    </w:p>
    <w:p>
      <w:pPr>
        <w:pStyle w:val="8"/>
        <w:numPr>
          <w:ilvl w:val="1"/>
          <w:numId w:val="4"/>
        </w:numPr>
        <w:tabs>
          <w:tab w:val="left" w:pos="3790"/>
        </w:tabs>
        <w:spacing w:before="67" w:after="0" w:line="240" w:lineRule="auto"/>
        <w:ind w:left="3789" w:right="0" w:hanging="530"/>
        <w:jc w:val="left"/>
        <w:rPr>
          <w:sz w:val="21"/>
        </w:rPr>
      </w:pPr>
      <w:r>
        <w:rPr>
          <w:spacing w:val="-4"/>
          <w:sz w:val="21"/>
        </w:rPr>
        <w:t>门诊肾透析费；</w:t>
      </w:r>
    </w:p>
    <w:p>
      <w:pPr>
        <w:pStyle w:val="8"/>
        <w:numPr>
          <w:ilvl w:val="1"/>
          <w:numId w:val="4"/>
        </w:numPr>
        <w:tabs>
          <w:tab w:val="left" w:pos="3788"/>
        </w:tabs>
        <w:spacing w:before="33" w:after="0" w:line="268" w:lineRule="auto"/>
        <w:ind w:left="3760" w:right="131" w:hanging="500"/>
        <w:jc w:val="left"/>
        <w:rPr>
          <w:sz w:val="21"/>
        </w:rPr>
      </w:pPr>
      <w:r>
        <w:rPr>
          <w:spacing w:val="-2"/>
          <w:sz w:val="21"/>
        </w:rPr>
        <w:t>门诊</w:t>
      </w:r>
      <w:r>
        <w:rPr>
          <w:b/>
          <w:spacing w:val="-2"/>
          <w:sz w:val="21"/>
        </w:rPr>
        <w:t>恶性肿瘤</w:t>
      </w:r>
      <w:r>
        <w:rPr>
          <w:b/>
          <w:spacing w:val="-2"/>
          <w:position w:val="11"/>
          <w:sz w:val="11"/>
        </w:rPr>
        <w:t>6</w:t>
      </w:r>
      <w:r>
        <w:rPr>
          <w:spacing w:val="-2"/>
          <w:sz w:val="21"/>
        </w:rPr>
        <w:t>治疗费，包括</w:t>
      </w:r>
      <w:r>
        <w:rPr>
          <w:b/>
          <w:spacing w:val="-2"/>
          <w:sz w:val="21"/>
        </w:rPr>
        <w:t>化学疗法</w:t>
      </w:r>
      <w:r>
        <w:rPr>
          <w:b/>
          <w:spacing w:val="-2"/>
          <w:position w:val="11"/>
          <w:sz w:val="11"/>
        </w:rPr>
        <w:t>7</w:t>
      </w:r>
      <w:r>
        <w:rPr>
          <w:spacing w:val="-2"/>
          <w:sz w:val="21"/>
        </w:rPr>
        <w:t>、</w:t>
      </w:r>
      <w:r>
        <w:rPr>
          <w:b/>
          <w:spacing w:val="-2"/>
          <w:sz w:val="21"/>
        </w:rPr>
        <w:t>放射疗法</w:t>
      </w:r>
      <w:r>
        <w:rPr>
          <w:b/>
          <w:spacing w:val="-2"/>
          <w:position w:val="11"/>
          <w:sz w:val="11"/>
        </w:rPr>
        <w:t>8</w:t>
      </w:r>
      <w:r>
        <w:rPr>
          <w:spacing w:val="-2"/>
          <w:sz w:val="21"/>
        </w:rPr>
        <w:t>、</w:t>
      </w:r>
      <w:r>
        <w:rPr>
          <w:b/>
          <w:spacing w:val="-2"/>
          <w:sz w:val="21"/>
        </w:rPr>
        <w:t>肿瘤免疫疗法</w:t>
      </w:r>
      <w:r>
        <w:rPr>
          <w:b/>
          <w:spacing w:val="-2"/>
          <w:position w:val="11"/>
          <w:sz w:val="11"/>
        </w:rPr>
        <w:t>9</w:t>
      </w:r>
      <w:r>
        <w:rPr>
          <w:spacing w:val="-2"/>
          <w:sz w:val="21"/>
        </w:rPr>
        <w:t>、</w:t>
      </w:r>
      <w:r>
        <w:rPr>
          <w:b/>
          <w:spacing w:val="-2"/>
          <w:sz w:val="21"/>
        </w:rPr>
        <w:t>肿瘤内分泌疗法</w:t>
      </w:r>
      <w:r>
        <w:rPr>
          <w:b/>
          <w:spacing w:val="-2"/>
          <w:position w:val="11"/>
          <w:sz w:val="11"/>
        </w:rPr>
        <w:t>10</w:t>
      </w:r>
      <w:r>
        <w:rPr>
          <w:spacing w:val="-2"/>
          <w:sz w:val="21"/>
        </w:rPr>
        <w:t>、</w:t>
      </w:r>
      <w:r>
        <w:rPr>
          <w:b/>
          <w:spacing w:val="-2"/>
          <w:sz w:val="21"/>
        </w:rPr>
        <w:t>肿瘤靶向疗法</w:t>
      </w:r>
      <w:r>
        <w:rPr>
          <w:b/>
          <w:spacing w:val="-2"/>
          <w:position w:val="11"/>
          <w:sz w:val="11"/>
        </w:rPr>
        <w:t>11</w:t>
      </w:r>
      <w:r>
        <w:rPr>
          <w:spacing w:val="-2"/>
          <w:sz w:val="21"/>
        </w:rPr>
        <w:t>治疗费；</w:t>
      </w:r>
    </w:p>
    <w:p>
      <w:pPr>
        <w:pStyle w:val="8"/>
        <w:numPr>
          <w:ilvl w:val="1"/>
          <w:numId w:val="4"/>
        </w:numPr>
        <w:tabs>
          <w:tab w:val="left" w:pos="3790"/>
        </w:tabs>
        <w:spacing w:before="11" w:after="0" w:line="240" w:lineRule="auto"/>
        <w:ind w:left="3789" w:right="0" w:hanging="530"/>
        <w:jc w:val="left"/>
        <w:rPr>
          <w:sz w:val="21"/>
        </w:rPr>
      </w:pPr>
      <w:r>
        <w:rPr>
          <w:spacing w:val="-3"/>
          <w:sz w:val="21"/>
        </w:rPr>
        <w:t>器官移植后的门诊抗排异治疗费。</w:t>
      </w:r>
    </w:p>
    <w:p>
      <w:pPr>
        <w:pStyle w:val="4"/>
        <w:spacing w:before="9"/>
        <w:rPr>
          <w:sz w:val="27"/>
        </w:rPr>
      </w:pPr>
    </w:p>
    <w:p>
      <w:pPr>
        <w:pStyle w:val="4"/>
        <w:ind w:left="3260"/>
      </w:pPr>
      <w:r>
        <w:rPr>
          <w:spacing w:val="-3"/>
        </w:rPr>
        <w:t>三、住院前后门急诊医疗费用</w:t>
      </w:r>
    </w:p>
    <w:p>
      <w:pPr>
        <w:pStyle w:val="4"/>
        <w:spacing w:before="43" w:line="276" w:lineRule="auto"/>
        <w:ind w:left="3260" w:right="234"/>
        <w:jc w:val="both"/>
      </w:pPr>
      <w:r>
        <w:rPr>
          <w:spacing w:val="3"/>
          <w:w w:val="100"/>
        </w:rPr>
        <w:t>被保险人因意外伤害或于等待期后经我们认可的医院诊断必须接受住院</w:t>
      </w:r>
      <w:r>
        <w:rPr>
          <w:spacing w:val="-3"/>
          <w:w w:val="100"/>
        </w:rPr>
        <w:t>治疗的，在住院前</w:t>
      </w:r>
      <w:r>
        <w:rPr>
          <w:spacing w:val="-31"/>
        </w:rPr>
        <w:t xml:space="preserve"> </w:t>
      </w:r>
      <w:r>
        <w:rPr>
          <w:rFonts w:ascii="Times New Roman" w:eastAsia="Times New Roman"/>
          <w:w w:val="100"/>
        </w:rPr>
        <w:t>7</w:t>
      </w:r>
      <w:r>
        <w:rPr>
          <w:rFonts w:ascii="Times New Roman" w:eastAsia="Times New Roman"/>
          <w:spacing w:val="21"/>
        </w:rPr>
        <w:t xml:space="preserve"> </w:t>
      </w:r>
      <w:r>
        <w:rPr>
          <w:spacing w:val="-3"/>
          <w:w w:val="100"/>
        </w:rPr>
        <w:t>日（</w:t>
      </w:r>
      <w:r>
        <w:rPr>
          <w:w w:val="100"/>
        </w:rPr>
        <w:t>含）</w:t>
      </w:r>
      <w:r>
        <w:rPr>
          <w:spacing w:val="-3"/>
          <w:w w:val="100"/>
        </w:rPr>
        <w:t>至住院后</w:t>
      </w:r>
      <w:r>
        <w:rPr>
          <w:spacing w:val="-31"/>
        </w:rPr>
        <w:t xml:space="preserve"> </w:t>
      </w:r>
      <w:r>
        <w:rPr>
          <w:rFonts w:ascii="Times New Roman" w:eastAsia="Times New Roman"/>
          <w:w w:val="100"/>
        </w:rPr>
        <w:t>30</w:t>
      </w:r>
      <w:r>
        <w:rPr>
          <w:rFonts w:ascii="Times New Roman" w:eastAsia="Times New Roman"/>
          <w:spacing w:val="19"/>
        </w:rPr>
        <w:t xml:space="preserve"> </w:t>
      </w:r>
      <w:r>
        <w:rPr>
          <w:w w:val="100"/>
        </w:rPr>
        <w:t>日</w:t>
      </w:r>
      <w:r>
        <w:rPr>
          <w:spacing w:val="-3"/>
          <w:w w:val="100"/>
        </w:rPr>
        <w:t>（含</w:t>
      </w:r>
      <w:r>
        <w:rPr>
          <w:w w:val="100"/>
        </w:rPr>
        <w:t>）</w:t>
      </w:r>
      <w:r>
        <w:rPr>
          <w:spacing w:val="-3"/>
          <w:w w:val="100"/>
        </w:rPr>
        <w:t>内，因与该次住院相</w:t>
      </w:r>
      <w:r>
        <w:rPr>
          <w:spacing w:val="-4"/>
          <w:w w:val="100"/>
        </w:rPr>
        <w:t>同原因在医院接受门急诊治疗的，对于门急诊治疗期间在医院发生的必需</w:t>
      </w:r>
      <w:r>
        <w:rPr>
          <w:spacing w:val="-1"/>
          <w:w w:val="100"/>
        </w:rPr>
        <w:t>且合理的住院前后</w:t>
      </w:r>
      <w:r>
        <w:rPr>
          <w:b/>
          <w:spacing w:val="2"/>
          <w:w w:val="100"/>
        </w:rPr>
        <w:t>门急诊医疗费用</w:t>
      </w:r>
      <w:r>
        <w:rPr>
          <w:b/>
          <w:spacing w:val="2"/>
          <w:w w:val="99"/>
          <w:position w:val="11"/>
          <w:sz w:val="11"/>
        </w:rPr>
        <w:t>1</w:t>
      </w:r>
      <w:r>
        <w:rPr>
          <w:b/>
          <w:spacing w:val="4"/>
          <w:w w:val="99"/>
          <w:position w:val="11"/>
          <w:sz w:val="11"/>
        </w:rPr>
        <w:t>2</w:t>
      </w:r>
      <w:r>
        <w:rPr>
          <w:spacing w:val="-1"/>
          <w:w w:val="100"/>
        </w:rPr>
        <w:t>，我们按本合同约定的保险金计算方</w:t>
      </w:r>
      <w:r>
        <w:rPr>
          <w:spacing w:val="-5"/>
          <w:w w:val="100"/>
        </w:rPr>
        <w:t>法，在一般医疗保险金年度给付限额内给付一般医疗保险金。住院前后门</w:t>
      </w:r>
      <w:r>
        <w:rPr>
          <w:spacing w:val="-4"/>
          <w:w w:val="100"/>
        </w:rPr>
        <w:t>急诊医疗费用不包括特殊门诊医疗费用。</w:t>
      </w:r>
    </w:p>
    <w:p>
      <w:pPr>
        <w:pStyle w:val="4"/>
        <w:spacing w:before="10"/>
        <w:rPr>
          <w:sz w:val="24"/>
        </w:rPr>
      </w:pPr>
    </w:p>
    <w:p>
      <w:pPr>
        <w:pStyle w:val="4"/>
        <w:ind w:left="3260"/>
      </w:pPr>
      <w:r>
        <w:rPr>
          <w:spacing w:val="-3"/>
        </w:rPr>
        <w:t>四、门急诊手术医疗费用</w:t>
      </w:r>
    </w:p>
    <w:p>
      <w:pPr>
        <w:pStyle w:val="4"/>
        <w:spacing w:before="43" w:line="276" w:lineRule="auto"/>
        <w:ind w:left="3260" w:right="234"/>
        <w:jc w:val="both"/>
      </w:pPr>
      <w:r>
        <w:rPr>
          <w:spacing w:val="3"/>
          <w:w w:val="100"/>
        </w:rPr>
        <w:t>被保险人因意外伤害或于等待期后经我们认可的医院诊断必须接受门急</w:t>
      </w:r>
      <w:r>
        <w:rPr>
          <w:spacing w:val="-1"/>
          <w:w w:val="100"/>
        </w:rPr>
        <w:t>诊手术治疗的，对于在医院发生的必需且合理的</w:t>
      </w:r>
      <w:r>
        <w:rPr>
          <w:b/>
          <w:spacing w:val="1"/>
          <w:w w:val="100"/>
        </w:rPr>
        <w:t>门急诊手术医疗费用</w:t>
      </w:r>
      <w:r>
        <w:rPr>
          <w:b/>
          <w:spacing w:val="2"/>
          <w:w w:val="99"/>
          <w:position w:val="11"/>
          <w:sz w:val="11"/>
        </w:rPr>
        <w:t>1</w:t>
      </w:r>
      <w:r>
        <w:rPr>
          <w:b/>
          <w:spacing w:val="4"/>
          <w:w w:val="99"/>
          <w:position w:val="11"/>
          <w:sz w:val="11"/>
        </w:rPr>
        <w:t>3</w:t>
      </w:r>
      <w:r>
        <w:rPr>
          <w:w w:val="100"/>
        </w:rPr>
        <w:t>，</w:t>
      </w:r>
      <w:r>
        <w:rPr>
          <w:spacing w:val="-4"/>
          <w:w w:val="100"/>
        </w:rPr>
        <w:t>我们按本合同约定的保险金计算方法，在一般医疗保险金年度给付限额内</w:t>
      </w:r>
      <w:r>
        <w:rPr>
          <w:spacing w:val="-3"/>
          <w:w w:val="100"/>
        </w:rPr>
        <w:t>给付一般医疗保险金。</w:t>
      </w: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pPr>
      <w:r>
        <w:drawing>
          <wp:anchor distT="0" distB="0" distL="0" distR="0" simplePos="0" relativeHeight="251660288" behindDoc="0" locked="0" layoutInCell="1" allowOverlap="1">
            <wp:simplePos x="0" y="0"/>
            <wp:positionH relativeFrom="page">
              <wp:posOffset>685800</wp:posOffset>
            </wp:positionH>
            <wp:positionV relativeFrom="paragraph">
              <wp:posOffset>186055</wp:posOffset>
            </wp:positionV>
            <wp:extent cx="1828800" cy="6350"/>
            <wp:effectExtent l="0" t="0" r="0" b="0"/>
            <wp:wrapTopAndBottom/>
            <wp:docPr id="4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9.png"/>
                    <pic:cNvPicPr>
                      <a:picLocks noChangeAspect="1"/>
                    </pic:cNvPicPr>
                  </pic:nvPicPr>
                  <pic:blipFill>
                    <a:blip r:embed="rId24" cstate="print"/>
                    <a:stretch>
                      <a:fillRect/>
                    </a:stretch>
                  </pic:blipFill>
                  <pic:spPr>
                    <a:xfrm>
                      <a:off x="0" y="0"/>
                      <a:ext cx="1828799" cy="6096"/>
                    </a:xfrm>
                    <a:prstGeom prst="rect">
                      <a:avLst/>
                    </a:prstGeom>
                  </pic:spPr>
                </pic:pic>
              </a:graphicData>
            </a:graphic>
          </wp:anchor>
        </w:drawing>
      </w:r>
    </w:p>
    <w:p>
      <w:pPr>
        <w:spacing w:before="156"/>
        <w:ind w:left="220" w:right="0" w:firstLine="0"/>
        <w:jc w:val="left"/>
        <w:rPr>
          <w:sz w:val="18"/>
        </w:rPr>
      </w:pPr>
      <w:r>
        <w:rPr>
          <w:rFonts w:ascii="Times New Roman" w:hAnsi="Times New Roman" w:eastAsia="Times New Roman"/>
          <w:position w:val="6"/>
          <w:sz w:val="12"/>
        </w:rPr>
        <w:t>6</w:t>
      </w:r>
      <w:r>
        <w:rPr>
          <w:rFonts w:ascii="Times New Roman" w:hAnsi="Times New Roman" w:eastAsia="Times New Roman"/>
          <w:spacing w:val="145"/>
          <w:position w:val="6"/>
          <w:sz w:val="12"/>
        </w:rPr>
        <w:t xml:space="preserve"> </w:t>
      </w:r>
      <w:r>
        <w:rPr>
          <w:b/>
          <w:sz w:val="18"/>
        </w:rPr>
        <w:t>恶性肿瘤</w:t>
      </w:r>
      <w:r>
        <w:rPr>
          <w:sz w:val="18"/>
        </w:rPr>
        <w:t>指被保险人初次发生符合“</w:t>
      </w:r>
      <w:r>
        <w:rPr>
          <w:rFonts w:ascii="Times New Roman" w:hAnsi="Times New Roman" w:eastAsia="Times New Roman"/>
          <w:sz w:val="18"/>
        </w:rPr>
        <w:t>7.2.1</w:t>
      </w:r>
      <w:r>
        <w:rPr>
          <w:rFonts w:ascii="Times New Roman" w:hAnsi="Times New Roman" w:eastAsia="Times New Roman"/>
          <w:spacing w:val="-1"/>
          <w:sz w:val="18"/>
        </w:rPr>
        <w:t xml:space="preserve"> </w:t>
      </w:r>
      <w:r>
        <w:rPr>
          <w:spacing w:val="-1"/>
          <w:sz w:val="18"/>
        </w:rPr>
        <w:t>恶性肿瘤”定义的疾病。该疾病应当由我们认可的医院的专科医生明确诊断。</w:t>
      </w:r>
    </w:p>
    <w:p>
      <w:pPr>
        <w:spacing w:before="69" w:line="312" w:lineRule="auto"/>
        <w:ind w:left="445" w:right="236" w:hanging="226"/>
        <w:jc w:val="left"/>
        <w:rPr>
          <w:sz w:val="18"/>
        </w:rPr>
      </w:pPr>
      <w:r>
        <w:rPr>
          <w:rFonts w:ascii="Times New Roman" w:eastAsia="Times New Roman"/>
          <w:sz w:val="18"/>
          <w:vertAlign w:val="superscript"/>
        </w:rPr>
        <w:t>7</w:t>
      </w:r>
      <w:r>
        <w:rPr>
          <w:rFonts w:ascii="Times New Roman" w:eastAsia="Times New Roman"/>
          <w:spacing w:val="73"/>
          <w:sz w:val="18"/>
          <w:vertAlign w:val="baseline"/>
        </w:rPr>
        <w:t xml:space="preserve"> </w:t>
      </w:r>
      <w:r>
        <w:rPr>
          <w:b/>
          <w:sz w:val="18"/>
          <w:vertAlign w:val="baseline"/>
        </w:rPr>
        <w:t>化学疗法</w:t>
      </w:r>
      <w:r>
        <w:rPr>
          <w:sz w:val="18"/>
          <w:vertAlign w:val="baseline"/>
        </w:rPr>
        <w:t>指针对于恶性肿瘤的化学治疗。化疗是使用医学界公认的化疗药物以杀死癌细胞、抑制癌细胞生长繁殖为目的而</w:t>
      </w:r>
      <w:r>
        <w:rPr>
          <w:spacing w:val="-2"/>
          <w:sz w:val="18"/>
          <w:vertAlign w:val="baseline"/>
        </w:rPr>
        <w:t>进行的治疗。本合同所指的化疗为被保险人根据医嘱，在医院进行的静脉注射化疗。</w:t>
      </w:r>
    </w:p>
    <w:p>
      <w:pPr>
        <w:spacing w:before="0" w:line="312" w:lineRule="auto"/>
        <w:ind w:left="445" w:right="236" w:hanging="226"/>
        <w:jc w:val="left"/>
        <w:rPr>
          <w:sz w:val="18"/>
        </w:rPr>
      </w:pPr>
      <w:r>
        <w:rPr>
          <w:rFonts w:ascii="Times New Roman" w:eastAsia="Times New Roman"/>
          <w:sz w:val="18"/>
          <w:vertAlign w:val="superscript"/>
        </w:rPr>
        <w:t>8</w:t>
      </w:r>
      <w:r>
        <w:rPr>
          <w:rFonts w:ascii="Times New Roman" w:eastAsia="Times New Roman"/>
          <w:spacing w:val="73"/>
          <w:sz w:val="18"/>
          <w:vertAlign w:val="baseline"/>
        </w:rPr>
        <w:t xml:space="preserve"> </w:t>
      </w:r>
      <w:r>
        <w:rPr>
          <w:b/>
          <w:sz w:val="18"/>
          <w:vertAlign w:val="baseline"/>
        </w:rPr>
        <w:t>放射疗法</w:t>
      </w:r>
      <w:r>
        <w:rPr>
          <w:sz w:val="18"/>
          <w:vertAlign w:val="baseline"/>
        </w:rPr>
        <w:t>指针对恶性肿瘤的放射治疗。放疗是使用各种不同能量的射线照射肿瘤组织，以抑制和杀灭癌细胞为目的而进行</w:t>
      </w:r>
      <w:r>
        <w:rPr>
          <w:spacing w:val="-2"/>
          <w:sz w:val="18"/>
          <w:vertAlign w:val="baseline"/>
        </w:rPr>
        <w:t>的治疗。本合同所指的放疗为被保险人根据医嘱，在医院的专门科室进行的放疗。</w:t>
      </w:r>
    </w:p>
    <w:p>
      <w:pPr>
        <w:spacing w:before="1" w:line="312" w:lineRule="auto"/>
        <w:ind w:left="445" w:right="148" w:hanging="226"/>
        <w:jc w:val="left"/>
        <w:rPr>
          <w:sz w:val="18"/>
        </w:rPr>
      </w:pPr>
      <w:r>
        <w:rPr>
          <w:rFonts w:ascii="Times New Roman" w:eastAsia="Times New Roman"/>
          <w:sz w:val="18"/>
          <w:vertAlign w:val="superscript"/>
        </w:rPr>
        <w:t>9</w:t>
      </w:r>
      <w:r>
        <w:rPr>
          <w:rFonts w:ascii="Times New Roman" w:eastAsia="Times New Roman"/>
          <w:sz w:val="18"/>
          <w:vertAlign w:val="baseline"/>
        </w:rPr>
        <w:t xml:space="preserve">    </w:t>
      </w:r>
      <w:r>
        <w:rPr>
          <w:b/>
          <w:w w:val="99"/>
          <w:sz w:val="18"/>
          <w:vertAlign w:val="baseline"/>
        </w:rPr>
        <w:t>肿瘤免疫疗法</w:t>
      </w:r>
      <w:r>
        <w:rPr>
          <w:spacing w:val="-4"/>
          <w:sz w:val="18"/>
          <w:vertAlign w:val="baseline"/>
        </w:rPr>
        <w:t>指应用免疫学原理和方法，使用肿瘤免疫治疗药物提高肿瘤细胞的免疫原性和对效应细胞杀伤的敏感性，激</w:t>
      </w:r>
      <w:r>
        <w:rPr>
          <w:sz w:val="18"/>
          <w:vertAlign w:val="baseline"/>
        </w:rPr>
        <w:t>发和增强机体抗肿瘤免疫应答，并应用免疫细胞和效应分子输注宿主体内，协同机体免疫系统杀伤肿瘤、抑制肿瘤生长。本合同所指的肿瘤免疫治疗药物需符合法律、法规要求并经过国家食品药品监督管理总局批准用于临床治疗。</w:t>
      </w:r>
    </w:p>
    <w:p>
      <w:pPr>
        <w:spacing w:before="0" w:line="312" w:lineRule="auto"/>
        <w:ind w:left="445" w:right="234" w:hanging="226"/>
        <w:jc w:val="left"/>
        <w:rPr>
          <w:sz w:val="18"/>
        </w:rPr>
      </w:pPr>
      <w:r>
        <w:rPr>
          <w:rFonts w:ascii="Times New Roman" w:eastAsia="Times New Roman"/>
          <w:sz w:val="18"/>
          <w:vertAlign w:val="superscript"/>
        </w:rPr>
        <w:t>10</w:t>
      </w:r>
      <w:r>
        <w:rPr>
          <w:rFonts w:ascii="Times New Roman" w:eastAsia="Times New Roman"/>
          <w:spacing w:val="14"/>
          <w:sz w:val="18"/>
          <w:vertAlign w:val="baseline"/>
        </w:rPr>
        <w:t xml:space="preserve"> </w:t>
      </w:r>
      <w:r>
        <w:rPr>
          <w:b/>
          <w:sz w:val="18"/>
          <w:vertAlign w:val="baseline"/>
        </w:rPr>
        <w:t>肿瘤内分泌疗法</w:t>
      </w:r>
      <w:r>
        <w:rPr>
          <w:sz w:val="18"/>
          <w:vertAlign w:val="baseline"/>
        </w:rPr>
        <w:t>指针对于恶性肿瘤的内分泌疗法，用药物抑制激素生成和激素反应，杀死癌细胞或抑制癌细胞的生长。本</w:t>
      </w:r>
      <w:r>
        <w:rPr>
          <w:spacing w:val="-2"/>
          <w:sz w:val="18"/>
          <w:vertAlign w:val="baseline"/>
        </w:rPr>
        <w:t>合同所指的内分泌治疗药物需符合法律、法规要求并经过国家食品药品监督管理总局批准用于临床治疗。</w:t>
      </w:r>
    </w:p>
    <w:p>
      <w:pPr>
        <w:spacing w:before="1" w:line="312" w:lineRule="auto"/>
        <w:ind w:left="445" w:right="236" w:hanging="226"/>
        <w:jc w:val="both"/>
        <w:rPr>
          <w:sz w:val="18"/>
        </w:rPr>
      </w:pPr>
      <w:r>
        <w:rPr>
          <w:rFonts w:ascii="Times New Roman" w:eastAsia="Times New Roman"/>
          <w:sz w:val="18"/>
          <w:vertAlign w:val="superscript"/>
        </w:rPr>
        <w:t>11</w:t>
      </w:r>
      <w:r>
        <w:rPr>
          <w:rFonts w:ascii="Times New Roman" w:eastAsia="Times New Roman"/>
          <w:sz w:val="18"/>
          <w:vertAlign w:val="baseline"/>
        </w:rPr>
        <w:t xml:space="preserve"> </w:t>
      </w:r>
      <w:r>
        <w:rPr>
          <w:b/>
          <w:sz w:val="18"/>
          <w:vertAlign w:val="baseline"/>
        </w:rPr>
        <w:t>肿瘤靶向疗法</w:t>
      </w:r>
      <w:r>
        <w:rPr>
          <w:sz w:val="18"/>
          <w:vertAlign w:val="baseline"/>
        </w:rPr>
        <w:t>指在细胞分子水平上，针对已经明确的致癌点来设计相应的靶向治疗药物，利用具有一定特异性的载体，将</w:t>
      </w:r>
      <w:r>
        <w:rPr>
          <w:spacing w:val="-2"/>
          <w:sz w:val="18"/>
          <w:vertAlign w:val="baseline"/>
        </w:rPr>
        <w:t>药物或其他杀伤肿瘤细胞的活性物质选择性地运送到肿瘤部位攻击癌细胞的疗法。本合同所指的靶向治疗的药物需具有国家食品药品监督管理总局核发的药品批准文号或进口药品注册证书、医药产品注册证书。</w:t>
      </w:r>
    </w:p>
    <w:p>
      <w:pPr>
        <w:spacing w:before="0" w:line="312" w:lineRule="auto"/>
        <w:ind w:left="445" w:right="234" w:hanging="226"/>
        <w:jc w:val="both"/>
        <w:rPr>
          <w:sz w:val="18"/>
        </w:rPr>
      </w:pPr>
      <w:r>
        <w:rPr>
          <w:rFonts w:ascii="Times New Roman" w:hAnsi="Times New Roman" w:eastAsia="Times New Roman"/>
          <w:position w:val="6"/>
          <w:sz w:val="12"/>
        </w:rPr>
        <w:t xml:space="preserve">12 </w:t>
      </w:r>
      <w:r>
        <w:rPr>
          <w:b/>
          <w:sz w:val="18"/>
        </w:rPr>
        <w:t>门急诊医疗费用</w:t>
      </w:r>
      <w:r>
        <w:rPr>
          <w:sz w:val="18"/>
        </w:rPr>
        <w:t>指被保险人接受门急诊治疗期间在医院发生的符合“</w:t>
      </w:r>
      <w:r>
        <w:rPr>
          <w:rFonts w:ascii="Times New Roman" w:hAnsi="Times New Roman" w:eastAsia="Times New Roman"/>
          <w:sz w:val="18"/>
        </w:rPr>
        <w:t xml:space="preserve">7.1 </w:t>
      </w:r>
      <w:r>
        <w:rPr>
          <w:sz w:val="18"/>
        </w:rPr>
        <w:t>医疗费用释义”定义的医疗费用，包括检查检验</w:t>
      </w:r>
      <w:r>
        <w:rPr>
          <w:spacing w:val="-2"/>
          <w:sz w:val="18"/>
        </w:rPr>
        <w:t>费、治疗费、药品费、医生诊疗费、救护车使用费。</w:t>
      </w:r>
    </w:p>
    <w:p>
      <w:pPr>
        <w:spacing w:before="1" w:line="312" w:lineRule="auto"/>
        <w:ind w:left="445" w:right="145" w:hanging="226"/>
        <w:jc w:val="both"/>
        <w:rPr>
          <w:sz w:val="18"/>
        </w:rPr>
      </w:pPr>
      <w:r>
        <w:rPr>
          <w:rFonts w:ascii="Times New Roman" w:eastAsia="Times New Roman"/>
          <w:sz w:val="18"/>
          <w:vertAlign w:val="superscript"/>
        </w:rPr>
        <w:t>13</w:t>
      </w:r>
      <w:r>
        <w:rPr>
          <w:rFonts w:ascii="Times New Roman" w:eastAsia="Times New Roman"/>
          <w:sz w:val="18"/>
          <w:vertAlign w:val="baseline"/>
        </w:rPr>
        <w:t xml:space="preserve"> </w:t>
      </w:r>
      <w:r>
        <w:rPr>
          <w:b/>
          <w:sz w:val="18"/>
          <w:vertAlign w:val="baseline"/>
        </w:rPr>
        <w:t>门急诊手术医疗费用</w:t>
      </w:r>
      <w:r>
        <w:rPr>
          <w:sz w:val="18"/>
          <w:vertAlign w:val="baseline"/>
        </w:rPr>
        <w:t>指被保险人接受门急诊治疗期间在医院发生的手术费，包括外科医生诊疗费、手术室费、恢复室费、</w:t>
      </w:r>
      <w:r>
        <w:rPr>
          <w:spacing w:val="-2"/>
          <w:sz w:val="18"/>
          <w:vertAlign w:val="baseline"/>
        </w:rPr>
        <w:t>麻醉费、手术监测费、手术设备费、手术辅助费、手术材料费、一次性用品费、术中药费。</w:t>
      </w:r>
    </w:p>
    <w:p>
      <w:pPr>
        <w:spacing w:after="0" w:line="312" w:lineRule="auto"/>
        <w:jc w:val="both"/>
        <w:rPr>
          <w:sz w:val="18"/>
        </w:rPr>
        <w:sectPr>
          <w:pgSz w:w="11910" w:h="16840"/>
          <w:pgMar w:top="1380" w:right="840" w:bottom="280" w:left="860" w:header="720" w:footer="720" w:gutter="0"/>
          <w:cols w:space="720" w:num="1"/>
        </w:sectPr>
      </w:pPr>
    </w:p>
    <w:p>
      <w:pPr>
        <w:pStyle w:val="4"/>
        <w:spacing w:before="47"/>
        <w:ind w:left="3260"/>
      </w:pPr>
      <w:r>
        <w:rPr>
          <w:spacing w:val="-3"/>
        </w:rPr>
        <w:t>五、质子重离子医疗费用</w:t>
      </w:r>
    </w:p>
    <w:p>
      <w:pPr>
        <w:pStyle w:val="4"/>
        <w:spacing w:before="33" w:line="276" w:lineRule="auto"/>
        <w:ind w:left="3260" w:right="217"/>
        <w:jc w:val="both"/>
      </w:pPr>
      <w:r>
        <w:rPr>
          <w:spacing w:val="-2"/>
        </w:rPr>
        <w:t>被保险人于等待期后首次发病并经我们认可的医院的</w:t>
      </w:r>
      <w:r>
        <w:rPr>
          <w:b/>
          <w:spacing w:val="-2"/>
        </w:rPr>
        <w:t>专科医生</w:t>
      </w:r>
      <w:r>
        <w:rPr>
          <w:b/>
          <w:spacing w:val="-2"/>
          <w:position w:val="11"/>
          <w:sz w:val="11"/>
        </w:rPr>
        <w:t>14</w:t>
      </w:r>
      <w:r>
        <w:rPr>
          <w:spacing w:val="-2"/>
        </w:rPr>
        <w:t>确诊为本合同约定的恶性肿瘤，并在我们</w:t>
      </w:r>
      <w:r>
        <w:rPr>
          <w:b/>
          <w:spacing w:val="-2"/>
        </w:rPr>
        <w:t>指定的医疗机构</w:t>
      </w:r>
      <w:r>
        <w:rPr>
          <w:b/>
          <w:spacing w:val="-2"/>
          <w:position w:val="11"/>
          <w:sz w:val="11"/>
        </w:rPr>
        <w:t>15</w:t>
      </w:r>
      <w:r>
        <w:rPr>
          <w:spacing w:val="-2"/>
        </w:rPr>
        <w:t>接受质子、重离子治疗的，对于被保险人实际发生并支付的必需且合理的质子重离子医疗费用，我们按本合同约定的保险金计算方法，在质子重离子医疗费用年度给付限额内给付一般医疗保险金。</w:t>
      </w:r>
    </w:p>
    <w:p>
      <w:pPr>
        <w:pStyle w:val="4"/>
        <w:spacing w:before="7"/>
        <w:rPr>
          <w:sz w:val="24"/>
        </w:rPr>
      </w:pPr>
    </w:p>
    <w:p>
      <w:pPr>
        <w:pStyle w:val="4"/>
        <w:spacing w:line="278" w:lineRule="auto"/>
        <w:ind w:left="3260" w:right="234"/>
        <w:jc w:val="both"/>
        <w:rPr>
          <w:rFonts w:ascii="黑体" w:hAnsi="黑体" w:eastAsia="黑体"/>
        </w:rPr>
      </w:pPr>
      <w:r>
        <w:rPr>
          <w:spacing w:val="-2"/>
        </w:rPr>
        <w:t>质子重离子医疗费用指被保险人因接受质子、重离子放射治疗发生的相关</w:t>
      </w:r>
      <w:r>
        <w:t>费用，包括符合“</w:t>
      </w:r>
      <w:r>
        <w:rPr>
          <w:rFonts w:ascii="Times New Roman" w:hAnsi="Times New Roman" w:eastAsia="Times New Roman"/>
        </w:rPr>
        <w:t>7.1</w:t>
      </w:r>
      <w:r>
        <w:rPr>
          <w:rFonts w:ascii="Times New Roman" w:hAnsi="Times New Roman" w:eastAsia="Times New Roman"/>
          <w:spacing w:val="11"/>
        </w:rPr>
        <w:t xml:space="preserve"> </w:t>
      </w:r>
      <w:r>
        <w:t>医疗费用释义”定义的床位费（</w:t>
      </w:r>
      <w:r>
        <w:rPr>
          <w:rFonts w:ascii="黑体" w:hAnsi="黑体" w:eastAsia="黑体"/>
          <w:color w:val="000000"/>
          <w:spacing w:val="-7"/>
          <w:shd w:val="clear" w:color="auto" w:fill="D9D9D9"/>
        </w:rPr>
        <w:t xml:space="preserve">日限额 </w:t>
      </w:r>
      <w:r>
        <w:rPr>
          <w:rFonts w:ascii="黑体" w:hAnsi="黑体" w:eastAsia="黑体"/>
          <w:color w:val="000000"/>
          <w:shd w:val="clear" w:color="auto" w:fill="D9D9D9"/>
        </w:rPr>
        <w:t>1500</w:t>
      </w:r>
      <w:r>
        <w:rPr>
          <w:rFonts w:ascii="黑体" w:hAnsi="黑体" w:eastAsia="黑体"/>
          <w:color w:val="000000"/>
          <w:spacing w:val="-14"/>
          <w:shd w:val="clear" w:color="auto" w:fill="D9D9D9"/>
        </w:rPr>
        <w:t xml:space="preserve"> 元</w:t>
      </w:r>
      <w:r>
        <w:rPr>
          <w:color w:val="000000"/>
          <w:spacing w:val="-108"/>
        </w:rPr>
        <w:t>）</w:t>
      </w:r>
      <w:r>
        <w:rPr>
          <w:color w:val="000000"/>
        </w:rPr>
        <w:t>、</w:t>
      </w:r>
      <w:r>
        <w:rPr>
          <w:color w:val="000000"/>
          <w:spacing w:val="-2"/>
        </w:rPr>
        <w:t>护理费、膳食费、检查检验费、治疗费、药品费、医生诊疗费。</w:t>
      </w:r>
      <w:r>
        <w:rPr>
          <w:rFonts w:ascii="黑体" w:hAnsi="黑体" w:eastAsia="黑体"/>
          <w:color w:val="000000"/>
          <w:spacing w:val="-2"/>
          <w:shd w:val="clear" w:color="auto" w:fill="D9D9D9"/>
        </w:rPr>
        <w:t>但不包括</w:t>
      </w:r>
      <w:r>
        <w:rPr>
          <w:rFonts w:ascii="黑体" w:hAnsi="黑体" w:eastAsia="黑体"/>
          <w:color w:val="000000"/>
          <w:spacing w:val="40"/>
          <w:shd w:val="clear" w:color="auto" w:fill="D9D9D9"/>
        </w:rPr>
        <w:t xml:space="preserve"> </w:t>
      </w:r>
      <w:r>
        <w:rPr>
          <w:rFonts w:ascii="黑体" w:hAnsi="黑体" w:eastAsia="黑体"/>
          <w:color w:val="000000"/>
          <w:spacing w:val="-2"/>
          <w:shd w:val="clear" w:color="auto" w:fill="D9D9D9"/>
        </w:rPr>
        <w:t>化学疗法、质子重离子治疗以外的放射疗法、肿瘤免疫疗法、肿瘤内分泌疗法、肿瘤靶向疗法等其它治疗的相关费用。</w:t>
      </w:r>
    </w:p>
    <w:p>
      <w:pPr>
        <w:pStyle w:val="4"/>
        <w:spacing w:before="10"/>
        <w:rPr>
          <w:rFonts w:ascii="黑体"/>
          <w:sz w:val="18"/>
        </w:rPr>
      </w:pPr>
    </w:p>
    <w:p>
      <w:pPr>
        <w:pStyle w:val="4"/>
        <w:spacing w:before="71" w:line="278" w:lineRule="auto"/>
        <w:ind w:left="3260" w:right="217"/>
        <w:jc w:val="both"/>
        <w:rPr>
          <w:rFonts w:ascii="黑体" w:eastAsia="黑体"/>
        </w:rPr>
      </w:pPr>
      <w:r>
        <w:rPr>
          <w:rFonts w:ascii="黑体" w:eastAsia="黑体"/>
          <w:color w:val="000000"/>
          <w:spacing w:val="-3"/>
          <w:w w:val="100"/>
          <w:shd w:val="clear" w:color="auto" w:fill="D9D9D9"/>
        </w:rPr>
        <w:t xml:space="preserve">当我们对住院医疗费用、特殊门诊医疗费用、住院前后门急诊医疗费用、                                                                                                                            </w:t>
      </w:r>
      <w:r>
        <w:rPr>
          <w:rFonts w:ascii="黑体" w:eastAsia="黑体"/>
          <w:color w:val="000000"/>
          <w:spacing w:val="3"/>
          <w:w w:val="100"/>
          <w:shd w:val="clear" w:color="auto" w:fill="D9D9D9"/>
        </w:rPr>
        <w:t>门急诊手术医疗费用和质子重离子医疗费用累计给付的一般医疗保险金</w:t>
      </w:r>
      <w:r>
        <w:rPr>
          <w:rFonts w:ascii="黑体" w:eastAsia="黑体"/>
          <w:color w:val="000000"/>
          <w:spacing w:val="-3"/>
          <w:w w:val="100"/>
          <w:shd w:val="clear" w:color="auto" w:fill="D9D9D9"/>
        </w:rPr>
        <w:t>达到一般医疗保险金年度给付限额时，该项责任终止。</w:t>
      </w:r>
    </w:p>
    <w:p>
      <w:pPr>
        <w:pStyle w:val="4"/>
        <w:spacing w:before="10"/>
        <w:rPr>
          <w:rFonts w:ascii="黑体"/>
          <w:sz w:val="18"/>
        </w:rPr>
      </w:pPr>
    </w:p>
    <w:p>
      <w:pPr>
        <w:spacing w:after="0"/>
        <w:rPr>
          <w:rFonts w:ascii="黑体"/>
          <w:sz w:val="18"/>
        </w:rPr>
        <w:sectPr>
          <w:pgSz w:w="11910" w:h="16840"/>
          <w:pgMar w:top="1400" w:right="840" w:bottom="280" w:left="860" w:header="720" w:footer="720" w:gutter="0"/>
          <w:cols w:space="720" w:num="1"/>
        </w:sectPr>
      </w:pPr>
    </w:p>
    <w:p>
      <w:pPr>
        <w:spacing w:before="71" w:line="278" w:lineRule="auto"/>
        <w:ind w:left="1196" w:right="0" w:firstLine="0"/>
        <w:jc w:val="left"/>
        <w:rPr>
          <w:b/>
          <w:sz w:val="21"/>
        </w:rPr>
      </w:pPr>
      <w:r>
        <w:rPr>
          <w:b/>
          <w:spacing w:val="17"/>
          <w:sz w:val="21"/>
        </w:rPr>
        <w:t>重大疾病医疗保险</w:t>
      </w:r>
      <w:r>
        <w:rPr>
          <w:b/>
          <w:spacing w:val="-10"/>
          <w:sz w:val="21"/>
        </w:rPr>
        <w:t>金</w:t>
      </w:r>
    </w:p>
    <w:p>
      <w:pPr>
        <w:pStyle w:val="4"/>
        <w:spacing w:before="71" w:line="276" w:lineRule="auto"/>
        <w:ind w:left="173" w:right="234"/>
        <w:jc w:val="both"/>
        <w:rPr>
          <w:rFonts w:ascii="黑体" w:hAnsi="黑体" w:eastAsia="黑体"/>
        </w:rPr>
      </w:pPr>
      <w:r>
        <w:br w:type="column"/>
      </w:r>
      <w:r>
        <w:rPr>
          <w:spacing w:val="-2"/>
        </w:rPr>
        <w:t>在本合同保险期间内，被保险人因意外伤害或于等待期后首次发病并经我们认可的医院的专科医生确诊为本合同约定的</w:t>
      </w:r>
      <w:r>
        <w:rPr>
          <w:b/>
          <w:spacing w:val="-2"/>
        </w:rPr>
        <w:t>重大疾病</w:t>
      </w:r>
      <w:r>
        <w:rPr>
          <w:b/>
          <w:spacing w:val="-2"/>
          <w:position w:val="11"/>
          <w:sz w:val="11"/>
        </w:rPr>
        <w:t>16</w:t>
      </w:r>
      <w:r>
        <w:rPr>
          <w:spacing w:val="-2"/>
        </w:rPr>
        <w:t>的，</w:t>
      </w:r>
      <w:r>
        <w:rPr>
          <w:rFonts w:ascii="黑体" w:hAnsi="黑体" w:eastAsia="黑体"/>
          <w:color w:val="000000"/>
          <w:spacing w:val="-2"/>
          <w:shd w:val="clear" w:color="auto" w:fill="D9D9D9"/>
        </w:rPr>
        <w:t>我们首先按</w:t>
      </w:r>
      <w:r>
        <w:rPr>
          <w:rFonts w:ascii="黑体" w:hAnsi="黑体" w:eastAsia="黑体"/>
          <w:color w:val="000000"/>
          <w:spacing w:val="40"/>
          <w:shd w:val="clear" w:color="auto" w:fill="D9D9D9"/>
        </w:rPr>
        <w:t xml:space="preserve"> </w:t>
      </w:r>
      <w:r>
        <w:rPr>
          <w:rFonts w:ascii="黑体" w:hAnsi="黑体" w:eastAsia="黑体"/>
          <w:color w:val="000000"/>
          <w:spacing w:val="-2"/>
          <w:shd w:val="clear" w:color="auto" w:fill="D9D9D9"/>
        </w:rPr>
        <w:t>前款“一般医疗保险金”的约定给付一般医疗保险金，当我们累计给付的一般医疗保险金达到一般医疗保险金年度给付限额后，我们按下列方式给付重大疾病医疗保险金：</w:t>
      </w:r>
    </w:p>
    <w:p>
      <w:pPr>
        <w:pStyle w:val="4"/>
        <w:spacing w:before="8"/>
        <w:rPr>
          <w:rFonts w:ascii="黑体"/>
          <w:sz w:val="24"/>
        </w:rPr>
      </w:pPr>
    </w:p>
    <w:p>
      <w:pPr>
        <w:pStyle w:val="4"/>
        <w:ind w:left="173"/>
      </w:pPr>
      <w:r>
        <w:rPr>
          <w:spacing w:val="-3"/>
        </w:rPr>
        <w:t>一、重大疾病住院医疗费用</w:t>
      </w:r>
    </w:p>
    <w:p>
      <w:pPr>
        <w:pStyle w:val="4"/>
        <w:spacing w:before="43" w:line="278" w:lineRule="auto"/>
        <w:ind w:left="173" w:right="234"/>
        <w:jc w:val="both"/>
      </w:pPr>
      <w:r>
        <w:rPr>
          <w:spacing w:val="-2"/>
        </w:rPr>
        <w:t>被保险人因罹患重大疾病经我们认可的医院诊断必须接受住院治疗的，对于住院期间在医院发生的必需且合理的住院医疗费用，我们按本合同约定的保险金计算方法，在重大疾病医疗保险金年度给付限额内给付重大疾病医疗保险金。</w:t>
      </w:r>
    </w:p>
    <w:p>
      <w:pPr>
        <w:pStyle w:val="4"/>
        <w:spacing w:before="3"/>
        <w:rPr>
          <w:sz w:val="24"/>
        </w:rPr>
      </w:pPr>
    </w:p>
    <w:p>
      <w:pPr>
        <w:pStyle w:val="4"/>
        <w:spacing w:before="1" w:line="278" w:lineRule="auto"/>
        <w:ind w:left="173" w:right="234"/>
        <w:jc w:val="both"/>
      </w:pPr>
      <w:r>
        <w:rPr>
          <w:spacing w:val="-2"/>
        </w:rPr>
        <w:t>被保险人在本合同有效期内开始接受住院治疗，至本合同保险期间届满时住院治疗仍未结束的，我们仍将继续按本合同约定承担给付重大疾病医疗</w:t>
      </w:r>
      <w:r>
        <w:rPr>
          <w:spacing w:val="-1"/>
        </w:rPr>
        <w:t xml:space="preserve">保险金的责任，但最长不超过本合同期满日后第 </w:t>
      </w:r>
      <w:r>
        <w:rPr>
          <w:rFonts w:ascii="Times New Roman" w:eastAsia="Times New Roman"/>
        </w:rPr>
        <w:t xml:space="preserve">30 </w:t>
      </w:r>
      <w:r>
        <w:t>日（含</w:t>
      </w:r>
      <w:r>
        <w:rPr>
          <w:spacing w:val="-106"/>
        </w:rPr>
        <w:t>）</w:t>
      </w:r>
      <w:r>
        <w:t>。</w:t>
      </w:r>
    </w:p>
    <w:p>
      <w:pPr>
        <w:pStyle w:val="4"/>
        <w:spacing w:before="4"/>
        <w:rPr>
          <w:sz w:val="24"/>
        </w:rPr>
      </w:pPr>
    </w:p>
    <w:p>
      <w:pPr>
        <w:pStyle w:val="4"/>
        <w:ind w:left="173"/>
      </w:pPr>
      <w:r>
        <w:rPr>
          <w:spacing w:val="-3"/>
        </w:rPr>
        <w:t>二、重大疾病特殊门诊医疗费用</w:t>
      </w:r>
    </w:p>
    <w:p>
      <w:pPr>
        <w:pStyle w:val="4"/>
        <w:spacing w:before="43" w:line="278" w:lineRule="auto"/>
        <w:ind w:left="173" w:right="234"/>
      </w:pPr>
      <w:r>
        <w:rPr>
          <w:spacing w:val="-2"/>
        </w:rPr>
        <w:t>被保险人因罹患重大疾病在医院接受特殊门诊治疗的，对于特殊门诊治疗</w:t>
      </w:r>
      <w:r>
        <w:rPr>
          <w:spacing w:val="-3"/>
        </w:rPr>
        <w:t>期间在医院发生的必需且合理的特殊门诊医疗费用，我们按本合同约定的</w:t>
      </w:r>
    </w:p>
    <w:p>
      <w:pPr>
        <w:spacing w:after="0" w:line="278" w:lineRule="auto"/>
        <w:sectPr>
          <w:type w:val="continuous"/>
          <w:pgSz w:w="11910" w:h="16840"/>
          <w:pgMar w:top="500" w:right="840" w:bottom="280" w:left="860" w:header="720" w:footer="720" w:gutter="0"/>
          <w:cols w:equalWidth="0" w:num="2">
            <w:col w:w="3048" w:space="40"/>
            <w:col w:w="7122"/>
          </w:cols>
        </w:sectPr>
      </w:pPr>
    </w:p>
    <w:p>
      <w:pPr>
        <w:pStyle w:val="4"/>
        <w:spacing w:before="3"/>
        <w:rPr>
          <w:sz w:val="15"/>
        </w:rPr>
      </w:pPr>
    </w:p>
    <w:p>
      <w:pPr>
        <w:pStyle w:val="4"/>
        <w:spacing w:line="20" w:lineRule="exact"/>
        <w:ind w:left="220"/>
        <w:rPr>
          <w:sz w:val="2"/>
        </w:rPr>
      </w:pPr>
      <w:r>
        <w:rPr>
          <w:sz w:val="2"/>
        </w:rPr>
        <w:drawing>
          <wp:inline distT="0" distB="0" distL="0" distR="0">
            <wp:extent cx="1828800" cy="5715"/>
            <wp:effectExtent l="0" t="0" r="0" b="0"/>
            <wp:docPr id="4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9.png"/>
                    <pic:cNvPicPr>
                      <a:picLocks noChangeAspect="1"/>
                    </pic:cNvPicPr>
                  </pic:nvPicPr>
                  <pic:blipFill>
                    <a:blip r:embed="rId24" cstate="print"/>
                    <a:stretch>
                      <a:fillRect/>
                    </a:stretch>
                  </pic:blipFill>
                  <pic:spPr>
                    <a:xfrm>
                      <a:off x="0" y="0"/>
                      <a:ext cx="1828800" cy="6095"/>
                    </a:xfrm>
                    <a:prstGeom prst="rect">
                      <a:avLst/>
                    </a:prstGeom>
                  </pic:spPr>
                </pic:pic>
              </a:graphicData>
            </a:graphic>
          </wp:inline>
        </w:drawing>
      </w:r>
    </w:p>
    <w:p>
      <w:pPr>
        <w:spacing w:before="145"/>
        <w:ind w:left="220" w:right="0" w:firstLine="0"/>
        <w:jc w:val="left"/>
        <w:rPr>
          <w:sz w:val="18"/>
        </w:rPr>
      </w:pPr>
      <w:r>
        <w:rPr>
          <w:rFonts w:ascii="Times New Roman" w:eastAsia="Times New Roman"/>
          <w:sz w:val="18"/>
          <w:vertAlign w:val="superscript"/>
        </w:rPr>
        <w:t>14</w:t>
      </w:r>
      <w:r>
        <w:rPr>
          <w:rFonts w:ascii="Times New Roman" w:eastAsia="Times New Roman"/>
          <w:spacing w:val="39"/>
          <w:sz w:val="18"/>
          <w:vertAlign w:val="baseline"/>
        </w:rPr>
        <w:t xml:space="preserve"> </w:t>
      </w:r>
      <w:r>
        <w:rPr>
          <w:b/>
          <w:sz w:val="18"/>
          <w:vertAlign w:val="baseline"/>
        </w:rPr>
        <w:t>专科医生</w:t>
      </w:r>
      <w:r>
        <w:rPr>
          <w:spacing w:val="-1"/>
          <w:sz w:val="18"/>
          <w:vertAlign w:val="baseline"/>
        </w:rPr>
        <w:t>应当同时满足以下四项资格条件：</w:t>
      </w:r>
    </w:p>
    <w:p>
      <w:pPr>
        <w:pStyle w:val="8"/>
        <w:numPr>
          <w:ilvl w:val="0"/>
          <w:numId w:val="5"/>
        </w:numPr>
        <w:tabs>
          <w:tab w:val="left" w:pos="898"/>
        </w:tabs>
        <w:spacing w:before="70" w:after="0" w:line="240" w:lineRule="auto"/>
        <w:ind w:left="897" w:right="0" w:hanging="453"/>
        <w:jc w:val="left"/>
        <w:rPr>
          <w:sz w:val="18"/>
        </w:rPr>
      </w:pPr>
      <w:r>
        <w:rPr>
          <w:spacing w:val="-6"/>
          <w:sz w:val="18"/>
        </w:rPr>
        <w:t>具有有效的中华人民共和国《医师资格证书》；</w:t>
      </w:r>
    </w:p>
    <w:p>
      <w:pPr>
        <w:pStyle w:val="8"/>
        <w:numPr>
          <w:ilvl w:val="0"/>
          <w:numId w:val="5"/>
        </w:numPr>
        <w:tabs>
          <w:tab w:val="left" w:pos="898"/>
        </w:tabs>
        <w:spacing w:before="69" w:after="0" w:line="240" w:lineRule="auto"/>
        <w:ind w:left="897" w:right="0" w:hanging="453"/>
        <w:jc w:val="left"/>
        <w:rPr>
          <w:sz w:val="18"/>
        </w:rPr>
      </w:pPr>
      <w:r>
        <w:rPr>
          <w:spacing w:val="-6"/>
          <w:sz w:val="18"/>
        </w:rPr>
        <w:t>具有有效的中华人民共和国《医师执业证书》，并按期到相关部门登记注册；</w:t>
      </w:r>
    </w:p>
    <w:p>
      <w:pPr>
        <w:pStyle w:val="8"/>
        <w:numPr>
          <w:ilvl w:val="0"/>
          <w:numId w:val="5"/>
        </w:numPr>
        <w:tabs>
          <w:tab w:val="left" w:pos="898"/>
        </w:tabs>
        <w:spacing w:before="69" w:after="0" w:line="240" w:lineRule="auto"/>
        <w:ind w:left="897" w:right="0" w:hanging="453"/>
        <w:jc w:val="left"/>
        <w:rPr>
          <w:sz w:val="18"/>
        </w:rPr>
      </w:pPr>
      <w:r>
        <w:rPr>
          <w:spacing w:val="-4"/>
          <w:sz w:val="18"/>
        </w:rPr>
        <w:t>具有有效的中华人民共和国主治医师或主治医师以上职称的《医师职称证书》；</w:t>
      </w:r>
    </w:p>
    <w:p>
      <w:pPr>
        <w:pStyle w:val="8"/>
        <w:numPr>
          <w:ilvl w:val="0"/>
          <w:numId w:val="5"/>
        </w:numPr>
        <w:tabs>
          <w:tab w:val="left" w:pos="898"/>
        </w:tabs>
        <w:spacing w:before="70" w:after="0" w:line="240" w:lineRule="auto"/>
        <w:ind w:left="897" w:right="0" w:hanging="453"/>
        <w:jc w:val="left"/>
        <w:rPr>
          <w:sz w:val="18"/>
        </w:rPr>
      </w:pPr>
      <w:r>
        <w:rPr>
          <w:spacing w:val="-1"/>
          <w:sz w:val="18"/>
        </w:rPr>
        <w:t>在二级或二级以上医院的相应科室从事临床工作三年以上。</w:t>
      </w:r>
    </w:p>
    <w:p>
      <w:pPr>
        <w:spacing w:before="69"/>
        <w:ind w:left="220" w:right="0" w:firstLine="0"/>
        <w:jc w:val="left"/>
        <w:rPr>
          <w:sz w:val="18"/>
        </w:rPr>
      </w:pPr>
      <w:r>
        <w:rPr>
          <w:rFonts w:ascii="Times New Roman" w:eastAsia="Times New Roman"/>
          <w:sz w:val="18"/>
          <w:vertAlign w:val="superscript"/>
        </w:rPr>
        <w:t>15</w:t>
      </w:r>
      <w:r>
        <w:rPr>
          <w:rFonts w:ascii="Times New Roman" w:eastAsia="Times New Roman"/>
          <w:spacing w:val="36"/>
          <w:sz w:val="18"/>
          <w:vertAlign w:val="baseline"/>
        </w:rPr>
        <w:t xml:space="preserve"> </w:t>
      </w:r>
      <w:r>
        <w:rPr>
          <w:b/>
          <w:sz w:val="18"/>
          <w:vertAlign w:val="baseline"/>
        </w:rPr>
        <w:t>指定的医疗机构</w:t>
      </w:r>
      <w:r>
        <w:rPr>
          <w:sz w:val="18"/>
          <w:vertAlign w:val="baseline"/>
        </w:rPr>
        <w:t>指上海市质子重离子医院（复旦大学附属肿瘤医院质子重离子中心</w:t>
      </w:r>
      <w:r>
        <w:rPr>
          <w:spacing w:val="-92"/>
          <w:sz w:val="18"/>
          <w:vertAlign w:val="baseline"/>
        </w:rPr>
        <w:t>）</w:t>
      </w:r>
      <w:r>
        <w:rPr>
          <w:spacing w:val="-10"/>
          <w:sz w:val="18"/>
          <w:vertAlign w:val="baseline"/>
        </w:rPr>
        <w:t>。</w:t>
      </w:r>
    </w:p>
    <w:p>
      <w:pPr>
        <w:spacing w:before="69" w:line="312" w:lineRule="auto"/>
        <w:ind w:left="445" w:right="236" w:hanging="226"/>
        <w:jc w:val="left"/>
        <w:rPr>
          <w:sz w:val="18"/>
        </w:rPr>
      </w:pPr>
      <w:r>
        <w:rPr>
          <w:rFonts w:ascii="Times New Roman" w:hAnsi="Times New Roman" w:eastAsia="Times New Roman"/>
          <w:position w:val="6"/>
          <w:sz w:val="12"/>
        </w:rPr>
        <w:t>16</w:t>
      </w:r>
      <w:r>
        <w:rPr>
          <w:rFonts w:ascii="Times New Roman" w:hAnsi="Times New Roman" w:eastAsia="Times New Roman"/>
          <w:spacing w:val="63"/>
          <w:position w:val="6"/>
          <w:sz w:val="12"/>
        </w:rPr>
        <w:t xml:space="preserve"> </w:t>
      </w:r>
      <w:r>
        <w:rPr>
          <w:b/>
          <w:sz w:val="18"/>
        </w:rPr>
        <w:t>重大疾病</w:t>
      </w:r>
      <w:r>
        <w:rPr>
          <w:sz w:val="18"/>
        </w:rPr>
        <w:t>指发生符合“</w:t>
      </w:r>
      <w:r>
        <w:rPr>
          <w:rFonts w:ascii="Times New Roman" w:hAnsi="Times New Roman" w:eastAsia="Times New Roman"/>
          <w:sz w:val="18"/>
        </w:rPr>
        <w:t>7.2</w:t>
      </w:r>
      <w:r>
        <w:rPr>
          <w:rFonts w:ascii="Times New Roman" w:hAnsi="Times New Roman" w:eastAsia="Times New Roman"/>
          <w:spacing w:val="40"/>
          <w:sz w:val="18"/>
        </w:rPr>
        <w:t xml:space="preserve"> </w:t>
      </w:r>
      <w:r>
        <w:rPr>
          <w:sz w:val="18"/>
        </w:rPr>
        <w:t>重大疾病释义”定义的疾病，或接受符合“</w:t>
      </w:r>
      <w:r>
        <w:rPr>
          <w:rFonts w:ascii="Times New Roman" w:hAnsi="Times New Roman" w:eastAsia="Times New Roman"/>
          <w:sz w:val="18"/>
        </w:rPr>
        <w:t>7.2</w:t>
      </w:r>
      <w:r>
        <w:rPr>
          <w:rFonts w:ascii="Times New Roman" w:hAnsi="Times New Roman" w:eastAsia="Times New Roman"/>
          <w:spacing w:val="40"/>
          <w:sz w:val="18"/>
        </w:rPr>
        <w:t xml:space="preserve"> </w:t>
      </w:r>
      <w:r>
        <w:rPr>
          <w:sz w:val="18"/>
        </w:rPr>
        <w:t>重大疾病释义”定义的手术。该疾病或手术应</w:t>
      </w:r>
      <w:r>
        <w:rPr>
          <w:spacing w:val="-2"/>
          <w:sz w:val="18"/>
        </w:rPr>
        <w:t>当由我们认可的医院的专科医生明确诊断。</w:t>
      </w:r>
    </w:p>
    <w:p>
      <w:pPr>
        <w:spacing w:after="0" w:line="312" w:lineRule="auto"/>
        <w:jc w:val="left"/>
        <w:rPr>
          <w:sz w:val="18"/>
        </w:rPr>
        <w:sectPr>
          <w:type w:val="continuous"/>
          <w:pgSz w:w="11910" w:h="16840"/>
          <w:pgMar w:top="500" w:right="840" w:bottom="280" w:left="860" w:header="720" w:footer="720" w:gutter="0"/>
          <w:cols w:space="720" w:num="1"/>
        </w:sectPr>
      </w:pPr>
    </w:p>
    <w:p>
      <w:pPr>
        <w:pStyle w:val="4"/>
        <w:spacing w:before="47" w:line="278" w:lineRule="auto"/>
        <w:ind w:left="3260" w:right="234"/>
      </w:pPr>
      <w:r>
        <w:rPr>
          <w:spacing w:val="-2"/>
        </w:rPr>
        <w:t>保险金计算方法，在重大疾病医疗保险金年度给付限额内给付重大疾病医疗保险金。</w:t>
      </w:r>
    </w:p>
    <w:p>
      <w:pPr>
        <w:pStyle w:val="4"/>
        <w:spacing w:before="4"/>
        <w:rPr>
          <w:sz w:val="24"/>
        </w:rPr>
      </w:pPr>
    </w:p>
    <w:p>
      <w:pPr>
        <w:pStyle w:val="4"/>
        <w:ind w:left="3260"/>
      </w:pPr>
      <w:r>
        <w:rPr>
          <w:spacing w:val="-3"/>
        </w:rPr>
        <w:t>重大疾病特殊门诊医疗费用包括：</w:t>
      </w:r>
    </w:p>
    <w:p>
      <w:pPr>
        <w:pStyle w:val="8"/>
        <w:numPr>
          <w:ilvl w:val="1"/>
          <w:numId w:val="5"/>
        </w:numPr>
        <w:tabs>
          <w:tab w:val="left" w:pos="3790"/>
        </w:tabs>
        <w:spacing w:before="43" w:after="0" w:line="240" w:lineRule="auto"/>
        <w:ind w:left="3789" w:right="0" w:hanging="530"/>
        <w:jc w:val="left"/>
        <w:rPr>
          <w:sz w:val="21"/>
        </w:rPr>
      </w:pPr>
      <w:r>
        <w:rPr>
          <w:spacing w:val="-4"/>
          <w:sz w:val="21"/>
        </w:rPr>
        <w:t>门诊肾透析费；</w:t>
      </w:r>
    </w:p>
    <w:p>
      <w:pPr>
        <w:pStyle w:val="8"/>
        <w:numPr>
          <w:ilvl w:val="1"/>
          <w:numId w:val="5"/>
        </w:numPr>
        <w:tabs>
          <w:tab w:val="left" w:pos="3797"/>
        </w:tabs>
        <w:spacing w:before="43" w:after="0" w:line="278" w:lineRule="auto"/>
        <w:ind w:left="3788" w:right="234" w:hanging="528"/>
        <w:jc w:val="left"/>
        <w:rPr>
          <w:sz w:val="21"/>
        </w:rPr>
      </w:pPr>
      <w:r>
        <w:rPr>
          <w:spacing w:val="-2"/>
          <w:sz w:val="21"/>
        </w:rPr>
        <w:t>门诊恶性肿瘤治疗费，包括化学疗法、放射疗法、肿瘤免疫疗法、肿瘤内分泌疗法、肿瘤靶向疗法治疗费；</w:t>
      </w:r>
    </w:p>
    <w:p>
      <w:pPr>
        <w:pStyle w:val="8"/>
        <w:numPr>
          <w:ilvl w:val="1"/>
          <w:numId w:val="5"/>
        </w:numPr>
        <w:tabs>
          <w:tab w:val="left" w:pos="3790"/>
        </w:tabs>
        <w:spacing w:before="0" w:after="0" w:line="269" w:lineRule="exact"/>
        <w:ind w:left="3789" w:right="0" w:hanging="530"/>
        <w:jc w:val="left"/>
        <w:rPr>
          <w:sz w:val="21"/>
        </w:rPr>
      </w:pPr>
      <w:r>
        <w:rPr>
          <w:spacing w:val="-3"/>
          <w:sz w:val="21"/>
        </w:rPr>
        <w:t>器官移植后的门诊抗排异治疗费。</w:t>
      </w:r>
    </w:p>
    <w:p>
      <w:pPr>
        <w:pStyle w:val="4"/>
        <w:spacing w:before="9"/>
        <w:rPr>
          <w:sz w:val="27"/>
        </w:rPr>
      </w:pPr>
    </w:p>
    <w:p>
      <w:pPr>
        <w:pStyle w:val="4"/>
        <w:ind w:left="3260"/>
      </w:pPr>
      <w:r>
        <w:rPr>
          <w:spacing w:val="-3"/>
        </w:rPr>
        <w:t>三、重大疾病住院前后门急诊医疗费用</w:t>
      </w:r>
    </w:p>
    <w:p>
      <w:pPr>
        <w:pStyle w:val="4"/>
        <w:spacing w:before="43" w:line="278" w:lineRule="auto"/>
        <w:ind w:left="3260" w:right="217"/>
        <w:jc w:val="both"/>
      </w:pPr>
      <w:r>
        <w:rPr>
          <w:spacing w:val="-2"/>
        </w:rPr>
        <w:t>被保险人因罹患重大疾病经我们认可的医院诊断必须接受住院治疗的，在</w:t>
      </w:r>
      <w:r>
        <w:rPr>
          <w:spacing w:val="-7"/>
        </w:rPr>
        <w:t xml:space="preserve">住院前 </w:t>
      </w:r>
      <w:r>
        <w:rPr>
          <w:rFonts w:ascii="Times New Roman" w:eastAsia="Times New Roman"/>
        </w:rPr>
        <w:t>7</w:t>
      </w:r>
      <w:r>
        <w:rPr>
          <w:rFonts w:ascii="Times New Roman" w:eastAsia="Times New Roman"/>
          <w:spacing w:val="6"/>
        </w:rPr>
        <w:t xml:space="preserve"> </w:t>
      </w:r>
      <w:r>
        <w:t>日（含）</w:t>
      </w:r>
      <w:r>
        <w:rPr>
          <w:spacing w:val="-6"/>
        </w:rPr>
        <w:t xml:space="preserve">至住院后 </w:t>
      </w:r>
      <w:r>
        <w:rPr>
          <w:rFonts w:ascii="Times New Roman" w:eastAsia="Times New Roman"/>
        </w:rPr>
        <w:t>30</w:t>
      </w:r>
      <w:r>
        <w:rPr>
          <w:rFonts w:ascii="Times New Roman" w:eastAsia="Times New Roman"/>
          <w:spacing w:val="20"/>
        </w:rPr>
        <w:t xml:space="preserve"> </w:t>
      </w:r>
      <w:r>
        <w:t>日（含）内，因与该次住院相同原因在医</w:t>
      </w:r>
      <w:r>
        <w:rPr>
          <w:spacing w:val="-2"/>
        </w:rPr>
        <w:t>院接受门急诊治疗的，对于门急诊治疗期间在医院发生的必需且合理的重大疾病住院前后门急诊医疗费用，我们按本合同约定的保险金计算方法，在重大疾病医疗保险金年度给付限额内给付重大疾病医疗保险金。重大疾病住院前后门急诊医疗费用不包括重大疾病特殊门诊医疗费用。</w:t>
      </w:r>
    </w:p>
    <w:p>
      <w:pPr>
        <w:pStyle w:val="4"/>
        <w:spacing w:before="4"/>
        <w:rPr>
          <w:sz w:val="24"/>
        </w:rPr>
      </w:pPr>
    </w:p>
    <w:p>
      <w:pPr>
        <w:pStyle w:val="4"/>
        <w:ind w:left="3260"/>
      </w:pPr>
      <w:r>
        <w:rPr>
          <w:spacing w:val="-3"/>
        </w:rPr>
        <w:t>四、重大疾病门急诊手术医疗费用</w:t>
      </w:r>
    </w:p>
    <w:p>
      <w:pPr>
        <w:pStyle w:val="4"/>
        <w:spacing w:before="43" w:line="278" w:lineRule="auto"/>
        <w:ind w:left="3260" w:right="234"/>
        <w:jc w:val="both"/>
      </w:pPr>
      <w:r>
        <w:rPr>
          <w:spacing w:val="3"/>
          <w:w w:val="100"/>
        </w:rPr>
        <w:t>被保险人因罹患重大疾病经我们认可的医院诊断必须接受门急诊手术治</w:t>
      </w:r>
      <w:r>
        <w:rPr>
          <w:spacing w:val="-4"/>
          <w:w w:val="100"/>
        </w:rPr>
        <w:t>疗的，对于在医院发生的必需且合理的重大疾病门急诊手术医疗费用，我</w:t>
      </w:r>
      <w:r>
        <w:rPr>
          <w:spacing w:val="-5"/>
          <w:w w:val="100"/>
        </w:rPr>
        <w:t>们按本合同约定的保险金计算方法，在重大疾病医疗保险金年度给付限额</w:t>
      </w:r>
      <w:r>
        <w:rPr>
          <w:spacing w:val="-4"/>
          <w:w w:val="100"/>
        </w:rPr>
        <w:t>内给付重大疾病医疗保险金。</w:t>
      </w:r>
    </w:p>
    <w:p>
      <w:pPr>
        <w:pStyle w:val="4"/>
        <w:spacing w:before="9"/>
        <w:rPr>
          <w:sz w:val="18"/>
        </w:rPr>
      </w:pPr>
    </w:p>
    <w:p>
      <w:pPr>
        <w:pStyle w:val="4"/>
        <w:spacing w:before="72" w:line="278" w:lineRule="auto"/>
        <w:ind w:left="3260" w:right="234"/>
        <w:jc w:val="both"/>
        <w:rPr>
          <w:rFonts w:ascii="黑体" w:eastAsia="黑体"/>
        </w:rPr>
      </w:pPr>
      <w:r>
        <w:rPr>
          <w:rFonts w:ascii="黑体" w:eastAsia="黑体"/>
          <w:color w:val="000000"/>
          <w:spacing w:val="-5"/>
          <w:w w:val="100"/>
          <w:shd w:val="clear" w:color="auto" w:fill="D9D9D9"/>
        </w:rPr>
        <w:t xml:space="preserve">当我们对重大疾病住院医疗费用、重大疾病特殊门诊医疗费用、重大疾病                                                                                                                            </w:t>
      </w:r>
      <w:r>
        <w:rPr>
          <w:rFonts w:ascii="黑体" w:eastAsia="黑体"/>
          <w:color w:val="000000"/>
          <w:spacing w:val="3"/>
          <w:w w:val="100"/>
          <w:shd w:val="clear" w:color="auto" w:fill="D9D9D9"/>
        </w:rPr>
        <w:t>住院前后门急诊医疗费用和重大疾病门急诊手术医疗费用累计给付的重</w:t>
      </w:r>
      <w:r>
        <w:rPr>
          <w:rFonts w:ascii="黑体" w:eastAsia="黑体"/>
          <w:color w:val="000000"/>
          <w:spacing w:val="-4"/>
          <w:w w:val="100"/>
          <w:shd w:val="clear" w:color="auto" w:fill="D9D9D9"/>
        </w:rPr>
        <w:t>大疾病医疗保险金达到重大疾病医疗保险金年度给付限额时，该项责任终止。</w:t>
      </w:r>
    </w:p>
    <w:p>
      <w:pPr>
        <w:pStyle w:val="4"/>
        <w:spacing w:before="2"/>
        <w:rPr>
          <w:rFonts w:ascii="黑体"/>
          <w:sz w:val="22"/>
        </w:rPr>
      </w:pPr>
      <w:r>
        <w:drawing>
          <wp:anchor distT="0" distB="0" distL="0" distR="0" simplePos="0" relativeHeight="251681792" behindDoc="1" locked="0" layoutInCell="1" allowOverlap="1">
            <wp:simplePos x="0" y="0"/>
            <wp:positionH relativeFrom="page">
              <wp:posOffset>2616200</wp:posOffset>
            </wp:positionH>
            <wp:positionV relativeFrom="paragraph">
              <wp:posOffset>591820</wp:posOffset>
            </wp:positionV>
            <wp:extent cx="4256405" cy="173990"/>
            <wp:effectExtent l="0" t="0" r="0" b="0"/>
            <wp:wrapNone/>
            <wp:docPr id="4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0.png"/>
                    <pic:cNvPicPr>
                      <a:picLocks noChangeAspect="1"/>
                    </pic:cNvPicPr>
                  </pic:nvPicPr>
                  <pic:blipFill>
                    <a:blip r:embed="rId25" cstate="print"/>
                    <a:stretch>
                      <a:fillRect/>
                    </a:stretch>
                  </pic:blipFill>
                  <pic:spPr>
                    <a:xfrm>
                      <a:off x="0" y="0"/>
                      <a:ext cx="4256532" cy="173736"/>
                    </a:xfrm>
                    <a:prstGeom prst="rect">
                      <a:avLst/>
                    </a:prstGeom>
                  </pic:spPr>
                </pic:pic>
              </a:graphicData>
            </a:graphic>
          </wp:anchor>
        </w:drawing>
      </w:r>
      <w:r>
        <w:pict>
          <v:shape id="docshape25" o:spid="_x0000_s1050" o:spt="202" type="#_x0000_t202" style="position:absolute;left:0pt;margin-left:206pt;margin-top:46.6pt;height:13.7pt;width:340.6pt;mso-position-horizontal-relative:page;z-index:-251634688;mso-width-relative:page;mso-height-relative:page;" filled="f" stroked="f" coordsize="21600,21600">
            <v:path/>
            <v:fill on="f" focussize="0,0"/>
            <v:stroke on="f" joinstyle="miter"/>
            <v:imagedata o:title=""/>
            <o:lock v:ext="edit"/>
            <v:textbox inset="0mm,0mm,0mm,0mm">
              <w:txbxContent>
                <w:p>
                  <w:pPr>
                    <w:pStyle w:val="4"/>
                    <w:spacing w:before="3"/>
                    <w:rPr>
                      <w:rFonts w:ascii="黑体" w:eastAsia="黑体"/>
                    </w:rPr>
                  </w:pPr>
                  <w:r>
                    <w:rPr>
                      <w:rFonts w:ascii="黑体" w:eastAsia="黑体"/>
                      <w:spacing w:val="-20"/>
                    </w:rPr>
                    <w:t xml:space="preserve">过该 </w:t>
                  </w:r>
                  <w:r>
                    <w:rPr>
                      <w:rFonts w:ascii="黑体" w:eastAsia="黑体"/>
                      <w:spacing w:val="-2"/>
                    </w:rPr>
                    <w:t>180</w:t>
                  </w:r>
                  <w:r>
                    <w:rPr>
                      <w:rFonts w:ascii="黑体" w:eastAsia="黑体"/>
                      <w:spacing w:val="-16"/>
                    </w:rPr>
                    <w:t xml:space="preserve"> 日的住院治疗所发生的医疗费用，我们不承担给付保险金的责任。</w:t>
                  </w:r>
                </w:p>
              </w:txbxContent>
            </v:textbox>
          </v:shape>
        </w:pict>
      </w:r>
      <w:r>
        <w:pict>
          <v:shape id="docshape26" o:spid="_x0000_s1051" o:spt="202" type="#_x0000_t202" style="position:absolute;left:0pt;margin-left:206pt;margin-top:31pt;height:13.7pt;width:335.2pt;mso-position-horizontal-relative:page;z-index:-251633664;mso-width-relative:page;mso-height-relative:page;" fillcolor="#D9D9D9" filled="t" stroked="f" coordsize="21600,21600">
            <v:path/>
            <v:fill on="t" focussize="0,0"/>
            <v:stroke on="f" joinstyle="miter"/>
            <v:imagedata o:title=""/>
            <o:lock v:ext="edit"/>
            <v:textbox inset="0mm,0mm,0mm,0mm">
              <w:txbxContent>
                <w:p>
                  <w:pPr>
                    <w:pStyle w:val="4"/>
                    <w:spacing w:before="3"/>
                    <w:ind w:right="-15"/>
                    <w:rPr>
                      <w:rFonts w:ascii="黑体" w:eastAsia="黑体"/>
                      <w:color w:val="000000"/>
                    </w:rPr>
                  </w:pPr>
                  <w:r>
                    <w:rPr>
                      <w:rFonts w:ascii="黑体" w:eastAsia="黑体"/>
                      <w:color w:val="000000"/>
                      <w:spacing w:val="-2"/>
                    </w:rPr>
                    <w:t>治疗和重大疾病住院治疗）</w:t>
                  </w:r>
                  <w:r>
                    <w:rPr>
                      <w:rFonts w:ascii="黑体" w:eastAsia="黑体"/>
                      <w:color w:val="000000"/>
                      <w:spacing w:val="-3"/>
                    </w:rPr>
                    <w:t>所发生的医疗费用承担给付保险金的责任。超</w:t>
                  </w:r>
                </w:p>
              </w:txbxContent>
            </v:textbox>
          </v:shape>
        </w:pict>
      </w:r>
      <w:r>
        <w:pict>
          <v:shape id="docshape27" o:spid="_x0000_s1052" o:spt="202" type="#_x0000_t202" style="position:absolute;left:0pt;margin-left:206pt;margin-top:15.4pt;height:13.7pt;width:335.2pt;mso-position-horizontal-relative:page;mso-wrap-distance-bottom:0pt;mso-wrap-distance-top:0pt;z-index:-251621376;mso-width-relative:page;mso-height-relative:page;" fillcolor="#D9D9D9" filled="t" stroked="f" coordsize="21600,21600">
            <v:path/>
            <v:fill on="t" focussize="0,0"/>
            <v:stroke on="f" joinstyle="miter"/>
            <v:imagedata o:title=""/>
            <o:lock v:ext="edit"/>
            <v:textbox inset="0mm,0mm,0mm,0mm">
              <w:txbxContent>
                <w:p>
                  <w:pPr>
                    <w:pStyle w:val="4"/>
                    <w:spacing w:before="3"/>
                    <w:ind w:right="-15"/>
                    <w:rPr>
                      <w:rFonts w:ascii="黑体" w:eastAsia="黑体"/>
                      <w:color w:val="000000"/>
                    </w:rPr>
                  </w:pPr>
                  <w:r>
                    <w:rPr>
                      <w:rFonts w:ascii="黑体" w:eastAsia="黑体"/>
                      <w:color w:val="000000"/>
                      <w:spacing w:val="-6"/>
                    </w:rPr>
                    <w:t xml:space="preserve">在本合同保险期间内，我们仅对 </w:t>
                  </w:r>
                  <w:r>
                    <w:rPr>
                      <w:rFonts w:ascii="黑体" w:eastAsia="黑体"/>
                      <w:color w:val="000000"/>
                      <w:spacing w:val="-2"/>
                    </w:rPr>
                    <w:t>180</w:t>
                  </w:r>
                  <w:r>
                    <w:rPr>
                      <w:rFonts w:ascii="黑体" w:eastAsia="黑体"/>
                      <w:color w:val="000000"/>
                      <w:spacing w:val="-28"/>
                    </w:rPr>
                    <w:t xml:space="preserve"> 日</w:t>
                  </w:r>
                  <w:r>
                    <w:rPr>
                      <w:rFonts w:ascii="黑体" w:eastAsia="黑体"/>
                      <w:color w:val="000000"/>
                      <w:spacing w:val="-2"/>
                    </w:rPr>
                    <w:t>（含）内住院治疗（</w:t>
                  </w:r>
                  <w:r>
                    <w:rPr>
                      <w:rFonts w:ascii="黑体" w:eastAsia="黑体"/>
                      <w:color w:val="000000"/>
                      <w:spacing w:val="-4"/>
                    </w:rPr>
                    <w:t>包括一般住院</w:t>
                  </w:r>
                </w:p>
              </w:txbxContent>
            </v:textbox>
            <w10:wrap type="topAndBottom"/>
          </v:shape>
        </w:pict>
      </w:r>
    </w:p>
    <w:p>
      <w:pPr>
        <w:pStyle w:val="4"/>
        <w:rPr>
          <w:rFonts w:ascii="黑体"/>
          <w:sz w:val="22"/>
        </w:rPr>
      </w:pPr>
    </w:p>
    <w:p>
      <w:pPr>
        <w:pStyle w:val="4"/>
        <w:tabs>
          <w:tab w:val="left" w:pos="3260"/>
        </w:tabs>
        <w:spacing w:before="72" w:line="278" w:lineRule="auto"/>
        <w:ind w:left="3260" w:right="234" w:hanging="2065"/>
      </w:pPr>
      <w:r>
        <w:rPr>
          <w:b/>
          <w:spacing w:val="-4"/>
        </w:rPr>
        <w:t>可选责任</w:t>
      </w:r>
      <w:r>
        <w:rPr>
          <w:b/>
        </w:rPr>
        <w:tab/>
      </w:r>
      <w:r>
        <w:rPr>
          <w:spacing w:val="-2"/>
        </w:rPr>
        <w:t>本合同的可选责任包括恶性肿瘤赴德国或日本医疗保险金、恶性肿瘤住院津贴和家庭共享免赔额。</w:t>
      </w:r>
    </w:p>
    <w:p>
      <w:pPr>
        <w:pStyle w:val="4"/>
        <w:spacing w:before="9"/>
        <w:rPr>
          <w:sz w:val="18"/>
        </w:rPr>
      </w:pPr>
    </w:p>
    <w:p>
      <w:pPr>
        <w:spacing w:after="0"/>
        <w:rPr>
          <w:sz w:val="18"/>
        </w:rPr>
        <w:sectPr>
          <w:pgSz w:w="11910" w:h="16840"/>
          <w:pgMar w:top="1400" w:right="840" w:bottom="280" w:left="860" w:header="720" w:footer="720" w:gutter="0"/>
          <w:cols w:space="720" w:num="1"/>
        </w:sectPr>
      </w:pPr>
    </w:p>
    <w:p>
      <w:pPr>
        <w:spacing w:before="72" w:line="278" w:lineRule="auto"/>
        <w:ind w:left="1196" w:right="0" w:firstLine="0"/>
        <w:jc w:val="left"/>
        <w:rPr>
          <w:b/>
          <w:sz w:val="21"/>
        </w:rPr>
      </w:pPr>
      <w:r>
        <w:rPr>
          <w:b/>
          <w:spacing w:val="17"/>
          <w:sz w:val="21"/>
        </w:rPr>
        <w:t>恶性肿瘤赴德国或</w:t>
      </w:r>
      <w:r>
        <w:rPr>
          <w:b/>
          <w:spacing w:val="-2"/>
          <w:sz w:val="21"/>
        </w:rPr>
        <w:t>日本医疗保险金</w:t>
      </w:r>
    </w:p>
    <w:p>
      <w:pPr>
        <w:pStyle w:val="4"/>
        <w:spacing w:before="72" w:line="278" w:lineRule="auto"/>
        <w:ind w:left="173" w:right="234"/>
        <w:jc w:val="both"/>
      </w:pPr>
      <w:r>
        <w:br w:type="column"/>
      </w:r>
      <w:r>
        <w:rPr>
          <w:spacing w:val="-2"/>
        </w:rPr>
        <w:t>在本合同保险期间内，被保险人于等待期后首次发病并经我们认可的医院的专科医生确诊为本合同约定的恶性肿瘤，可以向我们提出赴德国或日本治疗恶性肿瘤的书面申请。经我们或我们授权的第三方服务商（以下简称 “授权服务商”）安排的二次诊疗意见确认后，被保险人可前往我们或授权服务商推荐的德国或日本的医疗机构进行治疗，我们按照下列方式承担保险责任：</w:t>
      </w:r>
    </w:p>
    <w:p>
      <w:pPr>
        <w:pStyle w:val="4"/>
        <w:spacing w:before="4"/>
        <w:rPr>
          <w:sz w:val="24"/>
        </w:rPr>
      </w:pPr>
    </w:p>
    <w:p>
      <w:pPr>
        <w:pStyle w:val="4"/>
        <w:spacing w:line="278" w:lineRule="auto"/>
        <w:ind w:left="173" w:right="217"/>
      </w:pPr>
      <w:r>
        <w:rPr>
          <w:spacing w:val="-2"/>
        </w:rPr>
        <w:t>我们或授权服务商将根据客户的健康状况、就医意愿、自身的医疗资源，</w:t>
      </w:r>
      <w:r>
        <w:rPr>
          <w:spacing w:val="-1"/>
        </w:rPr>
        <w:t>推荐境外医疗机构，并安排被保险人赴德国或日本的医疗机构的就诊事</w:t>
      </w:r>
    </w:p>
    <w:p>
      <w:pPr>
        <w:spacing w:after="0" w:line="278" w:lineRule="auto"/>
        <w:sectPr>
          <w:type w:val="continuous"/>
          <w:pgSz w:w="11910" w:h="16840"/>
          <w:pgMar w:top="500" w:right="840" w:bottom="280" w:left="860" w:header="720" w:footer="720" w:gutter="0"/>
          <w:cols w:equalWidth="0" w:num="2">
            <w:col w:w="3048" w:space="40"/>
            <w:col w:w="7122"/>
          </w:cols>
        </w:sectPr>
      </w:pPr>
    </w:p>
    <w:p>
      <w:pPr>
        <w:pStyle w:val="4"/>
        <w:spacing w:before="47"/>
        <w:ind w:left="3260"/>
      </w:pPr>
      <w:r>
        <w:rPr>
          <w:spacing w:val="-5"/>
        </w:rPr>
        <w:t>宜。</w:t>
      </w:r>
    </w:p>
    <w:p>
      <w:pPr>
        <w:pStyle w:val="4"/>
        <w:spacing w:before="9"/>
        <w:rPr>
          <w:sz w:val="27"/>
        </w:rPr>
      </w:pPr>
    </w:p>
    <w:p>
      <w:pPr>
        <w:pStyle w:val="4"/>
        <w:spacing w:line="278" w:lineRule="auto"/>
        <w:ind w:left="3260" w:right="234"/>
        <w:jc w:val="both"/>
      </w:pPr>
      <w:r>
        <w:rPr>
          <w:spacing w:val="3"/>
          <w:w w:val="100"/>
        </w:rPr>
        <w:t>被保险人按照本合同约定在我们或授权服务商推荐的德国或日本的医疗</w:t>
      </w:r>
      <w:r>
        <w:rPr>
          <w:spacing w:val="-4"/>
          <w:w w:val="100"/>
        </w:rPr>
        <w:t>机构进行医学治疗所产生的必需且合理的医疗费用，我们按本合同约定的</w:t>
      </w:r>
      <w:r>
        <w:rPr>
          <w:spacing w:val="-5"/>
          <w:w w:val="100"/>
        </w:rPr>
        <w:t>保险金计算方法，在恶性肿瘤赴德国或日本医疗保险金给付限额内给付恶</w:t>
      </w:r>
      <w:r>
        <w:rPr>
          <w:spacing w:val="-4"/>
          <w:w w:val="100"/>
        </w:rPr>
        <w:t>性肿瘤赴德国或日本医疗保险金。</w:t>
      </w:r>
    </w:p>
    <w:p>
      <w:pPr>
        <w:pStyle w:val="4"/>
        <w:spacing w:before="4"/>
        <w:rPr>
          <w:sz w:val="24"/>
        </w:rPr>
      </w:pPr>
    </w:p>
    <w:p>
      <w:pPr>
        <w:pStyle w:val="4"/>
        <w:spacing w:line="278" w:lineRule="auto"/>
        <w:ind w:left="3260" w:right="234"/>
        <w:jc w:val="both"/>
      </w:pPr>
      <w:r>
        <w:rPr>
          <w:spacing w:val="-2"/>
        </w:rPr>
        <w:t xml:space="preserve">本合同保险期间届满时，若被保险人已向我们提出恶性肿瘤赴德国或日本治疗恶性肿瘤的书面申请，但尚未赴德国或日本接受恶性肿瘤治疗，或已赴德国或日本进行恶性肿瘤治疗尚未结束的，则我们继续承担恶性肿瘤赴德国或日本医疗保险金的责任，直至被保险人首次向我们提出赴德国或日本治疗恶性肿瘤书面申请之日起的第 </w:t>
      </w:r>
      <w:r>
        <w:rPr>
          <w:rFonts w:ascii="Times New Roman" w:eastAsia="Times New Roman"/>
        </w:rPr>
        <w:t xml:space="preserve">365 </w:t>
      </w:r>
      <w:r>
        <w:t>日（含</w:t>
      </w:r>
      <w:r>
        <w:rPr>
          <w:spacing w:val="-108"/>
        </w:rPr>
        <w:t>）</w:t>
      </w:r>
      <w:r>
        <w:t>。</w:t>
      </w:r>
    </w:p>
    <w:p>
      <w:pPr>
        <w:pStyle w:val="4"/>
        <w:spacing w:before="9"/>
        <w:rPr>
          <w:sz w:val="18"/>
        </w:rPr>
      </w:pPr>
    </w:p>
    <w:p>
      <w:pPr>
        <w:pStyle w:val="4"/>
        <w:spacing w:before="72" w:line="278" w:lineRule="auto"/>
        <w:ind w:left="3260" w:right="234"/>
        <w:jc w:val="both"/>
        <w:rPr>
          <w:rFonts w:ascii="黑体" w:eastAsia="黑体"/>
        </w:rPr>
      </w:pPr>
      <w:r>
        <w:rPr>
          <w:rFonts w:ascii="黑体" w:eastAsia="黑体"/>
          <w:color w:val="000000"/>
          <w:spacing w:val="-2"/>
          <w:shd w:val="clear" w:color="auto" w:fill="D9D9D9"/>
        </w:rPr>
        <w:t>我们对恶性肿瘤赴德国或日本医疗保险金的累计给付之和以恶性肿瘤赴</w:t>
      </w:r>
      <w:r>
        <w:rPr>
          <w:rFonts w:ascii="黑体" w:eastAsia="黑体"/>
          <w:color w:val="000000"/>
          <w:spacing w:val="40"/>
          <w:shd w:val="clear" w:color="auto" w:fill="D9D9D9"/>
        </w:rPr>
        <w:t xml:space="preserve"> </w:t>
      </w:r>
      <w:r>
        <w:rPr>
          <w:rFonts w:ascii="黑体" w:eastAsia="黑体"/>
          <w:color w:val="000000"/>
          <w:spacing w:val="-2"/>
          <w:shd w:val="clear" w:color="auto" w:fill="D9D9D9"/>
        </w:rPr>
        <w:t>德国或日本医疗保险金的给付限额为限，当累计给付金额达到本项保险金年度给付限额时，该项责任终止。</w:t>
      </w:r>
    </w:p>
    <w:p>
      <w:pPr>
        <w:pStyle w:val="4"/>
        <w:spacing w:before="9"/>
        <w:rPr>
          <w:rFonts w:ascii="黑体"/>
          <w:sz w:val="18"/>
        </w:rPr>
      </w:pPr>
    </w:p>
    <w:p>
      <w:pPr>
        <w:pStyle w:val="4"/>
        <w:spacing w:before="72" w:line="278" w:lineRule="auto"/>
        <w:ind w:left="3260" w:right="234"/>
        <w:jc w:val="both"/>
        <w:rPr>
          <w:rFonts w:ascii="黑体" w:hAnsi="黑体" w:eastAsia="黑体"/>
        </w:rPr>
      </w:pPr>
      <w:r>
        <w:rPr>
          <w:rFonts w:ascii="黑体" w:hAnsi="黑体" w:eastAsia="黑体"/>
          <w:color w:val="000000"/>
          <w:spacing w:val="-5"/>
          <w:shd w:val="clear" w:color="auto" w:fill="D9D9D9"/>
        </w:rPr>
        <w:t xml:space="preserve">我们仅承担被保险人 </w:t>
      </w:r>
      <w:r>
        <w:rPr>
          <w:rFonts w:ascii="黑体" w:hAnsi="黑体" w:eastAsia="黑体"/>
          <w:color w:val="000000"/>
          <w:spacing w:val="-4"/>
          <w:shd w:val="clear" w:color="auto" w:fill="D9D9D9"/>
        </w:rPr>
        <w:t>1</w:t>
      </w:r>
      <w:r>
        <w:rPr>
          <w:rFonts w:ascii="黑体" w:hAnsi="黑体" w:eastAsia="黑体"/>
          <w:color w:val="000000"/>
          <w:spacing w:val="-6"/>
          <w:shd w:val="clear" w:color="auto" w:fill="D9D9D9"/>
        </w:rPr>
        <w:t xml:space="preserve"> 次赴境外治疗的医疗费用。若在本合同保险期间内</w:t>
      </w:r>
      <w:r>
        <w:rPr>
          <w:rFonts w:ascii="黑体" w:hAnsi="黑体" w:eastAsia="黑体"/>
          <w:color w:val="000000"/>
          <w:spacing w:val="40"/>
          <w:shd w:val="clear" w:color="auto" w:fill="D9D9D9"/>
        </w:rPr>
        <w:t xml:space="preserve"> </w:t>
      </w:r>
      <w:r>
        <w:rPr>
          <w:rFonts w:ascii="黑体" w:hAnsi="黑体" w:eastAsia="黑体"/>
          <w:color w:val="000000"/>
          <w:spacing w:val="-2"/>
          <w:shd w:val="clear" w:color="auto" w:fill="D9D9D9"/>
        </w:rPr>
        <w:t>发生恶性肿瘤赴德国或日本医疗保险金给付，我们不接受您为被保险人续保时选择“恶性肿瘤赴德国或日本医疗保险金”责任。</w:t>
      </w:r>
    </w:p>
    <w:p>
      <w:pPr>
        <w:pStyle w:val="4"/>
        <w:spacing w:before="4"/>
        <w:rPr>
          <w:rFonts w:ascii="黑体"/>
          <w:sz w:val="24"/>
        </w:rPr>
      </w:pPr>
    </w:p>
    <w:p>
      <w:pPr>
        <w:pStyle w:val="4"/>
        <w:spacing w:line="278" w:lineRule="auto"/>
        <w:ind w:left="3260" w:right="234" w:hanging="2065"/>
        <w:jc w:val="both"/>
      </w:pPr>
      <w:r>
        <w:rPr>
          <w:b/>
          <w:spacing w:val="25"/>
        </w:rPr>
        <w:t xml:space="preserve">恶性肿瘤住院津贴 </w:t>
      </w:r>
      <w:r>
        <w:t>在本合同保险期间内，被保险人于等待期后首次发病并经我们认可的医院</w:t>
      </w:r>
      <w:r>
        <w:rPr>
          <w:spacing w:val="-2"/>
        </w:rPr>
        <w:t>的专科医生确诊为本合同约定的恶性肿瘤，并经我们认可的医院诊断必须接受住院治疗的，我们按以下方式给付恶性肿瘤住院津贴：</w:t>
      </w:r>
    </w:p>
    <w:p>
      <w:pPr>
        <w:pStyle w:val="4"/>
        <w:spacing w:before="4"/>
        <w:rPr>
          <w:sz w:val="24"/>
        </w:rPr>
      </w:pPr>
    </w:p>
    <w:p>
      <w:pPr>
        <w:pStyle w:val="4"/>
        <w:ind w:left="3260"/>
        <w:jc w:val="both"/>
      </w:pPr>
      <w:r>
        <w:rPr>
          <w:spacing w:val="-6"/>
        </w:rPr>
        <w:t>恶性肿瘤住院津贴保险金 = 实际住院日数 × 恶性肿瘤住院津贴日额</w:t>
      </w:r>
    </w:p>
    <w:p>
      <w:pPr>
        <w:pStyle w:val="4"/>
        <w:spacing w:before="2"/>
        <w:rPr>
          <w:sz w:val="22"/>
        </w:rPr>
      </w:pPr>
    </w:p>
    <w:p>
      <w:pPr>
        <w:pStyle w:val="4"/>
        <w:spacing w:before="71" w:line="278" w:lineRule="auto"/>
        <w:ind w:left="3260" w:right="236"/>
        <w:rPr>
          <w:rFonts w:ascii="黑体" w:eastAsia="黑体"/>
        </w:rPr>
      </w:pPr>
      <w:r>
        <w:rPr>
          <w:rFonts w:ascii="黑体" w:eastAsia="黑体"/>
          <w:color w:val="000000"/>
          <w:spacing w:val="-2"/>
          <w:shd w:val="clear" w:color="auto" w:fill="D9D9D9"/>
        </w:rPr>
        <w:t>我们在同一保单年度内累计所承担的住院津贴给付日数，最高以90日为</w:t>
      </w:r>
      <w:r>
        <w:rPr>
          <w:rFonts w:ascii="黑体" w:eastAsia="黑体"/>
          <w:color w:val="000000"/>
          <w:spacing w:val="80"/>
          <w:w w:val="150"/>
          <w:shd w:val="clear" w:color="auto" w:fill="D9D9D9"/>
        </w:rPr>
        <w:t xml:space="preserve">                                    </w:t>
      </w:r>
      <w:r>
        <w:rPr>
          <w:rFonts w:ascii="黑体" w:eastAsia="黑体"/>
          <w:color w:val="000000"/>
          <w:spacing w:val="-2"/>
          <w:shd w:val="clear" w:color="auto" w:fill="D9D9D9"/>
        </w:rPr>
        <w:t>限。恶性肿瘤住院津贴日额最高以200元为限。</w:t>
      </w:r>
    </w:p>
    <w:p>
      <w:pPr>
        <w:pStyle w:val="4"/>
        <w:spacing w:before="5"/>
        <w:rPr>
          <w:rFonts w:ascii="黑体"/>
          <w:sz w:val="24"/>
        </w:rPr>
      </w:pPr>
    </w:p>
    <w:p>
      <w:pPr>
        <w:pStyle w:val="4"/>
        <w:spacing w:line="278" w:lineRule="auto"/>
        <w:ind w:left="3260" w:right="234" w:hanging="2065"/>
        <w:jc w:val="both"/>
      </w:pPr>
      <w:r>
        <w:rPr>
          <w:b/>
          <w:spacing w:val="54"/>
        </w:rPr>
        <w:t xml:space="preserve">家庭共享免赔额 </w:t>
      </w:r>
      <w:r>
        <w:t>您同时为多个被保险人投保或续保本合同，且在下述条件全部符合的前提</w:t>
      </w:r>
      <w:r>
        <w:rPr>
          <w:spacing w:val="-2"/>
        </w:rPr>
        <w:t>下，我们在给付本合同的保险金时不再扣除本合同约定的免赔额：</w:t>
      </w:r>
    </w:p>
    <w:p>
      <w:pPr>
        <w:pStyle w:val="4"/>
        <w:spacing w:before="4"/>
        <w:rPr>
          <w:sz w:val="24"/>
        </w:rPr>
      </w:pPr>
    </w:p>
    <w:p>
      <w:pPr>
        <w:pStyle w:val="8"/>
        <w:numPr>
          <w:ilvl w:val="0"/>
          <w:numId w:val="6"/>
        </w:numPr>
        <w:tabs>
          <w:tab w:val="left" w:pos="3790"/>
        </w:tabs>
        <w:spacing w:before="0" w:after="0" w:line="278" w:lineRule="auto"/>
        <w:ind w:left="3786" w:right="234" w:hanging="526"/>
        <w:jc w:val="left"/>
        <w:rPr>
          <w:sz w:val="21"/>
        </w:rPr>
      </w:pPr>
      <w:r>
        <w:rPr>
          <w:spacing w:val="-3"/>
          <w:sz w:val="21"/>
        </w:rPr>
        <w:t xml:space="preserve">投保人为不超过 </w:t>
      </w:r>
      <w:r>
        <w:rPr>
          <w:rFonts w:ascii="Times New Roman" w:eastAsia="Times New Roman"/>
          <w:sz w:val="21"/>
        </w:rPr>
        <w:t>4</w:t>
      </w:r>
      <w:r>
        <w:rPr>
          <w:rFonts w:ascii="Times New Roman" w:eastAsia="Times New Roman"/>
          <w:spacing w:val="28"/>
          <w:sz w:val="21"/>
        </w:rPr>
        <w:t xml:space="preserve"> </w:t>
      </w:r>
      <w:r>
        <w:rPr>
          <w:sz w:val="21"/>
        </w:rPr>
        <w:t>人同时投保或续保本合同的相同保障计划且具有</w:t>
      </w:r>
      <w:r>
        <w:rPr>
          <w:spacing w:val="-2"/>
          <w:sz w:val="21"/>
        </w:rPr>
        <w:t>相同的生效日期；</w:t>
      </w:r>
    </w:p>
    <w:p>
      <w:pPr>
        <w:pStyle w:val="8"/>
        <w:numPr>
          <w:ilvl w:val="0"/>
          <w:numId w:val="6"/>
        </w:numPr>
        <w:tabs>
          <w:tab w:val="left" w:pos="3797"/>
        </w:tabs>
        <w:spacing w:before="0" w:after="0" w:line="278" w:lineRule="auto"/>
        <w:ind w:left="3786" w:right="234" w:hanging="526"/>
        <w:jc w:val="left"/>
        <w:rPr>
          <w:sz w:val="21"/>
        </w:rPr>
      </w:pPr>
      <w:r>
        <w:rPr>
          <w:spacing w:val="-2"/>
          <w:sz w:val="21"/>
        </w:rPr>
        <w:t>被保险人应为投保人本人、与投保人具有合法婚姻关系的配偶、投保人的子女；</w:t>
      </w:r>
    </w:p>
    <w:p>
      <w:pPr>
        <w:pStyle w:val="8"/>
        <w:numPr>
          <w:ilvl w:val="0"/>
          <w:numId w:val="6"/>
        </w:numPr>
        <w:tabs>
          <w:tab w:val="left" w:pos="3797"/>
        </w:tabs>
        <w:spacing w:before="0" w:after="0" w:line="278" w:lineRule="auto"/>
        <w:ind w:left="3786" w:right="234" w:hanging="526"/>
        <w:jc w:val="both"/>
        <w:rPr>
          <w:sz w:val="21"/>
        </w:rPr>
      </w:pPr>
      <w:r>
        <w:rPr>
          <w:spacing w:val="-2"/>
          <w:sz w:val="21"/>
        </w:rPr>
        <w:t>上述同时投保或续保的所有合同在保险期间内的家庭共享年免赔额余额降至零，家庭共享年免赔额余额计算方法详见“保险金计算方</w:t>
      </w:r>
      <w:r>
        <w:rPr>
          <w:spacing w:val="-40"/>
          <w:sz w:val="21"/>
        </w:rPr>
        <w:t>法”。</w:t>
      </w:r>
    </w:p>
    <w:p>
      <w:pPr>
        <w:pStyle w:val="4"/>
        <w:spacing w:before="4"/>
        <w:rPr>
          <w:sz w:val="24"/>
        </w:rPr>
      </w:pPr>
    </w:p>
    <w:p>
      <w:pPr>
        <w:pStyle w:val="4"/>
        <w:spacing w:line="278" w:lineRule="auto"/>
        <w:ind w:left="3260" w:right="234" w:hanging="2065"/>
        <w:jc w:val="both"/>
      </w:pPr>
      <w:r>
        <w:rPr>
          <w:b/>
          <w:spacing w:val="54"/>
        </w:rPr>
        <w:t xml:space="preserve">保险金计算方法 </w:t>
      </w:r>
      <w:r>
        <w:t>在本合同保险期间内，被保险人因意外伤害或于等待期后发生属于本合同</w:t>
      </w:r>
      <w:r>
        <w:rPr>
          <w:spacing w:val="-2"/>
        </w:rPr>
        <w:t>保险责任范围内的必需且合理的医疗费用，我们按下列公式计算并给付保</w:t>
      </w:r>
      <w:r>
        <w:rPr>
          <w:spacing w:val="-4"/>
        </w:rPr>
        <w:t>险金：</w:t>
      </w:r>
    </w:p>
    <w:p>
      <w:pPr>
        <w:spacing w:after="0" w:line="278" w:lineRule="auto"/>
        <w:jc w:val="both"/>
        <w:sectPr>
          <w:pgSz w:w="11910" w:h="16840"/>
          <w:pgMar w:top="1400" w:right="840" w:bottom="280" w:left="860" w:header="720" w:footer="720" w:gutter="0"/>
          <w:cols w:space="720" w:num="1"/>
        </w:sectPr>
      </w:pPr>
    </w:p>
    <w:p>
      <w:pPr>
        <w:spacing w:before="169" w:line="276" w:lineRule="auto"/>
        <w:ind w:left="3260" w:right="234" w:firstLine="0"/>
        <w:jc w:val="both"/>
        <w:rPr>
          <w:rFonts w:ascii="黑体" w:hAnsi="黑体" w:eastAsia="黑体"/>
          <w:sz w:val="21"/>
        </w:rPr>
      </w:pPr>
      <w:r>
        <w:rPr>
          <w:b/>
          <w:sz w:val="21"/>
        </w:rPr>
        <w:t>一次治疗</w:t>
      </w:r>
      <w:r>
        <w:rPr>
          <w:b/>
          <w:position w:val="11"/>
          <w:sz w:val="11"/>
        </w:rPr>
        <w:t>17</w:t>
      </w:r>
      <w:r>
        <w:rPr>
          <w:sz w:val="21"/>
        </w:rPr>
        <w:t>应当给付的保险金 ＝ （被保险人一次治疗发生的属于本合同保险责任范围内的必需且合理的医疗费用 － 被保险人针对该次治疗从</w:t>
      </w:r>
      <w:r>
        <w:rPr>
          <w:b/>
          <w:spacing w:val="-2"/>
          <w:sz w:val="21"/>
        </w:rPr>
        <w:t>基本医疗保险</w:t>
      </w:r>
      <w:r>
        <w:rPr>
          <w:b/>
          <w:spacing w:val="-2"/>
          <w:position w:val="11"/>
          <w:sz w:val="11"/>
        </w:rPr>
        <w:t>18</w:t>
      </w:r>
      <w:r>
        <w:rPr>
          <w:spacing w:val="-60"/>
          <w:sz w:val="21"/>
        </w:rPr>
        <w:t>、</w:t>
      </w:r>
      <w:r>
        <w:rPr>
          <w:b/>
          <w:spacing w:val="-2"/>
          <w:sz w:val="21"/>
        </w:rPr>
        <w:t>城乡居民大病保险</w:t>
      </w:r>
      <w:r>
        <w:rPr>
          <w:b/>
          <w:spacing w:val="-2"/>
          <w:position w:val="11"/>
          <w:sz w:val="11"/>
        </w:rPr>
        <w:t>19</w:t>
      </w:r>
      <w:r>
        <w:rPr>
          <w:spacing w:val="-2"/>
          <w:sz w:val="21"/>
        </w:rPr>
        <w:t>或</w:t>
      </w:r>
      <w:r>
        <w:rPr>
          <w:b/>
          <w:spacing w:val="-2"/>
          <w:sz w:val="21"/>
        </w:rPr>
        <w:t>公费医疗</w:t>
      </w:r>
      <w:r>
        <w:rPr>
          <w:b/>
          <w:spacing w:val="-2"/>
          <w:position w:val="11"/>
          <w:sz w:val="11"/>
        </w:rPr>
        <w:t>20</w:t>
      </w:r>
      <w:r>
        <w:rPr>
          <w:spacing w:val="-2"/>
          <w:sz w:val="21"/>
        </w:rPr>
        <w:t>及</w:t>
      </w:r>
      <w:r>
        <w:rPr>
          <w:b/>
          <w:spacing w:val="-2"/>
          <w:sz w:val="21"/>
        </w:rPr>
        <w:t>其他途径</w:t>
      </w:r>
      <w:r>
        <w:rPr>
          <w:b/>
          <w:spacing w:val="-2"/>
          <w:position w:val="11"/>
          <w:sz w:val="11"/>
        </w:rPr>
        <w:t>21</w:t>
      </w:r>
      <w:r>
        <w:rPr>
          <w:spacing w:val="-2"/>
          <w:sz w:val="21"/>
        </w:rPr>
        <w:t>获得的医疗</w:t>
      </w:r>
      <w:r>
        <w:rPr>
          <w:sz w:val="21"/>
        </w:rPr>
        <w:t xml:space="preserve">费用补偿金额 － </w:t>
      </w:r>
      <w:r>
        <w:rPr>
          <w:rFonts w:ascii="黑体" w:hAnsi="黑体" w:eastAsia="黑体"/>
          <w:color w:val="000000"/>
          <w:sz w:val="21"/>
          <w:shd w:val="clear" w:color="auto" w:fill="D9D9D9"/>
        </w:rPr>
        <w:t>年免赔额余额）× 赔付比例</w:t>
      </w:r>
    </w:p>
    <w:p>
      <w:pPr>
        <w:pStyle w:val="4"/>
        <w:spacing w:before="10"/>
        <w:rPr>
          <w:rFonts w:ascii="黑体"/>
          <w:sz w:val="18"/>
        </w:rPr>
      </w:pPr>
    </w:p>
    <w:p>
      <w:pPr>
        <w:pStyle w:val="4"/>
        <w:spacing w:before="72" w:line="278" w:lineRule="auto"/>
        <w:ind w:left="3260" w:right="131"/>
        <w:rPr>
          <w:rFonts w:ascii="黑体" w:eastAsia="黑体"/>
        </w:rPr>
      </w:pPr>
      <w:r>
        <w:rPr>
          <w:rFonts w:ascii="黑体" w:eastAsia="黑体"/>
          <w:color w:val="000000"/>
          <w:spacing w:val="-2"/>
          <w:shd w:val="clear" w:color="auto" w:fill="D9D9D9"/>
        </w:rPr>
        <w:t>年免赔额指在本合同保险期间内由被保险人自行承担的、我们不予给付的</w:t>
      </w:r>
      <w:r>
        <w:rPr>
          <w:rFonts w:ascii="黑体" w:eastAsia="黑体"/>
          <w:color w:val="000000"/>
          <w:spacing w:val="80"/>
          <w:w w:val="150"/>
          <w:shd w:val="clear" w:color="auto" w:fill="D9D9D9"/>
        </w:rPr>
        <w:t xml:space="preserve">                                     </w:t>
      </w:r>
      <w:r>
        <w:rPr>
          <w:rFonts w:ascii="黑体" w:eastAsia="黑体"/>
          <w:color w:val="000000"/>
          <w:spacing w:val="-2"/>
          <w:shd w:val="clear" w:color="auto" w:fill="D9D9D9"/>
        </w:rPr>
        <w:t>医疗费用金额。被保险人通过基本医疗保险、城乡居民大病保险或公费医疗获得的补偿，不可用于抵扣年免赔额。被保险人通过其他商业医疗保险获得的补偿，且符合本合同保险责任范围内的医疗费用，可用于抵扣年免</w:t>
      </w:r>
      <w:r>
        <w:rPr>
          <w:rFonts w:ascii="黑体" w:eastAsia="黑体"/>
          <w:color w:val="000000"/>
          <w:spacing w:val="-12"/>
          <w:shd w:val="clear" w:color="auto" w:fill="D9D9D9"/>
        </w:rPr>
        <w:t xml:space="preserve">赔额。年免赔额的具体金额为 </w:t>
      </w:r>
      <w:r>
        <w:rPr>
          <w:rFonts w:ascii="黑体" w:eastAsia="黑体"/>
          <w:color w:val="000000"/>
          <w:shd w:val="clear" w:color="auto" w:fill="D9D9D9"/>
        </w:rPr>
        <w:t>1</w:t>
      </w:r>
      <w:r>
        <w:rPr>
          <w:rFonts w:ascii="黑体" w:eastAsia="黑体"/>
          <w:color w:val="000000"/>
          <w:spacing w:val="-12"/>
          <w:shd w:val="clear" w:color="auto" w:fill="D9D9D9"/>
        </w:rPr>
        <w:t xml:space="preserve"> 万元。计算该次治疗应当给付的保险金时，</w:t>
      </w:r>
      <w:r>
        <w:rPr>
          <w:rFonts w:ascii="黑体" w:eastAsia="黑体"/>
          <w:color w:val="000000"/>
          <w:spacing w:val="-2"/>
          <w:shd w:val="clear" w:color="auto" w:fill="D9D9D9"/>
        </w:rPr>
        <w:t>年免赔额余额的计算公式为：</w:t>
      </w:r>
    </w:p>
    <w:p>
      <w:pPr>
        <w:pStyle w:val="4"/>
        <w:spacing w:before="9"/>
        <w:rPr>
          <w:rFonts w:ascii="黑体"/>
          <w:sz w:val="18"/>
        </w:rPr>
      </w:pPr>
    </w:p>
    <w:p>
      <w:pPr>
        <w:pStyle w:val="4"/>
        <w:spacing w:before="72" w:line="278" w:lineRule="auto"/>
        <w:ind w:left="3260" w:right="234"/>
        <w:rPr>
          <w:rFonts w:ascii="黑体" w:eastAsia="黑体"/>
        </w:rPr>
      </w:pPr>
      <w:r>
        <w:rPr>
          <w:rFonts w:ascii="黑体" w:eastAsia="黑体"/>
          <w:color w:val="000000"/>
          <w:spacing w:val="5"/>
          <w:shd w:val="clear" w:color="auto" w:fill="D9D9D9"/>
        </w:rPr>
        <w:t xml:space="preserve">年免赔额余额 </w:t>
      </w:r>
      <w:r>
        <w:rPr>
          <w:rFonts w:ascii="黑体" w:eastAsia="黑体"/>
          <w:color w:val="000000"/>
          <w:shd w:val="clear" w:color="auto" w:fill="D9D9D9"/>
        </w:rPr>
        <w:t>＝ 年免赔额 － 该次治疗前保险期间内累计已免赔的金</w:t>
      </w:r>
      <w:r>
        <w:rPr>
          <w:rFonts w:ascii="黑体" w:eastAsia="黑体"/>
          <w:color w:val="000000"/>
          <w:spacing w:val="-10"/>
          <w:shd w:val="clear" w:color="auto" w:fill="D9D9D9"/>
        </w:rPr>
        <w:t>额</w:t>
      </w:r>
    </w:p>
    <w:p>
      <w:pPr>
        <w:pStyle w:val="4"/>
        <w:spacing w:before="4"/>
        <w:rPr>
          <w:rFonts w:ascii="黑体"/>
          <w:sz w:val="24"/>
        </w:rPr>
      </w:pPr>
    </w:p>
    <w:p>
      <w:pPr>
        <w:pStyle w:val="4"/>
        <w:spacing w:line="278" w:lineRule="auto"/>
        <w:ind w:left="3260" w:right="234"/>
      </w:pPr>
      <w:r>
        <w:rPr>
          <w:spacing w:val="-2"/>
        </w:rPr>
        <w:t>被保险人确诊罹患本合同约定的重大疾病，因治疗该重大疾病所发生的符合本合同约定的全部医疗费用，年免赔额余额为零。</w:t>
      </w:r>
    </w:p>
    <w:p>
      <w:pPr>
        <w:pStyle w:val="4"/>
        <w:spacing w:before="4"/>
        <w:rPr>
          <w:sz w:val="24"/>
        </w:rPr>
      </w:pPr>
    </w:p>
    <w:p>
      <w:pPr>
        <w:pStyle w:val="4"/>
        <w:ind w:left="3260"/>
      </w:pPr>
      <w:r>
        <w:rPr>
          <w:spacing w:val="-3"/>
        </w:rPr>
        <w:t>享受家庭共享免赔额后的保险金计算方法为：</w:t>
      </w:r>
    </w:p>
    <w:p>
      <w:pPr>
        <w:pStyle w:val="4"/>
        <w:spacing w:before="9"/>
        <w:rPr>
          <w:sz w:val="27"/>
        </w:rPr>
      </w:pPr>
    </w:p>
    <w:p>
      <w:pPr>
        <w:pStyle w:val="4"/>
        <w:spacing w:line="278" w:lineRule="auto"/>
        <w:ind w:left="3260" w:right="234"/>
        <w:jc w:val="both"/>
        <w:rPr>
          <w:rFonts w:ascii="黑体" w:hAnsi="黑体" w:eastAsia="黑体"/>
        </w:rPr>
      </w:pPr>
      <w:r>
        <w:rPr>
          <w:spacing w:val="-2"/>
        </w:rPr>
        <w:t xml:space="preserve">一次治疗应当给付的保险金 </w:t>
      </w:r>
      <w:r>
        <w:t>＝</w:t>
      </w:r>
      <w:r>
        <w:rPr>
          <w:spacing w:val="-27"/>
        </w:rPr>
        <w:t xml:space="preserve"> </w:t>
      </w:r>
      <w:r>
        <w:t>（被保险人一次治疗发生的属于本合同保险责任范围内的必需且合理的医疗费用 － 被保险人针对该次治疗从基</w:t>
      </w:r>
      <w:r>
        <w:rPr>
          <w:spacing w:val="-2"/>
        </w:rPr>
        <w:t>本医疗保险、城乡居民大病保险或公费医疗及其他途径获得的医疗费用补</w:t>
      </w:r>
      <w:r>
        <w:t xml:space="preserve">偿金额 － </w:t>
      </w:r>
      <w:r>
        <w:rPr>
          <w:rFonts w:ascii="黑体" w:hAnsi="黑体" w:eastAsia="黑体"/>
          <w:color w:val="000000"/>
          <w:shd w:val="clear" w:color="auto" w:fill="D9D9D9"/>
        </w:rPr>
        <w:t>家庭共享年免赔额余额）× 赔付比例</w:t>
      </w:r>
    </w:p>
    <w:p>
      <w:pPr>
        <w:pStyle w:val="4"/>
        <w:spacing w:before="9"/>
        <w:rPr>
          <w:rFonts w:ascii="黑体"/>
          <w:sz w:val="18"/>
        </w:rPr>
      </w:pPr>
    </w:p>
    <w:p>
      <w:pPr>
        <w:pStyle w:val="4"/>
        <w:spacing w:before="72" w:line="278" w:lineRule="auto"/>
        <w:ind w:left="3260" w:right="234"/>
        <w:rPr>
          <w:rFonts w:ascii="黑体" w:eastAsia="黑体"/>
        </w:rPr>
      </w:pPr>
      <w:r>
        <w:rPr>
          <w:rFonts w:ascii="黑体" w:eastAsia="黑体"/>
          <w:color w:val="000000"/>
          <w:shd w:val="clear" w:color="auto" w:fill="D9D9D9"/>
        </w:rPr>
        <w:t>家庭共享年免赔额余额 ＝ 年免赔额 － 该次治疗前保险期间内家庭共</w:t>
      </w:r>
      <w:r>
        <w:rPr>
          <w:rFonts w:ascii="黑体" w:eastAsia="黑体"/>
          <w:color w:val="000000"/>
          <w:spacing w:val="80"/>
          <w:w w:val="150"/>
          <w:shd w:val="clear" w:color="auto" w:fill="D9D9D9"/>
        </w:rPr>
        <w:t xml:space="preserve">                                    </w:t>
      </w:r>
      <w:r>
        <w:rPr>
          <w:rFonts w:ascii="黑体" w:eastAsia="黑体"/>
          <w:color w:val="000000"/>
          <w:spacing w:val="-2"/>
          <w:shd w:val="clear" w:color="auto" w:fill="D9D9D9"/>
        </w:rPr>
        <w:t>享免赔额范围内各被保险人累计已免赔的金额</w:t>
      </w:r>
    </w:p>
    <w:p>
      <w:pPr>
        <w:pStyle w:val="4"/>
        <w:spacing w:before="9"/>
        <w:rPr>
          <w:rFonts w:ascii="黑体"/>
          <w:sz w:val="18"/>
        </w:rPr>
      </w:pPr>
    </w:p>
    <w:p>
      <w:pPr>
        <w:pStyle w:val="4"/>
        <w:spacing w:before="72" w:line="278" w:lineRule="auto"/>
        <w:ind w:left="3260" w:right="234"/>
        <w:jc w:val="both"/>
        <w:rPr>
          <w:rFonts w:ascii="黑体" w:eastAsia="黑体"/>
        </w:rPr>
      </w:pPr>
      <w:r>
        <w:rPr>
          <w:rFonts w:ascii="黑体" w:eastAsia="黑体"/>
          <w:color w:val="000000"/>
          <w:spacing w:val="-2"/>
          <w:shd w:val="clear" w:color="auto" w:fill="D9D9D9"/>
        </w:rPr>
        <w:t>上述同时投保的任一被保险人确诊罹患本合同约定的重大疾病，该被保险</w:t>
      </w:r>
      <w:r>
        <w:rPr>
          <w:rFonts w:ascii="黑体" w:eastAsia="黑体"/>
          <w:color w:val="000000"/>
          <w:spacing w:val="40"/>
          <w:shd w:val="clear" w:color="auto" w:fill="D9D9D9"/>
        </w:rPr>
        <w:t xml:space="preserve"> </w:t>
      </w:r>
      <w:r>
        <w:rPr>
          <w:rFonts w:ascii="黑体" w:eastAsia="黑体"/>
          <w:color w:val="000000"/>
          <w:spacing w:val="-2"/>
          <w:shd w:val="clear" w:color="auto" w:fill="D9D9D9"/>
        </w:rPr>
        <w:t>人因治疗该重大疾病所发生的符合本合同约定的全部医疗费用，不参与上述家庭共享年免赔额余额的计算。</w:t>
      </w:r>
    </w:p>
    <w:p>
      <w:pPr>
        <w:pStyle w:val="4"/>
        <w:spacing w:before="4"/>
        <w:rPr>
          <w:rFonts w:ascii="黑体"/>
          <w:sz w:val="24"/>
        </w:rPr>
      </w:pPr>
    </w:p>
    <w:p>
      <w:pPr>
        <w:pStyle w:val="4"/>
        <w:tabs>
          <w:tab w:val="left" w:pos="3260"/>
        </w:tabs>
        <w:spacing w:line="278" w:lineRule="auto"/>
        <w:ind w:left="3260" w:right="234" w:hanging="2065"/>
        <w:rPr>
          <w:rFonts w:ascii="黑体" w:eastAsia="黑体"/>
        </w:rPr>
      </w:pPr>
      <w:r>
        <w:rPr>
          <w:b/>
          <w:spacing w:val="-4"/>
        </w:rPr>
        <w:t>赔付比例</w:t>
      </w:r>
      <w:r>
        <w:rPr>
          <w:b/>
        </w:rPr>
        <w:tab/>
      </w:r>
      <w:r>
        <w:rPr>
          <w:spacing w:val="-2"/>
        </w:rPr>
        <w:t>一、一般医疗保险金（不含质子重离子医疗费用</w:t>
      </w:r>
      <w:r>
        <w:rPr>
          <w:spacing w:val="-104"/>
        </w:rPr>
        <w:t>）</w:t>
      </w:r>
      <w:r>
        <w:rPr>
          <w:spacing w:val="-2"/>
        </w:rPr>
        <w:t>、重大疾病医疗保险金的赔付比例：</w:t>
      </w:r>
      <w:r>
        <w:rPr>
          <w:rFonts w:ascii="黑体" w:eastAsia="黑体"/>
          <w:color w:val="000000"/>
          <w:spacing w:val="-2"/>
          <w:shd w:val="clear" w:color="auto" w:fill="D9D9D9"/>
        </w:rPr>
        <w:t>如果被保险人以有基本医疗保险、城乡居民大病保险或公</w:t>
      </w:r>
      <w:r>
        <w:rPr>
          <w:rFonts w:ascii="黑体" w:eastAsia="黑体"/>
          <w:color w:val="000000"/>
          <w:spacing w:val="-10"/>
          <w:shd w:val="clear" w:color="auto" w:fill="D9D9D9"/>
        </w:rPr>
        <w:t>费</w:t>
      </w:r>
    </w:p>
    <w:p>
      <w:pPr>
        <w:pStyle w:val="4"/>
        <w:spacing w:before="4"/>
        <w:rPr>
          <w:rFonts w:ascii="黑体"/>
          <w:sz w:val="14"/>
        </w:rPr>
      </w:pPr>
      <w:r>
        <w:drawing>
          <wp:anchor distT="0" distB="0" distL="0" distR="0" simplePos="0" relativeHeight="251660288" behindDoc="0" locked="0" layoutInCell="1" allowOverlap="1">
            <wp:simplePos x="0" y="0"/>
            <wp:positionH relativeFrom="page">
              <wp:posOffset>685800</wp:posOffset>
            </wp:positionH>
            <wp:positionV relativeFrom="paragraph">
              <wp:posOffset>131445</wp:posOffset>
            </wp:positionV>
            <wp:extent cx="1828800" cy="6350"/>
            <wp:effectExtent l="0" t="0" r="0" b="0"/>
            <wp:wrapTopAndBottom/>
            <wp:docPr id="4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9.png"/>
                    <pic:cNvPicPr>
                      <a:picLocks noChangeAspect="1"/>
                    </pic:cNvPicPr>
                  </pic:nvPicPr>
                  <pic:blipFill>
                    <a:blip r:embed="rId24" cstate="print"/>
                    <a:stretch>
                      <a:fillRect/>
                    </a:stretch>
                  </pic:blipFill>
                  <pic:spPr>
                    <a:xfrm>
                      <a:off x="0" y="0"/>
                      <a:ext cx="1828800" cy="6095"/>
                    </a:xfrm>
                    <a:prstGeom prst="rect">
                      <a:avLst/>
                    </a:prstGeom>
                  </pic:spPr>
                </pic:pic>
              </a:graphicData>
            </a:graphic>
          </wp:anchor>
        </w:drawing>
      </w:r>
    </w:p>
    <w:p>
      <w:pPr>
        <w:spacing w:before="156" w:line="312" w:lineRule="auto"/>
        <w:ind w:left="445" w:right="232" w:hanging="226"/>
        <w:jc w:val="both"/>
        <w:rPr>
          <w:sz w:val="18"/>
        </w:rPr>
      </w:pPr>
      <w:r>
        <w:rPr>
          <w:rFonts w:ascii="Times New Roman" w:eastAsia="Times New Roman"/>
          <w:position w:val="6"/>
          <w:sz w:val="12"/>
        </w:rPr>
        <w:t>17</w:t>
      </w:r>
      <w:r>
        <w:rPr>
          <w:rFonts w:ascii="Times New Roman" w:eastAsia="Times New Roman"/>
          <w:spacing w:val="13"/>
          <w:position w:val="6"/>
          <w:sz w:val="12"/>
        </w:rPr>
        <w:t xml:space="preserve"> </w:t>
      </w:r>
      <w:r>
        <w:rPr>
          <w:b/>
          <w:sz w:val="18"/>
        </w:rPr>
        <w:t>一次治疗</w:t>
      </w:r>
      <w:r>
        <w:rPr>
          <w:sz w:val="18"/>
        </w:rPr>
        <w:t>包括一次住院治疗（自办理入院手续之日起至办理出院手续之日止</w:t>
      </w:r>
      <w:r>
        <w:rPr>
          <w:spacing w:val="-92"/>
          <w:sz w:val="18"/>
        </w:rPr>
        <w:t>）</w:t>
      </w:r>
      <w:r>
        <w:rPr>
          <w:sz w:val="18"/>
        </w:rPr>
        <w:t>、一次特殊门诊治疗（</w:t>
      </w:r>
      <w:r>
        <w:rPr>
          <w:spacing w:val="-4"/>
          <w:sz w:val="18"/>
        </w:rPr>
        <w:t xml:space="preserve">当日零时起至 </w:t>
      </w:r>
      <w:r>
        <w:rPr>
          <w:rFonts w:ascii="Times New Roman" w:eastAsia="Times New Roman"/>
          <w:sz w:val="18"/>
        </w:rPr>
        <w:t>24</w:t>
      </w:r>
      <w:r>
        <w:rPr>
          <w:rFonts w:ascii="Times New Roman" w:eastAsia="Times New Roman"/>
          <w:spacing w:val="-8"/>
          <w:sz w:val="18"/>
        </w:rPr>
        <w:t xml:space="preserve"> </w:t>
      </w:r>
      <w:r>
        <w:rPr>
          <w:sz w:val="18"/>
        </w:rPr>
        <w:t>时止</w:t>
      </w:r>
      <w:r>
        <w:rPr>
          <w:spacing w:val="-2"/>
          <w:sz w:val="18"/>
        </w:rPr>
        <w:t>在同一医院的同一科室接受特殊门诊治疗</w:t>
      </w:r>
      <w:r>
        <w:rPr>
          <w:spacing w:val="-92"/>
          <w:sz w:val="18"/>
        </w:rPr>
        <w:t>）</w:t>
      </w:r>
      <w:r>
        <w:rPr>
          <w:spacing w:val="-2"/>
          <w:sz w:val="18"/>
        </w:rPr>
        <w:t>、一次住院前后门急诊治疗和一次门急诊手术治疗。</w:t>
      </w:r>
    </w:p>
    <w:p>
      <w:pPr>
        <w:spacing w:before="0"/>
        <w:ind w:left="220" w:right="0" w:firstLine="0"/>
        <w:jc w:val="both"/>
        <w:rPr>
          <w:sz w:val="18"/>
        </w:rPr>
      </w:pPr>
      <w:r>
        <w:rPr>
          <w:rFonts w:ascii="Times New Roman" w:eastAsia="Times New Roman"/>
          <w:sz w:val="18"/>
          <w:vertAlign w:val="superscript"/>
        </w:rPr>
        <w:t>18</w:t>
      </w:r>
      <w:r>
        <w:rPr>
          <w:rFonts w:ascii="Times New Roman" w:eastAsia="Times New Roman"/>
          <w:spacing w:val="79"/>
          <w:w w:val="150"/>
          <w:sz w:val="18"/>
          <w:vertAlign w:val="baseline"/>
        </w:rPr>
        <w:t xml:space="preserve"> </w:t>
      </w:r>
      <w:r>
        <w:rPr>
          <w:b/>
          <w:sz w:val="18"/>
          <w:vertAlign w:val="baseline"/>
        </w:rPr>
        <w:t>基本医疗保险</w:t>
      </w:r>
      <w:r>
        <w:rPr>
          <w:spacing w:val="-1"/>
          <w:sz w:val="18"/>
          <w:vertAlign w:val="baseline"/>
        </w:rPr>
        <w:t>包括职工基本医疗保险、城镇居民基本医疗保险、新型农村合作医疗保险等政府举办的基本医疗保障项目。</w:t>
      </w:r>
    </w:p>
    <w:p>
      <w:pPr>
        <w:spacing w:before="70" w:line="312" w:lineRule="auto"/>
        <w:ind w:left="445" w:right="236" w:hanging="226"/>
        <w:jc w:val="both"/>
        <w:rPr>
          <w:sz w:val="18"/>
        </w:rPr>
      </w:pPr>
      <w:r>
        <w:rPr>
          <w:rFonts w:ascii="Times New Roman" w:eastAsia="Times New Roman"/>
          <w:sz w:val="18"/>
          <w:vertAlign w:val="superscript"/>
        </w:rPr>
        <w:t>19</w:t>
      </w:r>
      <w:r>
        <w:rPr>
          <w:rFonts w:ascii="Times New Roman" w:eastAsia="Times New Roman"/>
          <w:sz w:val="18"/>
          <w:vertAlign w:val="baseline"/>
        </w:rPr>
        <w:t xml:space="preserve"> </w:t>
      </w:r>
      <w:r>
        <w:rPr>
          <w:b/>
          <w:sz w:val="18"/>
          <w:vertAlign w:val="baseline"/>
        </w:rPr>
        <w:t>城乡居民大病保险</w:t>
      </w:r>
      <w:r>
        <w:rPr>
          <w:sz w:val="18"/>
          <w:vertAlign w:val="baseline"/>
        </w:rPr>
        <w:t>是基本医疗保障制度的拓展和延伸，是对大病患者发生的高额医疗费用给予进一步保障的一项新的制度</w:t>
      </w:r>
      <w:r>
        <w:rPr>
          <w:spacing w:val="-2"/>
          <w:sz w:val="18"/>
          <w:vertAlign w:val="baseline"/>
        </w:rPr>
        <w:t>性安排。主要保障对象为城镇居民基本医疗保险、新型农村合作医疗或者城乡居民基本医疗保险的参保人以及部分地区建立的覆盖城镇职工、城镇居民、农村居民的统一的大病保险制度参保人。</w:t>
      </w:r>
    </w:p>
    <w:p>
      <w:pPr>
        <w:spacing w:before="0" w:line="312" w:lineRule="auto"/>
        <w:ind w:left="445" w:right="237" w:hanging="226"/>
        <w:jc w:val="both"/>
        <w:rPr>
          <w:sz w:val="18"/>
        </w:rPr>
      </w:pPr>
      <w:r>
        <w:rPr>
          <w:rFonts w:ascii="Times New Roman" w:eastAsia="Times New Roman"/>
          <w:sz w:val="18"/>
          <w:vertAlign w:val="superscript"/>
        </w:rPr>
        <w:t>20</w:t>
      </w:r>
      <w:r>
        <w:rPr>
          <w:rFonts w:ascii="Times New Roman" w:eastAsia="Times New Roman"/>
          <w:sz w:val="18"/>
          <w:vertAlign w:val="baseline"/>
        </w:rPr>
        <w:t xml:space="preserve"> </w:t>
      </w:r>
      <w:r>
        <w:rPr>
          <w:b/>
          <w:sz w:val="18"/>
          <w:vertAlign w:val="baseline"/>
        </w:rPr>
        <w:t>公费医疗</w:t>
      </w:r>
      <w:r>
        <w:rPr>
          <w:sz w:val="18"/>
          <w:vertAlign w:val="baseline"/>
        </w:rPr>
        <w:t>指国家为保障国家工作人员而实行的、通过医疗卫生部门按规定向享受人员提供免费医疗及预防服务的一项社保</w:t>
      </w:r>
      <w:r>
        <w:rPr>
          <w:spacing w:val="-4"/>
          <w:sz w:val="18"/>
          <w:vertAlign w:val="baseline"/>
        </w:rPr>
        <w:t>制度。</w:t>
      </w:r>
    </w:p>
    <w:p>
      <w:pPr>
        <w:spacing w:before="0"/>
        <w:ind w:left="220" w:right="0" w:firstLine="0"/>
        <w:jc w:val="both"/>
        <w:rPr>
          <w:sz w:val="18"/>
        </w:rPr>
      </w:pPr>
      <w:r>
        <w:rPr>
          <w:rFonts w:ascii="Times New Roman" w:eastAsia="Times New Roman"/>
          <w:sz w:val="18"/>
          <w:vertAlign w:val="superscript"/>
        </w:rPr>
        <w:t>21</w:t>
      </w:r>
      <w:r>
        <w:rPr>
          <w:rFonts w:ascii="Times New Roman" w:eastAsia="Times New Roman"/>
          <w:spacing w:val="41"/>
          <w:sz w:val="18"/>
          <w:vertAlign w:val="baseline"/>
        </w:rPr>
        <w:t xml:space="preserve"> </w:t>
      </w:r>
      <w:r>
        <w:rPr>
          <w:b/>
          <w:sz w:val="18"/>
          <w:vertAlign w:val="baseline"/>
        </w:rPr>
        <w:t>其他途径</w:t>
      </w:r>
      <w:r>
        <w:rPr>
          <w:sz w:val="18"/>
          <w:vertAlign w:val="baseline"/>
        </w:rPr>
        <w:t>指保险公司（含本公司</w:t>
      </w:r>
      <w:r>
        <w:rPr>
          <w:spacing w:val="-92"/>
          <w:sz w:val="18"/>
          <w:vertAlign w:val="baseline"/>
        </w:rPr>
        <w:t>）</w:t>
      </w:r>
      <w:r>
        <w:rPr>
          <w:spacing w:val="-1"/>
          <w:sz w:val="18"/>
          <w:vertAlign w:val="baseline"/>
        </w:rPr>
        <w:t>、工作单位、互助基金或对其承担民事责任的第三人。</w:t>
      </w:r>
    </w:p>
    <w:p>
      <w:pPr>
        <w:spacing w:after="0"/>
        <w:jc w:val="both"/>
        <w:rPr>
          <w:sz w:val="18"/>
        </w:rPr>
        <w:sectPr>
          <w:pgSz w:w="11910" w:h="16840"/>
          <w:pgMar w:top="1580" w:right="840" w:bottom="280" w:left="860" w:header="720" w:footer="720" w:gutter="0"/>
          <w:cols w:space="720" w:num="1"/>
        </w:sectPr>
      </w:pPr>
    </w:p>
    <w:p>
      <w:pPr>
        <w:pStyle w:val="4"/>
        <w:spacing w:before="45"/>
        <w:ind w:left="3260"/>
      </w:pPr>
      <w:r>
        <w:drawing>
          <wp:anchor distT="0" distB="0" distL="0" distR="0" simplePos="0" relativeHeight="251683840" behindDoc="1" locked="0" layoutInCell="1" allowOverlap="1">
            <wp:simplePos x="0" y="0"/>
            <wp:positionH relativeFrom="page">
              <wp:posOffset>2616200</wp:posOffset>
            </wp:positionH>
            <wp:positionV relativeFrom="paragraph">
              <wp:posOffset>-171450</wp:posOffset>
            </wp:positionV>
            <wp:extent cx="4125595" cy="173990"/>
            <wp:effectExtent l="0" t="0" r="0" b="0"/>
            <wp:wrapNone/>
            <wp:docPr id="4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1.png"/>
                    <pic:cNvPicPr>
                      <a:picLocks noChangeAspect="1"/>
                    </pic:cNvPicPr>
                  </pic:nvPicPr>
                  <pic:blipFill>
                    <a:blip r:embed="rId26" cstate="print"/>
                    <a:stretch>
                      <a:fillRect/>
                    </a:stretch>
                  </pic:blipFill>
                  <pic:spPr>
                    <a:xfrm>
                      <a:off x="0" y="0"/>
                      <a:ext cx="4125468" cy="173736"/>
                    </a:xfrm>
                    <a:prstGeom prst="rect">
                      <a:avLst/>
                    </a:prstGeom>
                  </pic:spPr>
                </pic:pic>
              </a:graphicData>
            </a:graphic>
          </wp:anchor>
        </w:drawing>
      </w:r>
      <w:r>
        <w:pict>
          <v:shape id="docshape28" o:spid="_x0000_s1053" o:spt="202" type="#_x0000_t202" style="position:absolute;left:0pt;margin-left:206pt;margin-top:-13.5pt;height:13.7pt;width:335.45pt;mso-position-horizontal-relative:page;z-index:-251632640;mso-width-relative:page;mso-height-relative:page;" filled="f" stroked="f" coordsize="21600,21600">
            <v:path/>
            <v:fill on="f" focussize="0,0"/>
            <v:stroke on="f" joinstyle="miter"/>
            <v:imagedata o:title=""/>
            <o:lock v:ext="edit"/>
            <v:textbox inset="0mm,0mm,0mm,0mm">
              <w:txbxContent>
                <w:p>
                  <w:pPr>
                    <w:pStyle w:val="4"/>
                    <w:spacing w:before="3"/>
                  </w:pPr>
                  <w:r>
                    <w:rPr>
                      <w:rFonts w:ascii="黑体" w:eastAsia="黑体"/>
                      <w:spacing w:val="-2"/>
                    </w:rPr>
                    <w:t>保险或公费医疗获得对该次治疗的医疗费用补偿，则赔付比例为 60%；</w:t>
                  </w:r>
                  <w:r>
                    <w:rPr>
                      <w:spacing w:val="-10"/>
                    </w:rPr>
                    <w:t>其</w:t>
                  </w:r>
                </w:p>
              </w:txbxContent>
            </v:textbox>
          </v:shape>
        </w:pict>
      </w:r>
      <w:r>
        <w:pict>
          <v:shape id="docshape29" o:spid="_x0000_s1054" o:spt="202" type="#_x0000_t202" style="position:absolute;left:0pt;margin-left:206pt;margin-top:-29.1pt;height:13.7pt;width:335.2pt;mso-position-horizontal-relative:page;z-index:-251631616;mso-width-relative:page;mso-height-relative:page;" fillcolor="#D9D9D9" filled="t" stroked="f" coordsize="21600,21600">
            <v:path/>
            <v:fill on="t" focussize="0,0"/>
            <v:stroke on="f" joinstyle="miter"/>
            <v:imagedata o:title=""/>
            <o:lock v:ext="edit"/>
            <v:textbox inset="0mm,0mm,0mm,0mm">
              <w:txbxContent>
                <w:p>
                  <w:pPr>
                    <w:pStyle w:val="4"/>
                    <w:spacing w:before="3"/>
                    <w:ind w:right="-15"/>
                    <w:rPr>
                      <w:rFonts w:ascii="黑体" w:eastAsia="黑体"/>
                      <w:color w:val="000000"/>
                    </w:rPr>
                  </w:pPr>
                  <w:r>
                    <w:rPr>
                      <w:rFonts w:ascii="黑体" w:eastAsia="黑体"/>
                      <w:color w:val="000000"/>
                      <w:spacing w:val="-3"/>
                    </w:rPr>
                    <w:t>医疗的身份投保本保险，但申请理赔时未从基本医疗保险、城乡居民大病</w:t>
                  </w:r>
                </w:p>
              </w:txbxContent>
            </v:textbox>
          </v:shape>
        </w:pict>
      </w:r>
      <w:r>
        <w:rPr>
          <w:spacing w:val="-6"/>
        </w:rPr>
        <w:t xml:space="preserve">他情形下，赔付比例为 </w:t>
      </w:r>
      <w:r>
        <w:rPr>
          <w:rFonts w:ascii="Times New Roman" w:eastAsia="Times New Roman"/>
          <w:spacing w:val="-2"/>
        </w:rPr>
        <w:t>100%</w:t>
      </w:r>
      <w:r>
        <w:rPr>
          <w:spacing w:val="-10"/>
        </w:rPr>
        <w:t>。</w:t>
      </w:r>
    </w:p>
    <w:p>
      <w:pPr>
        <w:pStyle w:val="4"/>
        <w:spacing w:before="43"/>
        <w:ind w:left="3260"/>
      </w:pPr>
      <w:r>
        <w:rPr>
          <w:spacing w:val="-4"/>
        </w:rPr>
        <w:t xml:space="preserve">二、质子重离子医疗费用的赔付比例为 </w:t>
      </w:r>
      <w:r>
        <w:rPr>
          <w:rFonts w:ascii="Times New Roman" w:eastAsia="Times New Roman"/>
          <w:spacing w:val="-2"/>
        </w:rPr>
        <w:t>100%</w:t>
      </w:r>
      <w:r>
        <w:rPr>
          <w:spacing w:val="-10"/>
        </w:rPr>
        <w:t>。</w:t>
      </w:r>
    </w:p>
    <w:p>
      <w:pPr>
        <w:pStyle w:val="4"/>
        <w:spacing w:before="43"/>
        <w:ind w:left="3260"/>
        <w:rPr>
          <w:rFonts w:ascii="黑体" w:eastAsia="黑体"/>
        </w:rPr>
      </w:pPr>
      <w:r>
        <w:rPr>
          <w:spacing w:val="-2"/>
        </w:rPr>
        <w:t>三、</w:t>
      </w:r>
      <w:r>
        <w:rPr>
          <w:rFonts w:ascii="黑体" w:eastAsia="黑体"/>
          <w:color w:val="000000"/>
          <w:spacing w:val="-4"/>
          <w:shd w:val="clear" w:color="auto" w:fill="D9D9D9"/>
        </w:rPr>
        <w:t xml:space="preserve">恶性肿瘤赴德国或日本医疗保险金的赔付比例为 </w:t>
      </w:r>
      <w:r>
        <w:rPr>
          <w:rFonts w:ascii="黑体" w:eastAsia="黑体"/>
          <w:color w:val="000000"/>
          <w:spacing w:val="-2"/>
          <w:shd w:val="clear" w:color="auto" w:fill="D9D9D9"/>
        </w:rPr>
        <w:t>70</w:t>
      </w:r>
      <w:r>
        <w:rPr>
          <w:rFonts w:ascii="黑体" w:eastAsia="黑体"/>
          <w:color w:val="000000"/>
          <w:spacing w:val="-6"/>
          <w:shd w:val="clear" w:color="auto" w:fill="D9D9D9"/>
        </w:rPr>
        <w:t>%。</w:t>
      </w:r>
    </w:p>
    <w:p>
      <w:pPr>
        <w:pStyle w:val="4"/>
        <w:spacing w:before="9"/>
        <w:rPr>
          <w:rFonts w:ascii="黑体"/>
          <w:sz w:val="27"/>
        </w:rPr>
      </w:pPr>
    </w:p>
    <w:p>
      <w:pPr>
        <w:pStyle w:val="4"/>
        <w:tabs>
          <w:tab w:val="left" w:pos="3260"/>
        </w:tabs>
        <w:spacing w:line="278" w:lineRule="auto"/>
        <w:ind w:left="3260" w:right="234" w:hanging="2065"/>
        <w:jc w:val="both"/>
        <w:rPr>
          <w:rFonts w:ascii="黑体" w:eastAsia="黑体"/>
        </w:rPr>
      </w:pPr>
      <w:r>
        <w:rPr>
          <w:b/>
          <w:w w:val="100"/>
        </w:rPr>
        <w:t>补偿原则</w:t>
      </w:r>
      <w:r>
        <w:rPr>
          <w:b/>
        </w:rPr>
        <w:tab/>
      </w:r>
      <w:r>
        <w:rPr>
          <w:rFonts w:ascii="黑体" w:eastAsia="黑体"/>
          <w:color w:val="000000"/>
          <w:w w:val="100"/>
          <w:shd w:val="clear" w:color="auto" w:fill="D9D9D9"/>
        </w:rPr>
        <w:t>被保</w:t>
      </w:r>
      <w:r>
        <w:rPr>
          <w:rFonts w:ascii="黑体" w:eastAsia="黑体"/>
          <w:color w:val="000000"/>
          <w:spacing w:val="-3"/>
          <w:w w:val="100"/>
          <w:shd w:val="clear" w:color="auto" w:fill="D9D9D9"/>
        </w:rPr>
        <w:t>险</w:t>
      </w:r>
      <w:r>
        <w:rPr>
          <w:rFonts w:ascii="黑体" w:eastAsia="黑体"/>
          <w:color w:val="000000"/>
          <w:w w:val="100"/>
          <w:shd w:val="clear" w:color="auto" w:fill="D9D9D9"/>
        </w:rPr>
        <w:t>人</w:t>
      </w:r>
      <w:r>
        <w:rPr>
          <w:rFonts w:ascii="黑体" w:eastAsia="黑体"/>
          <w:color w:val="000000"/>
          <w:spacing w:val="-3"/>
          <w:w w:val="100"/>
          <w:shd w:val="clear" w:color="auto" w:fill="D9D9D9"/>
        </w:rPr>
        <w:t>已</w:t>
      </w:r>
      <w:r>
        <w:rPr>
          <w:rFonts w:ascii="黑体" w:eastAsia="黑体"/>
          <w:color w:val="000000"/>
          <w:spacing w:val="-1"/>
          <w:w w:val="100"/>
          <w:shd w:val="clear" w:color="auto" w:fill="D9D9D9"/>
        </w:rPr>
        <w:t>从</w:t>
      </w:r>
      <w:r>
        <w:rPr>
          <w:rFonts w:ascii="黑体" w:eastAsia="黑体"/>
          <w:color w:val="000000"/>
          <w:spacing w:val="-3"/>
          <w:w w:val="100"/>
          <w:shd w:val="clear" w:color="auto" w:fill="D9D9D9"/>
        </w:rPr>
        <w:t>基</w:t>
      </w:r>
      <w:r>
        <w:rPr>
          <w:rFonts w:ascii="黑体" w:eastAsia="黑体"/>
          <w:color w:val="000000"/>
          <w:w w:val="100"/>
          <w:shd w:val="clear" w:color="auto" w:fill="D9D9D9"/>
        </w:rPr>
        <w:t>本</w:t>
      </w:r>
      <w:r>
        <w:rPr>
          <w:rFonts w:ascii="黑体" w:eastAsia="黑体"/>
          <w:color w:val="000000"/>
          <w:spacing w:val="-3"/>
          <w:w w:val="100"/>
          <w:shd w:val="clear" w:color="auto" w:fill="D9D9D9"/>
        </w:rPr>
        <w:t>医</w:t>
      </w:r>
      <w:r>
        <w:rPr>
          <w:rFonts w:ascii="黑体" w:eastAsia="黑体"/>
          <w:color w:val="000000"/>
          <w:w w:val="100"/>
          <w:shd w:val="clear" w:color="auto" w:fill="D9D9D9"/>
        </w:rPr>
        <w:t>疗</w:t>
      </w:r>
      <w:r>
        <w:rPr>
          <w:rFonts w:ascii="黑体" w:eastAsia="黑体"/>
          <w:color w:val="000000"/>
          <w:spacing w:val="-3"/>
          <w:w w:val="100"/>
          <w:shd w:val="clear" w:color="auto" w:fill="D9D9D9"/>
        </w:rPr>
        <w:t>保</w:t>
      </w:r>
      <w:r>
        <w:rPr>
          <w:rFonts w:ascii="黑体" w:eastAsia="黑体"/>
          <w:color w:val="000000"/>
          <w:w w:val="100"/>
          <w:shd w:val="clear" w:color="auto" w:fill="D9D9D9"/>
        </w:rPr>
        <w:t>险</w:t>
      </w:r>
      <w:r>
        <w:rPr>
          <w:rFonts w:ascii="黑体" w:eastAsia="黑体"/>
          <w:color w:val="000000"/>
          <w:spacing w:val="-17"/>
          <w:w w:val="100"/>
          <w:shd w:val="clear" w:color="auto" w:fill="D9D9D9"/>
        </w:rPr>
        <w:t>、</w:t>
      </w:r>
      <w:r>
        <w:rPr>
          <w:rFonts w:ascii="黑体" w:eastAsia="黑体"/>
          <w:color w:val="000000"/>
          <w:spacing w:val="-3"/>
          <w:w w:val="100"/>
          <w:shd w:val="clear" w:color="auto" w:fill="D9D9D9"/>
        </w:rPr>
        <w:t>城</w:t>
      </w:r>
      <w:r>
        <w:rPr>
          <w:rFonts w:ascii="黑体" w:eastAsia="黑体"/>
          <w:color w:val="000000"/>
          <w:w w:val="100"/>
          <w:shd w:val="clear" w:color="auto" w:fill="D9D9D9"/>
        </w:rPr>
        <w:t>乡</w:t>
      </w:r>
      <w:r>
        <w:rPr>
          <w:rFonts w:ascii="黑体" w:eastAsia="黑体"/>
          <w:color w:val="000000"/>
          <w:spacing w:val="-3"/>
          <w:w w:val="100"/>
          <w:shd w:val="clear" w:color="auto" w:fill="D9D9D9"/>
        </w:rPr>
        <w:t>居</w:t>
      </w:r>
      <w:r>
        <w:rPr>
          <w:rFonts w:ascii="黑体" w:eastAsia="黑体"/>
          <w:color w:val="000000"/>
          <w:w w:val="100"/>
          <w:shd w:val="clear" w:color="auto" w:fill="D9D9D9"/>
        </w:rPr>
        <w:t>民</w:t>
      </w:r>
      <w:r>
        <w:rPr>
          <w:rFonts w:ascii="黑体" w:eastAsia="黑体"/>
          <w:color w:val="000000"/>
          <w:spacing w:val="-3"/>
          <w:w w:val="100"/>
          <w:shd w:val="clear" w:color="auto" w:fill="D9D9D9"/>
        </w:rPr>
        <w:t>大</w:t>
      </w:r>
      <w:r>
        <w:rPr>
          <w:rFonts w:ascii="黑体" w:eastAsia="黑体"/>
          <w:color w:val="000000"/>
          <w:w w:val="100"/>
          <w:shd w:val="clear" w:color="auto" w:fill="D9D9D9"/>
        </w:rPr>
        <w:t>病</w:t>
      </w:r>
      <w:r>
        <w:rPr>
          <w:rFonts w:ascii="黑体" w:eastAsia="黑体"/>
          <w:color w:val="000000"/>
          <w:spacing w:val="-3"/>
          <w:w w:val="100"/>
          <w:shd w:val="clear" w:color="auto" w:fill="D9D9D9"/>
        </w:rPr>
        <w:t>保</w:t>
      </w:r>
      <w:r>
        <w:rPr>
          <w:rFonts w:ascii="黑体" w:eastAsia="黑体"/>
          <w:color w:val="000000"/>
          <w:spacing w:val="-1"/>
          <w:w w:val="100"/>
          <w:shd w:val="clear" w:color="auto" w:fill="D9D9D9"/>
        </w:rPr>
        <w:t>险</w:t>
      </w:r>
      <w:r>
        <w:rPr>
          <w:rFonts w:ascii="黑体" w:eastAsia="黑体"/>
          <w:color w:val="000000"/>
          <w:spacing w:val="-3"/>
          <w:w w:val="100"/>
          <w:shd w:val="clear" w:color="auto" w:fill="D9D9D9"/>
        </w:rPr>
        <w:t>或</w:t>
      </w:r>
      <w:r>
        <w:rPr>
          <w:rFonts w:ascii="黑体" w:eastAsia="黑体"/>
          <w:color w:val="000000"/>
          <w:w w:val="100"/>
          <w:shd w:val="clear" w:color="auto" w:fill="D9D9D9"/>
        </w:rPr>
        <w:t>公费</w:t>
      </w:r>
      <w:r>
        <w:rPr>
          <w:rFonts w:ascii="黑体" w:eastAsia="黑体"/>
          <w:color w:val="000000"/>
          <w:spacing w:val="-3"/>
          <w:w w:val="100"/>
          <w:shd w:val="clear" w:color="auto" w:fill="D9D9D9"/>
        </w:rPr>
        <w:t>医</w:t>
      </w:r>
      <w:r>
        <w:rPr>
          <w:rFonts w:ascii="黑体" w:eastAsia="黑体"/>
          <w:color w:val="000000"/>
          <w:w w:val="100"/>
          <w:shd w:val="clear" w:color="auto" w:fill="D9D9D9"/>
        </w:rPr>
        <w:t>疗</w:t>
      </w:r>
      <w:r>
        <w:rPr>
          <w:rFonts w:ascii="黑体" w:eastAsia="黑体"/>
          <w:color w:val="000000"/>
          <w:spacing w:val="-3"/>
          <w:w w:val="100"/>
          <w:shd w:val="clear" w:color="auto" w:fill="D9D9D9"/>
        </w:rPr>
        <w:t>及</w:t>
      </w:r>
      <w:r>
        <w:rPr>
          <w:rFonts w:ascii="黑体" w:eastAsia="黑体"/>
          <w:color w:val="000000"/>
          <w:w w:val="100"/>
          <w:shd w:val="clear" w:color="auto" w:fill="D9D9D9"/>
        </w:rPr>
        <w:t>其</w:t>
      </w:r>
      <w:r>
        <w:rPr>
          <w:rFonts w:ascii="黑体" w:eastAsia="黑体"/>
          <w:color w:val="000000"/>
          <w:spacing w:val="-3"/>
          <w:w w:val="100"/>
          <w:shd w:val="clear" w:color="auto" w:fill="D9D9D9"/>
        </w:rPr>
        <w:t>他</w:t>
      </w:r>
      <w:r>
        <w:rPr>
          <w:rFonts w:ascii="黑体" w:eastAsia="黑体"/>
          <w:color w:val="000000"/>
          <w:w w:val="100"/>
          <w:shd w:val="clear" w:color="auto" w:fill="D9D9D9"/>
        </w:rPr>
        <w:t>途</w:t>
      </w:r>
      <w:r>
        <w:rPr>
          <w:rFonts w:ascii="黑体" w:eastAsia="黑体"/>
          <w:color w:val="000000"/>
          <w:spacing w:val="-3"/>
          <w:w w:val="100"/>
          <w:shd w:val="clear" w:color="auto" w:fill="D9D9D9"/>
        </w:rPr>
        <w:t>径</w:t>
      </w:r>
      <w:r>
        <w:rPr>
          <w:rFonts w:ascii="黑体" w:eastAsia="黑体"/>
          <w:color w:val="000000"/>
          <w:w w:val="100"/>
          <w:shd w:val="clear" w:color="auto" w:fill="D9D9D9"/>
        </w:rPr>
        <w:t>获                                                                                                                            得医</w:t>
      </w:r>
      <w:r>
        <w:rPr>
          <w:rFonts w:ascii="黑体" w:eastAsia="黑体"/>
          <w:color w:val="000000"/>
          <w:spacing w:val="-3"/>
          <w:w w:val="100"/>
          <w:shd w:val="clear" w:color="auto" w:fill="D9D9D9"/>
        </w:rPr>
        <w:t>疗</w:t>
      </w:r>
      <w:r>
        <w:rPr>
          <w:rFonts w:ascii="黑体" w:eastAsia="黑体"/>
          <w:color w:val="000000"/>
          <w:w w:val="100"/>
          <w:shd w:val="clear" w:color="auto" w:fill="D9D9D9"/>
        </w:rPr>
        <w:t>费</w:t>
      </w:r>
      <w:r>
        <w:rPr>
          <w:rFonts w:ascii="黑体" w:eastAsia="黑体"/>
          <w:color w:val="000000"/>
          <w:spacing w:val="-3"/>
          <w:w w:val="100"/>
          <w:shd w:val="clear" w:color="auto" w:fill="D9D9D9"/>
        </w:rPr>
        <w:t>用</w:t>
      </w:r>
      <w:r>
        <w:rPr>
          <w:rFonts w:ascii="黑体" w:eastAsia="黑体"/>
          <w:color w:val="000000"/>
          <w:w w:val="100"/>
          <w:shd w:val="clear" w:color="auto" w:fill="D9D9D9"/>
        </w:rPr>
        <w:t>补</w:t>
      </w:r>
      <w:r>
        <w:rPr>
          <w:rFonts w:ascii="黑体" w:eastAsia="黑体"/>
          <w:color w:val="000000"/>
          <w:spacing w:val="-3"/>
          <w:w w:val="100"/>
          <w:shd w:val="clear" w:color="auto" w:fill="D9D9D9"/>
        </w:rPr>
        <w:t>偿</w:t>
      </w:r>
      <w:r>
        <w:rPr>
          <w:rFonts w:ascii="黑体" w:eastAsia="黑体"/>
          <w:color w:val="000000"/>
          <w:w w:val="100"/>
          <w:shd w:val="clear" w:color="auto" w:fill="D9D9D9"/>
        </w:rPr>
        <w:t>或</w:t>
      </w:r>
      <w:r>
        <w:rPr>
          <w:rFonts w:ascii="黑体" w:eastAsia="黑体"/>
          <w:color w:val="000000"/>
          <w:spacing w:val="-3"/>
          <w:w w:val="100"/>
          <w:shd w:val="clear" w:color="auto" w:fill="D9D9D9"/>
        </w:rPr>
        <w:t>赔</w:t>
      </w:r>
      <w:r>
        <w:rPr>
          <w:rFonts w:ascii="黑体" w:eastAsia="黑体"/>
          <w:color w:val="000000"/>
          <w:w w:val="100"/>
          <w:shd w:val="clear" w:color="auto" w:fill="D9D9D9"/>
        </w:rPr>
        <w:t>偿</w:t>
      </w:r>
      <w:r>
        <w:rPr>
          <w:rFonts w:ascii="黑体" w:eastAsia="黑体"/>
          <w:color w:val="000000"/>
          <w:spacing w:val="-3"/>
          <w:w w:val="100"/>
          <w:shd w:val="clear" w:color="auto" w:fill="D9D9D9"/>
        </w:rPr>
        <w:t>的</w:t>
      </w:r>
      <w:r>
        <w:rPr>
          <w:rFonts w:ascii="黑体" w:eastAsia="黑体"/>
          <w:color w:val="000000"/>
          <w:spacing w:val="-8"/>
          <w:w w:val="100"/>
          <w:shd w:val="clear" w:color="auto" w:fill="D9D9D9"/>
        </w:rPr>
        <w:t>，</w:t>
      </w:r>
      <w:r>
        <w:rPr>
          <w:rFonts w:ascii="黑体" w:eastAsia="黑体"/>
          <w:color w:val="000000"/>
          <w:spacing w:val="-3"/>
          <w:w w:val="100"/>
          <w:shd w:val="clear" w:color="auto" w:fill="D9D9D9"/>
        </w:rPr>
        <w:t>我</w:t>
      </w:r>
      <w:r>
        <w:rPr>
          <w:rFonts w:ascii="黑体" w:eastAsia="黑体"/>
          <w:color w:val="000000"/>
          <w:w w:val="100"/>
          <w:shd w:val="clear" w:color="auto" w:fill="D9D9D9"/>
        </w:rPr>
        <w:t>们</w:t>
      </w:r>
      <w:r>
        <w:rPr>
          <w:rFonts w:ascii="黑体" w:eastAsia="黑体"/>
          <w:color w:val="000000"/>
          <w:spacing w:val="-3"/>
          <w:w w:val="100"/>
          <w:shd w:val="clear" w:color="auto" w:fill="D9D9D9"/>
        </w:rPr>
        <w:t>将</w:t>
      </w:r>
      <w:r>
        <w:rPr>
          <w:rFonts w:ascii="黑体" w:eastAsia="黑体"/>
          <w:color w:val="000000"/>
          <w:w w:val="100"/>
          <w:shd w:val="clear" w:color="auto" w:fill="D9D9D9"/>
        </w:rPr>
        <w:t>按</w:t>
      </w:r>
      <w:r>
        <w:rPr>
          <w:rFonts w:ascii="黑体" w:eastAsia="黑体"/>
          <w:color w:val="000000"/>
          <w:spacing w:val="-3"/>
          <w:w w:val="100"/>
          <w:shd w:val="clear" w:color="auto" w:fill="D9D9D9"/>
        </w:rPr>
        <w:t>上</w:t>
      </w:r>
      <w:r>
        <w:rPr>
          <w:rFonts w:ascii="黑体" w:eastAsia="黑体"/>
          <w:color w:val="000000"/>
          <w:w w:val="100"/>
          <w:shd w:val="clear" w:color="auto" w:fill="D9D9D9"/>
        </w:rPr>
        <w:t>述</w:t>
      </w:r>
      <w:r>
        <w:rPr>
          <w:rFonts w:ascii="黑体" w:eastAsia="黑体"/>
          <w:color w:val="000000"/>
          <w:spacing w:val="-3"/>
          <w:w w:val="100"/>
          <w:shd w:val="clear" w:color="auto" w:fill="D9D9D9"/>
        </w:rPr>
        <w:t>约</w:t>
      </w:r>
      <w:r>
        <w:rPr>
          <w:rFonts w:ascii="黑体" w:eastAsia="黑体"/>
          <w:color w:val="000000"/>
          <w:w w:val="100"/>
          <w:shd w:val="clear" w:color="auto" w:fill="D9D9D9"/>
        </w:rPr>
        <w:t>定</w:t>
      </w:r>
      <w:r>
        <w:rPr>
          <w:rFonts w:ascii="黑体" w:eastAsia="黑体"/>
          <w:color w:val="000000"/>
          <w:spacing w:val="-3"/>
          <w:w w:val="100"/>
          <w:shd w:val="clear" w:color="auto" w:fill="D9D9D9"/>
        </w:rPr>
        <w:t>计算</w:t>
      </w:r>
      <w:r>
        <w:rPr>
          <w:rFonts w:ascii="黑体" w:eastAsia="黑体"/>
          <w:color w:val="000000"/>
          <w:w w:val="100"/>
          <w:shd w:val="clear" w:color="auto" w:fill="D9D9D9"/>
        </w:rPr>
        <w:t>并给</w:t>
      </w:r>
      <w:r>
        <w:rPr>
          <w:rFonts w:ascii="黑体" w:eastAsia="黑体"/>
          <w:color w:val="000000"/>
          <w:spacing w:val="-3"/>
          <w:w w:val="100"/>
          <w:shd w:val="clear" w:color="auto" w:fill="D9D9D9"/>
        </w:rPr>
        <w:t>付</w:t>
      </w:r>
      <w:r>
        <w:rPr>
          <w:rFonts w:ascii="黑体" w:eastAsia="黑体"/>
          <w:color w:val="000000"/>
          <w:w w:val="100"/>
          <w:shd w:val="clear" w:color="auto" w:fill="D9D9D9"/>
        </w:rPr>
        <w:t>保</w:t>
      </w:r>
      <w:r>
        <w:rPr>
          <w:rFonts w:ascii="黑体" w:eastAsia="黑体"/>
          <w:color w:val="000000"/>
          <w:spacing w:val="-3"/>
          <w:w w:val="100"/>
          <w:shd w:val="clear" w:color="auto" w:fill="D9D9D9"/>
        </w:rPr>
        <w:t>险金</w:t>
      </w:r>
      <w:r>
        <w:rPr>
          <w:rFonts w:ascii="黑体" w:eastAsia="黑体"/>
          <w:color w:val="000000"/>
          <w:spacing w:val="-8"/>
          <w:w w:val="100"/>
          <w:shd w:val="clear" w:color="auto" w:fill="D9D9D9"/>
        </w:rPr>
        <w:t>，</w:t>
      </w:r>
      <w:r>
        <w:rPr>
          <w:rFonts w:ascii="黑体" w:eastAsia="黑体"/>
          <w:color w:val="000000"/>
          <w:spacing w:val="-3"/>
          <w:w w:val="100"/>
          <w:shd w:val="clear" w:color="auto" w:fill="D9D9D9"/>
        </w:rPr>
        <w:t>且</w:t>
      </w:r>
      <w:r>
        <w:rPr>
          <w:rFonts w:ascii="黑体" w:eastAsia="黑体"/>
          <w:color w:val="000000"/>
          <w:w w:val="100"/>
          <w:shd w:val="clear" w:color="auto" w:fill="D9D9D9"/>
        </w:rPr>
        <w:t>最高</w:t>
      </w:r>
      <w:r>
        <w:rPr>
          <w:rFonts w:ascii="黑体" w:eastAsia="黑体"/>
          <w:color w:val="000000"/>
          <w:spacing w:val="4"/>
          <w:w w:val="100"/>
          <w:shd w:val="clear" w:color="auto" w:fill="D9D9D9"/>
        </w:rPr>
        <w:t>给</w:t>
      </w:r>
      <w:r>
        <w:rPr>
          <w:rFonts w:ascii="黑体" w:eastAsia="黑体"/>
          <w:color w:val="000000"/>
          <w:spacing w:val="7"/>
          <w:w w:val="100"/>
          <w:shd w:val="clear" w:color="auto" w:fill="D9D9D9"/>
        </w:rPr>
        <w:t>付</w:t>
      </w:r>
      <w:r>
        <w:rPr>
          <w:rFonts w:ascii="黑体" w:eastAsia="黑体"/>
          <w:color w:val="000000"/>
          <w:spacing w:val="4"/>
          <w:w w:val="100"/>
          <w:shd w:val="clear" w:color="auto" w:fill="D9D9D9"/>
        </w:rPr>
        <w:t>金额不超</w:t>
      </w:r>
      <w:r>
        <w:rPr>
          <w:rFonts w:ascii="黑体" w:eastAsia="黑体"/>
          <w:color w:val="000000"/>
          <w:spacing w:val="7"/>
          <w:w w:val="100"/>
          <w:shd w:val="clear" w:color="auto" w:fill="D9D9D9"/>
        </w:rPr>
        <w:t>过</w:t>
      </w:r>
      <w:r>
        <w:rPr>
          <w:rFonts w:ascii="黑体" w:eastAsia="黑体"/>
          <w:color w:val="000000"/>
          <w:spacing w:val="4"/>
          <w:w w:val="100"/>
          <w:shd w:val="clear" w:color="auto" w:fill="D9D9D9"/>
        </w:rPr>
        <w:t>被保险人实</w:t>
      </w:r>
      <w:r>
        <w:rPr>
          <w:rFonts w:ascii="黑体" w:eastAsia="黑体"/>
          <w:color w:val="000000"/>
          <w:spacing w:val="7"/>
          <w:w w:val="100"/>
          <w:shd w:val="clear" w:color="auto" w:fill="D9D9D9"/>
        </w:rPr>
        <w:t>际</w:t>
      </w:r>
      <w:r>
        <w:rPr>
          <w:rFonts w:ascii="黑体" w:eastAsia="黑体"/>
          <w:color w:val="000000"/>
          <w:spacing w:val="4"/>
          <w:w w:val="100"/>
          <w:shd w:val="clear" w:color="auto" w:fill="D9D9D9"/>
        </w:rPr>
        <w:t>发生的必</w:t>
      </w:r>
      <w:r>
        <w:rPr>
          <w:rFonts w:ascii="黑体" w:eastAsia="黑体"/>
          <w:color w:val="000000"/>
          <w:spacing w:val="7"/>
          <w:w w:val="100"/>
          <w:shd w:val="clear" w:color="auto" w:fill="D9D9D9"/>
        </w:rPr>
        <w:t>需</w:t>
      </w:r>
      <w:r>
        <w:rPr>
          <w:rFonts w:ascii="黑体" w:eastAsia="黑体"/>
          <w:color w:val="000000"/>
          <w:spacing w:val="4"/>
          <w:w w:val="100"/>
          <w:shd w:val="clear" w:color="auto" w:fill="D9D9D9"/>
        </w:rPr>
        <w:t>且合理的医</w:t>
      </w:r>
      <w:r>
        <w:rPr>
          <w:rFonts w:ascii="黑体" w:eastAsia="黑体"/>
          <w:color w:val="000000"/>
          <w:spacing w:val="7"/>
          <w:w w:val="100"/>
          <w:shd w:val="clear" w:color="auto" w:fill="D9D9D9"/>
        </w:rPr>
        <w:t>疗</w:t>
      </w:r>
      <w:r>
        <w:rPr>
          <w:rFonts w:ascii="黑体" w:eastAsia="黑体"/>
          <w:color w:val="000000"/>
          <w:spacing w:val="4"/>
          <w:w w:val="100"/>
          <w:shd w:val="clear" w:color="auto" w:fill="D9D9D9"/>
        </w:rPr>
        <w:t>费用扣除</w:t>
      </w:r>
      <w:r>
        <w:rPr>
          <w:rFonts w:ascii="黑体" w:eastAsia="黑体"/>
          <w:color w:val="000000"/>
          <w:spacing w:val="7"/>
          <w:w w:val="100"/>
          <w:shd w:val="clear" w:color="auto" w:fill="D9D9D9"/>
        </w:rPr>
        <w:t>其</w:t>
      </w:r>
      <w:r>
        <w:rPr>
          <w:rFonts w:ascii="黑体" w:eastAsia="黑体"/>
          <w:color w:val="000000"/>
          <w:spacing w:val="4"/>
          <w:w w:val="100"/>
          <w:shd w:val="clear" w:color="auto" w:fill="D9D9D9"/>
        </w:rPr>
        <w:t>所</w:t>
      </w:r>
      <w:r>
        <w:rPr>
          <w:rFonts w:ascii="黑体" w:eastAsia="黑体"/>
          <w:color w:val="000000"/>
          <w:w w:val="100"/>
          <w:shd w:val="clear" w:color="auto" w:fill="D9D9D9"/>
        </w:rPr>
        <w:t>获补偿</w:t>
      </w:r>
      <w:r>
        <w:rPr>
          <w:rFonts w:ascii="黑体" w:eastAsia="黑体"/>
          <w:color w:val="000000"/>
          <w:spacing w:val="-3"/>
          <w:w w:val="100"/>
          <w:shd w:val="clear" w:color="auto" w:fill="D9D9D9"/>
        </w:rPr>
        <w:t>或</w:t>
      </w:r>
      <w:r>
        <w:rPr>
          <w:rFonts w:ascii="黑体" w:eastAsia="黑体"/>
          <w:color w:val="000000"/>
          <w:w w:val="100"/>
          <w:shd w:val="clear" w:color="auto" w:fill="D9D9D9"/>
        </w:rPr>
        <w:t>赔</w:t>
      </w:r>
      <w:r>
        <w:rPr>
          <w:rFonts w:ascii="黑体" w:eastAsia="黑体"/>
          <w:color w:val="000000"/>
          <w:spacing w:val="-3"/>
          <w:w w:val="100"/>
          <w:shd w:val="clear" w:color="auto" w:fill="D9D9D9"/>
        </w:rPr>
        <w:t>偿</w:t>
      </w:r>
      <w:r>
        <w:rPr>
          <w:rFonts w:ascii="黑体" w:eastAsia="黑体"/>
          <w:color w:val="000000"/>
          <w:w w:val="100"/>
          <w:shd w:val="clear" w:color="auto" w:fill="D9D9D9"/>
        </w:rPr>
        <w:t>后</w:t>
      </w:r>
      <w:r>
        <w:rPr>
          <w:rFonts w:ascii="黑体" w:eastAsia="黑体"/>
          <w:color w:val="000000"/>
          <w:spacing w:val="-3"/>
          <w:w w:val="100"/>
          <w:shd w:val="clear" w:color="auto" w:fill="D9D9D9"/>
        </w:rPr>
        <w:t>的</w:t>
      </w:r>
      <w:r>
        <w:rPr>
          <w:rFonts w:ascii="黑体" w:eastAsia="黑体"/>
          <w:color w:val="000000"/>
          <w:w w:val="100"/>
          <w:shd w:val="clear" w:color="auto" w:fill="D9D9D9"/>
        </w:rPr>
        <w:t>余</w:t>
      </w:r>
      <w:r>
        <w:rPr>
          <w:rFonts w:ascii="黑体" w:eastAsia="黑体"/>
          <w:color w:val="000000"/>
          <w:spacing w:val="-3"/>
          <w:w w:val="100"/>
          <w:shd w:val="clear" w:color="auto" w:fill="D9D9D9"/>
        </w:rPr>
        <w:t>额</w:t>
      </w:r>
      <w:r>
        <w:rPr>
          <w:rFonts w:ascii="黑体" w:eastAsia="黑体"/>
          <w:color w:val="000000"/>
          <w:w w:val="100"/>
          <w:shd w:val="clear" w:color="auto" w:fill="D9D9D9"/>
        </w:rPr>
        <w:t>。</w:t>
      </w:r>
    </w:p>
    <w:p>
      <w:pPr>
        <w:pStyle w:val="4"/>
        <w:spacing w:before="4"/>
        <w:rPr>
          <w:rFonts w:ascii="黑体"/>
          <w:sz w:val="24"/>
        </w:rPr>
      </w:pPr>
    </w:p>
    <w:p>
      <w:pPr>
        <w:pStyle w:val="8"/>
        <w:numPr>
          <w:ilvl w:val="1"/>
          <w:numId w:val="2"/>
        </w:numPr>
        <w:tabs>
          <w:tab w:val="left" w:pos="1196"/>
          <w:tab w:val="left" w:pos="1197"/>
          <w:tab w:val="left" w:pos="3260"/>
        </w:tabs>
        <w:spacing w:before="0" w:after="0" w:line="240" w:lineRule="auto"/>
        <w:ind w:left="1196" w:right="0" w:hanging="977"/>
        <w:jc w:val="left"/>
        <w:rPr>
          <w:sz w:val="21"/>
        </w:rPr>
      </w:pPr>
      <w:r>
        <w:rPr>
          <w:b/>
          <w:sz w:val="21"/>
        </w:rPr>
        <w:t>保险期间和续</w:t>
      </w:r>
      <w:r>
        <w:rPr>
          <w:b/>
          <w:spacing w:val="-10"/>
          <w:sz w:val="21"/>
        </w:rPr>
        <w:t>保</w:t>
      </w:r>
      <w:r>
        <w:rPr>
          <w:b/>
          <w:sz w:val="21"/>
        </w:rPr>
        <w:tab/>
      </w:r>
      <w:r>
        <w:rPr>
          <w:spacing w:val="-2"/>
          <w:sz w:val="21"/>
        </w:rPr>
        <w:t>本合同的保险期间为</w:t>
      </w:r>
      <w:r>
        <w:rPr>
          <w:spacing w:val="-47"/>
          <w:sz w:val="21"/>
        </w:rPr>
        <w:t xml:space="preserve"> </w:t>
      </w:r>
      <w:r>
        <w:rPr>
          <w:rFonts w:ascii="Times New Roman" w:eastAsia="Times New Roman"/>
          <w:spacing w:val="-2"/>
          <w:sz w:val="21"/>
        </w:rPr>
        <w:t>1</w:t>
      </w:r>
      <w:r>
        <w:rPr>
          <w:rFonts w:ascii="Times New Roman" w:eastAsia="Times New Roman"/>
          <w:spacing w:val="7"/>
          <w:sz w:val="21"/>
        </w:rPr>
        <w:t xml:space="preserve"> </w:t>
      </w:r>
      <w:r>
        <w:rPr>
          <w:spacing w:val="-2"/>
          <w:sz w:val="21"/>
        </w:rPr>
        <w:t>年，并在保险单上载明</w:t>
      </w:r>
      <w:r>
        <w:rPr>
          <w:spacing w:val="-10"/>
          <w:sz w:val="21"/>
        </w:rPr>
        <w:t>。</w:t>
      </w:r>
    </w:p>
    <w:p>
      <w:pPr>
        <w:pStyle w:val="4"/>
        <w:spacing w:before="9"/>
        <w:rPr>
          <w:sz w:val="27"/>
        </w:rPr>
      </w:pPr>
    </w:p>
    <w:p>
      <w:pPr>
        <w:pStyle w:val="4"/>
        <w:spacing w:line="278" w:lineRule="auto"/>
        <w:ind w:left="3260" w:right="128"/>
      </w:pPr>
      <w:r>
        <w:rPr>
          <w:spacing w:val="-2"/>
        </w:rPr>
        <w:t>每个保险期间届满时，如您申请续保，则我们会审核被保险人是否符合续保条件，如果我们审核同意，您需按续保时被保险人年龄对应的费率向我</w:t>
      </w:r>
      <w:r>
        <w:rPr>
          <w:spacing w:val="-12"/>
        </w:rPr>
        <w:t xml:space="preserve">们支付续保保险费，我们将为您办理相关续保手续，本合同延续有效 </w:t>
      </w:r>
      <w:r>
        <w:t>1</w:t>
      </w:r>
      <w:r>
        <w:rPr>
          <w:spacing w:val="-18"/>
        </w:rPr>
        <w:t xml:space="preserve"> 年。</w:t>
      </w:r>
      <w:r>
        <w:rPr>
          <w:spacing w:val="-2"/>
        </w:rPr>
        <w:t>审核后如果我们不接受续保，本合同效力终止。</w:t>
      </w:r>
    </w:p>
    <w:p>
      <w:pPr>
        <w:pStyle w:val="4"/>
        <w:spacing w:before="4"/>
        <w:rPr>
          <w:sz w:val="24"/>
        </w:rPr>
      </w:pPr>
    </w:p>
    <w:p>
      <w:pPr>
        <w:pStyle w:val="4"/>
        <w:spacing w:line="278" w:lineRule="auto"/>
        <w:ind w:left="3260" w:right="234"/>
      </w:pPr>
      <w:r>
        <w:rPr>
          <w:spacing w:val="-6"/>
        </w:rPr>
        <w:t xml:space="preserve">如被保险人的年龄超过 </w:t>
      </w:r>
      <w:r>
        <w:rPr>
          <w:spacing w:val="-2"/>
        </w:rPr>
        <w:t>100</w:t>
      </w:r>
      <w:r>
        <w:rPr>
          <w:spacing w:val="-9"/>
        </w:rPr>
        <w:t xml:space="preserve"> 周岁或本产品统一停售，我们将不再接受您的</w:t>
      </w:r>
      <w:r>
        <w:rPr>
          <w:spacing w:val="-2"/>
        </w:rPr>
        <w:t>续保申请。</w:t>
      </w:r>
    </w:p>
    <w:p>
      <w:pPr>
        <w:pStyle w:val="4"/>
        <w:spacing w:before="3"/>
        <w:rPr>
          <w:sz w:val="25"/>
        </w:rPr>
      </w:pPr>
    </w:p>
    <w:p>
      <w:pPr>
        <w:tabs>
          <w:tab w:val="left" w:pos="1196"/>
        </w:tabs>
        <w:spacing w:before="0"/>
        <w:ind w:left="220" w:right="0" w:firstLine="0"/>
        <w:jc w:val="left"/>
        <w:rPr>
          <w:sz w:val="21"/>
        </w:rPr>
      </w:pPr>
      <w:r>
        <w:rPr>
          <w:rFonts w:ascii="Wingdings 2" w:hAnsi="Wingdings 2" w:eastAsia="Wingdings 2"/>
          <w:b/>
          <w:spacing w:val="-10"/>
          <w:position w:val="-5"/>
          <w:sz w:val="52"/>
        </w:rPr>
        <w:t></w:t>
      </w:r>
      <w:r>
        <w:rPr>
          <w:rFonts w:ascii="Times New Roman" w:hAnsi="Times New Roman" w:eastAsia="Times New Roman"/>
          <w:position w:val="-5"/>
          <w:sz w:val="52"/>
        </w:rPr>
        <w:tab/>
      </w:r>
      <w:r>
        <w:rPr>
          <w:b/>
          <w:spacing w:val="-2"/>
          <w:sz w:val="28"/>
        </w:rPr>
        <w:t>我们不给付的情形</w:t>
      </w:r>
      <w:r>
        <w:rPr>
          <w:b/>
          <w:spacing w:val="9"/>
          <w:sz w:val="28"/>
        </w:rPr>
        <w:t xml:space="preserve"> </w:t>
      </w:r>
      <w:r>
        <w:rPr>
          <w:spacing w:val="-3"/>
          <w:sz w:val="21"/>
        </w:rPr>
        <w:t>这部分讲的是在哪些情形下，我们不予给付。</w:t>
      </w:r>
    </w:p>
    <w:p>
      <w:pPr>
        <w:pStyle w:val="8"/>
        <w:numPr>
          <w:ilvl w:val="1"/>
          <w:numId w:val="7"/>
        </w:numPr>
        <w:tabs>
          <w:tab w:val="left" w:pos="1196"/>
          <w:tab w:val="left" w:pos="1197"/>
          <w:tab w:val="left" w:pos="3260"/>
        </w:tabs>
        <w:spacing w:before="376" w:after="0" w:line="240" w:lineRule="auto"/>
        <w:ind w:left="1196" w:right="0" w:hanging="977"/>
        <w:jc w:val="left"/>
        <w:rPr>
          <w:rFonts w:ascii="黑体" w:eastAsia="黑体"/>
          <w:sz w:val="21"/>
        </w:rPr>
      </w:pPr>
      <w:r>
        <w:rPr>
          <w:b/>
          <w:sz w:val="21"/>
        </w:rPr>
        <w:t>责任免</w:t>
      </w:r>
      <w:r>
        <w:rPr>
          <w:b/>
          <w:spacing w:val="-10"/>
          <w:sz w:val="21"/>
        </w:rPr>
        <w:t>除</w:t>
      </w:r>
      <w:r>
        <w:rPr>
          <w:b/>
          <w:sz w:val="21"/>
        </w:rPr>
        <w:tab/>
      </w:r>
      <w:r>
        <w:rPr>
          <w:rFonts w:ascii="黑体" w:eastAsia="黑体"/>
          <w:color w:val="000000"/>
          <w:spacing w:val="-2"/>
          <w:sz w:val="21"/>
          <w:shd w:val="clear" w:color="auto" w:fill="D9D9D9"/>
        </w:rPr>
        <w:t>因下列情形之一，导致被保险人医疗费用支出的，我们不承担给付保险</w:t>
      </w:r>
      <w:r>
        <w:rPr>
          <w:rFonts w:ascii="黑体" w:eastAsia="黑体"/>
          <w:color w:val="000000"/>
          <w:spacing w:val="-10"/>
          <w:sz w:val="21"/>
          <w:shd w:val="clear" w:color="auto" w:fill="D9D9D9"/>
        </w:rPr>
        <w:t>金</w:t>
      </w:r>
    </w:p>
    <w:p>
      <w:pPr>
        <w:pStyle w:val="4"/>
        <w:spacing w:before="43"/>
        <w:ind w:left="3260"/>
        <w:rPr>
          <w:rFonts w:ascii="黑体" w:eastAsia="黑体"/>
        </w:rPr>
      </w:pPr>
      <w:r>
        <w:rPr>
          <w:rFonts w:ascii="黑体" w:eastAsia="黑体"/>
          <w:color w:val="000000"/>
          <w:spacing w:val="-4"/>
          <w:shd w:val="clear" w:color="auto" w:fill="D9D9D9"/>
        </w:rPr>
        <w:t>的责任：</w:t>
      </w:r>
    </w:p>
    <w:p>
      <w:pPr>
        <w:pStyle w:val="8"/>
        <w:numPr>
          <w:ilvl w:val="2"/>
          <w:numId w:val="7"/>
        </w:numPr>
        <w:tabs>
          <w:tab w:val="left" w:pos="3892"/>
        </w:tabs>
        <w:spacing w:before="43" w:after="0" w:line="240" w:lineRule="auto"/>
        <w:ind w:left="3892" w:right="0" w:hanging="632"/>
        <w:jc w:val="left"/>
        <w:rPr>
          <w:rFonts w:ascii="黑体" w:eastAsia="黑体"/>
          <w:sz w:val="21"/>
        </w:rPr>
      </w:pPr>
      <w:r>
        <w:rPr>
          <w:rFonts w:ascii="黑体" w:eastAsia="黑体"/>
          <w:color w:val="000000"/>
          <w:spacing w:val="-3"/>
          <w:sz w:val="21"/>
          <w:shd w:val="clear" w:color="auto" w:fill="D9D9D9"/>
        </w:rPr>
        <w:t>投保人对被保险人的故意杀害、故意伤害；</w:t>
      </w:r>
    </w:p>
    <w:p>
      <w:pPr>
        <w:pStyle w:val="8"/>
        <w:numPr>
          <w:ilvl w:val="2"/>
          <w:numId w:val="7"/>
        </w:numPr>
        <w:tabs>
          <w:tab w:val="left" w:pos="3892"/>
        </w:tabs>
        <w:spacing w:before="43" w:after="0" w:line="240" w:lineRule="auto"/>
        <w:ind w:left="3892" w:right="0" w:hanging="632"/>
        <w:jc w:val="left"/>
        <w:rPr>
          <w:rFonts w:ascii="黑体" w:eastAsia="黑体"/>
          <w:sz w:val="21"/>
        </w:rPr>
      </w:pPr>
      <w:r>
        <w:rPr>
          <w:rFonts w:ascii="黑体" w:eastAsia="黑体"/>
          <w:color w:val="000000"/>
          <w:spacing w:val="-3"/>
          <w:sz w:val="21"/>
          <w:shd w:val="clear" w:color="auto" w:fill="D9D9D9"/>
        </w:rPr>
        <w:t>被保险人故意自伤、故意犯罪或抗拒依法采取的刑事强制措施；</w:t>
      </w:r>
    </w:p>
    <w:p>
      <w:pPr>
        <w:pStyle w:val="8"/>
        <w:numPr>
          <w:ilvl w:val="2"/>
          <w:numId w:val="7"/>
        </w:numPr>
        <w:tabs>
          <w:tab w:val="left" w:pos="3892"/>
        </w:tabs>
        <w:spacing w:before="43" w:after="0" w:line="240" w:lineRule="auto"/>
        <w:ind w:left="3892" w:right="0" w:hanging="632"/>
        <w:jc w:val="left"/>
        <w:rPr>
          <w:rFonts w:ascii="黑体" w:eastAsia="黑体"/>
          <w:sz w:val="21"/>
        </w:rPr>
      </w:pPr>
      <w:r>
        <w:rPr>
          <w:rFonts w:ascii="黑体" w:eastAsia="黑体"/>
          <w:color w:val="000000"/>
          <w:spacing w:val="-3"/>
          <w:sz w:val="21"/>
          <w:shd w:val="clear" w:color="auto" w:fill="D9D9D9"/>
        </w:rPr>
        <w:t>被保险人自杀，但被保险人自杀时为无民事行为能力人的除外；</w:t>
      </w:r>
    </w:p>
    <w:p>
      <w:pPr>
        <w:pStyle w:val="8"/>
        <w:numPr>
          <w:ilvl w:val="2"/>
          <w:numId w:val="7"/>
        </w:numPr>
        <w:tabs>
          <w:tab w:val="left" w:pos="3892"/>
        </w:tabs>
        <w:spacing w:before="33" w:after="0" w:line="240" w:lineRule="auto"/>
        <w:ind w:left="3892" w:right="0" w:hanging="632"/>
        <w:jc w:val="left"/>
        <w:rPr>
          <w:rFonts w:ascii="黑体" w:eastAsia="黑体"/>
          <w:sz w:val="21"/>
        </w:rPr>
      </w:pPr>
      <w:r>
        <w:rPr>
          <w:rFonts w:ascii="黑体" w:eastAsia="黑体"/>
          <w:color w:val="000000"/>
          <w:spacing w:val="-2"/>
          <w:sz w:val="21"/>
          <w:shd w:val="clear" w:color="auto" w:fill="D9D9D9"/>
        </w:rPr>
        <w:t>被保险人殴斗、醉酒，主动吸食或注射</w:t>
      </w:r>
      <w:r>
        <w:rPr>
          <w:rFonts w:hint="eastAsia" w:ascii="黑体" w:eastAsia="黑体"/>
          <w:b/>
          <w:color w:val="000000"/>
          <w:spacing w:val="-2"/>
          <w:sz w:val="21"/>
          <w:shd w:val="clear" w:color="auto" w:fill="D9D9D9"/>
        </w:rPr>
        <w:t>毒品</w:t>
      </w:r>
      <w:r>
        <w:rPr>
          <w:rFonts w:hint="eastAsia" w:ascii="黑体" w:eastAsia="黑体"/>
          <w:b/>
          <w:color w:val="000000"/>
          <w:spacing w:val="-5"/>
          <w:position w:val="11"/>
          <w:sz w:val="11"/>
        </w:rPr>
        <w:t>22</w:t>
      </w:r>
      <w:r>
        <w:rPr>
          <w:rFonts w:ascii="黑体" w:eastAsia="黑体"/>
          <w:color w:val="000000"/>
          <w:spacing w:val="-5"/>
          <w:sz w:val="21"/>
          <w:shd w:val="clear" w:color="auto" w:fill="D9D9D9"/>
        </w:rPr>
        <w:t>；</w:t>
      </w:r>
    </w:p>
    <w:p>
      <w:pPr>
        <w:pStyle w:val="4"/>
        <w:rPr>
          <w:rFonts w:ascii="黑体"/>
          <w:sz w:val="20"/>
        </w:rPr>
      </w:pPr>
    </w:p>
    <w:p>
      <w:pPr>
        <w:pStyle w:val="4"/>
        <w:rPr>
          <w:rFonts w:ascii="黑体"/>
          <w:sz w:val="20"/>
        </w:rPr>
      </w:pPr>
    </w:p>
    <w:p>
      <w:pPr>
        <w:pStyle w:val="4"/>
        <w:rPr>
          <w:rFonts w:ascii="黑体"/>
          <w:sz w:val="20"/>
        </w:rPr>
      </w:pPr>
    </w:p>
    <w:p>
      <w:pPr>
        <w:pStyle w:val="4"/>
        <w:rPr>
          <w:rFonts w:ascii="黑体"/>
          <w:sz w:val="20"/>
        </w:rPr>
      </w:pPr>
    </w:p>
    <w:p>
      <w:pPr>
        <w:pStyle w:val="4"/>
        <w:rPr>
          <w:rFonts w:ascii="黑体"/>
          <w:sz w:val="20"/>
        </w:rPr>
      </w:pPr>
    </w:p>
    <w:p>
      <w:pPr>
        <w:pStyle w:val="4"/>
        <w:rPr>
          <w:rFonts w:ascii="黑体"/>
          <w:sz w:val="20"/>
        </w:rPr>
      </w:pPr>
    </w:p>
    <w:p>
      <w:pPr>
        <w:pStyle w:val="4"/>
        <w:rPr>
          <w:rFonts w:ascii="黑体"/>
          <w:sz w:val="20"/>
        </w:rPr>
      </w:pPr>
    </w:p>
    <w:p>
      <w:pPr>
        <w:pStyle w:val="4"/>
        <w:rPr>
          <w:rFonts w:ascii="黑体"/>
          <w:sz w:val="20"/>
        </w:rPr>
      </w:pPr>
    </w:p>
    <w:p>
      <w:pPr>
        <w:pStyle w:val="4"/>
        <w:rPr>
          <w:rFonts w:ascii="黑体"/>
          <w:sz w:val="20"/>
        </w:rPr>
      </w:pPr>
    </w:p>
    <w:p>
      <w:pPr>
        <w:pStyle w:val="4"/>
        <w:rPr>
          <w:rFonts w:ascii="黑体"/>
          <w:sz w:val="20"/>
        </w:rPr>
      </w:pPr>
    </w:p>
    <w:p>
      <w:pPr>
        <w:pStyle w:val="4"/>
        <w:rPr>
          <w:rFonts w:ascii="黑体"/>
          <w:sz w:val="20"/>
        </w:rPr>
      </w:pPr>
    </w:p>
    <w:p>
      <w:pPr>
        <w:pStyle w:val="4"/>
        <w:rPr>
          <w:rFonts w:ascii="黑体"/>
          <w:sz w:val="20"/>
        </w:rPr>
      </w:pPr>
    </w:p>
    <w:p>
      <w:pPr>
        <w:pStyle w:val="4"/>
        <w:rPr>
          <w:rFonts w:ascii="黑体"/>
          <w:sz w:val="20"/>
        </w:rPr>
      </w:pPr>
    </w:p>
    <w:p>
      <w:pPr>
        <w:pStyle w:val="4"/>
        <w:spacing w:before="12"/>
        <w:rPr>
          <w:rFonts w:ascii="黑体"/>
          <w:sz w:val="19"/>
        </w:rPr>
      </w:pPr>
      <w:r>
        <w:drawing>
          <wp:anchor distT="0" distB="0" distL="0" distR="0" simplePos="0" relativeHeight="251660288" behindDoc="0" locked="0" layoutInCell="1" allowOverlap="1">
            <wp:simplePos x="0" y="0"/>
            <wp:positionH relativeFrom="page">
              <wp:posOffset>685800</wp:posOffset>
            </wp:positionH>
            <wp:positionV relativeFrom="paragraph">
              <wp:posOffset>177165</wp:posOffset>
            </wp:positionV>
            <wp:extent cx="1828800" cy="6350"/>
            <wp:effectExtent l="0" t="0" r="0" b="0"/>
            <wp:wrapTopAndBottom/>
            <wp:docPr id="5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9.png"/>
                    <pic:cNvPicPr>
                      <a:picLocks noChangeAspect="1"/>
                    </pic:cNvPicPr>
                  </pic:nvPicPr>
                  <pic:blipFill>
                    <a:blip r:embed="rId24" cstate="print"/>
                    <a:stretch>
                      <a:fillRect/>
                    </a:stretch>
                  </pic:blipFill>
                  <pic:spPr>
                    <a:xfrm>
                      <a:off x="0" y="0"/>
                      <a:ext cx="1828799" cy="6096"/>
                    </a:xfrm>
                    <a:prstGeom prst="rect">
                      <a:avLst/>
                    </a:prstGeom>
                  </pic:spPr>
                </pic:pic>
              </a:graphicData>
            </a:graphic>
          </wp:anchor>
        </w:drawing>
      </w:r>
    </w:p>
    <w:p>
      <w:pPr>
        <w:spacing w:before="156" w:line="312" w:lineRule="auto"/>
        <w:ind w:left="445" w:right="232" w:hanging="226"/>
        <w:jc w:val="both"/>
        <w:rPr>
          <w:sz w:val="18"/>
        </w:rPr>
      </w:pPr>
      <w:r>
        <w:rPr>
          <w:rFonts w:ascii="Times New Roman" w:eastAsia="Times New Roman"/>
          <w:sz w:val="18"/>
          <w:vertAlign w:val="superscript"/>
        </w:rPr>
        <w:t>22</w:t>
      </w:r>
      <w:r>
        <w:rPr>
          <w:rFonts w:ascii="Times New Roman" w:eastAsia="Times New Roman"/>
          <w:sz w:val="18"/>
          <w:vertAlign w:val="baseline"/>
        </w:rPr>
        <w:t xml:space="preserve"> </w:t>
      </w:r>
      <w:r>
        <w:rPr>
          <w:b/>
          <w:sz w:val="18"/>
          <w:vertAlign w:val="baseline"/>
        </w:rPr>
        <w:t>毒品</w:t>
      </w:r>
      <w:r>
        <w:rPr>
          <w:sz w:val="18"/>
          <w:vertAlign w:val="baseline"/>
        </w:rPr>
        <w:t>指《中华人民共和国刑法》规定的鸦片、海洛因、甲基苯丙胺（冰毒</w:t>
      </w:r>
      <w:r>
        <w:rPr>
          <w:spacing w:val="-89"/>
          <w:sz w:val="18"/>
          <w:vertAlign w:val="baseline"/>
        </w:rPr>
        <w:t>）</w:t>
      </w:r>
      <w:r>
        <w:rPr>
          <w:sz w:val="18"/>
          <w:vertAlign w:val="baseline"/>
        </w:rPr>
        <w:t>、吗啡、大麻、可卡因以及国家规定管制的其</w:t>
      </w:r>
      <w:r>
        <w:rPr>
          <w:spacing w:val="-2"/>
          <w:sz w:val="18"/>
          <w:vertAlign w:val="baseline"/>
        </w:rPr>
        <w:t>他能够使人形成瘾癖的麻醉药品和精神药品，但不包括由医生开具并遵医嘱使用的用于治疗疾病但含有毒品成分的处方药</w:t>
      </w:r>
      <w:r>
        <w:rPr>
          <w:spacing w:val="-6"/>
          <w:sz w:val="18"/>
          <w:vertAlign w:val="baseline"/>
        </w:rPr>
        <w:t>品。</w:t>
      </w:r>
    </w:p>
    <w:p>
      <w:pPr>
        <w:spacing w:after="0" w:line="312" w:lineRule="auto"/>
        <w:jc w:val="both"/>
        <w:rPr>
          <w:sz w:val="18"/>
        </w:rPr>
        <w:sectPr>
          <w:pgSz w:w="11910" w:h="16840"/>
          <w:pgMar w:top="1440" w:right="840" w:bottom="280" w:left="860" w:header="720" w:footer="720" w:gutter="0"/>
          <w:cols w:space="720" w:num="1"/>
        </w:sectPr>
      </w:pPr>
    </w:p>
    <w:p>
      <w:pPr>
        <w:pStyle w:val="8"/>
        <w:numPr>
          <w:ilvl w:val="2"/>
          <w:numId w:val="7"/>
        </w:numPr>
        <w:tabs>
          <w:tab w:val="left" w:pos="3878"/>
        </w:tabs>
        <w:spacing w:before="57" w:after="0" w:line="268" w:lineRule="auto"/>
        <w:ind w:left="3892" w:right="234" w:hanging="632"/>
        <w:jc w:val="left"/>
        <w:rPr>
          <w:rFonts w:ascii="黑体" w:eastAsia="黑体"/>
          <w:sz w:val="21"/>
        </w:rPr>
      </w:pPr>
      <w:r>
        <w:rPr>
          <w:rFonts w:ascii="黑体" w:eastAsia="黑体"/>
          <w:color w:val="000000"/>
          <w:spacing w:val="-2"/>
          <w:sz w:val="21"/>
          <w:shd w:val="clear" w:color="auto" w:fill="D9D9D9"/>
        </w:rPr>
        <w:t>被保险人</w:t>
      </w:r>
      <w:r>
        <w:rPr>
          <w:rFonts w:hint="eastAsia" w:ascii="黑体" w:eastAsia="黑体"/>
          <w:b/>
          <w:color w:val="000000"/>
          <w:spacing w:val="-2"/>
          <w:sz w:val="21"/>
          <w:shd w:val="clear" w:color="auto" w:fill="D9D9D9"/>
        </w:rPr>
        <w:t>酒后驾驶</w:t>
      </w:r>
      <w:r>
        <w:rPr>
          <w:rFonts w:hint="eastAsia" w:ascii="黑体" w:eastAsia="黑体"/>
          <w:b/>
          <w:color w:val="000000"/>
          <w:spacing w:val="-2"/>
          <w:position w:val="11"/>
          <w:sz w:val="11"/>
        </w:rPr>
        <w:t>23</w:t>
      </w:r>
      <w:r>
        <w:rPr>
          <w:rFonts w:ascii="黑体" w:eastAsia="黑体"/>
          <w:color w:val="000000"/>
          <w:spacing w:val="-2"/>
          <w:sz w:val="21"/>
          <w:shd w:val="clear" w:color="auto" w:fill="D9D9D9"/>
        </w:rPr>
        <w:t>，</w:t>
      </w:r>
      <w:r>
        <w:rPr>
          <w:rFonts w:hint="eastAsia" w:ascii="黑体" w:eastAsia="黑体"/>
          <w:b/>
          <w:color w:val="000000"/>
          <w:spacing w:val="-2"/>
          <w:sz w:val="21"/>
          <w:shd w:val="clear" w:color="auto" w:fill="D9D9D9"/>
        </w:rPr>
        <w:t>无合法有效驾驶证驾驶</w:t>
      </w:r>
      <w:r>
        <w:rPr>
          <w:rFonts w:hint="eastAsia" w:ascii="黑体" w:eastAsia="黑体"/>
          <w:b/>
          <w:color w:val="000000"/>
          <w:spacing w:val="-2"/>
          <w:position w:val="11"/>
          <w:sz w:val="11"/>
        </w:rPr>
        <w:t>24</w:t>
      </w:r>
      <w:r>
        <w:rPr>
          <w:rFonts w:ascii="黑体" w:eastAsia="黑体"/>
          <w:color w:val="000000"/>
          <w:spacing w:val="-2"/>
          <w:sz w:val="21"/>
          <w:shd w:val="clear" w:color="auto" w:fill="D9D9D9"/>
        </w:rPr>
        <w:t>，或驾驶</w:t>
      </w:r>
      <w:r>
        <w:rPr>
          <w:rFonts w:hint="eastAsia" w:ascii="黑体" w:eastAsia="黑体"/>
          <w:b/>
          <w:color w:val="000000"/>
          <w:spacing w:val="-2"/>
          <w:sz w:val="21"/>
          <w:shd w:val="clear" w:color="auto" w:fill="D9D9D9"/>
        </w:rPr>
        <w:t>无有效行驶</w:t>
      </w:r>
      <w:r>
        <w:rPr>
          <w:rFonts w:hint="eastAsia" w:ascii="黑体" w:eastAsia="黑体"/>
          <w:b/>
          <w:color w:val="000000"/>
          <w:spacing w:val="80"/>
          <w:w w:val="150"/>
          <w:sz w:val="21"/>
          <w:shd w:val="clear" w:color="auto" w:fill="D9D9D9"/>
        </w:rPr>
        <w:t xml:space="preserve">                                 </w:t>
      </w:r>
      <w:r>
        <w:rPr>
          <w:rFonts w:hint="eastAsia" w:ascii="黑体" w:eastAsia="黑体"/>
          <w:b/>
          <w:color w:val="000000"/>
          <w:spacing w:val="-2"/>
          <w:sz w:val="21"/>
          <w:shd w:val="clear" w:color="auto" w:fill="D9D9D9"/>
        </w:rPr>
        <w:t>证</w:t>
      </w:r>
      <w:r>
        <w:rPr>
          <w:rFonts w:hint="eastAsia" w:ascii="黑体" w:eastAsia="黑体"/>
          <w:b/>
          <w:color w:val="000000"/>
          <w:spacing w:val="-2"/>
          <w:position w:val="11"/>
          <w:sz w:val="11"/>
        </w:rPr>
        <w:t>25</w:t>
      </w:r>
      <w:r>
        <w:rPr>
          <w:rFonts w:ascii="黑体" w:eastAsia="黑体"/>
          <w:color w:val="000000"/>
          <w:spacing w:val="-2"/>
          <w:sz w:val="21"/>
          <w:shd w:val="clear" w:color="auto" w:fill="D9D9D9"/>
        </w:rPr>
        <w:t>的</w:t>
      </w:r>
      <w:r>
        <w:rPr>
          <w:rFonts w:hint="eastAsia" w:ascii="黑体" w:eastAsia="黑体"/>
          <w:b/>
          <w:color w:val="000000"/>
          <w:spacing w:val="-2"/>
          <w:sz w:val="21"/>
          <w:shd w:val="clear" w:color="auto" w:fill="D9D9D9"/>
        </w:rPr>
        <w:t>机动车</w:t>
      </w:r>
      <w:r>
        <w:rPr>
          <w:rFonts w:hint="eastAsia" w:ascii="黑体" w:eastAsia="黑体"/>
          <w:b/>
          <w:color w:val="000000"/>
          <w:spacing w:val="-2"/>
          <w:position w:val="11"/>
          <w:sz w:val="11"/>
        </w:rPr>
        <w:t>26</w:t>
      </w:r>
      <w:r>
        <w:rPr>
          <w:rFonts w:ascii="黑体" w:eastAsia="黑体"/>
          <w:color w:val="000000"/>
          <w:spacing w:val="-2"/>
          <w:sz w:val="21"/>
          <w:shd w:val="clear" w:color="auto" w:fill="D9D9D9"/>
        </w:rPr>
        <w:t>；</w:t>
      </w:r>
    </w:p>
    <w:p>
      <w:pPr>
        <w:pStyle w:val="8"/>
        <w:numPr>
          <w:ilvl w:val="2"/>
          <w:numId w:val="7"/>
        </w:numPr>
        <w:tabs>
          <w:tab w:val="left" w:pos="3902"/>
        </w:tabs>
        <w:spacing w:before="1" w:after="0" w:line="240" w:lineRule="auto"/>
        <w:ind w:left="3901" w:right="0" w:hanging="642"/>
        <w:jc w:val="left"/>
        <w:rPr>
          <w:rFonts w:ascii="黑体" w:eastAsia="黑体"/>
          <w:sz w:val="21"/>
        </w:rPr>
      </w:pPr>
      <w:r>
        <w:rPr>
          <w:rFonts w:ascii="黑体" w:eastAsia="黑体"/>
          <w:color w:val="000000"/>
          <w:w w:val="95"/>
          <w:sz w:val="21"/>
          <w:shd w:val="clear" w:color="auto" w:fill="D9D9D9"/>
        </w:rPr>
        <w:t>被保险人</w:t>
      </w:r>
      <w:r>
        <w:rPr>
          <w:rFonts w:hint="eastAsia" w:ascii="黑体" w:eastAsia="黑体"/>
          <w:b/>
          <w:color w:val="000000"/>
          <w:w w:val="95"/>
          <w:sz w:val="21"/>
          <w:shd w:val="clear" w:color="auto" w:fill="D9D9D9"/>
        </w:rPr>
        <w:t>感染艾滋病病毒或患艾滋病</w:t>
      </w:r>
      <w:r>
        <w:rPr>
          <w:rFonts w:hint="eastAsia" w:ascii="黑体" w:eastAsia="黑体"/>
          <w:b/>
          <w:color w:val="000000"/>
          <w:w w:val="95"/>
          <w:position w:val="11"/>
          <w:sz w:val="11"/>
        </w:rPr>
        <w:t>27</w:t>
      </w:r>
      <w:r>
        <w:rPr>
          <w:rFonts w:ascii="黑体" w:eastAsia="黑体"/>
          <w:color w:val="000000"/>
          <w:spacing w:val="-1"/>
          <w:w w:val="95"/>
          <w:sz w:val="21"/>
          <w:shd w:val="clear" w:color="auto" w:fill="D9D9D9"/>
        </w:rPr>
        <w:t>期间因疾病导致的医疗行为</w:t>
      </w:r>
    </w:p>
    <w:p>
      <w:pPr>
        <w:pStyle w:val="4"/>
        <w:spacing w:before="43"/>
        <w:ind w:left="3892"/>
        <w:rPr>
          <w:rFonts w:ascii="黑体" w:eastAsia="黑体"/>
        </w:rPr>
      </w:pPr>
      <w:r>
        <w:rPr>
          <w:rFonts w:ascii="黑体" w:eastAsia="黑体"/>
          <w:color w:val="000000"/>
          <w:spacing w:val="-2"/>
          <w:shd w:val="clear" w:color="auto" w:fill="D9D9D9"/>
        </w:rPr>
        <w:t>（本合同另有约定的除外</w:t>
      </w:r>
      <w:r>
        <w:rPr>
          <w:rFonts w:ascii="黑体" w:eastAsia="黑体"/>
          <w:color w:val="000000"/>
          <w:spacing w:val="-113"/>
          <w:shd w:val="clear" w:color="auto" w:fill="D9D9D9"/>
        </w:rPr>
        <w:t>）</w:t>
      </w:r>
      <w:r>
        <w:rPr>
          <w:rFonts w:ascii="黑体" w:eastAsia="黑体"/>
          <w:color w:val="000000"/>
          <w:spacing w:val="-5"/>
          <w:shd w:val="clear" w:color="auto" w:fill="D9D9D9"/>
        </w:rPr>
        <w:t>；</w:t>
      </w:r>
    </w:p>
    <w:p>
      <w:pPr>
        <w:pStyle w:val="8"/>
        <w:numPr>
          <w:ilvl w:val="2"/>
          <w:numId w:val="7"/>
        </w:numPr>
        <w:tabs>
          <w:tab w:val="left" w:pos="3881"/>
        </w:tabs>
        <w:spacing w:before="33" w:after="0" w:line="278" w:lineRule="auto"/>
        <w:ind w:left="3892" w:right="234" w:hanging="632"/>
        <w:jc w:val="left"/>
        <w:rPr>
          <w:rFonts w:ascii="黑体" w:eastAsia="黑体"/>
          <w:sz w:val="21"/>
        </w:rPr>
      </w:pPr>
      <w:r>
        <w:rPr>
          <w:rFonts w:hint="eastAsia" w:ascii="黑体" w:eastAsia="黑体"/>
          <w:b/>
          <w:color w:val="000000"/>
          <w:spacing w:val="-2"/>
          <w:sz w:val="21"/>
          <w:shd w:val="clear" w:color="auto" w:fill="D9D9D9"/>
        </w:rPr>
        <w:t>遗传性疾病</w:t>
      </w:r>
      <w:r>
        <w:rPr>
          <w:rFonts w:hint="eastAsia" w:ascii="黑体" w:eastAsia="黑体"/>
          <w:b/>
          <w:color w:val="000000"/>
          <w:spacing w:val="-2"/>
          <w:position w:val="11"/>
          <w:sz w:val="11"/>
        </w:rPr>
        <w:t>28</w:t>
      </w:r>
      <w:r>
        <w:rPr>
          <w:rFonts w:ascii="黑体" w:eastAsia="黑体"/>
          <w:color w:val="000000"/>
          <w:spacing w:val="-2"/>
          <w:sz w:val="21"/>
          <w:shd w:val="clear" w:color="auto" w:fill="D9D9D9"/>
        </w:rPr>
        <w:t>，</w:t>
      </w:r>
      <w:r>
        <w:rPr>
          <w:rFonts w:hint="eastAsia" w:ascii="黑体" w:eastAsia="黑体"/>
          <w:b/>
          <w:color w:val="000000"/>
          <w:spacing w:val="-2"/>
          <w:sz w:val="21"/>
          <w:shd w:val="clear" w:color="auto" w:fill="D9D9D9"/>
        </w:rPr>
        <w:t>先天性畸形、变形或染色体异常</w:t>
      </w:r>
      <w:r>
        <w:rPr>
          <w:rFonts w:hint="eastAsia" w:ascii="黑体" w:eastAsia="黑体"/>
          <w:b/>
          <w:color w:val="000000"/>
          <w:spacing w:val="-2"/>
          <w:position w:val="11"/>
          <w:sz w:val="11"/>
        </w:rPr>
        <w:t>29</w:t>
      </w:r>
      <w:r>
        <w:rPr>
          <w:rFonts w:ascii="黑体" w:eastAsia="黑体"/>
          <w:color w:val="000000"/>
          <w:spacing w:val="-2"/>
          <w:sz w:val="21"/>
          <w:shd w:val="clear" w:color="auto" w:fill="D9D9D9"/>
        </w:rPr>
        <w:t>（本合同另有约定</w:t>
      </w:r>
      <w:r>
        <w:rPr>
          <w:rFonts w:ascii="黑体" w:eastAsia="黑体"/>
          <w:color w:val="000000"/>
          <w:spacing w:val="11655"/>
          <w:sz w:val="21"/>
          <w:shd w:val="clear" w:color="auto" w:fill="D9D9D9"/>
        </w:rPr>
        <w:t xml:space="preserve"> </w:t>
      </w:r>
      <w:r>
        <w:rPr>
          <w:rFonts w:ascii="黑体" w:eastAsia="黑体"/>
          <w:color w:val="000000"/>
          <w:spacing w:val="-4"/>
          <w:sz w:val="21"/>
          <w:shd w:val="clear" w:color="auto" w:fill="D9D9D9"/>
        </w:rPr>
        <w:t>的除外</w:t>
      </w:r>
      <w:r>
        <w:rPr>
          <w:rFonts w:ascii="黑体" w:eastAsia="黑体"/>
          <w:color w:val="000000"/>
          <w:spacing w:val="-106"/>
          <w:sz w:val="21"/>
          <w:shd w:val="clear" w:color="auto" w:fill="D9D9D9"/>
        </w:rPr>
        <w:t>）</w:t>
      </w:r>
      <w:r>
        <w:rPr>
          <w:rFonts w:ascii="黑体" w:eastAsia="黑体"/>
          <w:color w:val="000000"/>
          <w:sz w:val="21"/>
          <w:shd w:val="clear" w:color="auto" w:fill="D9D9D9"/>
        </w:rPr>
        <w:t>；</w:t>
      </w:r>
    </w:p>
    <w:p>
      <w:pPr>
        <w:pStyle w:val="8"/>
        <w:numPr>
          <w:ilvl w:val="2"/>
          <w:numId w:val="7"/>
        </w:numPr>
        <w:tabs>
          <w:tab w:val="left" w:pos="3892"/>
        </w:tabs>
        <w:spacing w:before="0" w:after="0" w:line="269" w:lineRule="exact"/>
        <w:ind w:left="3892" w:right="0" w:hanging="632"/>
        <w:jc w:val="left"/>
        <w:rPr>
          <w:rFonts w:ascii="黑体" w:eastAsia="黑体"/>
          <w:sz w:val="21"/>
        </w:rPr>
      </w:pPr>
      <w:r>
        <w:rPr>
          <w:rFonts w:ascii="黑体" w:eastAsia="黑体"/>
          <w:color w:val="000000"/>
          <w:w w:val="95"/>
          <w:sz w:val="21"/>
          <w:shd w:val="clear" w:color="auto" w:fill="D9D9D9"/>
        </w:rPr>
        <w:t>未如实告知的</w:t>
      </w:r>
      <w:r>
        <w:rPr>
          <w:rFonts w:hint="eastAsia" w:ascii="黑体" w:eastAsia="黑体"/>
          <w:b/>
          <w:color w:val="000000"/>
          <w:w w:val="95"/>
          <w:sz w:val="21"/>
          <w:shd w:val="clear" w:color="auto" w:fill="D9D9D9"/>
        </w:rPr>
        <w:t>既往症</w:t>
      </w:r>
      <w:r>
        <w:rPr>
          <w:rFonts w:hint="eastAsia" w:ascii="黑体" w:eastAsia="黑体"/>
          <w:b/>
          <w:color w:val="000000"/>
          <w:w w:val="95"/>
          <w:position w:val="11"/>
          <w:sz w:val="11"/>
        </w:rPr>
        <w:t>30</w:t>
      </w:r>
      <w:r>
        <w:rPr>
          <w:rFonts w:ascii="黑体" w:eastAsia="黑体"/>
          <w:color w:val="000000"/>
          <w:w w:val="95"/>
          <w:sz w:val="21"/>
          <w:shd w:val="clear" w:color="auto" w:fill="D9D9D9"/>
        </w:rPr>
        <w:t>，以及本合同特别约定的除</w:t>
      </w:r>
      <w:r>
        <w:rPr>
          <w:rFonts w:ascii="黑体" w:eastAsia="黑体"/>
          <w:color w:val="000000"/>
          <w:spacing w:val="-3"/>
          <w:w w:val="95"/>
          <w:sz w:val="21"/>
          <w:shd w:val="clear" w:color="auto" w:fill="D9D9D9"/>
        </w:rPr>
        <w:t>外疾病；</w:t>
      </w:r>
    </w:p>
    <w:p>
      <w:pPr>
        <w:pStyle w:val="8"/>
        <w:numPr>
          <w:ilvl w:val="2"/>
          <w:numId w:val="7"/>
        </w:numPr>
        <w:tabs>
          <w:tab w:val="left" w:pos="3888"/>
        </w:tabs>
        <w:spacing w:before="43" w:after="0" w:line="278" w:lineRule="auto"/>
        <w:ind w:left="3892" w:right="236" w:hanging="632"/>
        <w:jc w:val="both"/>
        <w:rPr>
          <w:rFonts w:ascii="黑体" w:eastAsia="黑体"/>
          <w:sz w:val="21"/>
        </w:rPr>
      </w:pPr>
      <w:r>
        <w:rPr>
          <w:rFonts w:ascii="黑体" w:eastAsia="黑体"/>
          <w:color w:val="000000"/>
          <w:spacing w:val="-2"/>
          <w:sz w:val="21"/>
          <w:shd w:val="clear" w:color="auto" w:fill="D9D9D9"/>
        </w:rPr>
        <w:t>被保险人所患精神和行为障碍（以世界卫生组织颁布的《疾病和有</w:t>
      </w:r>
      <w:r>
        <w:rPr>
          <w:rFonts w:ascii="黑体" w:eastAsia="黑体"/>
          <w:color w:val="000000"/>
          <w:spacing w:val="11655"/>
          <w:sz w:val="21"/>
          <w:shd w:val="clear" w:color="auto" w:fill="D9D9D9"/>
        </w:rPr>
        <w:t xml:space="preserve"> </w:t>
      </w:r>
      <w:r>
        <w:rPr>
          <w:rFonts w:ascii="黑体" w:eastAsia="黑体"/>
          <w:color w:val="000000"/>
          <w:spacing w:val="-2"/>
          <w:sz w:val="21"/>
          <w:shd w:val="clear" w:color="auto" w:fill="D9D9D9"/>
        </w:rPr>
        <w:t>关健康问题的国际统计分类</w:t>
      </w:r>
      <w:r>
        <w:rPr>
          <w:rFonts w:ascii="黑体" w:eastAsia="黑体"/>
          <w:color w:val="000000"/>
          <w:spacing w:val="12"/>
          <w:sz w:val="21"/>
          <w:shd w:val="clear" w:color="auto" w:fill="D9D9D9"/>
        </w:rPr>
        <w:t>（I</w:t>
      </w:r>
      <w:r>
        <w:rPr>
          <w:rFonts w:ascii="黑体" w:eastAsia="黑体"/>
          <w:color w:val="000000"/>
          <w:spacing w:val="9"/>
          <w:sz w:val="21"/>
          <w:shd w:val="clear" w:color="auto" w:fill="D9D9D9"/>
        </w:rPr>
        <w:t>C</w:t>
      </w:r>
      <w:r>
        <w:rPr>
          <w:rFonts w:ascii="黑体" w:eastAsia="黑体"/>
          <w:color w:val="000000"/>
          <w:spacing w:val="12"/>
          <w:sz w:val="21"/>
          <w:shd w:val="clear" w:color="auto" w:fill="D9D9D9"/>
        </w:rPr>
        <w:t>D－</w:t>
      </w:r>
      <w:r>
        <w:rPr>
          <w:rFonts w:ascii="黑体" w:eastAsia="黑体"/>
          <w:color w:val="000000"/>
          <w:spacing w:val="9"/>
          <w:sz w:val="21"/>
          <w:shd w:val="clear" w:color="auto" w:fill="D9D9D9"/>
        </w:rPr>
        <w:t>1</w:t>
      </w:r>
      <w:r>
        <w:rPr>
          <w:rFonts w:ascii="黑体" w:eastAsia="黑体"/>
          <w:color w:val="000000"/>
          <w:spacing w:val="11"/>
          <w:sz w:val="21"/>
          <w:shd w:val="clear" w:color="auto" w:fill="D9D9D9"/>
        </w:rPr>
        <w:t>0</w:t>
      </w:r>
      <w:r>
        <w:rPr>
          <w:rFonts w:ascii="黑体" w:eastAsia="黑体"/>
          <w:color w:val="000000"/>
          <w:spacing w:val="-94"/>
          <w:sz w:val="21"/>
          <w:shd w:val="clear" w:color="auto" w:fill="D9D9D9"/>
        </w:rPr>
        <w:t>）</w:t>
      </w:r>
      <w:r>
        <w:rPr>
          <w:rFonts w:ascii="黑体" w:eastAsia="黑体"/>
          <w:color w:val="000000"/>
          <w:spacing w:val="-2"/>
          <w:sz w:val="21"/>
          <w:shd w:val="clear" w:color="auto" w:fill="D9D9D9"/>
        </w:rPr>
        <w:t>》为准</w:t>
      </w:r>
      <w:r>
        <w:rPr>
          <w:rFonts w:ascii="黑体" w:eastAsia="黑体"/>
          <w:color w:val="000000"/>
          <w:spacing w:val="-106"/>
          <w:sz w:val="21"/>
          <w:shd w:val="clear" w:color="auto" w:fill="D9D9D9"/>
        </w:rPr>
        <w:t>）</w:t>
      </w:r>
      <w:r>
        <w:rPr>
          <w:rFonts w:ascii="黑体" w:eastAsia="黑体"/>
          <w:color w:val="000000"/>
          <w:sz w:val="21"/>
          <w:shd w:val="clear" w:color="auto" w:fill="D9D9D9"/>
        </w:rPr>
        <w:t>；</w:t>
      </w:r>
    </w:p>
    <w:p>
      <w:pPr>
        <w:pStyle w:val="8"/>
        <w:numPr>
          <w:ilvl w:val="2"/>
          <w:numId w:val="7"/>
        </w:numPr>
        <w:tabs>
          <w:tab w:val="left" w:pos="3902"/>
        </w:tabs>
        <w:spacing w:before="0" w:after="0" w:line="278" w:lineRule="auto"/>
        <w:ind w:left="3892" w:right="234" w:hanging="632"/>
        <w:jc w:val="both"/>
        <w:rPr>
          <w:rFonts w:ascii="黑体" w:eastAsia="黑体"/>
          <w:sz w:val="21"/>
        </w:rPr>
      </w:pPr>
      <w:r>
        <w:rPr>
          <w:rFonts w:ascii="黑体" w:eastAsia="黑体"/>
          <w:color w:val="000000"/>
          <w:spacing w:val="-2"/>
          <w:sz w:val="21"/>
          <w:shd w:val="clear" w:color="auto" w:fill="D9D9D9"/>
        </w:rPr>
        <w:t>妊娠（含异位妊娠</w:t>
      </w:r>
      <w:r>
        <w:rPr>
          <w:rFonts w:ascii="黑体" w:eastAsia="黑体"/>
          <w:color w:val="000000"/>
          <w:spacing w:val="-106"/>
          <w:sz w:val="21"/>
          <w:shd w:val="clear" w:color="auto" w:fill="D9D9D9"/>
        </w:rPr>
        <w:t>）</w:t>
      </w:r>
      <w:r>
        <w:rPr>
          <w:rFonts w:ascii="黑体" w:eastAsia="黑体"/>
          <w:color w:val="000000"/>
          <w:spacing w:val="-2"/>
          <w:sz w:val="21"/>
          <w:shd w:val="clear" w:color="auto" w:fill="D9D9D9"/>
        </w:rPr>
        <w:t>、分娩（含剖腹产</w:t>
      </w:r>
      <w:r>
        <w:rPr>
          <w:rFonts w:ascii="黑体" w:eastAsia="黑体"/>
          <w:color w:val="000000"/>
          <w:spacing w:val="-104"/>
          <w:sz w:val="21"/>
          <w:shd w:val="clear" w:color="auto" w:fill="D9D9D9"/>
        </w:rPr>
        <w:t>）</w:t>
      </w:r>
      <w:r>
        <w:rPr>
          <w:rFonts w:ascii="黑体" w:eastAsia="黑体"/>
          <w:color w:val="000000"/>
          <w:spacing w:val="-2"/>
          <w:sz w:val="21"/>
          <w:shd w:val="clear" w:color="auto" w:fill="D9D9D9"/>
        </w:rPr>
        <w:t>、流产（含人工流产</w:t>
      </w:r>
      <w:r>
        <w:rPr>
          <w:rFonts w:ascii="黑体" w:eastAsia="黑体"/>
          <w:color w:val="000000"/>
          <w:spacing w:val="-104"/>
          <w:sz w:val="21"/>
          <w:shd w:val="clear" w:color="auto" w:fill="D9D9D9"/>
        </w:rPr>
        <w:t>）</w:t>
      </w:r>
      <w:r>
        <w:rPr>
          <w:rFonts w:ascii="黑体" w:eastAsia="黑体"/>
          <w:color w:val="000000"/>
          <w:spacing w:val="-2"/>
          <w:sz w:val="21"/>
          <w:shd w:val="clear" w:color="auto" w:fill="D9D9D9"/>
        </w:rPr>
        <w:t>、不</w:t>
      </w:r>
      <w:r>
        <w:rPr>
          <w:rFonts w:ascii="黑体" w:eastAsia="黑体"/>
          <w:color w:val="000000"/>
          <w:spacing w:val="40"/>
          <w:sz w:val="21"/>
          <w:shd w:val="clear" w:color="auto" w:fill="D9D9D9"/>
        </w:rPr>
        <w:t xml:space="preserve"> </w:t>
      </w:r>
      <w:r>
        <w:rPr>
          <w:rFonts w:ascii="黑体" w:eastAsia="黑体"/>
          <w:color w:val="000000"/>
          <w:spacing w:val="-2"/>
          <w:sz w:val="21"/>
          <w:shd w:val="clear" w:color="auto" w:fill="D9D9D9"/>
        </w:rPr>
        <w:t>孕不育治疗、人工授精、避孕、节育（含绝育</w:t>
      </w:r>
      <w:r>
        <w:rPr>
          <w:rFonts w:ascii="黑体" w:eastAsia="黑体"/>
          <w:color w:val="000000"/>
          <w:spacing w:val="-104"/>
          <w:sz w:val="21"/>
          <w:shd w:val="clear" w:color="auto" w:fill="D9D9D9"/>
        </w:rPr>
        <w:t>）</w:t>
      </w:r>
      <w:r>
        <w:rPr>
          <w:rFonts w:ascii="黑体" w:eastAsia="黑体"/>
          <w:color w:val="000000"/>
          <w:spacing w:val="-2"/>
          <w:sz w:val="21"/>
          <w:shd w:val="clear" w:color="auto" w:fill="D9D9D9"/>
        </w:rPr>
        <w:t>、绝育后复通、产前产后检查以及由于以上原因引起的并发症；</w:t>
      </w:r>
    </w:p>
    <w:p>
      <w:pPr>
        <w:pStyle w:val="8"/>
        <w:numPr>
          <w:ilvl w:val="2"/>
          <w:numId w:val="7"/>
        </w:numPr>
        <w:tabs>
          <w:tab w:val="left" w:pos="3901"/>
        </w:tabs>
        <w:spacing w:before="0" w:after="0" w:line="278" w:lineRule="auto"/>
        <w:ind w:left="3892" w:right="128" w:hanging="632"/>
        <w:jc w:val="left"/>
        <w:rPr>
          <w:rFonts w:ascii="黑体" w:eastAsia="黑体"/>
          <w:sz w:val="21"/>
        </w:rPr>
      </w:pPr>
      <w:r>
        <w:rPr>
          <w:rFonts w:ascii="黑体" w:eastAsia="黑体"/>
          <w:color w:val="000000"/>
          <w:spacing w:val="-1"/>
          <w:w w:val="100"/>
          <w:sz w:val="21"/>
          <w:shd w:val="clear" w:color="auto" w:fill="D9D9D9"/>
        </w:rPr>
        <w:t>休养或疗养、</w:t>
      </w:r>
      <w:r>
        <w:rPr>
          <w:rFonts w:hint="eastAsia" w:ascii="黑体" w:eastAsia="黑体"/>
          <w:b/>
          <w:color w:val="000000"/>
          <w:spacing w:val="2"/>
          <w:w w:val="100"/>
          <w:sz w:val="21"/>
          <w:shd w:val="clear" w:color="auto" w:fill="D9D9D9"/>
        </w:rPr>
        <w:t>康复性治疗</w:t>
      </w:r>
      <w:r>
        <w:rPr>
          <w:rFonts w:hint="eastAsia" w:ascii="黑体" w:eastAsia="黑体"/>
          <w:b/>
          <w:color w:val="000000"/>
          <w:spacing w:val="2"/>
          <w:w w:val="99"/>
          <w:position w:val="11"/>
          <w:sz w:val="11"/>
        </w:rPr>
        <w:t>3</w:t>
      </w:r>
      <w:r>
        <w:rPr>
          <w:rFonts w:hint="eastAsia" w:ascii="黑体" w:eastAsia="黑体"/>
          <w:b/>
          <w:color w:val="000000"/>
          <w:spacing w:val="4"/>
          <w:w w:val="99"/>
          <w:position w:val="11"/>
          <w:sz w:val="11"/>
        </w:rPr>
        <w:t>1</w:t>
      </w:r>
      <w:r>
        <w:rPr>
          <w:rFonts w:ascii="黑体" w:eastAsia="黑体"/>
          <w:color w:val="000000"/>
          <w:spacing w:val="-1"/>
          <w:w w:val="100"/>
          <w:sz w:val="21"/>
          <w:shd w:val="clear" w:color="auto" w:fill="D9D9D9"/>
        </w:rPr>
        <w:t>、特别护理或静养、身体健康检查、椎</w:t>
      </w:r>
      <w:r>
        <w:rPr>
          <w:rFonts w:ascii="黑体" w:eastAsia="黑体"/>
          <w:color w:val="000000"/>
          <w:w w:val="100"/>
          <w:sz w:val="21"/>
          <w:shd w:val="clear" w:color="auto" w:fill="D9D9D9"/>
        </w:rPr>
        <w:t xml:space="preserve">                                                                                                                  </w:t>
      </w:r>
      <w:r>
        <w:rPr>
          <w:rFonts w:ascii="黑体" w:eastAsia="黑体"/>
          <w:color w:val="000000"/>
          <w:spacing w:val="-12"/>
          <w:w w:val="100"/>
          <w:sz w:val="21"/>
          <w:shd w:val="clear" w:color="auto" w:fill="D9D9D9"/>
        </w:rPr>
        <w:t>间盘突出症、美容减肥、各类医疗咨询</w:t>
      </w:r>
      <w:r>
        <w:rPr>
          <w:rFonts w:ascii="黑体" w:eastAsia="黑体"/>
          <w:color w:val="000000"/>
          <w:spacing w:val="-3"/>
          <w:w w:val="100"/>
          <w:sz w:val="21"/>
          <w:shd w:val="clear" w:color="auto" w:fill="D9D9D9"/>
        </w:rPr>
        <w:t>（</w:t>
      </w:r>
      <w:r>
        <w:rPr>
          <w:rFonts w:ascii="黑体" w:eastAsia="黑体"/>
          <w:color w:val="000000"/>
          <w:spacing w:val="-7"/>
          <w:w w:val="100"/>
          <w:sz w:val="21"/>
          <w:shd w:val="clear" w:color="auto" w:fill="D9D9D9"/>
        </w:rPr>
        <w:t>包括心理咨询、健康咨询、</w:t>
      </w:r>
      <w:r>
        <w:rPr>
          <w:rFonts w:ascii="黑体" w:eastAsia="黑体"/>
          <w:color w:val="000000"/>
          <w:spacing w:val="1"/>
          <w:w w:val="100"/>
          <w:sz w:val="21"/>
          <w:shd w:val="clear" w:color="auto" w:fill="D9D9D9"/>
        </w:rPr>
        <w:t>睡眠咨询等</w:t>
      </w:r>
      <w:r>
        <w:rPr>
          <w:rFonts w:ascii="黑体" w:eastAsia="黑体"/>
          <w:color w:val="000000"/>
          <w:spacing w:val="-101"/>
          <w:w w:val="100"/>
          <w:sz w:val="21"/>
          <w:shd w:val="clear" w:color="auto" w:fill="D9D9D9"/>
        </w:rPr>
        <w:t>）</w:t>
      </w:r>
      <w:r>
        <w:rPr>
          <w:rFonts w:ascii="黑体" w:eastAsia="黑体"/>
          <w:color w:val="000000"/>
          <w:w w:val="100"/>
          <w:sz w:val="21"/>
          <w:shd w:val="clear" w:color="auto" w:fill="D9D9D9"/>
        </w:rPr>
        <w:t>、各类医疗鉴定</w:t>
      </w:r>
      <w:r>
        <w:rPr>
          <w:rFonts w:ascii="黑体" w:eastAsia="黑体"/>
          <w:color w:val="000000"/>
          <w:spacing w:val="2"/>
          <w:w w:val="100"/>
          <w:sz w:val="21"/>
          <w:shd w:val="clear" w:color="auto" w:fill="D9D9D9"/>
        </w:rPr>
        <w:t>（</w:t>
      </w:r>
      <w:r>
        <w:rPr>
          <w:rFonts w:ascii="黑体" w:eastAsia="黑体"/>
          <w:color w:val="000000"/>
          <w:w w:val="100"/>
          <w:sz w:val="21"/>
          <w:shd w:val="clear" w:color="auto" w:fill="D9D9D9"/>
        </w:rPr>
        <w:t>包括医疗事故鉴定、精神病鉴定、孕妇胎儿性别鉴定、验伤鉴定、亲子鉴定、遗传基因鉴定等</w:t>
      </w:r>
      <w:r>
        <w:rPr>
          <w:rFonts w:ascii="黑体" w:eastAsia="黑体"/>
          <w:color w:val="000000"/>
          <w:spacing w:val="-101"/>
          <w:w w:val="100"/>
          <w:sz w:val="21"/>
          <w:shd w:val="clear" w:color="auto" w:fill="D9D9D9"/>
        </w:rPr>
        <w:t>）</w:t>
      </w:r>
      <w:r>
        <w:rPr>
          <w:rFonts w:ascii="黑体" w:eastAsia="黑体"/>
          <w:color w:val="000000"/>
          <w:spacing w:val="1"/>
          <w:w w:val="100"/>
          <w:sz w:val="21"/>
          <w:shd w:val="clear" w:color="auto" w:fill="D9D9D9"/>
        </w:rPr>
        <w:t>、非</w:t>
      </w:r>
      <w:r>
        <w:rPr>
          <w:rFonts w:ascii="黑体" w:eastAsia="黑体"/>
          <w:color w:val="000000"/>
          <w:spacing w:val="-3"/>
          <w:w w:val="100"/>
          <w:sz w:val="21"/>
          <w:shd w:val="clear" w:color="auto" w:fill="D9D9D9"/>
        </w:rPr>
        <w:t>手术或药物治疗；</w:t>
      </w:r>
    </w:p>
    <w:p>
      <w:pPr>
        <w:pStyle w:val="8"/>
        <w:numPr>
          <w:ilvl w:val="2"/>
          <w:numId w:val="7"/>
        </w:numPr>
        <w:tabs>
          <w:tab w:val="left" w:pos="3902"/>
        </w:tabs>
        <w:spacing w:before="0" w:after="0" w:line="268" w:lineRule="exact"/>
        <w:ind w:left="3901" w:right="0" w:hanging="642"/>
        <w:jc w:val="left"/>
        <w:rPr>
          <w:rFonts w:ascii="黑体" w:eastAsia="黑体"/>
          <w:sz w:val="21"/>
        </w:rPr>
      </w:pPr>
      <w:r>
        <w:rPr>
          <w:rFonts w:ascii="黑体" w:eastAsia="黑体"/>
          <w:color w:val="000000"/>
          <w:sz w:val="21"/>
          <w:shd w:val="clear" w:color="auto" w:fill="D9D9D9"/>
        </w:rPr>
        <w:t>整容手术（因意外伤害导致的整容手术除外</w:t>
      </w:r>
      <w:r>
        <w:rPr>
          <w:rFonts w:ascii="黑体" w:eastAsia="黑体"/>
          <w:color w:val="000000"/>
          <w:spacing w:val="-106"/>
          <w:sz w:val="21"/>
          <w:shd w:val="clear" w:color="auto" w:fill="D9D9D9"/>
        </w:rPr>
        <w:t>）</w:t>
      </w:r>
      <w:r>
        <w:rPr>
          <w:rFonts w:ascii="黑体" w:eastAsia="黑体"/>
          <w:color w:val="000000"/>
          <w:spacing w:val="-2"/>
          <w:sz w:val="21"/>
          <w:shd w:val="clear" w:color="auto" w:fill="D9D9D9"/>
        </w:rPr>
        <w:t>、矫形、视力矫正、</w:t>
      </w:r>
    </w:p>
    <w:p>
      <w:pPr>
        <w:pStyle w:val="4"/>
        <w:rPr>
          <w:rFonts w:ascii="黑体"/>
          <w:sz w:val="20"/>
        </w:rPr>
      </w:pPr>
    </w:p>
    <w:p>
      <w:pPr>
        <w:pStyle w:val="4"/>
        <w:spacing w:before="10"/>
        <w:rPr>
          <w:rFonts w:ascii="黑体"/>
          <w:sz w:val="12"/>
        </w:rPr>
      </w:pPr>
      <w:r>
        <w:drawing>
          <wp:anchor distT="0" distB="0" distL="0" distR="0" simplePos="0" relativeHeight="251660288" behindDoc="0" locked="0" layoutInCell="1" allowOverlap="1">
            <wp:simplePos x="0" y="0"/>
            <wp:positionH relativeFrom="page">
              <wp:posOffset>685800</wp:posOffset>
            </wp:positionH>
            <wp:positionV relativeFrom="paragraph">
              <wp:posOffset>119380</wp:posOffset>
            </wp:positionV>
            <wp:extent cx="1828800" cy="6350"/>
            <wp:effectExtent l="0" t="0" r="0" b="0"/>
            <wp:wrapTopAndBottom/>
            <wp:docPr id="5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9.png"/>
                    <pic:cNvPicPr>
                      <a:picLocks noChangeAspect="1"/>
                    </pic:cNvPicPr>
                  </pic:nvPicPr>
                  <pic:blipFill>
                    <a:blip r:embed="rId24" cstate="print"/>
                    <a:stretch>
                      <a:fillRect/>
                    </a:stretch>
                  </pic:blipFill>
                  <pic:spPr>
                    <a:xfrm>
                      <a:off x="0" y="0"/>
                      <a:ext cx="1828799" cy="6096"/>
                    </a:xfrm>
                    <a:prstGeom prst="rect">
                      <a:avLst/>
                    </a:prstGeom>
                  </pic:spPr>
                </pic:pic>
              </a:graphicData>
            </a:graphic>
          </wp:anchor>
        </w:drawing>
      </w:r>
    </w:p>
    <w:p>
      <w:pPr>
        <w:spacing w:before="156" w:line="312" w:lineRule="auto"/>
        <w:ind w:left="445" w:right="236" w:hanging="226"/>
        <w:jc w:val="left"/>
        <w:rPr>
          <w:sz w:val="18"/>
        </w:rPr>
      </w:pPr>
      <w:r>
        <w:rPr>
          <w:rFonts w:ascii="Times New Roman" w:eastAsia="Times New Roman"/>
          <w:sz w:val="18"/>
          <w:vertAlign w:val="superscript"/>
        </w:rPr>
        <w:t>23</w:t>
      </w:r>
      <w:r>
        <w:rPr>
          <w:rFonts w:ascii="Times New Roman" w:eastAsia="Times New Roman"/>
          <w:spacing w:val="14"/>
          <w:sz w:val="18"/>
          <w:vertAlign w:val="baseline"/>
        </w:rPr>
        <w:t xml:space="preserve"> </w:t>
      </w:r>
      <w:r>
        <w:rPr>
          <w:b/>
          <w:sz w:val="18"/>
          <w:vertAlign w:val="baseline"/>
        </w:rPr>
        <w:t>酒后驾驶</w:t>
      </w:r>
      <w:r>
        <w:rPr>
          <w:sz w:val="18"/>
          <w:vertAlign w:val="baseline"/>
        </w:rPr>
        <w:t>指经检测或鉴定，发生事故时车辆驾驶人员每百毫升血液中的酒精含量达到或超过一定的标准，公安机关交通管</w:t>
      </w:r>
      <w:r>
        <w:rPr>
          <w:spacing w:val="-2"/>
          <w:sz w:val="18"/>
          <w:vertAlign w:val="baseline"/>
        </w:rPr>
        <w:t>理部门依据《道路交通安全法》或道路交通相关法规的规定认定为饮酒后驾驶或醉酒后驾驶。</w:t>
      </w:r>
    </w:p>
    <w:p>
      <w:pPr>
        <w:spacing w:before="0"/>
        <w:ind w:left="220" w:right="0" w:firstLine="0"/>
        <w:jc w:val="left"/>
        <w:rPr>
          <w:sz w:val="18"/>
        </w:rPr>
      </w:pPr>
      <w:r>
        <w:rPr>
          <w:rFonts w:ascii="Times New Roman" w:eastAsia="Times New Roman"/>
          <w:sz w:val="18"/>
          <w:vertAlign w:val="superscript"/>
        </w:rPr>
        <w:t>24</w:t>
      </w:r>
      <w:r>
        <w:rPr>
          <w:rFonts w:ascii="Times New Roman" w:eastAsia="Times New Roman"/>
          <w:spacing w:val="32"/>
          <w:sz w:val="18"/>
          <w:vertAlign w:val="baseline"/>
        </w:rPr>
        <w:t xml:space="preserve"> </w:t>
      </w:r>
      <w:r>
        <w:rPr>
          <w:b/>
          <w:sz w:val="18"/>
          <w:vertAlign w:val="baseline"/>
        </w:rPr>
        <w:t>无合法有效驾驶证驾驶</w:t>
      </w:r>
      <w:r>
        <w:rPr>
          <w:spacing w:val="-2"/>
          <w:sz w:val="18"/>
          <w:vertAlign w:val="baseline"/>
        </w:rPr>
        <w:t>指下列情形之一：</w:t>
      </w:r>
    </w:p>
    <w:p>
      <w:pPr>
        <w:pStyle w:val="8"/>
        <w:numPr>
          <w:ilvl w:val="0"/>
          <w:numId w:val="8"/>
        </w:numPr>
        <w:tabs>
          <w:tab w:val="left" w:pos="898"/>
        </w:tabs>
        <w:spacing w:before="69" w:after="0" w:line="240" w:lineRule="auto"/>
        <w:ind w:left="897" w:right="0" w:hanging="453"/>
        <w:jc w:val="left"/>
        <w:rPr>
          <w:sz w:val="18"/>
        </w:rPr>
      </w:pPr>
      <w:r>
        <w:rPr>
          <w:spacing w:val="-1"/>
          <w:sz w:val="18"/>
        </w:rPr>
        <w:t>未取得中华人民共和国有关主管部门颁发或认可的驾驶资格证书；</w:t>
      </w:r>
    </w:p>
    <w:p>
      <w:pPr>
        <w:pStyle w:val="8"/>
        <w:numPr>
          <w:ilvl w:val="0"/>
          <w:numId w:val="8"/>
        </w:numPr>
        <w:tabs>
          <w:tab w:val="left" w:pos="898"/>
        </w:tabs>
        <w:spacing w:before="70" w:after="0" w:line="240" w:lineRule="auto"/>
        <w:ind w:left="897" w:right="0" w:hanging="453"/>
        <w:jc w:val="left"/>
        <w:rPr>
          <w:sz w:val="18"/>
        </w:rPr>
      </w:pPr>
      <w:r>
        <w:rPr>
          <w:spacing w:val="-1"/>
          <w:sz w:val="18"/>
        </w:rPr>
        <w:t>驾驶与合法有效驾驶证准驾车型不相符合的车辆；</w:t>
      </w:r>
    </w:p>
    <w:p>
      <w:pPr>
        <w:pStyle w:val="8"/>
        <w:numPr>
          <w:ilvl w:val="0"/>
          <w:numId w:val="8"/>
        </w:numPr>
        <w:tabs>
          <w:tab w:val="left" w:pos="898"/>
        </w:tabs>
        <w:spacing w:before="69" w:after="0" w:line="240" w:lineRule="auto"/>
        <w:ind w:left="897" w:right="0" w:hanging="453"/>
        <w:jc w:val="left"/>
        <w:rPr>
          <w:sz w:val="18"/>
        </w:rPr>
      </w:pPr>
      <w:r>
        <w:rPr>
          <w:spacing w:val="-1"/>
          <w:sz w:val="18"/>
        </w:rPr>
        <w:t>持审验不合格的驾驶证驾驶；</w:t>
      </w:r>
    </w:p>
    <w:p>
      <w:pPr>
        <w:pStyle w:val="8"/>
        <w:numPr>
          <w:ilvl w:val="0"/>
          <w:numId w:val="8"/>
        </w:numPr>
        <w:tabs>
          <w:tab w:val="left" w:pos="898"/>
        </w:tabs>
        <w:spacing w:before="70" w:after="0" w:line="240" w:lineRule="auto"/>
        <w:ind w:left="897" w:right="0" w:hanging="453"/>
        <w:jc w:val="left"/>
        <w:rPr>
          <w:sz w:val="18"/>
        </w:rPr>
      </w:pPr>
      <w:r>
        <w:rPr>
          <w:spacing w:val="-1"/>
          <w:sz w:val="18"/>
        </w:rPr>
        <w:t>在驾驶证有效期内未按照中华人民共和国法律、行政法规的规定，定期对机动车驾驶证实施审验的；</w:t>
      </w:r>
    </w:p>
    <w:p>
      <w:pPr>
        <w:pStyle w:val="8"/>
        <w:numPr>
          <w:ilvl w:val="0"/>
          <w:numId w:val="8"/>
        </w:numPr>
        <w:tabs>
          <w:tab w:val="left" w:pos="898"/>
        </w:tabs>
        <w:spacing w:before="69" w:after="0" w:line="240" w:lineRule="auto"/>
        <w:ind w:left="897" w:right="0" w:hanging="453"/>
        <w:jc w:val="left"/>
        <w:rPr>
          <w:sz w:val="18"/>
        </w:rPr>
      </w:pPr>
      <w:r>
        <w:rPr>
          <w:spacing w:val="-1"/>
          <w:sz w:val="18"/>
        </w:rPr>
        <w:t>驾驶证已过有效期的。</w:t>
      </w:r>
    </w:p>
    <w:p>
      <w:pPr>
        <w:spacing w:before="69"/>
        <w:ind w:left="220" w:right="0" w:firstLine="0"/>
        <w:jc w:val="left"/>
        <w:rPr>
          <w:sz w:val="18"/>
        </w:rPr>
      </w:pPr>
      <w:r>
        <w:rPr>
          <w:rFonts w:ascii="Times New Roman" w:eastAsia="Times New Roman"/>
          <w:sz w:val="18"/>
          <w:vertAlign w:val="superscript"/>
        </w:rPr>
        <w:t>25</w:t>
      </w:r>
      <w:r>
        <w:rPr>
          <w:rFonts w:ascii="Times New Roman" w:eastAsia="Times New Roman"/>
          <w:spacing w:val="36"/>
          <w:sz w:val="18"/>
          <w:vertAlign w:val="baseline"/>
        </w:rPr>
        <w:t xml:space="preserve"> </w:t>
      </w:r>
      <w:r>
        <w:rPr>
          <w:b/>
          <w:sz w:val="18"/>
          <w:vertAlign w:val="baseline"/>
        </w:rPr>
        <w:t>无有效行驶证</w:t>
      </w:r>
      <w:r>
        <w:rPr>
          <w:spacing w:val="-2"/>
          <w:sz w:val="18"/>
          <w:vertAlign w:val="baseline"/>
        </w:rPr>
        <w:t>指下列情形之一：</w:t>
      </w:r>
    </w:p>
    <w:p>
      <w:pPr>
        <w:pStyle w:val="8"/>
        <w:numPr>
          <w:ilvl w:val="0"/>
          <w:numId w:val="9"/>
        </w:numPr>
        <w:tabs>
          <w:tab w:val="left" w:pos="898"/>
        </w:tabs>
        <w:spacing w:before="70" w:after="0" w:line="240" w:lineRule="auto"/>
        <w:ind w:left="897" w:right="0" w:hanging="453"/>
        <w:jc w:val="left"/>
        <w:rPr>
          <w:sz w:val="18"/>
        </w:rPr>
      </w:pPr>
      <w:r>
        <w:rPr>
          <w:spacing w:val="-2"/>
          <w:sz w:val="18"/>
        </w:rPr>
        <w:t>未取得行驶证；</w:t>
      </w:r>
    </w:p>
    <w:p>
      <w:pPr>
        <w:pStyle w:val="8"/>
        <w:numPr>
          <w:ilvl w:val="0"/>
          <w:numId w:val="9"/>
        </w:numPr>
        <w:tabs>
          <w:tab w:val="left" w:pos="898"/>
        </w:tabs>
        <w:spacing w:before="69" w:after="0" w:line="240" w:lineRule="auto"/>
        <w:ind w:left="897" w:right="0" w:hanging="453"/>
        <w:jc w:val="left"/>
        <w:rPr>
          <w:sz w:val="18"/>
        </w:rPr>
      </w:pPr>
      <w:r>
        <w:rPr>
          <w:spacing w:val="-1"/>
          <w:sz w:val="18"/>
        </w:rPr>
        <w:t>机动车被依法注销登记的；</w:t>
      </w:r>
    </w:p>
    <w:p>
      <w:pPr>
        <w:pStyle w:val="8"/>
        <w:numPr>
          <w:ilvl w:val="0"/>
          <w:numId w:val="9"/>
        </w:numPr>
        <w:tabs>
          <w:tab w:val="left" w:pos="898"/>
        </w:tabs>
        <w:spacing w:before="70" w:after="0" w:line="240" w:lineRule="auto"/>
        <w:ind w:left="897" w:right="0" w:hanging="453"/>
        <w:jc w:val="left"/>
        <w:rPr>
          <w:sz w:val="18"/>
        </w:rPr>
      </w:pPr>
      <w:r>
        <w:rPr>
          <w:spacing w:val="-1"/>
          <w:sz w:val="18"/>
        </w:rPr>
        <w:t>未依法按时进行或通过机动车安全技术检验。</w:t>
      </w:r>
    </w:p>
    <w:p>
      <w:pPr>
        <w:spacing w:before="69"/>
        <w:ind w:left="220" w:right="0" w:firstLine="0"/>
        <w:jc w:val="both"/>
        <w:rPr>
          <w:sz w:val="18"/>
        </w:rPr>
      </w:pPr>
      <w:r>
        <w:rPr>
          <w:rFonts w:ascii="Times New Roman" w:eastAsia="Times New Roman"/>
          <w:sz w:val="18"/>
          <w:vertAlign w:val="superscript"/>
        </w:rPr>
        <w:t>26</w:t>
      </w:r>
      <w:r>
        <w:rPr>
          <w:rFonts w:ascii="Times New Roman" w:eastAsia="Times New Roman"/>
          <w:spacing w:val="41"/>
          <w:sz w:val="18"/>
          <w:vertAlign w:val="baseline"/>
        </w:rPr>
        <w:t xml:space="preserve"> </w:t>
      </w:r>
      <w:r>
        <w:rPr>
          <w:b/>
          <w:sz w:val="18"/>
          <w:vertAlign w:val="baseline"/>
        </w:rPr>
        <w:t>机动车</w:t>
      </w:r>
      <w:r>
        <w:rPr>
          <w:spacing w:val="-1"/>
          <w:sz w:val="18"/>
          <w:vertAlign w:val="baseline"/>
        </w:rPr>
        <w:t>指以动力装置驱动或牵引，上道路行驶的供人员乘用或用于运送物品以及进行工程专项作业的轮式车辆。</w:t>
      </w:r>
    </w:p>
    <w:p>
      <w:pPr>
        <w:spacing w:before="69" w:line="312" w:lineRule="auto"/>
        <w:ind w:left="445" w:right="236" w:hanging="226"/>
        <w:jc w:val="both"/>
        <w:rPr>
          <w:sz w:val="18"/>
        </w:rPr>
      </w:pPr>
      <w:r>
        <w:rPr>
          <w:rFonts w:ascii="Times New Roman" w:eastAsia="Times New Roman"/>
          <w:position w:val="6"/>
          <w:sz w:val="12"/>
        </w:rPr>
        <w:t>27</w:t>
      </w:r>
      <w:r>
        <w:rPr>
          <w:rFonts w:ascii="Times New Roman" w:eastAsia="Times New Roman"/>
          <w:spacing w:val="-8"/>
          <w:position w:val="6"/>
          <w:sz w:val="12"/>
        </w:rPr>
        <w:t xml:space="preserve"> </w:t>
      </w:r>
      <w:r>
        <w:rPr>
          <w:b/>
          <w:sz w:val="18"/>
        </w:rPr>
        <w:t>感染艾滋病病毒或患艾滋病：</w:t>
      </w:r>
      <w:r>
        <w:rPr>
          <w:spacing w:val="-2"/>
          <w:sz w:val="18"/>
        </w:rPr>
        <w:t xml:space="preserve">艾滋病病毒指人类免疫缺陷病毒，英文缩写为 </w:t>
      </w:r>
      <w:r>
        <w:rPr>
          <w:rFonts w:ascii="Times New Roman" w:eastAsia="Times New Roman"/>
          <w:sz w:val="18"/>
        </w:rPr>
        <w:t>HIV</w:t>
      </w:r>
      <w:r>
        <w:rPr>
          <w:sz w:val="18"/>
        </w:rPr>
        <w:t>。艾滋病指人类免疫缺陷病毒引起的获得</w:t>
      </w:r>
      <w:r>
        <w:rPr>
          <w:spacing w:val="-2"/>
          <w:sz w:val="18"/>
        </w:rPr>
        <w:t xml:space="preserve">性免疫缺陷综合征，英文缩写为 </w:t>
      </w:r>
      <w:r>
        <w:rPr>
          <w:rFonts w:ascii="Times New Roman" w:eastAsia="Times New Roman"/>
          <w:sz w:val="18"/>
        </w:rPr>
        <w:t>AIDS</w:t>
      </w:r>
      <w:r>
        <w:rPr>
          <w:sz w:val="18"/>
        </w:rPr>
        <w:t>。在人体血液或其它样本中检测到艾滋病病毒或其抗体呈阳性，没有出现临床症状</w:t>
      </w:r>
      <w:r>
        <w:rPr>
          <w:spacing w:val="-2"/>
          <w:sz w:val="18"/>
        </w:rPr>
        <w:t>或体征的，为感染艾滋病病毒；如果同时出现了明显临床症状或体征的，为患艾滋病。</w:t>
      </w:r>
    </w:p>
    <w:p>
      <w:pPr>
        <w:spacing w:before="1" w:line="312" w:lineRule="auto"/>
        <w:ind w:left="445" w:right="236" w:hanging="226"/>
        <w:jc w:val="both"/>
        <w:rPr>
          <w:sz w:val="18"/>
        </w:rPr>
      </w:pPr>
      <w:r>
        <w:rPr>
          <w:rFonts w:ascii="Times New Roman" w:eastAsia="Times New Roman"/>
          <w:sz w:val="18"/>
          <w:vertAlign w:val="superscript"/>
        </w:rPr>
        <w:t>28</w:t>
      </w:r>
      <w:r>
        <w:rPr>
          <w:rFonts w:ascii="Times New Roman" w:eastAsia="Times New Roman"/>
          <w:sz w:val="18"/>
          <w:vertAlign w:val="baseline"/>
        </w:rPr>
        <w:t xml:space="preserve"> </w:t>
      </w:r>
      <w:r>
        <w:rPr>
          <w:b/>
          <w:sz w:val="18"/>
          <w:vertAlign w:val="baseline"/>
        </w:rPr>
        <w:t>遗传性疾病</w:t>
      </w:r>
      <w:r>
        <w:rPr>
          <w:sz w:val="18"/>
          <w:vertAlign w:val="baseline"/>
        </w:rPr>
        <w:t>指生殖细胞或受精卵的遗传物质（染色体和基因）发生突变或畸变所引起的疾病，通常具有由亲代传至后代的</w:t>
      </w:r>
      <w:r>
        <w:rPr>
          <w:spacing w:val="-2"/>
          <w:sz w:val="18"/>
          <w:vertAlign w:val="baseline"/>
        </w:rPr>
        <w:t>垂直传递的特征。</w:t>
      </w:r>
    </w:p>
    <w:p>
      <w:pPr>
        <w:spacing w:before="0" w:line="312" w:lineRule="auto"/>
        <w:ind w:left="445" w:right="236" w:hanging="226"/>
        <w:jc w:val="both"/>
        <w:rPr>
          <w:sz w:val="18"/>
        </w:rPr>
      </w:pPr>
      <w:r>
        <w:rPr>
          <w:rFonts w:ascii="Times New Roman" w:eastAsia="Times New Roman"/>
          <w:sz w:val="18"/>
          <w:vertAlign w:val="superscript"/>
        </w:rPr>
        <w:t>29</w:t>
      </w:r>
      <w:r>
        <w:rPr>
          <w:rFonts w:ascii="Times New Roman" w:eastAsia="Times New Roman"/>
          <w:spacing w:val="-1"/>
          <w:sz w:val="18"/>
          <w:vertAlign w:val="baseline"/>
        </w:rPr>
        <w:t xml:space="preserve"> </w:t>
      </w:r>
      <w:r>
        <w:rPr>
          <w:b/>
          <w:sz w:val="18"/>
          <w:vertAlign w:val="baseline"/>
        </w:rPr>
        <w:t>先天性畸形、变形或染色体异常</w:t>
      </w:r>
      <w:r>
        <w:rPr>
          <w:sz w:val="18"/>
          <w:vertAlign w:val="baseline"/>
        </w:rPr>
        <w:t>指被保险人出生时就具有的畸形、变形或染色体异常。先天性畸形、变形和染色体异常依</w:t>
      </w:r>
      <w:r>
        <w:rPr>
          <w:spacing w:val="-6"/>
          <w:sz w:val="18"/>
          <w:vertAlign w:val="baseline"/>
        </w:rPr>
        <w:t>照世界卫生组织《疾病和有关健康问题的国际统计分类》</w:t>
      </w:r>
      <w:r>
        <w:rPr>
          <w:spacing w:val="-2"/>
          <w:sz w:val="18"/>
          <w:vertAlign w:val="baseline"/>
        </w:rPr>
        <w:t>（</w:t>
      </w:r>
      <w:r>
        <w:rPr>
          <w:rFonts w:ascii="Times New Roman" w:eastAsia="Times New Roman"/>
          <w:spacing w:val="-2"/>
          <w:sz w:val="18"/>
          <w:vertAlign w:val="baseline"/>
        </w:rPr>
        <w:t>ICD</w:t>
      </w:r>
      <w:r>
        <w:rPr>
          <w:spacing w:val="-2"/>
          <w:sz w:val="18"/>
          <w:vertAlign w:val="baseline"/>
        </w:rPr>
        <w:t>-</w:t>
      </w:r>
      <w:r>
        <w:rPr>
          <w:rFonts w:ascii="Times New Roman" w:eastAsia="Times New Roman"/>
          <w:spacing w:val="-2"/>
          <w:sz w:val="18"/>
          <w:vertAlign w:val="baseline"/>
        </w:rPr>
        <w:t>10</w:t>
      </w:r>
      <w:r>
        <w:rPr>
          <w:spacing w:val="-2"/>
          <w:sz w:val="18"/>
          <w:vertAlign w:val="baseline"/>
        </w:rPr>
        <w:t>）确定。</w:t>
      </w:r>
    </w:p>
    <w:p>
      <w:pPr>
        <w:spacing w:before="1"/>
        <w:ind w:left="220" w:right="0" w:firstLine="0"/>
        <w:jc w:val="both"/>
        <w:rPr>
          <w:sz w:val="18"/>
        </w:rPr>
      </w:pPr>
      <w:r>
        <w:rPr>
          <w:rFonts w:ascii="Times New Roman" w:eastAsia="Times New Roman"/>
          <w:sz w:val="18"/>
          <w:vertAlign w:val="superscript"/>
        </w:rPr>
        <w:t>30</w:t>
      </w:r>
      <w:r>
        <w:rPr>
          <w:rFonts w:ascii="Times New Roman" w:eastAsia="Times New Roman"/>
          <w:spacing w:val="41"/>
          <w:sz w:val="18"/>
          <w:vertAlign w:val="baseline"/>
        </w:rPr>
        <w:t xml:space="preserve"> </w:t>
      </w:r>
      <w:r>
        <w:rPr>
          <w:b/>
          <w:sz w:val="18"/>
          <w:vertAlign w:val="baseline"/>
        </w:rPr>
        <w:t>既往症</w:t>
      </w:r>
      <w:r>
        <w:rPr>
          <w:spacing w:val="-1"/>
          <w:sz w:val="18"/>
          <w:vertAlign w:val="baseline"/>
        </w:rPr>
        <w:t>指在本合同生效之前罹患的被保险人已知或应该知道的有关疾病或症状。通常有以下情形：</w:t>
      </w:r>
    </w:p>
    <w:p>
      <w:pPr>
        <w:pStyle w:val="8"/>
        <w:numPr>
          <w:ilvl w:val="0"/>
          <w:numId w:val="10"/>
        </w:numPr>
        <w:tabs>
          <w:tab w:val="left" w:pos="898"/>
        </w:tabs>
        <w:spacing w:before="69" w:after="0" w:line="240" w:lineRule="auto"/>
        <w:ind w:left="897" w:right="0" w:hanging="453"/>
        <w:jc w:val="left"/>
        <w:rPr>
          <w:sz w:val="18"/>
        </w:rPr>
      </w:pPr>
      <w:r>
        <w:rPr>
          <w:spacing w:val="-1"/>
          <w:sz w:val="18"/>
        </w:rPr>
        <w:t>本合同生效前，医生已有明确诊断，长期治疗未间断；</w:t>
      </w:r>
    </w:p>
    <w:p>
      <w:pPr>
        <w:pStyle w:val="8"/>
        <w:numPr>
          <w:ilvl w:val="0"/>
          <w:numId w:val="10"/>
        </w:numPr>
        <w:tabs>
          <w:tab w:val="left" w:pos="898"/>
        </w:tabs>
        <w:spacing w:before="69" w:after="0" w:line="240" w:lineRule="auto"/>
        <w:ind w:left="897" w:right="0" w:hanging="453"/>
        <w:jc w:val="left"/>
        <w:rPr>
          <w:sz w:val="18"/>
        </w:rPr>
      </w:pPr>
      <w:r>
        <w:rPr>
          <w:spacing w:val="-1"/>
          <w:sz w:val="18"/>
        </w:rPr>
        <w:t>本合同生效前，医生已有明确诊断，治疗后症状未完全消失，有间断用药情况；</w:t>
      </w:r>
    </w:p>
    <w:p>
      <w:pPr>
        <w:pStyle w:val="8"/>
        <w:numPr>
          <w:ilvl w:val="0"/>
          <w:numId w:val="10"/>
        </w:numPr>
        <w:tabs>
          <w:tab w:val="left" w:pos="898"/>
        </w:tabs>
        <w:spacing w:before="70" w:after="0" w:line="240" w:lineRule="auto"/>
        <w:ind w:left="897" w:right="0" w:hanging="453"/>
        <w:jc w:val="left"/>
        <w:rPr>
          <w:sz w:val="18"/>
        </w:rPr>
      </w:pPr>
      <w:r>
        <w:rPr>
          <w:spacing w:val="-1"/>
          <w:sz w:val="18"/>
        </w:rPr>
        <w:t>本合同生效前发生，未经医生诊断和治疗，但症状明显且持续存在，以普通人医学常识应当知晓。</w:t>
      </w:r>
    </w:p>
    <w:p>
      <w:pPr>
        <w:spacing w:before="69" w:line="312" w:lineRule="auto"/>
        <w:ind w:left="445" w:right="236" w:hanging="226"/>
        <w:jc w:val="left"/>
        <w:rPr>
          <w:sz w:val="18"/>
        </w:rPr>
      </w:pPr>
      <w:r>
        <w:rPr>
          <w:rFonts w:ascii="Times New Roman" w:eastAsia="Times New Roman"/>
          <w:sz w:val="18"/>
          <w:vertAlign w:val="superscript"/>
        </w:rPr>
        <w:t>31</w:t>
      </w:r>
      <w:r>
        <w:rPr>
          <w:rFonts w:ascii="Times New Roman" w:eastAsia="Times New Roman"/>
          <w:spacing w:val="15"/>
          <w:sz w:val="18"/>
          <w:vertAlign w:val="baseline"/>
        </w:rPr>
        <w:t xml:space="preserve"> </w:t>
      </w:r>
      <w:r>
        <w:rPr>
          <w:b/>
          <w:sz w:val="18"/>
          <w:vertAlign w:val="baseline"/>
        </w:rPr>
        <w:t>康复性治疗</w:t>
      </w:r>
      <w:r>
        <w:rPr>
          <w:spacing w:val="-14"/>
          <w:sz w:val="18"/>
          <w:vertAlign w:val="baseline"/>
        </w:rPr>
        <w:t>指在康复医院、康复中心、普通医院的康复科诊治或接受以促进机体各项功能恢复为目的的医疗方法，如理疗、</w:t>
      </w:r>
      <w:r>
        <w:rPr>
          <w:spacing w:val="-2"/>
          <w:sz w:val="18"/>
          <w:vertAlign w:val="baseline"/>
        </w:rPr>
        <w:t>按摩、推拿、生物反馈疗法、康复营养、康复护理等。</w:t>
      </w:r>
    </w:p>
    <w:p>
      <w:pPr>
        <w:spacing w:after="0" w:line="312" w:lineRule="auto"/>
        <w:jc w:val="left"/>
        <w:rPr>
          <w:sz w:val="18"/>
        </w:rPr>
        <w:sectPr>
          <w:pgSz w:w="11910" w:h="16840"/>
          <w:pgMar w:top="1380" w:right="840" w:bottom="280" w:left="860" w:header="720" w:footer="720" w:gutter="0"/>
          <w:cols w:space="720" w:num="1"/>
        </w:sectPr>
      </w:pPr>
    </w:p>
    <w:p>
      <w:pPr>
        <w:pStyle w:val="4"/>
        <w:spacing w:before="47" w:line="278" w:lineRule="auto"/>
        <w:ind w:left="3892" w:right="238"/>
        <w:rPr>
          <w:rFonts w:ascii="黑体" w:eastAsia="黑体"/>
        </w:rPr>
      </w:pPr>
      <w:r>
        <w:rPr>
          <w:rFonts w:ascii="黑体" w:eastAsia="黑体"/>
          <w:color w:val="000000"/>
          <w:spacing w:val="-2"/>
          <w:shd w:val="clear" w:color="auto" w:fill="D9D9D9"/>
        </w:rPr>
        <w:t>牙科治疗（包括牙科保健、拔牙、洗牙、牙齿美白、牙齿正畸、补</w:t>
      </w:r>
      <w:r>
        <w:rPr>
          <w:rFonts w:ascii="黑体" w:eastAsia="黑体"/>
          <w:color w:val="000000"/>
          <w:spacing w:val="80"/>
          <w:w w:val="150"/>
          <w:shd w:val="clear" w:color="auto" w:fill="D9D9D9"/>
        </w:rPr>
        <w:t xml:space="preserve">                                 </w:t>
      </w:r>
      <w:r>
        <w:rPr>
          <w:rFonts w:ascii="黑体" w:eastAsia="黑体"/>
          <w:color w:val="000000"/>
          <w:spacing w:val="-2"/>
          <w:shd w:val="clear" w:color="auto" w:fill="D9D9D9"/>
        </w:rPr>
        <w:t>牙、种植牙、镶牙等</w:t>
      </w:r>
      <w:r>
        <w:rPr>
          <w:rFonts w:ascii="黑体" w:eastAsia="黑体"/>
          <w:color w:val="000000"/>
          <w:spacing w:val="-106"/>
          <w:shd w:val="clear" w:color="auto" w:fill="D9D9D9"/>
        </w:rPr>
        <w:t>）</w:t>
      </w:r>
      <w:r>
        <w:rPr>
          <w:rFonts w:ascii="黑体" w:eastAsia="黑体"/>
          <w:color w:val="000000"/>
          <w:shd w:val="clear" w:color="auto" w:fill="D9D9D9"/>
        </w:rPr>
        <w:t>；</w:t>
      </w:r>
    </w:p>
    <w:p>
      <w:pPr>
        <w:pStyle w:val="8"/>
        <w:numPr>
          <w:ilvl w:val="1"/>
          <w:numId w:val="10"/>
        </w:numPr>
        <w:tabs>
          <w:tab w:val="left" w:pos="3893"/>
        </w:tabs>
        <w:spacing w:before="0" w:after="0" w:line="278" w:lineRule="auto"/>
        <w:ind w:left="3892" w:right="234" w:hanging="632"/>
        <w:jc w:val="both"/>
        <w:rPr>
          <w:rFonts w:ascii="黑体" w:eastAsia="黑体"/>
          <w:sz w:val="21"/>
        </w:rPr>
      </w:pPr>
      <w:r>
        <w:rPr>
          <w:rFonts w:ascii="黑体" w:eastAsia="黑体"/>
          <w:color w:val="000000"/>
          <w:spacing w:val="-2"/>
          <w:sz w:val="21"/>
          <w:shd w:val="clear" w:color="auto" w:fill="D9D9D9"/>
        </w:rPr>
        <w:t>体内植入或体外使用的医疗辅助设备（包括义肢、假体、义眼、助</w:t>
      </w:r>
      <w:r>
        <w:rPr>
          <w:rFonts w:ascii="黑体" w:eastAsia="黑体"/>
          <w:color w:val="000000"/>
          <w:spacing w:val="40"/>
          <w:sz w:val="21"/>
          <w:shd w:val="clear" w:color="auto" w:fill="D9D9D9"/>
        </w:rPr>
        <w:t xml:space="preserve"> </w:t>
      </w:r>
      <w:r>
        <w:rPr>
          <w:rFonts w:ascii="黑体" w:eastAsia="黑体"/>
          <w:color w:val="000000"/>
          <w:spacing w:val="-2"/>
          <w:sz w:val="21"/>
          <w:shd w:val="clear" w:color="auto" w:fill="D9D9D9"/>
        </w:rPr>
        <w:t>听器、眼镜或隐形眼镜、轮椅、拐杖、康复治疗器械、按摩保健用品、非处方医疗器械等）的购买、租用、安装和置换费用；</w:t>
      </w:r>
    </w:p>
    <w:p>
      <w:pPr>
        <w:pStyle w:val="8"/>
        <w:numPr>
          <w:ilvl w:val="1"/>
          <w:numId w:val="10"/>
        </w:numPr>
        <w:tabs>
          <w:tab w:val="left" w:pos="3893"/>
        </w:tabs>
        <w:spacing w:before="0" w:after="0" w:line="278" w:lineRule="auto"/>
        <w:ind w:left="3892" w:right="236" w:hanging="632"/>
        <w:jc w:val="left"/>
        <w:rPr>
          <w:rFonts w:ascii="黑体" w:eastAsia="黑体"/>
          <w:sz w:val="21"/>
        </w:rPr>
      </w:pPr>
      <w:r>
        <w:rPr>
          <w:rFonts w:ascii="黑体" w:eastAsia="黑体"/>
          <w:color w:val="000000"/>
          <w:spacing w:val="-2"/>
          <w:sz w:val="21"/>
          <w:shd w:val="clear" w:color="auto" w:fill="D9D9D9"/>
        </w:rPr>
        <w:t>包皮环切术、包皮剥离术、包皮气囊扩张术、性功能障碍治疗、各</w:t>
      </w:r>
      <w:r>
        <w:rPr>
          <w:rFonts w:ascii="黑体" w:eastAsia="黑体"/>
          <w:color w:val="000000"/>
          <w:spacing w:val="11655"/>
          <w:sz w:val="21"/>
          <w:shd w:val="clear" w:color="auto" w:fill="D9D9D9"/>
        </w:rPr>
        <w:t xml:space="preserve"> </w:t>
      </w:r>
      <w:r>
        <w:rPr>
          <w:rFonts w:ascii="黑体" w:eastAsia="黑体"/>
          <w:color w:val="000000"/>
          <w:spacing w:val="-2"/>
          <w:sz w:val="21"/>
          <w:shd w:val="clear" w:color="auto" w:fill="D9D9D9"/>
        </w:rPr>
        <w:t>类矫形及生理缺陷治疗（手术和检查检验项目</w:t>
      </w:r>
      <w:r>
        <w:rPr>
          <w:rFonts w:ascii="黑体" w:eastAsia="黑体"/>
          <w:color w:val="000000"/>
          <w:spacing w:val="-106"/>
          <w:sz w:val="21"/>
          <w:shd w:val="clear" w:color="auto" w:fill="D9D9D9"/>
        </w:rPr>
        <w:t>）</w:t>
      </w:r>
      <w:r>
        <w:rPr>
          <w:rFonts w:ascii="黑体" w:eastAsia="黑体"/>
          <w:color w:val="000000"/>
          <w:sz w:val="21"/>
          <w:shd w:val="clear" w:color="auto" w:fill="D9D9D9"/>
        </w:rPr>
        <w:t>；</w:t>
      </w:r>
    </w:p>
    <w:p>
      <w:pPr>
        <w:pStyle w:val="8"/>
        <w:numPr>
          <w:ilvl w:val="1"/>
          <w:numId w:val="10"/>
        </w:numPr>
        <w:tabs>
          <w:tab w:val="left" w:pos="3896"/>
        </w:tabs>
        <w:spacing w:before="0" w:after="0" w:line="278" w:lineRule="auto"/>
        <w:ind w:left="3892" w:right="234" w:hanging="632"/>
        <w:jc w:val="both"/>
        <w:rPr>
          <w:rFonts w:ascii="黑体" w:eastAsia="黑体"/>
          <w:sz w:val="21"/>
        </w:rPr>
      </w:pPr>
      <w:r>
        <w:rPr>
          <w:rFonts w:ascii="黑体" w:eastAsia="黑体"/>
          <w:color w:val="000000"/>
          <w:spacing w:val="-2"/>
          <w:sz w:val="21"/>
          <w:shd w:val="clear" w:color="auto" w:fill="D9D9D9"/>
        </w:rPr>
        <w:t>被保险人未遵医嘱私自服用、涂用、注射药物，未遵医嘱使用管制</w:t>
      </w:r>
      <w:r>
        <w:rPr>
          <w:rFonts w:ascii="黑体" w:eastAsia="黑体"/>
          <w:color w:val="000000"/>
          <w:spacing w:val="11655"/>
          <w:sz w:val="21"/>
          <w:shd w:val="clear" w:color="auto" w:fill="D9D9D9"/>
        </w:rPr>
        <w:t xml:space="preserve"> </w:t>
      </w:r>
      <w:r>
        <w:rPr>
          <w:rFonts w:ascii="黑体" w:eastAsia="黑体"/>
          <w:color w:val="000000"/>
          <w:spacing w:val="-2"/>
          <w:sz w:val="21"/>
          <w:shd w:val="clear" w:color="auto" w:fill="D9D9D9"/>
        </w:rPr>
        <w:t>药物或处方药物，未按说明书所示的内容使用非处方药物，使用非医院药房购买的药品、未经专科医生处方自行购买的药品、有毒物</w:t>
      </w:r>
      <w:r>
        <w:rPr>
          <w:rFonts w:ascii="黑体" w:eastAsia="黑体"/>
          <w:color w:val="000000"/>
          <w:spacing w:val="-3"/>
          <w:sz w:val="21"/>
          <w:shd w:val="clear" w:color="auto" w:fill="D9D9D9"/>
        </w:rPr>
        <w:t xml:space="preserve">质，专科医生开具的超过 </w:t>
      </w:r>
      <w:r>
        <w:rPr>
          <w:rFonts w:ascii="黑体" w:eastAsia="黑体"/>
          <w:color w:val="000000"/>
          <w:sz w:val="21"/>
          <w:shd w:val="clear" w:color="auto" w:fill="D9D9D9"/>
        </w:rPr>
        <w:t>30</w:t>
      </w:r>
      <w:r>
        <w:rPr>
          <w:rFonts w:ascii="黑体" w:eastAsia="黑体"/>
          <w:color w:val="000000"/>
          <w:spacing w:val="-5"/>
          <w:sz w:val="21"/>
          <w:shd w:val="clear" w:color="auto" w:fill="D9D9D9"/>
        </w:rPr>
        <w:t xml:space="preserve"> 日部分的药品费用；</w:t>
      </w:r>
    </w:p>
    <w:p>
      <w:pPr>
        <w:pStyle w:val="8"/>
        <w:numPr>
          <w:ilvl w:val="1"/>
          <w:numId w:val="10"/>
        </w:numPr>
        <w:tabs>
          <w:tab w:val="left" w:pos="3901"/>
        </w:tabs>
        <w:spacing w:before="0" w:after="0" w:line="271" w:lineRule="auto"/>
        <w:ind w:left="3892" w:right="234" w:hanging="632"/>
        <w:jc w:val="both"/>
        <w:rPr>
          <w:rFonts w:ascii="黑体" w:eastAsia="黑体"/>
          <w:sz w:val="21"/>
        </w:rPr>
      </w:pPr>
      <w:r>
        <w:rPr>
          <w:rFonts w:ascii="黑体" w:eastAsia="黑体"/>
          <w:color w:val="000000"/>
          <w:spacing w:val="-2"/>
          <w:sz w:val="21"/>
          <w:shd w:val="clear" w:color="auto" w:fill="D9D9D9"/>
        </w:rPr>
        <w:t>被保险人从事</w:t>
      </w:r>
      <w:r>
        <w:rPr>
          <w:rFonts w:hint="eastAsia" w:ascii="黑体" w:eastAsia="黑体"/>
          <w:b/>
          <w:color w:val="000000"/>
          <w:spacing w:val="-2"/>
          <w:sz w:val="21"/>
          <w:shd w:val="clear" w:color="auto" w:fill="D9D9D9"/>
        </w:rPr>
        <w:t>潜水</w:t>
      </w:r>
      <w:r>
        <w:rPr>
          <w:rFonts w:hint="eastAsia" w:ascii="黑体" w:eastAsia="黑体"/>
          <w:b/>
          <w:color w:val="000000"/>
          <w:spacing w:val="-2"/>
          <w:position w:val="11"/>
          <w:sz w:val="11"/>
        </w:rPr>
        <w:t>32</w:t>
      </w:r>
      <w:r>
        <w:rPr>
          <w:rFonts w:ascii="黑体" w:eastAsia="黑体"/>
          <w:color w:val="000000"/>
          <w:spacing w:val="-2"/>
          <w:sz w:val="21"/>
          <w:shd w:val="clear" w:color="auto" w:fill="D9D9D9"/>
        </w:rPr>
        <w:t>、滑水、跳伞、动力伞、滑翔翼、搭乘或驾驶</w:t>
      </w:r>
      <w:r>
        <w:rPr>
          <w:rFonts w:ascii="黑体" w:eastAsia="黑体"/>
          <w:color w:val="000000"/>
          <w:spacing w:val="40"/>
          <w:sz w:val="21"/>
          <w:shd w:val="clear" w:color="auto" w:fill="D9D9D9"/>
        </w:rPr>
        <w:t xml:space="preserve"> </w:t>
      </w:r>
      <w:r>
        <w:rPr>
          <w:rFonts w:ascii="黑体" w:eastAsia="黑体"/>
          <w:color w:val="000000"/>
          <w:spacing w:val="-2"/>
          <w:sz w:val="21"/>
          <w:shd w:val="clear" w:color="auto" w:fill="D9D9D9"/>
        </w:rPr>
        <w:t>有固定航线的付费民用商业航空班机以外的飞行器具、</w:t>
      </w:r>
      <w:r>
        <w:rPr>
          <w:rFonts w:hint="eastAsia" w:ascii="黑体" w:eastAsia="黑体"/>
          <w:b/>
          <w:color w:val="000000"/>
          <w:spacing w:val="-2"/>
          <w:sz w:val="21"/>
          <w:shd w:val="clear" w:color="auto" w:fill="D9D9D9"/>
        </w:rPr>
        <w:t>攀岩</w:t>
      </w:r>
      <w:r>
        <w:rPr>
          <w:rFonts w:hint="eastAsia" w:ascii="黑体" w:eastAsia="黑体"/>
          <w:b/>
          <w:color w:val="000000"/>
          <w:spacing w:val="-2"/>
          <w:position w:val="11"/>
          <w:sz w:val="11"/>
        </w:rPr>
        <w:t>33</w:t>
      </w:r>
      <w:r>
        <w:rPr>
          <w:rFonts w:ascii="黑体" w:eastAsia="黑体"/>
          <w:color w:val="000000"/>
          <w:spacing w:val="-2"/>
          <w:sz w:val="21"/>
          <w:shd w:val="clear" w:color="auto" w:fill="D9D9D9"/>
        </w:rPr>
        <w:t>、蹦极跳、</w:t>
      </w:r>
      <w:r>
        <w:rPr>
          <w:rFonts w:hint="eastAsia" w:ascii="黑体" w:eastAsia="黑体"/>
          <w:b/>
          <w:color w:val="000000"/>
          <w:spacing w:val="-2"/>
          <w:sz w:val="21"/>
          <w:shd w:val="clear" w:color="auto" w:fill="D9D9D9"/>
        </w:rPr>
        <w:t>探险活动</w:t>
      </w:r>
      <w:r>
        <w:rPr>
          <w:rFonts w:hint="eastAsia" w:ascii="黑体" w:eastAsia="黑体"/>
          <w:b/>
          <w:color w:val="000000"/>
          <w:spacing w:val="-2"/>
          <w:position w:val="11"/>
          <w:sz w:val="11"/>
        </w:rPr>
        <w:t>34</w:t>
      </w:r>
      <w:r>
        <w:rPr>
          <w:rFonts w:ascii="黑体" w:eastAsia="黑体"/>
          <w:color w:val="000000"/>
          <w:spacing w:val="-2"/>
          <w:sz w:val="21"/>
          <w:shd w:val="clear" w:color="auto" w:fill="D9D9D9"/>
        </w:rPr>
        <w:t>、</w:t>
      </w:r>
      <w:r>
        <w:rPr>
          <w:rFonts w:hint="eastAsia" w:ascii="黑体" w:eastAsia="黑体"/>
          <w:b/>
          <w:color w:val="000000"/>
          <w:spacing w:val="-2"/>
          <w:sz w:val="21"/>
          <w:shd w:val="clear" w:color="auto" w:fill="D9D9D9"/>
        </w:rPr>
        <w:t>武术比赛</w:t>
      </w:r>
      <w:r>
        <w:rPr>
          <w:rFonts w:hint="eastAsia" w:ascii="黑体" w:eastAsia="黑体"/>
          <w:b/>
          <w:color w:val="000000"/>
          <w:spacing w:val="-2"/>
          <w:position w:val="11"/>
          <w:sz w:val="11"/>
        </w:rPr>
        <w:t>35</w:t>
      </w:r>
      <w:r>
        <w:rPr>
          <w:rFonts w:ascii="黑体" w:eastAsia="黑体"/>
          <w:color w:val="000000"/>
          <w:spacing w:val="-2"/>
          <w:sz w:val="21"/>
          <w:shd w:val="clear" w:color="auto" w:fill="D9D9D9"/>
        </w:rPr>
        <w:t>、摔跤比赛、</w:t>
      </w:r>
      <w:r>
        <w:rPr>
          <w:rFonts w:hint="eastAsia" w:ascii="黑体" w:eastAsia="黑体"/>
          <w:b/>
          <w:color w:val="000000"/>
          <w:spacing w:val="-2"/>
          <w:sz w:val="21"/>
          <w:shd w:val="clear" w:color="auto" w:fill="D9D9D9"/>
        </w:rPr>
        <w:t>特技表演</w:t>
      </w:r>
      <w:r>
        <w:rPr>
          <w:rFonts w:hint="eastAsia" w:ascii="黑体" w:eastAsia="黑体"/>
          <w:b/>
          <w:color w:val="000000"/>
          <w:spacing w:val="-2"/>
          <w:position w:val="11"/>
          <w:sz w:val="11"/>
        </w:rPr>
        <w:t>36</w:t>
      </w:r>
      <w:r>
        <w:rPr>
          <w:rFonts w:ascii="黑体" w:eastAsia="黑体"/>
          <w:color w:val="000000"/>
          <w:spacing w:val="-2"/>
          <w:sz w:val="21"/>
          <w:shd w:val="clear" w:color="auto" w:fill="D9D9D9"/>
        </w:rPr>
        <w:t>、赛马、赛车等高风险运动；</w:t>
      </w:r>
    </w:p>
    <w:p>
      <w:pPr>
        <w:pStyle w:val="8"/>
        <w:numPr>
          <w:ilvl w:val="1"/>
          <w:numId w:val="10"/>
        </w:numPr>
        <w:tabs>
          <w:tab w:val="left" w:pos="3896"/>
        </w:tabs>
        <w:spacing w:before="1" w:after="0" w:line="240" w:lineRule="auto"/>
        <w:ind w:left="3895" w:right="0" w:hanging="636"/>
        <w:jc w:val="left"/>
        <w:rPr>
          <w:rFonts w:ascii="黑体" w:eastAsia="黑体"/>
          <w:sz w:val="21"/>
        </w:rPr>
      </w:pPr>
      <w:r>
        <w:rPr>
          <w:rFonts w:ascii="黑体" w:eastAsia="黑体"/>
          <w:color w:val="000000"/>
          <w:spacing w:val="-3"/>
          <w:sz w:val="21"/>
          <w:shd w:val="clear" w:color="auto" w:fill="D9D9D9"/>
        </w:rPr>
        <w:t>被保险人作为器官捐献者摘除捐献器官；</w:t>
      </w:r>
    </w:p>
    <w:p>
      <w:pPr>
        <w:pStyle w:val="8"/>
        <w:numPr>
          <w:ilvl w:val="1"/>
          <w:numId w:val="10"/>
        </w:numPr>
        <w:tabs>
          <w:tab w:val="left" w:pos="3893"/>
        </w:tabs>
        <w:spacing w:before="43" w:after="0" w:line="278" w:lineRule="auto"/>
        <w:ind w:left="3892" w:right="234" w:hanging="632"/>
        <w:jc w:val="both"/>
        <w:rPr>
          <w:rFonts w:ascii="黑体" w:eastAsia="黑体"/>
          <w:sz w:val="21"/>
        </w:rPr>
      </w:pPr>
      <w:r>
        <w:rPr>
          <w:rFonts w:ascii="黑体" w:eastAsia="黑体"/>
          <w:color w:val="000000"/>
          <w:spacing w:val="-2"/>
          <w:sz w:val="21"/>
          <w:shd w:val="clear" w:color="auto" w:fill="D9D9D9"/>
        </w:rPr>
        <w:t>被保险人接受未经科学或医学认可的试验性或研究性治疗，或接受</w:t>
      </w:r>
      <w:r>
        <w:rPr>
          <w:rFonts w:ascii="黑体" w:eastAsia="黑体"/>
          <w:color w:val="000000"/>
          <w:spacing w:val="11655"/>
          <w:sz w:val="21"/>
          <w:shd w:val="clear" w:color="auto" w:fill="D9D9D9"/>
        </w:rPr>
        <w:t xml:space="preserve"> </w:t>
      </w:r>
      <w:r>
        <w:rPr>
          <w:rFonts w:ascii="黑体" w:eastAsia="黑体"/>
          <w:color w:val="000000"/>
          <w:spacing w:val="-2"/>
          <w:sz w:val="21"/>
          <w:shd w:val="clear" w:color="auto" w:fill="D9D9D9"/>
        </w:rPr>
        <w:t>未被治疗所在地权威部门批准的治疗，或使用未获得治疗所在地政府许可或批准的药品或药物。</w:t>
      </w:r>
    </w:p>
    <w:p>
      <w:pPr>
        <w:pStyle w:val="4"/>
        <w:spacing w:before="2"/>
        <w:rPr>
          <w:rFonts w:ascii="黑体"/>
          <w:sz w:val="25"/>
        </w:rPr>
      </w:pPr>
    </w:p>
    <w:p>
      <w:pPr>
        <w:tabs>
          <w:tab w:val="left" w:pos="1196"/>
        </w:tabs>
        <w:spacing w:before="0"/>
        <w:ind w:left="220" w:right="0" w:firstLine="0"/>
        <w:jc w:val="left"/>
        <w:rPr>
          <w:sz w:val="21"/>
        </w:rPr>
      </w:pPr>
      <w:r>
        <w:rPr>
          <w:rFonts w:ascii="Wingdings 2" w:hAnsi="Wingdings 2" w:eastAsia="Wingdings 2"/>
          <w:b/>
          <w:spacing w:val="-10"/>
          <w:position w:val="-5"/>
          <w:sz w:val="52"/>
        </w:rPr>
        <w:t></w:t>
      </w:r>
      <w:r>
        <w:rPr>
          <w:rFonts w:ascii="Times New Roman" w:hAnsi="Times New Roman" w:eastAsia="Times New Roman"/>
          <w:position w:val="-5"/>
          <w:sz w:val="52"/>
        </w:rPr>
        <w:tab/>
      </w:r>
      <w:r>
        <w:rPr>
          <w:b/>
          <w:spacing w:val="-2"/>
          <w:sz w:val="28"/>
        </w:rPr>
        <w:t>如何支付保险费</w:t>
      </w:r>
      <w:r>
        <w:rPr>
          <w:b/>
          <w:spacing w:val="5"/>
          <w:sz w:val="28"/>
        </w:rPr>
        <w:t xml:space="preserve"> </w:t>
      </w:r>
      <w:r>
        <w:rPr>
          <w:spacing w:val="-3"/>
          <w:sz w:val="21"/>
        </w:rPr>
        <w:t>这部分讲的是您应按时交纳保险费。</w:t>
      </w:r>
    </w:p>
    <w:p>
      <w:pPr>
        <w:tabs>
          <w:tab w:val="left" w:pos="1196"/>
          <w:tab w:val="left" w:pos="3260"/>
        </w:tabs>
        <w:spacing w:before="377"/>
        <w:ind w:left="220" w:right="0" w:firstLine="0"/>
        <w:jc w:val="left"/>
        <w:rPr>
          <w:sz w:val="21"/>
        </w:rPr>
      </w:pPr>
      <w:r>
        <w:rPr>
          <w:b/>
          <w:spacing w:val="-5"/>
          <w:sz w:val="21"/>
        </w:rPr>
        <w:t>3.1</w:t>
      </w:r>
      <w:r>
        <w:rPr>
          <w:b/>
          <w:sz w:val="21"/>
        </w:rPr>
        <w:tab/>
      </w:r>
      <w:r>
        <w:rPr>
          <w:b/>
          <w:sz w:val="21"/>
        </w:rPr>
        <w:t>保险费的支</w:t>
      </w:r>
      <w:r>
        <w:rPr>
          <w:b/>
          <w:spacing w:val="-10"/>
          <w:sz w:val="21"/>
        </w:rPr>
        <w:t>付</w:t>
      </w:r>
      <w:r>
        <w:rPr>
          <w:b/>
          <w:sz w:val="21"/>
        </w:rPr>
        <w:tab/>
      </w:r>
      <w:r>
        <w:rPr>
          <w:spacing w:val="-2"/>
          <w:sz w:val="21"/>
        </w:rPr>
        <w:t>本合同的保险费由您在投保时一次交清或按月交纳，并在保险单上载明</w:t>
      </w:r>
      <w:r>
        <w:rPr>
          <w:spacing w:val="-10"/>
          <w:sz w:val="21"/>
        </w:rPr>
        <w:t>。</w:t>
      </w:r>
    </w:p>
    <w:p>
      <w:pPr>
        <w:pStyle w:val="4"/>
        <w:spacing w:before="43" w:line="278" w:lineRule="auto"/>
        <w:ind w:left="3260" w:right="234"/>
      </w:pPr>
      <w:r>
        <w:rPr>
          <w:spacing w:val="-2"/>
        </w:rPr>
        <w:t>本合同的保险费率由您选择的保障计划、可选责任、被保险人的年龄和被保险人是否享有基本医疗保险、城乡居民大病保险或公费医疗确定。</w:t>
      </w:r>
    </w:p>
    <w:p>
      <w:pPr>
        <w:pStyle w:val="4"/>
        <w:spacing w:before="2"/>
        <w:rPr>
          <w:sz w:val="25"/>
        </w:rPr>
      </w:pPr>
    </w:p>
    <w:p>
      <w:pPr>
        <w:tabs>
          <w:tab w:val="left" w:pos="1196"/>
        </w:tabs>
        <w:spacing w:before="1"/>
        <w:ind w:left="220" w:right="0" w:firstLine="0"/>
        <w:jc w:val="left"/>
        <w:rPr>
          <w:sz w:val="21"/>
        </w:rPr>
      </w:pPr>
      <w:r>
        <w:rPr>
          <w:rFonts w:ascii="Wingdings 2" w:hAnsi="Wingdings 2" w:eastAsia="Wingdings 2"/>
          <w:spacing w:val="-10"/>
          <w:position w:val="-5"/>
          <w:sz w:val="52"/>
        </w:rPr>
        <w:t></w:t>
      </w:r>
      <w:r>
        <w:rPr>
          <w:rFonts w:ascii="Times New Roman" w:hAnsi="Times New Roman" w:eastAsia="Times New Roman"/>
          <w:position w:val="-5"/>
          <w:sz w:val="52"/>
        </w:rPr>
        <w:tab/>
      </w:r>
      <w:r>
        <w:rPr>
          <w:b/>
          <w:spacing w:val="-2"/>
          <w:sz w:val="28"/>
        </w:rPr>
        <w:t>如何领取保险金</w:t>
      </w:r>
      <w:r>
        <w:rPr>
          <w:b/>
          <w:spacing w:val="7"/>
          <w:sz w:val="28"/>
        </w:rPr>
        <w:t xml:space="preserve"> </w:t>
      </w:r>
      <w:r>
        <w:rPr>
          <w:spacing w:val="-3"/>
          <w:sz w:val="21"/>
        </w:rPr>
        <w:t>这部分讲的是谁有权领取，如何领取保险金。</w:t>
      </w:r>
    </w:p>
    <w:p>
      <w:pPr>
        <w:pStyle w:val="8"/>
        <w:numPr>
          <w:ilvl w:val="1"/>
          <w:numId w:val="11"/>
        </w:numPr>
        <w:tabs>
          <w:tab w:val="left" w:pos="1196"/>
          <w:tab w:val="left" w:pos="1197"/>
          <w:tab w:val="left" w:pos="3260"/>
        </w:tabs>
        <w:spacing w:before="376" w:after="0" w:line="240" w:lineRule="auto"/>
        <w:ind w:left="1196" w:right="0" w:hanging="977"/>
        <w:jc w:val="left"/>
        <w:rPr>
          <w:sz w:val="21"/>
        </w:rPr>
      </w:pPr>
      <w:r>
        <w:rPr>
          <w:b/>
          <w:sz w:val="21"/>
        </w:rPr>
        <w:t>受益</w:t>
      </w:r>
      <w:r>
        <w:rPr>
          <w:b/>
          <w:spacing w:val="-10"/>
          <w:sz w:val="21"/>
        </w:rPr>
        <w:t>人</w:t>
      </w:r>
      <w:r>
        <w:rPr>
          <w:b/>
          <w:sz w:val="21"/>
        </w:rPr>
        <w:tab/>
      </w:r>
      <w:r>
        <w:rPr>
          <w:spacing w:val="-2"/>
          <w:sz w:val="21"/>
        </w:rPr>
        <w:t>除本合同另有指定外，保险金的受益人为被保险人本人</w:t>
      </w:r>
      <w:r>
        <w:rPr>
          <w:spacing w:val="-10"/>
          <w:sz w:val="21"/>
        </w:rPr>
        <w:t>。</w:t>
      </w:r>
    </w:p>
    <w:p>
      <w:pPr>
        <w:pStyle w:val="4"/>
        <w:spacing w:before="9"/>
        <w:rPr>
          <w:sz w:val="27"/>
        </w:rPr>
      </w:pPr>
    </w:p>
    <w:p>
      <w:pPr>
        <w:pStyle w:val="4"/>
        <w:spacing w:line="278" w:lineRule="auto"/>
        <w:ind w:left="3260" w:right="128"/>
      </w:pPr>
      <w:r>
        <w:rPr>
          <w:spacing w:val="-10"/>
        </w:rPr>
        <w:t>受益人的指定与变更至关重要，您指定或变更受益人，须经被保险人同意。</w:t>
      </w:r>
      <w:r>
        <w:rPr>
          <w:spacing w:val="-2"/>
        </w:rPr>
        <w:t>在保险事故发生前，您或被保险人有权变更受益人。如果变更了受益人，请您或被保险人及时通知我们。如果未通知，我们仍将按变更前指定的受益人给付保险金。</w:t>
      </w:r>
    </w:p>
    <w:p>
      <w:pPr>
        <w:pStyle w:val="4"/>
        <w:spacing w:before="4"/>
        <w:rPr>
          <w:sz w:val="24"/>
        </w:rPr>
      </w:pPr>
    </w:p>
    <w:p>
      <w:pPr>
        <w:pStyle w:val="8"/>
        <w:numPr>
          <w:ilvl w:val="1"/>
          <w:numId w:val="11"/>
        </w:numPr>
        <w:tabs>
          <w:tab w:val="left" w:pos="1196"/>
          <w:tab w:val="left" w:pos="1197"/>
          <w:tab w:val="left" w:pos="3260"/>
        </w:tabs>
        <w:spacing w:before="0" w:after="0" w:line="240" w:lineRule="auto"/>
        <w:ind w:left="1196" w:right="0" w:hanging="977"/>
        <w:jc w:val="left"/>
        <w:rPr>
          <w:sz w:val="21"/>
        </w:rPr>
      </w:pPr>
      <w:r>
        <w:rPr>
          <w:b/>
          <w:sz w:val="21"/>
        </w:rPr>
        <w:t>保险事故通</w:t>
      </w:r>
      <w:r>
        <w:rPr>
          <w:b/>
          <w:spacing w:val="-10"/>
          <w:sz w:val="21"/>
        </w:rPr>
        <w:t>知</w:t>
      </w:r>
      <w:r>
        <w:rPr>
          <w:b/>
          <w:sz w:val="21"/>
        </w:rPr>
        <w:tab/>
      </w:r>
      <w:r>
        <w:rPr>
          <w:spacing w:val="-2"/>
          <w:sz w:val="21"/>
        </w:rPr>
        <w:t>我们及时了解保险事故的性质、发生原因、损失情况，对给付保险金至</w:t>
      </w:r>
      <w:r>
        <w:rPr>
          <w:spacing w:val="-10"/>
          <w:sz w:val="21"/>
        </w:rPr>
        <w:t>关</w:t>
      </w:r>
    </w:p>
    <w:p>
      <w:pPr>
        <w:pStyle w:val="4"/>
        <w:spacing w:before="11"/>
        <w:rPr>
          <w:sz w:val="14"/>
        </w:rPr>
      </w:pPr>
      <w:r>
        <w:drawing>
          <wp:anchor distT="0" distB="0" distL="0" distR="0" simplePos="0" relativeHeight="251660288" behindDoc="0" locked="0" layoutInCell="1" allowOverlap="1">
            <wp:simplePos x="0" y="0"/>
            <wp:positionH relativeFrom="page">
              <wp:posOffset>685800</wp:posOffset>
            </wp:positionH>
            <wp:positionV relativeFrom="paragraph">
              <wp:posOffset>135890</wp:posOffset>
            </wp:positionV>
            <wp:extent cx="1828800" cy="6350"/>
            <wp:effectExtent l="0" t="0" r="0" b="0"/>
            <wp:wrapTopAndBottom/>
            <wp:docPr id="5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9.png"/>
                    <pic:cNvPicPr>
                      <a:picLocks noChangeAspect="1"/>
                    </pic:cNvPicPr>
                  </pic:nvPicPr>
                  <pic:blipFill>
                    <a:blip r:embed="rId24" cstate="print"/>
                    <a:stretch>
                      <a:fillRect/>
                    </a:stretch>
                  </pic:blipFill>
                  <pic:spPr>
                    <a:xfrm>
                      <a:off x="0" y="0"/>
                      <a:ext cx="1828800" cy="6095"/>
                    </a:xfrm>
                    <a:prstGeom prst="rect">
                      <a:avLst/>
                    </a:prstGeom>
                  </pic:spPr>
                </pic:pic>
              </a:graphicData>
            </a:graphic>
          </wp:anchor>
        </w:drawing>
      </w:r>
    </w:p>
    <w:p>
      <w:pPr>
        <w:spacing w:before="156"/>
        <w:ind w:left="220" w:right="0" w:firstLine="0"/>
        <w:jc w:val="left"/>
        <w:rPr>
          <w:sz w:val="18"/>
        </w:rPr>
      </w:pPr>
      <w:r>
        <w:rPr>
          <w:rFonts w:ascii="Times New Roman" w:eastAsia="Times New Roman"/>
          <w:sz w:val="18"/>
          <w:vertAlign w:val="superscript"/>
        </w:rPr>
        <w:t>32</w:t>
      </w:r>
      <w:r>
        <w:rPr>
          <w:rFonts w:ascii="Times New Roman" w:eastAsia="Times New Roman"/>
          <w:spacing w:val="41"/>
          <w:sz w:val="18"/>
          <w:vertAlign w:val="baseline"/>
        </w:rPr>
        <w:t xml:space="preserve"> </w:t>
      </w:r>
      <w:r>
        <w:rPr>
          <w:b/>
          <w:sz w:val="18"/>
          <w:vertAlign w:val="baseline"/>
        </w:rPr>
        <w:t>潜水</w:t>
      </w:r>
      <w:r>
        <w:rPr>
          <w:spacing w:val="-1"/>
          <w:sz w:val="18"/>
          <w:vertAlign w:val="baseline"/>
        </w:rPr>
        <w:t>指以辅助呼吸器材在江、河、湖、海、水库、运河等水域进行的水下运动。</w:t>
      </w:r>
    </w:p>
    <w:p>
      <w:pPr>
        <w:spacing w:before="69"/>
        <w:ind w:left="220" w:right="0" w:firstLine="0"/>
        <w:jc w:val="left"/>
        <w:rPr>
          <w:sz w:val="18"/>
        </w:rPr>
      </w:pPr>
      <w:r>
        <w:rPr>
          <w:rFonts w:ascii="Times New Roman" w:eastAsia="Times New Roman"/>
          <w:sz w:val="18"/>
          <w:vertAlign w:val="superscript"/>
        </w:rPr>
        <w:t>33</w:t>
      </w:r>
      <w:r>
        <w:rPr>
          <w:rFonts w:ascii="Times New Roman" w:eastAsia="Times New Roman"/>
          <w:spacing w:val="41"/>
          <w:sz w:val="18"/>
          <w:vertAlign w:val="baseline"/>
        </w:rPr>
        <w:t xml:space="preserve"> </w:t>
      </w:r>
      <w:r>
        <w:rPr>
          <w:b/>
          <w:sz w:val="18"/>
          <w:vertAlign w:val="baseline"/>
        </w:rPr>
        <w:t>攀岩</w:t>
      </w:r>
      <w:r>
        <w:rPr>
          <w:spacing w:val="-1"/>
          <w:sz w:val="18"/>
          <w:vertAlign w:val="baseline"/>
        </w:rPr>
        <w:t>指攀登悬崖、楼宇外墙、人造悬崖、冰崖、冰山等运动。</w:t>
      </w:r>
    </w:p>
    <w:p>
      <w:pPr>
        <w:spacing w:before="69" w:line="312" w:lineRule="auto"/>
        <w:ind w:left="445" w:right="236" w:hanging="226"/>
        <w:jc w:val="left"/>
        <w:rPr>
          <w:sz w:val="18"/>
        </w:rPr>
      </w:pPr>
      <w:r>
        <w:rPr>
          <w:rFonts w:ascii="Times New Roman" w:eastAsia="Times New Roman"/>
          <w:sz w:val="18"/>
          <w:vertAlign w:val="superscript"/>
        </w:rPr>
        <w:t>34</w:t>
      </w:r>
      <w:r>
        <w:rPr>
          <w:rFonts w:ascii="Times New Roman" w:eastAsia="Times New Roman"/>
          <w:spacing w:val="14"/>
          <w:sz w:val="18"/>
          <w:vertAlign w:val="baseline"/>
        </w:rPr>
        <w:t xml:space="preserve"> </w:t>
      </w:r>
      <w:r>
        <w:rPr>
          <w:b/>
          <w:sz w:val="18"/>
          <w:vertAlign w:val="baseline"/>
        </w:rPr>
        <w:t>探险活动</w:t>
      </w:r>
      <w:r>
        <w:rPr>
          <w:sz w:val="18"/>
          <w:vertAlign w:val="baseline"/>
        </w:rPr>
        <w:t>指明知在某种特定的自然条件下有失去生命或使身体受到伤害的危险，而故意使自己置身于其中的行为，如：江</w:t>
      </w:r>
      <w:r>
        <w:rPr>
          <w:spacing w:val="-2"/>
          <w:sz w:val="18"/>
          <w:vertAlign w:val="baseline"/>
        </w:rPr>
        <w:t>河漂流、徒步穿越沙漠或人迹罕至的原始森林等活动。</w:t>
      </w:r>
    </w:p>
    <w:p>
      <w:pPr>
        <w:spacing w:before="1"/>
        <w:ind w:left="220" w:right="0" w:firstLine="0"/>
        <w:jc w:val="left"/>
        <w:rPr>
          <w:sz w:val="18"/>
        </w:rPr>
      </w:pPr>
      <w:r>
        <w:rPr>
          <w:rFonts w:ascii="Times New Roman" w:eastAsia="Times New Roman"/>
          <w:sz w:val="18"/>
          <w:vertAlign w:val="superscript"/>
        </w:rPr>
        <w:t>35</w:t>
      </w:r>
      <w:r>
        <w:rPr>
          <w:rFonts w:ascii="Times New Roman" w:eastAsia="Times New Roman"/>
          <w:spacing w:val="39"/>
          <w:sz w:val="18"/>
          <w:vertAlign w:val="baseline"/>
        </w:rPr>
        <w:t xml:space="preserve"> </w:t>
      </w:r>
      <w:r>
        <w:rPr>
          <w:b/>
          <w:sz w:val="18"/>
          <w:vertAlign w:val="baseline"/>
        </w:rPr>
        <w:t>武术比赛</w:t>
      </w:r>
      <w:r>
        <w:rPr>
          <w:spacing w:val="-1"/>
          <w:sz w:val="18"/>
          <w:vertAlign w:val="baseline"/>
        </w:rPr>
        <w:t>指两人或两人以上对抗性柔道、空手道、跆拳道、散打、拳击等各种拳术及各种使用器械的对抗性比赛。</w:t>
      </w:r>
    </w:p>
    <w:p>
      <w:pPr>
        <w:spacing w:before="69"/>
        <w:ind w:left="220" w:right="0" w:firstLine="0"/>
        <w:jc w:val="left"/>
        <w:rPr>
          <w:sz w:val="18"/>
        </w:rPr>
      </w:pPr>
      <w:r>
        <w:rPr>
          <w:rFonts w:ascii="Times New Roman" w:eastAsia="Times New Roman"/>
          <w:sz w:val="18"/>
          <w:vertAlign w:val="superscript"/>
        </w:rPr>
        <w:t>36</w:t>
      </w:r>
      <w:r>
        <w:rPr>
          <w:rFonts w:ascii="Times New Roman" w:eastAsia="Times New Roman"/>
          <w:spacing w:val="39"/>
          <w:sz w:val="18"/>
          <w:vertAlign w:val="baseline"/>
        </w:rPr>
        <w:t xml:space="preserve"> </w:t>
      </w:r>
      <w:r>
        <w:rPr>
          <w:b/>
          <w:sz w:val="18"/>
          <w:vertAlign w:val="baseline"/>
        </w:rPr>
        <w:t>特技表演</w:t>
      </w:r>
      <w:r>
        <w:rPr>
          <w:spacing w:val="-1"/>
          <w:sz w:val="18"/>
          <w:vertAlign w:val="baseline"/>
        </w:rPr>
        <w:t>指进行马术、杂技、驯兽等表演。</w:t>
      </w:r>
    </w:p>
    <w:p>
      <w:pPr>
        <w:spacing w:after="0"/>
        <w:jc w:val="left"/>
        <w:rPr>
          <w:sz w:val="18"/>
        </w:rPr>
        <w:sectPr>
          <w:pgSz w:w="11910" w:h="16840"/>
          <w:pgMar w:top="1400" w:right="840" w:bottom="280" w:left="860" w:header="720" w:footer="720" w:gutter="0"/>
          <w:cols w:space="720" w:num="1"/>
        </w:sectPr>
      </w:pPr>
    </w:p>
    <w:p>
      <w:pPr>
        <w:pStyle w:val="4"/>
        <w:spacing w:before="67" w:line="278" w:lineRule="auto"/>
        <w:ind w:left="3260" w:right="234"/>
      </w:pPr>
      <w:r>
        <w:rPr>
          <w:spacing w:val="-1"/>
        </w:rPr>
        <w:t xml:space="preserve">重要。请您、被保险人或受益人在知道保险事故发生之日起 </w:t>
      </w:r>
      <w:r>
        <w:rPr>
          <w:rFonts w:ascii="Times New Roman" w:eastAsia="Times New Roman"/>
        </w:rPr>
        <w:t>10</w:t>
      </w:r>
      <w:r>
        <w:rPr>
          <w:rFonts w:ascii="Times New Roman" w:eastAsia="Times New Roman"/>
          <w:spacing w:val="29"/>
        </w:rPr>
        <w:t xml:space="preserve"> </w:t>
      </w:r>
      <w:r>
        <w:t>日内通知</w:t>
      </w:r>
      <w:r>
        <w:rPr>
          <w:spacing w:val="-4"/>
        </w:rPr>
        <w:t>我们。</w:t>
      </w:r>
    </w:p>
    <w:p>
      <w:pPr>
        <w:pStyle w:val="4"/>
        <w:spacing w:before="10"/>
        <w:rPr>
          <w:sz w:val="18"/>
        </w:rPr>
      </w:pPr>
    </w:p>
    <w:p>
      <w:pPr>
        <w:pStyle w:val="4"/>
        <w:spacing w:before="71" w:line="278" w:lineRule="auto"/>
        <w:ind w:left="3260" w:right="234"/>
        <w:jc w:val="both"/>
        <w:rPr>
          <w:rFonts w:ascii="黑体" w:eastAsia="黑体"/>
        </w:rPr>
      </w:pPr>
      <w:r>
        <w:rPr>
          <w:rFonts w:ascii="黑体" w:eastAsia="黑体"/>
          <w:color w:val="000000"/>
          <w:spacing w:val="-2"/>
          <w:shd w:val="clear" w:color="auto" w:fill="D9D9D9"/>
        </w:rPr>
        <w:t>如果您、被保险人或受益人因故意或重大过失未及时通知，导致保险事故</w:t>
      </w:r>
      <w:r>
        <w:rPr>
          <w:rFonts w:ascii="黑体" w:eastAsia="黑体"/>
          <w:color w:val="000000"/>
          <w:spacing w:val="40"/>
          <w:shd w:val="clear" w:color="auto" w:fill="D9D9D9"/>
        </w:rPr>
        <w:t xml:space="preserve"> </w:t>
      </w:r>
      <w:r>
        <w:rPr>
          <w:rFonts w:ascii="黑体" w:eastAsia="黑体"/>
          <w:color w:val="000000"/>
          <w:spacing w:val="-2"/>
          <w:shd w:val="clear" w:color="auto" w:fill="D9D9D9"/>
        </w:rPr>
        <w:t>的性质、发生原因、损失情况等难以确定的，我们对无法确定的部分，不承担给付保险金的责任。</w:t>
      </w:r>
    </w:p>
    <w:p>
      <w:pPr>
        <w:pStyle w:val="4"/>
        <w:spacing w:before="4"/>
        <w:rPr>
          <w:rFonts w:ascii="黑体"/>
          <w:sz w:val="24"/>
        </w:rPr>
      </w:pPr>
    </w:p>
    <w:p>
      <w:pPr>
        <w:pStyle w:val="4"/>
        <w:spacing w:line="278" w:lineRule="auto"/>
        <w:ind w:left="3260" w:right="234"/>
        <w:jc w:val="both"/>
      </w:pPr>
      <w:r>
        <w:rPr>
          <w:spacing w:val="-2"/>
        </w:rPr>
        <w:t>被保险人应当在本合同约定的医院接受治疗。如果因急诊未在约定的医院</w:t>
      </w:r>
      <w:r>
        <w:rPr>
          <w:spacing w:val="-4"/>
        </w:rPr>
        <w:t xml:space="preserve">接受治疗的，应当在接受治疗之日起 </w:t>
      </w:r>
      <w:r>
        <w:rPr>
          <w:rFonts w:ascii="Times New Roman" w:eastAsia="Times New Roman"/>
          <w:spacing w:val="-2"/>
        </w:rPr>
        <w:t>3</w:t>
      </w:r>
      <w:r>
        <w:rPr>
          <w:rFonts w:ascii="Times New Roman" w:eastAsia="Times New Roman"/>
          <w:spacing w:val="-8"/>
        </w:rPr>
        <w:t xml:space="preserve"> </w:t>
      </w:r>
      <w:r>
        <w:rPr>
          <w:spacing w:val="-2"/>
        </w:rPr>
        <w:t>日内通知我们，并在病情好转后及时转入约定的医院。</w:t>
      </w:r>
    </w:p>
    <w:p>
      <w:pPr>
        <w:pStyle w:val="4"/>
        <w:spacing w:before="4"/>
        <w:rPr>
          <w:sz w:val="24"/>
        </w:rPr>
      </w:pPr>
    </w:p>
    <w:p>
      <w:pPr>
        <w:pStyle w:val="8"/>
        <w:numPr>
          <w:ilvl w:val="1"/>
          <w:numId w:val="11"/>
        </w:numPr>
        <w:tabs>
          <w:tab w:val="left" w:pos="1196"/>
          <w:tab w:val="left" w:pos="1197"/>
          <w:tab w:val="left" w:pos="3260"/>
        </w:tabs>
        <w:spacing w:before="0" w:after="0" w:line="240" w:lineRule="auto"/>
        <w:ind w:left="1196" w:right="0" w:hanging="977"/>
        <w:jc w:val="left"/>
        <w:rPr>
          <w:sz w:val="21"/>
        </w:rPr>
      </w:pPr>
      <w:r>
        <w:rPr>
          <w:b/>
          <w:sz w:val="21"/>
        </w:rPr>
        <w:t>保险金申</w:t>
      </w:r>
      <w:r>
        <w:rPr>
          <w:b/>
          <w:spacing w:val="-10"/>
          <w:sz w:val="21"/>
        </w:rPr>
        <w:t>请</w:t>
      </w:r>
      <w:r>
        <w:rPr>
          <w:b/>
          <w:sz w:val="21"/>
        </w:rPr>
        <w:tab/>
      </w:r>
      <w:r>
        <w:rPr>
          <w:spacing w:val="-2"/>
          <w:sz w:val="21"/>
        </w:rPr>
        <w:t>申请保险金时，请按下列方式办理</w:t>
      </w:r>
      <w:r>
        <w:rPr>
          <w:spacing w:val="-10"/>
          <w:sz w:val="21"/>
        </w:rPr>
        <w:t>：</w:t>
      </w:r>
    </w:p>
    <w:p>
      <w:pPr>
        <w:pStyle w:val="4"/>
        <w:spacing w:before="2"/>
        <w:rPr>
          <w:sz w:val="22"/>
        </w:rPr>
      </w:pPr>
    </w:p>
    <w:p>
      <w:pPr>
        <w:spacing w:after="0"/>
        <w:rPr>
          <w:sz w:val="22"/>
        </w:rPr>
        <w:sectPr>
          <w:pgSz w:w="11910" w:h="16840"/>
          <w:pgMar w:top="1380" w:right="840" w:bottom="280" w:left="860" w:header="720" w:footer="720" w:gutter="0"/>
          <w:cols w:space="720" w:num="1"/>
        </w:sectPr>
      </w:pPr>
    </w:p>
    <w:p>
      <w:pPr>
        <w:spacing w:before="72" w:line="278" w:lineRule="auto"/>
        <w:ind w:left="1196" w:right="0" w:firstLine="0"/>
        <w:jc w:val="left"/>
        <w:rPr>
          <w:b/>
          <w:sz w:val="21"/>
        </w:rPr>
      </w:pPr>
      <w:r>
        <w:rPr>
          <w:b/>
          <w:spacing w:val="17"/>
          <w:sz w:val="21"/>
        </w:rPr>
        <w:t>一般医疗保险金申</w:t>
      </w:r>
      <w:r>
        <w:rPr>
          <w:b/>
          <w:spacing w:val="-10"/>
          <w:sz w:val="21"/>
        </w:rPr>
        <w:t>请</w:t>
      </w:r>
    </w:p>
    <w:p>
      <w:pPr>
        <w:pStyle w:val="4"/>
        <w:spacing w:before="72"/>
        <w:ind w:left="173"/>
      </w:pPr>
      <w:r>
        <w:br w:type="column"/>
      </w:r>
      <w:r>
        <w:rPr>
          <w:spacing w:val="-3"/>
        </w:rPr>
        <w:t>由受益人填写理赔申请书，并须提供下列证明和资料：</w:t>
      </w:r>
    </w:p>
    <w:p>
      <w:pPr>
        <w:pStyle w:val="8"/>
        <w:numPr>
          <w:ilvl w:val="0"/>
          <w:numId w:val="12"/>
        </w:numPr>
        <w:tabs>
          <w:tab w:val="left" w:pos="703"/>
        </w:tabs>
        <w:spacing w:before="33" w:after="0" w:line="240" w:lineRule="auto"/>
        <w:ind w:left="702" w:right="0" w:hanging="530"/>
        <w:jc w:val="left"/>
        <w:rPr>
          <w:sz w:val="21"/>
        </w:rPr>
      </w:pPr>
      <w:r>
        <w:rPr>
          <w:spacing w:val="-2"/>
          <w:sz w:val="21"/>
        </w:rPr>
        <w:t>受益人的</w:t>
      </w:r>
      <w:r>
        <w:rPr>
          <w:b/>
          <w:spacing w:val="-2"/>
          <w:sz w:val="21"/>
        </w:rPr>
        <w:t>有效身份证件</w:t>
      </w:r>
      <w:r>
        <w:rPr>
          <w:b/>
          <w:spacing w:val="-5"/>
          <w:position w:val="11"/>
          <w:sz w:val="11"/>
        </w:rPr>
        <w:t>37</w:t>
      </w:r>
      <w:r>
        <w:rPr>
          <w:spacing w:val="-5"/>
          <w:sz w:val="21"/>
        </w:rPr>
        <w:t>；</w:t>
      </w:r>
    </w:p>
    <w:p>
      <w:pPr>
        <w:pStyle w:val="8"/>
        <w:numPr>
          <w:ilvl w:val="0"/>
          <w:numId w:val="12"/>
        </w:numPr>
        <w:tabs>
          <w:tab w:val="left" w:pos="709"/>
        </w:tabs>
        <w:spacing w:before="42" w:after="0" w:line="278" w:lineRule="auto"/>
        <w:ind w:left="699" w:right="234" w:hanging="526"/>
        <w:jc w:val="left"/>
        <w:rPr>
          <w:sz w:val="21"/>
        </w:rPr>
      </w:pPr>
      <w:r>
        <w:rPr>
          <w:spacing w:val="-2"/>
          <w:sz w:val="21"/>
        </w:rPr>
        <w:t>由医院出具的医疗费用原始单据及明细、医疗诊断证明、出院小结或住院病历、门急诊病历等相关资料；</w:t>
      </w:r>
    </w:p>
    <w:p>
      <w:pPr>
        <w:pStyle w:val="8"/>
        <w:numPr>
          <w:ilvl w:val="0"/>
          <w:numId w:val="12"/>
        </w:numPr>
        <w:tabs>
          <w:tab w:val="left" w:pos="709"/>
        </w:tabs>
        <w:spacing w:before="0" w:after="0" w:line="278" w:lineRule="auto"/>
        <w:ind w:left="699" w:right="130" w:hanging="526"/>
        <w:jc w:val="left"/>
        <w:rPr>
          <w:sz w:val="21"/>
        </w:rPr>
      </w:pPr>
      <w:r>
        <w:rPr>
          <w:spacing w:val="-1"/>
          <w:w w:val="100"/>
          <w:sz w:val="21"/>
        </w:rPr>
        <w:t>对已从基本医疗保险、城乡居民大病保险或公费医疗、其他途径获</w:t>
      </w:r>
      <w:r>
        <w:rPr>
          <w:spacing w:val="-6"/>
          <w:w w:val="100"/>
          <w:sz w:val="21"/>
        </w:rPr>
        <w:t>得补偿或赔偿的，需提供相应机构或单位出具的医疗费用结算证明；</w:t>
      </w:r>
    </w:p>
    <w:p>
      <w:pPr>
        <w:pStyle w:val="8"/>
        <w:numPr>
          <w:ilvl w:val="0"/>
          <w:numId w:val="12"/>
        </w:numPr>
        <w:tabs>
          <w:tab w:val="left" w:pos="709"/>
        </w:tabs>
        <w:spacing w:before="0" w:after="0" w:line="278" w:lineRule="auto"/>
        <w:ind w:left="699" w:right="234" w:hanging="526"/>
        <w:jc w:val="left"/>
        <w:rPr>
          <w:sz w:val="21"/>
        </w:rPr>
      </w:pPr>
      <w:r>
        <w:rPr>
          <w:spacing w:val="-2"/>
          <w:sz w:val="21"/>
        </w:rPr>
        <w:t>所能提供的与确认保险事故的性质、发生原因、损失情况等有关的其他证明和资料。</w:t>
      </w:r>
    </w:p>
    <w:p>
      <w:pPr>
        <w:spacing w:after="0" w:line="278" w:lineRule="auto"/>
        <w:jc w:val="left"/>
        <w:rPr>
          <w:sz w:val="21"/>
        </w:rPr>
        <w:sectPr>
          <w:type w:val="continuous"/>
          <w:pgSz w:w="11910" w:h="16840"/>
          <w:pgMar w:top="500" w:right="840" w:bottom="280" w:left="860" w:header="720" w:footer="720" w:gutter="0"/>
          <w:cols w:equalWidth="0" w:num="2">
            <w:col w:w="3048" w:space="40"/>
            <w:col w:w="7122"/>
          </w:cols>
        </w:sectPr>
      </w:pPr>
    </w:p>
    <w:p>
      <w:pPr>
        <w:pStyle w:val="4"/>
        <w:spacing w:before="9"/>
        <w:rPr>
          <w:sz w:val="18"/>
        </w:rPr>
      </w:pPr>
    </w:p>
    <w:p>
      <w:pPr>
        <w:spacing w:after="0"/>
        <w:rPr>
          <w:sz w:val="18"/>
        </w:rPr>
        <w:sectPr>
          <w:type w:val="continuous"/>
          <w:pgSz w:w="11910" w:h="16840"/>
          <w:pgMar w:top="500" w:right="840" w:bottom="280" w:left="860" w:header="720" w:footer="720" w:gutter="0"/>
          <w:cols w:space="720" w:num="1"/>
        </w:sectPr>
      </w:pPr>
    </w:p>
    <w:p>
      <w:pPr>
        <w:spacing w:before="72" w:line="278" w:lineRule="auto"/>
        <w:ind w:left="1196" w:right="0" w:firstLine="0"/>
        <w:jc w:val="both"/>
        <w:rPr>
          <w:b/>
          <w:sz w:val="21"/>
        </w:rPr>
      </w:pPr>
      <w:r>
        <w:rPr>
          <w:b/>
          <w:spacing w:val="17"/>
          <w:sz w:val="21"/>
        </w:rPr>
        <w:t>重大疾病医疗保险金与恶性肿瘤住院</w:t>
      </w:r>
      <w:r>
        <w:rPr>
          <w:b/>
          <w:spacing w:val="-4"/>
          <w:sz w:val="21"/>
        </w:rPr>
        <w:t>津贴申请</w:t>
      </w:r>
    </w:p>
    <w:p>
      <w:pPr>
        <w:pStyle w:val="4"/>
        <w:spacing w:before="72"/>
        <w:ind w:left="173"/>
      </w:pPr>
      <w:r>
        <w:br w:type="column"/>
      </w:r>
      <w:r>
        <w:rPr>
          <w:spacing w:val="-3"/>
        </w:rPr>
        <w:t>由受益人填写理赔申请书，并须提供下列证明和资料：</w:t>
      </w:r>
    </w:p>
    <w:p>
      <w:pPr>
        <w:pStyle w:val="8"/>
        <w:numPr>
          <w:ilvl w:val="0"/>
          <w:numId w:val="13"/>
        </w:numPr>
        <w:tabs>
          <w:tab w:val="left" w:pos="703"/>
        </w:tabs>
        <w:spacing w:before="43" w:after="0" w:line="240" w:lineRule="auto"/>
        <w:ind w:left="702" w:right="0" w:hanging="530"/>
        <w:jc w:val="left"/>
        <w:rPr>
          <w:sz w:val="21"/>
        </w:rPr>
      </w:pPr>
      <w:r>
        <w:rPr>
          <w:spacing w:val="-3"/>
          <w:sz w:val="21"/>
        </w:rPr>
        <w:t>受益人的有效身份证件；</w:t>
      </w:r>
    </w:p>
    <w:p>
      <w:pPr>
        <w:pStyle w:val="8"/>
        <w:numPr>
          <w:ilvl w:val="0"/>
          <w:numId w:val="13"/>
        </w:numPr>
        <w:tabs>
          <w:tab w:val="left" w:pos="703"/>
        </w:tabs>
        <w:spacing w:before="43" w:after="0" w:line="240" w:lineRule="auto"/>
        <w:ind w:left="702" w:right="0" w:hanging="530"/>
        <w:jc w:val="left"/>
        <w:rPr>
          <w:sz w:val="21"/>
        </w:rPr>
      </w:pPr>
      <w:r>
        <w:rPr>
          <w:spacing w:val="-3"/>
          <w:sz w:val="21"/>
        </w:rPr>
        <w:t>由医院出具的病理报告或相关检查报告；</w:t>
      </w:r>
    </w:p>
    <w:p>
      <w:pPr>
        <w:pStyle w:val="8"/>
        <w:numPr>
          <w:ilvl w:val="0"/>
          <w:numId w:val="13"/>
        </w:numPr>
        <w:tabs>
          <w:tab w:val="left" w:pos="709"/>
        </w:tabs>
        <w:spacing w:before="43" w:after="0" w:line="278" w:lineRule="auto"/>
        <w:ind w:left="699" w:right="234" w:hanging="526"/>
        <w:jc w:val="left"/>
        <w:rPr>
          <w:sz w:val="21"/>
        </w:rPr>
      </w:pPr>
      <w:r>
        <w:rPr>
          <w:spacing w:val="-2"/>
          <w:sz w:val="21"/>
        </w:rPr>
        <w:t>由医院出具的医疗费用原始单据及明细、医疗诊断证明、出院小结或住院病历、门急诊病历等相关资料；</w:t>
      </w:r>
    </w:p>
    <w:p>
      <w:pPr>
        <w:pStyle w:val="8"/>
        <w:numPr>
          <w:ilvl w:val="0"/>
          <w:numId w:val="13"/>
        </w:numPr>
        <w:tabs>
          <w:tab w:val="left" w:pos="709"/>
        </w:tabs>
        <w:spacing w:before="0" w:after="0" w:line="278" w:lineRule="auto"/>
        <w:ind w:left="699" w:right="130" w:hanging="526"/>
        <w:jc w:val="left"/>
        <w:rPr>
          <w:sz w:val="21"/>
        </w:rPr>
      </w:pPr>
      <w:r>
        <w:rPr>
          <w:spacing w:val="-1"/>
          <w:w w:val="100"/>
          <w:sz w:val="21"/>
        </w:rPr>
        <w:t>对已从基本医疗保险、城乡居民大病保险或公费医疗、其他途径获</w:t>
      </w:r>
      <w:r>
        <w:rPr>
          <w:spacing w:val="-6"/>
          <w:w w:val="100"/>
          <w:sz w:val="21"/>
        </w:rPr>
        <w:t>得补偿或赔偿的，需提供相应机构或单位出具的医疗费用结算证明；</w:t>
      </w:r>
    </w:p>
    <w:p>
      <w:pPr>
        <w:pStyle w:val="8"/>
        <w:numPr>
          <w:ilvl w:val="0"/>
          <w:numId w:val="13"/>
        </w:numPr>
        <w:tabs>
          <w:tab w:val="left" w:pos="709"/>
        </w:tabs>
        <w:spacing w:before="0" w:after="0" w:line="278" w:lineRule="auto"/>
        <w:ind w:left="699" w:right="234" w:hanging="526"/>
        <w:jc w:val="left"/>
        <w:rPr>
          <w:sz w:val="21"/>
        </w:rPr>
      </w:pPr>
      <w:r>
        <w:rPr>
          <w:spacing w:val="-2"/>
          <w:sz w:val="21"/>
        </w:rPr>
        <w:t>所能提供的与确认保险事故的性质、发生原因、损失情况等有关的其他证明和资料。</w:t>
      </w:r>
    </w:p>
    <w:p>
      <w:pPr>
        <w:spacing w:after="0" w:line="278" w:lineRule="auto"/>
        <w:jc w:val="left"/>
        <w:rPr>
          <w:sz w:val="21"/>
        </w:rPr>
        <w:sectPr>
          <w:type w:val="continuous"/>
          <w:pgSz w:w="11910" w:h="16840"/>
          <w:pgMar w:top="500" w:right="840" w:bottom="280" w:left="860" w:header="720" w:footer="720" w:gutter="0"/>
          <w:cols w:equalWidth="0" w:num="2">
            <w:col w:w="3048" w:space="40"/>
            <w:col w:w="7122"/>
          </w:cols>
        </w:sectPr>
      </w:pPr>
    </w:p>
    <w:p>
      <w:pPr>
        <w:pStyle w:val="4"/>
        <w:spacing w:before="9"/>
        <w:rPr>
          <w:sz w:val="18"/>
        </w:rPr>
      </w:pPr>
    </w:p>
    <w:p>
      <w:pPr>
        <w:spacing w:after="0"/>
        <w:rPr>
          <w:sz w:val="18"/>
        </w:rPr>
        <w:sectPr>
          <w:type w:val="continuous"/>
          <w:pgSz w:w="11910" w:h="16840"/>
          <w:pgMar w:top="500" w:right="840" w:bottom="280" w:left="860" w:header="720" w:footer="720" w:gutter="0"/>
          <w:cols w:space="720" w:num="1"/>
        </w:sectPr>
      </w:pPr>
    </w:p>
    <w:p>
      <w:pPr>
        <w:spacing w:before="72" w:line="278" w:lineRule="auto"/>
        <w:ind w:left="1196" w:right="0" w:firstLine="0"/>
        <w:jc w:val="both"/>
        <w:rPr>
          <w:b/>
          <w:sz w:val="21"/>
        </w:rPr>
      </w:pPr>
      <w:r>
        <w:rPr>
          <w:b/>
          <w:spacing w:val="17"/>
          <w:sz w:val="21"/>
        </w:rPr>
        <w:t>恶性肿瘤赴德国或日本医疗保险金申</w:t>
      </w:r>
      <w:r>
        <w:rPr>
          <w:b/>
          <w:spacing w:val="-10"/>
          <w:sz w:val="21"/>
        </w:rPr>
        <w:t>请</w:t>
      </w:r>
    </w:p>
    <w:p>
      <w:pPr>
        <w:pStyle w:val="4"/>
        <w:spacing w:before="72"/>
        <w:ind w:left="173"/>
      </w:pPr>
      <w:r>
        <w:br w:type="column"/>
      </w:r>
      <w:r>
        <w:rPr>
          <w:spacing w:val="-3"/>
        </w:rPr>
        <w:t>由受益人填写理赔申请书，并须提供下列证明和资料：</w:t>
      </w:r>
    </w:p>
    <w:p>
      <w:pPr>
        <w:pStyle w:val="8"/>
        <w:numPr>
          <w:ilvl w:val="0"/>
          <w:numId w:val="14"/>
        </w:numPr>
        <w:tabs>
          <w:tab w:val="left" w:pos="703"/>
        </w:tabs>
        <w:spacing w:before="43" w:after="0" w:line="240" w:lineRule="auto"/>
        <w:ind w:left="702" w:right="0" w:hanging="530"/>
        <w:jc w:val="left"/>
        <w:rPr>
          <w:sz w:val="21"/>
        </w:rPr>
      </w:pPr>
      <w:r>
        <w:rPr>
          <w:spacing w:val="-3"/>
          <w:sz w:val="21"/>
        </w:rPr>
        <w:t>受益人的有效身份证件；</w:t>
      </w:r>
    </w:p>
    <w:p>
      <w:pPr>
        <w:pStyle w:val="8"/>
        <w:numPr>
          <w:ilvl w:val="0"/>
          <w:numId w:val="14"/>
        </w:numPr>
        <w:tabs>
          <w:tab w:val="left" w:pos="703"/>
        </w:tabs>
        <w:spacing w:before="43" w:after="0" w:line="240" w:lineRule="auto"/>
        <w:ind w:left="702" w:right="0" w:hanging="530"/>
        <w:jc w:val="left"/>
        <w:rPr>
          <w:sz w:val="21"/>
        </w:rPr>
      </w:pPr>
      <w:r>
        <w:rPr>
          <w:spacing w:val="-3"/>
          <w:sz w:val="21"/>
        </w:rPr>
        <w:t>由医院出具的病理报告或相关检查报告；</w:t>
      </w:r>
    </w:p>
    <w:p>
      <w:pPr>
        <w:pStyle w:val="8"/>
        <w:numPr>
          <w:ilvl w:val="0"/>
          <w:numId w:val="14"/>
        </w:numPr>
        <w:tabs>
          <w:tab w:val="left" w:pos="709"/>
        </w:tabs>
        <w:spacing w:before="43" w:after="0" w:line="278" w:lineRule="auto"/>
        <w:ind w:left="699" w:right="234" w:hanging="526"/>
        <w:jc w:val="left"/>
        <w:rPr>
          <w:sz w:val="21"/>
        </w:rPr>
      </w:pPr>
      <w:r>
        <w:rPr>
          <w:spacing w:val="-2"/>
          <w:sz w:val="21"/>
        </w:rPr>
        <w:t>由我们或授权服务商推荐的医疗机构出具的海外医疗费用原始单据及明细、病历等相关资料；</w:t>
      </w:r>
    </w:p>
    <w:p>
      <w:pPr>
        <w:pStyle w:val="8"/>
        <w:numPr>
          <w:ilvl w:val="0"/>
          <w:numId w:val="14"/>
        </w:numPr>
        <w:tabs>
          <w:tab w:val="left" w:pos="709"/>
        </w:tabs>
        <w:spacing w:before="0" w:after="0" w:line="278" w:lineRule="auto"/>
        <w:ind w:left="699" w:right="234" w:hanging="526"/>
        <w:jc w:val="left"/>
        <w:rPr>
          <w:sz w:val="21"/>
        </w:rPr>
      </w:pPr>
      <w:r>
        <w:rPr>
          <w:spacing w:val="-2"/>
          <w:sz w:val="21"/>
        </w:rPr>
        <w:t>所能提供的与确认保险事故性质、发生原因、损失情况等有关的其他证明和资料。</w:t>
      </w:r>
    </w:p>
    <w:p>
      <w:pPr>
        <w:pStyle w:val="4"/>
        <w:spacing w:before="3"/>
        <w:rPr>
          <w:sz w:val="24"/>
        </w:rPr>
      </w:pPr>
    </w:p>
    <w:p>
      <w:pPr>
        <w:pStyle w:val="4"/>
        <w:spacing w:before="1" w:line="278" w:lineRule="auto"/>
        <w:ind w:left="173" w:right="234"/>
      </w:pPr>
      <w:r>
        <w:rPr>
          <w:spacing w:val="-2"/>
        </w:rPr>
        <w:t>以上证明和资料不完整的，我们将一次性通知受益人补充提供有关证明和</w:t>
      </w:r>
      <w:r>
        <w:rPr>
          <w:spacing w:val="-4"/>
        </w:rPr>
        <w:t>资料。</w:t>
      </w:r>
    </w:p>
    <w:p>
      <w:pPr>
        <w:spacing w:after="0" w:line="278" w:lineRule="auto"/>
        <w:sectPr>
          <w:type w:val="continuous"/>
          <w:pgSz w:w="11910" w:h="16840"/>
          <w:pgMar w:top="500" w:right="840" w:bottom="280" w:left="860" w:header="720" w:footer="720" w:gutter="0"/>
          <w:cols w:equalWidth="0" w:num="2">
            <w:col w:w="3048" w:space="40"/>
            <w:col w:w="7122"/>
          </w:cols>
        </w:sectPr>
      </w:pPr>
    </w:p>
    <w:p>
      <w:pPr>
        <w:pStyle w:val="4"/>
        <w:spacing w:before="7" w:after="1"/>
        <w:rPr>
          <w:sz w:val="9"/>
        </w:rPr>
      </w:pPr>
    </w:p>
    <w:p>
      <w:pPr>
        <w:pStyle w:val="4"/>
        <w:spacing w:line="20" w:lineRule="exact"/>
        <w:ind w:left="220"/>
        <w:rPr>
          <w:sz w:val="2"/>
        </w:rPr>
      </w:pPr>
      <w:r>
        <w:rPr>
          <w:sz w:val="2"/>
        </w:rPr>
        <w:drawing>
          <wp:inline distT="0" distB="0" distL="0" distR="0">
            <wp:extent cx="1828165" cy="5715"/>
            <wp:effectExtent l="0" t="0" r="0" b="0"/>
            <wp:docPr id="5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19.png"/>
                    <pic:cNvPicPr>
                      <a:picLocks noChangeAspect="1"/>
                    </pic:cNvPicPr>
                  </pic:nvPicPr>
                  <pic:blipFill>
                    <a:blip r:embed="rId24" cstate="print"/>
                    <a:stretch>
                      <a:fillRect/>
                    </a:stretch>
                  </pic:blipFill>
                  <pic:spPr>
                    <a:xfrm>
                      <a:off x="0" y="0"/>
                      <a:ext cx="1828799" cy="6096"/>
                    </a:xfrm>
                    <a:prstGeom prst="rect">
                      <a:avLst/>
                    </a:prstGeom>
                  </pic:spPr>
                </pic:pic>
              </a:graphicData>
            </a:graphic>
          </wp:inline>
        </w:drawing>
      </w:r>
    </w:p>
    <w:p>
      <w:pPr>
        <w:spacing w:before="145" w:line="312" w:lineRule="auto"/>
        <w:ind w:left="445" w:right="239" w:hanging="226"/>
        <w:jc w:val="left"/>
        <w:rPr>
          <w:sz w:val="18"/>
        </w:rPr>
      </w:pPr>
      <w:r>
        <w:rPr>
          <w:rFonts w:ascii="Times New Roman" w:eastAsia="Times New Roman"/>
          <w:spacing w:val="-4"/>
          <w:sz w:val="18"/>
          <w:vertAlign w:val="superscript"/>
        </w:rPr>
        <w:t>37</w:t>
      </w:r>
      <w:r>
        <w:rPr>
          <w:rFonts w:ascii="Times New Roman" w:eastAsia="Times New Roman"/>
          <w:spacing w:val="40"/>
          <w:sz w:val="18"/>
          <w:vertAlign w:val="baseline"/>
        </w:rPr>
        <w:t xml:space="preserve"> </w:t>
      </w:r>
      <w:r>
        <w:rPr>
          <w:b/>
          <w:spacing w:val="-4"/>
          <w:sz w:val="18"/>
          <w:vertAlign w:val="baseline"/>
        </w:rPr>
        <w:t>有效身份证件</w:t>
      </w:r>
      <w:r>
        <w:rPr>
          <w:spacing w:val="-4"/>
          <w:sz w:val="18"/>
          <w:vertAlign w:val="baseline"/>
        </w:rPr>
        <w:t>指由政府主管部门规定的证明其身份的证件，如：居民身份证、按规定可使用的有效护照、军官证、警官证、</w:t>
      </w:r>
      <w:r>
        <w:rPr>
          <w:spacing w:val="-2"/>
          <w:sz w:val="18"/>
          <w:vertAlign w:val="baseline"/>
        </w:rPr>
        <w:t>士兵证、居民户口簿（仅限未成年人）等证件。</w:t>
      </w:r>
    </w:p>
    <w:p>
      <w:pPr>
        <w:spacing w:after="0" w:line="312" w:lineRule="auto"/>
        <w:jc w:val="left"/>
        <w:rPr>
          <w:sz w:val="18"/>
        </w:rPr>
        <w:sectPr>
          <w:type w:val="continuous"/>
          <w:pgSz w:w="11910" w:h="16840"/>
          <w:pgMar w:top="500" w:right="840" w:bottom="280" w:left="860" w:header="720" w:footer="720" w:gutter="0"/>
          <w:cols w:space="720" w:num="1"/>
        </w:sectPr>
      </w:pPr>
    </w:p>
    <w:p>
      <w:pPr>
        <w:pStyle w:val="4"/>
        <w:spacing w:before="5"/>
        <w:rPr>
          <w:sz w:val="8"/>
        </w:rPr>
      </w:pPr>
    </w:p>
    <w:p>
      <w:pPr>
        <w:pStyle w:val="4"/>
        <w:spacing w:before="72" w:line="278" w:lineRule="auto"/>
        <w:ind w:left="3260" w:right="234"/>
      </w:pPr>
      <w:r>
        <w:rPr>
          <w:spacing w:val="-2"/>
        </w:rPr>
        <w:t>对于我们或授权服务商已经直接结算的费用，我们不再接受受益人对该部分保险金的申请。</w:t>
      </w:r>
    </w:p>
    <w:p>
      <w:pPr>
        <w:pStyle w:val="4"/>
        <w:spacing w:before="4"/>
        <w:rPr>
          <w:sz w:val="24"/>
        </w:rPr>
      </w:pPr>
    </w:p>
    <w:p>
      <w:pPr>
        <w:pStyle w:val="4"/>
        <w:spacing w:line="278" w:lineRule="auto"/>
        <w:ind w:left="3260" w:right="234"/>
        <w:jc w:val="both"/>
      </w:pPr>
      <w:r>
        <w:rPr>
          <w:spacing w:val="-2"/>
        </w:rPr>
        <w:t>我们或授权服务商支付了应由被保险人自行负担的费用（包括但不限于不属于保险责任范围内的费用、超过相应费用限额的费用</w:t>
      </w:r>
      <w:r>
        <w:rPr>
          <w:spacing w:val="-104"/>
        </w:rPr>
        <w:t>）</w:t>
      </w:r>
      <w:r>
        <w:rPr>
          <w:spacing w:val="-2"/>
        </w:rPr>
        <w:t>，被保险人应当将上述相应款项及时退还给我们或授权服务商。</w:t>
      </w:r>
    </w:p>
    <w:p>
      <w:pPr>
        <w:pStyle w:val="4"/>
        <w:spacing w:before="4"/>
        <w:rPr>
          <w:sz w:val="24"/>
        </w:rPr>
      </w:pPr>
    </w:p>
    <w:p>
      <w:pPr>
        <w:pStyle w:val="8"/>
        <w:numPr>
          <w:ilvl w:val="1"/>
          <w:numId w:val="11"/>
        </w:numPr>
        <w:tabs>
          <w:tab w:val="left" w:pos="1196"/>
          <w:tab w:val="left" w:pos="1197"/>
          <w:tab w:val="left" w:pos="3260"/>
        </w:tabs>
        <w:spacing w:before="0" w:after="0" w:line="240" w:lineRule="auto"/>
        <w:ind w:left="1196" w:right="0" w:hanging="977"/>
        <w:jc w:val="left"/>
        <w:rPr>
          <w:sz w:val="21"/>
        </w:rPr>
      </w:pPr>
      <w:r>
        <w:rPr>
          <w:b/>
          <w:sz w:val="21"/>
        </w:rPr>
        <w:t>保险金给</w:t>
      </w:r>
      <w:r>
        <w:rPr>
          <w:b/>
          <w:spacing w:val="-10"/>
          <w:sz w:val="21"/>
        </w:rPr>
        <w:t>付</w:t>
      </w:r>
      <w:r>
        <w:rPr>
          <w:b/>
          <w:sz w:val="21"/>
        </w:rPr>
        <w:tab/>
      </w:r>
      <w:r>
        <w:rPr>
          <w:spacing w:val="-2"/>
          <w:sz w:val="21"/>
        </w:rPr>
        <w:t>我们在收到受益人的申请书及有关证明和资料后，将在</w:t>
      </w:r>
      <w:r>
        <w:rPr>
          <w:spacing w:val="-42"/>
          <w:sz w:val="21"/>
        </w:rPr>
        <w:t xml:space="preserve"> </w:t>
      </w:r>
      <w:r>
        <w:rPr>
          <w:rFonts w:ascii="Times New Roman" w:eastAsia="Times New Roman"/>
          <w:spacing w:val="-2"/>
          <w:sz w:val="21"/>
        </w:rPr>
        <w:t>5</w:t>
      </w:r>
      <w:r>
        <w:rPr>
          <w:rFonts w:ascii="Times New Roman" w:eastAsia="Times New Roman"/>
          <w:spacing w:val="8"/>
          <w:sz w:val="21"/>
        </w:rPr>
        <w:t xml:space="preserve"> </w:t>
      </w:r>
      <w:r>
        <w:rPr>
          <w:spacing w:val="-2"/>
          <w:sz w:val="21"/>
        </w:rPr>
        <w:t>日内作出核定</w:t>
      </w:r>
      <w:r>
        <w:rPr>
          <w:spacing w:val="-10"/>
          <w:sz w:val="21"/>
        </w:rPr>
        <w:t>；</w:t>
      </w:r>
    </w:p>
    <w:p>
      <w:pPr>
        <w:pStyle w:val="4"/>
        <w:spacing w:before="43" w:line="278" w:lineRule="auto"/>
        <w:ind w:left="3260" w:right="234"/>
        <w:jc w:val="both"/>
      </w:pPr>
      <w:r>
        <w:rPr>
          <w:spacing w:val="-3"/>
        </w:rPr>
        <w:t xml:space="preserve">情形复杂的，将在 </w:t>
      </w:r>
      <w:r>
        <w:rPr>
          <w:rFonts w:ascii="Times New Roman" w:eastAsia="Times New Roman"/>
        </w:rPr>
        <w:t>30</w:t>
      </w:r>
      <w:r>
        <w:rPr>
          <w:rFonts w:ascii="Times New Roman" w:eastAsia="Times New Roman"/>
          <w:spacing w:val="30"/>
        </w:rPr>
        <w:t xml:space="preserve"> </w:t>
      </w:r>
      <w:r>
        <w:t>日内作出核定。受益人补充提供有关证明和资料所</w:t>
      </w:r>
      <w:r>
        <w:rPr>
          <w:spacing w:val="-2"/>
        </w:rPr>
        <w:t>经历的期间不包括在上述期间内。</w:t>
      </w:r>
    </w:p>
    <w:p>
      <w:pPr>
        <w:pStyle w:val="4"/>
        <w:spacing w:before="4"/>
        <w:rPr>
          <w:sz w:val="24"/>
        </w:rPr>
      </w:pPr>
    </w:p>
    <w:p>
      <w:pPr>
        <w:pStyle w:val="4"/>
        <w:spacing w:line="278" w:lineRule="auto"/>
        <w:ind w:left="3260" w:right="234"/>
        <w:jc w:val="both"/>
      </w:pPr>
      <w:r>
        <w:rPr>
          <w:spacing w:val="-1"/>
        </w:rPr>
        <w:t xml:space="preserve">我们同意给付的，在与受益人达成给付保险金的协议后的 </w:t>
      </w:r>
      <w:r>
        <w:rPr>
          <w:rFonts w:ascii="Times New Roman" w:eastAsia="Times New Roman"/>
        </w:rPr>
        <w:t>10</w:t>
      </w:r>
      <w:r>
        <w:rPr>
          <w:rFonts w:ascii="Times New Roman" w:eastAsia="Times New Roman"/>
          <w:spacing w:val="29"/>
        </w:rPr>
        <w:t xml:space="preserve"> </w:t>
      </w:r>
      <w:r>
        <w:t>日内履行给</w:t>
      </w:r>
      <w:r>
        <w:rPr>
          <w:spacing w:val="-2"/>
        </w:rPr>
        <w:t>付保险金的义务。</w:t>
      </w:r>
    </w:p>
    <w:p>
      <w:pPr>
        <w:pStyle w:val="4"/>
        <w:spacing w:before="4"/>
        <w:rPr>
          <w:sz w:val="24"/>
        </w:rPr>
      </w:pPr>
    </w:p>
    <w:p>
      <w:pPr>
        <w:pStyle w:val="4"/>
        <w:spacing w:line="278" w:lineRule="auto"/>
        <w:ind w:left="3260" w:right="234"/>
        <w:jc w:val="both"/>
      </w:pPr>
      <w:r>
        <w:rPr>
          <w:spacing w:val="-4"/>
        </w:rPr>
        <w:t xml:space="preserve">我们拒绝给付的，自作出核定之日起 </w:t>
      </w:r>
      <w:r>
        <w:rPr>
          <w:rFonts w:ascii="Times New Roman" w:eastAsia="Times New Roman"/>
          <w:spacing w:val="-2"/>
        </w:rPr>
        <w:t>3</w:t>
      </w:r>
      <w:r>
        <w:rPr>
          <w:rFonts w:ascii="Times New Roman" w:eastAsia="Times New Roman"/>
          <w:spacing w:val="-8"/>
        </w:rPr>
        <w:t xml:space="preserve"> </w:t>
      </w:r>
      <w:r>
        <w:rPr>
          <w:spacing w:val="-2"/>
        </w:rPr>
        <w:t>日内向受益人发出拒绝给付保险金通知书并说明理由。</w:t>
      </w:r>
    </w:p>
    <w:p>
      <w:pPr>
        <w:pStyle w:val="4"/>
        <w:spacing w:before="3"/>
        <w:rPr>
          <w:sz w:val="25"/>
        </w:rPr>
      </w:pPr>
    </w:p>
    <w:p>
      <w:pPr>
        <w:tabs>
          <w:tab w:val="left" w:pos="1196"/>
          <w:tab w:val="left" w:pos="3306"/>
        </w:tabs>
        <w:spacing w:before="0"/>
        <w:ind w:left="220" w:right="0" w:firstLine="0"/>
        <w:jc w:val="left"/>
        <w:rPr>
          <w:sz w:val="21"/>
        </w:rPr>
      </w:pPr>
      <w:r>
        <w:rPr>
          <w:rFonts w:ascii="Wingdings 2" w:hAnsi="Wingdings 2" w:eastAsia="Wingdings 2"/>
          <w:spacing w:val="-10"/>
          <w:position w:val="-5"/>
          <w:sz w:val="52"/>
        </w:rPr>
        <w:t></w:t>
      </w:r>
      <w:r>
        <w:rPr>
          <w:rFonts w:ascii="Times New Roman" w:hAnsi="Times New Roman" w:eastAsia="Times New Roman"/>
          <w:position w:val="-5"/>
          <w:sz w:val="52"/>
        </w:rPr>
        <w:tab/>
      </w:r>
      <w:r>
        <w:rPr>
          <w:b/>
          <w:w w:val="95"/>
          <w:sz w:val="28"/>
        </w:rPr>
        <w:t>如何退</w:t>
      </w:r>
      <w:r>
        <w:rPr>
          <w:b/>
          <w:spacing w:val="-10"/>
          <w:w w:val="95"/>
          <w:sz w:val="28"/>
        </w:rPr>
        <w:t>保</w:t>
      </w:r>
      <w:r>
        <w:rPr>
          <w:b/>
          <w:sz w:val="28"/>
        </w:rPr>
        <w:tab/>
      </w:r>
      <w:r>
        <w:rPr>
          <w:spacing w:val="-2"/>
          <w:sz w:val="21"/>
        </w:rPr>
        <w:t>这部分讲的是您退保会有损</w:t>
      </w:r>
      <w:r>
        <w:rPr>
          <w:spacing w:val="-10"/>
          <w:sz w:val="21"/>
        </w:rPr>
        <w:t>失</w:t>
      </w:r>
    </w:p>
    <w:p>
      <w:pPr>
        <w:pStyle w:val="8"/>
        <w:numPr>
          <w:ilvl w:val="1"/>
          <w:numId w:val="15"/>
        </w:numPr>
        <w:tabs>
          <w:tab w:val="left" w:pos="1196"/>
          <w:tab w:val="left" w:pos="1197"/>
          <w:tab w:val="left" w:pos="3260"/>
        </w:tabs>
        <w:spacing w:before="377" w:after="0" w:line="240" w:lineRule="auto"/>
        <w:ind w:left="1196" w:right="0" w:hanging="977"/>
        <w:jc w:val="left"/>
        <w:rPr>
          <w:sz w:val="21"/>
        </w:rPr>
      </w:pPr>
      <w:r>
        <w:rPr>
          <w:b/>
          <w:sz w:val="21"/>
        </w:rPr>
        <w:t>退保的手续及风</w:t>
      </w:r>
      <w:r>
        <w:rPr>
          <w:b/>
          <w:spacing w:val="-10"/>
          <w:sz w:val="21"/>
        </w:rPr>
        <w:t>险</w:t>
      </w:r>
      <w:r>
        <w:rPr>
          <w:b/>
          <w:sz w:val="21"/>
        </w:rPr>
        <w:tab/>
      </w:r>
      <w:r>
        <w:rPr>
          <w:spacing w:val="-2"/>
          <w:sz w:val="21"/>
        </w:rPr>
        <w:t>您可以申请解除本合同，请您填写保险合同终止申请书，并须提供下列</w:t>
      </w:r>
      <w:r>
        <w:rPr>
          <w:spacing w:val="-10"/>
          <w:sz w:val="21"/>
        </w:rPr>
        <w:t>证</w:t>
      </w:r>
    </w:p>
    <w:p>
      <w:pPr>
        <w:pStyle w:val="4"/>
        <w:spacing w:before="43"/>
        <w:ind w:left="3260"/>
      </w:pPr>
      <w:r>
        <w:rPr>
          <w:spacing w:val="-4"/>
        </w:rPr>
        <w:t>明和资料：</w:t>
      </w:r>
    </w:p>
    <w:p>
      <w:pPr>
        <w:pStyle w:val="8"/>
        <w:numPr>
          <w:ilvl w:val="2"/>
          <w:numId w:val="15"/>
        </w:numPr>
        <w:tabs>
          <w:tab w:val="left" w:pos="3790"/>
        </w:tabs>
        <w:spacing w:before="43" w:after="0" w:line="240" w:lineRule="auto"/>
        <w:ind w:left="3789" w:right="0" w:hanging="530"/>
        <w:jc w:val="left"/>
        <w:rPr>
          <w:sz w:val="21"/>
        </w:rPr>
      </w:pPr>
      <w:r>
        <w:rPr>
          <w:spacing w:val="-4"/>
          <w:sz w:val="21"/>
        </w:rPr>
        <w:t>本保险合同；</w:t>
      </w:r>
    </w:p>
    <w:p>
      <w:pPr>
        <w:pStyle w:val="8"/>
        <w:numPr>
          <w:ilvl w:val="2"/>
          <w:numId w:val="15"/>
        </w:numPr>
        <w:tabs>
          <w:tab w:val="left" w:pos="3790"/>
        </w:tabs>
        <w:spacing w:before="43" w:after="0" w:line="240" w:lineRule="auto"/>
        <w:ind w:left="3789" w:right="0" w:hanging="530"/>
        <w:jc w:val="left"/>
        <w:rPr>
          <w:sz w:val="21"/>
        </w:rPr>
      </w:pPr>
      <w:r>
        <w:rPr>
          <w:spacing w:val="-3"/>
          <w:sz w:val="21"/>
        </w:rPr>
        <w:t>您的有效身份证件。</w:t>
      </w:r>
    </w:p>
    <w:p>
      <w:pPr>
        <w:pStyle w:val="4"/>
        <w:spacing w:before="8"/>
        <w:rPr>
          <w:sz w:val="27"/>
        </w:rPr>
      </w:pPr>
    </w:p>
    <w:p>
      <w:pPr>
        <w:pStyle w:val="4"/>
        <w:spacing w:before="1" w:line="268" w:lineRule="auto"/>
        <w:ind w:left="3260" w:right="234"/>
        <w:jc w:val="both"/>
      </w:pPr>
      <w:r>
        <w:rPr>
          <w:spacing w:val="-2"/>
        </w:rPr>
        <w:t>自我们收到保险合同终止申请书时，本合同效力终止。我们在收到上述证</w:t>
      </w:r>
      <w:r>
        <w:rPr>
          <w:spacing w:val="-3"/>
        </w:rPr>
        <w:t xml:space="preserve">明和资料之日起 </w:t>
      </w:r>
      <w:r>
        <w:rPr>
          <w:rFonts w:ascii="Times New Roman" w:eastAsia="Times New Roman"/>
        </w:rPr>
        <w:t xml:space="preserve">30 </w:t>
      </w:r>
      <w:r>
        <w:t>日内向您退还本合同的</w:t>
      </w:r>
      <w:r>
        <w:rPr>
          <w:b/>
        </w:rPr>
        <w:t>现金价值</w:t>
      </w:r>
      <w:r>
        <w:rPr>
          <w:b/>
          <w:position w:val="11"/>
          <w:sz w:val="11"/>
        </w:rPr>
        <w:t>38</w:t>
      </w:r>
      <w:r>
        <w:t>。</w:t>
      </w:r>
    </w:p>
    <w:p>
      <w:pPr>
        <w:pStyle w:val="4"/>
        <w:spacing w:before="2"/>
        <w:rPr>
          <w:sz w:val="25"/>
        </w:rPr>
      </w:pPr>
    </w:p>
    <w:p>
      <w:pPr>
        <w:pStyle w:val="4"/>
        <w:spacing w:before="1" w:line="278" w:lineRule="auto"/>
        <w:ind w:left="3260" w:right="234"/>
      </w:pPr>
      <w:r>
        <w:rPr>
          <w:spacing w:val="-2"/>
        </w:rPr>
        <w:t>您申请解除合同时被保险人已发生或应当发生保险金给付的，我们不退还本合同的现金价值。</w:t>
      </w:r>
    </w:p>
    <w:p>
      <w:pPr>
        <w:pStyle w:val="4"/>
        <w:spacing w:before="4"/>
        <w:rPr>
          <w:sz w:val="24"/>
        </w:rPr>
      </w:pPr>
    </w:p>
    <w:p>
      <w:pPr>
        <w:pStyle w:val="4"/>
        <w:ind w:left="3260"/>
      </w:pPr>
      <w:r>
        <w:rPr>
          <w:spacing w:val="-3"/>
        </w:rPr>
        <w:t>您解除合同可能会遭受一定损失。</w:t>
      </w:r>
    </w:p>
    <w:p>
      <w:pPr>
        <w:pStyle w:val="4"/>
        <w:spacing w:before="7"/>
        <w:rPr>
          <w:sz w:val="28"/>
        </w:rPr>
      </w:pPr>
    </w:p>
    <w:p>
      <w:pPr>
        <w:pStyle w:val="2"/>
        <w:tabs>
          <w:tab w:val="left" w:pos="1196"/>
        </w:tabs>
        <w:spacing w:before="1"/>
        <w:ind w:left="220"/>
      </w:pPr>
      <w:r>
        <w:rPr>
          <w:rFonts w:ascii="Wingdings 2" w:hAnsi="Wingdings 2" w:eastAsia="Wingdings 2"/>
          <w:b w:val="0"/>
          <w:spacing w:val="-10"/>
          <w:position w:val="-5"/>
          <w:sz w:val="52"/>
        </w:rPr>
        <w:t></w:t>
      </w:r>
      <w:r>
        <w:rPr>
          <w:rFonts w:ascii="Times New Roman" w:hAnsi="Times New Roman" w:eastAsia="Times New Roman"/>
          <w:b w:val="0"/>
          <w:position w:val="-5"/>
          <w:sz w:val="52"/>
        </w:rPr>
        <w:tab/>
      </w:r>
      <w:r>
        <w:rPr>
          <w:w w:val="95"/>
        </w:rPr>
        <w:t>需要关注的其他内</w:t>
      </w:r>
      <w:r>
        <w:rPr>
          <w:spacing w:val="-10"/>
          <w:w w:val="95"/>
        </w:rPr>
        <w:t>容</w:t>
      </w:r>
    </w:p>
    <w:p>
      <w:pPr>
        <w:pStyle w:val="8"/>
        <w:numPr>
          <w:ilvl w:val="1"/>
          <w:numId w:val="16"/>
        </w:numPr>
        <w:tabs>
          <w:tab w:val="left" w:pos="1196"/>
          <w:tab w:val="left" w:pos="1197"/>
          <w:tab w:val="left" w:pos="3260"/>
        </w:tabs>
        <w:spacing w:before="376" w:after="0" w:line="240" w:lineRule="auto"/>
        <w:ind w:left="1196" w:right="0" w:hanging="977"/>
        <w:jc w:val="left"/>
        <w:rPr>
          <w:sz w:val="21"/>
        </w:rPr>
      </w:pPr>
      <w:r>
        <w:rPr>
          <w:b/>
          <w:sz w:val="21"/>
        </w:rPr>
        <w:t>合同构</w:t>
      </w:r>
      <w:r>
        <w:rPr>
          <w:b/>
          <w:spacing w:val="-10"/>
          <w:sz w:val="21"/>
        </w:rPr>
        <w:t>成</w:t>
      </w:r>
      <w:r>
        <w:rPr>
          <w:b/>
          <w:sz w:val="21"/>
        </w:rPr>
        <w:tab/>
      </w:r>
      <w:r>
        <w:rPr>
          <w:spacing w:val="-4"/>
          <w:sz w:val="21"/>
        </w:rPr>
        <w:t>本合同由投保单、与本合同有关的投保文件、保险单或其他保险凭证、</w:t>
      </w:r>
      <w:r>
        <w:rPr>
          <w:spacing w:val="-10"/>
          <w:sz w:val="21"/>
        </w:rPr>
        <w:t>本</w:t>
      </w:r>
    </w:p>
    <w:p>
      <w:pPr>
        <w:pStyle w:val="4"/>
        <w:spacing w:before="43"/>
        <w:ind w:left="3260"/>
      </w:pPr>
      <w:r>
        <w:rPr>
          <w:spacing w:val="-3"/>
        </w:rPr>
        <w:t>保险条款、合法有效的声明、批注、批单和其他书面协议共同构成。</w:t>
      </w:r>
    </w:p>
    <w:p>
      <w:pPr>
        <w:pStyle w:val="4"/>
        <w:spacing w:before="9"/>
        <w:rPr>
          <w:sz w:val="27"/>
        </w:rPr>
      </w:pPr>
    </w:p>
    <w:p>
      <w:pPr>
        <w:pStyle w:val="8"/>
        <w:numPr>
          <w:ilvl w:val="1"/>
          <w:numId w:val="16"/>
        </w:numPr>
        <w:tabs>
          <w:tab w:val="left" w:pos="1196"/>
          <w:tab w:val="left" w:pos="1197"/>
          <w:tab w:val="left" w:pos="3260"/>
        </w:tabs>
        <w:spacing w:before="0" w:after="0" w:line="240" w:lineRule="auto"/>
        <w:ind w:left="1196" w:right="0" w:hanging="977"/>
        <w:jc w:val="left"/>
        <w:rPr>
          <w:sz w:val="21"/>
        </w:rPr>
      </w:pPr>
      <w:r>
        <w:rPr>
          <w:b/>
          <w:sz w:val="21"/>
        </w:rPr>
        <w:t>合同的成立与生</w:t>
      </w:r>
      <w:r>
        <w:rPr>
          <w:b/>
          <w:spacing w:val="-10"/>
          <w:sz w:val="21"/>
        </w:rPr>
        <w:t>效</w:t>
      </w:r>
      <w:r>
        <w:rPr>
          <w:b/>
          <w:sz w:val="21"/>
        </w:rPr>
        <w:tab/>
      </w:r>
      <w:r>
        <w:rPr>
          <w:spacing w:val="-4"/>
          <w:sz w:val="21"/>
        </w:rPr>
        <w:t>您提出保险申请、我们同意承保，本合同成立。我们收取保险费后签发</w:t>
      </w:r>
      <w:r>
        <w:rPr>
          <w:spacing w:val="-10"/>
          <w:sz w:val="21"/>
        </w:rPr>
        <w:t>保</w:t>
      </w:r>
    </w:p>
    <w:p>
      <w:pPr>
        <w:pStyle w:val="4"/>
        <w:spacing w:before="43"/>
        <w:ind w:left="3260"/>
      </w:pPr>
      <w:r>
        <w:rPr>
          <w:spacing w:val="-3"/>
        </w:rPr>
        <w:t>险单，具体生效日以保险单上载明的日期为准。</w:t>
      </w:r>
    </w:p>
    <w:p>
      <w:pPr>
        <w:pStyle w:val="4"/>
        <w:spacing w:before="1"/>
        <w:rPr>
          <w:sz w:val="11"/>
        </w:rPr>
      </w:pPr>
      <w:r>
        <w:drawing>
          <wp:anchor distT="0" distB="0" distL="0" distR="0" simplePos="0" relativeHeight="251660288" behindDoc="0" locked="0" layoutInCell="1" allowOverlap="1">
            <wp:simplePos x="0" y="0"/>
            <wp:positionH relativeFrom="page">
              <wp:posOffset>685800</wp:posOffset>
            </wp:positionH>
            <wp:positionV relativeFrom="paragraph">
              <wp:posOffset>105410</wp:posOffset>
            </wp:positionV>
            <wp:extent cx="1828800" cy="6350"/>
            <wp:effectExtent l="0" t="0" r="0" b="0"/>
            <wp:wrapTopAndBottom/>
            <wp:docPr id="5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19.png"/>
                    <pic:cNvPicPr>
                      <a:picLocks noChangeAspect="1"/>
                    </pic:cNvPicPr>
                  </pic:nvPicPr>
                  <pic:blipFill>
                    <a:blip r:embed="rId24" cstate="print"/>
                    <a:stretch>
                      <a:fillRect/>
                    </a:stretch>
                  </pic:blipFill>
                  <pic:spPr>
                    <a:xfrm>
                      <a:off x="0" y="0"/>
                      <a:ext cx="1828799" cy="6096"/>
                    </a:xfrm>
                    <a:prstGeom prst="rect">
                      <a:avLst/>
                    </a:prstGeom>
                  </pic:spPr>
                </pic:pic>
              </a:graphicData>
            </a:graphic>
          </wp:anchor>
        </w:drawing>
      </w:r>
    </w:p>
    <w:p>
      <w:pPr>
        <w:spacing w:before="156" w:line="312" w:lineRule="auto"/>
        <w:ind w:left="445" w:right="236" w:hanging="226"/>
        <w:jc w:val="left"/>
        <w:rPr>
          <w:sz w:val="18"/>
        </w:rPr>
      </w:pPr>
      <w:r>
        <w:rPr>
          <w:rFonts w:ascii="Times New Roman" w:hAnsi="Times New Roman" w:eastAsia="Times New Roman"/>
          <w:sz w:val="18"/>
          <w:vertAlign w:val="superscript"/>
        </w:rPr>
        <w:t>38</w:t>
      </w:r>
      <w:r>
        <w:rPr>
          <w:rFonts w:ascii="Times New Roman" w:hAnsi="Times New Roman" w:eastAsia="Times New Roman"/>
          <w:spacing w:val="14"/>
          <w:sz w:val="18"/>
          <w:vertAlign w:val="baseline"/>
        </w:rPr>
        <w:t xml:space="preserve"> </w:t>
      </w:r>
      <w:r>
        <w:rPr>
          <w:b/>
          <w:sz w:val="18"/>
          <w:vertAlign w:val="baseline"/>
        </w:rPr>
        <w:t>现金价值</w:t>
      </w:r>
      <w:r>
        <w:rPr>
          <w:sz w:val="18"/>
          <w:vertAlign w:val="baseline"/>
        </w:rPr>
        <w:t>指保险单所具有的价值，通常体现为解除保险合同时，根据精算原理计算的，由我们退还的那部分金额。现金价</w:t>
      </w:r>
      <w:r>
        <w:rPr>
          <w:spacing w:val="-2"/>
          <w:sz w:val="18"/>
          <w:vertAlign w:val="baseline"/>
        </w:rPr>
        <w:t>值＝保险费×</w:t>
      </w:r>
      <w:r>
        <w:rPr>
          <w:rFonts w:ascii="Times New Roman" w:hAnsi="Times New Roman" w:eastAsia="Times New Roman"/>
          <w:spacing w:val="-2"/>
          <w:sz w:val="18"/>
          <w:vertAlign w:val="baseline"/>
        </w:rPr>
        <w:t>(1</w:t>
      </w:r>
      <w:r>
        <w:rPr>
          <w:spacing w:val="-2"/>
          <w:sz w:val="18"/>
          <w:vertAlign w:val="baseline"/>
        </w:rPr>
        <w:t>－合同已经过天数÷保险期间天数</w:t>
      </w:r>
      <w:r>
        <w:rPr>
          <w:rFonts w:ascii="Times New Roman" w:hAnsi="Times New Roman" w:eastAsia="Times New Roman"/>
          <w:spacing w:val="-2"/>
          <w:sz w:val="18"/>
          <w:vertAlign w:val="baseline"/>
        </w:rPr>
        <w:t>)</w:t>
      </w:r>
      <w:r>
        <w:rPr>
          <w:spacing w:val="-2"/>
          <w:sz w:val="18"/>
          <w:vertAlign w:val="baseline"/>
        </w:rPr>
        <w:t>×</w:t>
      </w:r>
      <w:r>
        <w:rPr>
          <w:rFonts w:ascii="Times New Roman" w:hAnsi="Times New Roman" w:eastAsia="Times New Roman"/>
          <w:spacing w:val="-2"/>
          <w:sz w:val="18"/>
          <w:vertAlign w:val="baseline"/>
        </w:rPr>
        <w:t>70%</w:t>
      </w:r>
      <w:r>
        <w:rPr>
          <w:spacing w:val="-2"/>
          <w:sz w:val="18"/>
          <w:vertAlign w:val="baseline"/>
        </w:rPr>
        <w:t>。</w:t>
      </w:r>
    </w:p>
    <w:p>
      <w:pPr>
        <w:spacing w:after="0" w:line="312" w:lineRule="auto"/>
        <w:jc w:val="left"/>
        <w:rPr>
          <w:sz w:val="18"/>
        </w:rPr>
        <w:sectPr>
          <w:pgSz w:w="11910" w:h="16840"/>
          <w:pgMar w:top="1580" w:right="840" w:bottom="280" w:left="860" w:header="720" w:footer="720" w:gutter="0"/>
          <w:cols w:space="720" w:num="1"/>
        </w:sectPr>
      </w:pPr>
    </w:p>
    <w:p>
      <w:pPr>
        <w:pStyle w:val="4"/>
        <w:spacing w:before="5"/>
        <w:rPr>
          <w:sz w:val="8"/>
        </w:rPr>
      </w:pPr>
    </w:p>
    <w:p>
      <w:pPr>
        <w:pStyle w:val="8"/>
        <w:numPr>
          <w:ilvl w:val="1"/>
          <w:numId w:val="16"/>
        </w:numPr>
        <w:tabs>
          <w:tab w:val="left" w:pos="1196"/>
          <w:tab w:val="left" w:pos="1197"/>
          <w:tab w:val="left" w:pos="3260"/>
        </w:tabs>
        <w:spacing w:before="72" w:after="0" w:line="240" w:lineRule="auto"/>
        <w:ind w:left="1196" w:right="0" w:hanging="977"/>
        <w:jc w:val="left"/>
        <w:rPr>
          <w:sz w:val="21"/>
        </w:rPr>
      </w:pPr>
      <w:r>
        <w:rPr>
          <w:b/>
          <w:sz w:val="21"/>
        </w:rPr>
        <w:t>投保年</w:t>
      </w:r>
      <w:r>
        <w:rPr>
          <w:b/>
          <w:spacing w:val="-10"/>
          <w:sz w:val="21"/>
        </w:rPr>
        <w:t>龄</w:t>
      </w:r>
      <w:r>
        <w:rPr>
          <w:b/>
          <w:sz w:val="21"/>
        </w:rPr>
        <w:tab/>
      </w:r>
      <w:r>
        <w:rPr>
          <w:spacing w:val="-2"/>
          <w:sz w:val="21"/>
        </w:rPr>
        <w:t>指投保时被保险人的年龄。投保年龄以周岁计算，本合同接受的投保年</w:t>
      </w:r>
      <w:r>
        <w:rPr>
          <w:spacing w:val="-10"/>
          <w:sz w:val="21"/>
        </w:rPr>
        <w:t>龄</w:t>
      </w:r>
    </w:p>
    <w:p>
      <w:pPr>
        <w:pStyle w:val="4"/>
        <w:spacing w:before="43"/>
        <w:ind w:left="3260"/>
      </w:pPr>
      <w:r>
        <w:rPr>
          <w:spacing w:val="-11"/>
        </w:rPr>
        <w:t xml:space="preserve">为出生满 </w:t>
      </w:r>
      <w:r>
        <w:rPr>
          <w:rFonts w:ascii="Times New Roman" w:eastAsia="Times New Roman"/>
        </w:rPr>
        <w:t>28</w:t>
      </w:r>
      <w:r>
        <w:rPr>
          <w:rFonts w:ascii="Times New Roman" w:eastAsia="Times New Roman"/>
          <w:spacing w:val="-14"/>
        </w:rPr>
        <w:t xml:space="preserve"> </w:t>
      </w:r>
      <w:r>
        <w:rPr>
          <w:spacing w:val="-18"/>
        </w:rPr>
        <w:t xml:space="preserve">日至 </w:t>
      </w:r>
      <w:r>
        <w:rPr>
          <w:rFonts w:ascii="Times New Roman" w:eastAsia="Times New Roman"/>
        </w:rPr>
        <w:t>60</w:t>
      </w:r>
      <w:r>
        <w:rPr>
          <w:rFonts w:ascii="Times New Roman" w:eastAsia="Times New Roman"/>
          <w:spacing w:val="-12"/>
        </w:rPr>
        <w:t xml:space="preserve"> </w:t>
      </w:r>
      <w:r>
        <w:t>周岁（含</w:t>
      </w:r>
      <w:r>
        <w:rPr>
          <w:spacing w:val="-108"/>
        </w:rPr>
        <w:t>）</w:t>
      </w:r>
      <w:r>
        <w:rPr>
          <w:spacing w:val="-7"/>
        </w:rPr>
        <w:t xml:space="preserve">，最高可续保至 </w:t>
      </w:r>
      <w:r>
        <w:rPr>
          <w:rFonts w:ascii="Times New Roman" w:eastAsia="Times New Roman"/>
        </w:rPr>
        <w:t>100</w:t>
      </w:r>
      <w:r>
        <w:rPr>
          <w:rFonts w:ascii="Times New Roman" w:eastAsia="Times New Roman"/>
          <w:spacing w:val="-7"/>
        </w:rPr>
        <w:t xml:space="preserve"> </w:t>
      </w:r>
      <w:r>
        <w:t>周岁（含</w:t>
      </w:r>
      <w:r>
        <w:rPr>
          <w:spacing w:val="-108"/>
        </w:rPr>
        <w:t>）</w:t>
      </w:r>
      <w:r>
        <w:rPr>
          <w:spacing w:val="-10"/>
        </w:rPr>
        <w:t>。</w:t>
      </w:r>
    </w:p>
    <w:p>
      <w:pPr>
        <w:pStyle w:val="4"/>
        <w:spacing w:before="8"/>
        <w:rPr>
          <w:sz w:val="27"/>
        </w:rPr>
      </w:pPr>
    </w:p>
    <w:p>
      <w:pPr>
        <w:pStyle w:val="4"/>
        <w:spacing w:line="278" w:lineRule="auto"/>
        <w:ind w:left="3260" w:right="234"/>
        <w:jc w:val="both"/>
      </w:pPr>
      <w:r>
        <w:rPr>
          <w:spacing w:val="-2"/>
        </w:rPr>
        <w:t>您申报的被保险人年龄是否准确、真实，将会对您、被保险人及受益人的权益产生重大影响。请您在投保时，务必将与有效身份证件相符的被保险人的出生日期在投保单上正确填明。</w:t>
      </w:r>
    </w:p>
    <w:p>
      <w:pPr>
        <w:pStyle w:val="4"/>
        <w:spacing w:before="5"/>
        <w:rPr>
          <w:sz w:val="24"/>
        </w:rPr>
      </w:pPr>
    </w:p>
    <w:p>
      <w:pPr>
        <w:pStyle w:val="8"/>
        <w:numPr>
          <w:ilvl w:val="1"/>
          <w:numId w:val="16"/>
        </w:numPr>
        <w:tabs>
          <w:tab w:val="left" w:pos="1196"/>
          <w:tab w:val="left" w:pos="1197"/>
          <w:tab w:val="left" w:pos="3260"/>
        </w:tabs>
        <w:spacing w:before="0" w:after="0" w:line="240" w:lineRule="auto"/>
        <w:ind w:left="1196" w:right="0" w:hanging="977"/>
        <w:jc w:val="left"/>
        <w:rPr>
          <w:sz w:val="21"/>
        </w:rPr>
      </w:pPr>
      <w:r>
        <w:rPr>
          <w:b/>
          <w:sz w:val="21"/>
        </w:rPr>
        <w:t>效力终</w:t>
      </w:r>
      <w:r>
        <w:rPr>
          <w:b/>
          <w:spacing w:val="-10"/>
          <w:sz w:val="21"/>
        </w:rPr>
        <w:t>止</w:t>
      </w:r>
      <w:r>
        <w:rPr>
          <w:b/>
          <w:sz w:val="21"/>
        </w:rPr>
        <w:tab/>
      </w:r>
      <w:r>
        <w:rPr>
          <w:spacing w:val="-2"/>
          <w:sz w:val="21"/>
        </w:rPr>
        <w:t>当发生下列情形之一时，本合同效力终止</w:t>
      </w:r>
      <w:r>
        <w:rPr>
          <w:spacing w:val="-10"/>
          <w:sz w:val="21"/>
        </w:rPr>
        <w:t>：</w:t>
      </w:r>
    </w:p>
    <w:p>
      <w:pPr>
        <w:pStyle w:val="8"/>
        <w:numPr>
          <w:ilvl w:val="2"/>
          <w:numId w:val="16"/>
        </w:numPr>
        <w:tabs>
          <w:tab w:val="left" w:pos="3790"/>
        </w:tabs>
        <w:spacing w:before="43" w:after="0" w:line="240" w:lineRule="auto"/>
        <w:ind w:left="3789" w:right="0" w:hanging="530"/>
        <w:jc w:val="left"/>
        <w:rPr>
          <w:sz w:val="21"/>
        </w:rPr>
      </w:pPr>
      <w:r>
        <w:rPr>
          <w:spacing w:val="-4"/>
          <w:sz w:val="21"/>
        </w:rPr>
        <w:t>被保险人身故；</w:t>
      </w:r>
    </w:p>
    <w:p>
      <w:pPr>
        <w:pStyle w:val="8"/>
        <w:numPr>
          <w:ilvl w:val="2"/>
          <w:numId w:val="16"/>
        </w:numPr>
        <w:tabs>
          <w:tab w:val="left" w:pos="3790"/>
        </w:tabs>
        <w:spacing w:before="43" w:after="0" w:line="240" w:lineRule="auto"/>
        <w:ind w:left="3789" w:right="0" w:hanging="530"/>
        <w:jc w:val="left"/>
        <w:rPr>
          <w:sz w:val="21"/>
        </w:rPr>
      </w:pPr>
      <w:r>
        <w:rPr>
          <w:spacing w:val="-3"/>
          <w:sz w:val="21"/>
        </w:rPr>
        <w:t>您申请解除本合同；</w:t>
      </w:r>
    </w:p>
    <w:p>
      <w:pPr>
        <w:pStyle w:val="8"/>
        <w:numPr>
          <w:ilvl w:val="2"/>
          <w:numId w:val="16"/>
        </w:numPr>
        <w:tabs>
          <w:tab w:val="left" w:pos="3790"/>
        </w:tabs>
        <w:spacing w:before="42" w:after="0" w:line="240" w:lineRule="auto"/>
        <w:ind w:left="3789" w:right="0" w:hanging="530"/>
        <w:jc w:val="left"/>
        <w:rPr>
          <w:sz w:val="21"/>
        </w:rPr>
      </w:pPr>
      <w:r>
        <w:rPr>
          <w:spacing w:val="-3"/>
          <w:sz w:val="21"/>
        </w:rPr>
        <w:t>我们已经履行完毕本合同保险责任；</w:t>
      </w:r>
    </w:p>
    <w:p>
      <w:pPr>
        <w:pStyle w:val="8"/>
        <w:numPr>
          <w:ilvl w:val="2"/>
          <w:numId w:val="16"/>
        </w:numPr>
        <w:tabs>
          <w:tab w:val="left" w:pos="3790"/>
        </w:tabs>
        <w:spacing w:before="44" w:after="0" w:line="240" w:lineRule="auto"/>
        <w:ind w:left="3789" w:right="0" w:hanging="530"/>
        <w:jc w:val="left"/>
        <w:rPr>
          <w:sz w:val="21"/>
        </w:rPr>
      </w:pPr>
      <w:r>
        <w:rPr>
          <w:spacing w:val="-3"/>
          <w:sz w:val="21"/>
        </w:rPr>
        <w:t>因本合同其他条款所列情形而效力终止。</w:t>
      </w:r>
    </w:p>
    <w:p>
      <w:pPr>
        <w:pStyle w:val="4"/>
        <w:spacing w:before="8"/>
        <w:rPr>
          <w:sz w:val="27"/>
        </w:rPr>
      </w:pPr>
    </w:p>
    <w:p>
      <w:pPr>
        <w:pStyle w:val="8"/>
        <w:numPr>
          <w:ilvl w:val="1"/>
          <w:numId w:val="16"/>
        </w:numPr>
        <w:tabs>
          <w:tab w:val="left" w:pos="1197"/>
        </w:tabs>
        <w:spacing w:before="0" w:after="0" w:line="240" w:lineRule="auto"/>
        <w:ind w:left="1196" w:right="0" w:hanging="977"/>
        <w:jc w:val="both"/>
        <w:rPr>
          <w:sz w:val="21"/>
        </w:rPr>
      </w:pPr>
      <w:r>
        <w:rPr>
          <w:b/>
          <w:spacing w:val="90"/>
          <w:sz w:val="21"/>
        </w:rPr>
        <w:t xml:space="preserve">社保状态变更 </w:t>
      </w:r>
      <w:r>
        <w:rPr>
          <w:spacing w:val="-1"/>
          <w:sz w:val="21"/>
        </w:rPr>
        <w:t>如果被保险人是否拥有基本医疗保险、城乡居民大病保险或公费医疗的状</w:t>
      </w:r>
    </w:p>
    <w:p>
      <w:pPr>
        <w:pStyle w:val="4"/>
        <w:spacing w:before="43" w:line="278" w:lineRule="auto"/>
        <w:ind w:left="3260" w:right="217"/>
        <w:jc w:val="both"/>
      </w:pPr>
      <w:r>
        <w:rPr>
          <w:spacing w:val="-1"/>
        </w:rPr>
        <w:t xml:space="preserve">态发生了变更，您须在保险期间届满前 </w:t>
      </w:r>
      <w:r>
        <w:rPr>
          <w:rFonts w:ascii="Times New Roman" w:eastAsia="Times New Roman"/>
        </w:rPr>
        <w:t>30</w:t>
      </w:r>
      <w:r>
        <w:rPr>
          <w:rFonts w:ascii="Times New Roman" w:eastAsia="Times New Roman"/>
          <w:spacing w:val="39"/>
        </w:rPr>
        <w:t xml:space="preserve"> </w:t>
      </w:r>
      <w:r>
        <w:t>日内通知我们。我们将以书面</w:t>
      </w:r>
      <w:r>
        <w:rPr>
          <w:spacing w:val="-2"/>
        </w:rPr>
        <w:t>形式或双方认可的其他形式确认您变更状态的申请，并在保险期间届满时变更被保险人的基本医疗保险、城乡居民大病保险或公费医疗状态。自被保险人的基本医疗保险、城乡居民大病保险或公费医疗状态变更之日起，您续保时需按新的保险费率交纳续保保险费。基本医疗保险、城乡居民大病保险或公费医疗状态变更前您已经交纳的保险费不受影响。</w:t>
      </w:r>
    </w:p>
    <w:p>
      <w:pPr>
        <w:pStyle w:val="4"/>
        <w:spacing w:before="4"/>
        <w:rPr>
          <w:sz w:val="24"/>
        </w:rPr>
      </w:pPr>
    </w:p>
    <w:p>
      <w:pPr>
        <w:pStyle w:val="4"/>
        <w:spacing w:line="278" w:lineRule="auto"/>
        <w:ind w:left="3260" w:right="234"/>
        <w:jc w:val="both"/>
      </w:pPr>
      <w:r>
        <w:rPr>
          <w:spacing w:val="-2"/>
        </w:rPr>
        <w:t xml:space="preserve">我们仅在每个保险期间届满前 </w:t>
      </w:r>
      <w:r>
        <w:rPr>
          <w:rFonts w:ascii="Times New Roman" w:eastAsia="Times New Roman"/>
        </w:rPr>
        <w:t>30</w:t>
      </w:r>
      <w:r>
        <w:rPr>
          <w:rFonts w:ascii="Times New Roman" w:eastAsia="Times New Roman"/>
          <w:spacing w:val="29"/>
        </w:rPr>
        <w:t xml:space="preserve"> </w:t>
      </w:r>
      <w:r>
        <w:t>日内受理您变更基本医疗保险、城乡居</w:t>
      </w:r>
      <w:r>
        <w:rPr>
          <w:spacing w:val="-2"/>
        </w:rPr>
        <w:t>民大病保险或公费医疗状态的申请，其他时间我们不受理该申请。</w:t>
      </w:r>
    </w:p>
    <w:p>
      <w:pPr>
        <w:pStyle w:val="4"/>
        <w:spacing w:before="4"/>
        <w:rPr>
          <w:sz w:val="24"/>
        </w:rPr>
      </w:pPr>
    </w:p>
    <w:p>
      <w:pPr>
        <w:pStyle w:val="8"/>
        <w:numPr>
          <w:ilvl w:val="1"/>
          <w:numId w:val="16"/>
        </w:numPr>
        <w:tabs>
          <w:tab w:val="left" w:pos="1196"/>
          <w:tab w:val="left" w:pos="1197"/>
          <w:tab w:val="left" w:pos="3260"/>
        </w:tabs>
        <w:spacing w:before="0" w:after="0" w:line="240" w:lineRule="auto"/>
        <w:ind w:left="1196" w:right="0" w:hanging="977"/>
        <w:jc w:val="left"/>
        <w:rPr>
          <w:sz w:val="21"/>
        </w:rPr>
      </w:pPr>
      <w:r>
        <w:rPr>
          <w:b/>
          <w:sz w:val="21"/>
        </w:rPr>
        <w:t>合同变</w:t>
      </w:r>
      <w:r>
        <w:rPr>
          <w:b/>
          <w:spacing w:val="-10"/>
          <w:sz w:val="21"/>
        </w:rPr>
        <w:t>更</w:t>
      </w:r>
      <w:r>
        <w:rPr>
          <w:b/>
          <w:sz w:val="21"/>
        </w:rPr>
        <w:tab/>
      </w:r>
      <w:r>
        <w:rPr>
          <w:spacing w:val="-2"/>
          <w:sz w:val="21"/>
        </w:rPr>
        <w:t>在本合同有效期内，经与我们协商一致，您可以变更本合同的有关内容</w:t>
      </w:r>
      <w:r>
        <w:rPr>
          <w:spacing w:val="-10"/>
          <w:sz w:val="21"/>
        </w:rPr>
        <w:t>。</w:t>
      </w:r>
    </w:p>
    <w:p>
      <w:pPr>
        <w:pStyle w:val="4"/>
        <w:spacing w:before="43" w:line="278" w:lineRule="auto"/>
        <w:ind w:left="3260" w:right="234"/>
      </w:pPr>
      <w:r>
        <w:rPr>
          <w:spacing w:val="-2"/>
        </w:rPr>
        <w:t>合同变更可以通过对本合同批注或附贴批单，或双方订立书面变更协议来</w:t>
      </w:r>
      <w:r>
        <w:rPr>
          <w:spacing w:val="-4"/>
        </w:rPr>
        <w:t>实现。</w:t>
      </w:r>
    </w:p>
    <w:p>
      <w:pPr>
        <w:pStyle w:val="4"/>
        <w:spacing w:before="4"/>
        <w:rPr>
          <w:sz w:val="24"/>
        </w:rPr>
      </w:pPr>
    </w:p>
    <w:p>
      <w:pPr>
        <w:pStyle w:val="8"/>
        <w:numPr>
          <w:ilvl w:val="1"/>
          <w:numId w:val="16"/>
        </w:numPr>
        <w:tabs>
          <w:tab w:val="left" w:pos="1196"/>
          <w:tab w:val="left" w:pos="1197"/>
          <w:tab w:val="left" w:pos="3260"/>
        </w:tabs>
        <w:spacing w:before="1" w:after="0" w:line="240" w:lineRule="auto"/>
        <w:ind w:left="1196" w:right="0" w:hanging="977"/>
        <w:jc w:val="left"/>
        <w:rPr>
          <w:sz w:val="21"/>
        </w:rPr>
      </w:pPr>
      <w:r>
        <w:rPr>
          <w:b/>
          <w:sz w:val="21"/>
        </w:rPr>
        <w:t>通知送</w:t>
      </w:r>
      <w:r>
        <w:rPr>
          <w:b/>
          <w:spacing w:val="-10"/>
          <w:sz w:val="21"/>
        </w:rPr>
        <w:t>达</w:t>
      </w:r>
      <w:r>
        <w:rPr>
          <w:b/>
          <w:sz w:val="21"/>
        </w:rPr>
        <w:tab/>
      </w:r>
      <w:r>
        <w:rPr>
          <w:spacing w:val="-2"/>
          <w:sz w:val="21"/>
        </w:rPr>
        <w:t>为确保我们的通知能有效送达，请您务必正确填写您、被保险人及受益</w:t>
      </w:r>
      <w:r>
        <w:rPr>
          <w:spacing w:val="-10"/>
          <w:sz w:val="21"/>
        </w:rPr>
        <w:t>人</w:t>
      </w:r>
    </w:p>
    <w:p>
      <w:pPr>
        <w:pStyle w:val="4"/>
        <w:spacing w:before="43" w:line="278" w:lineRule="auto"/>
        <w:ind w:left="3260" w:right="131"/>
      </w:pPr>
      <w:r>
        <w:rPr>
          <w:spacing w:val="-4"/>
        </w:rPr>
        <w:t>的住所、通讯地址、电话及电子邮箱等联系方式。当这些联系方式变更时，</w:t>
      </w:r>
      <w:r>
        <w:rPr>
          <w:spacing w:val="-2"/>
        </w:rPr>
        <w:t>请及时以书面形式或双方认可的其他形式通知我们。如果未能通知我们，我们按所知的最后联系方式所发送的有关通知，均视为已经送达给您、被保险人及受益人。</w:t>
      </w:r>
    </w:p>
    <w:p>
      <w:pPr>
        <w:pStyle w:val="4"/>
        <w:spacing w:before="4"/>
        <w:rPr>
          <w:sz w:val="24"/>
        </w:rPr>
      </w:pPr>
    </w:p>
    <w:p>
      <w:pPr>
        <w:pStyle w:val="8"/>
        <w:numPr>
          <w:ilvl w:val="1"/>
          <w:numId w:val="16"/>
        </w:numPr>
        <w:tabs>
          <w:tab w:val="left" w:pos="1197"/>
          <w:tab w:val="left" w:pos="3260"/>
        </w:tabs>
        <w:spacing w:before="0" w:after="0" w:line="240" w:lineRule="auto"/>
        <w:ind w:left="1196" w:right="0" w:hanging="977"/>
        <w:jc w:val="both"/>
        <w:rPr>
          <w:sz w:val="21"/>
        </w:rPr>
      </w:pPr>
      <w:r>
        <w:rPr>
          <w:b/>
          <w:sz w:val="21"/>
        </w:rPr>
        <w:t>争议处</w:t>
      </w:r>
      <w:r>
        <w:rPr>
          <w:b/>
          <w:spacing w:val="-10"/>
          <w:sz w:val="21"/>
        </w:rPr>
        <w:t>理</w:t>
      </w:r>
      <w:r>
        <w:rPr>
          <w:b/>
          <w:sz w:val="21"/>
        </w:rPr>
        <w:tab/>
      </w:r>
      <w:r>
        <w:rPr>
          <w:spacing w:val="-2"/>
          <w:sz w:val="21"/>
        </w:rPr>
        <w:t>本合同履行过程中双方发生争议，诉讼管辖为被告住所地人民法院</w:t>
      </w:r>
      <w:r>
        <w:rPr>
          <w:spacing w:val="-10"/>
          <w:sz w:val="21"/>
        </w:rPr>
        <w:t>。</w:t>
      </w:r>
    </w:p>
    <w:p>
      <w:pPr>
        <w:pStyle w:val="4"/>
        <w:spacing w:before="11"/>
        <w:rPr>
          <w:sz w:val="27"/>
        </w:rPr>
      </w:pPr>
    </w:p>
    <w:p>
      <w:pPr>
        <w:tabs>
          <w:tab w:val="left" w:pos="1196"/>
        </w:tabs>
        <w:spacing w:before="0"/>
        <w:ind w:left="220" w:right="0" w:firstLine="0"/>
        <w:jc w:val="left"/>
        <w:rPr>
          <w:b/>
          <w:sz w:val="28"/>
        </w:rPr>
      </w:pPr>
      <w:r>
        <w:rPr>
          <w:rFonts w:ascii="Wingdings" w:hAnsi="Wingdings" w:eastAsia="Wingdings"/>
          <w:spacing w:val="-10"/>
          <w:position w:val="-7"/>
          <w:sz w:val="52"/>
        </w:rPr>
        <w:t></w:t>
      </w:r>
      <w:r>
        <w:rPr>
          <w:rFonts w:ascii="Times New Roman" w:hAnsi="Times New Roman" w:eastAsia="Times New Roman"/>
          <w:position w:val="-7"/>
          <w:sz w:val="52"/>
        </w:rPr>
        <w:tab/>
      </w:r>
      <w:r>
        <w:rPr>
          <w:b/>
          <w:w w:val="95"/>
          <w:sz w:val="28"/>
        </w:rPr>
        <w:t>释</w:t>
      </w:r>
      <w:r>
        <w:rPr>
          <w:b/>
          <w:spacing w:val="-10"/>
          <w:sz w:val="28"/>
        </w:rPr>
        <w:t>义</w:t>
      </w:r>
    </w:p>
    <w:p>
      <w:pPr>
        <w:pStyle w:val="8"/>
        <w:numPr>
          <w:ilvl w:val="1"/>
          <w:numId w:val="17"/>
        </w:numPr>
        <w:tabs>
          <w:tab w:val="left" w:pos="1197"/>
        </w:tabs>
        <w:spacing w:before="356" w:after="0" w:line="240" w:lineRule="auto"/>
        <w:ind w:left="1196" w:right="0" w:hanging="977"/>
        <w:jc w:val="both"/>
        <w:rPr>
          <w:sz w:val="21"/>
        </w:rPr>
      </w:pPr>
      <w:r>
        <w:rPr>
          <w:b/>
          <w:spacing w:val="95"/>
          <w:sz w:val="21"/>
        </w:rPr>
        <w:t xml:space="preserve">医疗费用释义 </w:t>
      </w:r>
      <w:r>
        <w:rPr>
          <w:spacing w:val="-1"/>
          <w:sz w:val="21"/>
        </w:rPr>
        <w:t>指被保险人发生的下述医疗费用，包括：</w:t>
      </w:r>
    </w:p>
    <w:p>
      <w:pPr>
        <w:pStyle w:val="4"/>
        <w:spacing w:before="8"/>
      </w:pPr>
    </w:p>
    <w:p>
      <w:pPr>
        <w:pStyle w:val="8"/>
        <w:numPr>
          <w:ilvl w:val="2"/>
          <w:numId w:val="17"/>
        </w:numPr>
        <w:tabs>
          <w:tab w:val="left" w:pos="3797"/>
        </w:tabs>
        <w:spacing w:before="78" w:after="0" w:line="278" w:lineRule="auto"/>
        <w:ind w:left="3786" w:right="234" w:hanging="526"/>
        <w:jc w:val="left"/>
        <w:rPr>
          <w:rFonts w:ascii="黑体" w:eastAsia="黑体"/>
          <w:sz w:val="21"/>
        </w:rPr>
      </w:pPr>
      <w:r>
        <w:rPr>
          <w:spacing w:val="-2"/>
          <w:sz w:val="21"/>
        </w:rPr>
        <w:t>床位费：指被保险人住院期间实际发生的使用医院病床的费用，</w:t>
      </w:r>
      <w:r>
        <w:rPr>
          <w:rFonts w:ascii="黑体" w:eastAsia="黑体"/>
          <w:color w:val="000000"/>
          <w:spacing w:val="-2"/>
          <w:sz w:val="21"/>
          <w:shd w:val="clear" w:color="auto" w:fill="D9D9D9"/>
        </w:rPr>
        <w:t>不</w:t>
      </w:r>
      <w:r>
        <w:rPr>
          <w:rFonts w:ascii="黑体" w:eastAsia="黑体"/>
          <w:color w:val="000000"/>
          <w:spacing w:val="80"/>
          <w:w w:val="150"/>
          <w:sz w:val="21"/>
          <w:shd w:val="clear" w:color="auto" w:fill="D9D9D9"/>
        </w:rPr>
        <w:t xml:space="preserve">                                 </w:t>
      </w:r>
      <w:r>
        <w:rPr>
          <w:rFonts w:ascii="黑体" w:eastAsia="黑体"/>
          <w:color w:val="000000"/>
          <w:spacing w:val="-2"/>
          <w:sz w:val="21"/>
          <w:shd w:val="clear" w:color="auto" w:fill="D9D9D9"/>
        </w:rPr>
        <w:t>包括重症监护室床位费。</w:t>
      </w:r>
    </w:p>
    <w:p>
      <w:pPr>
        <w:spacing w:after="0" w:line="278" w:lineRule="auto"/>
        <w:jc w:val="left"/>
        <w:rPr>
          <w:rFonts w:ascii="黑体" w:eastAsia="黑体"/>
          <w:sz w:val="21"/>
        </w:rPr>
        <w:sectPr>
          <w:pgSz w:w="11910" w:h="16840"/>
          <w:pgMar w:top="1580" w:right="840" w:bottom="280" w:left="860" w:header="720" w:footer="720" w:gutter="0"/>
          <w:cols w:space="720" w:num="1"/>
        </w:sectPr>
      </w:pPr>
    </w:p>
    <w:p>
      <w:pPr>
        <w:pStyle w:val="4"/>
        <w:spacing w:before="11"/>
        <w:rPr>
          <w:rFonts w:ascii="黑体"/>
          <w:sz w:val="7"/>
        </w:rPr>
      </w:pPr>
    </w:p>
    <w:p>
      <w:pPr>
        <w:pStyle w:val="8"/>
        <w:numPr>
          <w:ilvl w:val="2"/>
          <w:numId w:val="17"/>
        </w:numPr>
        <w:tabs>
          <w:tab w:val="left" w:pos="3797"/>
        </w:tabs>
        <w:spacing w:before="78" w:after="0" w:line="278" w:lineRule="auto"/>
        <w:ind w:left="3786" w:right="234" w:hanging="526"/>
        <w:jc w:val="both"/>
        <w:rPr>
          <w:sz w:val="21"/>
        </w:rPr>
      </w:pPr>
      <w:r>
        <w:rPr>
          <w:spacing w:val="-2"/>
          <w:sz w:val="21"/>
        </w:rPr>
        <w:t>重症监护室床位费：指出于医学必要，被保险人住院期间需在重症监护室进行必需且合理的治疗所发生的床位费。重症监护室指配有中心监护台、心电监护仪及其他监护抢救设施，相对封闭管理，符</w:t>
      </w:r>
      <w:r>
        <w:rPr>
          <w:spacing w:val="-4"/>
          <w:sz w:val="21"/>
        </w:rPr>
        <w:t>合重症监护病房（</w:t>
      </w:r>
      <w:r>
        <w:rPr>
          <w:rFonts w:ascii="Times New Roman" w:eastAsia="Times New Roman"/>
          <w:spacing w:val="-4"/>
          <w:sz w:val="21"/>
        </w:rPr>
        <w:t>ICU</w:t>
      </w:r>
      <w:r>
        <w:rPr>
          <w:spacing w:val="-4"/>
          <w:sz w:val="21"/>
        </w:rPr>
        <w:t>）、冠心病重症监护病房（</w:t>
      </w:r>
      <w:r>
        <w:rPr>
          <w:rFonts w:ascii="Times New Roman" w:eastAsia="Times New Roman"/>
          <w:spacing w:val="-4"/>
          <w:sz w:val="21"/>
        </w:rPr>
        <w:t>CCU</w:t>
      </w:r>
      <w:r>
        <w:rPr>
          <w:spacing w:val="-4"/>
          <w:sz w:val="21"/>
        </w:rPr>
        <w:t>）标准的单人</w:t>
      </w:r>
      <w:r>
        <w:rPr>
          <w:spacing w:val="-2"/>
          <w:sz w:val="21"/>
        </w:rPr>
        <w:t>或多人监护病房。</w:t>
      </w:r>
    </w:p>
    <w:p>
      <w:pPr>
        <w:pStyle w:val="4"/>
        <w:spacing w:before="7"/>
        <w:rPr>
          <w:sz w:val="23"/>
        </w:rPr>
      </w:pPr>
    </w:p>
    <w:p>
      <w:pPr>
        <w:pStyle w:val="8"/>
        <w:numPr>
          <w:ilvl w:val="2"/>
          <w:numId w:val="17"/>
        </w:numPr>
        <w:tabs>
          <w:tab w:val="left" w:pos="3790"/>
        </w:tabs>
        <w:spacing w:before="0" w:after="0" w:line="278" w:lineRule="auto"/>
        <w:ind w:left="3786" w:right="236" w:hanging="526"/>
        <w:jc w:val="both"/>
        <w:rPr>
          <w:sz w:val="21"/>
        </w:rPr>
      </w:pPr>
      <w:r>
        <w:rPr>
          <w:spacing w:val="-2"/>
          <w:sz w:val="21"/>
        </w:rPr>
        <w:t>护理费：指被保险人住院期间根据医嘱所示的护理等级，由</w:t>
      </w:r>
      <w:r>
        <w:rPr>
          <w:b/>
          <w:spacing w:val="-2"/>
          <w:sz w:val="21"/>
        </w:rPr>
        <w:t>护士</w:t>
      </w:r>
      <w:r>
        <w:rPr>
          <w:b/>
          <w:spacing w:val="-2"/>
          <w:position w:val="11"/>
          <w:sz w:val="11"/>
        </w:rPr>
        <w:t>39</w:t>
      </w:r>
      <w:r>
        <w:rPr>
          <w:spacing w:val="-2"/>
          <w:sz w:val="21"/>
        </w:rPr>
        <w:t>对被保险人提供临床护理服务所发生的费用，包括各级护理费用、重症监护费用和专项护理费用。</w:t>
      </w:r>
    </w:p>
    <w:p>
      <w:pPr>
        <w:pStyle w:val="4"/>
        <w:spacing w:before="4"/>
        <w:rPr>
          <w:sz w:val="24"/>
        </w:rPr>
      </w:pPr>
    </w:p>
    <w:p>
      <w:pPr>
        <w:pStyle w:val="8"/>
        <w:numPr>
          <w:ilvl w:val="2"/>
          <w:numId w:val="17"/>
        </w:numPr>
        <w:tabs>
          <w:tab w:val="left" w:pos="3797"/>
        </w:tabs>
        <w:spacing w:before="0" w:after="0" w:line="278" w:lineRule="auto"/>
        <w:ind w:left="3786" w:right="128" w:hanging="526"/>
        <w:jc w:val="left"/>
        <w:rPr>
          <w:sz w:val="21"/>
        </w:rPr>
      </w:pPr>
      <w:r>
        <w:rPr>
          <w:spacing w:val="-1"/>
          <w:w w:val="100"/>
          <w:sz w:val="21"/>
        </w:rPr>
        <w:t>膳食费：指被保险人住院期间根据医嘱，食用由医院内设的、专门</w:t>
      </w:r>
      <w:r>
        <w:rPr>
          <w:spacing w:val="-5"/>
          <w:w w:val="100"/>
          <w:sz w:val="21"/>
        </w:rPr>
        <w:t>为住院病人配餐的食堂配送的、符合通常惯例的餐饮所发生的费用。</w:t>
      </w:r>
      <w:r>
        <w:rPr>
          <w:w w:val="100"/>
          <w:sz w:val="21"/>
        </w:rPr>
        <w:t>膳食费应包含在医疗账单内，根据各医院的惯例，可以作为独立的</w:t>
      </w:r>
      <w:r>
        <w:rPr>
          <w:spacing w:val="-3"/>
          <w:w w:val="100"/>
          <w:sz w:val="21"/>
        </w:rPr>
        <w:t>款项、也可以合并在病房费等其他款项内。</w:t>
      </w:r>
    </w:p>
    <w:p>
      <w:pPr>
        <w:pStyle w:val="4"/>
        <w:spacing w:before="10"/>
        <w:rPr>
          <w:sz w:val="18"/>
        </w:rPr>
      </w:pPr>
    </w:p>
    <w:p>
      <w:pPr>
        <w:pStyle w:val="4"/>
        <w:spacing w:before="71"/>
        <w:ind w:left="3260"/>
        <w:rPr>
          <w:rFonts w:ascii="黑体" w:eastAsia="黑体"/>
        </w:rPr>
      </w:pPr>
      <w:r>
        <w:rPr>
          <w:rFonts w:ascii="黑体" w:eastAsia="黑体"/>
          <w:color w:val="000000"/>
          <w:spacing w:val="-3"/>
          <w:shd w:val="clear" w:color="auto" w:fill="D9D9D9"/>
        </w:rPr>
        <w:t>膳食费不包括下列情形：</w:t>
      </w:r>
    </w:p>
    <w:p>
      <w:pPr>
        <w:pStyle w:val="4"/>
        <w:spacing w:before="43"/>
        <w:ind w:left="3260"/>
        <w:rPr>
          <w:rFonts w:ascii="黑体" w:hAnsi="黑体" w:eastAsia="黑体"/>
        </w:rPr>
      </w:pPr>
      <w:r>
        <w:rPr>
          <w:rFonts w:ascii="黑体" w:hAnsi="黑体" w:eastAsia="黑体"/>
          <w:color w:val="000000"/>
          <w:spacing w:val="-3"/>
          <w:shd w:val="clear" w:color="auto" w:fill="D9D9D9"/>
        </w:rPr>
        <w:t>① 所住医院外其他营利性餐饮服务机构提供的餐饮所发生的费用；</w:t>
      </w:r>
    </w:p>
    <w:p>
      <w:pPr>
        <w:pStyle w:val="4"/>
        <w:spacing w:before="43"/>
        <w:ind w:left="3260"/>
        <w:rPr>
          <w:rFonts w:ascii="黑体" w:hAnsi="黑体" w:eastAsia="黑体"/>
        </w:rPr>
      </w:pPr>
      <w:r>
        <w:rPr>
          <w:rFonts w:ascii="黑体" w:hAnsi="黑体" w:eastAsia="黑体"/>
          <w:color w:val="000000"/>
          <w:spacing w:val="-3"/>
          <w:shd w:val="clear" w:color="auto" w:fill="D9D9D9"/>
        </w:rPr>
        <w:t>② 所住医院内对外营业的餐厅或食堂提供的餐饮所发生的费用；</w:t>
      </w:r>
    </w:p>
    <w:p>
      <w:pPr>
        <w:pStyle w:val="4"/>
        <w:spacing w:before="43"/>
        <w:ind w:left="3260"/>
        <w:rPr>
          <w:rFonts w:ascii="黑体" w:hAnsi="黑体" w:eastAsia="黑体"/>
        </w:rPr>
      </w:pPr>
      <w:r>
        <w:rPr>
          <w:rFonts w:ascii="黑体" w:hAnsi="黑体" w:eastAsia="黑体"/>
          <w:color w:val="000000"/>
          <w:spacing w:val="-3"/>
          <w:shd w:val="clear" w:color="auto" w:fill="D9D9D9"/>
        </w:rPr>
        <w:t>③ 不是根据医嘱配送的，或不在医院开具的医疗费用清单上的餐饮费用。</w:t>
      </w:r>
    </w:p>
    <w:p>
      <w:pPr>
        <w:pStyle w:val="4"/>
        <w:spacing w:before="9"/>
        <w:rPr>
          <w:rFonts w:ascii="黑体"/>
          <w:sz w:val="27"/>
        </w:rPr>
      </w:pPr>
    </w:p>
    <w:p>
      <w:pPr>
        <w:pStyle w:val="8"/>
        <w:numPr>
          <w:ilvl w:val="2"/>
          <w:numId w:val="17"/>
        </w:numPr>
        <w:tabs>
          <w:tab w:val="left" w:pos="3797"/>
        </w:tabs>
        <w:spacing w:before="0" w:after="0" w:line="278" w:lineRule="auto"/>
        <w:ind w:left="3786" w:right="128" w:hanging="526"/>
        <w:jc w:val="left"/>
        <w:rPr>
          <w:sz w:val="21"/>
        </w:rPr>
      </w:pPr>
      <w:r>
        <w:rPr>
          <w:w w:val="100"/>
          <w:sz w:val="21"/>
        </w:rPr>
        <w:t>检查检验费：指实际发生的，以诊断疾病为目的，采取必要的医学</w:t>
      </w:r>
      <w:r>
        <w:rPr>
          <w:spacing w:val="-4"/>
          <w:w w:val="100"/>
          <w:sz w:val="21"/>
        </w:rPr>
        <w:t>手段进行检查及检验而发生的合理的医疗费用，包括</w:t>
      </w:r>
      <w:r>
        <w:rPr>
          <w:rFonts w:ascii="Times New Roman" w:eastAsia="Times New Roman"/>
          <w:spacing w:val="-2"/>
          <w:w w:val="100"/>
          <w:sz w:val="21"/>
        </w:rPr>
        <w:t>X</w:t>
      </w:r>
      <w:r>
        <w:rPr>
          <w:spacing w:val="-5"/>
          <w:w w:val="100"/>
          <w:sz w:val="21"/>
        </w:rPr>
        <w:t>光费、</w:t>
      </w:r>
      <w:r>
        <w:rPr>
          <w:rFonts w:ascii="Times New Roman" w:eastAsia="Times New Roman"/>
          <w:w w:val="100"/>
          <w:sz w:val="21"/>
        </w:rPr>
        <w:t>C</w:t>
      </w:r>
      <w:r>
        <w:rPr>
          <w:rFonts w:ascii="Times New Roman" w:eastAsia="Times New Roman"/>
          <w:spacing w:val="-2"/>
          <w:w w:val="100"/>
          <w:sz w:val="21"/>
        </w:rPr>
        <w:t>T</w:t>
      </w:r>
      <w:r>
        <w:rPr>
          <w:w w:val="100"/>
          <w:sz w:val="21"/>
        </w:rPr>
        <w:t>费、</w:t>
      </w:r>
      <w:r>
        <w:rPr>
          <w:spacing w:val="-6"/>
          <w:w w:val="100"/>
          <w:sz w:val="21"/>
        </w:rPr>
        <w:t>核磁共振检查</w:t>
      </w:r>
      <w:r>
        <w:rPr>
          <w:w w:val="100"/>
          <w:sz w:val="21"/>
        </w:rPr>
        <w:t>（</w:t>
      </w:r>
      <w:r>
        <w:rPr>
          <w:rFonts w:ascii="Times New Roman" w:eastAsia="Times New Roman"/>
          <w:spacing w:val="-3"/>
          <w:w w:val="100"/>
          <w:sz w:val="21"/>
        </w:rPr>
        <w:t>M</w:t>
      </w:r>
      <w:r>
        <w:rPr>
          <w:rFonts w:ascii="Times New Roman" w:eastAsia="Times New Roman"/>
          <w:w w:val="100"/>
          <w:sz w:val="21"/>
        </w:rPr>
        <w:t>R</w:t>
      </w:r>
      <w:r>
        <w:rPr>
          <w:rFonts w:ascii="Times New Roman" w:eastAsia="Times New Roman"/>
          <w:spacing w:val="-3"/>
          <w:w w:val="100"/>
          <w:sz w:val="21"/>
        </w:rPr>
        <w:t>I</w:t>
      </w:r>
      <w:r>
        <w:rPr>
          <w:spacing w:val="-22"/>
          <w:w w:val="100"/>
          <w:sz w:val="21"/>
        </w:rPr>
        <w:t>）</w:t>
      </w:r>
      <w:r>
        <w:rPr>
          <w:spacing w:val="-13"/>
          <w:w w:val="100"/>
          <w:sz w:val="21"/>
        </w:rPr>
        <w:t>费、</w:t>
      </w:r>
      <w:r>
        <w:rPr>
          <w:rFonts w:ascii="Times New Roman" w:eastAsia="Times New Roman"/>
          <w:w w:val="100"/>
          <w:sz w:val="21"/>
        </w:rPr>
        <w:t>B</w:t>
      </w:r>
      <w:r>
        <w:rPr>
          <w:spacing w:val="-10"/>
          <w:w w:val="100"/>
          <w:sz w:val="21"/>
        </w:rPr>
        <w:t>超费、心电图费、脑电图费、内窥镜费、</w:t>
      </w:r>
      <w:r>
        <w:rPr>
          <w:spacing w:val="-5"/>
          <w:w w:val="100"/>
          <w:sz w:val="21"/>
        </w:rPr>
        <w:t>肺功能仪费、分子生化检验费和血、尿、便常规检验费等。</w:t>
      </w:r>
    </w:p>
    <w:p>
      <w:pPr>
        <w:pStyle w:val="4"/>
        <w:spacing w:before="4"/>
        <w:rPr>
          <w:sz w:val="24"/>
        </w:rPr>
      </w:pPr>
    </w:p>
    <w:p>
      <w:pPr>
        <w:pStyle w:val="8"/>
        <w:numPr>
          <w:ilvl w:val="2"/>
          <w:numId w:val="17"/>
        </w:numPr>
        <w:tabs>
          <w:tab w:val="left" w:pos="3797"/>
        </w:tabs>
        <w:spacing w:before="0" w:after="0" w:line="278" w:lineRule="auto"/>
        <w:ind w:left="3786" w:right="234" w:hanging="526"/>
        <w:jc w:val="both"/>
        <w:rPr>
          <w:sz w:val="21"/>
        </w:rPr>
      </w:pPr>
      <w:r>
        <w:rPr>
          <w:spacing w:val="-2"/>
          <w:sz w:val="21"/>
        </w:rPr>
        <w:t>治疗费：指以治疗疾病为目的、由医院的治疗者提供的医学必要的治疗手段</w:t>
      </w:r>
      <w:r>
        <w:rPr>
          <w:rFonts w:ascii="黑体" w:eastAsia="黑体"/>
          <w:color w:val="000000"/>
          <w:spacing w:val="-2"/>
          <w:sz w:val="21"/>
          <w:shd w:val="clear" w:color="auto" w:fill="D9D9D9"/>
        </w:rPr>
        <w:t>（除手术外）</w:t>
      </w:r>
      <w:r>
        <w:rPr>
          <w:color w:val="000000"/>
          <w:spacing w:val="-2"/>
          <w:sz w:val="21"/>
        </w:rPr>
        <w:t>而实际发生的必需且合理的技术劳务费、医疗器械使用费和消耗品费用，具体以医院的费用项目划分为准。</w:t>
      </w:r>
    </w:p>
    <w:p>
      <w:pPr>
        <w:pStyle w:val="4"/>
        <w:spacing w:before="11"/>
        <w:rPr>
          <w:sz w:val="16"/>
        </w:rPr>
      </w:pPr>
    </w:p>
    <w:p>
      <w:pPr>
        <w:spacing w:before="86"/>
        <w:ind w:left="3260" w:right="0" w:firstLine="0"/>
        <w:jc w:val="left"/>
        <w:rPr>
          <w:rFonts w:ascii="黑体" w:eastAsia="黑体"/>
          <w:sz w:val="21"/>
        </w:rPr>
      </w:pPr>
      <w:r>
        <w:rPr>
          <w:rFonts w:ascii="黑体" w:eastAsia="黑体"/>
          <w:color w:val="000000"/>
          <w:w w:val="95"/>
          <w:sz w:val="21"/>
          <w:shd w:val="clear" w:color="auto" w:fill="D9D9D9"/>
        </w:rPr>
        <w:t>治疗费不包括</w:t>
      </w:r>
      <w:r>
        <w:rPr>
          <w:rFonts w:hint="eastAsia" w:ascii="黑体" w:eastAsia="黑体"/>
          <w:b/>
          <w:color w:val="000000"/>
          <w:w w:val="95"/>
          <w:sz w:val="21"/>
          <w:shd w:val="clear" w:color="auto" w:fill="D9D9D9"/>
        </w:rPr>
        <w:t>物理治疗、中医理疗及其他特殊疗法</w:t>
      </w:r>
      <w:r>
        <w:rPr>
          <w:rFonts w:hint="eastAsia" w:ascii="黑体" w:eastAsia="黑体"/>
          <w:b/>
          <w:color w:val="000000"/>
          <w:w w:val="95"/>
          <w:position w:val="11"/>
          <w:sz w:val="11"/>
        </w:rPr>
        <w:t>40</w:t>
      </w:r>
      <w:r>
        <w:rPr>
          <w:rFonts w:ascii="黑体" w:eastAsia="黑体"/>
          <w:color w:val="000000"/>
          <w:w w:val="95"/>
          <w:sz w:val="21"/>
          <w:shd w:val="clear" w:color="auto" w:fill="D9D9D9"/>
        </w:rPr>
        <w:t>费用</w:t>
      </w:r>
      <w:r>
        <w:rPr>
          <w:rFonts w:ascii="黑体" w:eastAsia="黑体"/>
          <w:color w:val="000000"/>
          <w:spacing w:val="-10"/>
          <w:w w:val="95"/>
          <w:sz w:val="21"/>
          <w:shd w:val="clear" w:color="auto" w:fill="D9D9D9"/>
        </w:rPr>
        <w:t>。</w:t>
      </w:r>
    </w:p>
    <w:p>
      <w:pPr>
        <w:pStyle w:val="4"/>
        <w:spacing w:before="9"/>
        <w:rPr>
          <w:rFonts w:ascii="黑体"/>
          <w:sz w:val="27"/>
        </w:rPr>
      </w:pPr>
    </w:p>
    <w:p>
      <w:pPr>
        <w:pStyle w:val="8"/>
        <w:numPr>
          <w:ilvl w:val="2"/>
          <w:numId w:val="17"/>
        </w:numPr>
        <w:tabs>
          <w:tab w:val="left" w:pos="3797"/>
        </w:tabs>
        <w:spacing w:before="0" w:after="0" w:line="278" w:lineRule="auto"/>
        <w:ind w:left="3786" w:right="234" w:hanging="526"/>
        <w:jc w:val="both"/>
        <w:rPr>
          <w:sz w:val="21"/>
        </w:rPr>
      </w:pPr>
      <w:r>
        <w:rPr>
          <w:spacing w:val="-2"/>
          <w:sz w:val="21"/>
        </w:rPr>
        <w:t>药品费：指被保险人住院期间或接受门急诊治疗期间，由医生开具的具有所在国国家药品监督管理部门核发的药品批准文号或进口药品注册证书、医药产品注册证书的国产或进口药品而实际发生的必需且合理的费用。</w:t>
      </w:r>
    </w:p>
    <w:p>
      <w:pPr>
        <w:pStyle w:val="4"/>
        <w:spacing w:before="9"/>
        <w:rPr>
          <w:sz w:val="18"/>
        </w:rPr>
      </w:pPr>
    </w:p>
    <w:p>
      <w:pPr>
        <w:pStyle w:val="4"/>
        <w:spacing w:before="72" w:line="278" w:lineRule="auto"/>
        <w:ind w:left="3260" w:right="234"/>
        <w:rPr>
          <w:rFonts w:ascii="黑体" w:eastAsia="黑体"/>
        </w:rPr>
      </w:pPr>
      <w:r>
        <w:rPr>
          <w:rFonts w:ascii="黑体" w:eastAsia="黑体"/>
          <w:color w:val="000000"/>
          <w:spacing w:val="-2"/>
          <w:shd w:val="clear" w:color="auto" w:fill="D9D9D9"/>
        </w:rPr>
        <w:t>药品费不包括预防类药品、营养补充类药品、免疫功能调节类药品、美容</w:t>
      </w:r>
      <w:r>
        <w:rPr>
          <w:rFonts w:ascii="黑体" w:eastAsia="黑体"/>
          <w:color w:val="000000"/>
          <w:spacing w:val="80"/>
          <w:w w:val="150"/>
          <w:shd w:val="clear" w:color="auto" w:fill="D9D9D9"/>
        </w:rPr>
        <w:t xml:space="preserve">                                    </w:t>
      </w:r>
      <w:r>
        <w:rPr>
          <w:rFonts w:ascii="黑体" w:eastAsia="黑体"/>
          <w:color w:val="000000"/>
          <w:spacing w:val="-2"/>
          <w:shd w:val="clear" w:color="auto" w:fill="D9D9D9"/>
        </w:rPr>
        <w:t>及减肥类药品、中草药和中药饮片炮制的各类酒制剂的费用。</w:t>
      </w:r>
    </w:p>
    <w:p>
      <w:pPr>
        <w:pStyle w:val="4"/>
        <w:rPr>
          <w:rFonts w:ascii="黑体"/>
          <w:sz w:val="20"/>
        </w:rPr>
      </w:pPr>
    </w:p>
    <w:p>
      <w:pPr>
        <w:pStyle w:val="4"/>
        <w:spacing w:before="12"/>
        <w:rPr>
          <w:rFonts w:ascii="黑体"/>
          <w:sz w:val="13"/>
        </w:rPr>
      </w:pPr>
      <w:r>
        <w:drawing>
          <wp:anchor distT="0" distB="0" distL="0" distR="0" simplePos="0" relativeHeight="251660288" behindDoc="0" locked="0" layoutInCell="1" allowOverlap="1">
            <wp:simplePos x="0" y="0"/>
            <wp:positionH relativeFrom="page">
              <wp:posOffset>685800</wp:posOffset>
            </wp:positionH>
            <wp:positionV relativeFrom="paragraph">
              <wp:posOffset>128905</wp:posOffset>
            </wp:positionV>
            <wp:extent cx="1828800" cy="6350"/>
            <wp:effectExtent l="0" t="0" r="0" b="0"/>
            <wp:wrapTopAndBottom/>
            <wp:docPr id="6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19.png"/>
                    <pic:cNvPicPr>
                      <a:picLocks noChangeAspect="1"/>
                    </pic:cNvPicPr>
                  </pic:nvPicPr>
                  <pic:blipFill>
                    <a:blip r:embed="rId24" cstate="print"/>
                    <a:stretch>
                      <a:fillRect/>
                    </a:stretch>
                  </pic:blipFill>
                  <pic:spPr>
                    <a:xfrm>
                      <a:off x="0" y="0"/>
                      <a:ext cx="1828800" cy="6095"/>
                    </a:xfrm>
                    <a:prstGeom prst="rect">
                      <a:avLst/>
                    </a:prstGeom>
                  </pic:spPr>
                </pic:pic>
              </a:graphicData>
            </a:graphic>
          </wp:anchor>
        </w:drawing>
      </w:r>
    </w:p>
    <w:p>
      <w:pPr>
        <w:spacing w:before="156"/>
        <w:ind w:left="220" w:right="0" w:firstLine="0"/>
        <w:jc w:val="left"/>
        <w:rPr>
          <w:sz w:val="18"/>
        </w:rPr>
      </w:pPr>
      <w:r>
        <w:rPr>
          <w:rFonts w:ascii="Times New Roman" w:eastAsia="Times New Roman"/>
          <w:sz w:val="18"/>
          <w:vertAlign w:val="superscript"/>
        </w:rPr>
        <w:t>39</w:t>
      </w:r>
      <w:r>
        <w:rPr>
          <w:rFonts w:ascii="Times New Roman" w:eastAsia="Times New Roman"/>
          <w:spacing w:val="41"/>
          <w:sz w:val="18"/>
          <w:vertAlign w:val="baseline"/>
        </w:rPr>
        <w:t xml:space="preserve"> </w:t>
      </w:r>
      <w:r>
        <w:rPr>
          <w:b/>
          <w:sz w:val="18"/>
          <w:vertAlign w:val="baseline"/>
        </w:rPr>
        <w:t>护士</w:t>
      </w:r>
      <w:r>
        <w:rPr>
          <w:spacing w:val="-1"/>
          <w:sz w:val="18"/>
          <w:vertAlign w:val="baseline"/>
        </w:rPr>
        <w:t>指在医院内合法注册的具有护士执业资格且正在执业的护理人员。</w:t>
      </w:r>
    </w:p>
    <w:p>
      <w:pPr>
        <w:spacing w:before="69" w:line="312" w:lineRule="auto"/>
        <w:ind w:left="445" w:right="148" w:hanging="226"/>
        <w:jc w:val="left"/>
        <w:rPr>
          <w:sz w:val="18"/>
        </w:rPr>
      </w:pPr>
      <w:r>
        <w:rPr>
          <w:rFonts w:ascii="Times New Roman" w:eastAsia="Times New Roman"/>
          <w:sz w:val="18"/>
          <w:vertAlign w:val="superscript"/>
        </w:rPr>
        <w:t>40</w:t>
      </w:r>
      <w:r>
        <w:rPr>
          <w:rFonts w:ascii="Times New Roman" w:eastAsia="Times New Roman"/>
          <w:sz w:val="18"/>
          <w:vertAlign w:val="baseline"/>
        </w:rPr>
        <w:t xml:space="preserve">  </w:t>
      </w:r>
      <w:r>
        <w:rPr>
          <w:b/>
          <w:w w:val="99"/>
          <w:sz w:val="18"/>
          <w:vertAlign w:val="baseline"/>
        </w:rPr>
        <w:t>物理治疗、中医理疗及其他特殊疗法</w:t>
      </w:r>
      <w:r>
        <w:rPr>
          <w:spacing w:val="-3"/>
          <w:sz w:val="18"/>
          <w:vertAlign w:val="baseline"/>
        </w:rPr>
        <w:t>：物理治疗是指应用人工物理因子</w:t>
      </w:r>
      <w:r>
        <w:rPr>
          <w:sz w:val="18"/>
          <w:vertAlign w:val="baseline"/>
        </w:rPr>
        <w:t>（</w:t>
      </w:r>
      <w:r>
        <w:rPr>
          <w:spacing w:val="-2"/>
          <w:sz w:val="18"/>
          <w:vertAlign w:val="baseline"/>
        </w:rPr>
        <w:t>如光、电、磁、声等</w:t>
      </w:r>
      <w:r>
        <w:rPr>
          <w:spacing w:val="-3"/>
          <w:sz w:val="18"/>
          <w:vertAlign w:val="baseline"/>
        </w:rPr>
        <w:t>）</w:t>
      </w:r>
      <w:r>
        <w:rPr>
          <w:spacing w:val="-1"/>
          <w:sz w:val="18"/>
          <w:vertAlign w:val="baseline"/>
        </w:rPr>
        <w:t>来治疗疾病，具体包括电</w:t>
      </w:r>
      <w:r>
        <w:rPr>
          <w:sz w:val="18"/>
          <w:vertAlign w:val="baseline"/>
        </w:rPr>
        <w:t>疗、光疗、磁疗、热疗等。中医理疗是指以治疗疾病为目的，由医生实施的针灸治疗、推拿治疗、拔罐治疗或刮痧治疗。其他特殊疗法包括顺势治疗、职业疗法及语音治疗等。</w:t>
      </w:r>
    </w:p>
    <w:p>
      <w:pPr>
        <w:spacing w:after="0" w:line="312" w:lineRule="auto"/>
        <w:jc w:val="left"/>
        <w:rPr>
          <w:sz w:val="18"/>
        </w:rPr>
        <w:sectPr>
          <w:pgSz w:w="11910" w:h="16840"/>
          <w:pgMar w:top="1580" w:right="840" w:bottom="280" w:left="860" w:header="720" w:footer="720" w:gutter="0"/>
          <w:cols w:space="720" w:num="1"/>
        </w:sectPr>
      </w:pPr>
    </w:p>
    <w:p>
      <w:pPr>
        <w:pStyle w:val="8"/>
        <w:numPr>
          <w:ilvl w:val="2"/>
          <w:numId w:val="17"/>
        </w:numPr>
        <w:tabs>
          <w:tab w:val="left" w:pos="3873"/>
        </w:tabs>
        <w:spacing w:before="67" w:after="0" w:line="278" w:lineRule="auto"/>
        <w:ind w:left="3892" w:right="234" w:hanging="632"/>
        <w:jc w:val="both"/>
        <w:rPr>
          <w:sz w:val="21"/>
        </w:rPr>
      </w:pPr>
      <w:r>
        <w:rPr>
          <w:spacing w:val="-2"/>
          <w:sz w:val="21"/>
        </w:rPr>
        <w:t>医生诊疗费：指以治疗疾病为目的，由医生所实施的病情咨询及检查、各种器械或仪器检查、诊断、治疗方案拟订等各项医疗服务所收取的费用。</w:t>
      </w:r>
    </w:p>
    <w:p>
      <w:pPr>
        <w:pStyle w:val="4"/>
        <w:spacing w:before="4"/>
        <w:rPr>
          <w:sz w:val="24"/>
        </w:rPr>
      </w:pPr>
    </w:p>
    <w:p>
      <w:pPr>
        <w:pStyle w:val="8"/>
        <w:numPr>
          <w:ilvl w:val="2"/>
          <w:numId w:val="17"/>
        </w:numPr>
        <w:tabs>
          <w:tab w:val="left" w:pos="3869"/>
        </w:tabs>
        <w:spacing w:before="0" w:after="0" w:line="278" w:lineRule="auto"/>
        <w:ind w:left="3892" w:right="217" w:hanging="632"/>
        <w:jc w:val="both"/>
        <w:rPr>
          <w:sz w:val="21"/>
        </w:rPr>
      </w:pPr>
      <w:r>
        <w:rPr>
          <w:spacing w:val="-2"/>
          <w:sz w:val="21"/>
        </w:rPr>
        <w:t>手术费：指被保险人住院期间或接受门急诊治疗期间发生的符合当地卫生行政部门规定的手术项目的费用，包括手术费、手术室费、麻醉费、手术监测费、手术设备费、手术材料费、一次性用品费、术中药费。因器官移植而发生的手术费用，</w:t>
      </w:r>
      <w:r>
        <w:rPr>
          <w:rFonts w:ascii="黑体" w:eastAsia="黑体"/>
          <w:color w:val="000000"/>
          <w:spacing w:val="-2"/>
          <w:sz w:val="21"/>
          <w:shd w:val="clear" w:color="auto" w:fill="D9D9D9"/>
        </w:rPr>
        <w:t>不包括器官本身的费用</w:t>
      </w:r>
      <w:r>
        <w:rPr>
          <w:rFonts w:ascii="黑体" w:eastAsia="黑体"/>
          <w:color w:val="000000"/>
          <w:spacing w:val="11655"/>
          <w:sz w:val="21"/>
          <w:shd w:val="clear" w:color="auto" w:fill="D9D9D9"/>
        </w:rPr>
        <w:t xml:space="preserve"> </w:t>
      </w:r>
      <w:r>
        <w:rPr>
          <w:rFonts w:ascii="黑体" w:eastAsia="黑体"/>
          <w:color w:val="000000"/>
          <w:spacing w:val="-2"/>
          <w:sz w:val="21"/>
          <w:shd w:val="clear" w:color="auto" w:fill="D9D9D9"/>
        </w:rPr>
        <w:t>和获取器官过程中的费用</w:t>
      </w:r>
      <w:r>
        <w:rPr>
          <w:color w:val="000000"/>
          <w:spacing w:val="-2"/>
          <w:sz w:val="21"/>
        </w:rPr>
        <w:t>。</w:t>
      </w:r>
    </w:p>
    <w:p>
      <w:pPr>
        <w:pStyle w:val="4"/>
        <w:spacing w:before="4"/>
        <w:rPr>
          <w:sz w:val="24"/>
        </w:rPr>
      </w:pPr>
    </w:p>
    <w:p>
      <w:pPr>
        <w:pStyle w:val="8"/>
        <w:numPr>
          <w:ilvl w:val="2"/>
          <w:numId w:val="17"/>
        </w:numPr>
        <w:tabs>
          <w:tab w:val="left" w:pos="3893"/>
        </w:tabs>
        <w:spacing w:before="0" w:after="0" w:line="278" w:lineRule="auto"/>
        <w:ind w:left="3892" w:right="234" w:hanging="632"/>
        <w:jc w:val="both"/>
        <w:rPr>
          <w:sz w:val="21"/>
        </w:rPr>
      </w:pPr>
      <w:r>
        <w:rPr>
          <w:spacing w:val="-2"/>
          <w:sz w:val="21"/>
        </w:rPr>
        <w:t>救护车使用费：指被保险人住院期间或接受门急诊治疗期间，以抢救生命或治疗疾病为目的，根据医生建议，被保险人需进行医院转诊所发生的医院用车费用，且救护车的使用仅限于同一城市中的医</w:t>
      </w:r>
      <w:r>
        <w:rPr>
          <w:spacing w:val="-4"/>
          <w:sz w:val="21"/>
        </w:rPr>
        <w:t>疗运送。</w:t>
      </w:r>
    </w:p>
    <w:p>
      <w:pPr>
        <w:pStyle w:val="4"/>
        <w:spacing w:before="4"/>
        <w:rPr>
          <w:sz w:val="24"/>
        </w:rPr>
      </w:pPr>
    </w:p>
    <w:p>
      <w:pPr>
        <w:pStyle w:val="8"/>
        <w:numPr>
          <w:ilvl w:val="1"/>
          <w:numId w:val="17"/>
        </w:numPr>
        <w:tabs>
          <w:tab w:val="left" w:pos="1197"/>
        </w:tabs>
        <w:spacing w:before="0" w:after="0" w:line="240" w:lineRule="auto"/>
        <w:ind w:left="1196" w:right="0" w:hanging="977"/>
        <w:jc w:val="both"/>
        <w:rPr>
          <w:sz w:val="21"/>
        </w:rPr>
      </w:pPr>
      <w:r>
        <w:rPr>
          <w:b/>
          <w:spacing w:val="90"/>
          <w:sz w:val="21"/>
        </w:rPr>
        <w:t xml:space="preserve">重大疾病释义 </w:t>
      </w:r>
      <w:r>
        <w:rPr>
          <w:spacing w:val="-1"/>
          <w:sz w:val="21"/>
        </w:rPr>
        <w:t>本合同约定的重大疾病，指被保险人初次发生符合以下定义的疾病，或初</w:t>
      </w:r>
    </w:p>
    <w:p>
      <w:pPr>
        <w:pStyle w:val="4"/>
        <w:spacing w:before="43" w:line="278" w:lineRule="auto"/>
        <w:ind w:left="3260" w:right="234"/>
        <w:jc w:val="both"/>
      </w:pPr>
      <w:r>
        <w:rPr>
          <w:spacing w:val="-2"/>
        </w:rPr>
        <w:t xml:space="preserve">次接受符合以下定义的手术，共计 </w:t>
      </w:r>
      <w:r>
        <w:rPr>
          <w:rFonts w:ascii="Times New Roman" w:eastAsia="Times New Roman"/>
        </w:rPr>
        <w:t>100</w:t>
      </w:r>
      <w:r>
        <w:rPr>
          <w:rFonts w:ascii="Times New Roman" w:eastAsia="Times New Roman"/>
          <w:spacing w:val="-13"/>
        </w:rPr>
        <w:t xml:space="preserve"> </w:t>
      </w:r>
      <w:r>
        <w:rPr>
          <w:spacing w:val="-7"/>
        </w:rPr>
        <w:t xml:space="preserve">种。第 </w:t>
      </w:r>
      <w:r>
        <w:rPr>
          <w:rFonts w:ascii="Times New Roman" w:eastAsia="Times New Roman"/>
        </w:rPr>
        <w:t>1</w:t>
      </w:r>
      <w:r>
        <w:rPr>
          <w:rFonts w:ascii="Times New Roman" w:eastAsia="Times New Roman"/>
          <w:spacing w:val="-13"/>
        </w:rPr>
        <w:t xml:space="preserve"> </w:t>
      </w:r>
      <w:r>
        <w:rPr>
          <w:spacing w:val="-7"/>
        </w:rPr>
        <w:t xml:space="preserve">种至第 </w:t>
      </w:r>
      <w:r>
        <w:rPr>
          <w:rFonts w:ascii="Times New Roman" w:eastAsia="Times New Roman"/>
        </w:rPr>
        <w:t>25</w:t>
      </w:r>
      <w:r>
        <w:rPr>
          <w:rFonts w:ascii="Times New Roman" w:eastAsia="Times New Roman"/>
          <w:spacing w:val="8"/>
        </w:rPr>
        <w:t xml:space="preserve"> </w:t>
      </w:r>
      <w:r>
        <w:t>种为中国保险</w:t>
      </w:r>
      <w:r>
        <w:rPr>
          <w:spacing w:val="-2"/>
        </w:rPr>
        <w:t>行业协会制定的《重大疾病保险的疾病定义使用规范》中列明的疾病，其他为我们增加的疾病。</w:t>
      </w:r>
    </w:p>
    <w:p>
      <w:pPr>
        <w:pStyle w:val="4"/>
        <w:spacing w:before="4"/>
        <w:rPr>
          <w:sz w:val="24"/>
        </w:rPr>
      </w:pPr>
    </w:p>
    <w:p>
      <w:pPr>
        <w:pStyle w:val="4"/>
        <w:ind w:left="3260"/>
      </w:pPr>
      <w:r>
        <w:rPr>
          <w:spacing w:val="-3"/>
        </w:rPr>
        <w:t>重大疾病的名称和定义如下：</w:t>
      </w:r>
    </w:p>
    <w:p>
      <w:pPr>
        <w:pStyle w:val="4"/>
        <w:spacing w:before="9"/>
        <w:rPr>
          <w:sz w:val="27"/>
        </w:rPr>
      </w:pPr>
    </w:p>
    <w:p>
      <w:pPr>
        <w:pStyle w:val="8"/>
        <w:numPr>
          <w:ilvl w:val="2"/>
          <w:numId w:val="18"/>
        </w:numPr>
        <w:tabs>
          <w:tab w:val="left" w:pos="1197"/>
          <w:tab w:val="left" w:pos="3260"/>
        </w:tabs>
        <w:spacing w:before="0" w:after="0" w:line="240" w:lineRule="auto"/>
        <w:ind w:left="1196" w:right="0" w:hanging="977"/>
        <w:jc w:val="both"/>
        <w:rPr>
          <w:sz w:val="21"/>
        </w:rPr>
      </w:pPr>
      <w:r>
        <w:rPr>
          <w:b/>
          <w:sz w:val="21"/>
        </w:rPr>
        <w:t>恶性肿</w:t>
      </w:r>
      <w:r>
        <w:rPr>
          <w:b/>
          <w:spacing w:val="-10"/>
          <w:sz w:val="21"/>
        </w:rPr>
        <w:t>瘤</w:t>
      </w:r>
      <w:r>
        <w:rPr>
          <w:b/>
          <w:sz w:val="21"/>
        </w:rPr>
        <w:tab/>
      </w:r>
      <w:r>
        <w:rPr>
          <w:spacing w:val="-2"/>
          <w:sz w:val="21"/>
        </w:rPr>
        <w:t>指恶性细胞不受控制的进行性增长和扩散，浸润和破坏周围正常组织，</w:t>
      </w:r>
      <w:r>
        <w:rPr>
          <w:spacing w:val="-10"/>
          <w:sz w:val="21"/>
        </w:rPr>
        <w:t>可</w:t>
      </w:r>
    </w:p>
    <w:p>
      <w:pPr>
        <w:pStyle w:val="4"/>
        <w:spacing w:before="43" w:line="278" w:lineRule="auto"/>
        <w:ind w:left="3260" w:right="234"/>
        <w:jc w:val="both"/>
      </w:pPr>
      <w:r>
        <w:rPr>
          <w:spacing w:val="-2"/>
        </w:rPr>
        <w:t>以经血管、淋巴管和体腔扩散转移到身体其他部位的疾病。恶性肿瘤须经病理学检查结果明确诊断，临床诊断属于世界卫生组织《疾病和有关健康</w:t>
      </w:r>
      <w:r>
        <w:rPr>
          <w:spacing w:val="-13"/>
        </w:rPr>
        <w:t>问题的国际统计分类》</w:t>
      </w:r>
      <w:r>
        <w:rPr>
          <w:spacing w:val="-2"/>
        </w:rPr>
        <w:t>（</w:t>
      </w:r>
      <w:r>
        <w:rPr>
          <w:rFonts w:ascii="Times New Roman" w:eastAsia="Times New Roman"/>
          <w:spacing w:val="-2"/>
        </w:rPr>
        <w:t>ICD</w:t>
      </w:r>
      <w:r>
        <w:rPr>
          <w:spacing w:val="-2"/>
        </w:rPr>
        <w:t>-</w:t>
      </w:r>
      <w:r>
        <w:rPr>
          <w:rFonts w:ascii="Times New Roman" w:eastAsia="Times New Roman"/>
          <w:spacing w:val="-2"/>
        </w:rPr>
        <w:t>10</w:t>
      </w:r>
      <w:r>
        <w:rPr>
          <w:spacing w:val="-2"/>
        </w:rPr>
        <w:t>）的恶性肿瘤范畴。</w:t>
      </w:r>
    </w:p>
    <w:p>
      <w:pPr>
        <w:pStyle w:val="4"/>
        <w:spacing w:before="10"/>
        <w:rPr>
          <w:sz w:val="18"/>
        </w:rPr>
      </w:pPr>
    </w:p>
    <w:p>
      <w:pPr>
        <w:pStyle w:val="4"/>
        <w:spacing w:before="71"/>
        <w:ind w:left="3260"/>
        <w:rPr>
          <w:rFonts w:ascii="黑体" w:eastAsia="黑体"/>
        </w:rPr>
      </w:pPr>
      <w:r>
        <w:rPr>
          <w:rFonts w:ascii="黑体" w:eastAsia="黑体"/>
          <w:color w:val="000000"/>
          <w:spacing w:val="-3"/>
          <w:shd w:val="clear" w:color="auto" w:fill="D9D9D9"/>
        </w:rPr>
        <w:t>下列疾病不在保障范围内：</w:t>
      </w:r>
    </w:p>
    <w:p>
      <w:pPr>
        <w:pStyle w:val="8"/>
        <w:numPr>
          <w:ilvl w:val="3"/>
          <w:numId w:val="18"/>
        </w:numPr>
        <w:tabs>
          <w:tab w:val="left" w:pos="3790"/>
        </w:tabs>
        <w:spacing w:before="33" w:after="0" w:line="240" w:lineRule="auto"/>
        <w:ind w:left="3789" w:right="0" w:hanging="530"/>
        <w:jc w:val="left"/>
        <w:rPr>
          <w:rFonts w:ascii="黑体" w:eastAsia="黑体"/>
          <w:sz w:val="19"/>
        </w:rPr>
      </w:pPr>
      <w:r>
        <w:rPr>
          <w:rFonts w:hint="eastAsia" w:ascii="黑体" w:eastAsia="黑体"/>
          <w:b/>
          <w:color w:val="000000"/>
          <w:spacing w:val="-2"/>
          <w:sz w:val="21"/>
          <w:shd w:val="clear" w:color="auto" w:fill="D9D9D9"/>
        </w:rPr>
        <w:t>原位癌</w:t>
      </w:r>
      <w:r>
        <w:rPr>
          <w:rFonts w:hint="eastAsia" w:ascii="黑体" w:eastAsia="黑体"/>
          <w:b/>
          <w:color w:val="000000"/>
          <w:spacing w:val="-5"/>
          <w:position w:val="11"/>
          <w:sz w:val="11"/>
        </w:rPr>
        <w:t>41</w:t>
      </w:r>
      <w:r>
        <w:rPr>
          <w:rFonts w:ascii="黑体" w:eastAsia="黑体"/>
          <w:color w:val="000000"/>
          <w:spacing w:val="-5"/>
          <w:sz w:val="21"/>
          <w:shd w:val="clear" w:color="auto" w:fill="D9D9D9"/>
        </w:rPr>
        <w:t>；</w:t>
      </w:r>
    </w:p>
    <w:p>
      <w:pPr>
        <w:pStyle w:val="8"/>
        <w:numPr>
          <w:ilvl w:val="3"/>
          <w:numId w:val="18"/>
        </w:numPr>
        <w:tabs>
          <w:tab w:val="left" w:pos="3790"/>
        </w:tabs>
        <w:spacing w:before="43" w:after="0" w:line="240" w:lineRule="auto"/>
        <w:ind w:left="3789" w:right="0" w:hanging="530"/>
        <w:jc w:val="left"/>
        <w:rPr>
          <w:rFonts w:ascii="黑体" w:eastAsia="黑体"/>
          <w:sz w:val="19"/>
        </w:rPr>
      </w:pPr>
      <w:r>
        <w:rPr>
          <w:rFonts w:ascii="黑体" w:eastAsia="黑体"/>
          <w:color w:val="000000"/>
          <w:spacing w:val="-14"/>
          <w:sz w:val="21"/>
          <w:shd w:val="clear" w:color="auto" w:fill="D9D9D9"/>
        </w:rPr>
        <w:t xml:space="preserve">相当于 </w:t>
      </w:r>
      <w:r>
        <w:rPr>
          <w:rFonts w:ascii="黑体" w:eastAsia="黑体"/>
          <w:color w:val="000000"/>
          <w:spacing w:val="-2"/>
          <w:sz w:val="21"/>
          <w:shd w:val="clear" w:color="auto" w:fill="D9D9D9"/>
        </w:rPr>
        <w:t>Binet</w:t>
      </w:r>
      <w:r>
        <w:rPr>
          <w:rFonts w:ascii="黑体" w:eastAsia="黑体"/>
          <w:color w:val="000000"/>
          <w:spacing w:val="-19"/>
          <w:sz w:val="21"/>
          <w:shd w:val="clear" w:color="auto" w:fill="D9D9D9"/>
        </w:rPr>
        <w:t xml:space="preserve"> 分期方案 </w:t>
      </w:r>
      <w:r>
        <w:rPr>
          <w:rFonts w:ascii="黑体" w:eastAsia="黑体"/>
          <w:color w:val="000000"/>
          <w:spacing w:val="-2"/>
          <w:sz w:val="21"/>
          <w:shd w:val="clear" w:color="auto" w:fill="D9D9D9"/>
        </w:rPr>
        <w:t>A</w:t>
      </w:r>
      <w:r>
        <w:rPr>
          <w:rFonts w:ascii="黑体" w:eastAsia="黑体"/>
          <w:color w:val="000000"/>
          <w:spacing w:val="-10"/>
          <w:sz w:val="21"/>
          <w:shd w:val="clear" w:color="auto" w:fill="D9D9D9"/>
        </w:rPr>
        <w:t xml:space="preserve"> 期程度的慢性淋巴细胞白血病；</w:t>
      </w:r>
    </w:p>
    <w:p>
      <w:pPr>
        <w:pStyle w:val="8"/>
        <w:numPr>
          <w:ilvl w:val="3"/>
          <w:numId w:val="18"/>
        </w:numPr>
        <w:tabs>
          <w:tab w:val="left" w:pos="3790"/>
        </w:tabs>
        <w:spacing w:before="43" w:after="0" w:line="240" w:lineRule="auto"/>
        <w:ind w:left="3789" w:right="0" w:hanging="530"/>
        <w:jc w:val="left"/>
        <w:rPr>
          <w:rFonts w:ascii="黑体" w:eastAsia="黑体"/>
          <w:sz w:val="19"/>
        </w:rPr>
      </w:pPr>
      <w:r>
        <w:rPr>
          <w:rFonts w:ascii="黑体" w:eastAsia="黑体"/>
          <w:color w:val="000000"/>
          <w:spacing w:val="-15"/>
          <w:sz w:val="21"/>
          <w:shd w:val="clear" w:color="auto" w:fill="D9D9D9"/>
        </w:rPr>
        <w:t xml:space="preserve">相当于 </w:t>
      </w:r>
      <w:r>
        <w:rPr>
          <w:rFonts w:ascii="黑体" w:eastAsia="黑体"/>
          <w:color w:val="000000"/>
          <w:spacing w:val="-2"/>
          <w:sz w:val="21"/>
          <w:shd w:val="clear" w:color="auto" w:fill="D9D9D9"/>
        </w:rPr>
        <w:t>Ann</w:t>
      </w:r>
      <w:r>
        <w:rPr>
          <w:rFonts w:ascii="黑体" w:eastAsia="黑体"/>
          <w:color w:val="000000"/>
          <w:spacing w:val="8"/>
          <w:sz w:val="21"/>
          <w:shd w:val="clear" w:color="auto" w:fill="D9D9D9"/>
        </w:rPr>
        <w:t xml:space="preserve"> </w:t>
      </w:r>
      <w:r>
        <w:rPr>
          <w:rFonts w:ascii="黑体" w:eastAsia="黑体"/>
          <w:color w:val="000000"/>
          <w:spacing w:val="-2"/>
          <w:sz w:val="21"/>
          <w:shd w:val="clear" w:color="auto" w:fill="D9D9D9"/>
        </w:rPr>
        <w:t>Arbor</w:t>
      </w:r>
      <w:r>
        <w:rPr>
          <w:rFonts w:ascii="黑体" w:eastAsia="黑体"/>
          <w:color w:val="000000"/>
          <w:spacing w:val="-19"/>
          <w:sz w:val="21"/>
          <w:shd w:val="clear" w:color="auto" w:fill="D9D9D9"/>
        </w:rPr>
        <w:t xml:space="preserve"> 分期方案 </w:t>
      </w:r>
      <w:r>
        <w:rPr>
          <w:rFonts w:ascii="黑体" w:eastAsia="黑体"/>
          <w:color w:val="000000"/>
          <w:spacing w:val="-2"/>
          <w:sz w:val="21"/>
          <w:shd w:val="clear" w:color="auto" w:fill="D9D9D9"/>
        </w:rPr>
        <w:t>I</w:t>
      </w:r>
      <w:r>
        <w:rPr>
          <w:rFonts w:ascii="黑体" w:eastAsia="黑体"/>
          <w:color w:val="000000"/>
          <w:spacing w:val="-10"/>
          <w:sz w:val="21"/>
          <w:shd w:val="clear" w:color="auto" w:fill="D9D9D9"/>
        </w:rPr>
        <w:t xml:space="preserve"> 期程度的何杰金氏病；</w:t>
      </w:r>
    </w:p>
    <w:p>
      <w:pPr>
        <w:pStyle w:val="8"/>
        <w:numPr>
          <w:ilvl w:val="3"/>
          <w:numId w:val="18"/>
        </w:numPr>
        <w:tabs>
          <w:tab w:val="left" w:pos="3790"/>
        </w:tabs>
        <w:spacing w:before="43" w:after="0" w:line="240" w:lineRule="auto"/>
        <w:ind w:left="3789" w:right="0" w:hanging="530"/>
        <w:jc w:val="left"/>
        <w:rPr>
          <w:rFonts w:ascii="黑体" w:eastAsia="黑体"/>
          <w:sz w:val="19"/>
        </w:rPr>
      </w:pPr>
      <w:r>
        <w:drawing>
          <wp:anchor distT="0" distB="0" distL="0" distR="0" simplePos="0" relativeHeight="251685888" behindDoc="1" locked="0" layoutInCell="1" allowOverlap="1">
            <wp:simplePos x="0" y="0"/>
            <wp:positionH relativeFrom="page">
              <wp:posOffset>2616200</wp:posOffset>
            </wp:positionH>
            <wp:positionV relativeFrom="paragraph">
              <wp:posOffset>222885</wp:posOffset>
            </wp:positionV>
            <wp:extent cx="2922905" cy="173990"/>
            <wp:effectExtent l="0" t="0" r="0" b="0"/>
            <wp:wrapNone/>
            <wp:docPr id="6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2.png"/>
                    <pic:cNvPicPr>
                      <a:picLocks noChangeAspect="1"/>
                    </pic:cNvPicPr>
                  </pic:nvPicPr>
                  <pic:blipFill>
                    <a:blip r:embed="rId27" cstate="print"/>
                    <a:stretch>
                      <a:fillRect/>
                    </a:stretch>
                  </pic:blipFill>
                  <pic:spPr>
                    <a:xfrm>
                      <a:off x="0" y="0"/>
                      <a:ext cx="2923032" cy="173736"/>
                    </a:xfrm>
                    <a:prstGeom prst="rect">
                      <a:avLst/>
                    </a:prstGeom>
                  </pic:spPr>
                </pic:pic>
              </a:graphicData>
            </a:graphic>
          </wp:anchor>
        </w:drawing>
      </w:r>
      <w:r>
        <w:pict>
          <v:shape id="docshape30" o:spid="_x0000_s1055" o:spt="202" type="#_x0000_t202" style="position:absolute;left:0pt;margin-left:206pt;margin-top:17.55pt;height:13.7pt;width:230.2pt;mso-position-horizontal-relative:page;mso-wrap-distance-bottom:0pt;mso-wrap-distance-top:0pt;z-index:-251620352;mso-width-relative:page;mso-height-relative:page;" filled="f" stroked="f" coordsize="21600,21600">
            <v:path/>
            <v:fill on="f" focussize="0,0"/>
            <v:stroke on="f" joinstyle="miter"/>
            <v:imagedata o:title=""/>
            <o:lock v:ext="edit"/>
            <v:textbox inset="0mm,0mm,0mm,0mm">
              <w:txbxContent>
                <w:p>
                  <w:pPr>
                    <w:pStyle w:val="4"/>
                    <w:spacing w:before="3"/>
                    <w:ind w:right="-15"/>
                    <w:rPr>
                      <w:rFonts w:ascii="黑体" w:eastAsia="黑体"/>
                    </w:rPr>
                  </w:pPr>
                  <w:r>
                    <w:rPr>
                      <w:rFonts w:ascii="黑体" w:eastAsia="黑体"/>
                      <w:spacing w:val="-2"/>
                      <w:position w:val="1"/>
                    </w:rPr>
                    <w:t>（5）TNM</w:t>
                  </w:r>
                  <w:r>
                    <w:rPr>
                      <w:rFonts w:ascii="黑体" w:eastAsia="黑体"/>
                      <w:spacing w:val="-20"/>
                      <w:position w:val="1"/>
                    </w:rPr>
                    <w:t xml:space="preserve"> 分期为 </w:t>
                  </w:r>
                  <w:r>
                    <w:rPr>
                      <w:rFonts w:ascii="黑体" w:eastAsia="黑体"/>
                      <w:spacing w:val="-2"/>
                      <w:position w:val="1"/>
                    </w:rPr>
                    <w:t>T</w:t>
                  </w:r>
                  <w:r>
                    <w:rPr>
                      <w:rFonts w:ascii="黑体" w:eastAsia="黑体"/>
                      <w:spacing w:val="-2"/>
                      <w:sz w:val="11"/>
                    </w:rPr>
                    <w:t>1</w:t>
                  </w:r>
                  <w:r>
                    <w:rPr>
                      <w:rFonts w:ascii="黑体" w:eastAsia="黑体"/>
                      <w:spacing w:val="-2"/>
                      <w:position w:val="1"/>
                    </w:rPr>
                    <w:t>N</w:t>
                  </w:r>
                  <w:r>
                    <w:rPr>
                      <w:rFonts w:ascii="黑体" w:eastAsia="黑体"/>
                      <w:spacing w:val="-2"/>
                      <w:sz w:val="11"/>
                    </w:rPr>
                    <w:t>0</w:t>
                  </w:r>
                  <w:r>
                    <w:rPr>
                      <w:rFonts w:ascii="黑体" w:eastAsia="黑体"/>
                      <w:spacing w:val="-2"/>
                      <w:position w:val="1"/>
                    </w:rPr>
                    <w:t>M</w:t>
                  </w:r>
                  <w:r>
                    <w:rPr>
                      <w:rFonts w:ascii="黑体" w:eastAsia="黑体"/>
                      <w:spacing w:val="-2"/>
                      <w:sz w:val="11"/>
                    </w:rPr>
                    <w:t>0</w:t>
                  </w:r>
                  <w:r>
                    <w:rPr>
                      <w:rFonts w:ascii="黑体" w:eastAsia="黑体"/>
                      <w:spacing w:val="-23"/>
                      <w:sz w:val="11"/>
                    </w:rPr>
                    <w:t xml:space="preserve"> </w:t>
                  </w:r>
                  <w:r>
                    <w:rPr>
                      <w:rFonts w:ascii="黑体" w:eastAsia="黑体"/>
                      <w:spacing w:val="-3"/>
                      <w:position w:val="1"/>
                    </w:rPr>
                    <w:t>期或更轻分期的前列腺癌；</w:t>
                  </w:r>
                </w:p>
              </w:txbxContent>
            </v:textbox>
            <w10:wrap type="topAndBottom"/>
          </v:shape>
        </w:pict>
      </w:r>
      <w:r>
        <w:rPr>
          <w:rFonts w:ascii="黑体" w:eastAsia="黑体"/>
          <w:color w:val="000000"/>
          <w:spacing w:val="-2"/>
          <w:sz w:val="21"/>
          <w:shd w:val="clear" w:color="auto" w:fill="D9D9D9"/>
        </w:rPr>
        <w:t>皮肤癌（不包括恶性黑色素瘤及已发生转移的皮肤癌</w:t>
      </w:r>
      <w:r>
        <w:rPr>
          <w:rFonts w:ascii="黑体" w:eastAsia="黑体"/>
          <w:color w:val="000000"/>
          <w:spacing w:val="-111"/>
          <w:sz w:val="21"/>
          <w:shd w:val="clear" w:color="auto" w:fill="D9D9D9"/>
        </w:rPr>
        <w:t>）</w:t>
      </w:r>
      <w:r>
        <w:rPr>
          <w:rFonts w:ascii="黑体" w:eastAsia="黑体"/>
          <w:color w:val="000000"/>
          <w:spacing w:val="-5"/>
          <w:sz w:val="21"/>
          <w:shd w:val="clear" w:color="auto" w:fill="D9D9D9"/>
        </w:rPr>
        <w:t>；</w:t>
      </w:r>
    </w:p>
    <w:p>
      <w:pPr>
        <w:pStyle w:val="4"/>
        <w:spacing w:before="42"/>
        <w:ind w:left="3260"/>
        <w:rPr>
          <w:rFonts w:ascii="黑体" w:eastAsia="黑体"/>
        </w:rPr>
      </w:pPr>
      <w:r>
        <w:rPr>
          <w:rFonts w:ascii="黑体" w:eastAsia="黑体"/>
          <w:color w:val="000000"/>
          <w:spacing w:val="-2"/>
          <w:shd w:val="clear" w:color="auto" w:fill="D9D9D9"/>
        </w:rPr>
        <w:t>（6）</w:t>
      </w:r>
      <w:r>
        <w:rPr>
          <w:rFonts w:ascii="黑体" w:eastAsia="黑体"/>
          <w:color w:val="000000"/>
          <w:spacing w:val="-3"/>
          <w:shd w:val="clear" w:color="auto" w:fill="D9D9D9"/>
        </w:rPr>
        <w:t>感染艾滋病病毒或患艾滋病期间所患恶性肿瘤。</w:t>
      </w:r>
    </w:p>
    <w:p>
      <w:pPr>
        <w:pStyle w:val="4"/>
        <w:spacing w:before="9"/>
        <w:rPr>
          <w:rFonts w:ascii="黑体"/>
          <w:sz w:val="27"/>
        </w:rPr>
      </w:pPr>
    </w:p>
    <w:p>
      <w:pPr>
        <w:pStyle w:val="8"/>
        <w:numPr>
          <w:ilvl w:val="2"/>
          <w:numId w:val="18"/>
        </w:numPr>
        <w:tabs>
          <w:tab w:val="left" w:pos="1196"/>
          <w:tab w:val="left" w:pos="1197"/>
          <w:tab w:val="left" w:pos="3260"/>
        </w:tabs>
        <w:spacing w:before="0" w:after="0" w:line="240" w:lineRule="auto"/>
        <w:ind w:left="1196" w:right="0" w:hanging="977"/>
        <w:jc w:val="left"/>
        <w:rPr>
          <w:sz w:val="21"/>
        </w:rPr>
      </w:pPr>
      <w:r>
        <w:rPr>
          <w:b/>
          <w:sz w:val="21"/>
        </w:rPr>
        <w:t>急性心肌梗</w:t>
      </w:r>
      <w:r>
        <w:rPr>
          <w:b/>
          <w:spacing w:val="-10"/>
          <w:sz w:val="21"/>
        </w:rPr>
        <w:t>塞</w:t>
      </w:r>
      <w:r>
        <w:rPr>
          <w:b/>
          <w:sz w:val="21"/>
        </w:rPr>
        <w:tab/>
      </w:r>
      <w:r>
        <w:rPr>
          <w:spacing w:val="-2"/>
          <w:sz w:val="21"/>
        </w:rPr>
        <w:t>指因冠状动脉阻塞导致的相应区域供血不足造成部分心肌坏死。须满足</w:t>
      </w:r>
      <w:r>
        <w:rPr>
          <w:spacing w:val="-10"/>
          <w:sz w:val="21"/>
        </w:rPr>
        <w:t>下</w:t>
      </w:r>
    </w:p>
    <w:p>
      <w:pPr>
        <w:pStyle w:val="4"/>
        <w:spacing w:before="43"/>
        <w:ind w:left="3260"/>
      </w:pPr>
      <w:r>
        <w:rPr>
          <w:spacing w:val="-4"/>
        </w:rPr>
        <w:t>列至少三项条件：</w:t>
      </w:r>
    </w:p>
    <w:p>
      <w:pPr>
        <w:pStyle w:val="8"/>
        <w:numPr>
          <w:ilvl w:val="0"/>
          <w:numId w:val="19"/>
        </w:numPr>
        <w:tabs>
          <w:tab w:val="left" w:pos="3790"/>
        </w:tabs>
        <w:spacing w:before="42" w:after="0" w:line="240" w:lineRule="auto"/>
        <w:ind w:left="3789" w:right="0" w:hanging="530"/>
        <w:jc w:val="left"/>
        <w:rPr>
          <w:sz w:val="21"/>
        </w:rPr>
      </w:pPr>
      <w:r>
        <w:rPr>
          <w:spacing w:val="-3"/>
          <w:sz w:val="21"/>
        </w:rPr>
        <w:t>典型临床表现，例如急性胸痛等；</w:t>
      </w:r>
    </w:p>
    <w:p>
      <w:pPr>
        <w:pStyle w:val="8"/>
        <w:numPr>
          <w:ilvl w:val="0"/>
          <w:numId w:val="19"/>
        </w:numPr>
        <w:tabs>
          <w:tab w:val="left" w:pos="3790"/>
        </w:tabs>
        <w:spacing w:before="44" w:after="0" w:line="240" w:lineRule="auto"/>
        <w:ind w:left="3789" w:right="0" w:hanging="530"/>
        <w:jc w:val="left"/>
        <w:rPr>
          <w:sz w:val="21"/>
        </w:rPr>
      </w:pPr>
      <w:r>
        <w:rPr>
          <w:spacing w:val="-3"/>
          <w:sz w:val="21"/>
        </w:rPr>
        <w:t>新近的心电图改变提示急性心肌梗塞；</w:t>
      </w:r>
    </w:p>
    <w:p>
      <w:pPr>
        <w:pStyle w:val="8"/>
        <w:numPr>
          <w:ilvl w:val="0"/>
          <w:numId w:val="19"/>
        </w:numPr>
        <w:tabs>
          <w:tab w:val="left" w:pos="3797"/>
        </w:tabs>
        <w:spacing w:before="42" w:after="0" w:line="278" w:lineRule="auto"/>
        <w:ind w:left="3786" w:right="234" w:hanging="526"/>
        <w:jc w:val="left"/>
        <w:rPr>
          <w:sz w:val="21"/>
        </w:rPr>
      </w:pPr>
      <w:r>
        <w:rPr>
          <w:spacing w:val="-2"/>
          <w:sz w:val="21"/>
        </w:rPr>
        <w:t>心肌酶或肌钙蛋白有诊断意义的升高，或呈符合急性心肌梗塞的动态性变化；</w:t>
      </w:r>
    </w:p>
    <w:p>
      <w:pPr>
        <w:pStyle w:val="8"/>
        <w:numPr>
          <w:ilvl w:val="0"/>
          <w:numId w:val="19"/>
        </w:numPr>
        <w:tabs>
          <w:tab w:val="left" w:pos="3790"/>
        </w:tabs>
        <w:spacing w:before="0" w:after="0" w:line="240" w:lineRule="auto"/>
        <w:ind w:left="3789" w:right="0" w:hanging="530"/>
        <w:jc w:val="left"/>
        <w:rPr>
          <w:sz w:val="21"/>
        </w:rPr>
      </w:pPr>
      <w:r>
        <w:rPr>
          <w:spacing w:val="-18"/>
          <w:sz w:val="21"/>
        </w:rPr>
        <w:t xml:space="preserve">发病 </w:t>
      </w:r>
      <w:r>
        <w:rPr>
          <w:rFonts w:ascii="Times New Roman" w:eastAsia="Times New Roman"/>
          <w:spacing w:val="-2"/>
          <w:sz w:val="21"/>
        </w:rPr>
        <w:t>90</w:t>
      </w:r>
      <w:r>
        <w:rPr>
          <w:rFonts w:ascii="Times New Roman" w:eastAsia="Times New Roman"/>
          <w:sz w:val="21"/>
        </w:rPr>
        <w:t xml:space="preserve"> </w:t>
      </w:r>
      <w:r>
        <w:rPr>
          <w:spacing w:val="-3"/>
          <w:sz w:val="21"/>
        </w:rPr>
        <w:t>日后，经检查证实左心室功能降低，如左心室射血分数低于</w:t>
      </w:r>
    </w:p>
    <w:p>
      <w:pPr>
        <w:pStyle w:val="4"/>
        <w:spacing w:before="2"/>
        <w:rPr>
          <w:sz w:val="11"/>
        </w:rPr>
      </w:pPr>
      <w:r>
        <w:drawing>
          <wp:anchor distT="0" distB="0" distL="0" distR="0" simplePos="0" relativeHeight="251660288" behindDoc="0" locked="0" layoutInCell="1" allowOverlap="1">
            <wp:simplePos x="0" y="0"/>
            <wp:positionH relativeFrom="page">
              <wp:posOffset>685800</wp:posOffset>
            </wp:positionH>
            <wp:positionV relativeFrom="paragraph">
              <wp:posOffset>106045</wp:posOffset>
            </wp:positionV>
            <wp:extent cx="1828800" cy="6350"/>
            <wp:effectExtent l="0" t="0" r="0" b="0"/>
            <wp:wrapTopAndBottom/>
            <wp:docPr id="6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19.png"/>
                    <pic:cNvPicPr>
                      <a:picLocks noChangeAspect="1"/>
                    </pic:cNvPicPr>
                  </pic:nvPicPr>
                  <pic:blipFill>
                    <a:blip r:embed="rId24" cstate="print"/>
                    <a:stretch>
                      <a:fillRect/>
                    </a:stretch>
                  </pic:blipFill>
                  <pic:spPr>
                    <a:xfrm>
                      <a:off x="0" y="0"/>
                      <a:ext cx="1828799" cy="6096"/>
                    </a:xfrm>
                    <a:prstGeom prst="rect">
                      <a:avLst/>
                    </a:prstGeom>
                  </pic:spPr>
                </pic:pic>
              </a:graphicData>
            </a:graphic>
          </wp:anchor>
        </w:drawing>
      </w:r>
    </w:p>
    <w:p>
      <w:pPr>
        <w:spacing w:before="156" w:line="312" w:lineRule="auto"/>
        <w:ind w:left="445" w:right="236" w:hanging="226"/>
        <w:jc w:val="left"/>
        <w:rPr>
          <w:sz w:val="18"/>
        </w:rPr>
      </w:pPr>
      <w:r>
        <w:rPr>
          <w:rFonts w:ascii="Times New Roman" w:eastAsia="Times New Roman"/>
          <w:sz w:val="18"/>
          <w:vertAlign w:val="superscript"/>
        </w:rPr>
        <w:t>41</w:t>
      </w:r>
      <w:r>
        <w:rPr>
          <w:rFonts w:ascii="Times New Roman" w:eastAsia="Times New Roman"/>
          <w:spacing w:val="14"/>
          <w:sz w:val="18"/>
          <w:vertAlign w:val="baseline"/>
        </w:rPr>
        <w:t xml:space="preserve"> </w:t>
      </w:r>
      <w:r>
        <w:rPr>
          <w:b/>
          <w:sz w:val="18"/>
          <w:vertAlign w:val="baseline"/>
        </w:rPr>
        <w:t>原位癌</w:t>
      </w:r>
      <w:r>
        <w:rPr>
          <w:sz w:val="18"/>
          <w:vertAlign w:val="baseline"/>
        </w:rPr>
        <w:t>指恶性细胞局限于上皮内尚未穿破基底膜浸润周围正常组织的癌细胞新生物。被保险人须经对固定活组织的组织病</w:t>
      </w:r>
      <w:r>
        <w:rPr>
          <w:spacing w:val="-2"/>
          <w:sz w:val="18"/>
          <w:vertAlign w:val="baseline"/>
        </w:rPr>
        <w:t>理学检查明确诊断为原位癌，且已经接受了针对原位癌病灶的积极治疗。</w:t>
      </w:r>
    </w:p>
    <w:p>
      <w:pPr>
        <w:spacing w:after="0" w:line="312" w:lineRule="auto"/>
        <w:jc w:val="left"/>
        <w:rPr>
          <w:sz w:val="18"/>
        </w:rPr>
        <w:sectPr>
          <w:pgSz w:w="11910" w:h="16840"/>
          <w:pgMar w:top="1380" w:right="840" w:bottom="280" w:left="860" w:header="720" w:footer="720" w:gutter="0"/>
          <w:cols w:space="720" w:num="1"/>
        </w:sectPr>
      </w:pPr>
    </w:p>
    <w:p>
      <w:pPr>
        <w:pStyle w:val="4"/>
        <w:spacing w:before="67"/>
        <w:ind w:left="1732" w:right="3765"/>
        <w:jc w:val="center"/>
      </w:pPr>
      <w:r>
        <w:rPr>
          <w:rFonts w:ascii="Times New Roman" w:eastAsia="Times New Roman"/>
          <w:spacing w:val="-2"/>
        </w:rPr>
        <w:t>50%</w:t>
      </w:r>
      <w:r>
        <w:rPr>
          <w:spacing w:val="-10"/>
        </w:rPr>
        <w:t>。</w:t>
      </w:r>
    </w:p>
    <w:p>
      <w:pPr>
        <w:pStyle w:val="4"/>
        <w:spacing w:before="9"/>
        <w:rPr>
          <w:sz w:val="27"/>
        </w:rPr>
      </w:pPr>
    </w:p>
    <w:p>
      <w:pPr>
        <w:pStyle w:val="8"/>
        <w:numPr>
          <w:ilvl w:val="2"/>
          <w:numId w:val="18"/>
        </w:numPr>
        <w:tabs>
          <w:tab w:val="left" w:pos="1196"/>
          <w:tab w:val="left" w:pos="1197"/>
          <w:tab w:val="left" w:pos="3260"/>
        </w:tabs>
        <w:spacing w:before="0" w:after="0" w:line="240" w:lineRule="auto"/>
        <w:ind w:left="1196" w:right="0" w:hanging="977"/>
        <w:jc w:val="left"/>
        <w:rPr>
          <w:b/>
          <w:sz w:val="21"/>
        </w:rPr>
      </w:pPr>
      <w:r>
        <w:rPr>
          <w:b/>
          <w:sz w:val="21"/>
        </w:rPr>
        <w:t>脑中风后遗</w:t>
      </w:r>
      <w:r>
        <w:rPr>
          <w:b/>
          <w:spacing w:val="-10"/>
          <w:sz w:val="21"/>
        </w:rPr>
        <w:t>症</w:t>
      </w:r>
      <w:r>
        <w:rPr>
          <w:b/>
          <w:sz w:val="21"/>
        </w:rPr>
        <w:tab/>
      </w:r>
      <w:r>
        <w:rPr>
          <w:spacing w:val="-2"/>
          <w:sz w:val="21"/>
        </w:rPr>
        <w:t>指因脑血管的突发病变引起脑血管出血、栓塞或梗塞，并导致</w:t>
      </w:r>
      <w:r>
        <w:rPr>
          <w:b/>
          <w:spacing w:val="-2"/>
          <w:sz w:val="21"/>
        </w:rPr>
        <w:t>神经系统</w:t>
      </w:r>
      <w:r>
        <w:rPr>
          <w:b/>
          <w:spacing w:val="-10"/>
          <w:sz w:val="21"/>
        </w:rPr>
        <w:t>永</w:t>
      </w:r>
    </w:p>
    <w:p>
      <w:pPr>
        <w:spacing w:before="33"/>
        <w:ind w:left="3260" w:right="0" w:firstLine="0"/>
        <w:jc w:val="left"/>
        <w:rPr>
          <w:sz w:val="21"/>
        </w:rPr>
      </w:pPr>
      <w:r>
        <w:rPr>
          <w:b/>
          <w:w w:val="95"/>
          <w:sz w:val="21"/>
        </w:rPr>
        <w:t>久性的功能障碍</w:t>
      </w:r>
      <w:r>
        <w:rPr>
          <w:b/>
          <w:w w:val="95"/>
          <w:position w:val="11"/>
          <w:sz w:val="11"/>
        </w:rPr>
        <w:t>42</w:t>
      </w:r>
      <w:r>
        <w:rPr>
          <w:spacing w:val="-10"/>
          <w:w w:val="95"/>
          <w:sz w:val="21"/>
        </w:rPr>
        <w:t>。</w:t>
      </w:r>
    </w:p>
    <w:p>
      <w:pPr>
        <w:pStyle w:val="4"/>
        <w:spacing w:before="1"/>
        <w:rPr>
          <w:sz w:val="22"/>
        </w:rPr>
      </w:pPr>
    </w:p>
    <w:p>
      <w:pPr>
        <w:spacing w:after="0"/>
        <w:rPr>
          <w:sz w:val="22"/>
        </w:rPr>
        <w:sectPr>
          <w:pgSz w:w="11910" w:h="16840"/>
          <w:pgMar w:top="1380" w:right="840" w:bottom="280" w:left="860" w:header="720" w:footer="720" w:gutter="0"/>
          <w:cols w:space="720" w:num="1"/>
        </w:sectPr>
      </w:pPr>
    </w:p>
    <w:p>
      <w:pPr>
        <w:pStyle w:val="8"/>
        <w:numPr>
          <w:ilvl w:val="2"/>
          <w:numId w:val="18"/>
        </w:numPr>
        <w:tabs>
          <w:tab w:val="left" w:pos="1196"/>
          <w:tab w:val="left" w:pos="1197"/>
        </w:tabs>
        <w:spacing w:before="72" w:after="0" w:line="240" w:lineRule="auto"/>
        <w:ind w:left="1196" w:right="0" w:hanging="977"/>
        <w:jc w:val="left"/>
        <w:rPr>
          <w:b/>
          <w:sz w:val="21"/>
        </w:rPr>
      </w:pPr>
      <w:r>
        <w:rPr>
          <w:b/>
          <w:spacing w:val="17"/>
          <w:sz w:val="21"/>
        </w:rPr>
        <w:t>重大器官移植术或</w:t>
      </w:r>
    </w:p>
    <w:p>
      <w:pPr>
        <w:spacing w:before="43"/>
        <w:ind w:left="1196" w:right="0" w:firstLine="0"/>
        <w:jc w:val="left"/>
        <w:rPr>
          <w:b/>
          <w:sz w:val="21"/>
        </w:rPr>
      </w:pPr>
      <w:r>
        <w:rPr>
          <w:b/>
          <w:spacing w:val="-2"/>
          <w:sz w:val="21"/>
        </w:rPr>
        <w:t>造血干细胞移植术</w:t>
      </w:r>
    </w:p>
    <w:p>
      <w:pPr>
        <w:pStyle w:val="4"/>
        <w:spacing w:before="72" w:line="278" w:lineRule="auto"/>
        <w:ind w:left="173" w:right="128"/>
      </w:pPr>
      <w:r>
        <w:br w:type="column"/>
      </w:r>
      <w:r>
        <w:rPr>
          <w:spacing w:val="-7"/>
        </w:rPr>
        <w:t>重大器官移植术指被保险人因相应器官功能衰竭，实际接受了肾脏、肝脏、</w:t>
      </w:r>
      <w:r>
        <w:rPr>
          <w:spacing w:val="-2"/>
        </w:rPr>
        <w:t>心脏或肺脏的异体移植手术。</w:t>
      </w:r>
    </w:p>
    <w:p>
      <w:pPr>
        <w:pStyle w:val="4"/>
        <w:spacing w:before="4"/>
        <w:rPr>
          <w:sz w:val="24"/>
        </w:rPr>
      </w:pPr>
    </w:p>
    <w:p>
      <w:pPr>
        <w:pStyle w:val="4"/>
        <w:spacing w:line="278" w:lineRule="auto"/>
        <w:ind w:left="173" w:right="234"/>
        <w:jc w:val="both"/>
      </w:pPr>
      <w:r>
        <w:rPr>
          <w:spacing w:val="-2"/>
        </w:rPr>
        <w:t>造血干细胞移植术指被保险人因造血功能损害或造血系统恶性肿瘤，实际接受了造血干细胞（包括骨髓造血干细胞、外周血造血干细胞和脐血造血干细胞）的异体移植手术。</w:t>
      </w:r>
    </w:p>
    <w:p>
      <w:pPr>
        <w:spacing w:after="0" w:line="278" w:lineRule="auto"/>
        <w:jc w:val="both"/>
        <w:sectPr>
          <w:type w:val="continuous"/>
          <w:pgSz w:w="11910" w:h="16840"/>
          <w:pgMar w:top="500" w:right="840" w:bottom="280" w:left="860" w:header="720" w:footer="720" w:gutter="0"/>
          <w:cols w:equalWidth="0" w:num="2">
            <w:col w:w="3048" w:space="40"/>
            <w:col w:w="7122"/>
          </w:cols>
        </w:sectPr>
      </w:pPr>
    </w:p>
    <w:p>
      <w:pPr>
        <w:pStyle w:val="4"/>
        <w:spacing w:before="10"/>
        <w:rPr>
          <w:sz w:val="18"/>
        </w:rPr>
      </w:pPr>
    </w:p>
    <w:p>
      <w:pPr>
        <w:spacing w:after="0"/>
        <w:rPr>
          <w:sz w:val="18"/>
        </w:rPr>
        <w:sectPr>
          <w:type w:val="continuous"/>
          <w:pgSz w:w="11910" w:h="16840"/>
          <w:pgMar w:top="500" w:right="840" w:bottom="280" w:left="860" w:header="720" w:footer="720" w:gutter="0"/>
          <w:cols w:space="720" w:num="1"/>
        </w:sectPr>
      </w:pPr>
    </w:p>
    <w:p>
      <w:pPr>
        <w:pStyle w:val="8"/>
        <w:numPr>
          <w:ilvl w:val="2"/>
          <w:numId w:val="18"/>
        </w:numPr>
        <w:tabs>
          <w:tab w:val="left" w:pos="1196"/>
          <w:tab w:val="left" w:pos="1197"/>
        </w:tabs>
        <w:spacing w:before="71" w:after="0" w:line="240" w:lineRule="auto"/>
        <w:ind w:left="1196" w:right="0" w:hanging="977"/>
        <w:jc w:val="left"/>
        <w:rPr>
          <w:b/>
          <w:sz w:val="21"/>
        </w:rPr>
      </w:pPr>
      <w:r>
        <w:rPr>
          <w:b/>
          <w:spacing w:val="-8"/>
          <w:sz w:val="21"/>
        </w:rPr>
        <w:t>冠状动脉搭桥术</w:t>
      </w:r>
      <w:r>
        <w:rPr>
          <w:b/>
          <w:sz w:val="21"/>
        </w:rPr>
        <w:t>（</w:t>
      </w:r>
      <w:r>
        <w:rPr>
          <w:b/>
          <w:spacing w:val="-10"/>
          <w:sz w:val="21"/>
        </w:rPr>
        <w:t>或</w:t>
      </w:r>
    </w:p>
    <w:p>
      <w:pPr>
        <w:spacing w:before="43" w:line="278" w:lineRule="auto"/>
        <w:ind w:left="1196" w:right="0" w:firstLine="0"/>
        <w:jc w:val="left"/>
        <w:rPr>
          <w:b/>
          <w:sz w:val="21"/>
        </w:rPr>
      </w:pPr>
      <w:r>
        <w:rPr>
          <w:b/>
          <w:spacing w:val="17"/>
          <w:sz w:val="21"/>
        </w:rPr>
        <w:t>称冠状动脉旁路移</w:t>
      </w:r>
      <w:r>
        <w:rPr>
          <w:b/>
          <w:spacing w:val="-4"/>
          <w:sz w:val="21"/>
        </w:rPr>
        <w:t>植术）</w:t>
      </w:r>
    </w:p>
    <w:p>
      <w:pPr>
        <w:pStyle w:val="4"/>
        <w:spacing w:before="71" w:line="278" w:lineRule="auto"/>
        <w:ind w:left="173" w:right="234"/>
      </w:pPr>
      <w:r>
        <w:br w:type="column"/>
      </w:r>
      <w:r>
        <w:rPr>
          <w:spacing w:val="-2"/>
        </w:rPr>
        <w:t>指被保险人为治疗严重的冠心病，实际接受了开胸进行的冠状动脉血管旁路移植手术。</w:t>
      </w:r>
    </w:p>
    <w:p>
      <w:pPr>
        <w:pStyle w:val="4"/>
        <w:spacing w:before="4"/>
        <w:rPr>
          <w:sz w:val="24"/>
        </w:rPr>
      </w:pPr>
    </w:p>
    <w:p>
      <w:pPr>
        <w:pStyle w:val="4"/>
        <w:spacing w:before="1" w:line="278" w:lineRule="auto"/>
        <w:ind w:left="173" w:right="236"/>
        <w:rPr>
          <w:rFonts w:ascii="黑体" w:eastAsia="黑体"/>
        </w:rPr>
      </w:pPr>
      <w:r>
        <w:rPr>
          <w:rFonts w:ascii="黑体" w:eastAsia="黑体"/>
          <w:color w:val="000000"/>
          <w:spacing w:val="-2"/>
          <w:shd w:val="clear" w:color="auto" w:fill="D9D9D9"/>
        </w:rPr>
        <w:t>冠状动脉支架植入术、心导管球囊扩张术、激光射频技术及其他非开胸的</w:t>
      </w:r>
      <w:r>
        <w:rPr>
          <w:rFonts w:ascii="黑体" w:eastAsia="黑体"/>
          <w:color w:val="000000"/>
          <w:spacing w:val="80"/>
          <w:w w:val="150"/>
          <w:shd w:val="clear" w:color="auto" w:fill="D9D9D9"/>
        </w:rPr>
        <w:t xml:space="preserve">                                    </w:t>
      </w:r>
      <w:r>
        <w:rPr>
          <w:rFonts w:ascii="黑体" w:eastAsia="黑体"/>
          <w:color w:val="000000"/>
          <w:spacing w:val="-2"/>
          <w:shd w:val="clear" w:color="auto" w:fill="D9D9D9"/>
        </w:rPr>
        <w:t>介入手术、腔镜手术不在保障范围内。</w:t>
      </w:r>
    </w:p>
    <w:p>
      <w:pPr>
        <w:spacing w:after="0" w:line="278" w:lineRule="auto"/>
        <w:rPr>
          <w:rFonts w:ascii="黑体" w:eastAsia="黑体"/>
        </w:rPr>
        <w:sectPr>
          <w:type w:val="continuous"/>
          <w:pgSz w:w="11910" w:h="16840"/>
          <w:pgMar w:top="500" w:right="840" w:bottom="280" w:left="860" w:header="720" w:footer="720" w:gutter="0"/>
          <w:cols w:equalWidth="0" w:num="2">
            <w:col w:w="3048" w:space="40"/>
            <w:col w:w="7122"/>
          </w:cols>
        </w:sectPr>
      </w:pPr>
    </w:p>
    <w:p>
      <w:pPr>
        <w:pStyle w:val="4"/>
        <w:spacing w:before="9"/>
        <w:rPr>
          <w:rFonts w:ascii="黑体"/>
          <w:sz w:val="18"/>
        </w:rPr>
      </w:pPr>
    </w:p>
    <w:p>
      <w:pPr>
        <w:spacing w:after="0"/>
        <w:rPr>
          <w:rFonts w:ascii="黑体"/>
          <w:sz w:val="18"/>
        </w:rPr>
        <w:sectPr>
          <w:type w:val="continuous"/>
          <w:pgSz w:w="11910" w:h="16840"/>
          <w:pgMar w:top="500" w:right="840" w:bottom="280" w:left="860" w:header="720" w:footer="720" w:gutter="0"/>
          <w:cols w:space="720" w:num="1"/>
        </w:sectPr>
      </w:pPr>
    </w:p>
    <w:p>
      <w:pPr>
        <w:pStyle w:val="8"/>
        <w:numPr>
          <w:ilvl w:val="2"/>
          <w:numId w:val="18"/>
        </w:numPr>
        <w:tabs>
          <w:tab w:val="left" w:pos="1196"/>
          <w:tab w:val="left" w:pos="1197"/>
        </w:tabs>
        <w:spacing w:before="72" w:after="0" w:line="240" w:lineRule="auto"/>
        <w:ind w:left="1196" w:right="0" w:hanging="977"/>
        <w:jc w:val="left"/>
        <w:rPr>
          <w:b/>
          <w:sz w:val="21"/>
        </w:rPr>
      </w:pPr>
      <w:r>
        <w:rPr>
          <w:b/>
          <w:spacing w:val="-11"/>
          <w:sz w:val="21"/>
        </w:rPr>
        <w:t>终末期肾病</w:t>
      </w:r>
      <w:r>
        <w:rPr>
          <w:b/>
          <w:sz w:val="21"/>
        </w:rPr>
        <w:t>（</w:t>
      </w:r>
      <w:r>
        <w:rPr>
          <w:b/>
          <w:spacing w:val="-4"/>
          <w:sz w:val="21"/>
        </w:rPr>
        <w:t>或称慢</w:t>
      </w:r>
    </w:p>
    <w:p>
      <w:pPr>
        <w:spacing w:before="43" w:line="278" w:lineRule="auto"/>
        <w:ind w:left="1196" w:right="0" w:firstLine="0"/>
        <w:jc w:val="left"/>
        <w:rPr>
          <w:b/>
          <w:sz w:val="21"/>
        </w:rPr>
      </w:pPr>
      <w:r>
        <w:rPr>
          <w:b/>
          <w:spacing w:val="17"/>
          <w:sz w:val="21"/>
        </w:rPr>
        <w:t>性肾功能衰竭尿毒</w:t>
      </w:r>
      <w:r>
        <w:rPr>
          <w:b/>
          <w:spacing w:val="-4"/>
          <w:sz w:val="21"/>
        </w:rPr>
        <w:t>症期）</w:t>
      </w:r>
    </w:p>
    <w:p>
      <w:pPr>
        <w:pStyle w:val="4"/>
        <w:spacing w:before="72"/>
        <w:ind w:left="173"/>
      </w:pPr>
      <w:r>
        <w:br w:type="column"/>
      </w:r>
      <w:r>
        <w:rPr>
          <w:spacing w:val="-3"/>
        </w:rPr>
        <w:t>指双肾功能慢性不可逆性衰竭，达到尿毒症期，经诊断后已经进行了至少</w:t>
      </w:r>
    </w:p>
    <w:p>
      <w:pPr>
        <w:pStyle w:val="4"/>
        <w:spacing w:before="43"/>
        <w:ind w:left="173"/>
      </w:pPr>
      <w:r>
        <w:rPr>
          <w:rFonts w:ascii="Times New Roman" w:eastAsia="Times New Roman"/>
          <w:spacing w:val="-2"/>
        </w:rPr>
        <w:t>90</w:t>
      </w:r>
      <w:r>
        <w:rPr>
          <w:rFonts w:ascii="Times New Roman" w:eastAsia="Times New Roman"/>
          <w:spacing w:val="11"/>
        </w:rPr>
        <w:t xml:space="preserve"> </w:t>
      </w:r>
      <w:r>
        <w:rPr>
          <w:spacing w:val="-3"/>
        </w:rPr>
        <w:t>日的规律性透析治疗或实际接受了肾脏移植手术。</w:t>
      </w:r>
    </w:p>
    <w:p>
      <w:pPr>
        <w:spacing w:after="0"/>
        <w:sectPr>
          <w:type w:val="continuous"/>
          <w:pgSz w:w="11910" w:h="16840"/>
          <w:pgMar w:top="500" w:right="840" w:bottom="280" w:left="860" w:header="720" w:footer="720" w:gutter="0"/>
          <w:cols w:equalWidth="0" w:num="2">
            <w:col w:w="3048" w:space="40"/>
            <w:col w:w="7122"/>
          </w:cols>
        </w:sectPr>
      </w:pPr>
    </w:p>
    <w:p>
      <w:pPr>
        <w:pStyle w:val="4"/>
        <w:spacing w:before="9"/>
        <w:rPr>
          <w:sz w:val="18"/>
        </w:rPr>
      </w:pPr>
    </w:p>
    <w:p>
      <w:pPr>
        <w:pStyle w:val="8"/>
        <w:numPr>
          <w:ilvl w:val="2"/>
          <w:numId w:val="18"/>
        </w:numPr>
        <w:tabs>
          <w:tab w:val="left" w:pos="1196"/>
          <w:tab w:val="left" w:pos="1197"/>
          <w:tab w:val="left" w:pos="3260"/>
        </w:tabs>
        <w:spacing w:before="72" w:after="0" w:line="240" w:lineRule="auto"/>
        <w:ind w:left="1196" w:right="0" w:hanging="977"/>
        <w:jc w:val="left"/>
        <w:rPr>
          <w:sz w:val="21"/>
        </w:rPr>
      </w:pPr>
      <w:r>
        <w:rPr>
          <w:b/>
          <w:sz w:val="21"/>
        </w:rPr>
        <w:t>多个肢体缺</w:t>
      </w:r>
      <w:r>
        <w:rPr>
          <w:b/>
          <w:spacing w:val="-10"/>
          <w:sz w:val="21"/>
        </w:rPr>
        <w:t>失</w:t>
      </w:r>
      <w:r>
        <w:rPr>
          <w:b/>
          <w:sz w:val="21"/>
        </w:rPr>
        <w:tab/>
      </w:r>
      <w:r>
        <w:rPr>
          <w:spacing w:val="-2"/>
          <w:sz w:val="21"/>
        </w:rPr>
        <w:t>指因疾病或意外伤害导致两个或两个以上肢体自腕关节或踝关节近端（</w:t>
      </w:r>
      <w:r>
        <w:rPr>
          <w:spacing w:val="-10"/>
          <w:sz w:val="21"/>
        </w:rPr>
        <w:t>靠</w:t>
      </w:r>
    </w:p>
    <w:p>
      <w:pPr>
        <w:pStyle w:val="4"/>
        <w:spacing w:before="43"/>
        <w:ind w:left="3260"/>
      </w:pPr>
      <w:r>
        <w:rPr>
          <w:spacing w:val="-2"/>
        </w:rPr>
        <w:t>近躯干端）</w:t>
      </w:r>
      <w:r>
        <w:rPr>
          <w:spacing w:val="-4"/>
        </w:rPr>
        <w:t>以上完全性断离。</w:t>
      </w:r>
    </w:p>
    <w:p>
      <w:pPr>
        <w:pStyle w:val="4"/>
        <w:spacing w:before="1"/>
        <w:rPr>
          <w:sz w:val="22"/>
        </w:rPr>
      </w:pPr>
    </w:p>
    <w:p>
      <w:pPr>
        <w:spacing w:after="0"/>
        <w:rPr>
          <w:sz w:val="22"/>
        </w:rPr>
        <w:sectPr>
          <w:type w:val="continuous"/>
          <w:pgSz w:w="11910" w:h="16840"/>
          <w:pgMar w:top="500" w:right="840" w:bottom="280" w:left="860" w:header="720" w:footer="720" w:gutter="0"/>
          <w:cols w:space="720" w:num="1"/>
        </w:sectPr>
      </w:pPr>
    </w:p>
    <w:p>
      <w:pPr>
        <w:pStyle w:val="8"/>
        <w:numPr>
          <w:ilvl w:val="2"/>
          <w:numId w:val="18"/>
        </w:numPr>
        <w:tabs>
          <w:tab w:val="left" w:pos="1196"/>
          <w:tab w:val="left" w:pos="1197"/>
        </w:tabs>
        <w:spacing w:before="72" w:after="0" w:line="240" w:lineRule="auto"/>
        <w:ind w:left="1196" w:right="0" w:hanging="977"/>
        <w:jc w:val="left"/>
        <w:rPr>
          <w:b/>
          <w:sz w:val="21"/>
        </w:rPr>
      </w:pPr>
      <w:r>
        <w:rPr>
          <w:b/>
          <w:spacing w:val="17"/>
          <w:sz w:val="21"/>
        </w:rPr>
        <w:t>急性或亚急性重症</w:t>
      </w:r>
    </w:p>
    <w:p>
      <w:pPr>
        <w:spacing w:before="43"/>
        <w:ind w:left="1196" w:right="0" w:firstLine="0"/>
        <w:jc w:val="left"/>
        <w:rPr>
          <w:b/>
          <w:sz w:val="21"/>
        </w:rPr>
      </w:pPr>
      <w:r>
        <w:rPr>
          <w:b/>
          <w:spacing w:val="-5"/>
          <w:sz w:val="21"/>
        </w:rPr>
        <w:t>肝炎</w:t>
      </w:r>
    </w:p>
    <w:p>
      <w:pPr>
        <w:pStyle w:val="4"/>
        <w:spacing w:before="72" w:line="278" w:lineRule="auto"/>
        <w:ind w:left="173" w:right="234"/>
      </w:pPr>
      <w:r>
        <w:br w:type="column"/>
      </w:r>
      <w:r>
        <w:rPr>
          <w:spacing w:val="-2"/>
        </w:rPr>
        <w:t>指因肝炎病毒感染引起肝脏组织弥漫性坏死，导致急性肝功能衰竭，且经血清学或病毒学检查结果证实，并须满足下列全部条件：</w:t>
      </w:r>
    </w:p>
    <w:p>
      <w:pPr>
        <w:spacing w:after="0" w:line="278" w:lineRule="auto"/>
        <w:sectPr>
          <w:type w:val="continuous"/>
          <w:pgSz w:w="11910" w:h="16840"/>
          <w:pgMar w:top="500" w:right="840" w:bottom="280" w:left="860" w:header="720" w:footer="720" w:gutter="0"/>
          <w:cols w:equalWidth="0" w:num="2">
            <w:col w:w="3048" w:space="40"/>
            <w:col w:w="7122"/>
          </w:cols>
        </w:sectPr>
      </w:pPr>
    </w:p>
    <w:p>
      <w:pPr>
        <w:pStyle w:val="4"/>
        <w:spacing w:before="8" w:after="1"/>
        <w:rPr>
          <w:sz w:val="23"/>
        </w:rPr>
      </w:pPr>
    </w:p>
    <w:p>
      <w:pPr>
        <w:pStyle w:val="4"/>
        <w:spacing w:line="20" w:lineRule="exact"/>
        <w:ind w:left="220"/>
        <w:rPr>
          <w:sz w:val="2"/>
        </w:rPr>
      </w:pPr>
      <w:r>
        <w:rPr>
          <w:sz w:val="2"/>
        </w:rPr>
        <w:drawing>
          <wp:inline distT="0" distB="0" distL="0" distR="0">
            <wp:extent cx="1828165" cy="5715"/>
            <wp:effectExtent l="0" t="0" r="0" b="0"/>
            <wp:docPr id="6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19.png"/>
                    <pic:cNvPicPr>
                      <a:picLocks noChangeAspect="1"/>
                    </pic:cNvPicPr>
                  </pic:nvPicPr>
                  <pic:blipFill>
                    <a:blip r:embed="rId24" cstate="print"/>
                    <a:stretch>
                      <a:fillRect/>
                    </a:stretch>
                  </pic:blipFill>
                  <pic:spPr>
                    <a:xfrm>
                      <a:off x="0" y="0"/>
                      <a:ext cx="1828799" cy="6096"/>
                    </a:xfrm>
                    <a:prstGeom prst="rect">
                      <a:avLst/>
                    </a:prstGeom>
                  </pic:spPr>
                </pic:pic>
              </a:graphicData>
            </a:graphic>
          </wp:inline>
        </w:drawing>
      </w:r>
    </w:p>
    <w:p>
      <w:pPr>
        <w:spacing w:before="145"/>
        <w:ind w:left="220" w:right="0" w:firstLine="0"/>
        <w:jc w:val="left"/>
        <w:rPr>
          <w:sz w:val="18"/>
        </w:rPr>
      </w:pPr>
      <w:r>
        <w:rPr>
          <w:rFonts w:ascii="Times New Roman" w:eastAsia="Times New Roman"/>
          <w:b/>
          <w:position w:val="6"/>
          <w:sz w:val="12"/>
        </w:rPr>
        <w:t>42</w:t>
      </w:r>
      <w:r>
        <w:rPr>
          <w:rFonts w:ascii="Times New Roman" w:eastAsia="Times New Roman"/>
          <w:b/>
          <w:spacing w:val="46"/>
          <w:position w:val="6"/>
          <w:sz w:val="12"/>
        </w:rPr>
        <w:t xml:space="preserve"> </w:t>
      </w:r>
      <w:r>
        <w:rPr>
          <w:b/>
          <w:sz w:val="18"/>
        </w:rPr>
        <w:t>神经系统永久性的功能障碍</w:t>
      </w:r>
      <w:r>
        <w:rPr>
          <w:spacing w:val="-6"/>
          <w:sz w:val="18"/>
        </w:rPr>
        <w:t xml:space="preserve">指疾病明确诊断 </w:t>
      </w:r>
      <w:r>
        <w:rPr>
          <w:rFonts w:ascii="Times New Roman" w:eastAsia="Times New Roman"/>
          <w:sz w:val="18"/>
        </w:rPr>
        <w:t>180</w:t>
      </w:r>
      <w:r>
        <w:rPr>
          <w:rFonts w:ascii="Times New Roman" w:eastAsia="Times New Roman"/>
          <w:spacing w:val="-4"/>
          <w:sz w:val="18"/>
        </w:rPr>
        <w:t xml:space="preserve"> </w:t>
      </w:r>
      <w:r>
        <w:rPr>
          <w:spacing w:val="-1"/>
          <w:sz w:val="18"/>
        </w:rPr>
        <w:t>日后，仍遗留下列一种或一种以上障碍：</w:t>
      </w:r>
    </w:p>
    <w:p>
      <w:pPr>
        <w:pStyle w:val="8"/>
        <w:numPr>
          <w:ilvl w:val="0"/>
          <w:numId w:val="20"/>
        </w:numPr>
        <w:tabs>
          <w:tab w:val="left" w:pos="898"/>
        </w:tabs>
        <w:spacing w:before="70" w:after="0" w:line="240" w:lineRule="auto"/>
        <w:ind w:left="897" w:right="0" w:hanging="453"/>
        <w:jc w:val="left"/>
        <w:rPr>
          <w:sz w:val="18"/>
        </w:rPr>
      </w:pPr>
      <w:r>
        <w:rPr>
          <w:spacing w:val="-1"/>
          <w:sz w:val="18"/>
        </w:rPr>
        <w:t>一肢或一肢以上肢体机能完全丧失；</w:t>
      </w:r>
    </w:p>
    <w:p>
      <w:pPr>
        <w:pStyle w:val="8"/>
        <w:numPr>
          <w:ilvl w:val="0"/>
          <w:numId w:val="20"/>
        </w:numPr>
        <w:tabs>
          <w:tab w:val="left" w:pos="898"/>
        </w:tabs>
        <w:spacing w:before="69" w:after="0" w:line="240" w:lineRule="auto"/>
        <w:ind w:left="897" w:right="0" w:hanging="453"/>
        <w:jc w:val="left"/>
        <w:rPr>
          <w:sz w:val="18"/>
        </w:rPr>
      </w:pPr>
      <w:r>
        <w:rPr>
          <w:spacing w:val="-1"/>
          <w:sz w:val="18"/>
        </w:rPr>
        <w:t>语言能力或咀嚼吞咽能力完全丧失；</w:t>
      </w:r>
    </w:p>
    <w:p>
      <w:pPr>
        <w:pStyle w:val="8"/>
        <w:numPr>
          <w:ilvl w:val="0"/>
          <w:numId w:val="20"/>
        </w:numPr>
        <w:tabs>
          <w:tab w:val="left" w:pos="898"/>
        </w:tabs>
        <w:spacing w:before="69" w:after="0" w:line="240" w:lineRule="auto"/>
        <w:ind w:left="897" w:right="0" w:hanging="453"/>
        <w:jc w:val="left"/>
        <w:rPr>
          <w:sz w:val="18"/>
        </w:rPr>
      </w:pPr>
      <w:r>
        <w:rPr>
          <w:spacing w:val="-1"/>
          <w:sz w:val="18"/>
        </w:rPr>
        <w:t>自主生活能力完全丧失，无法独立完成六项基本日常生活活动中的三项或三项以上。</w:t>
      </w:r>
    </w:p>
    <w:p>
      <w:pPr>
        <w:spacing w:before="70" w:line="312" w:lineRule="auto"/>
        <w:ind w:left="445" w:right="237" w:firstLine="0"/>
        <w:jc w:val="left"/>
        <w:rPr>
          <w:sz w:val="18"/>
        </w:rPr>
      </w:pPr>
      <w:r>
        <w:rPr>
          <w:spacing w:val="-2"/>
          <w:sz w:val="18"/>
        </w:rPr>
        <w:t>肢体机能完全丧失指肢体的三大关节中的两大关节僵硬，或不能随意识活动。肢体指包括肩关节的整个上肢或包括髋关节的整个下肢。</w:t>
      </w:r>
    </w:p>
    <w:p>
      <w:pPr>
        <w:spacing w:before="0" w:line="312" w:lineRule="auto"/>
        <w:ind w:left="445" w:right="239" w:firstLine="0"/>
        <w:jc w:val="left"/>
        <w:rPr>
          <w:sz w:val="18"/>
        </w:rPr>
      </w:pPr>
      <w:r>
        <w:rPr>
          <w:spacing w:val="-2"/>
          <w:sz w:val="18"/>
        </w:rPr>
        <w:t>语言能力完全丧失指无法发出四种语音（包括口唇音、齿舌音、口盖音和喉头音）中的任何三种、或声带全部切除，或因大脑语言中枢受伤害而患失语症。</w:t>
      </w:r>
    </w:p>
    <w:p>
      <w:pPr>
        <w:spacing w:before="1" w:line="312" w:lineRule="auto"/>
        <w:ind w:left="445" w:right="236" w:firstLine="0"/>
        <w:jc w:val="left"/>
        <w:rPr>
          <w:sz w:val="18"/>
        </w:rPr>
      </w:pPr>
      <w:r>
        <w:rPr>
          <w:spacing w:val="-2"/>
          <w:sz w:val="18"/>
        </w:rPr>
        <w:t>咀嚼吞咽能力完全丧失指因牙齿以外的原因导致器质障碍或机能障碍，以致不能作咀嚼吞咽运动，除流质食物外不能摄取或吞咽的状态。</w:t>
      </w:r>
    </w:p>
    <w:p>
      <w:pPr>
        <w:spacing w:before="0"/>
        <w:ind w:left="445" w:right="0" w:firstLine="0"/>
        <w:jc w:val="left"/>
        <w:rPr>
          <w:sz w:val="18"/>
        </w:rPr>
      </w:pPr>
      <w:r>
        <w:rPr>
          <w:spacing w:val="-1"/>
          <w:sz w:val="18"/>
        </w:rPr>
        <w:t>六项基本日常生活活动指：</w:t>
      </w:r>
    </w:p>
    <w:p>
      <w:pPr>
        <w:pStyle w:val="8"/>
        <w:numPr>
          <w:ilvl w:val="0"/>
          <w:numId w:val="21"/>
        </w:numPr>
        <w:tabs>
          <w:tab w:val="left" w:pos="898"/>
        </w:tabs>
        <w:spacing w:before="69" w:after="0" w:line="240" w:lineRule="auto"/>
        <w:ind w:left="897" w:right="0" w:hanging="453"/>
        <w:jc w:val="left"/>
        <w:rPr>
          <w:sz w:val="18"/>
        </w:rPr>
      </w:pPr>
      <w:r>
        <w:rPr>
          <w:spacing w:val="-1"/>
          <w:sz w:val="18"/>
        </w:rPr>
        <w:t>穿衣：自己能够穿衣及脱衣；</w:t>
      </w:r>
    </w:p>
    <w:p>
      <w:pPr>
        <w:pStyle w:val="8"/>
        <w:numPr>
          <w:ilvl w:val="0"/>
          <w:numId w:val="21"/>
        </w:numPr>
        <w:tabs>
          <w:tab w:val="left" w:pos="898"/>
        </w:tabs>
        <w:spacing w:before="70" w:after="0" w:line="240" w:lineRule="auto"/>
        <w:ind w:left="897" w:right="0" w:hanging="453"/>
        <w:jc w:val="left"/>
        <w:rPr>
          <w:sz w:val="18"/>
        </w:rPr>
      </w:pPr>
      <w:r>
        <w:rPr>
          <w:spacing w:val="-1"/>
          <w:sz w:val="18"/>
        </w:rPr>
        <w:t>移动：自己从一个房间到另一个房间；</w:t>
      </w:r>
    </w:p>
    <w:p>
      <w:pPr>
        <w:pStyle w:val="8"/>
        <w:numPr>
          <w:ilvl w:val="0"/>
          <w:numId w:val="21"/>
        </w:numPr>
        <w:tabs>
          <w:tab w:val="left" w:pos="898"/>
        </w:tabs>
        <w:spacing w:before="69" w:after="0" w:line="240" w:lineRule="auto"/>
        <w:ind w:left="897" w:right="0" w:hanging="453"/>
        <w:jc w:val="left"/>
        <w:rPr>
          <w:sz w:val="18"/>
        </w:rPr>
      </w:pPr>
      <w:r>
        <w:rPr>
          <w:spacing w:val="-1"/>
          <w:sz w:val="18"/>
        </w:rPr>
        <w:t>行动：自己上下床或上下轮椅；</w:t>
      </w:r>
    </w:p>
    <w:p>
      <w:pPr>
        <w:pStyle w:val="8"/>
        <w:numPr>
          <w:ilvl w:val="0"/>
          <w:numId w:val="21"/>
        </w:numPr>
        <w:tabs>
          <w:tab w:val="left" w:pos="898"/>
        </w:tabs>
        <w:spacing w:before="69" w:after="0" w:line="240" w:lineRule="auto"/>
        <w:ind w:left="897" w:right="0" w:hanging="453"/>
        <w:jc w:val="left"/>
        <w:rPr>
          <w:sz w:val="18"/>
        </w:rPr>
      </w:pPr>
      <w:r>
        <w:rPr>
          <w:spacing w:val="-1"/>
          <w:sz w:val="18"/>
        </w:rPr>
        <w:t>如厕：自己控制进行大小便；</w:t>
      </w:r>
    </w:p>
    <w:p>
      <w:pPr>
        <w:pStyle w:val="8"/>
        <w:numPr>
          <w:ilvl w:val="0"/>
          <w:numId w:val="21"/>
        </w:numPr>
        <w:tabs>
          <w:tab w:val="left" w:pos="898"/>
        </w:tabs>
        <w:spacing w:before="70" w:after="0" w:line="240" w:lineRule="auto"/>
        <w:ind w:left="897" w:right="0" w:hanging="453"/>
        <w:jc w:val="left"/>
        <w:rPr>
          <w:sz w:val="18"/>
        </w:rPr>
      </w:pPr>
      <w:r>
        <w:rPr>
          <w:spacing w:val="-1"/>
          <w:sz w:val="18"/>
        </w:rPr>
        <w:t>进食：自己从已准备好的碗或碟中取食物放入口中；</w:t>
      </w:r>
    </w:p>
    <w:p>
      <w:pPr>
        <w:pStyle w:val="8"/>
        <w:numPr>
          <w:ilvl w:val="0"/>
          <w:numId w:val="21"/>
        </w:numPr>
        <w:tabs>
          <w:tab w:val="left" w:pos="898"/>
        </w:tabs>
        <w:spacing w:before="69" w:after="0" w:line="240" w:lineRule="auto"/>
        <w:ind w:left="897" w:right="0" w:hanging="453"/>
        <w:jc w:val="left"/>
        <w:rPr>
          <w:sz w:val="18"/>
        </w:rPr>
      </w:pPr>
      <w:r>
        <w:rPr>
          <w:spacing w:val="-1"/>
          <w:sz w:val="18"/>
        </w:rPr>
        <w:t>洗澡：自己进行淋浴或盆浴。</w:t>
      </w:r>
    </w:p>
    <w:p>
      <w:pPr>
        <w:spacing w:after="0" w:line="240" w:lineRule="auto"/>
        <w:jc w:val="left"/>
        <w:rPr>
          <w:sz w:val="18"/>
        </w:rPr>
        <w:sectPr>
          <w:type w:val="continuous"/>
          <w:pgSz w:w="11910" w:h="16840"/>
          <w:pgMar w:top="500" w:right="840" w:bottom="280" w:left="860" w:header="720" w:footer="720" w:gutter="0"/>
          <w:cols w:space="720" w:num="1"/>
        </w:sectPr>
      </w:pPr>
    </w:p>
    <w:p>
      <w:pPr>
        <w:pStyle w:val="8"/>
        <w:numPr>
          <w:ilvl w:val="1"/>
          <w:numId w:val="21"/>
        </w:numPr>
        <w:tabs>
          <w:tab w:val="left" w:pos="3892"/>
        </w:tabs>
        <w:spacing w:before="67" w:after="0" w:line="240" w:lineRule="auto"/>
        <w:ind w:left="3892" w:right="0" w:hanging="632"/>
        <w:jc w:val="left"/>
        <w:rPr>
          <w:sz w:val="21"/>
        </w:rPr>
      </w:pPr>
      <w:r>
        <w:rPr>
          <w:spacing w:val="-3"/>
          <w:sz w:val="21"/>
        </w:rPr>
        <w:t>重度黄疸或黄疸迅速加重；</w:t>
      </w:r>
    </w:p>
    <w:p>
      <w:pPr>
        <w:pStyle w:val="8"/>
        <w:numPr>
          <w:ilvl w:val="1"/>
          <w:numId w:val="21"/>
        </w:numPr>
        <w:tabs>
          <w:tab w:val="left" w:pos="3892"/>
        </w:tabs>
        <w:spacing w:before="43" w:after="0" w:line="240" w:lineRule="auto"/>
        <w:ind w:left="3892" w:right="0" w:hanging="632"/>
        <w:jc w:val="left"/>
        <w:rPr>
          <w:sz w:val="21"/>
        </w:rPr>
      </w:pPr>
      <w:r>
        <w:rPr>
          <w:spacing w:val="-4"/>
          <w:sz w:val="21"/>
        </w:rPr>
        <w:t>肝性脑病；</w:t>
      </w:r>
    </w:p>
    <w:p>
      <w:pPr>
        <w:pStyle w:val="8"/>
        <w:numPr>
          <w:ilvl w:val="1"/>
          <w:numId w:val="21"/>
        </w:numPr>
        <w:tabs>
          <w:tab w:val="left" w:pos="3892"/>
        </w:tabs>
        <w:spacing w:before="43" w:after="0" w:line="240" w:lineRule="auto"/>
        <w:ind w:left="3892" w:right="0" w:hanging="632"/>
        <w:jc w:val="left"/>
        <w:rPr>
          <w:sz w:val="21"/>
        </w:rPr>
      </w:pPr>
      <w:r>
        <w:rPr>
          <w:rFonts w:ascii="Times New Roman" w:eastAsia="Times New Roman"/>
          <w:spacing w:val="-2"/>
          <w:sz w:val="21"/>
        </w:rPr>
        <w:t>B</w:t>
      </w:r>
      <w:r>
        <w:rPr>
          <w:rFonts w:ascii="Times New Roman" w:eastAsia="Times New Roman"/>
          <w:spacing w:val="9"/>
          <w:sz w:val="21"/>
        </w:rPr>
        <w:t xml:space="preserve"> </w:t>
      </w:r>
      <w:r>
        <w:rPr>
          <w:spacing w:val="-3"/>
          <w:sz w:val="21"/>
        </w:rPr>
        <w:t>超或其他影像学检查结果显示肝脏体积急速萎缩；</w:t>
      </w:r>
    </w:p>
    <w:p>
      <w:pPr>
        <w:pStyle w:val="8"/>
        <w:numPr>
          <w:ilvl w:val="1"/>
          <w:numId w:val="21"/>
        </w:numPr>
        <w:tabs>
          <w:tab w:val="left" w:pos="3892"/>
        </w:tabs>
        <w:spacing w:before="43" w:after="0" w:line="240" w:lineRule="auto"/>
        <w:ind w:left="3892" w:right="0" w:hanging="632"/>
        <w:jc w:val="left"/>
        <w:rPr>
          <w:sz w:val="21"/>
        </w:rPr>
      </w:pPr>
      <w:r>
        <w:rPr>
          <w:spacing w:val="-3"/>
          <w:sz w:val="21"/>
        </w:rPr>
        <w:t>肝功能指标进行性恶化。</w:t>
      </w:r>
    </w:p>
    <w:p>
      <w:pPr>
        <w:pStyle w:val="4"/>
        <w:spacing w:before="12"/>
        <w:rPr>
          <w:sz w:val="29"/>
        </w:rPr>
      </w:pPr>
    </w:p>
    <w:tbl>
      <w:tblPr>
        <w:tblStyle w:val="5"/>
        <w:tblW w:w="0" w:type="auto"/>
        <w:tblInd w:w="17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56"/>
        <w:gridCol w:w="2127"/>
        <w:gridCol w:w="68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856" w:type="dxa"/>
          </w:tcPr>
          <w:p>
            <w:pPr>
              <w:pStyle w:val="9"/>
              <w:spacing w:line="241" w:lineRule="exact"/>
              <w:ind w:left="50"/>
              <w:rPr>
                <w:b/>
                <w:sz w:val="21"/>
              </w:rPr>
            </w:pPr>
            <w:r>
              <w:rPr>
                <w:b/>
                <w:spacing w:val="-2"/>
                <w:sz w:val="21"/>
              </w:rPr>
              <w:t>7.2.9</w:t>
            </w:r>
          </w:p>
        </w:tc>
        <w:tc>
          <w:tcPr>
            <w:tcW w:w="2127" w:type="dxa"/>
          </w:tcPr>
          <w:p>
            <w:pPr>
              <w:pStyle w:val="9"/>
              <w:spacing w:line="241" w:lineRule="exact"/>
              <w:ind w:left="170"/>
              <w:rPr>
                <w:b/>
                <w:sz w:val="21"/>
              </w:rPr>
            </w:pPr>
            <w:r>
              <w:rPr>
                <w:b/>
                <w:spacing w:val="-2"/>
                <w:sz w:val="21"/>
              </w:rPr>
              <w:t>良性脑肿瘤</w:t>
            </w:r>
          </w:p>
        </w:tc>
        <w:tc>
          <w:tcPr>
            <w:tcW w:w="6864" w:type="dxa"/>
          </w:tcPr>
          <w:p>
            <w:pPr>
              <w:pStyle w:val="9"/>
              <w:spacing w:line="241" w:lineRule="exact"/>
              <w:ind w:left="107"/>
              <w:rPr>
                <w:sz w:val="21"/>
              </w:rPr>
            </w:pPr>
            <w:r>
              <w:rPr>
                <w:spacing w:val="-5"/>
                <w:sz w:val="21"/>
              </w:rPr>
              <w:t>指脑的良性肿瘤，已经引起颅内压增高，临床表现为视神经乳头水肿、精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64" w:type="dxa"/>
          </w:tcPr>
          <w:p>
            <w:pPr>
              <w:pStyle w:val="9"/>
              <w:spacing w:before="22" w:line="267" w:lineRule="exact"/>
              <w:ind w:left="107"/>
              <w:rPr>
                <w:sz w:val="21"/>
              </w:rPr>
            </w:pPr>
            <w:r>
              <w:rPr>
                <w:spacing w:val="-5"/>
                <w:sz w:val="21"/>
              </w:rPr>
              <w:t>神症状、癫痫及运动感觉障碍等，并危及生命。良性脑肿瘤须由头颅断层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64" w:type="dxa"/>
          </w:tcPr>
          <w:p>
            <w:pPr>
              <w:pStyle w:val="9"/>
              <w:spacing w:before="25"/>
              <w:ind w:left="107"/>
              <w:rPr>
                <w:sz w:val="21"/>
              </w:rPr>
            </w:pPr>
            <w:r>
              <w:rPr>
                <w:spacing w:val="-2"/>
                <w:sz w:val="21"/>
              </w:rPr>
              <w:t>扫描</w:t>
            </w:r>
            <w:r>
              <w:rPr>
                <w:spacing w:val="24"/>
                <w:sz w:val="21"/>
              </w:rPr>
              <w:t>（</w:t>
            </w:r>
            <w:r>
              <w:rPr>
                <w:rFonts w:ascii="Times New Roman" w:eastAsia="Times New Roman"/>
                <w:spacing w:val="22"/>
                <w:sz w:val="21"/>
              </w:rPr>
              <w:t>C</w:t>
            </w:r>
            <w:r>
              <w:rPr>
                <w:rFonts w:ascii="Times New Roman" w:eastAsia="Times New Roman"/>
                <w:spacing w:val="23"/>
                <w:sz w:val="21"/>
              </w:rPr>
              <w:t>T</w:t>
            </w:r>
            <w:r>
              <w:rPr>
                <w:spacing w:val="-79"/>
                <w:sz w:val="21"/>
              </w:rPr>
              <w:t>）</w:t>
            </w:r>
            <w:r>
              <w:rPr>
                <w:spacing w:val="-2"/>
                <w:sz w:val="21"/>
              </w:rPr>
              <w:t>、核磁共振（</w:t>
            </w:r>
            <w:r>
              <w:rPr>
                <w:rFonts w:ascii="Times New Roman" w:eastAsia="Times New Roman"/>
                <w:spacing w:val="-2"/>
                <w:sz w:val="21"/>
              </w:rPr>
              <w:t>MRI</w:t>
            </w:r>
            <w:r>
              <w:rPr>
                <w:spacing w:val="-2"/>
                <w:sz w:val="21"/>
              </w:rPr>
              <w:t>）或正电子发射断层扫描（</w:t>
            </w:r>
            <w:r>
              <w:rPr>
                <w:rFonts w:ascii="Times New Roman" w:eastAsia="Times New Roman"/>
                <w:spacing w:val="-2"/>
                <w:sz w:val="21"/>
              </w:rPr>
              <w:t>PET</w:t>
            </w:r>
            <w:r>
              <w:rPr>
                <w:spacing w:val="-2"/>
                <w:sz w:val="21"/>
              </w:rPr>
              <w:t>）</w:t>
            </w:r>
            <w:r>
              <w:rPr>
                <w:spacing w:val="-4"/>
                <w:sz w:val="21"/>
              </w:rPr>
              <w:t>等影像学</w:t>
            </w:r>
          </w:p>
          <w:p>
            <w:pPr>
              <w:pStyle w:val="9"/>
              <w:spacing w:before="43" w:line="267" w:lineRule="exact"/>
              <w:ind w:left="107"/>
              <w:rPr>
                <w:sz w:val="21"/>
              </w:rPr>
            </w:pPr>
            <w:r>
              <w:rPr>
                <w:spacing w:val="-3"/>
                <w:sz w:val="21"/>
              </w:rPr>
              <w:t>检查结果证实，并须满足下列至少一项条件：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91"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64" w:type="dxa"/>
          </w:tcPr>
          <w:p>
            <w:pPr>
              <w:pStyle w:val="9"/>
              <w:numPr>
                <w:ilvl w:val="0"/>
                <w:numId w:val="22"/>
              </w:numPr>
              <w:tabs>
                <w:tab w:val="left" w:pos="739"/>
              </w:tabs>
              <w:spacing w:before="25" w:after="0" w:line="240" w:lineRule="auto"/>
              <w:ind w:left="738" w:right="0" w:hanging="632"/>
              <w:jc w:val="left"/>
              <w:rPr>
                <w:sz w:val="21"/>
              </w:rPr>
            </w:pPr>
            <w:r>
              <w:rPr>
                <w:spacing w:val="-3"/>
                <w:sz w:val="21"/>
              </w:rPr>
              <w:t>实际接受了开颅进行的脑肿瘤完全切除或部分切除的手术；</w:t>
            </w:r>
          </w:p>
          <w:p>
            <w:pPr>
              <w:pStyle w:val="9"/>
              <w:numPr>
                <w:ilvl w:val="0"/>
                <w:numId w:val="22"/>
              </w:numPr>
              <w:tabs>
                <w:tab w:val="left" w:pos="739"/>
              </w:tabs>
              <w:spacing w:before="43" w:after="0" w:line="240" w:lineRule="auto"/>
              <w:ind w:left="738" w:right="0" w:hanging="632"/>
              <w:jc w:val="left"/>
              <w:rPr>
                <w:sz w:val="21"/>
              </w:rPr>
            </w:pPr>
            <w:r>
              <w:rPr>
                <w:spacing w:val="-3"/>
                <w:sz w:val="21"/>
              </w:rPr>
              <w:t>实际接受了对脑肿瘤进行的放射治疗。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5"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64" w:type="dxa"/>
          </w:tcPr>
          <w:p>
            <w:pPr>
              <w:pStyle w:val="9"/>
              <w:spacing w:before="170"/>
              <w:ind w:left="107"/>
              <w:rPr>
                <w:rFonts w:ascii="黑体" w:eastAsia="黑体"/>
                <w:sz w:val="21"/>
              </w:rPr>
            </w:pPr>
            <w:r>
              <w:rPr>
                <w:rFonts w:ascii="黑体" w:eastAsia="黑体"/>
                <w:color w:val="000000"/>
                <w:spacing w:val="-3"/>
                <w:sz w:val="21"/>
                <w:shd w:val="clear" w:color="auto" w:fill="D9D9D9"/>
              </w:rPr>
              <w:t>脑垂体瘤、脑囊肿、脑血管性疾病不在保障范围内。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4" w:hRule="atLeast"/>
        </w:trPr>
        <w:tc>
          <w:tcPr>
            <w:tcW w:w="856" w:type="dxa"/>
          </w:tcPr>
          <w:p>
            <w:pPr>
              <w:pStyle w:val="9"/>
              <w:spacing w:before="178" w:line="267" w:lineRule="exact"/>
              <w:ind w:left="50"/>
              <w:rPr>
                <w:b/>
                <w:sz w:val="21"/>
              </w:rPr>
            </w:pPr>
            <w:r>
              <w:rPr>
                <w:b/>
                <w:spacing w:val="-2"/>
                <w:sz w:val="21"/>
              </w:rPr>
              <w:t>7.2.10</w:t>
            </w:r>
          </w:p>
        </w:tc>
        <w:tc>
          <w:tcPr>
            <w:tcW w:w="2127" w:type="dxa"/>
          </w:tcPr>
          <w:p>
            <w:pPr>
              <w:pStyle w:val="9"/>
              <w:spacing w:before="178" w:line="267" w:lineRule="exact"/>
              <w:ind w:left="170"/>
              <w:rPr>
                <w:b/>
                <w:sz w:val="21"/>
              </w:rPr>
            </w:pPr>
            <w:r>
              <w:rPr>
                <w:b/>
                <w:spacing w:val="17"/>
                <w:sz w:val="21"/>
              </w:rPr>
              <w:t>慢性肝功能衰竭失</w:t>
            </w:r>
          </w:p>
        </w:tc>
        <w:tc>
          <w:tcPr>
            <w:tcW w:w="6864" w:type="dxa"/>
          </w:tcPr>
          <w:p>
            <w:pPr>
              <w:pStyle w:val="9"/>
              <w:spacing w:before="178" w:line="267" w:lineRule="exact"/>
              <w:ind w:left="107"/>
              <w:rPr>
                <w:sz w:val="21"/>
              </w:rPr>
            </w:pPr>
            <w:r>
              <w:rPr>
                <w:spacing w:val="-3"/>
                <w:sz w:val="21"/>
              </w:rPr>
              <w:t>指因慢性肝脏疾病导致肝功能衰竭。须满足下列全部条件：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15" w:hRule="atLeast"/>
        </w:trPr>
        <w:tc>
          <w:tcPr>
            <w:tcW w:w="856" w:type="dxa"/>
          </w:tcPr>
          <w:p>
            <w:pPr>
              <w:pStyle w:val="9"/>
              <w:rPr>
                <w:rFonts w:ascii="Times New Roman"/>
                <w:sz w:val="20"/>
              </w:rPr>
            </w:pPr>
          </w:p>
        </w:tc>
        <w:tc>
          <w:tcPr>
            <w:tcW w:w="2127" w:type="dxa"/>
          </w:tcPr>
          <w:p>
            <w:pPr>
              <w:pStyle w:val="9"/>
              <w:spacing w:before="25"/>
              <w:ind w:left="170"/>
              <w:rPr>
                <w:b/>
                <w:sz w:val="21"/>
              </w:rPr>
            </w:pPr>
            <w:r>
              <w:rPr>
                <w:b/>
                <w:spacing w:val="-4"/>
                <w:sz w:val="21"/>
              </w:rPr>
              <w:t>代偿期</w:t>
            </w:r>
          </w:p>
        </w:tc>
        <w:tc>
          <w:tcPr>
            <w:tcW w:w="6864" w:type="dxa"/>
          </w:tcPr>
          <w:p>
            <w:pPr>
              <w:pStyle w:val="9"/>
              <w:spacing w:before="25"/>
              <w:ind w:left="107"/>
              <w:rPr>
                <w:sz w:val="21"/>
              </w:rPr>
            </w:pPr>
            <w:r>
              <w:rPr>
                <w:sz w:val="21"/>
              </w:rPr>
              <w:t>（</w:t>
            </w:r>
            <w:r>
              <w:rPr>
                <w:rFonts w:ascii="Times New Roman" w:eastAsia="Times New Roman"/>
                <w:sz w:val="21"/>
              </w:rPr>
              <w:t>1</w:t>
            </w:r>
            <w:r>
              <w:rPr>
                <w:sz w:val="21"/>
              </w:rPr>
              <w:t>）</w:t>
            </w:r>
            <w:r>
              <w:rPr>
                <w:spacing w:val="-4"/>
                <w:sz w:val="21"/>
              </w:rPr>
              <w:t xml:space="preserve"> 持续性黄疸；</w:t>
            </w:r>
          </w:p>
          <w:p>
            <w:pPr>
              <w:pStyle w:val="9"/>
              <w:spacing w:before="43"/>
              <w:ind w:left="107"/>
              <w:rPr>
                <w:sz w:val="21"/>
              </w:rPr>
            </w:pPr>
            <w:r>
              <w:rPr>
                <w:sz w:val="21"/>
              </w:rPr>
              <w:t>（</w:t>
            </w:r>
            <w:r>
              <w:rPr>
                <w:rFonts w:ascii="Times New Roman" w:eastAsia="Times New Roman"/>
                <w:sz w:val="21"/>
              </w:rPr>
              <w:t>2</w:t>
            </w:r>
            <w:r>
              <w:rPr>
                <w:sz w:val="21"/>
              </w:rPr>
              <w:t>）</w:t>
            </w:r>
            <w:r>
              <w:rPr>
                <w:spacing w:val="-4"/>
                <w:sz w:val="21"/>
              </w:rPr>
              <w:t xml:space="preserve"> 腹水；</w:t>
            </w:r>
          </w:p>
          <w:p>
            <w:pPr>
              <w:pStyle w:val="9"/>
              <w:numPr>
                <w:ilvl w:val="0"/>
                <w:numId w:val="23"/>
              </w:numPr>
              <w:tabs>
                <w:tab w:val="left" w:pos="739"/>
              </w:tabs>
              <w:spacing w:before="43" w:after="0" w:line="240" w:lineRule="auto"/>
              <w:ind w:left="738" w:right="0" w:hanging="632"/>
              <w:jc w:val="left"/>
              <w:rPr>
                <w:sz w:val="21"/>
              </w:rPr>
            </w:pPr>
            <w:r>
              <w:rPr>
                <w:spacing w:val="-4"/>
                <w:sz w:val="21"/>
              </w:rPr>
              <w:t>肝性脑病；</w:t>
            </w:r>
          </w:p>
          <w:p>
            <w:pPr>
              <w:pStyle w:val="9"/>
              <w:numPr>
                <w:ilvl w:val="0"/>
                <w:numId w:val="23"/>
              </w:numPr>
              <w:tabs>
                <w:tab w:val="left" w:pos="739"/>
              </w:tabs>
              <w:spacing w:before="43" w:after="0" w:line="240" w:lineRule="auto"/>
              <w:ind w:left="738" w:right="0" w:hanging="632"/>
              <w:jc w:val="left"/>
              <w:rPr>
                <w:sz w:val="21"/>
              </w:rPr>
            </w:pPr>
            <w:r>
              <w:rPr>
                <w:spacing w:val="-3"/>
                <w:sz w:val="21"/>
              </w:rPr>
              <w:t>充血性脾肿大伴脾功能亢进或食管胃底静脉曲张。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5"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64" w:type="dxa"/>
          </w:tcPr>
          <w:p>
            <w:pPr>
              <w:pStyle w:val="9"/>
              <w:spacing w:before="170"/>
              <w:ind w:left="107"/>
              <w:rPr>
                <w:rFonts w:ascii="黑体" w:eastAsia="黑体"/>
                <w:sz w:val="21"/>
              </w:rPr>
            </w:pPr>
            <w:r>
              <w:rPr>
                <w:rFonts w:ascii="黑体" w:eastAsia="黑体"/>
                <w:color w:val="000000"/>
                <w:spacing w:val="-3"/>
                <w:sz w:val="21"/>
                <w:shd w:val="clear" w:color="auto" w:fill="D9D9D9"/>
              </w:rPr>
              <w:t>因酗酒或药物滥用导致的肝功能衰竭不在保障范围内。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856" w:type="dxa"/>
          </w:tcPr>
          <w:p>
            <w:pPr>
              <w:pStyle w:val="9"/>
              <w:spacing w:before="178"/>
              <w:ind w:left="50"/>
              <w:rPr>
                <w:b/>
                <w:sz w:val="21"/>
              </w:rPr>
            </w:pPr>
            <w:r>
              <w:rPr>
                <w:b/>
                <w:spacing w:val="-2"/>
                <w:sz w:val="21"/>
              </w:rPr>
              <w:t>7.2.11</w:t>
            </w:r>
          </w:p>
        </w:tc>
        <w:tc>
          <w:tcPr>
            <w:tcW w:w="2127" w:type="dxa"/>
          </w:tcPr>
          <w:p>
            <w:pPr>
              <w:pStyle w:val="9"/>
              <w:spacing w:before="178"/>
              <w:ind w:left="170"/>
              <w:rPr>
                <w:b/>
                <w:sz w:val="21"/>
              </w:rPr>
            </w:pPr>
            <w:r>
              <w:rPr>
                <w:b/>
                <w:spacing w:val="17"/>
                <w:sz w:val="21"/>
              </w:rPr>
              <w:t>脑炎后遗症或脑膜</w:t>
            </w:r>
          </w:p>
        </w:tc>
        <w:tc>
          <w:tcPr>
            <w:tcW w:w="6864" w:type="dxa"/>
          </w:tcPr>
          <w:p>
            <w:pPr>
              <w:pStyle w:val="9"/>
              <w:spacing w:before="178"/>
              <w:ind w:left="107"/>
              <w:rPr>
                <w:sz w:val="21"/>
              </w:rPr>
            </w:pPr>
            <w:r>
              <w:rPr>
                <w:spacing w:val="-3"/>
                <w:sz w:val="21"/>
              </w:rPr>
              <w:t>指因患脑炎或脑膜炎导致的神经系统永久性的功能障碍。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856" w:type="dxa"/>
          </w:tcPr>
          <w:p>
            <w:pPr>
              <w:pStyle w:val="9"/>
              <w:rPr>
                <w:rFonts w:ascii="Times New Roman"/>
                <w:sz w:val="20"/>
              </w:rPr>
            </w:pPr>
          </w:p>
        </w:tc>
        <w:tc>
          <w:tcPr>
            <w:tcW w:w="2127" w:type="dxa"/>
          </w:tcPr>
          <w:p>
            <w:pPr>
              <w:pStyle w:val="9"/>
              <w:spacing w:before="22"/>
              <w:ind w:left="170"/>
              <w:rPr>
                <w:b/>
                <w:sz w:val="21"/>
              </w:rPr>
            </w:pPr>
            <w:r>
              <w:rPr>
                <w:b/>
                <w:spacing w:val="-3"/>
                <w:sz w:val="21"/>
              </w:rPr>
              <w:t>炎后遗症</w:t>
            </w:r>
          </w:p>
        </w:tc>
        <w:tc>
          <w:tcPr>
            <w:tcW w:w="6864" w:type="dxa"/>
          </w:tcPr>
          <w:p>
            <w:pPr>
              <w:pStyle w:val="9"/>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4" w:hRule="atLeast"/>
        </w:trPr>
        <w:tc>
          <w:tcPr>
            <w:tcW w:w="856" w:type="dxa"/>
          </w:tcPr>
          <w:p>
            <w:pPr>
              <w:pStyle w:val="9"/>
              <w:spacing w:before="178" w:line="267" w:lineRule="exact"/>
              <w:ind w:left="50"/>
              <w:rPr>
                <w:b/>
                <w:sz w:val="21"/>
              </w:rPr>
            </w:pPr>
            <w:r>
              <w:rPr>
                <w:b/>
                <w:spacing w:val="-2"/>
                <w:sz w:val="21"/>
              </w:rPr>
              <w:t>7.2.12</w:t>
            </w:r>
          </w:p>
        </w:tc>
        <w:tc>
          <w:tcPr>
            <w:tcW w:w="2127" w:type="dxa"/>
          </w:tcPr>
          <w:p>
            <w:pPr>
              <w:pStyle w:val="9"/>
              <w:spacing w:before="178" w:line="267" w:lineRule="exact"/>
              <w:ind w:left="170"/>
              <w:rPr>
                <w:b/>
                <w:sz w:val="21"/>
              </w:rPr>
            </w:pPr>
            <w:r>
              <w:rPr>
                <w:b/>
                <w:spacing w:val="-3"/>
                <w:sz w:val="21"/>
              </w:rPr>
              <w:t>深度昏迷</w:t>
            </w:r>
          </w:p>
        </w:tc>
        <w:tc>
          <w:tcPr>
            <w:tcW w:w="6864" w:type="dxa"/>
          </w:tcPr>
          <w:p>
            <w:pPr>
              <w:pStyle w:val="9"/>
              <w:spacing w:before="178" w:line="267" w:lineRule="exact"/>
              <w:ind w:left="107"/>
              <w:rPr>
                <w:sz w:val="21"/>
              </w:rPr>
            </w:pPr>
            <w:r>
              <w:rPr>
                <w:spacing w:val="-3"/>
                <w:sz w:val="21"/>
              </w:rPr>
              <w:t>指因疾病或意外伤害导致意识丧失，对外界刺激和体内需求均无反应，昏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91"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64" w:type="dxa"/>
          </w:tcPr>
          <w:p>
            <w:pPr>
              <w:pStyle w:val="9"/>
              <w:spacing w:before="25" w:line="278" w:lineRule="auto"/>
              <w:ind w:left="107" w:right="46"/>
              <w:rPr>
                <w:sz w:val="21"/>
              </w:rPr>
            </w:pPr>
            <w:r>
              <w:rPr>
                <w:sz w:val="21"/>
              </w:rPr>
              <w:t>迷程度按格拉斯哥昏迷分级（</w:t>
            </w:r>
            <w:r>
              <w:rPr>
                <w:rFonts w:ascii="Times New Roman" w:eastAsia="Times New Roman"/>
                <w:sz w:val="21"/>
              </w:rPr>
              <w:t>Glasgow</w:t>
            </w:r>
            <w:r>
              <w:rPr>
                <w:rFonts w:ascii="Times New Roman" w:eastAsia="Times New Roman"/>
                <w:spacing w:val="16"/>
                <w:sz w:val="21"/>
              </w:rPr>
              <w:t xml:space="preserve"> </w:t>
            </w:r>
            <w:r>
              <w:rPr>
                <w:rFonts w:ascii="Times New Roman" w:eastAsia="Times New Roman"/>
                <w:sz w:val="21"/>
              </w:rPr>
              <w:t>Coma</w:t>
            </w:r>
            <w:r>
              <w:rPr>
                <w:rFonts w:ascii="Times New Roman" w:eastAsia="Times New Roman"/>
                <w:spacing w:val="27"/>
                <w:sz w:val="21"/>
              </w:rPr>
              <w:t xml:space="preserve"> </w:t>
            </w:r>
            <w:r>
              <w:rPr>
                <w:rFonts w:ascii="Times New Roman" w:eastAsia="Times New Roman"/>
                <w:sz w:val="21"/>
              </w:rPr>
              <w:t>Scale</w:t>
            </w:r>
            <w:r>
              <w:rPr>
                <w:sz w:val="21"/>
              </w:rPr>
              <w:t>）</w:t>
            </w:r>
            <w:r>
              <w:rPr>
                <w:spacing w:val="-14"/>
                <w:sz w:val="21"/>
              </w:rPr>
              <w:t xml:space="preserve">结果为 </w:t>
            </w:r>
            <w:r>
              <w:rPr>
                <w:rFonts w:ascii="Times New Roman" w:eastAsia="Times New Roman"/>
                <w:sz w:val="21"/>
              </w:rPr>
              <w:t>5</w:t>
            </w:r>
            <w:r>
              <w:rPr>
                <w:rFonts w:ascii="Times New Roman" w:eastAsia="Times New Roman"/>
                <w:spacing w:val="-7"/>
                <w:sz w:val="21"/>
              </w:rPr>
              <w:t xml:space="preserve"> </w:t>
            </w:r>
            <w:r>
              <w:rPr>
                <w:spacing w:val="-18"/>
                <w:sz w:val="21"/>
              </w:rPr>
              <w:t xml:space="preserve">分或 </w:t>
            </w:r>
            <w:r>
              <w:rPr>
                <w:rFonts w:ascii="Times New Roman" w:eastAsia="Times New Roman"/>
                <w:sz w:val="21"/>
              </w:rPr>
              <w:t>5</w:t>
            </w:r>
            <w:r>
              <w:rPr>
                <w:rFonts w:ascii="Times New Roman" w:eastAsia="Times New Roman"/>
                <w:spacing w:val="-4"/>
                <w:sz w:val="21"/>
              </w:rPr>
              <w:t xml:space="preserve"> </w:t>
            </w:r>
            <w:r>
              <w:rPr>
                <w:sz w:val="21"/>
              </w:rPr>
              <w:t>分以</w:t>
            </w:r>
            <w:r>
              <w:rPr>
                <w:spacing w:val="-1"/>
                <w:sz w:val="21"/>
              </w:rPr>
              <w:t xml:space="preserve">下，且已经持续使用呼吸机及其他生命维持系统 </w:t>
            </w:r>
            <w:r>
              <w:rPr>
                <w:rFonts w:ascii="Times New Roman" w:eastAsia="Times New Roman"/>
                <w:sz w:val="21"/>
              </w:rPr>
              <w:t xml:space="preserve">96 </w:t>
            </w:r>
            <w:r>
              <w:rPr>
                <w:sz w:val="21"/>
              </w:rPr>
              <w:t>小时以上。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4"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64" w:type="dxa"/>
          </w:tcPr>
          <w:p>
            <w:pPr>
              <w:pStyle w:val="9"/>
              <w:spacing w:before="170"/>
              <w:ind w:left="107"/>
              <w:rPr>
                <w:rFonts w:ascii="黑体" w:eastAsia="黑体"/>
                <w:sz w:val="21"/>
              </w:rPr>
            </w:pPr>
            <w:r>
              <w:rPr>
                <w:rFonts w:ascii="黑体" w:eastAsia="黑体"/>
                <w:color w:val="000000"/>
                <w:spacing w:val="-3"/>
                <w:sz w:val="21"/>
                <w:shd w:val="clear" w:color="auto" w:fill="D9D9D9"/>
              </w:rPr>
              <w:t>因酗酒或药物滥用导致的深度昏迷不在保障范围内。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6" w:hRule="atLeast"/>
        </w:trPr>
        <w:tc>
          <w:tcPr>
            <w:tcW w:w="856" w:type="dxa"/>
          </w:tcPr>
          <w:p>
            <w:pPr>
              <w:pStyle w:val="9"/>
              <w:spacing w:before="10"/>
              <w:rPr>
                <w:sz w:val="14"/>
              </w:rPr>
            </w:pPr>
          </w:p>
          <w:p>
            <w:pPr>
              <w:pStyle w:val="9"/>
              <w:spacing w:line="267" w:lineRule="exact"/>
              <w:ind w:left="50"/>
              <w:rPr>
                <w:b/>
                <w:sz w:val="21"/>
              </w:rPr>
            </w:pPr>
            <w:r>
              <w:rPr>
                <w:b/>
                <w:spacing w:val="-2"/>
                <w:sz w:val="21"/>
              </w:rPr>
              <w:t>7.2.13</w:t>
            </w:r>
          </w:p>
        </w:tc>
        <w:tc>
          <w:tcPr>
            <w:tcW w:w="2127" w:type="dxa"/>
          </w:tcPr>
          <w:p>
            <w:pPr>
              <w:pStyle w:val="9"/>
              <w:spacing w:before="10"/>
              <w:rPr>
                <w:sz w:val="14"/>
              </w:rPr>
            </w:pPr>
          </w:p>
          <w:p>
            <w:pPr>
              <w:pStyle w:val="9"/>
              <w:spacing w:line="267" w:lineRule="exact"/>
              <w:ind w:left="170"/>
              <w:rPr>
                <w:b/>
                <w:sz w:val="21"/>
              </w:rPr>
            </w:pPr>
            <w:r>
              <w:rPr>
                <w:b/>
                <w:spacing w:val="-3"/>
                <w:sz w:val="21"/>
              </w:rPr>
              <w:t>双耳失聪</w:t>
            </w:r>
          </w:p>
        </w:tc>
        <w:tc>
          <w:tcPr>
            <w:tcW w:w="6864" w:type="dxa"/>
          </w:tcPr>
          <w:p>
            <w:pPr>
              <w:pStyle w:val="9"/>
              <w:spacing w:before="180" w:line="277" w:lineRule="exact"/>
              <w:ind w:left="107"/>
              <w:rPr>
                <w:sz w:val="21"/>
              </w:rPr>
            </w:pPr>
            <w:r>
              <w:rPr>
                <w:w w:val="95"/>
                <w:sz w:val="21"/>
              </w:rPr>
              <w:t>指因疾病或意外伤害导致双耳听力</w:t>
            </w:r>
            <w:r>
              <w:rPr>
                <w:b/>
                <w:w w:val="95"/>
                <w:sz w:val="21"/>
              </w:rPr>
              <w:t>永久不可逆</w:t>
            </w:r>
            <w:r>
              <w:rPr>
                <w:b/>
                <w:w w:val="95"/>
                <w:position w:val="11"/>
                <w:sz w:val="11"/>
              </w:rPr>
              <w:t>43</w:t>
            </w:r>
            <w:r>
              <w:rPr>
                <w:w w:val="95"/>
                <w:sz w:val="21"/>
              </w:rPr>
              <w:t>性丧失，纯音听力测</w:t>
            </w:r>
            <w:r>
              <w:rPr>
                <w:spacing w:val="-5"/>
                <w:w w:val="95"/>
                <w:sz w:val="21"/>
              </w:rPr>
              <w:t>试在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3"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64" w:type="dxa"/>
          </w:tcPr>
          <w:p>
            <w:pPr>
              <w:pStyle w:val="9"/>
              <w:spacing w:before="25" w:line="278" w:lineRule="auto"/>
              <w:ind w:left="107" w:right="48"/>
              <w:rPr>
                <w:sz w:val="21"/>
              </w:rPr>
            </w:pPr>
            <w:r>
              <w:rPr>
                <w:rFonts w:ascii="Times New Roman" w:eastAsia="Times New Roman"/>
                <w:sz w:val="21"/>
              </w:rPr>
              <w:t>500</w:t>
            </w:r>
            <w:r>
              <w:rPr>
                <w:rFonts w:ascii="Times New Roman" w:eastAsia="Times New Roman"/>
                <w:spacing w:val="-14"/>
                <w:sz w:val="21"/>
              </w:rPr>
              <w:t xml:space="preserve"> </w:t>
            </w:r>
            <w:r>
              <w:rPr>
                <w:sz w:val="21"/>
              </w:rPr>
              <w:t>赫兹、</w:t>
            </w:r>
            <w:r>
              <w:rPr>
                <w:rFonts w:ascii="Times New Roman" w:eastAsia="Times New Roman"/>
                <w:sz w:val="21"/>
              </w:rPr>
              <w:t>1000</w:t>
            </w:r>
            <w:r>
              <w:rPr>
                <w:rFonts w:ascii="Times New Roman" w:eastAsia="Times New Roman"/>
                <w:spacing w:val="-13"/>
                <w:sz w:val="21"/>
              </w:rPr>
              <w:t xml:space="preserve"> </w:t>
            </w:r>
            <w:r>
              <w:rPr>
                <w:spacing w:val="-14"/>
                <w:sz w:val="21"/>
              </w:rPr>
              <w:t xml:space="preserve">赫兹和 </w:t>
            </w:r>
            <w:r>
              <w:rPr>
                <w:rFonts w:ascii="Times New Roman" w:eastAsia="Times New Roman"/>
                <w:sz w:val="21"/>
              </w:rPr>
              <w:t>2000</w:t>
            </w:r>
            <w:r>
              <w:rPr>
                <w:rFonts w:ascii="Times New Roman" w:eastAsia="Times New Roman"/>
                <w:spacing w:val="-13"/>
                <w:sz w:val="21"/>
              </w:rPr>
              <w:t xml:space="preserve"> </w:t>
            </w:r>
            <w:r>
              <w:rPr>
                <w:spacing w:val="-4"/>
                <w:sz w:val="21"/>
              </w:rPr>
              <w:t xml:space="preserve">赫兹语音频率下，平均听阈大于 </w:t>
            </w:r>
            <w:r>
              <w:rPr>
                <w:rFonts w:ascii="Times New Roman" w:eastAsia="Times New Roman"/>
                <w:sz w:val="21"/>
              </w:rPr>
              <w:t>90</w:t>
            </w:r>
            <w:r>
              <w:rPr>
                <w:rFonts w:ascii="Times New Roman" w:eastAsia="Times New Roman"/>
                <w:spacing w:val="-9"/>
                <w:sz w:val="21"/>
              </w:rPr>
              <w:t xml:space="preserve"> </w:t>
            </w:r>
            <w:r>
              <w:rPr>
                <w:sz w:val="21"/>
              </w:rPr>
              <w:t>分贝，且</w:t>
            </w:r>
            <w:r>
              <w:rPr>
                <w:spacing w:val="-2"/>
                <w:sz w:val="21"/>
              </w:rPr>
              <w:t>经声导抗检测或听觉诱发电位检测等检查结果证实。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64" w:type="dxa"/>
          </w:tcPr>
          <w:p>
            <w:pPr>
              <w:pStyle w:val="9"/>
              <w:spacing w:before="178"/>
              <w:ind w:left="107"/>
              <w:rPr>
                <w:rFonts w:ascii="黑体" w:eastAsia="黑体"/>
                <w:sz w:val="21"/>
              </w:rPr>
            </w:pPr>
            <w:r>
              <w:rPr>
                <w:rFonts w:ascii="黑体" w:eastAsia="黑体"/>
                <w:color w:val="000000"/>
                <w:spacing w:val="-6"/>
                <w:sz w:val="21"/>
                <w:shd w:val="clear" w:color="auto" w:fill="D9D9D9"/>
              </w:rPr>
              <w:t xml:space="preserve">申请理赔时，被保险人年龄须在 </w:t>
            </w:r>
            <w:r>
              <w:rPr>
                <w:rFonts w:ascii="黑体" w:eastAsia="黑体"/>
                <w:color w:val="000000"/>
                <w:spacing w:val="-4"/>
                <w:sz w:val="21"/>
                <w:shd w:val="clear" w:color="auto" w:fill="D9D9D9"/>
              </w:rPr>
              <w:t>3</w:t>
            </w:r>
            <w:r>
              <w:rPr>
                <w:rFonts w:ascii="黑体" w:eastAsia="黑体"/>
                <w:color w:val="000000"/>
                <w:spacing w:val="-9"/>
                <w:sz w:val="21"/>
                <w:shd w:val="clear" w:color="auto" w:fill="D9D9D9"/>
              </w:rPr>
              <w:t xml:space="preserve"> 周岁以上，并须提供理赔当时的听力丧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64" w:type="dxa"/>
          </w:tcPr>
          <w:p>
            <w:pPr>
              <w:pStyle w:val="9"/>
              <w:spacing w:before="22"/>
              <w:ind w:left="107"/>
              <w:rPr>
                <w:rFonts w:ascii="黑体" w:eastAsia="黑体"/>
                <w:sz w:val="21"/>
              </w:rPr>
            </w:pPr>
            <w:r>
              <w:rPr>
                <w:rFonts w:ascii="黑体" w:eastAsia="黑体"/>
                <w:color w:val="000000"/>
                <w:spacing w:val="-3"/>
                <w:sz w:val="21"/>
                <w:shd w:val="clear" w:color="auto" w:fill="D9D9D9"/>
              </w:rPr>
              <w:t>失诊断及检查证据。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856" w:type="dxa"/>
          </w:tcPr>
          <w:p>
            <w:pPr>
              <w:pStyle w:val="9"/>
              <w:spacing w:before="178"/>
              <w:ind w:left="50"/>
              <w:rPr>
                <w:b/>
                <w:sz w:val="21"/>
              </w:rPr>
            </w:pPr>
            <w:r>
              <w:rPr>
                <w:b/>
                <w:spacing w:val="-2"/>
                <w:sz w:val="21"/>
              </w:rPr>
              <w:t>7.2.14</w:t>
            </w:r>
          </w:p>
        </w:tc>
        <w:tc>
          <w:tcPr>
            <w:tcW w:w="2127" w:type="dxa"/>
          </w:tcPr>
          <w:p>
            <w:pPr>
              <w:pStyle w:val="9"/>
              <w:spacing w:before="178"/>
              <w:ind w:left="170"/>
              <w:rPr>
                <w:b/>
                <w:sz w:val="21"/>
              </w:rPr>
            </w:pPr>
            <w:r>
              <w:rPr>
                <w:b/>
                <w:spacing w:val="-3"/>
                <w:sz w:val="21"/>
              </w:rPr>
              <w:t>双目失明</w:t>
            </w:r>
          </w:p>
        </w:tc>
        <w:tc>
          <w:tcPr>
            <w:tcW w:w="6864" w:type="dxa"/>
          </w:tcPr>
          <w:p>
            <w:pPr>
              <w:pStyle w:val="9"/>
              <w:spacing w:before="178"/>
              <w:ind w:left="107"/>
              <w:rPr>
                <w:sz w:val="21"/>
              </w:rPr>
            </w:pPr>
            <w:r>
              <w:rPr>
                <w:spacing w:val="-3"/>
                <w:sz w:val="21"/>
              </w:rPr>
              <w:t>指因疾病或意外伤害导致双眼视力永久不可逆性丧失，双眼中较好眼须满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64" w:type="dxa"/>
          </w:tcPr>
          <w:p>
            <w:pPr>
              <w:pStyle w:val="9"/>
              <w:spacing w:before="22" w:line="267" w:lineRule="exact"/>
              <w:ind w:left="107"/>
              <w:rPr>
                <w:sz w:val="21"/>
              </w:rPr>
            </w:pPr>
            <w:r>
              <w:rPr>
                <w:spacing w:val="-3"/>
                <w:sz w:val="21"/>
              </w:rPr>
              <w:t>足下列至少一项条件：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3"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64" w:type="dxa"/>
          </w:tcPr>
          <w:p>
            <w:pPr>
              <w:pStyle w:val="9"/>
              <w:numPr>
                <w:ilvl w:val="0"/>
                <w:numId w:val="24"/>
              </w:numPr>
              <w:tabs>
                <w:tab w:val="left" w:pos="739"/>
              </w:tabs>
              <w:spacing w:before="25" w:after="0" w:line="240" w:lineRule="auto"/>
              <w:ind w:left="738" w:right="0" w:hanging="632"/>
              <w:jc w:val="left"/>
              <w:rPr>
                <w:sz w:val="21"/>
              </w:rPr>
            </w:pPr>
            <w:r>
              <w:rPr>
                <w:spacing w:val="-4"/>
                <w:sz w:val="21"/>
              </w:rPr>
              <w:t>眼球缺失或摘除；</w:t>
            </w:r>
          </w:p>
          <w:p>
            <w:pPr>
              <w:pStyle w:val="9"/>
              <w:numPr>
                <w:ilvl w:val="0"/>
                <w:numId w:val="24"/>
              </w:numPr>
              <w:tabs>
                <w:tab w:val="left" w:pos="735"/>
              </w:tabs>
              <w:spacing w:before="43" w:after="0" w:line="236" w:lineRule="exact"/>
              <w:ind w:left="734" w:right="0" w:hanging="628"/>
              <w:jc w:val="left"/>
              <w:rPr>
                <w:sz w:val="21"/>
              </w:rPr>
            </w:pPr>
            <w:r>
              <w:rPr>
                <w:spacing w:val="-9"/>
                <w:sz w:val="21"/>
              </w:rPr>
              <w:t xml:space="preserve">矫正视力低于 </w:t>
            </w:r>
            <w:r>
              <w:rPr>
                <w:rFonts w:ascii="Times New Roman" w:eastAsia="Times New Roman"/>
                <w:spacing w:val="-2"/>
                <w:sz w:val="21"/>
              </w:rPr>
              <w:t>0.02</w:t>
            </w:r>
            <w:r>
              <w:rPr>
                <w:spacing w:val="-2"/>
                <w:sz w:val="21"/>
              </w:rPr>
              <w:t>（</w:t>
            </w:r>
            <w:r>
              <w:rPr>
                <w:spacing w:val="-3"/>
                <w:sz w:val="21"/>
              </w:rPr>
              <w:t>采用国际标准视力表，如果使用其他视力表应</w:t>
            </w:r>
          </w:p>
        </w:tc>
      </w:tr>
    </w:tbl>
    <w:p>
      <w:pPr>
        <w:pStyle w:val="4"/>
        <w:spacing w:before="63"/>
        <w:ind w:left="484" w:right="1746"/>
        <w:jc w:val="center"/>
      </w:pPr>
      <w:r>
        <w:rPr>
          <w:spacing w:val="-2"/>
        </w:rPr>
        <w:t>进行换算</w:t>
      </w:r>
      <w:r>
        <w:rPr>
          <w:spacing w:val="-113"/>
        </w:rPr>
        <w:t>）</w:t>
      </w:r>
      <w:r>
        <w:rPr>
          <w:spacing w:val="-5"/>
        </w:rPr>
        <w:t>；</w:t>
      </w:r>
    </w:p>
    <w:p>
      <w:pPr>
        <w:pStyle w:val="4"/>
        <w:spacing w:before="2"/>
        <w:rPr>
          <w:sz w:val="10"/>
        </w:rPr>
      </w:pPr>
      <w:r>
        <w:drawing>
          <wp:anchor distT="0" distB="0" distL="0" distR="0" simplePos="0" relativeHeight="251660288" behindDoc="0" locked="0" layoutInCell="1" allowOverlap="1">
            <wp:simplePos x="0" y="0"/>
            <wp:positionH relativeFrom="page">
              <wp:posOffset>685800</wp:posOffset>
            </wp:positionH>
            <wp:positionV relativeFrom="paragraph">
              <wp:posOffset>97790</wp:posOffset>
            </wp:positionV>
            <wp:extent cx="1828800" cy="6350"/>
            <wp:effectExtent l="0" t="0" r="0" b="0"/>
            <wp:wrapTopAndBottom/>
            <wp:docPr id="6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19.png"/>
                    <pic:cNvPicPr>
                      <a:picLocks noChangeAspect="1"/>
                    </pic:cNvPicPr>
                  </pic:nvPicPr>
                  <pic:blipFill>
                    <a:blip r:embed="rId24" cstate="print"/>
                    <a:stretch>
                      <a:fillRect/>
                    </a:stretch>
                  </pic:blipFill>
                  <pic:spPr>
                    <a:xfrm>
                      <a:off x="0" y="0"/>
                      <a:ext cx="1828799" cy="6096"/>
                    </a:xfrm>
                    <a:prstGeom prst="rect">
                      <a:avLst/>
                    </a:prstGeom>
                  </pic:spPr>
                </pic:pic>
              </a:graphicData>
            </a:graphic>
          </wp:anchor>
        </w:drawing>
      </w:r>
    </w:p>
    <w:p>
      <w:pPr>
        <w:spacing w:before="156"/>
        <w:ind w:left="220" w:right="0" w:firstLine="0"/>
        <w:jc w:val="left"/>
        <w:rPr>
          <w:sz w:val="18"/>
        </w:rPr>
      </w:pPr>
      <w:r>
        <w:rPr>
          <w:rFonts w:ascii="Times New Roman" w:eastAsia="Times New Roman"/>
          <w:position w:val="6"/>
          <w:sz w:val="12"/>
        </w:rPr>
        <w:t>43</w:t>
      </w:r>
      <w:r>
        <w:rPr>
          <w:rFonts w:ascii="Times New Roman" w:eastAsia="Times New Roman"/>
          <w:spacing w:val="53"/>
          <w:position w:val="6"/>
          <w:sz w:val="12"/>
        </w:rPr>
        <w:t xml:space="preserve"> </w:t>
      </w:r>
      <w:r>
        <w:rPr>
          <w:b/>
          <w:sz w:val="18"/>
        </w:rPr>
        <w:t>永久不可逆</w:t>
      </w:r>
      <w:r>
        <w:rPr>
          <w:spacing w:val="-2"/>
          <w:sz w:val="18"/>
        </w:rPr>
        <w:t xml:space="preserve">指自疾病明确诊断或意外伤害发生之日起，经过积极治疗 </w:t>
      </w:r>
      <w:r>
        <w:rPr>
          <w:rFonts w:ascii="Times New Roman" w:eastAsia="Times New Roman"/>
          <w:sz w:val="18"/>
        </w:rPr>
        <w:t>180</w:t>
      </w:r>
      <w:r>
        <w:rPr>
          <w:rFonts w:ascii="Times New Roman" w:eastAsia="Times New Roman"/>
          <w:spacing w:val="-3"/>
          <w:sz w:val="18"/>
        </w:rPr>
        <w:t xml:space="preserve"> </w:t>
      </w:r>
      <w:r>
        <w:rPr>
          <w:spacing w:val="-1"/>
          <w:sz w:val="18"/>
        </w:rPr>
        <w:t>日后，仍无法通过现有医疗手段恢复。</w:t>
      </w:r>
    </w:p>
    <w:p>
      <w:pPr>
        <w:spacing w:after="0"/>
        <w:jc w:val="left"/>
        <w:rPr>
          <w:sz w:val="18"/>
        </w:rPr>
        <w:sectPr>
          <w:pgSz w:w="11910" w:h="16840"/>
          <w:pgMar w:top="1380" w:right="840" w:bottom="280" w:left="860" w:header="720" w:footer="720" w:gutter="0"/>
          <w:cols w:space="720" w:num="1"/>
        </w:sectPr>
      </w:pPr>
    </w:p>
    <w:p>
      <w:pPr>
        <w:pStyle w:val="4"/>
        <w:spacing w:before="67"/>
        <w:ind w:left="3260"/>
      </w:pPr>
      <w:r>
        <w:t>（</w:t>
      </w:r>
      <w:r>
        <w:rPr>
          <w:rFonts w:ascii="Times New Roman" w:eastAsia="Times New Roman"/>
        </w:rPr>
        <w:t>3</w:t>
      </w:r>
      <w:r>
        <w:t>）</w:t>
      </w:r>
      <w:r>
        <w:rPr>
          <w:spacing w:val="-11"/>
        </w:rPr>
        <w:t xml:space="preserve"> 视野半径小于 </w:t>
      </w:r>
      <w:r>
        <w:rPr>
          <w:rFonts w:ascii="Times New Roman" w:eastAsia="Times New Roman"/>
        </w:rPr>
        <w:t>5</w:t>
      </w:r>
      <w:r>
        <w:rPr>
          <w:rFonts w:ascii="Times New Roman" w:eastAsia="Times New Roman"/>
          <w:spacing w:val="-3"/>
        </w:rPr>
        <w:t xml:space="preserve"> </w:t>
      </w:r>
      <w:r>
        <w:rPr>
          <w:spacing w:val="-5"/>
        </w:rPr>
        <w:t>度。</w:t>
      </w:r>
    </w:p>
    <w:p>
      <w:pPr>
        <w:pStyle w:val="4"/>
        <w:spacing w:before="1"/>
        <w:rPr>
          <w:sz w:val="22"/>
        </w:rPr>
      </w:pPr>
    </w:p>
    <w:p>
      <w:pPr>
        <w:pStyle w:val="4"/>
        <w:spacing w:before="72" w:line="278" w:lineRule="auto"/>
        <w:ind w:left="3260" w:right="236"/>
        <w:rPr>
          <w:rFonts w:ascii="黑体" w:eastAsia="黑体"/>
        </w:rPr>
      </w:pPr>
      <w:r>
        <w:rPr>
          <w:rFonts w:ascii="黑体" w:eastAsia="黑体"/>
          <w:color w:val="000000"/>
          <w:spacing w:val="-5"/>
          <w:shd w:val="clear" w:color="auto" w:fill="D9D9D9"/>
        </w:rPr>
        <w:t xml:space="preserve">申请理赔时，被保险人年龄须在 </w:t>
      </w:r>
      <w:r>
        <w:rPr>
          <w:rFonts w:ascii="黑体" w:eastAsia="黑体"/>
          <w:color w:val="000000"/>
          <w:spacing w:val="-2"/>
          <w:shd w:val="clear" w:color="auto" w:fill="D9D9D9"/>
        </w:rPr>
        <w:t>3</w:t>
      </w:r>
      <w:r>
        <w:rPr>
          <w:rFonts w:ascii="黑体" w:eastAsia="黑体"/>
          <w:color w:val="000000"/>
          <w:spacing w:val="-9"/>
          <w:shd w:val="clear" w:color="auto" w:fill="D9D9D9"/>
        </w:rPr>
        <w:t xml:space="preserve"> 周岁以上，并须提供理赔当时的视力丧</w:t>
      </w:r>
      <w:r>
        <w:rPr>
          <w:rFonts w:ascii="黑体" w:eastAsia="黑体"/>
          <w:color w:val="000000"/>
          <w:spacing w:val="80"/>
          <w:w w:val="150"/>
          <w:shd w:val="clear" w:color="auto" w:fill="D9D9D9"/>
        </w:rPr>
        <w:t xml:space="preserve">                                    </w:t>
      </w:r>
      <w:r>
        <w:rPr>
          <w:rFonts w:ascii="黑体" w:eastAsia="黑体"/>
          <w:color w:val="000000"/>
          <w:spacing w:val="-2"/>
          <w:shd w:val="clear" w:color="auto" w:fill="D9D9D9"/>
        </w:rPr>
        <w:t>失诊断及检查证据。</w:t>
      </w:r>
    </w:p>
    <w:p>
      <w:pPr>
        <w:pStyle w:val="4"/>
        <w:spacing w:before="7"/>
        <w:rPr>
          <w:rFonts w:ascii="黑体"/>
          <w:sz w:val="23"/>
        </w:rPr>
      </w:pPr>
    </w:p>
    <w:p>
      <w:pPr>
        <w:pStyle w:val="8"/>
        <w:numPr>
          <w:ilvl w:val="2"/>
          <w:numId w:val="25"/>
        </w:numPr>
        <w:tabs>
          <w:tab w:val="left" w:pos="1196"/>
          <w:tab w:val="left" w:pos="1197"/>
          <w:tab w:val="left" w:pos="3260"/>
        </w:tabs>
        <w:spacing w:before="0" w:after="0" w:line="240" w:lineRule="auto"/>
        <w:ind w:left="1196" w:right="0" w:hanging="977"/>
        <w:jc w:val="left"/>
        <w:rPr>
          <w:sz w:val="21"/>
        </w:rPr>
      </w:pPr>
      <w:r>
        <w:rPr>
          <w:b/>
          <w:sz w:val="21"/>
        </w:rPr>
        <w:t>瘫</w:t>
      </w:r>
      <w:r>
        <w:rPr>
          <w:b/>
          <w:spacing w:val="-10"/>
          <w:sz w:val="21"/>
        </w:rPr>
        <w:t>痪</w:t>
      </w:r>
      <w:r>
        <w:rPr>
          <w:b/>
          <w:sz w:val="21"/>
        </w:rPr>
        <w:tab/>
      </w:r>
      <w:r>
        <w:rPr>
          <w:w w:val="95"/>
          <w:sz w:val="21"/>
        </w:rPr>
        <w:t>指因疾病或意外伤害导致两肢或两肢以上</w:t>
      </w:r>
      <w:r>
        <w:rPr>
          <w:b/>
          <w:w w:val="95"/>
          <w:sz w:val="21"/>
        </w:rPr>
        <w:t>肢体机能永久完全丧失</w:t>
      </w:r>
      <w:r>
        <w:rPr>
          <w:b/>
          <w:w w:val="95"/>
          <w:position w:val="11"/>
          <w:sz w:val="11"/>
        </w:rPr>
        <w:t>44</w:t>
      </w:r>
      <w:r>
        <w:rPr>
          <w:spacing w:val="-10"/>
          <w:w w:val="95"/>
          <w:sz w:val="21"/>
        </w:rPr>
        <w:t>。</w:t>
      </w:r>
    </w:p>
    <w:p>
      <w:pPr>
        <w:pStyle w:val="4"/>
        <w:spacing w:before="9"/>
        <w:rPr>
          <w:sz w:val="27"/>
        </w:rPr>
      </w:pPr>
    </w:p>
    <w:p>
      <w:pPr>
        <w:pStyle w:val="8"/>
        <w:numPr>
          <w:ilvl w:val="2"/>
          <w:numId w:val="25"/>
        </w:numPr>
        <w:tabs>
          <w:tab w:val="left" w:pos="1196"/>
          <w:tab w:val="left" w:pos="1197"/>
          <w:tab w:val="left" w:pos="3260"/>
        </w:tabs>
        <w:spacing w:before="0" w:after="0" w:line="240" w:lineRule="auto"/>
        <w:ind w:left="1196" w:right="0" w:hanging="977"/>
        <w:jc w:val="left"/>
        <w:rPr>
          <w:sz w:val="21"/>
        </w:rPr>
      </w:pPr>
      <w:r>
        <w:rPr>
          <w:b/>
          <w:sz w:val="21"/>
        </w:rPr>
        <w:t>心脏瓣膜手</w:t>
      </w:r>
      <w:r>
        <w:rPr>
          <w:b/>
          <w:spacing w:val="-10"/>
          <w:sz w:val="21"/>
        </w:rPr>
        <w:t>术</w:t>
      </w:r>
      <w:r>
        <w:rPr>
          <w:b/>
          <w:sz w:val="21"/>
        </w:rPr>
        <w:tab/>
      </w:r>
      <w:r>
        <w:rPr>
          <w:spacing w:val="-2"/>
          <w:sz w:val="21"/>
        </w:rPr>
        <w:t>指被保险人为治疗心脏瓣膜疾病，实际接受了开胸进行的心脏瓣膜置换</w:t>
      </w:r>
      <w:r>
        <w:rPr>
          <w:spacing w:val="-10"/>
          <w:sz w:val="21"/>
        </w:rPr>
        <w:t>或</w:t>
      </w:r>
    </w:p>
    <w:p>
      <w:pPr>
        <w:pStyle w:val="4"/>
        <w:spacing w:before="43"/>
        <w:ind w:left="3260"/>
      </w:pPr>
      <w:r>
        <w:rPr>
          <w:spacing w:val="-4"/>
        </w:rPr>
        <w:t>修复的手术。</w:t>
      </w:r>
    </w:p>
    <w:p>
      <w:pPr>
        <w:pStyle w:val="4"/>
        <w:spacing w:before="9"/>
        <w:rPr>
          <w:sz w:val="27"/>
        </w:rPr>
      </w:pPr>
    </w:p>
    <w:p>
      <w:pPr>
        <w:pStyle w:val="8"/>
        <w:numPr>
          <w:ilvl w:val="2"/>
          <w:numId w:val="25"/>
        </w:numPr>
        <w:tabs>
          <w:tab w:val="left" w:pos="1196"/>
          <w:tab w:val="left" w:pos="1197"/>
          <w:tab w:val="left" w:pos="3260"/>
        </w:tabs>
        <w:spacing w:before="0" w:after="0" w:line="240" w:lineRule="auto"/>
        <w:ind w:left="1196" w:right="0" w:hanging="977"/>
        <w:jc w:val="left"/>
        <w:rPr>
          <w:sz w:val="21"/>
        </w:rPr>
      </w:pPr>
      <w:r>
        <w:rPr>
          <w:b/>
          <w:sz w:val="21"/>
        </w:rPr>
        <w:t>严重阿尔茨海默</w:t>
      </w:r>
      <w:r>
        <w:rPr>
          <w:b/>
          <w:spacing w:val="-10"/>
          <w:sz w:val="21"/>
        </w:rPr>
        <w:t>病</w:t>
      </w:r>
      <w:r>
        <w:rPr>
          <w:b/>
          <w:sz w:val="21"/>
        </w:rPr>
        <w:tab/>
      </w:r>
      <w:r>
        <w:rPr>
          <w:spacing w:val="-2"/>
          <w:sz w:val="21"/>
        </w:rPr>
        <w:t>指因大脑进行性、不可逆性改变导致智能严重衰退或丧失，临床表现为</w:t>
      </w:r>
      <w:r>
        <w:rPr>
          <w:spacing w:val="-10"/>
          <w:sz w:val="21"/>
        </w:rPr>
        <w:t>明</w:t>
      </w:r>
    </w:p>
    <w:p>
      <w:pPr>
        <w:pStyle w:val="4"/>
        <w:spacing w:before="43" w:line="278" w:lineRule="auto"/>
        <w:ind w:left="3260" w:right="131"/>
      </w:pPr>
      <w:r>
        <w:rPr>
          <w:spacing w:val="-5"/>
          <w:w w:val="100"/>
        </w:rPr>
        <w:t>显的认知能力障碍、行为异常和社交能力减退，其日常生活必须持续受到</w:t>
      </w:r>
      <w:r>
        <w:rPr>
          <w:spacing w:val="-7"/>
          <w:w w:val="100"/>
        </w:rPr>
        <w:t>他人监护。严重阿尔茨海默病须由头颅断层扫描</w:t>
      </w:r>
      <w:r>
        <w:rPr>
          <w:w w:val="100"/>
        </w:rPr>
        <w:t>（</w:t>
      </w:r>
      <w:r>
        <w:rPr>
          <w:rFonts w:ascii="Times New Roman" w:eastAsia="Times New Roman"/>
          <w:spacing w:val="-2"/>
          <w:w w:val="100"/>
        </w:rPr>
        <w:t>C</w:t>
      </w:r>
      <w:r>
        <w:rPr>
          <w:rFonts w:ascii="Times New Roman" w:eastAsia="Times New Roman"/>
          <w:w w:val="100"/>
        </w:rPr>
        <w:t>T</w:t>
      </w:r>
      <w:r>
        <w:rPr>
          <w:spacing w:val="-108"/>
          <w:w w:val="100"/>
        </w:rPr>
        <w:t>）</w:t>
      </w:r>
      <w:r>
        <w:rPr>
          <w:spacing w:val="-8"/>
          <w:w w:val="100"/>
        </w:rPr>
        <w:t>、核磁共振</w:t>
      </w:r>
      <w:r>
        <w:rPr>
          <w:spacing w:val="-3"/>
          <w:w w:val="100"/>
        </w:rPr>
        <w:t>（</w:t>
      </w:r>
      <w:r>
        <w:rPr>
          <w:rFonts w:ascii="Times New Roman" w:eastAsia="Times New Roman"/>
          <w:spacing w:val="-1"/>
          <w:w w:val="100"/>
        </w:rPr>
        <w:t>MR</w:t>
      </w:r>
      <w:r>
        <w:rPr>
          <w:rFonts w:ascii="Times New Roman" w:eastAsia="Times New Roman"/>
          <w:spacing w:val="-3"/>
          <w:w w:val="100"/>
        </w:rPr>
        <w:t>I</w:t>
      </w:r>
      <w:r>
        <w:rPr>
          <w:w w:val="100"/>
        </w:rPr>
        <w:t>）或正电子发射断层扫描</w:t>
      </w:r>
      <w:r>
        <w:rPr>
          <w:spacing w:val="-3"/>
          <w:w w:val="100"/>
        </w:rPr>
        <w:t>（</w:t>
      </w:r>
      <w:r>
        <w:rPr>
          <w:rFonts w:ascii="Times New Roman" w:eastAsia="Times New Roman"/>
          <w:spacing w:val="-1"/>
          <w:w w:val="100"/>
        </w:rPr>
        <w:t>PE</w:t>
      </w:r>
      <w:r>
        <w:rPr>
          <w:rFonts w:ascii="Times New Roman" w:eastAsia="Times New Roman"/>
          <w:spacing w:val="1"/>
          <w:w w:val="100"/>
        </w:rPr>
        <w:t>T</w:t>
      </w:r>
      <w:r>
        <w:rPr>
          <w:w w:val="100"/>
        </w:rPr>
        <w:t>）</w:t>
      </w:r>
      <w:r>
        <w:rPr>
          <w:spacing w:val="-1"/>
          <w:w w:val="100"/>
        </w:rPr>
        <w:t>等影像学检查结果证实，并须满足自主生</w:t>
      </w:r>
      <w:r>
        <w:rPr>
          <w:spacing w:val="-5"/>
          <w:w w:val="100"/>
        </w:rPr>
        <w:t>活能力完全丧失，无法独立完成六项基本日常生活活动中的三项或三项以</w:t>
      </w:r>
      <w:r>
        <w:rPr>
          <w:spacing w:val="-4"/>
          <w:w w:val="100"/>
        </w:rPr>
        <w:t>上的条件。</w:t>
      </w:r>
    </w:p>
    <w:p>
      <w:pPr>
        <w:pStyle w:val="4"/>
        <w:spacing w:before="9"/>
        <w:rPr>
          <w:sz w:val="18"/>
        </w:rPr>
      </w:pPr>
    </w:p>
    <w:p>
      <w:pPr>
        <w:pStyle w:val="4"/>
        <w:spacing w:before="72"/>
        <w:ind w:left="3260"/>
        <w:rPr>
          <w:rFonts w:ascii="黑体" w:eastAsia="黑体"/>
        </w:rPr>
      </w:pPr>
      <w:r>
        <w:rPr>
          <w:rFonts w:ascii="黑体" w:eastAsia="黑体"/>
          <w:color w:val="000000"/>
          <w:spacing w:val="-3"/>
          <w:shd w:val="clear" w:color="auto" w:fill="D9D9D9"/>
        </w:rPr>
        <w:t>神经官能症和精神疾病不在保障范围内。</w:t>
      </w:r>
    </w:p>
    <w:p>
      <w:pPr>
        <w:pStyle w:val="4"/>
        <w:spacing w:before="9"/>
        <w:rPr>
          <w:rFonts w:ascii="黑体"/>
          <w:sz w:val="27"/>
        </w:rPr>
      </w:pPr>
    </w:p>
    <w:p>
      <w:pPr>
        <w:pStyle w:val="8"/>
        <w:numPr>
          <w:ilvl w:val="2"/>
          <w:numId w:val="25"/>
        </w:numPr>
        <w:tabs>
          <w:tab w:val="left" w:pos="1196"/>
          <w:tab w:val="left" w:pos="1197"/>
          <w:tab w:val="left" w:pos="3260"/>
        </w:tabs>
        <w:spacing w:before="0" w:after="0" w:line="240" w:lineRule="auto"/>
        <w:ind w:left="1196" w:right="0" w:hanging="977"/>
        <w:jc w:val="left"/>
        <w:rPr>
          <w:sz w:val="21"/>
        </w:rPr>
      </w:pPr>
      <w:r>
        <w:rPr>
          <w:b/>
          <w:sz w:val="21"/>
        </w:rPr>
        <w:t>严重脑损</w:t>
      </w:r>
      <w:r>
        <w:rPr>
          <w:b/>
          <w:spacing w:val="-10"/>
          <w:sz w:val="21"/>
        </w:rPr>
        <w:t>伤</w:t>
      </w:r>
      <w:r>
        <w:rPr>
          <w:b/>
          <w:sz w:val="21"/>
        </w:rPr>
        <w:tab/>
      </w:r>
      <w:r>
        <w:rPr>
          <w:spacing w:val="-2"/>
          <w:sz w:val="21"/>
        </w:rPr>
        <w:t>指因头部遭受机械性外力，引起脑重要部位损伤，导致神经系统永久性</w:t>
      </w:r>
      <w:r>
        <w:rPr>
          <w:spacing w:val="-10"/>
          <w:sz w:val="21"/>
        </w:rPr>
        <w:t>的</w:t>
      </w:r>
    </w:p>
    <w:p>
      <w:pPr>
        <w:pStyle w:val="4"/>
        <w:spacing w:before="43" w:line="278" w:lineRule="auto"/>
        <w:ind w:left="3260" w:right="236"/>
      </w:pPr>
      <w:r>
        <w:rPr>
          <w:spacing w:val="-2"/>
        </w:rPr>
        <w:t>功能障碍。严重脑损伤须由头颅断层扫描</w:t>
      </w:r>
      <w:r>
        <w:rPr>
          <w:spacing w:val="24"/>
        </w:rPr>
        <w:t>（</w:t>
      </w:r>
      <w:r>
        <w:rPr>
          <w:rFonts w:ascii="Times New Roman" w:eastAsia="Times New Roman"/>
          <w:spacing w:val="24"/>
        </w:rPr>
        <w:t>C</w:t>
      </w:r>
      <w:r>
        <w:rPr>
          <w:rFonts w:ascii="Times New Roman" w:eastAsia="Times New Roman"/>
          <w:spacing w:val="25"/>
        </w:rPr>
        <w:t>T</w:t>
      </w:r>
      <w:r>
        <w:rPr>
          <w:spacing w:val="-82"/>
        </w:rPr>
        <w:t>）</w:t>
      </w:r>
      <w:r>
        <w:rPr>
          <w:spacing w:val="-2"/>
        </w:rPr>
        <w:t>、核磁共振（</w:t>
      </w:r>
      <w:r>
        <w:rPr>
          <w:rFonts w:ascii="Times New Roman" w:eastAsia="Times New Roman"/>
          <w:spacing w:val="-2"/>
        </w:rPr>
        <w:t>MRI</w:t>
      </w:r>
      <w:r>
        <w:rPr>
          <w:spacing w:val="-2"/>
        </w:rPr>
        <w:t>）或正电子发射断层扫描（</w:t>
      </w:r>
      <w:r>
        <w:rPr>
          <w:rFonts w:ascii="Times New Roman" w:eastAsia="Times New Roman"/>
          <w:spacing w:val="-2"/>
        </w:rPr>
        <w:t>PET</w:t>
      </w:r>
      <w:r>
        <w:rPr>
          <w:spacing w:val="-2"/>
        </w:rPr>
        <w:t>）等影像学检查结果证实。</w:t>
      </w:r>
    </w:p>
    <w:p>
      <w:pPr>
        <w:pStyle w:val="4"/>
        <w:spacing w:before="4"/>
        <w:rPr>
          <w:sz w:val="24"/>
        </w:rPr>
      </w:pPr>
    </w:p>
    <w:p>
      <w:pPr>
        <w:pStyle w:val="8"/>
        <w:numPr>
          <w:ilvl w:val="2"/>
          <w:numId w:val="25"/>
        </w:numPr>
        <w:tabs>
          <w:tab w:val="left" w:pos="1196"/>
          <w:tab w:val="left" w:pos="1197"/>
          <w:tab w:val="left" w:pos="3260"/>
        </w:tabs>
        <w:spacing w:before="0" w:after="0" w:line="240" w:lineRule="auto"/>
        <w:ind w:left="1196" w:right="0" w:hanging="977"/>
        <w:jc w:val="left"/>
        <w:rPr>
          <w:sz w:val="21"/>
        </w:rPr>
      </w:pPr>
      <w:r>
        <w:rPr>
          <w:b/>
          <w:sz w:val="21"/>
        </w:rPr>
        <w:t>严重帕金森</w:t>
      </w:r>
      <w:r>
        <w:rPr>
          <w:b/>
          <w:spacing w:val="-10"/>
          <w:sz w:val="21"/>
        </w:rPr>
        <w:t>病</w:t>
      </w:r>
      <w:r>
        <w:rPr>
          <w:b/>
          <w:sz w:val="21"/>
        </w:rPr>
        <w:tab/>
      </w:r>
      <w:r>
        <w:rPr>
          <w:spacing w:val="-2"/>
          <w:sz w:val="21"/>
        </w:rPr>
        <w:t>是一种中枢神经系统的退行性疾病，临床表现为震颤麻痹、共济失调等</w:t>
      </w:r>
      <w:r>
        <w:rPr>
          <w:spacing w:val="-10"/>
          <w:sz w:val="21"/>
        </w:rPr>
        <w:t>。</w:t>
      </w:r>
    </w:p>
    <w:p>
      <w:pPr>
        <w:pStyle w:val="4"/>
        <w:spacing w:before="43"/>
        <w:ind w:left="3260"/>
      </w:pPr>
      <w:r>
        <w:rPr>
          <w:spacing w:val="-3"/>
        </w:rPr>
        <w:t>须满足下列全部条件：</w:t>
      </w:r>
    </w:p>
    <w:p>
      <w:pPr>
        <w:pStyle w:val="8"/>
        <w:numPr>
          <w:ilvl w:val="3"/>
          <w:numId w:val="25"/>
        </w:numPr>
        <w:tabs>
          <w:tab w:val="left" w:pos="3892"/>
        </w:tabs>
        <w:spacing w:before="43" w:after="0" w:line="240" w:lineRule="auto"/>
        <w:ind w:left="3892" w:right="0" w:hanging="632"/>
        <w:jc w:val="left"/>
        <w:rPr>
          <w:sz w:val="21"/>
        </w:rPr>
      </w:pPr>
      <w:r>
        <w:rPr>
          <w:spacing w:val="-3"/>
          <w:sz w:val="21"/>
        </w:rPr>
        <w:t>药物治疗无法控制病情；</w:t>
      </w:r>
    </w:p>
    <w:p>
      <w:pPr>
        <w:pStyle w:val="8"/>
        <w:numPr>
          <w:ilvl w:val="3"/>
          <w:numId w:val="25"/>
        </w:numPr>
        <w:tabs>
          <w:tab w:val="left" w:pos="3885"/>
        </w:tabs>
        <w:spacing w:before="43" w:after="0" w:line="278" w:lineRule="auto"/>
        <w:ind w:left="3892" w:right="236" w:hanging="632"/>
        <w:jc w:val="left"/>
        <w:rPr>
          <w:sz w:val="21"/>
        </w:rPr>
      </w:pPr>
      <w:r>
        <w:rPr>
          <w:spacing w:val="-2"/>
          <w:sz w:val="21"/>
        </w:rPr>
        <w:t>自主生活能力完全丧失，无法独立完成六项基本日常生活活动中的三项或三项以上。</w:t>
      </w:r>
    </w:p>
    <w:p>
      <w:pPr>
        <w:pStyle w:val="4"/>
        <w:spacing w:before="9"/>
        <w:rPr>
          <w:sz w:val="18"/>
        </w:rPr>
      </w:pPr>
    </w:p>
    <w:p>
      <w:pPr>
        <w:pStyle w:val="4"/>
        <w:spacing w:before="72"/>
        <w:ind w:left="3260"/>
        <w:rPr>
          <w:rFonts w:ascii="黑体" w:eastAsia="黑体"/>
        </w:rPr>
      </w:pPr>
      <w:r>
        <w:rPr>
          <w:rFonts w:ascii="黑体" w:eastAsia="黑体"/>
          <w:color w:val="000000"/>
          <w:spacing w:val="-3"/>
          <w:shd w:val="clear" w:color="auto" w:fill="D9D9D9"/>
        </w:rPr>
        <w:t>继发性帕金森综合征不在保障范围内。</w:t>
      </w:r>
    </w:p>
    <w:p>
      <w:pPr>
        <w:pStyle w:val="4"/>
        <w:spacing w:before="9"/>
        <w:rPr>
          <w:rFonts w:ascii="黑体"/>
          <w:sz w:val="27"/>
        </w:rPr>
      </w:pPr>
    </w:p>
    <w:p>
      <w:pPr>
        <w:pStyle w:val="8"/>
        <w:numPr>
          <w:ilvl w:val="2"/>
          <w:numId w:val="25"/>
        </w:numPr>
        <w:tabs>
          <w:tab w:val="left" w:pos="1196"/>
          <w:tab w:val="left" w:pos="1197"/>
          <w:tab w:val="left" w:pos="3260"/>
        </w:tabs>
        <w:spacing w:before="0" w:after="0" w:line="240" w:lineRule="auto"/>
        <w:ind w:left="1196" w:right="0" w:hanging="977"/>
        <w:jc w:val="left"/>
        <w:rPr>
          <w:sz w:val="21"/>
        </w:rPr>
      </w:pPr>
      <w:r>
        <w:rPr>
          <w:b/>
          <w:spacing w:val="-2"/>
          <w:sz w:val="21"/>
        </w:rPr>
        <w:t>严重</w:t>
      </w:r>
      <w:r>
        <w:rPr>
          <w:rFonts w:ascii="Times New Roman" w:hAnsi="Times New Roman" w:eastAsia="Times New Roman"/>
          <w:b/>
          <w:spacing w:val="-2"/>
          <w:sz w:val="21"/>
        </w:rPr>
        <w:t>Ⅲ</w:t>
      </w:r>
      <w:r>
        <w:rPr>
          <w:b/>
          <w:spacing w:val="-2"/>
          <w:sz w:val="21"/>
        </w:rPr>
        <w:t>度烧</w:t>
      </w:r>
      <w:r>
        <w:rPr>
          <w:b/>
          <w:spacing w:val="-10"/>
          <w:sz w:val="21"/>
        </w:rPr>
        <w:t>伤</w:t>
      </w:r>
      <w:r>
        <w:rPr>
          <w:b/>
          <w:sz w:val="21"/>
        </w:rPr>
        <w:tab/>
      </w:r>
      <w:r>
        <w:rPr>
          <w:spacing w:val="-2"/>
          <w:sz w:val="21"/>
        </w:rPr>
        <w:t>指烧伤程度为</w:t>
      </w:r>
      <w:r>
        <w:rPr>
          <w:rFonts w:ascii="Times New Roman" w:hAnsi="Times New Roman" w:eastAsia="Times New Roman"/>
          <w:spacing w:val="-2"/>
          <w:sz w:val="21"/>
        </w:rPr>
        <w:t>Ⅲ</w:t>
      </w:r>
      <w:r>
        <w:rPr>
          <w:spacing w:val="-2"/>
          <w:sz w:val="21"/>
        </w:rPr>
        <w:t>度</w:t>
      </w:r>
      <w:r>
        <w:rPr>
          <w:spacing w:val="-106"/>
          <w:sz w:val="21"/>
        </w:rPr>
        <w:t>，</w:t>
      </w:r>
      <w:r>
        <w:rPr>
          <w:spacing w:val="-2"/>
          <w:sz w:val="21"/>
        </w:rPr>
        <w:t>且</w:t>
      </w:r>
      <w:r>
        <w:rPr>
          <w:rFonts w:ascii="Times New Roman" w:hAnsi="Times New Roman" w:eastAsia="Times New Roman"/>
          <w:spacing w:val="-2"/>
          <w:sz w:val="21"/>
        </w:rPr>
        <w:t>Ⅲ</w:t>
      </w:r>
      <w:r>
        <w:rPr>
          <w:spacing w:val="-2"/>
          <w:sz w:val="21"/>
        </w:rPr>
        <w:t>度烧伤的面积达到全身体表面积的</w:t>
      </w:r>
      <w:r>
        <w:rPr>
          <w:spacing w:val="-43"/>
          <w:sz w:val="21"/>
        </w:rPr>
        <w:t xml:space="preserve"> </w:t>
      </w:r>
      <w:r>
        <w:rPr>
          <w:rFonts w:ascii="Times New Roman" w:hAnsi="Times New Roman" w:eastAsia="Times New Roman"/>
          <w:spacing w:val="-2"/>
          <w:sz w:val="21"/>
        </w:rPr>
        <w:t>20</w:t>
      </w:r>
      <w:r>
        <w:rPr>
          <w:spacing w:val="-2"/>
          <w:sz w:val="21"/>
        </w:rPr>
        <w:t>％或</w:t>
      </w:r>
      <w:r>
        <w:rPr>
          <w:spacing w:val="-42"/>
          <w:sz w:val="21"/>
        </w:rPr>
        <w:t xml:space="preserve"> </w:t>
      </w:r>
      <w:r>
        <w:rPr>
          <w:rFonts w:ascii="Times New Roman" w:hAnsi="Times New Roman" w:eastAsia="Times New Roman"/>
          <w:spacing w:val="-2"/>
          <w:sz w:val="21"/>
        </w:rPr>
        <w:t>20</w:t>
      </w:r>
      <w:r>
        <w:rPr>
          <w:spacing w:val="-2"/>
          <w:sz w:val="21"/>
        </w:rPr>
        <w:t>％</w:t>
      </w:r>
      <w:r>
        <w:rPr>
          <w:spacing w:val="-10"/>
          <w:sz w:val="21"/>
        </w:rPr>
        <w:t>以</w:t>
      </w:r>
    </w:p>
    <w:p>
      <w:pPr>
        <w:pStyle w:val="4"/>
        <w:spacing w:before="43"/>
        <w:ind w:left="3260"/>
      </w:pPr>
      <w:r>
        <w:rPr>
          <w:spacing w:val="-3"/>
        </w:rPr>
        <w:t>上。体表面积根据《中国新九分法》计算。</w:t>
      </w:r>
    </w:p>
    <w:p>
      <w:pPr>
        <w:pStyle w:val="4"/>
        <w:spacing w:before="1"/>
        <w:rPr>
          <w:sz w:val="22"/>
        </w:rPr>
      </w:pPr>
    </w:p>
    <w:p>
      <w:pPr>
        <w:spacing w:after="0"/>
        <w:rPr>
          <w:sz w:val="22"/>
        </w:rPr>
        <w:sectPr>
          <w:pgSz w:w="11910" w:h="16840"/>
          <w:pgMar w:top="1380" w:right="840" w:bottom="280" w:left="860" w:header="720" w:footer="720" w:gutter="0"/>
          <w:cols w:space="720" w:num="1"/>
        </w:sectPr>
      </w:pPr>
    </w:p>
    <w:p>
      <w:pPr>
        <w:pStyle w:val="8"/>
        <w:numPr>
          <w:ilvl w:val="2"/>
          <w:numId w:val="25"/>
        </w:numPr>
        <w:tabs>
          <w:tab w:val="left" w:pos="1196"/>
          <w:tab w:val="left" w:pos="1197"/>
        </w:tabs>
        <w:spacing w:before="72" w:after="0" w:line="240" w:lineRule="auto"/>
        <w:ind w:left="1196" w:right="0" w:hanging="977"/>
        <w:jc w:val="left"/>
        <w:rPr>
          <w:b/>
          <w:sz w:val="21"/>
        </w:rPr>
      </w:pPr>
      <w:r>
        <w:rPr>
          <w:b/>
          <w:spacing w:val="17"/>
          <w:sz w:val="21"/>
        </w:rPr>
        <w:t>严重原发性肺动脉</w:t>
      </w:r>
    </w:p>
    <w:p>
      <w:pPr>
        <w:spacing w:before="43"/>
        <w:ind w:left="1196" w:right="0" w:firstLine="0"/>
        <w:jc w:val="left"/>
        <w:rPr>
          <w:b/>
          <w:sz w:val="21"/>
        </w:rPr>
      </w:pPr>
      <w:r>
        <w:rPr>
          <w:b/>
          <w:spacing w:val="-5"/>
          <w:sz w:val="21"/>
        </w:rPr>
        <w:t>高压</w:t>
      </w:r>
    </w:p>
    <w:p>
      <w:pPr>
        <w:pStyle w:val="4"/>
        <w:spacing w:before="72" w:line="278" w:lineRule="auto"/>
        <w:ind w:left="173" w:right="234"/>
      </w:pPr>
      <w:r>
        <w:br w:type="column"/>
      </w:r>
      <w:r>
        <w:rPr>
          <w:spacing w:val="-2"/>
        </w:rPr>
        <w:t>指不明原因的肺动脉压力持续性增高，进行性发展而导致的慢性疾病，已经造成永久不可逆性的体力活动能力受限，达到美国纽约心脏病学会</w:t>
      </w:r>
    </w:p>
    <w:p>
      <w:pPr>
        <w:pStyle w:val="4"/>
        <w:spacing w:before="7"/>
        <w:rPr>
          <w:sz w:val="23"/>
        </w:rPr>
      </w:pPr>
    </w:p>
    <w:p>
      <w:pPr>
        <w:spacing w:before="0"/>
        <w:ind w:left="173" w:right="0" w:firstLine="0"/>
        <w:jc w:val="left"/>
        <w:rPr>
          <w:sz w:val="21"/>
        </w:rPr>
      </w:pPr>
      <w:r>
        <w:rPr>
          <w:b/>
          <w:w w:val="95"/>
          <w:sz w:val="21"/>
        </w:rPr>
        <w:t>心功能状态分级</w:t>
      </w:r>
      <w:r>
        <w:rPr>
          <w:b/>
          <w:w w:val="95"/>
          <w:position w:val="11"/>
          <w:sz w:val="11"/>
        </w:rPr>
        <w:t>45</w:t>
      </w:r>
      <w:r>
        <w:rPr>
          <w:rFonts w:ascii="Times New Roman" w:hAnsi="Times New Roman" w:eastAsia="Times New Roman"/>
          <w:w w:val="95"/>
          <w:sz w:val="21"/>
        </w:rPr>
        <w:t>Ⅳ</w:t>
      </w:r>
      <w:r>
        <w:rPr>
          <w:w w:val="95"/>
          <w:sz w:val="21"/>
        </w:rPr>
        <w:t>级，且静息状态下肺动脉平均压超过</w:t>
      </w:r>
      <w:r>
        <w:rPr>
          <w:spacing w:val="54"/>
          <w:sz w:val="21"/>
        </w:rPr>
        <w:t xml:space="preserve">  </w:t>
      </w:r>
      <w:r>
        <w:rPr>
          <w:rFonts w:ascii="Times New Roman" w:hAnsi="Times New Roman" w:eastAsia="Times New Roman"/>
          <w:w w:val="95"/>
          <w:sz w:val="21"/>
        </w:rPr>
        <w:t>30mmHg</w:t>
      </w:r>
      <w:r>
        <w:rPr>
          <w:spacing w:val="-10"/>
          <w:w w:val="95"/>
          <w:sz w:val="21"/>
        </w:rPr>
        <w:t>。</w:t>
      </w:r>
    </w:p>
    <w:p>
      <w:pPr>
        <w:spacing w:after="0"/>
        <w:jc w:val="left"/>
        <w:rPr>
          <w:sz w:val="21"/>
        </w:rPr>
        <w:sectPr>
          <w:type w:val="continuous"/>
          <w:pgSz w:w="11910" w:h="16840"/>
          <w:pgMar w:top="500" w:right="840" w:bottom="280" w:left="860" w:header="720" w:footer="720" w:gutter="0"/>
          <w:cols w:equalWidth="0" w:num="2">
            <w:col w:w="3048" w:space="40"/>
            <w:col w:w="7122"/>
          </w:cols>
        </w:sect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spacing w:before="5"/>
        <w:rPr>
          <w:sz w:val="10"/>
        </w:rPr>
      </w:pPr>
    </w:p>
    <w:p>
      <w:pPr>
        <w:pStyle w:val="4"/>
        <w:spacing w:line="20" w:lineRule="exact"/>
        <w:ind w:left="220"/>
        <w:rPr>
          <w:sz w:val="2"/>
        </w:rPr>
      </w:pPr>
      <w:r>
        <w:rPr>
          <w:sz w:val="2"/>
        </w:rPr>
        <w:drawing>
          <wp:inline distT="0" distB="0" distL="0" distR="0">
            <wp:extent cx="1828165" cy="5715"/>
            <wp:effectExtent l="0" t="0" r="0" b="0"/>
            <wp:docPr id="7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19.png"/>
                    <pic:cNvPicPr>
                      <a:picLocks noChangeAspect="1"/>
                    </pic:cNvPicPr>
                  </pic:nvPicPr>
                  <pic:blipFill>
                    <a:blip r:embed="rId24" cstate="print"/>
                    <a:stretch>
                      <a:fillRect/>
                    </a:stretch>
                  </pic:blipFill>
                  <pic:spPr>
                    <a:xfrm>
                      <a:off x="0" y="0"/>
                      <a:ext cx="1828799" cy="6096"/>
                    </a:xfrm>
                    <a:prstGeom prst="rect">
                      <a:avLst/>
                    </a:prstGeom>
                  </pic:spPr>
                </pic:pic>
              </a:graphicData>
            </a:graphic>
          </wp:inline>
        </w:drawing>
      </w:r>
    </w:p>
    <w:p>
      <w:pPr>
        <w:spacing w:before="145" w:line="312" w:lineRule="auto"/>
        <w:ind w:left="445" w:right="234" w:hanging="226"/>
        <w:jc w:val="left"/>
        <w:rPr>
          <w:sz w:val="18"/>
        </w:rPr>
      </w:pPr>
      <w:r>
        <w:rPr>
          <w:rFonts w:ascii="Times New Roman" w:eastAsia="Times New Roman"/>
          <w:position w:val="6"/>
          <w:sz w:val="12"/>
        </w:rPr>
        <w:t>44</w:t>
      </w:r>
      <w:r>
        <w:rPr>
          <w:rFonts w:ascii="Times New Roman" w:eastAsia="Times New Roman"/>
          <w:spacing w:val="33"/>
          <w:position w:val="6"/>
          <w:sz w:val="12"/>
        </w:rPr>
        <w:t xml:space="preserve"> </w:t>
      </w:r>
      <w:r>
        <w:rPr>
          <w:b/>
          <w:sz w:val="18"/>
        </w:rPr>
        <w:t>肢体机能永久完全丧失</w:t>
      </w:r>
      <w:r>
        <w:rPr>
          <w:spacing w:val="-6"/>
          <w:sz w:val="18"/>
        </w:rPr>
        <w:t xml:space="preserve">指疾病明确诊断 </w:t>
      </w:r>
      <w:r>
        <w:rPr>
          <w:rFonts w:ascii="Times New Roman" w:eastAsia="Times New Roman"/>
          <w:sz w:val="18"/>
        </w:rPr>
        <w:t>180</w:t>
      </w:r>
      <w:r>
        <w:rPr>
          <w:rFonts w:ascii="Times New Roman" w:eastAsia="Times New Roman"/>
          <w:spacing w:val="-7"/>
          <w:sz w:val="18"/>
        </w:rPr>
        <w:t xml:space="preserve"> </w:t>
      </w:r>
      <w:r>
        <w:rPr>
          <w:spacing w:val="-5"/>
          <w:sz w:val="18"/>
        </w:rPr>
        <w:t xml:space="preserve">日后或意外伤害发生 </w:t>
      </w:r>
      <w:r>
        <w:rPr>
          <w:rFonts w:ascii="Times New Roman" w:eastAsia="Times New Roman"/>
          <w:sz w:val="18"/>
        </w:rPr>
        <w:t>180</w:t>
      </w:r>
      <w:r>
        <w:rPr>
          <w:rFonts w:ascii="Times New Roman" w:eastAsia="Times New Roman"/>
          <w:spacing w:val="-7"/>
          <w:sz w:val="18"/>
        </w:rPr>
        <w:t xml:space="preserve"> </w:t>
      </w:r>
      <w:r>
        <w:rPr>
          <w:sz w:val="18"/>
        </w:rPr>
        <w:t>日后，每肢三大关节中的两大关节仍然完全僵硬，或</w:t>
      </w:r>
      <w:r>
        <w:rPr>
          <w:spacing w:val="-2"/>
          <w:sz w:val="18"/>
        </w:rPr>
        <w:t>不能随意识活动。</w:t>
      </w:r>
    </w:p>
    <w:p>
      <w:pPr>
        <w:spacing w:after="0" w:line="312" w:lineRule="auto"/>
        <w:jc w:val="left"/>
        <w:rPr>
          <w:sz w:val="18"/>
        </w:rPr>
        <w:sectPr>
          <w:type w:val="continuous"/>
          <w:pgSz w:w="11910" w:h="16840"/>
          <w:pgMar w:top="500" w:right="840" w:bottom="280" w:left="860" w:header="720" w:footer="720" w:gutter="0"/>
          <w:cols w:space="720" w:num="1"/>
        </w:sectPr>
      </w:pPr>
    </w:p>
    <w:p>
      <w:pPr>
        <w:pStyle w:val="4"/>
        <w:spacing w:before="5"/>
        <w:rPr>
          <w:sz w:val="8"/>
        </w:rPr>
      </w:pPr>
    </w:p>
    <w:p>
      <w:pPr>
        <w:pStyle w:val="8"/>
        <w:numPr>
          <w:ilvl w:val="2"/>
          <w:numId w:val="25"/>
        </w:numPr>
        <w:tabs>
          <w:tab w:val="left" w:pos="1197"/>
        </w:tabs>
        <w:spacing w:before="72" w:after="0" w:line="240" w:lineRule="auto"/>
        <w:ind w:left="1196" w:right="0" w:hanging="977"/>
        <w:jc w:val="both"/>
        <w:rPr>
          <w:sz w:val="21"/>
        </w:rPr>
      </w:pPr>
      <w:r>
        <w:rPr>
          <w:b/>
          <w:spacing w:val="23"/>
          <w:sz w:val="21"/>
        </w:rPr>
        <w:t xml:space="preserve">严重运动神经元病 </w:t>
      </w:r>
      <w:r>
        <w:rPr>
          <w:spacing w:val="-1"/>
          <w:sz w:val="21"/>
        </w:rPr>
        <w:t>是一组中枢神经系统运动神经元的进行性变性疾病，包括进行性脊肌萎缩</w:t>
      </w:r>
    </w:p>
    <w:p>
      <w:pPr>
        <w:pStyle w:val="4"/>
        <w:spacing w:before="43" w:line="278" w:lineRule="auto"/>
        <w:ind w:left="3260" w:right="234"/>
        <w:jc w:val="both"/>
      </w:pPr>
      <w:r>
        <w:rPr>
          <w:spacing w:val="-2"/>
        </w:rPr>
        <w:t>症、进行性延髓麻痹症、原发性侧索硬化症、肌萎缩性侧索硬化症。须满足自主生活能力完全丧失，无法独立完成六项基本日常生活活动中的三项或三项以上的条件。</w:t>
      </w:r>
    </w:p>
    <w:p>
      <w:pPr>
        <w:pStyle w:val="4"/>
        <w:spacing w:before="4"/>
        <w:rPr>
          <w:sz w:val="24"/>
        </w:rPr>
      </w:pPr>
    </w:p>
    <w:p>
      <w:pPr>
        <w:pStyle w:val="8"/>
        <w:numPr>
          <w:ilvl w:val="2"/>
          <w:numId w:val="25"/>
        </w:numPr>
        <w:tabs>
          <w:tab w:val="left" w:pos="1196"/>
          <w:tab w:val="left" w:pos="1197"/>
          <w:tab w:val="left" w:pos="3260"/>
        </w:tabs>
        <w:spacing w:before="0" w:after="0" w:line="240" w:lineRule="auto"/>
        <w:ind w:left="1196" w:right="0" w:hanging="977"/>
        <w:jc w:val="left"/>
        <w:rPr>
          <w:sz w:val="21"/>
        </w:rPr>
      </w:pPr>
      <w:r>
        <w:rPr>
          <w:b/>
          <w:sz w:val="21"/>
        </w:rPr>
        <w:t>语言能力丧</w:t>
      </w:r>
      <w:r>
        <w:rPr>
          <w:b/>
          <w:spacing w:val="-10"/>
          <w:sz w:val="21"/>
        </w:rPr>
        <w:t>失</w:t>
      </w:r>
      <w:r>
        <w:rPr>
          <w:b/>
          <w:sz w:val="21"/>
        </w:rPr>
        <w:tab/>
      </w:r>
      <w:r>
        <w:rPr>
          <w:sz w:val="21"/>
        </w:rPr>
        <w:t>指因疾病或意外伤害导致完全丧失语言能力，经过积极治疗至少</w:t>
      </w:r>
      <w:r>
        <w:rPr>
          <w:spacing w:val="-27"/>
          <w:sz w:val="21"/>
        </w:rPr>
        <w:t xml:space="preserve"> </w:t>
      </w:r>
      <w:r>
        <w:rPr>
          <w:rFonts w:ascii="Times New Roman" w:eastAsia="Times New Roman"/>
          <w:sz w:val="21"/>
        </w:rPr>
        <w:t>12</w:t>
      </w:r>
      <w:r>
        <w:rPr>
          <w:rFonts w:ascii="Times New Roman" w:eastAsia="Times New Roman"/>
          <w:spacing w:val="21"/>
          <w:sz w:val="21"/>
        </w:rPr>
        <w:t xml:space="preserve"> </w:t>
      </w:r>
      <w:r>
        <w:rPr>
          <w:sz w:val="21"/>
        </w:rPr>
        <w:t>个</w:t>
      </w:r>
      <w:r>
        <w:rPr>
          <w:spacing w:val="-10"/>
          <w:sz w:val="21"/>
        </w:rPr>
        <w:t>月</w:t>
      </w:r>
    </w:p>
    <w:p>
      <w:pPr>
        <w:pStyle w:val="4"/>
        <w:spacing w:before="43"/>
        <w:ind w:left="3260"/>
      </w:pPr>
      <w:r>
        <w:rPr>
          <w:spacing w:val="-2"/>
        </w:rPr>
        <w:t>（声带完全切除不受此时间限制</w:t>
      </w:r>
      <w:r>
        <w:rPr>
          <w:spacing w:val="-106"/>
        </w:rPr>
        <w:t>）</w:t>
      </w:r>
      <w:r>
        <w:rPr>
          <w:spacing w:val="-4"/>
        </w:rPr>
        <w:t>，仍无法通过现有医疗手段恢复。</w:t>
      </w:r>
    </w:p>
    <w:p>
      <w:pPr>
        <w:pStyle w:val="4"/>
        <w:spacing w:before="1"/>
        <w:rPr>
          <w:sz w:val="22"/>
        </w:rPr>
      </w:pPr>
    </w:p>
    <w:p>
      <w:pPr>
        <w:pStyle w:val="4"/>
        <w:spacing w:before="72"/>
        <w:ind w:left="3260"/>
        <w:rPr>
          <w:rFonts w:ascii="黑体" w:eastAsia="黑体"/>
        </w:rPr>
      </w:pPr>
      <w:r>
        <w:rPr>
          <w:rFonts w:ascii="黑体" w:eastAsia="黑体"/>
          <w:color w:val="000000"/>
          <w:spacing w:val="-3"/>
          <w:shd w:val="clear" w:color="auto" w:fill="D9D9D9"/>
        </w:rPr>
        <w:t>精神心理因素所致的语言能力丧失不在保障范围内。</w:t>
      </w:r>
    </w:p>
    <w:p>
      <w:pPr>
        <w:pStyle w:val="4"/>
        <w:spacing w:before="1"/>
        <w:rPr>
          <w:rFonts w:ascii="黑体"/>
          <w:sz w:val="22"/>
        </w:rPr>
      </w:pPr>
    </w:p>
    <w:p>
      <w:pPr>
        <w:pStyle w:val="4"/>
        <w:spacing w:before="72" w:line="278" w:lineRule="auto"/>
        <w:ind w:left="3260" w:right="236"/>
        <w:rPr>
          <w:rFonts w:ascii="黑体" w:eastAsia="黑体"/>
        </w:rPr>
      </w:pPr>
      <w:r>
        <w:rPr>
          <w:rFonts w:ascii="黑体" w:eastAsia="黑体"/>
          <w:color w:val="000000"/>
          <w:spacing w:val="-5"/>
          <w:shd w:val="clear" w:color="auto" w:fill="D9D9D9"/>
        </w:rPr>
        <w:t xml:space="preserve">申请理赔时，被保险人年龄须在 </w:t>
      </w:r>
      <w:r>
        <w:rPr>
          <w:rFonts w:ascii="黑体" w:eastAsia="黑体"/>
          <w:color w:val="000000"/>
          <w:spacing w:val="-2"/>
          <w:shd w:val="clear" w:color="auto" w:fill="D9D9D9"/>
        </w:rPr>
        <w:t>3</w:t>
      </w:r>
      <w:r>
        <w:rPr>
          <w:rFonts w:ascii="黑体" w:eastAsia="黑体"/>
          <w:color w:val="000000"/>
          <w:spacing w:val="-9"/>
          <w:shd w:val="clear" w:color="auto" w:fill="D9D9D9"/>
        </w:rPr>
        <w:t xml:space="preserve"> 周岁以上，并须提供理赔当时的语言能</w:t>
      </w:r>
      <w:r>
        <w:rPr>
          <w:rFonts w:ascii="黑体" w:eastAsia="黑体"/>
          <w:color w:val="000000"/>
          <w:spacing w:val="-2"/>
          <w:shd w:val="clear" w:color="auto" w:fill="D9D9D9"/>
        </w:rPr>
        <w:t>力丧失诊断及检查证据。</w:t>
      </w:r>
    </w:p>
    <w:p>
      <w:pPr>
        <w:pStyle w:val="4"/>
        <w:spacing w:before="9"/>
        <w:rPr>
          <w:rFonts w:ascii="黑体"/>
          <w:sz w:val="18"/>
        </w:rPr>
      </w:pPr>
    </w:p>
    <w:p>
      <w:pPr>
        <w:spacing w:after="0"/>
        <w:rPr>
          <w:rFonts w:ascii="黑体"/>
          <w:sz w:val="18"/>
        </w:rPr>
        <w:sectPr>
          <w:pgSz w:w="11910" w:h="16840"/>
          <w:pgMar w:top="1580" w:right="840" w:bottom="280" w:left="860" w:header="720" w:footer="720" w:gutter="0"/>
          <w:cols w:space="720" w:num="1"/>
        </w:sectPr>
      </w:pPr>
    </w:p>
    <w:p>
      <w:pPr>
        <w:pStyle w:val="8"/>
        <w:numPr>
          <w:ilvl w:val="2"/>
          <w:numId w:val="25"/>
        </w:numPr>
        <w:tabs>
          <w:tab w:val="left" w:pos="1196"/>
          <w:tab w:val="left" w:pos="1197"/>
        </w:tabs>
        <w:spacing w:before="72" w:after="0" w:line="240" w:lineRule="auto"/>
        <w:ind w:left="1196" w:right="0" w:hanging="977"/>
        <w:jc w:val="left"/>
        <w:rPr>
          <w:b/>
          <w:sz w:val="21"/>
        </w:rPr>
      </w:pPr>
      <w:r>
        <w:rPr>
          <w:b/>
          <w:spacing w:val="17"/>
          <w:sz w:val="21"/>
        </w:rPr>
        <w:t>重型再生障碍性贫</w:t>
      </w:r>
    </w:p>
    <w:p>
      <w:pPr>
        <w:spacing w:before="43"/>
        <w:ind w:left="1196" w:right="0" w:firstLine="0"/>
        <w:jc w:val="left"/>
        <w:rPr>
          <w:b/>
          <w:sz w:val="21"/>
        </w:rPr>
      </w:pPr>
      <w:r>
        <w:rPr>
          <w:b/>
          <w:w w:val="100"/>
          <w:sz w:val="21"/>
        </w:rPr>
        <w:t>血</w:t>
      </w:r>
    </w:p>
    <w:p>
      <w:pPr>
        <w:pStyle w:val="4"/>
        <w:spacing w:before="72" w:line="278" w:lineRule="auto"/>
        <w:ind w:left="173" w:right="234"/>
      </w:pPr>
      <w:r>
        <w:br w:type="column"/>
      </w:r>
      <w:r>
        <w:rPr>
          <w:spacing w:val="-2"/>
        </w:rPr>
        <w:t>指因骨髓造血功能慢性持续性衰竭导致的贫血、中性粒细胞减少及血小板减少。须满足下列全部条件：</w:t>
      </w:r>
    </w:p>
    <w:p>
      <w:pPr>
        <w:pStyle w:val="8"/>
        <w:numPr>
          <w:ilvl w:val="0"/>
          <w:numId w:val="26"/>
        </w:numPr>
        <w:tabs>
          <w:tab w:val="left" w:pos="805"/>
        </w:tabs>
        <w:spacing w:before="0" w:after="0" w:line="240" w:lineRule="auto"/>
        <w:ind w:left="804" w:right="0" w:hanging="632"/>
        <w:jc w:val="left"/>
        <w:rPr>
          <w:sz w:val="21"/>
        </w:rPr>
      </w:pPr>
      <w:r>
        <w:rPr>
          <w:spacing w:val="-3"/>
          <w:sz w:val="21"/>
        </w:rPr>
        <w:t>骨髓穿刺检查或骨髓活检结果支持诊断；</w:t>
      </w:r>
    </w:p>
    <w:p>
      <w:pPr>
        <w:pStyle w:val="8"/>
        <w:numPr>
          <w:ilvl w:val="0"/>
          <w:numId w:val="26"/>
        </w:numPr>
        <w:tabs>
          <w:tab w:val="left" w:pos="805"/>
        </w:tabs>
        <w:spacing w:before="43" w:after="0" w:line="240" w:lineRule="auto"/>
        <w:ind w:left="804" w:right="0" w:hanging="632"/>
        <w:jc w:val="left"/>
        <w:rPr>
          <w:sz w:val="21"/>
        </w:rPr>
      </w:pPr>
      <w:r>
        <w:rPr>
          <w:spacing w:val="-3"/>
          <w:sz w:val="21"/>
        </w:rPr>
        <w:t>外周血象须具备以下三项条件：</w:t>
      </w:r>
    </w:p>
    <w:p>
      <w:pPr>
        <w:pStyle w:val="4"/>
        <w:spacing w:before="42"/>
        <w:ind w:left="804"/>
      </w:pPr>
      <w:r>
        <w:rPr>
          <w:spacing w:val="-2"/>
        </w:rPr>
        <w:t>①中性粒细胞绝对值≤</w:t>
      </w:r>
      <w:r>
        <w:rPr>
          <w:rFonts w:ascii="Times New Roman" w:hAnsi="Times New Roman" w:eastAsia="Times New Roman"/>
          <w:spacing w:val="-2"/>
        </w:rPr>
        <w:t>0.5</w:t>
      </w:r>
      <w:r>
        <w:rPr>
          <w:spacing w:val="-2"/>
        </w:rPr>
        <w:t>×</w:t>
      </w:r>
      <w:r>
        <w:rPr>
          <w:rFonts w:ascii="Times New Roman" w:hAnsi="Times New Roman" w:eastAsia="Times New Roman"/>
          <w:spacing w:val="-2"/>
        </w:rPr>
        <w:t>10</w:t>
      </w:r>
      <w:r>
        <w:rPr>
          <w:rFonts w:ascii="Times New Roman" w:hAnsi="Times New Roman" w:eastAsia="Times New Roman"/>
          <w:spacing w:val="-2"/>
          <w:position w:val="7"/>
          <w:sz w:val="14"/>
        </w:rPr>
        <w:t>9</w:t>
      </w:r>
      <w:r>
        <w:rPr>
          <w:rFonts w:ascii="Times New Roman" w:hAnsi="Times New Roman" w:eastAsia="Times New Roman"/>
          <w:spacing w:val="-2"/>
        </w:rPr>
        <w:t>/L</w:t>
      </w:r>
      <w:r>
        <w:rPr>
          <w:spacing w:val="-2"/>
        </w:rPr>
        <w:t>；</w:t>
      </w:r>
    </w:p>
    <w:p>
      <w:pPr>
        <w:pStyle w:val="4"/>
        <w:spacing w:before="44"/>
        <w:ind w:left="804"/>
      </w:pPr>
      <w:r>
        <w:rPr>
          <w:spacing w:val="-3"/>
        </w:rPr>
        <w:t>②网织红细胞＜</w:t>
      </w:r>
      <w:r>
        <w:rPr>
          <w:rFonts w:ascii="Times New Roman" w:hAnsi="Times New Roman" w:eastAsia="Times New Roman"/>
          <w:spacing w:val="-4"/>
        </w:rPr>
        <w:t>1%</w:t>
      </w:r>
      <w:r>
        <w:rPr>
          <w:spacing w:val="-4"/>
        </w:rPr>
        <w:t>；</w:t>
      </w:r>
    </w:p>
    <w:p>
      <w:pPr>
        <w:pStyle w:val="4"/>
        <w:spacing w:before="42"/>
        <w:ind w:left="804"/>
      </w:pPr>
      <w:r>
        <w:rPr>
          <w:w w:val="95"/>
        </w:rPr>
        <w:t>③血小板绝对值≤</w:t>
      </w:r>
      <w:r>
        <w:rPr>
          <w:rFonts w:ascii="Times New Roman" w:hAnsi="Times New Roman" w:eastAsia="Times New Roman"/>
          <w:w w:val="95"/>
        </w:rPr>
        <w:t>20</w:t>
      </w:r>
      <w:r>
        <w:rPr>
          <w:w w:val="95"/>
        </w:rPr>
        <w:t>×</w:t>
      </w:r>
      <w:r>
        <w:rPr>
          <w:rFonts w:ascii="Times New Roman" w:hAnsi="Times New Roman" w:eastAsia="Times New Roman"/>
          <w:w w:val="95"/>
        </w:rPr>
        <w:t>10</w:t>
      </w:r>
      <w:r>
        <w:rPr>
          <w:rFonts w:ascii="Times New Roman" w:hAnsi="Times New Roman" w:eastAsia="Times New Roman"/>
          <w:w w:val="95"/>
          <w:position w:val="7"/>
          <w:sz w:val="14"/>
        </w:rPr>
        <w:t>9</w:t>
      </w:r>
      <w:r>
        <w:rPr>
          <w:rFonts w:ascii="Times New Roman" w:hAnsi="Times New Roman" w:eastAsia="Times New Roman"/>
          <w:w w:val="95"/>
        </w:rPr>
        <w:t>/L</w:t>
      </w:r>
      <w:r>
        <w:rPr>
          <w:spacing w:val="-10"/>
          <w:w w:val="95"/>
        </w:rPr>
        <w:t>。</w:t>
      </w:r>
    </w:p>
    <w:p>
      <w:pPr>
        <w:spacing w:after="0"/>
        <w:sectPr>
          <w:type w:val="continuous"/>
          <w:pgSz w:w="11910" w:h="16840"/>
          <w:pgMar w:top="500" w:right="840" w:bottom="280" w:left="860" w:header="720" w:footer="720" w:gutter="0"/>
          <w:cols w:equalWidth="0" w:num="2">
            <w:col w:w="3048" w:space="40"/>
            <w:col w:w="7122"/>
          </w:cols>
        </w:sectPr>
      </w:pPr>
    </w:p>
    <w:p>
      <w:pPr>
        <w:pStyle w:val="4"/>
        <w:spacing w:before="4"/>
        <w:rPr>
          <w:sz w:val="20"/>
        </w:rPr>
      </w:pPr>
    </w:p>
    <w:p>
      <w:pPr>
        <w:pStyle w:val="8"/>
        <w:numPr>
          <w:ilvl w:val="2"/>
          <w:numId w:val="25"/>
        </w:numPr>
        <w:tabs>
          <w:tab w:val="left" w:pos="1196"/>
          <w:tab w:val="left" w:pos="1197"/>
          <w:tab w:val="left" w:pos="3260"/>
        </w:tabs>
        <w:spacing w:before="85" w:after="0" w:line="240" w:lineRule="auto"/>
        <w:ind w:left="1196" w:right="0" w:hanging="977"/>
        <w:jc w:val="left"/>
        <w:rPr>
          <w:sz w:val="21"/>
        </w:rPr>
      </w:pPr>
      <w:r>
        <w:rPr>
          <w:b/>
          <w:sz w:val="21"/>
        </w:rPr>
        <w:t>主动脉手</w:t>
      </w:r>
      <w:r>
        <w:rPr>
          <w:b/>
          <w:spacing w:val="-10"/>
          <w:sz w:val="21"/>
        </w:rPr>
        <w:t>术</w:t>
      </w:r>
      <w:r>
        <w:rPr>
          <w:b/>
          <w:sz w:val="21"/>
        </w:rPr>
        <w:tab/>
      </w:r>
      <w:r>
        <w:rPr>
          <w:w w:val="95"/>
          <w:sz w:val="21"/>
        </w:rPr>
        <w:t>指被保险人为治疗</w:t>
      </w:r>
      <w:r>
        <w:rPr>
          <w:b/>
          <w:w w:val="95"/>
          <w:sz w:val="21"/>
        </w:rPr>
        <w:t>主动脉</w:t>
      </w:r>
      <w:r>
        <w:rPr>
          <w:b/>
          <w:w w:val="95"/>
          <w:position w:val="11"/>
          <w:sz w:val="11"/>
        </w:rPr>
        <w:t>46</w:t>
      </w:r>
      <w:r>
        <w:rPr>
          <w:w w:val="95"/>
          <w:sz w:val="21"/>
        </w:rPr>
        <w:t>疾病，实际接受了开胸或开腹进行的切除、</w:t>
      </w:r>
      <w:r>
        <w:rPr>
          <w:spacing w:val="-10"/>
          <w:w w:val="95"/>
          <w:sz w:val="21"/>
        </w:rPr>
        <w:t>置</w:t>
      </w:r>
    </w:p>
    <w:p>
      <w:pPr>
        <w:pStyle w:val="4"/>
        <w:spacing w:before="43"/>
        <w:ind w:left="3260"/>
      </w:pPr>
      <w:r>
        <w:rPr>
          <w:spacing w:val="-3"/>
        </w:rPr>
        <w:t>换、修补病损主动脉血管的手术。</w:t>
      </w:r>
    </w:p>
    <w:p>
      <w:pPr>
        <w:pStyle w:val="4"/>
        <w:spacing w:before="1"/>
        <w:rPr>
          <w:sz w:val="22"/>
        </w:rPr>
      </w:pPr>
    </w:p>
    <w:p>
      <w:pPr>
        <w:pStyle w:val="4"/>
        <w:spacing w:before="72"/>
        <w:ind w:left="3260"/>
        <w:rPr>
          <w:rFonts w:ascii="黑体" w:eastAsia="黑体"/>
        </w:rPr>
      </w:pPr>
      <w:r>
        <w:rPr>
          <w:rFonts w:ascii="黑体" w:eastAsia="黑体"/>
          <w:color w:val="000000"/>
          <w:spacing w:val="-3"/>
          <w:shd w:val="clear" w:color="auto" w:fill="D9D9D9"/>
        </w:rPr>
        <w:t>动脉内血管成形术不在保障范围内。</w:t>
      </w:r>
    </w:p>
    <w:p>
      <w:pPr>
        <w:pStyle w:val="4"/>
        <w:spacing w:before="9"/>
        <w:rPr>
          <w:rFonts w:ascii="黑体"/>
          <w:sz w:val="27"/>
        </w:rPr>
      </w:pPr>
    </w:p>
    <w:p>
      <w:pPr>
        <w:pStyle w:val="8"/>
        <w:numPr>
          <w:ilvl w:val="2"/>
          <w:numId w:val="25"/>
        </w:numPr>
        <w:tabs>
          <w:tab w:val="left" w:pos="1196"/>
          <w:tab w:val="left" w:pos="1197"/>
          <w:tab w:val="left" w:pos="3260"/>
        </w:tabs>
        <w:spacing w:before="0" w:after="0" w:line="240" w:lineRule="auto"/>
        <w:ind w:left="1196" w:right="0" w:hanging="977"/>
        <w:jc w:val="left"/>
        <w:rPr>
          <w:sz w:val="21"/>
        </w:rPr>
      </w:pPr>
      <w:r>
        <w:rPr>
          <w:b/>
          <w:sz w:val="21"/>
        </w:rPr>
        <w:t>严重原发性心肌</w:t>
      </w:r>
      <w:r>
        <w:rPr>
          <w:b/>
          <w:spacing w:val="-10"/>
          <w:sz w:val="21"/>
        </w:rPr>
        <w:t>病</w:t>
      </w:r>
      <w:r>
        <w:rPr>
          <w:b/>
          <w:sz w:val="21"/>
        </w:rPr>
        <w:tab/>
      </w:r>
      <w:r>
        <w:rPr>
          <w:spacing w:val="-2"/>
          <w:sz w:val="21"/>
        </w:rPr>
        <w:t>原发性心肌病是指因各种病因而出现的心室功能障碍。严重的原发性心</w:t>
      </w:r>
      <w:r>
        <w:rPr>
          <w:spacing w:val="-10"/>
          <w:sz w:val="21"/>
        </w:rPr>
        <w:t>肌</w:t>
      </w:r>
    </w:p>
    <w:p>
      <w:pPr>
        <w:pStyle w:val="4"/>
        <w:spacing w:before="43" w:line="278" w:lineRule="auto"/>
        <w:ind w:left="3260" w:right="234"/>
      </w:pPr>
      <w:r>
        <w:rPr>
          <w:spacing w:val="-2"/>
        </w:rPr>
        <w:t>病须由我们认可的医院的心内科专科医生明确诊断，并出现明显的心力衰</w:t>
      </w:r>
      <w:r>
        <w:t>竭（达到美国纽约心脏病学会心功能状态分级</w:t>
      </w:r>
      <w:r>
        <w:rPr>
          <w:rFonts w:ascii="Times New Roman" w:hAnsi="Times New Roman" w:eastAsia="Times New Roman"/>
        </w:rPr>
        <w:t>Ⅳ</w:t>
      </w:r>
      <w:r>
        <w:t>级）</w:t>
      </w:r>
      <w:r>
        <w:rPr>
          <w:spacing w:val="-5"/>
        </w:rPr>
        <w:t xml:space="preserve">持续至少 </w:t>
      </w:r>
      <w:r>
        <w:rPr>
          <w:rFonts w:ascii="Times New Roman" w:hAnsi="Times New Roman" w:eastAsia="Times New Roman"/>
        </w:rPr>
        <w:t xml:space="preserve">90 </w:t>
      </w:r>
      <w:r>
        <w:t>日。</w:t>
      </w:r>
    </w:p>
    <w:p>
      <w:pPr>
        <w:pStyle w:val="4"/>
        <w:spacing w:before="4"/>
        <w:rPr>
          <w:sz w:val="24"/>
        </w:rPr>
      </w:pPr>
    </w:p>
    <w:p>
      <w:pPr>
        <w:pStyle w:val="4"/>
        <w:spacing w:line="278" w:lineRule="auto"/>
        <w:ind w:left="3260" w:right="234"/>
      </w:pPr>
      <w:r>
        <w:rPr>
          <w:spacing w:val="-2"/>
        </w:rPr>
        <w:t>本合同保障范围内的心肌病包括扩张型心肌病、肥厚型心肌病和限制型心</w:t>
      </w:r>
      <w:r>
        <w:rPr>
          <w:spacing w:val="-4"/>
        </w:rPr>
        <w:t>肌病。</w:t>
      </w:r>
    </w:p>
    <w:p>
      <w:pPr>
        <w:pStyle w:val="4"/>
        <w:spacing w:before="10"/>
        <w:rPr>
          <w:sz w:val="18"/>
        </w:rPr>
      </w:pPr>
    </w:p>
    <w:p>
      <w:pPr>
        <w:pStyle w:val="4"/>
        <w:spacing w:before="72"/>
        <w:ind w:left="3260"/>
        <w:rPr>
          <w:rFonts w:ascii="黑体" w:eastAsia="黑体"/>
        </w:rPr>
      </w:pPr>
      <w:r>
        <w:rPr>
          <w:rFonts w:ascii="黑体" w:eastAsia="黑体"/>
          <w:color w:val="000000"/>
          <w:spacing w:val="-3"/>
          <w:shd w:val="clear" w:color="auto" w:fill="D9D9D9"/>
        </w:rPr>
        <w:t>其他类型的原发性心肌病及所有继发性心肌病不在保障范围内。</w:t>
      </w:r>
    </w:p>
    <w:p>
      <w:pPr>
        <w:pStyle w:val="4"/>
        <w:spacing w:before="8"/>
        <w:rPr>
          <w:rFonts w:ascii="黑体"/>
          <w:sz w:val="27"/>
        </w:rPr>
      </w:pPr>
    </w:p>
    <w:p>
      <w:pPr>
        <w:pStyle w:val="8"/>
        <w:numPr>
          <w:ilvl w:val="2"/>
          <w:numId w:val="25"/>
        </w:numPr>
        <w:tabs>
          <w:tab w:val="left" w:pos="976"/>
          <w:tab w:val="left" w:pos="1197"/>
          <w:tab w:val="left" w:pos="3040"/>
        </w:tabs>
        <w:spacing w:before="0" w:after="0" w:line="240" w:lineRule="auto"/>
        <w:ind w:left="1196" w:right="234" w:hanging="1197"/>
        <w:jc w:val="right"/>
        <w:rPr>
          <w:sz w:val="21"/>
        </w:rPr>
      </w:pPr>
      <w:r>
        <w:rPr>
          <w:b/>
          <w:sz w:val="21"/>
        </w:rPr>
        <w:t>慢性呼吸功能衰</w:t>
      </w:r>
      <w:r>
        <w:rPr>
          <w:b/>
          <w:spacing w:val="-10"/>
          <w:sz w:val="21"/>
        </w:rPr>
        <w:t>竭</w:t>
      </w:r>
      <w:r>
        <w:rPr>
          <w:b/>
          <w:sz w:val="21"/>
        </w:rPr>
        <w:tab/>
      </w:r>
      <w:r>
        <w:rPr>
          <w:spacing w:val="-2"/>
          <w:sz w:val="21"/>
        </w:rPr>
        <w:t>指因慢性肺部疾病导致的永久不可逆性的慢性呼吸功能衰竭。慢性呼吸</w:t>
      </w:r>
      <w:r>
        <w:rPr>
          <w:spacing w:val="-10"/>
          <w:sz w:val="21"/>
        </w:rPr>
        <w:t>功</w:t>
      </w:r>
    </w:p>
    <w:p>
      <w:pPr>
        <w:pStyle w:val="4"/>
        <w:spacing w:before="43"/>
        <w:ind w:right="236"/>
        <w:jc w:val="right"/>
      </w:pPr>
      <w:r>
        <w:rPr>
          <w:spacing w:val="-1"/>
        </w:rPr>
        <w:t>能衰竭须由我们认可的医院的专科医生明确诊断，并须满足下列全部条</w:t>
      </w:r>
    </w:p>
    <w:p>
      <w:pPr>
        <w:pStyle w:val="4"/>
        <w:spacing w:before="11"/>
        <w:rPr>
          <w:sz w:val="14"/>
        </w:rPr>
      </w:pPr>
      <w:r>
        <w:drawing>
          <wp:anchor distT="0" distB="0" distL="0" distR="0" simplePos="0" relativeHeight="251660288" behindDoc="0" locked="0" layoutInCell="1" allowOverlap="1">
            <wp:simplePos x="0" y="0"/>
            <wp:positionH relativeFrom="page">
              <wp:posOffset>685800</wp:posOffset>
            </wp:positionH>
            <wp:positionV relativeFrom="paragraph">
              <wp:posOffset>136525</wp:posOffset>
            </wp:positionV>
            <wp:extent cx="6188710" cy="6350"/>
            <wp:effectExtent l="0" t="0" r="0" b="0"/>
            <wp:wrapTopAndBottom/>
            <wp:docPr id="7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23.png"/>
                    <pic:cNvPicPr>
                      <a:picLocks noChangeAspect="1"/>
                    </pic:cNvPicPr>
                  </pic:nvPicPr>
                  <pic:blipFill>
                    <a:blip r:embed="rId28" cstate="print"/>
                    <a:stretch>
                      <a:fillRect/>
                    </a:stretch>
                  </pic:blipFill>
                  <pic:spPr>
                    <a:xfrm>
                      <a:off x="0" y="0"/>
                      <a:ext cx="6188964" cy="6095"/>
                    </a:xfrm>
                    <a:prstGeom prst="rect">
                      <a:avLst/>
                    </a:prstGeom>
                  </pic:spPr>
                </pic:pic>
              </a:graphicData>
            </a:graphic>
          </wp:anchor>
        </w:drawing>
      </w:r>
    </w:p>
    <w:p>
      <w:pPr>
        <w:spacing w:before="156"/>
        <w:ind w:left="220" w:right="0" w:firstLine="0"/>
        <w:jc w:val="left"/>
        <w:rPr>
          <w:sz w:val="18"/>
        </w:rPr>
      </w:pPr>
      <w:r>
        <w:rPr>
          <w:rFonts w:ascii="Times New Roman" w:eastAsia="Times New Roman"/>
          <w:sz w:val="18"/>
          <w:vertAlign w:val="superscript"/>
        </w:rPr>
        <w:t>45</w:t>
      </w:r>
      <w:r>
        <w:rPr>
          <w:rFonts w:ascii="Times New Roman" w:eastAsia="Times New Roman"/>
          <w:spacing w:val="36"/>
          <w:sz w:val="18"/>
          <w:vertAlign w:val="baseline"/>
        </w:rPr>
        <w:t xml:space="preserve"> </w:t>
      </w:r>
      <w:r>
        <w:rPr>
          <w:b/>
          <w:sz w:val="18"/>
          <w:vertAlign w:val="baseline"/>
        </w:rPr>
        <w:t>心功能状态分级</w:t>
      </w:r>
      <w:r>
        <w:rPr>
          <w:spacing w:val="-1"/>
          <w:sz w:val="18"/>
          <w:vertAlign w:val="baseline"/>
        </w:rPr>
        <w:t>指美国纽约心脏病学会心功能状态的分级标准：</w:t>
      </w:r>
    </w:p>
    <w:p>
      <w:pPr>
        <w:spacing w:before="69"/>
        <w:ind w:left="445" w:right="0" w:firstLine="0"/>
        <w:jc w:val="left"/>
        <w:rPr>
          <w:sz w:val="18"/>
        </w:rPr>
      </w:pPr>
      <w:r>
        <w:rPr>
          <w:rFonts w:ascii="Times New Roman" w:hAnsi="Times New Roman" w:eastAsia="Times New Roman"/>
          <w:sz w:val="18"/>
        </w:rPr>
        <w:t>Ⅰ</w:t>
      </w:r>
      <w:r>
        <w:rPr>
          <w:spacing w:val="-1"/>
          <w:sz w:val="18"/>
        </w:rPr>
        <w:t>级：体力活动不受限制，日常活动不引起乏力、心悸、呼吸困难或心绞痛等症状；</w:t>
      </w:r>
    </w:p>
    <w:p>
      <w:pPr>
        <w:spacing w:before="69" w:line="312" w:lineRule="auto"/>
        <w:ind w:left="445" w:right="1667" w:firstLine="0"/>
        <w:jc w:val="left"/>
        <w:rPr>
          <w:sz w:val="18"/>
        </w:rPr>
      </w:pPr>
      <w:r>
        <w:rPr>
          <w:rFonts w:ascii="Times New Roman" w:hAnsi="Times New Roman" w:eastAsia="Times New Roman"/>
          <w:spacing w:val="-2"/>
          <w:sz w:val="18"/>
        </w:rPr>
        <w:t>Ⅱ</w:t>
      </w:r>
      <w:r>
        <w:rPr>
          <w:spacing w:val="-2"/>
          <w:sz w:val="18"/>
        </w:rPr>
        <w:t xml:space="preserve">级：体力活动轻度受限，休息时无症状，日常活动即可引起乏力、心悸、呼吸困难或心绞痛等症状； </w:t>
      </w:r>
      <w:r>
        <w:rPr>
          <w:rFonts w:ascii="Times New Roman" w:hAnsi="Times New Roman" w:eastAsia="Times New Roman"/>
          <w:spacing w:val="-2"/>
          <w:sz w:val="18"/>
        </w:rPr>
        <w:t>Ⅲ</w:t>
      </w:r>
      <w:r>
        <w:rPr>
          <w:spacing w:val="-2"/>
          <w:sz w:val="18"/>
        </w:rPr>
        <w:t>级：体力活动明显受限，休息时无症状，轻于日常的活动即可引起上述症状；</w:t>
      </w:r>
    </w:p>
    <w:p>
      <w:pPr>
        <w:spacing w:before="1"/>
        <w:ind w:left="445" w:right="0" w:firstLine="0"/>
        <w:jc w:val="left"/>
        <w:rPr>
          <w:sz w:val="18"/>
        </w:rPr>
      </w:pPr>
      <w:r>
        <w:rPr>
          <w:rFonts w:ascii="Times New Roman" w:hAnsi="Times New Roman" w:eastAsia="Times New Roman"/>
          <w:sz w:val="18"/>
        </w:rPr>
        <w:t>Ⅳ</w:t>
      </w:r>
      <w:r>
        <w:rPr>
          <w:spacing w:val="-1"/>
          <w:sz w:val="18"/>
        </w:rPr>
        <w:t>级：不能从事任何体力活动，休息时亦有症状，体力活动后加重。</w:t>
      </w:r>
    </w:p>
    <w:p>
      <w:pPr>
        <w:spacing w:before="69"/>
        <w:ind w:left="220" w:right="0" w:firstLine="0"/>
        <w:jc w:val="left"/>
        <w:rPr>
          <w:sz w:val="18"/>
        </w:rPr>
      </w:pPr>
      <w:r>
        <w:rPr>
          <w:rFonts w:ascii="Times New Roman" w:eastAsia="Times New Roman"/>
          <w:sz w:val="18"/>
          <w:vertAlign w:val="superscript"/>
        </w:rPr>
        <w:t>46</w:t>
      </w:r>
      <w:r>
        <w:rPr>
          <w:rFonts w:ascii="Times New Roman" w:eastAsia="Times New Roman"/>
          <w:spacing w:val="43"/>
          <w:sz w:val="18"/>
          <w:vertAlign w:val="baseline"/>
        </w:rPr>
        <w:t xml:space="preserve"> </w:t>
      </w:r>
      <w:r>
        <w:rPr>
          <w:b/>
          <w:sz w:val="18"/>
          <w:vertAlign w:val="baseline"/>
        </w:rPr>
        <w:t>主动脉</w:t>
      </w:r>
      <w:r>
        <w:rPr>
          <w:sz w:val="18"/>
          <w:vertAlign w:val="baseline"/>
        </w:rPr>
        <w:t>指胸主动脉和腹主动脉，</w:t>
      </w:r>
      <w:r>
        <w:rPr>
          <w:rFonts w:ascii="黑体" w:eastAsia="黑体"/>
          <w:color w:val="000000"/>
          <w:sz w:val="18"/>
          <w:shd w:val="clear" w:color="auto" w:fill="D9D9D9"/>
          <w:vertAlign w:val="baseline"/>
        </w:rPr>
        <w:t>不包括胸主动脉和腹主动脉的分支血管</w:t>
      </w:r>
      <w:r>
        <w:rPr>
          <w:color w:val="000000"/>
          <w:spacing w:val="-10"/>
          <w:sz w:val="18"/>
          <w:vertAlign w:val="baseline"/>
        </w:rPr>
        <w:t>。</w:t>
      </w:r>
    </w:p>
    <w:p>
      <w:pPr>
        <w:spacing w:after="0"/>
        <w:jc w:val="left"/>
        <w:rPr>
          <w:sz w:val="18"/>
        </w:rPr>
        <w:sectPr>
          <w:type w:val="continuous"/>
          <w:pgSz w:w="11910" w:h="16840"/>
          <w:pgMar w:top="500" w:right="840" w:bottom="280" w:left="860" w:header="720" w:footer="720" w:gutter="0"/>
          <w:cols w:space="720" w:num="1"/>
        </w:sectPr>
      </w:pPr>
    </w:p>
    <w:p>
      <w:pPr>
        <w:pStyle w:val="4"/>
        <w:spacing w:before="47"/>
        <w:ind w:left="3260"/>
      </w:pPr>
      <w:r>
        <w:rPr>
          <w:spacing w:val="-5"/>
        </w:rPr>
        <w:t>件：</w:t>
      </w:r>
    </w:p>
    <w:p>
      <w:pPr>
        <w:pStyle w:val="8"/>
        <w:numPr>
          <w:ilvl w:val="0"/>
          <w:numId w:val="27"/>
        </w:numPr>
        <w:tabs>
          <w:tab w:val="left" w:pos="3892"/>
        </w:tabs>
        <w:spacing w:before="43" w:after="0" w:line="240" w:lineRule="auto"/>
        <w:ind w:left="3892" w:right="0" w:hanging="632"/>
        <w:jc w:val="left"/>
        <w:rPr>
          <w:sz w:val="21"/>
        </w:rPr>
      </w:pPr>
      <w:r>
        <w:rPr>
          <w:spacing w:val="-3"/>
          <w:sz w:val="21"/>
        </w:rPr>
        <w:t>休息时出现呼吸困难；</w:t>
      </w:r>
    </w:p>
    <w:p>
      <w:pPr>
        <w:pStyle w:val="8"/>
        <w:numPr>
          <w:ilvl w:val="0"/>
          <w:numId w:val="27"/>
        </w:numPr>
        <w:tabs>
          <w:tab w:val="left" w:pos="3892"/>
        </w:tabs>
        <w:spacing w:before="42" w:after="0" w:line="240" w:lineRule="auto"/>
        <w:ind w:left="3892" w:right="0" w:hanging="632"/>
        <w:jc w:val="left"/>
        <w:rPr>
          <w:sz w:val="21"/>
        </w:rPr>
      </w:pPr>
      <w:r>
        <w:rPr>
          <w:spacing w:val="-2"/>
          <w:position w:val="2"/>
          <w:sz w:val="21"/>
        </w:rPr>
        <w:t>动脉血氧分压（</w:t>
      </w:r>
      <w:r>
        <w:rPr>
          <w:rFonts w:ascii="Times New Roman" w:eastAsia="Times New Roman"/>
          <w:spacing w:val="-2"/>
          <w:position w:val="2"/>
          <w:sz w:val="21"/>
        </w:rPr>
        <w:t>PaO</w:t>
      </w:r>
      <w:r>
        <w:rPr>
          <w:rFonts w:ascii="Times New Roman" w:eastAsia="Times New Roman"/>
          <w:spacing w:val="-2"/>
          <w:sz w:val="14"/>
        </w:rPr>
        <w:t>2</w:t>
      </w:r>
      <w:r>
        <w:rPr>
          <w:spacing w:val="-2"/>
          <w:position w:val="2"/>
          <w:sz w:val="21"/>
        </w:rPr>
        <w:t>）＜</w:t>
      </w:r>
      <w:r>
        <w:rPr>
          <w:rFonts w:ascii="Times New Roman" w:eastAsia="Times New Roman"/>
          <w:spacing w:val="-2"/>
          <w:position w:val="2"/>
          <w:sz w:val="21"/>
        </w:rPr>
        <w:t>50mmHg</w:t>
      </w:r>
      <w:r>
        <w:rPr>
          <w:spacing w:val="-2"/>
          <w:position w:val="2"/>
          <w:sz w:val="21"/>
        </w:rPr>
        <w:t>；</w:t>
      </w:r>
    </w:p>
    <w:p>
      <w:pPr>
        <w:pStyle w:val="8"/>
        <w:numPr>
          <w:ilvl w:val="0"/>
          <w:numId w:val="27"/>
        </w:numPr>
        <w:tabs>
          <w:tab w:val="left" w:pos="3892"/>
        </w:tabs>
        <w:spacing w:before="43" w:after="0" w:line="240" w:lineRule="auto"/>
        <w:ind w:left="3892" w:right="0" w:hanging="632"/>
        <w:jc w:val="left"/>
        <w:rPr>
          <w:sz w:val="21"/>
        </w:rPr>
      </w:pPr>
      <w:r>
        <w:rPr>
          <w:spacing w:val="-2"/>
          <w:position w:val="2"/>
          <w:sz w:val="21"/>
        </w:rPr>
        <w:t>动脉血氧饱和度（</w:t>
      </w:r>
      <w:r>
        <w:rPr>
          <w:rFonts w:ascii="Times New Roman" w:eastAsia="Times New Roman"/>
          <w:spacing w:val="-2"/>
          <w:position w:val="2"/>
          <w:sz w:val="21"/>
        </w:rPr>
        <w:t>SaO</w:t>
      </w:r>
      <w:r>
        <w:rPr>
          <w:rFonts w:ascii="Times New Roman" w:eastAsia="Times New Roman"/>
          <w:spacing w:val="-2"/>
          <w:sz w:val="14"/>
        </w:rPr>
        <w:t>2</w:t>
      </w:r>
      <w:r>
        <w:rPr>
          <w:spacing w:val="-2"/>
          <w:position w:val="2"/>
          <w:sz w:val="21"/>
        </w:rPr>
        <w:t>）＜</w:t>
      </w:r>
      <w:r>
        <w:rPr>
          <w:rFonts w:ascii="Times New Roman" w:eastAsia="Times New Roman"/>
          <w:spacing w:val="-2"/>
          <w:position w:val="2"/>
          <w:sz w:val="21"/>
        </w:rPr>
        <w:t>80</w:t>
      </w:r>
      <w:r>
        <w:rPr>
          <w:spacing w:val="-2"/>
          <w:position w:val="2"/>
          <w:sz w:val="21"/>
        </w:rPr>
        <w:t>％；</w:t>
      </w:r>
    </w:p>
    <w:p>
      <w:pPr>
        <w:pStyle w:val="8"/>
        <w:numPr>
          <w:ilvl w:val="0"/>
          <w:numId w:val="27"/>
        </w:numPr>
        <w:tabs>
          <w:tab w:val="left" w:pos="3892"/>
        </w:tabs>
        <w:spacing w:before="44" w:after="0" w:line="240" w:lineRule="auto"/>
        <w:ind w:left="3892" w:right="0" w:hanging="632"/>
        <w:jc w:val="left"/>
        <w:rPr>
          <w:sz w:val="21"/>
        </w:rPr>
      </w:pPr>
      <w:r>
        <w:rPr>
          <w:spacing w:val="-3"/>
          <w:sz w:val="21"/>
        </w:rPr>
        <w:t>因缺氧必须接受持续的输氧治疗。</w:t>
      </w:r>
    </w:p>
    <w:p>
      <w:pPr>
        <w:pStyle w:val="4"/>
        <w:spacing w:before="1"/>
        <w:rPr>
          <w:sz w:val="22"/>
        </w:rPr>
      </w:pPr>
    </w:p>
    <w:p>
      <w:pPr>
        <w:spacing w:after="0"/>
        <w:rPr>
          <w:sz w:val="22"/>
        </w:rPr>
        <w:sectPr>
          <w:pgSz w:w="11910" w:h="16840"/>
          <w:pgMar w:top="1400" w:right="840" w:bottom="280" w:left="860" w:header="720" w:footer="720" w:gutter="0"/>
          <w:cols w:space="720" w:num="1"/>
        </w:sectPr>
      </w:pPr>
    </w:p>
    <w:p>
      <w:pPr>
        <w:pStyle w:val="8"/>
        <w:numPr>
          <w:ilvl w:val="2"/>
          <w:numId w:val="25"/>
        </w:numPr>
        <w:tabs>
          <w:tab w:val="left" w:pos="1196"/>
          <w:tab w:val="left" w:pos="1197"/>
        </w:tabs>
        <w:spacing w:before="72" w:after="0" w:line="240" w:lineRule="auto"/>
        <w:ind w:left="1196" w:right="0" w:hanging="977"/>
        <w:jc w:val="left"/>
        <w:rPr>
          <w:b/>
          <w:sz w:val="21"/>
        </w:rPr>
      </w:pPr>
      <w:r>
        <w:rPr>
          <w:b/>
          <w:spacing w:val="17"/>
          <w:sz w:val="21"/>
        </w:rPr>
        <w:t>多发性硬化导致的</w:t>
      </w:r>
    </w:p>
    <w:p>
      <w:pPr>
        <w:spacing w:before="43" w:line="278" w:lineRule="auto"/>
        <w:ind w:left="1196" w:right="0" w:firstLine="0"/>
        <w:jc w:val="left"/>
        <w:rPr>
          <w:b/>
          <w:sz w:val="21"/>
        </w:rPr>
      </w:pPr>
      <w:r>
        <w:rPr>
          <w:b/>
          <w:spacing w:val="17"/>
          <w:sz w:val="21"/>
        </w:rPr>
        <w:t>神经系统功能永久</w:t>
      </w:r>
      <w:r>
        <w:rPr>
          <w:b/>
          <w:spacing w:val="-4"/>
          <w:sz w:val="21"/>
        </w:rPr>
        <w:t>性损害</w:t>
      </w:r>
    </w:p>
    <w:p>
      <w:pPr>
        <w:pStyle w:val="4"/>
        <w:spacing w:before="72" w:line="276" w:lineRule="auto"/>
        <w:ind w:left="173" w:right="234"/>
        <w:jc w:val="both"/>
      </w:pPr>
      <w:r>
        <w:br w:type="column"/>
      </w:r>
      <w:r>
        <w:rPr>
          <w:spacing w:val="-2"/>
        </w:rPr>
        <w:t>多发性硬化是一种中枢神经系统脱髓鞘性疾病，表现为反复缓解、复发的脑、脊髓和视神经损害。多发性硬化导致的神经系统功能永久性损害须由</w:t>
      </w:r>
      <w:r>
        <w:rPr>
          <w:spacing w:val="-4"/>
        </w:rPr>
        <w:t>我们认可的医院的神经科专科医生明确诊断，并有头颅断层扫描（</w:t>
      </w:r>
      <w:r>
        <w:rPr>
          <w:rFonts w:ascii="Times New Roman" w:eastAsia="Times New Roman"/>
          <w:spacing w:val="-4"/>
        </w:rPr>
        <w:t>CT</w:t>
      </w:r>
      <w:r>
        <w:rPr>
          <w:spacing w:val="-4"/>
        </w:rPr>
        <w:t>）或</w:t>
      </w:r>
      <w:r>
        <w:rPr>
          <w:spacing w:val="-2"/>
        </w:rPr>
        <w:t>核磁共振（</w:t>
      </w:r>
      <w:r>
        <w:rPr>
          <w:rFonts w:ascii="Times New Roman" w:eastAsia="Times New Roman"/>
          <w:spacing w:val="-2"/>
        </w:rPr>
        <w:t>MRI</w:t>
      </w:r>
      <w:r>
        <w:rPr>
          <w:spacing w:val="-2"/>
        </w:rPr>
        <w:t>）结果诊断报告。本合同仅对多发性硬化导致</w:t>
      </w:r>
      <w:r>
        <w:rPr>
          <w:b/>
          <w:spacing w:val="-2"/>
        </w:rPr>
        <w:t>神经系统功能的永久性损害</w:t>
      </w:r>
      <w:r>
        <w:rPr>
          <w:b/>
          <w:spacing w:val="-2"/>
          <w:position w:val="11"/>
          <w:sz w:val="11"/>
        </w:rPr>
        <w:t>47</w:t>
      </w:r>
      <w:r>
        <w:rPr>
          <w:spacing w:val="-2"/>
        </w:rPr>
        <w:t>承担给付保险金的责任。</w:t>
      </w:r>
    </w:p>
    <w:p>
      <w:pPr>
        <w:spacing w:after="0" w:line="276" w:lineRule="auto"/>
        <w:jc w:val="both"/>
        <w:sectPr>
          <w:type w:val="continuous"/>
          <w:pgSz w:w="11910" w:h="16840"/>
          <w:pgMar w:top="500" w:right="840" w:bottom="280" w:left="860" w:header="720" w:footer="720" w:gutter="0"/>
          <w:cols w:equalWidth="0" w:num="2">
            <w:col w:w="3048" w:space="40"/>
            <w:col w:w="7122"/>
          </w:cols>
        </w:sectPr>
      </w:pPr>
    </w:p>
    <w:p>
      <w:pPr>
        <w:pStyle w:val="4"/>
        <w:rPr>
          <w:sz w:val="19"/>
        </w:rPr>
      </w:pPr>
    </w:p>
    <w:p>
      <w:pPr>
        <w:spacing w:after="0"/>
        <w:rPr>
          <w:sz w:val="19"/>
        </w:rPr>
        <w:sectPr>
          <w:type w:val="continuous"/>
          <w:pgSz w:w="11910" w:h="16840"/>
          <w:pgMar w:top="500" w:right="840" w:bottom="280" w:left="860" w:header="720" w:footer="720" w:gutter="0"/>
          <w:cols w:space="720" w:num="1"/>
        </w:sectPr>
      </w:pPr>
    </w:p>
    <w:p>
      <w:pPr>
        <w:pStyle w:val="8"/>
        <w:numPr>
          <w:ilvl w:val="2"/>
          <w:numId w:val="25"/>
        </w:numPr>
        <w:tabs>
          <w:tab w:val="left" w:pos="976"/>
          <w:tab w:val="left" w:pos="1197"/>
        </w:tabs>
        <w:spacing w:before="71" w:after="0" w:line="240" w:lineRule="auto"/>
        <w:ind w:left="1196" w:right="0" w:hanging="1197"/>
        <w:jc w:val="right"/>
        <w:rPr>
          <w:b/>
          <w:sz w:val="21"/>
        </w:rPr>
      </w:pPr>
      <w:r>
        <w:rPr>
          <w:b/>
          <w:spacing w:val="17"/>
          <w:sz w:val="21"/>
        </w:rPr>
        <w:t>职业原因导致人类</w:t>
      </w:r>
    </w:p>
    <w:p>
      <w:pPr>
        <w:spacing w:before="43"/>
        <w:ind w:left="0" w:right="0" w:firstLine="0"/>
        <w:jc w:val="right"/>
        <w:rPr>
          <w:b/>
          <w:sz w:val="21"/>
        </w:rPr>
      </w:pPr>
      <w:r>
        <w:rPr>
          <w:b/>
          <w:sz w:val="21"/>
        </w:rPr>
        <w:t>免 疫 缺 陷 病 毒</w:t>
      </w:r>
    </w:p>
    <w:p>
      <w:pPr>
        <w:spacing w:before="43"/>
        <w:ind w:left="1196" w:right="0" w:firstLine="0"/>
        <w:jc w:val="left"/>
        <w:rPr>
          <w:b/>
          <w:sz w:val="21"/>
        </w:rPr>
      </w:pPr>
      <w:r>
        <w:rPr>
          <w:b/>
          <w:spacing w:val="-2"/>
          <w:sz w:val="21"/>
        </w:rPr>
        <w:t>（</w:t>
      </w:r>
      <w:r>
        <w:rPr>
          <w:rFonts w:ascii="Times New Roman" w:eastAsia="Times New Roman"/>
          <w:b/>
          <w:spacing w:val="-2"/>
          <w:sz w:val="21"/>
        </w:rPr>
        <w:t>HIV</w:t>
      </w:r>
      <w:r>
        <w:rPr>
          <w:b/>
          <w:spacing w:val="-2"/>
          <w:sz w:val="21"/>
        </w:rPr>
        <w:t>）</w:t>
      </w:r>
      <w:r>
        <w:rPr>
          <w:b/>
          <w:spacing w:val="-6"/>
          <w:sz w:val="21"/>
        </w:rPr>
        <w:t>感染</w:t>
      </w:r>
    </w:p>
    <w:p>
      <w:pPr>
        <w:pStyle w:val="4"/>
        <w:spacing w:before="71" w:line="278" w:lineRule="auto"/>
        <w:ind w:left="173" w:right="234"/>
      </w:pPr>
      <w:r>
        <w:br w:type="column"/>
      </w:r>
      <w:r>
        <w:rPr>
          <w:spacing w:val="-2"/>
        </w:rPr>
        <w:t>被保险人的职业归属于下列职业列表内的职业，在其常规职业工作过程中</w:t>
      </w:r>
      <w:r>
        <w:rPr>
          <w:spacing w:val="-1"/>
        </w:rPr>
        <w:t>遭遇外伤，或职业需要处理血液或其他体液时感染上人类免疫缺陷病毒</w:t>
      </w:r>
    </w:p>
    <w:p>
      <w:pPr>
        <w:pStyle w:val="4"/>
        <w:spacing w:line="269" w:lineRule="exact"/>
        <w:ind w:left="173"/>
      </w:pPr>
      <w:r>
        <w:rPr>
          <w:spacing w:val="10"/>
        </w:rPr>
        <w:t>（</w:t>
      </w:r>
      <w:r>
        <w:rPr>
          <w:rFonts w:ascii="Times New Roman" w:eastAsia="Times New Roman"/>
          <w:spacing w:val="9"/>
        </w:rPr>
        <w:t>H</w:t>
      </w:r>
      <w:r>
        <w:rPr>
          <w:rFonts w:ascii="Times New Roman" w:eastAsia="Times New Roman"/>
          <w:spacing w:val="7"/>
        </w:rPr>
        <w:t>I</w:t>
      </w:r>
      <w:r>
        <w:rPr>
          <w:rFonts w:ascii="Times New Roman" w:eastAsia="Times New Roman"/>
          <w:spacing w:val="11"/>
        </w:rPr>
        <w:t>V</w:t>
      </w:r>
      <w:r>
        <w:rPr>
          <w:spacing w:val="-99"/>
        </w:rPr>
        <w:t>）</w:t>
      </w:r>
      <w:r>
        <w:rPr>
          <w:spacing w:val="-9"/>
        </w:rPr>
        <w:t>，并须满足下列全部条件：</w:t>
      </w:r>
    </w:p>
    <w:p>
      <w:pPr>
        <w:pStyle w:val="8"/>
        <w:numPr>
          <w:ilvl w:val="0"/>
          <w:numId w:val="28"/>
        </w:numPr>
        <w:tabs>
          <w:tab w:val="left" w:pos="805"/>
        </w:tabs>
        <w:spacing w:before="43" w:after="0" w:line="240" w:lineRule="auto"/>
        <w:ind w:left="804" w:right="0" w:hanging="632"/>
        <w:jc w:val="left"/>
        <w:rPr>
          <w:sz w:val="21"/>
        </w:rPr>
      </w:pPr>
      <w:r>
        <w:rPr>
          <w:spacing w:val="-3"/>
          <w:sz w:val="21"/>
        </w:rPr>
        <w:t>感染必须是在被保险人正在从事其职业工作中发生；</w:t>
      </w:r>
    </w:p>
    <w:p>
      <w:pPr>
        <w:pStyle w:val="8"/>
        <w:numPr>
          <w:ilvl w:val="0"/>
          <w:numId w:val="28"/>
        </w:numPr>
        <w:tabs>
          <w:tab w:val="left" w:pos="805"/>
        </w:tabs>
        <w:spacing w:before="43" w:after="0" w:line="240" w:lineRule="auto"/>
        <w:ind w:left="804" w:right="0" w:hanging="632"/>
        <w:jc w:val="left"/>
        <w:rPr>
          <w:sz w:val="21"/>
        </w:rPr>
      </w:pPr>
      <w:r>
        <w:rPr>
          <w:spacing w:val="-5"/>
          <w:sz w:val="21"/>
        </w:rPr>
        <w:t xml:space="preserve">血清转化必须出现在事故发生后的 </w:t>
      </w:r>
      <w:r>
        <w:rPr>
          <w:rFonts w:ascii="Times New Roman" w:eastAsia="Times New Roman"/>
          <w:spacing w:val="-2"/>
          <w:sz w:val="21"/>
        </w:rPr>
        <w:t>6</w:t>
      </w:r>
      <w:r>
        <w:rPr>
          <w:rFonts w:ascii="Times New Roman" w:eastAsia="Times New Roman"/>
          <w:spacing w:val="7"/>
          <w:sz w:val="21"/>
        </w:rPr>
        <w:t xml:space="preserve"> </w:t>
      </w:r>
      <w:r>
        <w:rPr>
          <w:spacing w:val="-4"/>
          <w:sz w:val="21"/>
        </w:rPr>
        <w:t>个月以内；</w:t>
      </w:r>
    </w:p>
    <w:p>
      <w:pPr>
        <w:pStyle w:val="8"/>
        <w:numPr>
          <w:ilvl w:val="0"/>
          <w:numId w:val="28"/>
        </w:numPr>
        <w:tabs>
          <w:tab w:val="left" w:pos="805"/>
        </w:tabs>
        <w:spacing w:before="43" w:after="0" w:line="278" w:lineRule="auto"/>
        <w:ind w:left="804" w:right="217" w:hanging="632"/>
        <w:jc w:val="left"/>
        <w:rPr>
          <w:sz w:val="21"/>
        </w:rPr>
      </w:pPr>
      <w:r>
        <w:rPr>
          <w:spacing w:val="-3"/>
          <w:sz w:val="21"/>
        </w:rPr>
        <w:t xml:space="preserve">必须提供被保险人在所报事故发生后的 </w:t>
      </w:r>
      <w:r>
        <w:rPr>
          <w:rFonts w:ascii="Times New Roman" w:eastAsia="Times New Roman"/>
          <w:sz w:val="21"/>
        </w:rPr>
        <w:t>5</w:t>
      </w:r>
      <w:r>
        <w:rPr>
          <w:rFonts w:ascii="Times New Roman" w:eastAsia="Times New Roman"/>
          <w:spacing w:val="-14"/>
          <w:sz w:val="21"/>
        </w:rPr>
        <w:t xml:space="preserve"> </w:t>
      </w:r>
      <w:r>
        <w:rPr>
          <w:sz w:val="21"/>
        </w:rPr>
        <w:t>日以内进行的检查报告，</w:t>
      </w:r>
      <w:r>
        <w:rPr>
          <w:spacing w:val="-4"/>
          <w:sz w:val="21"/>
        </w:rPr>
        <w:t xml:space="preserve">该报告必须显示被保险人血液 </w:t>
      </w:r>
      <w:r>
        <w:rPr>
          <w:rFonts w:ascii="Times New Roman" w:eastAsia="Times New Roman"/>
          <w:sz w:val="21"/>
        </w:rPr>
        <w:t xml:space="preserve">HIV </w:t>
      </w:r>
      <w:r>
        <w:rPr>
          <w:sz w:val="21"/>
        </w:rPr>
        <w:t>病毒阴性和</w:t>
      </w:r>
      <w:r>
        <w:rPr>
          <w:rFonts w:ascii="Times New Roman" w:eastAsia="Times New Roman"/>
          <w:sz w:val="21"/>
        </w:rPr>
        <w:t>/</w:t>
      </w:r>
      <w:r>
        <w:rPr>
          <w:spacing w:val="50"/>
          <w:sz w:val="21"/>
        </w:rPr>
        <w:t>或</w:t>
      </w:r>
      <w:r>
        <w:rPr>
          <w:rFonts w:ascii="Times New Roman" w:eastAsia="Times New Roman"/>
          <w:sz w:val="21"/>
        </w:rPr>
        <w:t xml:space="preserve">HIV </w:t>
      </w:r>
      <w:r>
        <w:rPr>
          <w:sz w:val="21"/>
        </w:rPr>
        <w:t>抗体阴性；</w:t>
      </w:r>
    </w:p>
    <w:p>
      <w:pPr>
        <w:pStyle w:val="8"/>
        <w:numPr>
          <w:ilvl w:val="0"/>
          <w:numId w:val="28"/>
        </w:numPr>
        <w:tabs>
          <w:tab w:val="left" w:pos="805"/>
        </w:tabs>
        <w:spacing w:before="0" w:after="0" w:line="240" w:lineRule="auto"/>
        <w:ind w:left="804" w:right="0" w:hanging="632"/>
        <w:jc w:val="left"/>
        <w:rPr>
          <w:sz w:val="21"/>
        </w:rPr>
      </w:pPr>
      <w:r>
        <w:rPr>
          <w:spacing w:val="-5"/>
          <w:sz w:val="21"/>
        </w:rPr>
        <w:t xml:space="preserve">必须在事故发生后的 </w:t>
      </w:r>
      <w:r>
        <w:rPr>
          <w:rFonts w:ascii="Times New Roman" w:eastAsia="Times New Roman"/>
          <w:sz w:val="21"/>
        </w:rPr>
        <w:t>12</w:t>
      </w:r>
      <w:r>
        <w:rPr>
          <w:rFonts w:ascii="Times New Roman" w:eastAsia="Times New Roman"/>
          <w:spacing w:val="-14"/>
          <w:sz w:val="21"/>
        </w:rPr>
        <w:t xml:space="preserve"> </w:t>
      </w:r>
      <w:r>
        <w:rPr>
          <w:spacing w:val="-4"/>
          <w:sz w:val="21"/>
        </w:rPr>
        <w:t xml:space="preserve">个月内证实被保险人体内存在 </w:t>
      </w:r>
      <w:r>
        <w:rPr>
          <w:rFonts w:ascii="Times New Roman" w:eastAsia="Times New Roman"/>
          <w:sz w:val="21"/>
        </w:rPr>
        <w:t>HIV</w:t>
      </w:r>
      <w:r>
        <w:rPr>
          <w:rFonts w:ascii="Times New Roman" w:eastAsia="Times New Roman"/>
          <w:spacing w:val="-8"/>
          <w:sz w:val="21"/>
        </w:rPr>
        <w:t xml:space="preserve"> </w:t>
      </w:r>
      <w:r>
        <w:rPr>
          <w:spacing w:val="-4"/>
          <w:sz w:val="21"/>
        </w:rPr>
        <w:t>病毒或</w:t>
      </w:r>
    </w:p>
    <w:p>
      <w:pPr>
        <w:pStyle w:val="4"/>
        <w:spacing w:before="43" w:line="556" w:lineRule="auto"/>
        <w:ind w:left="173" w:right="5253" w:firstLine="631"/>
      </w:pPr>
      <w:r>
        <w:pict>
          <v:shape id="docshape31" o:spid="_x0000_s1056" o:spt="202" type="#_x0000_t202" style="position:absolute;left:0pt;margin-left:206pt;margin-top:47.65pt;height:64.85pt;width:335.2pt;mso-position-horizontal-relative:page;z-index:251666432;mso-width-relative:page;mso-height-relative:page;" filled="f" stroked="f" coordsize="21600,21600">
            <v:path/>
            <v:fill on="f" focussize="0,0"/>
            <v:stroke on="f" joinstyle="miter"/>
            <v:imagedata o:title=""/>
            <o:lock v:ext="edit"/>
            <v:textbox inset="0mm,0mm,0mm,0mm">
              <w:txbxContent>
                <w:tbl>
                  <w:tblPr>
                    <w:tblStyle w:val="5"/>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75"/>
                    <w:gridCol w:w="32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3475" w:type="dxa"/>
                      </w:tcPr>
                      <w:p>
                        <w:pPr>
                          <w:pStyle w:val="9"/>
                          <w:tabs>
                            <w:tab w:val="left" w:pos="899"/>
                          </w:tabs>
                          <w:spacing w:before="25" w:line="267" w:lineRule="exact"/>
                          <w:ind w:left="530"/>
                          <w:rPr>
                            <w:sz w:val="21"/>
                          </w:rPr>
                        </w:pPr>
                        <w:r>
                          <w:rPr>
                            <w:rFonts w:ascii="Times New Roman" w:eastAsia="Times New Roman"/>
                            <w:spacing w:val="-5"/>
                            <w:sz w:val="21"/>
                          </w:rPr>
                          <w:t>1.</w:t>
                        </w:r>
                        <w:r>
                          <w:rPr>
                            <w:rFonts w:ascii="Times New Roman" w:eastAsia="Times New Roman"/>
                            <w:sz w:val="21"/>
                          </w:rPr>
                          <w:tab/>
                        </w:r>
                        <w:r>
                          <w:rPr>
                            <w:spacing w:val="-2"/>
                            <w:sz w:val="21"/>
                          </w:rPr>
                          <w:t>医生（包括牙医</w:t>
                        </w:r>
                        <w:r>
                          <w:rPr>
                            <w:spacing w:val="-10"/>
                            <w:sz w:val="21"/>
                          </w:rPr>
                          <w:t>）</w:t>
                        </w:r>
                      </w:p>
                    </w:tc>
                    <w:tc>
                      <w:tcPr>
                        <w:tcW w:w="3218" w:type="dxa"/>
                      </w:tcPr>
                      <w:p>
                        <w:pPr>
                          <w:pStyle w:val="9"/>
                          <w:tabs>
                            <w:tab w:val="left" w:pos="897"/>
                          </w:tabs>
                          <w:spacing w:before="25" w:line="267" w:lineRule="exact"/>
                          <w:ind w:left="528"/>
                          <w:rPr>
                            <w:sz w:val="21"/>
                          </w:rPr>
                        </w:pPr>
                        <w:r>
                          <w:rPr>
                            <w:rFonts w:ascii="Times New Roman" w:eastAsia="Times New Roman"/>
                            <w:spacing w:val="-5"/>
                            <w:sz w:val="21"/>
                          </w:rPr>
                          <w:t>2.</w:t>
                        </w:r>
                        <w:r>
                          <w:rPr>
                            <w:rFonts w:ascii="Times New Roman" w:eastAsia="Times New Roman"/>
                            <w:sz w:val="21"/>
                          </w:rPr>
                          <w:tab/>
                        </w:r>
                        <w:r>
                          <w:rPr>
                            <w:spacing w:val="-7"/>
                            <w:sz w:val="21"/>
                          </w:rPr>
                          <w:t>护士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3475" w:type="dxa"/>
                      </w:tcPr>
                      <w:p>
                        <w:pPr>
                          <w:pStyle w:val="9"/>
                          <w:tabs>
                            <w:tab w:val="left" w:pos="899"/>
                          </w:tabs>
                          <w:spacing w:before="25" w:line="267" w:lineRule="exact"/>
                          <w:ind w:left="530"/>
                          <w:rPr>
                            <w:sz w:val="21"/>
                          </w:rPr>
                        </w:pPr>
                        <w:r>
                          <w:rPr>
                            <w:rFonts w:ascii="Times New Roman" w:eastAsia="Times New Roman"/>
                            <w:spacing w:val="-5"/>
                            <w:sz w:val="21"/>
                          </w:rPr>
                          <w:t>3.</w:t>
                        </w:r>
                        <w:r>
                          <w:rPr>
                            <w:rFonts w:ascii="Times New Roman" w:eastAsia="Times New Roman"/>
                            <w:sz w:val="21"/>
                          </w:rPr>
                          <w:tab/>
                        </w:r>
                        <w:r>
                          <w:rPr>
                            <w:spacing w:val="-3"/>
                            <w:sz w:val="21"/>
                          </w:rPr>
                          <w:t>医院化验室工作人员</w:t>
                        </w:r>
                      </w:p>
                    </w:tc>
                    <w:tc>
                      <w:tcPr>
                        <w:tcW w:w="3218" w:type="dxa"/>
                      </w:tcPr>
                      <w:p>
                        <w:pPr>
                          <w:pStyle w:val="9"/>
                          <w:tabs>
                            <w:tab w:val="left" w:pos="897"/>
                          </w:tabs>
                          <w:spacing w:before="25" w:line="267" w:lineRule="exact"/>
                          <w:ind w:left="528"/>
                          <w:rPr>
                            <w:sz w:val="21"/>
                          </w:rPr>
                        </w:pPr>
                        <w:r>
                          <w:rPr>
                            <w:rFonts w:ascii="Times New Roman" w:eastAsia="Times New Roman"/>
                            <w:spacing w:val="-5"/>
                            <w:sz w:val="21"/>
                          </w:rPr>
                          <w:t>4.</w:t>
                        </w:r>
                        <w:r>
                          <w:rPr>
                            <w:rFonts w:ascii="Times New Roman" w:eastAsia="Times New Roman"/>
                            <w:sz w:val="21"/>
                          </w:rPr>
                          <w:tab/>
                        </w:r>
                        <w:r>
                          <w:rPr>
                            <w:spacing w:val="-4"/>
                            <w:sz w:val="21"/>
                          </w:rPr>
                          <w:t>医院护工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3475" w:type="dxa"/>
                      </w:tcPr>
                      <w:p>
                        <w:pPr>
                          <w:pStyle w:val="9"/>
                          <w:tabs>
                            <w:tab w:val="left" w:pos="899"/>
                          </w:tabs>
                          <w:spacing w:before="25" w:line="267" w:lineRule="exact"/>
                          <w:ind w:left="530"/>
                          <w:rPr>
                            <w:sz w:val="21"/>
                          </w:rPr>
                        </w:pPr>
                        <w:r>
                          <w:rPr>
                            <w:rFonts w:ascii="Times New Roman" w:eastAsia="Times New Roman"/>
                            <w:spacing w:val="-5"/>
                            <w:sz w:val="21"/>
                          </w:rPr>
                          <w:t>5.</w:t>
                        </w:r>
                        <w:r>
                          <w:rPr>
                            <w:rFonts w:ascii="Times New Roman" w:eastAsia="Times New Roman"/>
                            <w:sz w:val="21"/>
                          </w:rPr>
                          <w:tab/>
                        </w:r>
                        <w:r>
                          <w:rPr>
                            <w:spacing w:val="-4"/>
                            <w:sz w:val="21"/>
                          </w:rPr>
                          <w:t>救护车工作人员</w:t>
                        </w:r>
                      </w:p>
                    </w:tc>
                    <w:tc>
                      <w:tcPr>
                        <w:tcW w:w="3218" w:type="dxa"/>
                      </w:tcPr>
                      <w:p>
                        <w:pPr>
                          <w:pStyle w:val="9"/>
                          <w:tabs>
                            <w:tab w:val="left" w:pos="897"/>
                          </w:tabs>
                          <w:spacing w:before="25" w:line="267" w:lineRule="exact"/>
                          <w:ind w:left="528"/>
                          <w:rPr>
                            <w:sz w:val="21"/>
                          </w:rPr>
                        </w:pPr>
                        <w:r>
                          <w:rPr>
                            <w:rFonts w:ascii="Times New Roman" w:eastAsia="Times New Roman"/>
                            <w:spacing w:val="-5"/>
                            <w:sz w:val="21"/>
                          </w:rPr>
                          <w:t>6.</w:t>
                        </w:r>
                        <w:r>
                          <w:rPr>
                            <w:rFonts w:ascii="Times New Roman" w:eastAsia="Times New Roman"/>
                            <w:sz w:val="21"/>
                          </w:rPr>
                          <w:tab/>
                        </w:r>
                        <w:r>
                          <w:rPr>
                            <w:spacing w:val="-5"/>
                            <w:sz w:val="21"/>
                          </w:rPr>
                          <w:t>助产士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3475" w:type="dxa"/>
                      </w:tcPr>
                      <w:p>
                        <w:pPr>
                          <w:pStyle w:val="9"/>
                          <w:tabs>
                            <w:tab w:val="left" w:pos="899"/>
                          </w:tabs>
                          <w:spacing w:before="27" w:line="267" w:lineRule="exact"/>
                          <w:ind w:left="530"/>
                          <w:rPr>
                            <w:sz w:val="21"/>
                          </w:rPr>
                        </w:pPr>
                        <w:r>
                          <w:rPr>
                            <w:rFonts w:ascii="Times New Roman" w:eastAsia="Times New Roman"/>
                            <w:spacing w:val="-5"/>
                            <w:sz w:val="21"/>
                          </w:rPr>
                          <w:t>7.</w:t>
                        </w:r>
                        <w:r>
                          <w:rPr>
                            <w:rFonts w:ascii="Times New Roman" w:eastAsia="Times New Roman"/>
                            <w:sz w:val="21"/>
                          </w:rPr>
                          <w:tab/>
                        </w:r>
                        <w:r>
                          <w:rPr>
                            <w:spacing w:val="-2"/>
                            <w:sz w:val="21"/>
                          </w:rPr>
                          <w:t>警察（包括狱警</w:t>
                        </w:r>
                        <w:r>
                          <w:rPr>
                            <w:spacing w:val="-10"/>
                            <w:sz w:val="21"/>
                          </w:rPr>
                          <w:t>）</w:t>
                        </w:r>
                      </w:p>
                    </w:tc>
                    <w:tc>
                      <w:tcPr>
                        <w:tcW w:w="3218" w:type="dxa"/>
                      </w:tcPr>
                      <w:p>
                        <w:pPr>
                          <w:pStyle w:val="9"/>
                          <w:tabs>
                            <w:tab w:val="left" w:pos="897"/>
                          </w:tabs>
                          <w:spacing w:before="27" w:line="267" w:lineRule="exact"/>
                          <w:ind w:left="528"/>
                          <w:rPr>
                            <w:sz w:val="21"/>
                          </w:rPr>
                        </w:pPr>
                        <w:r>
                          <w:rPr>
                            <w:rFonts w:ascii="Times New Roman" w:eastAsia="Times New Roman"/>
                            <w:spacing w:val="-5"/>
                            <w:sz w:val="21"/>
                          </w:rPr>
                          <w:t>8.</w:t>
                        </w:r>
                        <w:r>
                          <w:rPr>
                            <w:rFonts w:ascii="Times New Roman" w:eastAsia="Times New Roman"/>
                            <w:sz w:val="21"/>
                          </w:rPr>
                          <w:tab/>
                        </w:r>
                        <w:r>
                          <w:rPr>
                            <w:spacing w:val="-4"/>
                            <w:sz w:val="21"/>
                          </w:rPr>
                          <w:t>消防人员</w:t>
                        </w:r>
                      </w:p>
                    </w:tc>
                  </w:tr>
                </w:tbl>
                <w:p>
                  <w:pPr>
                    <w:pStyle w:val="4"/>
                  </w:pPr>
                </w:p>
              </w:txbxContent>
            </v:textbox>
          </v:shape>
        </w:pict>
      </w:r>
      <w:r>
        <w:rPr>
          <w:rFonts w:ascii="Times New Roman" w:eastAsia="Times New Roman"/>
        </w:rPr>
        <w:t>HIV</w:t>
      </w:r>
      <w:r>
        <w:rPr>
          <w:rFonts w:ascii="Times New Roman" w:eastAsia="Times New Roman"/>
          <w:spacing w:val="-14"/>
        </w:rPr>
        <w:t xml:space="preserve"> </w:t>
      </w:r>
      <w:r>
        <w:t>抗体。</w:t>
      </w:r>
      <w:r>
        <w:rPr>
          <w:spacing w:val="-2"/>
        </w:rPr>
        <w:t>职业列表如下：</w:t>
      </w:r>
    </w:p>
    <w:p>
      <w:pPr>
        <w:pStyle w:val="4"/>
        <w:rPr>
          <w:sz w:val="20"/>
        </w:rPr>
      </w:pPr>
    </w:p>
    <w:p>
      <w:pPr>
        <w:pStyle w:val="4"/>
        <w:rPr>
          <w:sz w:val="20"/>
        </w:rPr>
      </w:pPr>
    </w:p>
    <w:p>
      <w:pPr>
        <w:pStyle w:val="4"/>
        <w:rPr>
          <w:sz w:val="20"/>
        </w:rPr>
      </w:pPr>
    </w:p>
    <w:p>
      <w:pPr>
        <w:pStyle w:val="4"/>
        <w:rPr>
          <w:sz w:val="20"/>
        </w:rPr>
      </w:pPr>
    </w:p>
    <w:p>
      <w:pPr>
        <w:pStyle w:val="4"/>
        <w:spacing w:before="4"/>
      </w:pPr>
    </w:p>
    <w:p>
      <w:pPr>
        <w:pStyle w:val="4"/>
        <w:spacing w:line="278" w:lineRule="auto"/>
        <w:ind w:left="173" w:right="234"/>
        <w:jc w:val="both"/>
        <w:rPr>
          <w:rFonts w:ascii="黑体" w:eastAsia="黑体"/>
        </w:rPr>
      </w:pPr>
      <w:r>
        <w:rPr>
          <w:rFonts w:ascii="黑体" w:eastAsia="黑体"/>
          <w:color w:val="000000"/>
          <w:shd w:val="clear" w:color="auto" w:fill="D9D9D9"/>
        </w:rPr>
        <w:t>在任何治愈艾滋病（AIDS）</w:t>
      </w:r>
      <w:r>
        <w:rPr>
          <w:rFonts w:ascii="黑体" w:eastAsia="黑体"/>
          <w:color w:val="000000"/>
          <w:spacing w:val="3"/>
          <w:shd w:val="clear" w:color="auto" w:fill="D9D9D9"/>
        </w:rPr>
        <w:t>或阻止</w:t>
      </w:r>
      <w:r>
        <w:rPr>
          <w:rFonts w:ascii="黑体" w:eastAsia="黑体"/>
          <w:color w:val="000000"/>
          <w:shd w:val="clear" w:color="auto" w:fill="D9D9D9"/>
        </w:rPr>
        <w:t>HIV</w:t>
      </w:r>
      <w:r>
        <w:rPr>
          <w:rFonts w:ascii="黑体" w:eastAsia="黑体"/>
          <w:color w:val="000000"/>
          <w:spacing w:val="-6"/>
          <w:shd w:val="clear" w:color="auto" w:fill="D9D9D9"/>
        </w:rPr>
        <w:t xml:space="preserve"> 病毒作用的疗法被发现以后，或能</w:t>
      </w:r>
      <w:r>
        <w:rPr>
          <w:rFonts w:ascii="黑体" w:eastAsia="黑体"/>
          <w:color w:val="000000"/>
          <w:spacing w:val="40"/>
          <w:shd w:val="clear" w:color="auto" w:fill="D9D9D9"/>
        </w:rPr>
        <w:t xml:space="preserve"> </w:t>
      </w:r>
      <w:r>
        <w:rPr>
          <w:rFonts w:ascii="黑体" w:eastAsia="黑体"/>
          <w:color w:val="000000"/>
          <w:spacing w:val="-8"/>
          <w:shd w:val="clear" w:color="auto" w:fill="D9D9D9"/>
        </w:rPr>
        <w:t xml:space="preserve">防止 </w:t>
      </w:r>
      <w:r>
        <w:rPr>
          <w:rFonts w:ascii="黑体" w:eastAsia="黑体"/>
          <w:color w:val="000000"/>
          <w:shd w:val="clear" w:color="auto" w:fill="D9D9D9"/>
        </w:rPr>
        <w:t>AIDS</w:t>
      </w:r>
      <w:r>
        <w:rPr>
          <w:rFonts w:ascii="黑体" w:eastAsia="黑体"/>
          <w:color w:val="000000"/>
          <w:spacing w:val="-5"/>
          <w:shd w:val="clear" w:color="auto" w:fill="D9D9D9"/>
        </w:rPr>
        <w:t xml:space="preserve"> 发生的医疗方法被研究出来以后，我们不再承担给付保险金的</w:t>
      </w:r>
      <w:r>
        <w:rPr>
          <w:rFonts w:ascii="黑体" w:eastAsia="黑体"/>
          <w:color w:val="000000"/>
          <w:spacing w:val="-4"/>
          <w:shd w:val="clear" w:color="auto" w:fill="D9D9D9"/>
        </w:rPr>
        <w:t>责任。</w:t>
      </w:r>
    </w:p>
    <w:p>
      <w:pPr>
        <w:spacing w:after="0" w:line="278" w:lineRule="auto"/>
        <w:jc w:val="both"/>
        <w:rPr>
          <w:rFonts w:ascii="黑体" w:eastAsia="黑体"/>
        </w:rPr>
        <w:sectPr>
          <w:type w:val="continuous"/>
          <w:pgSz w:w="11910" w:h="16840"/>
          <w:pgMar w:top="500" w:right="840" w:bottom="280" w:left="860" w:header="720" w:footer="720" w:gutter="0"/>
          <w:cols w:equalWidth="0" w:num="2">
            <w:col w:w="3048" w:space="40"/>
            <w:col w:w="7122"/>
          </w:cols>
        </w:sectPr>
      </w:pPr>
    </w:p>
    <w:p>
      <w:pPr>
        <w:pStyle w:val="4"/>
        <w:spacing w:before="9"/>
        <w:rPr>
          <w:rFonts w:ascii="黑体"/>
          <w:sz w:val="18"/>
        </w:rPr>
      </w:pPr>
    </w:p>
    <w:p>
      <w:pPr>
        <w:pStyle w:val="4"/>
        <w:spacing w:before="72" w:line="278" w:lineRule="auto"/>
        <w:ind w:left="3260" w:right="234"/>
        <w:jc w:val="both"/>
      </w:pPr>
      <w:r>
        <w:rPr>
          <w:rFonts w:ascii="黑体" w:eastAsia="黑体"/>
          <w:color w:val="000000"/>
          <w:shd w:val="clear" w:color="auto" w:fill="D9D9D9"/>
        </w:rPr>
        <w:t>任何因其他传播方式（包括：输血、性传播或静脉注射毒品）</w:t>
      </w:r>
      <w:r>
        <w:rPr>
          <w:rFonts w:ascii="黑体" w:eastAsia="黑体"/>
          <w:color w:val="000000"/>
          <w:spacing w:val="-7"/>
          <w:shd w:val="clear" w:color="auto" w:fill="D9D9D9"/>
        </w:rPr>
        <w:t xml:space="preserve">导致的 </w:t>
      </w:r>
      <w:r>
        <w:rPr>
          <w:rFonts w:ascii="黑体" w:eastAsia="黑体"/>
          <w:color w:val="000000"/>
          <w:shd w:val="clear" w:color="auto" w:fill="D9D9D9"/>
        </w:rPr>
        <w:t>HIV</w:t>
      </w:r>
      <w:r>
        <w:rPr>
          <w:rFonts w:ascii="黑体" w:eastAsia="黑体"/>
          <w:color w:val="000000"/>
          <w:spacing w:val="40"/>
          <w:shd w:val="clear" w:color="auto" w:fill="D9D9D9"/>
        </w:rPr>
        <w:t xml:space="preserve"> </w:t>
      </w:r>
      <w:r>
        <w:rPr>
          <w:rFonts w:ascii="黑体" w:eastAsia="黑体"/>
          <w:color w:val="000000"/>
          <w:spacing w:val="-2"/>
          <w:shd w:val="clear" w:color="auto" w:fill="D9D9D9"/>
        </w:rPr>
        <w:t>感染的，不在保障范围内。</w:t>
      </w:r>
      <w:r>
        <w:rPr>
          <w:color w:val="000000"/>
          <w:spacing w:val="-2"/>
        </w:rPr>
        <w:t>我们拥有获得使用被保险人的所有血液样本的权利和能够对这些样本进行独立检验的权利。</w:t>
      </w:r>
    </w:p>
    <w:p>
      <w:pPr>
        <w:pStyle w:val="4"/>
        <w:spacing w:before="4"/>
        <w:rPr>
          <w:sz w:val="24"/>
        </w:rPr>
      </w:pPr>
    </w:p>
    <w:p>
      <w:pPr>
        <w:pStyle w:val="4"/>
        <w:ind w:left="3260"/>
      </w:pPr>
      <w:r>
        <w:rPr>
          <w:spacing w:val="-2"/>
        </w:rPr>
        <w:t>我们承担该项保险责任，不受本保险条款责任免除第（</w:t>
      </w:r>
      <w:r>
        <w:rPr>
          <w:rFonts w:ascii="Times New Roman" w:eastAsia="Times New Roman"/>
          <w:spacing w:val="-2"/>
        </w:rPr>
        <w:t>6</w:t>
      </w:r>
      <w:r>
        <w:rPr>
          <w:spacing w:val="-2"/>
        </w:rPr>
        <w:t>）</w:t>
      </w:r>
      <w:r>
        <w:rPr>
          <w:spacing w:val="-4"/>
        </w:rPr>
        <w:t>条限制。</w:t>
      </w:r>
    </w:p>
    <w:p>
      <w:pPr>
        <w:pStyle w:val="4"/>
        <w:spacing w:before="1"/>
        <w:rPr>
          <w:sz w:val="22"/>
        </w:rPr>
      </w:pPr>
    </w:p>
    <w:p>
      <w:pPr>
        <w:spacing w:after="0"/>
        <w:rPr>
          <w:sz w:val="22"/>
        </w:rPr>
        <w:sectPr>
          <w:type w:val="continuous"/>
          <w:pgSz w:w="11910" w:h="16840"/>
          <w:pgMar w:top="500" w:right="840" w:bottom="280" w:left="860" w:header="720" w:footer="720" w:gutter="0"/>
          <w:cols w:space="720" w:num="1"/>
        </w:sectPr>
      </w:pPr>
    </w:p>
    <w:p>
      <w:pPr>
        <w:pStyle w:val="8"/>
        <w:numPr>
          <w:ilvl w:val="2"/>
          <w:numId w:val="25"/>
        </w:numPr>
        <w:tabs>
          <w:tab w:val="left" w:pos="1196"/>
          <w:tab w:val="left" w:pos="1197"/>
        </w:tabs>
        <w:spacing w:before="72" w:after="0" w:line="240" w:lineRule="auto"/>
        <w:ind w:left="1196" w:right="0" w:hanging="977"/>
        <w:jc w:val="left"/>
        <w:rPr>
          <w:b/>
          <w:sz w:val="21"/>
        </w:rPr>
      </w:pPr>
      <w:r>
        <w:rPr>
          <w:b/>
          <w:spacing w:val="17"/>
          <w:sz w:val="21"/>
        </w:rPr>
        <w:t>严重溃疡性结肠炎</w:t>
      </w:r>
    </w:p>
    <w:p>
      <w:pPr>
        <w:spacing w:before="43" w:line="278" w:lineRule="auto"/>
        <w:ind w:left="1196" w:right="0" w:firstLine="0"/>
        <w:jc w:val="left"/>
        <w:rPr>
          <w:b/>
          <w:sz w:val="21"/>
        </w:rPr>
      </w:pPr>
      <w:r>
        <w:rPr>
          <w:b/>
          <w:spacing w:val="17"/>
          <w:sz w:val="21"/>
        </w:rPr>
        <w:t>导致结肠切除和回</w:t>
      </w:r>
      <w:r>
        <w:rPr>
          <w:b/>
          <w:spacing w:val="-4"/>
          <w:sz w:val="21"/>
        </w:rPr>
        <w:t>肠造瘘术</w:t>
      </w:r>
    </w:p>
    <w:p>
      <w:pPr>
        <w:pStyle w:val="4"/>
        <w:spacing w:before="72" w:line="278" w:lineRule="auto"/>
        <w:ind w:left="173" w:right="234"/>
        <w:jc w:val="both"/>
      </w:pPr>
      <w:r>
        <w:br w:type="column"/>
      </w:r>
      <w:r>
        <w:rPr>
          <w:spacing w:val="3"/>
          <w:w w:val="100"/>
        </w:rPr>
        <w:t>是指伴有致命性电解质紊乱的急性暴发性溃疡性结肠炎，病变累及全结</w:t>
      </w:r>
      <w:r>
        <w:rPr>
          <w:spacing w:val="-4"/>
          <w:w w:val="100"/>
        </w:rPr>
        <w:t>肠，表现为严重的血便和系统性症状体征，治疗通常采取全结肠切除和回</w:t>
      </w:r>
      <w:r>
        <w:rPr>
          <w:spacing w:val="-6"/>
          <w:w w:val="100"/>
        </w:rPr>
        <w:t>肠造瘘术。严重溃疡性结肠炎必须根据组织病理学特点诊断，并且被保险</w:t>
      </w:r>
    </w:p>
    <w:p>
      <w:pPr>
        <w:spacing w:after="0" w:line="278" w:lineRule="auto"/>
        <w:jc w:val="both"/>
        <w:sectPr>
          <w:type w:val="continuous"/>
          <w:pgSz w:w="11910" w:h="16840"/>
          <w:pgMar w:top="500" w:right="840" w:bottom="280" w:left="860" w:header="720" w:footer="720" w:gutter="0"/>
          <w:cols w:equalWidth="0" w:num="2">
            <w:col w:w="3048" w:space="40"/>
            <w:col w:w="7122"/>
          </w:cols>
        </w:sectPr>
      </w:pPr>
    </w:p>
    <w:p>
      <w:pPr>
        <w:pStyle w:val="4"/>
        <w:rPr>
          <w:sz w:val="20"/>
        </w:rPr>
      </w:pPr>
    </w:p>
    <w:p>
      <w:pPr>
        <w:pStyle w:val="4"/>
        <w:spacing w:after="1"/>
        <w:rPr>
          <w:sz w:val="10"/>
        </w:rPr>
      </w:pPr>
    </w:p>
    <w:p>
      <w:pPr>
        <w:pStyle w:val="4"/>
        <w:spacing w:line="20" w:lineRule="exact"/>
        <w:ind w:left="220"/>
        <w:rPr>
          <w:sz w:val="2"/>
        </w:rPr>
      </w:pPr>
      <w:r>
        <w:rPr>
          <w:sz w:val="2"/>
        </w:rPr>
        <w:drawing>
          <wp:inline distT="0" distB="0" distL="0" distR="0">
            <wp:extent cx="1828165" cy="5715"/>
            <wp:effectExtent l="0" t="0" r="0" b="0"/>
            <wp:docPr id="7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19.png"/>
                    <pic:cNvPicPr>
                      <a:picLocks noChangeAspect="1"/>
                    </pic:cNvPicPr>
                  </pic:nvPicPr>
                  <pic:blipFill>
                    <a:blip r:embed="rId24" cstate="print"/>
                    <a:stretch>
                      <a:fillRect/>
                    </a:stretch>
                  </pic:blipFill>
                  <pic:spPr>
                    <a:xfrm>
                      <a:off x="0" y="0"/>
                      <a:ext cx="1828799" cy="6096"/>
                    </a:xfrm>
                    <a:prstGeom prst="rect">
                      <a:avLst/>
                    </a:prstGeom>
                  </pic:spPr>
                </pic:pic>
              </a:graphicData>
            </a:graphic>
          </wp:inline>
        </w:drawing>
      </w:r>
    </w:p>
    <w:p>
      <w:pPr>
        <w:spacing w:before="145" w:line="312" w:lineRule="auto"/>
        <w:ind w:left="445" w:right="236" w:hanging="226"/>
        <w:jc w:val="left"/>
        <w:rPr>
          <w:sz w:val="18"/>
        </w:rPr>
      </w:pPr>
      <w:r>
        <w:rPr>
          <w:rFonts w:ascii="Times New Roman" w:eastAsia="Times New Roman"/>
          <w:sz w:val="18"/>
          <w:vertAlign w:val="superscript"/>
        </w:rPr>
        <w:t>47</w:t>
      </w:r>
      <w:r>
        <w:rPr>
          <w:rFonts w:ascii="Times New Roman" w:eastAsia="Times New Roman"/>
          <w:spacing w:val="14"/>
          <w:sz w:val="18"/>
          <w:vertAlign w:val="baseline"/>
        </w:rPr>
        <w:t xml:space="preserve"> </w:t>
      </w:r>
      <w:r>
        <w:rPr>
          <w:b/>
          <w:sz w:val="18"/>
          <w:vertAlign w:val="baseline"/>
        </w:rPr>
        <w:t>神经系统功能的永久性损害</w:t>
      </w:r>
      <w:r>
        <w:rPr>
          <w:sz w:val="18"/>
          <w:vertAlign w:val="baseline"/>
        </w:rPr>
        <w:t>指诊断为多发性硬化后有神经系统一次以上的发作，而出现累及视神经、脑干、脊髓永久性损</w:t>
      </w:r>
      <w:r>
        <w:rPr>
          <w:spacing w:val="-2"/>
          <w:sz w:val="18"/>
          <w:vertAlign w:val="baseline"/>
        </w:rPr>
        <w:t xml:space="preserve">害，出现有共济失调或感觉障碍并持续 </w:t>
      </w:r>
      <w:r>
        <w:rPr>
          <w:rFonts w:ascii="Times New Roman" w:eastAsia="Times New Roman"/>
          <w:sz w:val="18"/>
          <w:vertAlign w:val="baseline"/>
        </w:rPr>
        <w:t xml:space="preserve">180 </w:t>
      </w:r>
      <w:r>
        <w:rPr>
          <w:sz w:val="18"/>
          <w:vertAlign w:val="baseline"/>
        </w:rPr>
        <w:t>日以上。</w:t>
      </w:r>
    </w:p>
    <w:p>
      <w:pPr>
        <w:spacing w:after="0" w:line="312" w:lineRule="auto"/>
        <w:jc w:val="left"/>
        <w:rPr>
          <w:sz w:val="18"/>
        </w:rPr>
        <w:sectPr>
          <w:type w:val="continuous"/>
          <w:pgSz w:w="11910" w:h="16840"/>
          <w:pgMar w:top="500" w:right="840" w:bottom="280" w:left="860" w:header="720" w:footer="720" w:gutter="0"/>
          <w:cols w:space="720" w:num="1"/>
        </w:sectPr>
      </w:pPr>
    </w:p>
    <w:p>
      <w:pPr>
        <w:pStyle w:val="4"/>
        <w:spacing w:before="47"/>
        <w:ind w:left="1639" w:right="1746"/>
        <w:jc w:val="center"/>
      </w:pPr>
      <w:r>
        <w:rPr>
          <w:spacing w:val="-3"/>
        </w:rPr>
        <w:t>人已经接受了结肠切除和回肠造瘘术。</w:t>
      </w:r>
    </w:p>
    <w:p>
      <w:pPr>
        <w:pStyle w:val="4"/>
        <w:spacing w:before="1"/>
        <w:rPr>
          <w:sz w:val="22"/>
        </w:rPr>
      </w:pPr>
    </w:p>
    <w:p>
      <w:pPr>
        <w:spacing w:after="0"/>
        <w:rPr>
          <w:sz w:val="22"/>
        </w:rPr>
        <w:sectPr>
          <w:pgSz w:w="11910" w:h="16840"/>
          <w:pgMar w:top="1400" w:right="840" w:bottom="280" w:left="860" w:header="720" w:footer="720" w:gutter="0"/>
          <w:cols w:space="720" w:num="1"/>
        </w:sectPr>
      </w:pPr>
    </w:p>
    <w:p>
      <w:pPr>
        <w:pStyle w:val="8"/>
        <w:numPr>
          <w:ilvl w:val="2"/>
          <w:numId w:val="25"/>
        </w:numPr>
        <w:tabs>
          <w:tab w:val="left" w:pos="1196"/>
          <w:tab w:val="left" w:pos="1197"/>
        </w:tabs>
        <w:spacing w:before="72" w:after="0" w:line="240" w:lineRule="auto"/>
        <w:ind w:left="1196" w:right="0" w:hanging="977"/>
        <w:jc w:val="left"/>
        <w:rPr>
          <w:b/>
          <w:sz w:val="21"/>
        </w:rPr>
      </w:pPr>
      <w:r>
        <w:rPr>
          <w:b/>
          <w:spacing w:val="17"/>
          <w:sz w:val="21"/>
        </w:rPr>
        <w:t>严重全身性重症肌</w:t>
      </w:r>
    </w:p>
    <w:p>
      <w:pPr>
        <w:spacing w:before="43"/>
        <w:ind w:left="1196" w:right="0" w:firstLine="0"/>
        <w:jc w:val="left"/>
        <w:rPr>
          <w:b/>
          <w:sz w:val="21"/>
        </w:rPr>
      </w:pPr>
      <w:r>
        <w:rPr>
          <w:b/>
          <w:spacing w:val="-5"/>
          <w:sz w:val="21"/>
        </w:rPr>
        <w:t>无力</w:t>
      </w:r>
    </w:p>
    <w:p>
      <w:pPr>
        <w:pStyle w:val="4"/>
        <w:spacing w:before="72" w:line="278" w:lineRule="auto"/>
        <w:ind w:left="173" w:right="234"/>
        <w:jc w:val="both"/>
      </w:pPr>
      <w:r>
        <w:br w:type="column"/>
      </w:r>
      <w:r>
        <w:rPr>
          <w:spacing w:val="-2"/>
        </w:rPr>
        <w:t>是一种神经肌肉接头传递障碍所致的疾病，表现为局部或全身骨骼肌（特别是眼外肌）极易疲劳。疾病可以累及呼吸肌、上肢或下肢的近端肌群或全身肌肉，并须满足下列全部条件：</w:t>
      </w:r>
    </w:p>
    <w:p>
      <w:pPr>
        <w:pStyle w:val="8"/>
        <w:numPr>
          <w:ilvl w:val="0"/>
          <w:numId w:val="29"/>
        </w:numPr>
        <w:tabs>
          <w:tab w:val="left" w:pos="805"/>
        </w:tabs>
        <w:spacing w:before="0" w:after="0" w:line="269" w:lineRule="exact"/>
        <w:ind w:left="804" w:right="0" w:hanging="632"/>
        <w:jc w:val="both"/>
        <w:rPr>
          <w:sz w:val="21"/>
        </w:rPr>
      </w:pPr>
      <w:r>
        <w:rPr>
          <w:spacing w:val="-3"/>
          <w:sz w:val="21"/>
        </w:rPr>
        <w:t>经药物治疗和胸腺切除治疗一年以上仍无法控制病情；</w:t>
      </w:r>
    </w:p>
    <w:p>
      <w:pPr>
        <w:pStyle w:val="8"/>
        <w:numPr>
          <w:ilvl w:val="0"/>
          <w:numId w:val="29"/>
        </w:numPr>
        <w:tabs>
          <w:tab w:val="left" w:pos="798"/>
        </w:tabs>
        <w:spacing w:before="43" w:after="0" w:line="278" w:lineRule="auto"/>
        <w:ind w:left="800" w:right="236" w:hanging="627"/>
        <w:jc w:val="both"/>
        <w:rPr>
          <w:sz w:val="21"/>
        </w:rPr>
      </w:pPr>
      <w:r>
        <w:rPr>
          <w:spacing w:val="-2"/>
          <w:sz w:val="21"/>
        </w:rPr>
        <w:t>自主生活能力完全丧失，无法独立完成六项基本日常生活活动中的三项或三项以上。</w:t>
      </w:r>
    </w:p>
    <w:p>
      <w:pPr>
        <w:spacing w:after="0" w:line="278" w:lineRule="auto"/>
        <w:jc w:val="both"/>
        <w:rPr>
          <w:sz w:val="21"/>
        </w:rPr>
        <w:sectPr>
          <w:type w:val="continuous"/>
          <w:pgSz w:w="11910" w:h="16840"/>
          <w:pgMar w:top="500" w:right="840" w:bottom="280" w:left="860" w:header="720" w:footer="720" w:gutter="0"/>
          <w:cols w:equalWidth="0" w:num="2">
            <w:col w:w="3048" w:space="40"/>
            <w:col w:w="7122"/>
          </w:cols>
        </w:sectPr>
      </w:pPr>
    </w:p>
    <w:p>
      <w:pPr>
        <w:pStyle w:val="4"/>
        <w:spacing w:before="10"/>
        <w:rPr>
          <w:sz w:val="18"/>
        </w:rPr>
      </w:pPr>
    </w:p>
    <w:p>
      <w:pPr>
        <w:spacing w:after="0"/>
        <w:rPr>
          <w:sz w:val="18"/>
        </w:rPr>
        <w:sectPr>
          <w:type w:val="continuous"/>
          <w:pgSz w:w="11910" w:h="16840"/>
          <w:pgMar w:top="500" w:right="840" w:bottom="280" w:left="860" w:header="720" w:footer="720" w:gutter="0"/>
          <w:cols w:space="720" w:num="1"/>
        </w:sectPr>
      </w:pPr>
    </w:p>
    <w:p>
      <w:pPr>
        <w:pStyle w:val="8"/>
        <w:numPr>
          <w:ilvl w:val="2"/>
          <w:numId w:val="25"/>
        </w:numPr>
        <w:tabs>
          <w:tab w:val="left" w:pos="1196"/>
          <w:tab w:val="left" w:pos="1197"/>
        </w:tabs>
        <w:spacing w:before="71" w:after="0" w:line="240" w:lineRule="auto"/>
        <w:ind w:left="1196" w:right="0" w:hanging="977"/>
        <w:jc w:val="left"/>
        <w:rPr>
          <w:b/>
          <w:sz w:val="21"/>
        </w:rPr>
      </w:pPr>
      <w:r>
        <w:rPr>
          <w:b/>
          <w:spacing w:val="17"/>
          <w:sz w:val="21"/>
        </w:rPr>
        <w:t>严重类风湿性关节</w:t>
      </w:r>
    </w:p>
    <w:p>
      <w:pPr>
        <w:spacing w:before="43"/>
        <w:ind w:left="1196" w:right="0" w:firstLine="0"/>
        <w:jc w:val="left"/>
        <w:rPr>
          <w:b/>
          <w:sz w:val="21"/>
        </w:rPr>
      </w:pPr>
      <w:r>
        <w:rPr>
          <w:b/>
          <w:w w:val="100"/>
          <w:sz w:val="21"/>
        </w:rPr>
        <w:t>炎</w:t>
      </w:r>
    </w:p>
    <w:p>
      <w:pPr>
        <w:pStyle w:val="4"/>
        <w:spacing w:before="71" w:line="276" w:lineRule="auto"/>
        <w:ind w:left="173" w:right="234"/>
        <w:jc w:val="both"/>
      </w:pPr>
      <w:r>
        <w:br w:type="column"/>
      </w:r>
      <w:r>
        <w:rPr>
          <w:spacing w:val="-2"/>
        </w:rPr>
        <w:t>类风湿性关节炎为广泛分布的慢性进行性多关节病变，表现为关节严重变</w:t>
      </w:r>
      <w:r>
        <w:rPr>
          <w:spacing w:val="-8"/>
        </w:rPr>
        <w:t>形，侵犯至少三个主要关节或关节组（如：双手（多手指）关节、双足（多</w:t>
      </w:r>
      <w:r>
        <w:rPr>
          <w:spacing w:val="-2"/>
        </w:rPr>
        <w:t>足趾）关节、双腕关节、双膝关节和双髋关节</w:t>
      </w:r>
      <w:r>
        <w:rPr>
          <w:spacing w:val="-104"/>
        </w:rPr>
        <w:t>）</w:t>
      </w:r>
      <w:r>
        <w:rPr>
          <w:spacing w:val="-2"/>
        </w:rPr>
        <w:t>。类风湿性关节炎须由我们认可的医院的专科医生明确诊断，并且已经达到</w:t>
      </w:r>
      <w:r>
        <w:rPr>
          <w:b/>
          <w:spacing w:val="-2"/>
        </w:rPr>
        <w:t>类风湿性关节炎功能分级</w:t>
      </w:r>
      <w:r>
        <w:rPr>
          <w:b/>
          <w:spacing w:val="-2"/>
          <w:position w:val="11"/>
          <w:sz w:val="11"/>
        </w:rPr>
        <w:t>48</w:t>
      </w:r>
      <w:r>
        <w:rPr>
          <w:rFonts w:ascii="Times New Roman" w:hAnsi="Times New Roman" w:eastAsia="Times New Roman"/>
          <w:spacing w:val="-2"/>
        </w:rPr>
        <w:t>Ⅳ</w:t>
      </w:r>
      <w:r>
        <w:rPr>
          <w:spacing w:val="-2"/>
        </w:rPr>
        <w:t>级的永久不可逆性的关节功能障碍（生活不能自理，且丧失活动能</w:t>
      </w:r>
      <w:r>
        <w:rPr>
          <w:spacing w:val="-6"/>
        </w:rPr>
        <w:t>力</w:t>
      </w:r>
      <w:r>
        <w:rPr>
          <w:spacing w:val="-106"/>
        </w:rPr>
        <w:t>）</w:t>
      </w:r>
      <w:r>
        <w:rPr>
          <w:spacing w:val="-6"/>
        </w:rPr>
        <w:t>。</w:t>
      </w:r>
    </w:p>
    <w:p>
      <w:pPr>
        <w:spacing w:after="0" w:line="276" w:lineRule="auto"/>
        <w:jc w:val="both"/>
        <w:sectPr>
          <w:type w:val="continuous"/>
          <w:pgSz w:w="11910" w:h="16840"/>
          <w:pgMar w:top="500" w:right="840" w:bottom="280" w:left="860" w:header="720" w:footer="720" w:gutter="0"/>
          <w:cols w:equalWidth="0" w:num="2">
            <w:col w:w="3048" w:space="40"/>
            <w:col w:w="7122"/>
          </w:cols>
        </w:sectPr>
      </w:pPr>
    </w:p>
    <w:p>
      <w:pPr>
        <w:pStyle w:val="4"/>
        <w:spacing w:before="3"/>
        <w:rPr>
          <w:sz w:val="19"/>
        </w:rPr>
      </w:pPr>
    </w:p>
    <w:p>
      <w:pPr>
        <w:pStyle w:val="8"/>
        <w:numPr>
          <w:ilvl w:val="2"/>
          <w:numId w:val="25"/>
        </w:numPr>
        <w:tabs>
          <w:tab w:val="left" w:pos="1196"/>
          <w:tab w:val="left" w:pos="1197"/>
          <w:tab w:val="left" w:pos="3260"/>
        </w:tabs>
        <w:spacing w:before="71" w:after="0" w:line="240" w:lineRule="auto"/>
        <w:ind w:left="1196" w:right="0" w:hanging="977"/>
        <w:jc w:val="left"/>
        <w:rPr>
          <w:sz w:val="21"/>
        </w:rPr>
      </w:pPr>
      <w:r>
        <w:rPr>
          <w:b/>
          <w:sz w:val="21"/>
        </w:rPr>
        <w:t>脊髓灰质炎后遗</w:t>
      </w:r>
      <w:r>
        <w:rPr>
          <w:b/>
          <w:spacing w:val="-10"/>
          <w:sz w:val="21"/>
        </w:rPr>
        <w:t>症</w:t>
      </w:r>
      <w:r>
        <w:rPr>
          <w:b/>
          <w:sz w:val="21"/>
        </w:rPr>
        <w:tab/>
      </w:r>
      <w:r>
        <w:rPr>
          <w:spacing w:val="-2"/>
          <w:sz w:val="21"/>
        </w:rPr>
        <w:t>脊髓灰质炎是由于脊髓灰质炎病毒感染所致的瘫痪性疾病，临床表现为</w:t>
      </w:r>
      <w:r>
        <w:rPr>
          <w:spacing w:val="-10"/>
          <w:sz w:val="21"/>
        </w:rPr>
        <w:t>运</w:t>
      </w:r>
    </w:p>
    <w:p>
      <w:pPr>
        <w:pStyle w:val="4"/>
        <w:spacing w:before="43" w:line="278" w:lineRule="auto"/>
        <w:ind w:left="3260" w:right="234"/>
      </w:pPr>
      <w:r>
        <w:rPr>
          <w:spacing w:val="-2"/>
        </w:rPr>
        <w:t>动功能损害或呼吸无力。脊髓灰质炎须由我们认可的医院的专科医生明确</w:t>
      </w:r>
      <w:r>
        <w:rPr>
          <w:spacing w:val="-4"/>
        </w:rPr>
        <w:t>诊断。</w:t>
      </w:r>
    </w:p>
    <w:p>
      <w:pPr>
        <w:pStyle w:val="4"/>
        <w:spacing w:before="10"/>
        <w:rPr>
          <w:sz w:val="18"/>
        </w:rPr>
      </w:pPr>
    </w:p>
    <w:p>
      <w:pPr>
        <w:pStyle w:val="4"/>
        <w:spacing w:before="71" w:line="278" w:lineRule="auto"/>
        <w:ind w:left="3260" w:right="236"/>
        <w:rPr>
          <w:rFonts w:ascii="黑体" w:eastAsia="黑体"/>
        </w:rPr>
      </w:pPr>
      <w:r>
        <w:rPr>
          <w:rFonts w:ascii="黑体" w:eastAsia="黑体"/>
          <w:color w:val="000000"/>
          <w:spacing w:val="-2"/>
          <w:shd w:val="clear" w:color="auto" w:fill="D9D9D9"/>
        </w:rPr>
        <w:t>我们仅对脊髓灰质炎导致的神经系统功能损害导致被保险人一肢或一肢</w:t>
      </w:r>
      <w:r>
        <w:rPr>
          <w:rFonts w:ascii="黑体" w:eastAsia="黑体"/>
          <w:color w:val="000000"/>
          <w:spacing w:val="80"/>
          <w:w w:val="150"/>
          <w:shd w:val="clear" w:color="auto" w:fill="D9D9D9"/>
        </w:rPr>
        <w:t xml:space="preserve">                                    </w:t>
      </w:r>
      <w:r>
        <w:rPr>
          <w:rFonts w:ascii="黑体" w:eastAsia="黑体"/>
          <w:color w:val="000000"/>
          <w:spacing w:val="-2"/>
          <w:shd w:val="clear" w:color="auto" w:fill="D9D9D9"/>
        </w:rPr>
        <w:t>以上肢体机能永久完全丧失的情形承担给付保险金的责任。</w:t>
      </w:r>
    </w:p>
    <w:p>
      <w:pPr>
        <w:pStyle w:val="4"/>
        <w:spacing w:before="3"/>
        <w:rPr>
          <w:rFonts w:ascii="黑体"/>
          <w:sz w:val="18"/>
        </w:rPr>
      </w:pPr>
    </w:p>
    <w:p>
      <w:pPr>
        <w:spacing w:after="0"/>
        <w:rPr>
          <w:rFonts w:ascii="黑体"/>
          <w:sz w:val="18"/>
        </w:rPr>
        <w:sectPr>
          <w:type w:val="continuous"/>
          <w:pgSz w:w="11910" w:h="16840"/>
          <w:pgMar w:top="500" w:right="840" w:bottom="280" w:left="860" w:header="720" w:footer="720" w:gutter="0"/>
          <w:cols w:space="720" w:num="1"/>
        </w:sectPr>
      </w:pPr>
    </w:p>
    <w:p>
      <w:pPr>
        <w:pStyle w:val="8"/>
        <w:numPr>
          <w:ilvl w:val="2"/>
          <w:numId w:val="25"/>
        </w:numPr>
        <w:tabs>
          <w:tab w:val="left" w:pos="976"/>
          <w:tab w:val="left" w:pos="1197"/>
        </w:tabs>
        <w:spacing w:before="79" w:after="0" w:line="240" w:lineRule="auto"/>
        <w:ind w:left="1196" w:right="0" w:hanging="1197"/>
        <w:jc w:val="right"/>
        <w:rPr>
          <w:b/>
          <w:sz w:val="21"/>
        </w:rPr>
      </w:pPr>
      <w:r>
        <w:rPr>
          <w:b/>
          <w:spacing w:val="17"/>
          <w:sz w:val="21"/>
        </w:rPr>
        <w:t>输血原因导致人类</w:t>
      </w:r>
    </w:p>
    <w:p>
      <w:pPr>
        <w:spacing w:before="42"/>
        <w:ind w:left="0" w:right="0" w:firstLine="0"/>
        <w:jc w:val="right"/>
        <w:rPr>
          <w:b/>
          <w:sz w:val="21"/>
        </w:rPr>
      </w:pPr>
      <w:r>
        <w:rPr>
          <w:b/>
          <w:sz w:val="21"/>
        </w:rPr>
        <w:t>免 疫 缺 陷 病 毒</w:t>
      </w:r>
    </w:p>
    <w:p>
      <w:pPr>
        <w:spacing w:before="43"/>
        <w:ind w:left="1196" w:right="0" w:firstLine="0"/>
        <w:jc w:val="left"/>
        <w:rPr>
          <w:b/>
          <w:sz w:val="21"/>
        </w:rPr>
      </w:pPr>
      <w:r>
        <w:rPr>
          <w:b/>
          <w:spacing w:val="-2"/>
          <w:sz w:val="21"/>
        </w:rPr>
        <w:t>（</w:t>
      </w:r>
      <w:r>
        <w:rPr>
          <w:rFonts w:ascii="Times New Roman" w:eastAsia="Times New Roman"/>
          <w:b/>
          <w:spacing w:val="-2"/>
          <w:sz w:val="21"/>
        </w:rPr>
        <w:t>HIV</w:t>
      </w:r>
      <w:r>
        <w:rPr>
          <w:b/>
          <w:spacing w:val="-2"/>
          <w:sz w:val="21"/>
        </w:rPr>
        <w:t>）</w:t>
      </w:r>
      <w:r>
        <w:rPr>
          <w:b/>
          <w:spacing w:val="-6"/>
          <w:sz w:val="21"/>
        </w:rPr>
        <w:t>感染</w:t>
      </w:r>
    </w:p>
    <w:p>
      <w:pPr>
        <w:pStyle w:val="4"/>
        <w:spacing w:before="79"/>
        <w:ind w:left="173"/>
      </w:pPr>
      <w:r>
        <w:br w:type="column"/>
      </w:r>
      <w:r>
        <w:rPr>
          <w:spacing w:val="-13"/>
        </w:rPr>
        <w:t>被保险人因输血感染上人类免疫缺陷病毒</w:t>
      </w:r>
      <w:r>
        <w:rPr>
          <w:spacing w:val="22"/>
        </w:rPr>
        <w:t>（</w:t>
      </w:r>
      <w:r>
        <w:rPr>
          <w:rFonts w:ascii="Times New Roman" w:eastAsia="Times New Roman"/>
          <w:spacing w:val="24"/>
        </w:rPr>
        <w:t>H</w:t>
      </w:r>
      <w:r>
        <w:rPr>
          <w:rFonts w:ascii="Times New Roman" w:eastAsia="Times New Roman"/>
          <w:spacing w:val="22"/>
        </w:rPr>
        <w:t>I</w:t>
      </w:r>
      <w:r>
        <w:rPr>
          <w:rFonts w:ascii="Times New Roman" w:eastAsia="Times New Roman"/>
          <w:spacing w:val="26"/>
        </w:rPr>
        <w:t>V</w:t>
      </w:r>
      <w:r>
        <w:rPr>
          <w:spacing w:val="-83"/>
        </w:rPr>
        <w:t>）</w:t>
      </w:r>
      <w:r>
        <w:rPr>
          <w:spacing w:val="-16"/>
        </w:rPr>
        <w:t>，并须满足下列全部条件：</w:t>
      </w:r>
    </w:p>
    <w:p>
      <w:pPr>
        <w:pStyle w:val="8"/>
        <w:numPr>
          <w:ilvl w:val="0"/>
          <w:numId w:val="30"/>
        </w:numPr>
        <w:tabs>
          <w:tab w:val="left" w:pos="805"/>
        </w:tabs>
        <w:spacing w:before="42" w:after="0" w:line="240" w:lineRule="auto"/>
        <w:ind w:left="804" w:right="0" w:hanging="632"/>
        <w:jc w:val="left"/>
        <w:rPr>
          <w:sz w:val="21"/>
        </w:rPr>
      </w:pPr>
      <w:r>
        <w:rPr>
          <w:spacing w:val="-5"/>
          <w:sz w:val="21"/>
        </w:rPr>
        <w:t xml:space="preserve">本合同生效之日后，被保险人因输血而感染 </w:t>
      </w:r>
      <w:r>
        <w:rPr>
          <w:rFonts w:ascii="Times New Roman" w:eastAsia="Times New Roman"/>
          <w:spacing w:val="-4"/>
          <w:sz w:val="21"/>
        </w:rPr>
        <w:t>HIV</w:t>
      </w:r>
      <w:r>
        <w:rPr>
          <w:spacing w:val="-4"/>
          <w:sz w:val="21"/>
        </w:rPr>
        <w:t>；</w:t>
      </w:r>
    </w:p>
    <w:p>
      <w:pPr>
        <w:pStyle w:val="8"/>
        <w:numPr>
          <w:ilvl w:val="0"/>
          <w:numId w:val="30"/>
        </w:numPr>
        <w:tabs>
          <w:tab w:val="left" w:pos="788"/>
        </w:tabs>
        <w:spacing w:before="43" w:after="0" w:line="278" w:lineRule="auto"/>
        <w:ind w:left="804" w:right="234" w:hanging="632"/>
        <w:jc w:val="left"/>
        <w:rPr>
          <w:sz w:val="21"/>
        </w:rPr>
      </w:pPr>
      <w:r>
        <w:rPr>
          <w:spacing w:val="-2"/>
          <w:sz w:val="21"/>
        </w:rPr>
        <w:t>提供输血治疗的输血中心或医院出具该项输血感染属医疗责任事故的报告，或法院终审裁定为医疗责任；</w:t>
      </w:r>
    </w:p>
    <w:p>
      <w:pPr>
        <w:pStyle w:val="8"/>
        <w:numPr>
          <w:ilvl w:val="0"/>
          <w:numId w:val="30"/>
        </w:numPr>
        <w:tabs>
          <w:tab w:val="left" w:pos="805"/>
        </w:tabs>
        <w:spacing w:before="0" w:after="0" w:line="240" w:lineRule="auto"/>
        <w:ind w:left="804" w:right="0" w:hanging="632"/>
        <w:jc w:val="left"/>
        <w:rPr>
          <w:sz w:val="21"/>
        </w:rPr>
      </w:pPr>
      <w:r>
        <w:rPr>
          <w:spacing w:val="-3"/>
          <w:sz w:val="21"/>
        </w:rPr>
        <w:t>受感染的被保险人不是血友病患者。</w:t>
      </w:r>
    </w:p>
    <w:p>
      <w:pPr>
        <w:spacing w:after="0" w:line="240" w:lineRule="auto"/>
        <w:jc w:val="left"/>
        <w:rPr>
          <w:sz w:val="21"/>
        </w:rPr>
        <w:sectPr>
          <w:type w:val="continuous"/>
          <w:pgSz w:w="11910" w:h="16840"/>
          <w:pgMar w:top="500" w:right="840" w:bottom="280" w:left="860" w:header="720" w:footer="720" w:gutter="0"/>
          <w:cols w:equalWidth="0" w:num="2">
            <w:col w:w="3048" w:space="40"/>
            <w:col w:w="7122"/>
          </w:cols>
        </w:sectPr>
      </w:pPr>
    </w:p>
    <w:p>
      <w:pPr>
        <w:pStyle w:val="4"/>
        <w:spacing w:before="1"/>
        <w:rPr>
          <w:sz w:val="22"/>
        </w:rPr>
      </w:pPr>
    </w:p>
    <w:p>
      <w:pPr>
        <w:pStyle w:val="4"/>
        <w:spacing w:before="72" w:line="278" w:lineRule="auto"/>
        <w:ind w:left="3260" w:right="234"/>
        <w:jc w:val="both"/>
        <w:rPr>
          <w:rFonts w:ascii="黑体" w:eastAsia="黑体"/>
        </w:rPr>
      </w:pPr>
      <w:r>
        <w:rPr>
          <w:rFonts w:ascii="黑体" w:eastAsia="黑体"/>
          <w:color w:val="000000"/>
          <w:shd w:val="clear" w:color="auto" w:fill="D9D9D9"/>
        </w:rPr>
        <w:t>在任何治愈艾滋病（AIDS）</w:t>
      </w:r>
      <w:r>
        <w:rPr>
          <w:rFonts w:ascii="黑体" w:eastAsia="黑体"/>
          <w:color w:val="000000"/>
          <w:spacing w:val="3"/>
          <w:shd w:val="clear" w:color="auto" w:fill="D9D9D9"/>
        </w:rPr>
        <w:t>或阻止</w:t>
      </w:r>
      <w:r>
        <w:rPr>
          <w:rFonts w:ascii="黑体" w:eastAsia="黑体"/>
          <w:color w:val="000000"/>
          <w:shd w:val="clear" w:color="auto" w:fill="D9D9D9"/>
        </w:rPr>
        <w:t>HIV</w:t>
      </w:r>
      <w:r>
        <w:rPr>
          <w:rFonts w:ascii="黑体" w:eastAsia="黑体"/>
          <w:color w:val="000000"/>
          <w:spacing w:val="-6"/>
          <w:shd w:val="clear" w:color="auto" w:fill="D9D9D9"/>
        </w:rPr>
        <w:t xml:space="preserve"> 病毒作用的疗法被发现以后，或能</w:t>
      </w:r>
      <w:r>
        <w:rPr>
          <w:rFonts w:ascii="黑体" w:eastAsia="黑体"/>
          <w:color w:val="000000"/>
          <w:spacing w:val="40"/>
          <w:shd w:val="clear" w:color="auto" w:fill="D9D9D9"/>
        </w:rPr>
        <w:t xml:space="preserve"> </w:t>
      </w:r>
      <w:r>
        <w:rPr>
          <w:rFonts w:ascii="黑体" w:eastAsia="黑体"/>
          <w:color w:val="000000"/>
          <w:spacing w:val="-8"/>
          <w:shd w:val="clear" w:color="auto" w:fill="D9D9D9"/>
        </w:rPr>
        <w:t xml:space="preserve">防止 </w:t>
      </w:r>
      <w:r>
        <w:rPr>
          <w:rFonts w:ascii="黑体" w:eastAsia="黑体"/>
          <w:color w:val="000000"/>
          <w:shd w:val="clear" w:color="auto" w:fill="D9D9D9"/>
        </w:rPr>
        <w:t>AIDS</w:t>
      </w:r>
      <w:r>
        <w:rPr>
          <w:rFonts w:ascii="黑体" w:eastAsia="黑体"/>
          <w:color w:val="000000"/>
          <w:spacing w:val="-5"/>
          <w:shd w:val="clear" w:color="auto" w:fill="D9D9D9"/>
        </w:rPr>
        <w:t xml:space="preserve"> 发生的医疗方法被研究出来以后，我们不再承担给付保险金的</w:t>
      </w:r>
      <w:r>
        <w:rPr>
          <w:rFonts w:ascii="黑体" w:eastAsia="黑体"/>
          <w:color w:val="000000"/>
          <w:spacing w:val="-4"/>
          <w:shd w:val="clear" w:color="auto" w:fill="D9D9D9"/>
        </w:rPr>
        <w:t>责任。</w:t>
      </w:r>
    </w:p>
    <w:p>
      <w:pPr>
        <w:pStyle w:val="4"/>
        <w:spacing w:before="9"/>
        <w:rPr>
          <w:rFonts w:ascii="黑体"/>
          <w:sz w:val="18"/>
        </w:rPr>
      </w:pPr>
    </w:p>
    <w:p>
      <w:pPr>
        <w:pStyle w:val="4"/>
        <w:spacing w:before="72" w:line="278" w:lineRule="auto"/>
        <w:ind w:left="3260" w:right="128"/>
      </w:pPr>
      <w:r>
        <w:rPr>
          <w:rFonts w:ascii="黑体" w:eastAsia="黑体"/>
          <w:color w:val="000000"/>
          <w:spacing w:val="-2"/>
          <w:shd w:val="clear" w:color="auto" w:fill="D9D9D9"/>
        </w:rPr>
        <w:t>任何因其他传播方式（包括：性传播或静脉注射毒品）导致的HIV</w:t>
      </w:r>
      <w:r>
        <w:rPr>
          <w:rFonts w:ascii="黑体" w:eastAsia="黑体"/>
          <w:color w:val="000000"/>
          <w:spacing w:val="-14"/>
          <w:shd w:val="clear" w:color="auto" w:fill="D9D9D9"/>
        </w:rPr>
        <w:t xml:space="preserve"> 感染的，</w:t>
      </w:r>
      <w:r>
        <w:rPr>
          <w:rFonts w:ascii="黑体" w:eastAsia="黑体"/>
          <w:color w:val="000000"/>
          <w:spacing w:val="80"/>
          <w:w w:val="150"/>
          <w:shd w:val="clear" w:color="auto" w:fill="D9D9D9"/>
        </w:rPr>
        <w:t xml:space="preserve">                                     </w:t>
      </w:r>
      <w:r>
        <w:rPr>
          <w:rFonts w:ascii="黑体" w:eastAsia="黑体"/>
          <w:color w:val="000000"/>
          <w:spacing w:val="-2"/>
          <w:shd w:val="clear" w:color="auto" w:fill="D9D9D9"/>
        </w:rPr>
        <w:t>不在保障范围内。</w:t>
      </w:r>
      <w:r>
        <w:rPr>
          <w:color w:val="000000"/>
          <w:spacing w:val="-2"/>
        </w:rPr>
        <w:t>我们拥有获得使用被保险人的所有血液样本的权利和能够对这些样本进行独立检验的权利。</w:t>
      </w:r>
    </w:p>
    <w:p>
      <w:pPr>
        <w:pStyle w:val="4"/>
        <w:spacing w:before="4"/>
        <w:rPr>
          <w:sz w:val="24"/>
        </w:rPr>
      </w:pPr>
    </w:p>
    <w:p>
      <w:pPr>
        <w:pStyle w:val="4"/>
        <w:ind w:left="3260"/>
      </w:pPr>
      <w:r>
        <w:rPr>
          <w:spacing w:val="-2"/>
        </w:rPr>
        <w:t>我们承担该项保险责任，不受本保险条款责任免除第（</w:t>
      </w:r>
      <w:r>
        <w:rPr>
          <w:rFonts w:ascii="Times New Roman" w:eastAsia="Times New Roman"/>
          <w:spacing w:val="-2"/>
        </w:rPr>
        <w:t>6</w:t>
      </w:r>
      <w:r>
        <w:rPr>
          <w:spacing w:val="-2"/>
        </w:rPr>
        <w:t>）</w:t>
      </w:r>
      <w:r>
        <w:rPr>
          <w:spacing w:val="-4"/>
        </w:rPr>
        <w:t>条限制。</w:t>
      </w:r>
    </w:p>
    <w:p>
      <w:pPr>
        <w:pStyle w:val="4"/>
        <w:rPr>
          <w:sz w:val="20"/>
        </w:rPr>
      </w:pPr>
    </w:p>
    <w:p>
      <w:pPr>
        <w:pStyle w:val="4"/>
        <w:spacing w:before="4"/>
        <w:rPr>
          <w:sz w:val="18"/>
        </w:rPr>
      </w:pPr>
      <w:r>
        <w:drawing>
          <wp:anchor distT="0" distB="0" distL="0" distR="0" simplePos="0" relativeHeight="251660288" behindDoc="0" locked="0" layoutInCell="1" allowOverlap="1">
            <wp:simplePos x="0" y="0"/>
            <wp:positionH relativeFrom="page">
              <wp:posOffset>685800</wp:posOffset>
            </wp:positionH>
            <wp:positionV relativeFrom="paragraph">
              <wp:posOffset>163830</wp:posOffset>
            </wp:positionV>
            <wp:extent cx="1828800" cy="6350"/>
            <wp:effectExtent l="0" t="0" r="0" b="0"/>
            <wp:wrapTopAndBottom/>
            <wp:docPr id="7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19.png"/>
                    <pic:cNvPicPr>
                      <a:picLocks noChangeAspect="1"/>
                    </pic:cNvPicPr>
                  </pic:nvPicPr>
                  <pic:blipFill>
                    <a:blip r:embed="rId24" cstate="print"/>
                    <a:stretch>
                      <a:fillRect/>
                    </a:stretch>
                  </pic:blipFill>
                  <pic:spPr>
                    <a:xfrm>
                      <a:off x="0" y="0"/>
                      <a:ext cx="1828800" cy="6095"/>
                    </a:xfrm>
                    <a:prstGeom prst="rect">
                      <a:avLst/>
                    </a:prstGeom>
                  </pic:spPr>
                </pic:pic>
              </a:graphicData>
            </a:graphic>
          </wp:anchor>
        </w:drawing>
      </w:r>
    </w:p>
    <w:p>
      <w:pPr>
        <w:spacing w:before="156"/>
        <w:ind w:left="220" w:right="0" w:firstLine="0"/>
        <w:jc w:val="left"/>
        <w:rPr>
          <w:sz w:val="18"/>
        </w:rPr>
      </w:pPr>
      <w:r>
        <w:rPr>
          <w:rFonts w:ascii="Times New Roman" w:eastAsia="Times New Roman"/>
          <w:sz w:val="18"/>
          <w:vertAlign w:val="superscript"/>
        </w:rPr>
        <w:t>48</w:t>
      </w:r>
      <w:r>
        <w:rPr>
          <w:rFonts w:ascii="Times New Roman" w:eastAsia="Times New Roman"/>
          <w:spacing w:val="31"/>
          <w:sz w:val="18"/>
          <w:vertAlign w:val="baseline"/>
        </w:rPr>
        <w:t xml:space="preserve"> </w:t>
      </w:r>
      <w:r>
        <w:rPr>
          <w:b/>
          <w:sz w:val="18"/>
          <w:vertAlign w:val="baseline"/>
        </w:rPr>
        <w:t>类风湿性关节炎功能分级</w:t>
      </w:r>
      <w:r>
        <w:rPr>
          <w:spacing w:val="-1"/>
          <w:sz w:val="18"/>
          <w:vertAlign w:val="baseline"/>
        </w:rPr>
        <w:t>指美国风湿病学会类风湿性关节炎分级：</w:t>
      </w:r>
    </w:p>
    <w:p>
      <w:pPr>
        <w:spacing w:before="69"/>
        <w:ind w:left="445" w:right="0" w:firstLine="0"/>
        <w:jc w:val="left"/>
        <w:rPr>
          <w:sz w:val="18"/>
        </w:rPr>
      </w:pPr>
      <w:r>
        <w:rPr>
          <w:rFonts w:ascii="Times New Roman" w:hAnsi="Times New Roman" w:eastAsia="Times New Roman"/>
          <w:sz w:val="18"/>
        </w:rPr>
        <w:t>Ⅰ</w:t>
      </w:r>
      <w:r>
        <w:rPr>
          <w:spacing w:val="-1"/>
          <w:sz w:val="18"/>
        </w:rPr>
        <w:t>级：关节能自由活动，能完成平常的任务而无妨碍；</w:t>
      </w:r>
    </w:p>
    <w:p>
      <w:pPr>
        <w:spacing w:before="70" w:line="312" w:lineRule="auto"/>
        <w:ind w:left="445" w:right="3803" w:firstLine="0"/>
        <w:jc w:val="left"/>
        <w:rPr>
          <w:sz w:val="18"/>
        </w:rPr>
      </w:pPr>
      <w:r>
        <w:rPr>
          <w:rFonts w:ascii="Times New Roman" w:hAnsi="Times New Roman" w:eastAsia="Times New Roman"/>
          <w:spacing w:val="-2"/>
          <w:sz w:val="18"/>
        </w:rPr>
        <w:t>Ⅱ</w:t>
      </w:r>
      <w:r>
        <w:rPr>
          <w:spacing w:val="-2"/>
          <w:sz w:val="18"/>
        </w:rPr>
        <w:t xml:space="preserve">级：关节活动中度限制，一个或几个关节疼痛不适，但能料理日常生活； </w:t>
      </w:r>
      <w:r>
        <w:rPr>
          <w:rFonts w:ascii="Times New Roman" w:hAnsi="Times New Roman" w:eastAsia="Times New Roman"/>
          <w:spacing w:val="-2"/>
          <w:sz w:val="18"/>
        </w:rPr>
        <w:t>Ⅲ</w:t>
      </w:r>
      <w:r>
        <w:rPr>
          <w:spacing w:val="-2"/>
          <w:sz w:val="18"/>
        </w:rPr>
        <w:t>级：关节活动显著限制，不能胜任工作，且料理日常生活困难；</w:t>
      </w:r>
    </w:p>
    <w:p>
      <w:pPr>
        <w:spacing w:before="0"/>
        <w:ind w:left="445" w:right="0" w:firstLine="0"/>
        <w:jc w:val="left"/>
        <w:rPr>
          <w:sz w:val="18"/>
        </w:rPr>
      </w:pPr>
      <w:r>
        <w:rPr>
          <w:rFonts w:ascii="Times New Roman" w:hAnsi="Times New Roman" w:eastAsia="Times New Roman"/>
          <w:sz w:val="18"/>
        </w:rPr>
        <w:t>Ⅳ</w:t>
      </w:r>
      <w:r>
        <w:rPr>
          <w:spacing w:val="-1"/>
          <w:sz w:val="18"/>
        </w:rPr>
        <w:t>级：大部分或完全失去活动能力，病人长期卧床或依赖轮椅，生活不能自理。</w:t>
      </w:r>
    </w:p>
    <w:p>
      <w:pPr>
        <w:spacing w:after="0"/>
        <w:jc w:val="left"/>
        <w:rPr>
          <w:sz w:val="18"/>
        </w:rPr>
        <w:sectPr>
          <w:type w:val="continuous"/>
          <w:pgSz w:w="11910" w:h="16840"/>
          <w:pgMar w:top="500" w:right="840" w:bottom="280" w:left="860" w:header="720" w:footer="720" w:gutter="0"/>
          <w:cols w:space="720" w:num="1"/>
        </w:sectPr>
      </w:pPr>
    </w:p>
    <w:p>
      <w:pPr>
        <w:pStyle w:val="8"/>
        <w:numPr>
          <w:ilvl w:val="2"/>
          <w:numId w:val="25"/>
        </w:numPr>
        <w:tabs>
          <w:tab w:val="left" w:pos="1196"/>
          <w:tab w:val="left" w:pos="1197"/>
          <w:tab w:val="left" w:pos="3260"/>
        </w:tabs>
        <w:spacing w:before="47" w:after="0" w:line="240" w:lineRule="auto"/>
        <w:ind w:left="1196" w:right="0" w:hanging="977"/>
        <w:jc w:val="left"/>
        <w:rPr>
          <w:sz w:val="21"/>
        </w:rPr>
      </w:pPr>
      <w:r>
        <w:rPr>
          <w:b/>
          <w:sz w:val="21"/>
        </w:rPr>
        <w:t>严重克隆</w:t>
      </w:r>
      <w:r>
        <w:rPr>
          <w:b/>
          <w:spacing w:val="-10"/>
          <w:sz w:val="21"/>
        </w:rPr>
        <w:t>病</w:t>
      </w:r>
      <w:r>
        <w:rPr>
          <w:b/>
          <w:sz w:val="21"/>
        </w:rPr>
        <w:tab/>
      </w:r>
      <w:r>
        <w:rPr>
          <w:spacing w:val="-2"/>
          <w:sz w:val="21"/>
        </w:rPr>
        <w:t>克隆病是一种慢性肉芽肿性肠炎，具有特征性的克隆病病理组织学变化</w:t>
      </w:r>
      <w:r>
        <w:rPr>
          <w:spacing w:val="-10"/>
          <w:sz w:val="21"/>
        </w:rPr>
        <w:t>，</w:t>
      </w:r>
    </w:p>
    <w:p>
      <w:pPr>
        <w:pStyle w:val="4"/>
        <w:spacing w:before="43" w:line="278" w:lineRule="auto"/>
        <w:ind w:left="3260" w:right="234"/>
      </w:pPr>
      <w:r>
        <w:rPr>
          <w:spacing w:val="-2"/>
        </w:rPr>
        <w:t>须经病理学检查结果明确诊断。被保险人所患的克隆病必须已经造成瘘管形成并伴有肠梗阻或肠穿孔。</w:t>
      </w:r>
    </w:p>
    <w:p>
      <w:pPr>
        <w:pStyle w:val="4"/>
        <w:spacing w:before="4"/>
        <w:rPr>
          <w:sz w:val="24"/>
        </w:rPr>
      </w:pPr>
    </w:p>
    <w:p>
      <w:pPr>
        <w:pStyle w:val="8"/>
        <w:numPr>
          <w:ilvl w:val="2"/>
          <w:numId w:val="25"/>
        </w:numPr>
        <w:tabs>
          <w:tab w:val="left" w:pos="1196"/>
          <w:tab w:val="left" w:pos="1197"/>
          <w:tab w:val="left" w:pos="3260"/>
        </w:tabs>
        <w:spacing w:before="0" w:after="0" w:line="240" w:lineRule="auto"/>
        <w:ind w:left="1196" w:right="0" w:hanging="977"/>
        <w:jc w:val="left"/>
        <w:rPr>
          <w:sz w:val="21"/>
        </w:rPr>
      </w:pPr>
      <w:r>
        <w:rPr>
          <w:b/>
          <w:sz w:val="21"/>
        </w:rPr>
        <w:t>肌营养不良</w:t>
      </w:r>
      <w:r>
        <w:rPr>
          <w:b/>
          <w:spacing w:val="-10"/>
          <w:sz w:val="21"/>
        </w:rPr>
        <w:t>症</w:t>
      </w:r>
      <w:r>
        <w:rPr>
          <w:b/>
          <w:sz w:val="21"/>
        </w:rPr>
        <w:tab/>
      </w:r>
      <w:r>
        <w:rPr>
          <w:spacing w:val="-2"/>
          <w:sz w:val="21"/>
        </w:rPr>
        <w:t>是一组遗传性肌肉变性性病变，临床特征为与神经系统无关的肌肉无力</w:t>
      </w:r>
      <w:r>
        <w:rPr>
          <w:spacing w:val="-10"/>
          <w:sz w:val="21"/>
        </w:rPr>
        <w:t>和</w:t>
      </w:r>
    </w:p>
    <w:p>
      <w:pPr>
        <w:pStyle w:val="4"/>
        <w:spacing w:before="43" w:line="278" w:lineRule="auto"/>
        <w:ind w:left="3260" w:right="236"/>
      </w:pPr>
      <w:r>
        <w:rPr>
          <w:spacing w:val="-2"/>
        </w:rPr>
        <w:t>肌肉萎缩。须满足自主生活能力完全丧失，无法独立完成六项基本日常生活活动中的三项或三项以上的条件。</w:t>
      </w:r>
    </w:p>
    <w:p>
      <w:pPr>
        <w:pStyle w:val="4"/>
        <w:spacing w:before="4"/>
        <w:rPr>
          <w:sz w:val="24"/>
        </w:rPr>
      </w:pPr>
    </w:p>
    <w:p>
      <w:pPr>
        <w:pStyle w:val="4"/>
        <w:spacing w:before="1"/>
        <w:ind w:left="3260"/>
      </w:pPr>
      <w:r>
        <w:rPr>
          <w:spacing w:val="-2"/>
        </w:rPr>
        <w:t>我们承担该项保险责任，不受本保险条款责任免除第（</w:t>
      </w:r>
      <w:r>
        <w:rPr>
          <w:rFonts w:ascii="Times New Roman" w:eastAsia="Times New Roman"/>
          <w:spacing w:val="-2"/>
        </w:rPr>
        <w:t>7</w:t>
      </w:r>
      <w:r>
        <w:rPr>
          <w:spacing w:val="-2"/>
        </w:rPr>
        <w:t>）</w:t>
      </w:r>
      <w:r>
        <w:rPr>
          <w:spacing w:val="-4"/>
        </w:rPr>
        <w:t>条限制。</w:t>
      </w:r>
    </w:p>
    <w:p>
      <w:pPr>
        <w:pStyle w:val="4"/>
        <w:spacing w:before="1"/>
        <w:rPr>
          <w:sz w:val="22"/>
        </w:rPr>
      </w:pPr>
    </w:p>
    <w:p>
      <w:pPr>
        <w:spacing w:after="0"/>
        <w:rPr>
          <w:sz w:val="22"/>
        </w:rPr>
        <w:sectPr>
          <w:pgSz w:w="11910" w:h="16840"/>
          <w:pgMar w:top="1400" w:right="840" w:bottom="280" w:left="860" w:header="720" w:footer="720" w:gutter="0"/>
          <w:cols w:space="720" w:num="1"/>
        </w:sectPr>
      </w:pPr>
    </w:p>
    <w:p>
      <w:pPr>
        <w:pStyle w:val="8"/>
        <w:numPr>
          <w:ilvl w:val="2"/>
          <w:numId w:val="25"/>
        </w:numPr>
        <w:tabs>
          <w:tab w:val="left" w:pos="1196"/>
          <w:tab w:val="left" w:pos="1197"/>
        </w:tabs>
        <w:spacing w:before="72" w:after="0" w:line="278" w:lineRule="auto"/>
        <w:ind w:left="1196" w:right="0" w:hanging="977"/>
        <w:jc w:val="left"/>
        <w:rPr>
          <w:b/>
          <w:sz w:val="21"/>
        </w:rPr>
      </w:pPr>
      <w:r>
        <w:rPr>
          <w:b/>
          <w:spacing w:val="17"/>
          <w:sz w:val="21"/>
        </w:rPr>
        <w:t>破裂脑动脉瘤开颅</w:t>
      </w:r>
      <w:r>
        <w:rPr>
          <w:b/>
          <w:spacing w:val="-4"/>
          <w:sz w:val="21"/>
        </w:rPr>
        <w:t>夹闭手术</w:t>
      </w:r>
    </w:p>
    <w:p>
      <w:pPr>
        <w:pStyle w:val="4"/>
        <w:spacing w:before="72" w:line="278" w:lineRule="auto"/>
        <w:ind w:left="173" w:right="234"/>
      </w:pPr>
      <w:r>
        <w:br w:type="column"/>
      </w:r>
      <w:r>
        <w:rPr>
          <w:spacing w:val="-2"/>
        </w:rPr>
        <w:t>指被保险人因脑动脉瘤破裂造成蛛网膜下腔出血，实际接受了在全麻下进行的开颅脑动脉瘤夹闭手术。</w:t>
      </w:r>
    </w:p>
    <w:p>
      <w:pPr>
        <w:spacing w:after="0" w:line="278" w:lineRule="auto"/>
        <w:sectPr>
          <w:type w:val="continuous"/>
          <w:pgSz w:w="11910" w:h="16840"/>
          <w:pgMar w:top="500" w:right="840" w:bottom="280" w:left="860" w:header="720" w:footer="720" w:gutter="0"/>
          <w:cols w:equalWidth="0" w:num="2">
            <w:col w:w="3048" w:space="40"/>
            <w:col w:w="7122"/>
          </w:cols>
        </w:sectPr>
      </w:pPr>
    </w:p>
    <w:p>
      <w:pPr>
        <w:pStyle w:val="4"/>
        <w:spacing w:before="9"/>
        <w:rPr>
          <w:sz w:val="18"/>
        </w:rPr>
      </w:pPr>
    </w:p>
    <w:p>
      <w:pPr>
        <w:pStyle w:val="4"/>
        <w:spacing w:before="72" w:line="278" w:lineRule="auto"/>
        <w:ind w:left="3260" w:right="234"/>
        <w:rPr>
          <w:rFonts w:ascii="黑体" w:eastAsia="黑体"/>
        </w:rPr>
      </w:pPr>
      <w:r>
        <w:rPr>
          <w:rFonts w:ascii="黑体" w:eastAsia="黑体"/>
          <w:color w:val="000000"/>
          <w:spacing w:val="-2"/>
          <w:shd w:val="clear" w:color="auto" w:fill="D9D9D9"/>
        </w:rPr>
        <w:t>脑动脉瘤（未破裂）预防性手术、颅骨打孔手术、动脉瘤栓塞手术、血管</w:t>
      </w:r>
      <w:r>
        <w:rPr>
          <w:rFonts w:ascii="黑体" w:eastAsia="黑体"/>
          <w:color w:val="000000"/>
          <w:spacing w:val="80"/>
          <w:w w:val="150"/>
          <w:shd w:val="clear" w:color="auto" w:fill="D9D9D9"/>
        </w:rPr>
        <w:t xml:space="preserve">                                    </w:t>
      </w:r>
      <w:r>
        <w:rPr>
          <w:rFonts w:ascii="黑体" w:eastAsia="黑体"/>
          <w:color w:val="000000"/>
          <w:spacing w:val="-2"/>
          <w:shd w:val="clear" w:color="auto" w:fill="D9D9D9"/>
        </w:rPr>
        <w:t>内手术及其他颅脑手术不在保障范围内。</w:t>
      </w:r>
    </w:p>
    <w:p>
      <w:pPr>
        <w:pStyle w:val="4"/>
        <w:spacing w:before="9"/>
        <w:rPr>
          <w:rFonts w:ascii="黑体"/>
          <w:sz w:val="18"/>
        </w:rPr>
      </w:pPr>
    </w:p>
    <w:p>
      <w:pPr>
        <w:spacing w:after="0"/>
        <w:rPr>
          <w:rFonts w:ascii="黑体"/>
          <w:sz w:val="18"/>
        </w:rPr>
        <w:sectPr>
          <w:type w:val="continuous"/>
          <w:pgSz w:w="11910" w:h="16840"/>
          <w:pgMar w:top="500" w:right="840" w:bottom="280" w:left="860" w:header="720" w:footer="720" w:gutter="0"/>
          <w:cols w:space="720" w:num="1"/>
        </w:sectPr>
      </w:pPr>
    </w:p>
    <w:p>
      <w:pPr>
        <w:pStyle w:val="8"/>
        <w:numPr>
          <w:ilvl w:val="2"/>
          <w:numId w:val="25"/>
        </w:numPr>
        <w:tabs>
          <w:tab w:val="left" w:pos="1196"/>
          <w:tab w:val="left" w:pos="1197"/>
        </w:tabs>
        <w:spacing w:before="72" w:after="0" w:line="240" w:lineRule="auto"/>
        <w:ind w:left="1196" w:right="0" w:hanging="977"/>
        <w:jc w:val="left"/>
        <w:rPr>
          <w:b/>
          <w:sz w:val="21"/>
        </w:rPr>
      </w:pPr>
      <w:r>
        <w:rPr>
          <w:b/>
          <w:spacing w:val="17"/>
          <w:sz w:val="21"/>
        </w:rPr>
        <w:t>严重弥漫性系统性</w:t>
      </w:r>
    </w:p>
    <w:p>
      <w:pPr>
        <w:spacing w:before="43"/>
        <w:ind w:left="1196" w:right="0" w:firstLine="0"/>
        <w:jc w:val="left"/>
        <w:rPr>
          <w:b/>
          <w:sz w:val="21"/>
        </w:rPr>
      </w:pPr>
      <w:r>
        <w:rPr>
          <w:b/>
          <w:spacing w:val="-4"/>
          <w:sz w:val="21"/>
        </w:rPr>
        <w:t>硬皮病</w:t>
      </w:r>
    </w:p>
    <w:p>
      <w:pPr>
        <w:pStyle w:val="4"/>
        <w:spacing w:before="72" w:line="278" w:lineRule="auto"/>
        <w:ind w:left="173" w:right="234"/>
        <w:jc w:val="both"/>
      </w:pPr>
      <w:r>
        <w:br w:type="column"/>
      </w:r>
      <w:r>
        <w:rPr>
          <w:spacing w:val="-4"/>
          <w:w w:val="100"/>
        </w:rPr>
        <w:t>是一种系统性胶原血管病引起进行性的皮肤、血管和内脏器官的弥漫性纤</w:t>
      </w:r>
      <w:r>
        <w:rPr>
          <w:spacing w:val="3"/>
          <w:w w:val="100"/>
        </w:rPr>
        <w:t>维化。诊断必须明确并由活检和血清学证据支持并且疾病已经影响到心</w:t>
      </w:r>
      <w:r>
        <w:rPr>
          <w:spacing w:val="-3"/>
          <w:w w:val="100"/>
        </w:rPr>
        <w:t>脏、肺或肾脏等内脏器官并且达到下列标准之一。</w:t>
      </w:r>
    </w:p>
    <w:p>
      <w:pPr>
        <w:pStyle w:val="8"/>
        <w:numPr>
          <w:ilvl w:val="0"/>
          <w:numId w:val="31"/>
        </w:numPr>
        <w:tabs>
          <w:tab w:val="left" w:pos="703"/>
        </w:tabs>
        <w:spacing w:before="0" w:after="0" w:line="269" w:lineRule="exact"/>
        <w:ind w:left="702" w:right="0" w:hanging="530"/>
        <w:jc w:val="left"/>
        <w:rPr>
          <w:sz w:val="21"/>
        </w:rPr>
      </w:pPr>
      <w:r>
        <w:rPr>
          <w:spacing w:val="-3"/>
          <w:sz w:val="21"/>
        </w:rPr>
        <w:t>肺纤维化，已经出现肺动脉高压、肺心病；</w:t>
      </w:r>
    </w:p>
    <w:p>
      <w:pPr>
        <w:pStyle w:val="8"/>
        <w:numPr>
          <w:ilvl w:val="0"/>
          <w:numId w:val="31"/>
        </w:numPr>
        <w:tabs>
          <w:tab w:val="left" w:pos="709"/>
        </w:tabs>
        <w:spacing w:before="43" w:after="0" w:line="278" w:lineRule="auto"/>
        <w:ind w:left="699" w:right="234" w:hanging="526"/>
        <w:jc w:val="left"/>
        <w:rPr>
          <w:sz w:val="21"/>
        </w:rPr>
      </w:pPr>
      <w:r>
        <w:rPr>
          <w:spacing w:val="-2"/>
          <w:sz w:val="21"/>
        </w:rPr>
        <w:t>心脏损害，心脏功能衰竭程度达到美国纽约心脏病学会心功能状态分级</w:t>
      </w:r>
      <w:r>
        <w:rPr>
          <w:rFonts w:ascii="Times New Roman" w:hAnsi="Times New Roman" w:eastAsia="Times New Roman"/>
          <w:spacing w:val="-2"/>
          <w:sz w:val="21"/>
        </w:rPr>
        <w:t>Ⅳ</w:t>
      </w:r>
      <w:r>
        <w:rPr>
          <w:spacing w:val="-2"/>
          <w:sz w:val="21"/>
        </w:rPr>
        <w:t>级；</w:t>
      </w:r>
    </w:p>
    <w:p>
      <w:pPr>
        <w:pStyle w:val="8"/>
        <w:numPr>
          <w:ilvl w:val="0"/>
          <w:numId w:val="31"/>
        </w:numPr>
        <w:tabs>
          <w:tab w:val="left" w:pos="703"/>
        </w:tabs>
        <w:spacing w:before="0" w:after="0" w:line="269" w:lineRule="exact"/>
        <w:ind w:left="702" w:right="0" w:hanging="530"/>
        <w:jc w:val="left"/>
        <w:rPr>
          <w:sz w:val="21"/>
        </w:rPr>
      </w:pPr>
      <w:r>
        <w:rPr>
          <w:spacing w:val="-3"/>
          <w:sz w:val="21"/>
        </w:rPr>
        <w:t>肾脏损害，已经出现肾功能衰竭。</w:t>
      </w:r>
    </w:p>
    <w:p>
      <w:pPr>
        <w:spacing w:after="0" w:line="269" w:lineRule="exact"/>
        <w:jc w:val="left"/>
        <w:rPr>
          <w:sz w:val="21"/>
        </w:rPr>
        <w:sectPr>
          <w:type w:val="continuous"/>
          <w:pgSz w:w="11910" w:h="16840"/>
          <w:pgMar w:top="500" w:right="840" w:bottom="280" w:left="860" w:header="720" w:footer="720" w:gutter="0"/>
          <w:cols w:equalWidth="0" w:num="2">
            <w:col w:w="3048" w:space="40"/>
            <w:col w:w="7122"/>
          </w:cols>
        </w:sectPr>
      </w:pPr>
    </w:p>
    <w:p>
      <w:pPr>
        <w:pStyle w:val="4"/>
        <w:spacing w:before="1"/>
        <w:rPr>
          <w:sz w:val="22"/>
        </w:rPr>
      </w:pPr>
    </w:p>
    <w:p>
      <w:pPr>
        <w:pStyle w:val="4"/>
        <w:spacing w:before="72"/>
        <w:ind w:left="3260"/>
        <w:rPr>
          <w:rFonts w:ascii="黑体" w:eastAsia="黑体"/>
        </w:rPr>
      </w:pPr>
      <w:r>
        <w:rPr>
          <w:rFonts w:ascii="黑体" w:eastAsia="黑体"/>
          <w:color w:val="000000"/>
          <w:spacing w:val="-3"/>
          <w:shd w:val="clear" w:color="auto" w:fill="D9D9D9"/>
        </w:rPr>
        <w:t>下列疾病不在保障范围内：</w:t>
      </w:r>
    </w:p>
    <w:p>
      <w:pPr>
        <w:pStyle w:val="8"/>
        <w:numPr>
          <w:ilvl w:val="1"/>
          <w:numId w:val="31"/>
        </w:numPr>
        <w:tabs>
          <w:tab w:val="left" w:pos="3790"/>
        </w:tabs>
        <w:spacing w:before="43" w:after="0" w:line="240" w:lineRule="auto"/>
        <w:ind w:left="3789" w:right="0" w:hanging="530"/>
        <w:jc w:val="left"/>
        <w:rPr>
          <w:rFonts w:ascii="黑体" w:eastAsia="黑体"/>
          <w:sz w:val="21"/>
        </w:rPr>
      </w:pPr>
      <w:r>
        <w:rPr>
          <w:rFonts w:ascii="黑体" w:eastAsia="黑体"/>
          <w:color w:val="000000"/>
          <w:spacing w:val="-4"/>
          <w:sz w:val="21"/>
          <w:shd w:val="clear" w:color="auto" w:fill="D9D9D9"/>
        </w:rPr>
        <w:t>局限硬皮病；</w:t>
      </w:r>
    </w:p>
    <w:p>
      <w:pPr>
        <w:pStyle w:val="8"/>
        <w:numPr>
          <w:ilvl w:val="1"/>
          <w:numId w:val="31"/>
        </w:numPr>
        <w:tabs>
          <w:tab w:val="left" w:pos="3790"/>
        </w:tabs>
        <w:spacing w:before="43" w:after="0" w:line="240" w:lineRule="auto"/>
        <w:ind w:left="3789" w:right="0" w:hanging="530"/>
        <w:jc w:val="left"/>
        <w:rPr>
          <w:rFonts w:ascii="黑体" w:eastAsia="黑体"/>
          <w:sz w:val="21"/>
        </w:rPr>
      </w:pPr>
      <w:r>
        <w:rPr>
          <w:rFonts w:ascii="黑体" w:eastAsia="黑体"/>
          <w:color w:val="000000"/>
          <w:spacing w:val="-4"/>
          <w:sz w:val="21"/>
          <w:shd w:val="clear" w:color="auto" w:fill="D9D9D9"/>
        </w:rPr>
        <w:t>嗜酸细胞筋膜炎；</w:t>
      </w:r>
    </w:p>
    <w:p>
      <w:pPr>
        <w:pStyle w:val="8"/>
        <w:numPr>
          <w:ilvl w:val="1"/>
          <w:numId w:val="31"/>
        </w:numPr>
        <w:tabs>
          <w:tab w:val="left" w:pos="3790"/>
        </w:tabs>
        <w:spacing w:before="43" w:after="0" w:line="240" w:lineRule="auto"/>
        <w:ind w:left="3789" w:right="0" w:hanging="530"/>
        <w:jc w:val="left"/>
        <w:rPr>
          <w:rFonts w:ascii="黑体" w:eastAsia="黑体"/>
          <w:sz w:val="21"/>
        </w:rPr>
      </w:pPr>
      <w:r>
        <w:rPr>
          <w:rFonts w:ascii="黑体" w:eastAsia="黑体"/>
          <w:color w:val="000000"/>
          <w:spacing w:val="-2"/>
          <w:sz w:val="21"/>
          <w:shd w:val="clear" w:color="auto" w:fill="D9D9D9"/>
        </w:rPr>
        <w:t>CREST</w:t>
      </w:r>
      <w:r>
        <w:rPr>
          <w:rFonts w:ascii="黑体" w:eastAsia="黑体"/>
          <w:color w:val="000000"/>
          <w:spacing w:val="-14"/>
          <w:sz w:val="21"/>
          <w:shd w:val="clear" w:color="auto" w:fill="D9D9D9"/>
        </w:rPr>
        <w:t xml:space="preserve"> 综合征。</w:t>
      </w:r>
    </w:p>
    <w:p>
      <w:pPr>
        <w:pStyle w:val="4"/>
        <w:spacing w:before="9"/>
        <w:rPr>
          <w:rFonts w:ascii="黑体"/>
          <w:sz w:val="27"/>
        </w:rPr>
      </w:pPr>
    </w:p>
    <w:p>
      <w:pPr>
        <w:pStyle w:val="8"/>
        <w:numPr>
          <w:ilvl w:val="2"/>
          <w:numId w:val="25"/>
        </w:numPr>
        <w:tabs>
          <w:tab w:val="left" w:pos="1197"/>
        </w:tabs>
        <w:spacing w:before="0" w:after="0" w:line="240" w:lineRule="auto"/>
        <w:ind w:left="1196" w:right="0" w:hanging="977"/>
        <w:jc w:val="both"/>
        <w:rPr>
          <w:sz w:val="21"/>
        </w:rPr>
      </w:pPr>
      <w:r>
        <w:rPr>
          <w:b/>
          <w:sz w:val="21"/>
        </w:rPr>
        <w:t>严重冠心病</w:t>
      </w:r>
      <w:r>
        <w:rPr>
          <w:b/>
          <w:spacing w:val="70"/>
          <w:w w:val="150"/>
          <w:sz w:val="21"/>
        </w:rPr>
        <w:t xml:space="preserve">     </w:t>
      </w:r>
      <w:r>
        <w:rPr>
          <w:spacing w:val="-1"/>
          <w:sz w:val="21"/>
        </w:rPr>
        <w:t>指被保险人经由冠状动脉造影检查明确诊断为三支主要血管严重狭窄性</w:t>
      </w:r>
    </w:p>
    <w:p>
      <w:pPr>
        <w:pStyle w:val="4"/>
        <w:spacing w:before="43" w:line="278" w:lineRule="auto"/>
        <w:ind w:left="3260" w:right="234"/>
        <w:jc w:val="both"/>
      </w:pPr>
      <w:r>
        <w:rPr>
          <w:spacing w:val="-36"/>
        </w:rPr>
        <w:t>病变</w:t>
      </w:r>
      <w:r>
        <w:rPr>
          <w:spacing w:val="-2"/>
        </w:rPr>
        <w:t>（</w:t>
      </w:r>
      <w:r>
        <w:rPr>
          <w:spacing w:val="-4"/>
        </w:rPr>
        <w:t xml:space="preserve">至少一支血管管腔直径减少 </w:t>
      </w:r>
      <w:r>
        <w:rPr>
          <w:rFonts w:ascii="Times New Roman" w:eastAsia="Times New Roman"/>
          <w:spacing w:val="-2"/>
        </w:rPr>
        <w:t>75</w:t>
      </w:r>
      <w:r>
        <w:rPr>
          <w:spacing w:val="-2"/>
        </w:rPr>
        <w:t xml:space="preserve">％以上和其他两支血管管腔直径减少 </w:t>
      </w:r>
      <w:r>
        <w:rPr>
          <w:rFonts w:ascii="Times New Roman" w:eastAsia="Times New Roman"/>
          <w:spacing w:val="-2"/>
        </w:rPr>
        <w:t>60</w:t>
      </w:r>
      <w:r>
        <w:rPr>
          <w:spacing w:val="-2"/>
        </w:rPr>
        <w:t>％以上</w:t>
      </w:r>
      <w:r>
        <w:rPr>
          <w:spacing w:val="-106"/>
        </w:rPr>
        <w:t>）</w:t>
      </w:r>
      <w:r>
        <w:rPr>
          <w:spacing w:val="-2"/>
        </w:rPr>
        <w:t>。冠状动脉主要血管指左冠状动脉主干、前降支、左旋支及右冠状动脉。</w:t>
      </w:r>
    </w:p>
    <w:p>
      <w:pPr>
        <w:pStyle w:val="4"/>
        <w:spacing w:before="9"/>
        <w:rPr>
          <w:sz w:val="18"/>
        </w:rPr>
      </w:pPr>
    </w:p>
    <w:p>
      <w:pPr>
        <w:pStyle w:val="4"/>
        <w:spacing w:before="72" w:line="278" w:lineRule="auto"/>
        <w:ind w:left="3260" w:right="234"/>
        <w:rPr>
          <w:rFonts w:ascii="黑体" w:eastAsia="黑体"/>
        </w:rPr>
      </w:pPr>
      <w:r>
        <w:rPr>
          <w:rFonts w:ascii="黑体" w:eastAsia="黑体"/>
          <w:color w:val="000000"/>
          <w:spacing w:val="-2"/>
          <w:shd w:val="clear" w:color="auto" w:fill="D9D9D9"/>
        </w:rPr>
        <w:t>前降支、左旋支及右冠状动脉的分支血管的狭窄不作为本合同保障的衡量</w:t>
      </w:r>
      <w:r>
        <w:rPr>
          <w:rFonts w:ascii="黑体" w:eastAsia="黑体"/>
          <w:color w:val="000000"/>
          <w:spacing w:val="-4"/>
          <w:shd w:val="clear" w:color="auto" w:fill="D9D9D9"/>
        </w:rPr>
        <w:t>指标。</w:t>
      </w:r>
    </w:p>
    <w:p>
      <w:pPr>
        <w:pStyle w:val="4"/>
        <w:spacing w:before="9"/>
        <w:rPr>
          <w:rFonts w:ascii="黑体"/>
          <w:sz w:val="18"/>
        </w:rPr>
      </w:pPr>
    </w:p>
    <w:p>
      <w:pPr>
        <w:spacing w:after="0"/>
        <w:rPr>
          <w:rFonts w:ascii="黑体"/>
          <w:sz w:val="18"/>
        </w:rPr>
        <w:sectPr>
          <w:type w:val="continuous"/>
          <w:pgSz w:w="11910" w:h="16840"/>
          <w:pgMar w:top="500" w:right="840" w:bottom="280" w:left="860" w:header="720" w:footer="720" w:gutter="0"/>
          <w:cols w:space="720" w:num="1"/>
        </w:sectPr>
      </w:pPr>
    </w:p>
    <w:p>
      <w:pPr>
        <w:pStyle w:val="8"/>
        <w:numPr>
          <w:ilvl w:val="2"/>
          <w:numId w:val="25"/>
        </w:numPr>
        <w:tabs>
          <w:tab w:val="left" w:pos="1196"/>
          <w:tab w:val="left" w:pos="1197"/>
        </w:tabs>
        <w:spacing w:before="72" w:after="0" w:line="240" w:lineRule="auto"/>
        <w:ind w:left="1196" w:right="0" w:hanging="977"/>
        <w:jc w:val="left"/>
        <w:rPr>
          <w:b/>
          <w:sz w:val="21"/>
        </w:rPr>
      </w:pPr>
      <w:r>
        <w:rPr>
          <w:b/>
          <w:spacing w:val="17"/>
          <w:sz w:val="21"/>
        </w:rPr>
        <w:t>严重慢性复发性胰</w:t>
      </w:r>
    </w:p>
    <w:p>
      <w:pPr>
        <w:spacing w:before="43"/>
        <w:ind w:left="1196" w:right="0" w:firstLine="0"/>
        <w:jc w:val="left"/>
        <w:rPr>
          <w:b/>
          <w:sz w:val="21"/>
        </w:rPr>
      </w:pPr>
      <w:r>
        <w:rPr>
          <w:b/>
          <w:spacing w:val="-5"/>
          <w:sz w:val="21"/>
        </w:rPr>
        <w:t>腺炎</w:t>
      </w:r>
    </w:p>
    <w:p>
      <w:pPr>
        <w:pStyle w:val="4"/>
        <w:spacing w:before="72" w:line="278" w:lineRule="auto"/>
        <w:ind w:left="173" w:right="234"/>
        <w:jc w:val="both"/>
      </w:pPr>
      <w:r>
        <w:br w:type="column"/>
      </w:r>
      <w:r>
        <w:rPr>
          <w:spacing w:val="-2"/>
        </w:rPr>
        <w:t>指慢性反复发作的胰腺炎症导致胰腺的广泛纤维化、坏死、弥漫性钙化及假性囊肿形成，造成胰腺功能障碍出现严重糖尿病和营养不良。须满足下列全部条件：</w:t>
      </w:r>
    </w:p>
    <w:p>
      <w:pPr>
        <w:pStyle w:val="8"/>
        <w:numPr>
          <w:ilvl w:val="0"/>
          <w:numId w:val="32"/>
        </w:numPr>
        <w:tabs>
          <w:tab w:val="left" w:pos="703"/>
        </w:tabs>
        <w:spacing w:before="0" w:after="0" w:line="269" w:lineRule="exact"/>
        <w:ind w:left="702" w:right="0" w:hanging="530"/>
        <w:jc w:val="left"/>
        <w:rPr>
          <w:sz w:val="21"/>
        </w:rPr>
      </w:pPr>
      <w:r>
        <w:rPr>
          <w:spacing w:val="-3"/>
          <w:sz w:val="21"/>
        </w:rPr>
        <w:t>医疗记录证实存在慢性胰腺炎反复急性发作病史；</w:t>
      </w:r>
    </w:p>
    <w:p>
      <w:pPr>
        <w:pStyle w:val="8"/>
        <w:numPr>
          <w:ilvl w:val="0"/>
          <w:numId w:val="32"/>
        </w:numPr>
        <w:tabs>
          <w:tab w:val="left" w:pos="703"/>
        </w:tabs>
        <w:spacing w:before="43" w:after="0" w:line="278" w:lineRule="auto"/>
        <w:ind w:left="699" w:right="234" w:hanging="526"/>
        <w:jc w:val="left"/>
        <w:rPr>
          <w:sz w:val="21"/>
        </w:rPr>
      </w:pPr>
      <w:r>
        <w:rPr>
          <w:rFonts w:ascii="Times New Roman" w:eastAsia="Times New Roman"/>
          <w:sz w:val="21"/>
        </w:rPr>
        <w:t>CT</w:t>
      </w:r>
      <w:r>
        <w:rPr>
          <w:rFonts w:ascii="Times New Roman" w:eastAsia="Times New Roman"/>
          <w:spacing w:val="52"/>
          <w:sz w:val="21"/>
        </w:rPr>
        <w:t xml:space="preserve"> </w:t>
      </w:r>
      <w:r>
        <w:rPr>
          <w:sz w:val="21"/>
        </w:rPr>
        <w:t>显示胰腺广泛钙化或逆行胰胆管造影（</w:t>
      </w:r>
      <w:r>
        <w:rPr>
          <w:rFonts w:ascii="Times New Roman" w:eastAsia="Times New Roman"/>
          <w:sz w:val="21"/>
        </w:rPr>
        <w:t>ERCP</w:t>
      </w:r>
      <w:r>
        <w:rPr>
          <w:sz w:val="21"/>
        </w:rPr>
        <w:t>）显示胰管扭曲、</w:t>
      </w:r>
      <w:r>
        <w:rPr>
          <w:spacing w:val="-2"/>
          <w:sz w:val="21"/>
        </w:rPr>
        <w:t>扩张和狭窄；</w:t>
      </w:r>
    </w:p>
    <w:p>
      <w:pPr>
        <w:pStyle w:val="8"/>
        <w:numPr>
          <w:ilvl w:val="0"/>
          <w:numId w:val="32"/>
        </w:numPr>
        <w:tabs>
          <w:tab w:val="left" w:pos="703"/>
        </w:tabs>
        <w:spacing w:before="0" w:after="0" w:line="269" w:lineRule="exact"/>
        <w:ind w:left="702" w:right="0" w:hanging="530"/>
        <w:jc w:val="left"/>
        <w:rPr>
          <w:sz w:val="21"/>
        </w:rPr>
      </w:pPr>
      <w:r>
        <w:rPr>
          <w:spacing w:val="-5"/>
          <w:sz w:val="21"/>
        </w:rPr>
        <w:t xml:space="preserve">持续接受胰岛素替代治疗和酶替代治疗 </w:t>
      </w:r>
      <w:r>
        <w:rPr>
          <w:rFonts w:ascii="Times New Roman" w:eastAsia="Times New Roman"/>
          <w:spacing w:val="-2"/>
          <w:sz w:val="21"/>
        </w:rPr>
        <w:t>180</w:t>
      </w:r>
      <w:r>
        <w:rPr>
          <w:rFonts w:ascii="Times New Roman" w:eastAsia="Times New Roman"/>
          <w:spacing w:val="9"/>
          <w:sz w:val="21"/>
        </w:rPr>
        <w:t xml:space="preserve"> </w:t>
      </w:r>
      <w:r>
        <w:rPr>
          <w:spacing w:val="-4"/>
          <w:sz w:val="21"/>
        </w:rPr>
        <w:t>日以上。</w:t>
      </w:r>
    </w:p>
    <w:p>
      <w:pPr>
        <w:spacing w:after="0" w:line="269" w:lineRule="exact"/>
        <w:jc w:val="left"/>
        <w:rPr>
          <w:sz w:val="21"/>
        </w:rPr>
        <w:sectPr>
          <w:type w:val="continuous"/>
          <w:pgSz w:w="11910" w:h="16840"/>
          <w:pgMar w:top="500" w:right="840" w:bottom="280" w:left="860" w:header="720" w:footer="720" w:gutter="0"/>
          <w:cols w:equalWidth="0" w:num="2">
            <w:col w:w="3048" w:space="40"/>
            <w:col w:w="7122"/>
          </w:cols>
        </w:sectPr>
      </w:pPr>
    </w:p>
    <w:p>
      <w:pPr>
        <w:pStyle w:val="4"/>
        <w:spacing w:before="2" w:after="1"/>
        <w:rPr>
          <w:sz w:val="16"/>
        </w:rPr>
      </w:pPr>
    </w:p>
    <w:tbl>
      <w:tblPr>
        <w:tblStyle w:val="5"/>
        <w:tblW w:w="0" w:type="auto"/>
        <w:tblInd w:w="17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56"/>
        <w:gridCol w:w="2127"/>
        <w:gridCol w:w="68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7" w:hRule="atLeast"/>
        </w:trPr>
        <w:tc>
          <w:tcPr>
            <w:tcW w:w="2983" w:type="dxa"/>
            <w:gridSpan w:val="2"/>
          </w:tcPr>
          <w:p>
            <w:pPr>
              <w:pStyle w:val="9"/>
              <w:rPr>
                <w:rFonts w:ascii="Times New Roman"/>
                <w:sz w:val="20"/>
              </w:rPr>
            </w:pPr>
          </w:p>
        </w:tc>
        <w:tc>
          <w:tcPr>
            <w:tcW w:w="6881" w:type="dxa"/>
          </w:tcPr>
          <w:p>
            <w:pPr>
              <w:pStyle w:val="9"/>
              <w:spacing w:line="241" w:lineRule="exact"/>
              <w:ind w:left="107"/>
              <w:rPr>
                <w:rFonts w:ascii="黑体" w:eastAsia="黑体"/>
                <w:sz w:val="21"/>
              </w:rPr>
            </w:pPr>
            <w:r>
              <w:rPr>
                <w:rFonts w:ascii="黑体" w:eastAsia="黑体"/>
                <w:color w:val="000000"/>
                <w:spacing w:val="-3"/>
                <w:sz w:val="21"/>
                <w:shd w:val="clear" w:color="auto" w:fill="D9D9D9"/>
              </w:rPr>
              <w:t>酒精导致的慢性复发性胰腺炎不在保障范围内。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856" w:type="dxa"/>
          </w:tcPr>
          <w:p>
            <w:pPr>
              <w:pStyle w:val="9"/>
              <w:spacing w:before="178"/>
              <w:ind w:left="50"/>
              <w:rPr>
                <w:b/>
                <w:sz w:val="21"/>
              </w:rPr>
            </w:pPr>
            <w:r>
              <w:rPr>
                <w:b/>
                <w:spacing w:val="-2"/>
                <w:sz w:val="21"/>
              </w:rPr>
              <w:t>7.2.41</w:t>
            </w:r>
          </w:p>
        </w:tc>
        <w:tc>
          <w:tcPr>
            <w:tcW w:w="2127" w:type="dxa"/>
          </w:tcPr>
          <w:p>
            <w:pPr>
              <w:pStyle w:val="9"/>
              <w:spacing w:before="178"/>
              <w:ind w:left="170"/>
              <w:rPr>
                <w:b/>
                <w:sz w:val="21"/>
              </w:rPr>
            </w:pPr>
            <w:r>
              <w:rPr>
                <w:b/>
                <w:spacing w:val="-2"/>
                <w:sz w:val="21"/>
              </w:rPr>
              <w:t>植物人状态</w:t>
            </w:r>
          </w:p>
        </w:tc>
        <w:tc>
          <w:tcPr>
            <w:tcW w:w="6881" w:type="dxa"/>
          </w:tcPr>
          <w:p>
            <w:pPr>
              <w:pStyle w:val="9"/>
              <w:spacing w:before="178"/>
              <w:ind w:left="107"/>
              <w:rPr>
                <w:sz w:val="21"/>
              </w:rPr>
            </w:pPr>
            <w:r>
              <w:rPr>
                <w:spacing w:val="-3"/>
                <w:sz w:val="21"/>
              </w:rPr>
              <w:t>指被保险人因意外事故或疾病导致大脑皮质功能丧失，人呈无意识状态，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81" w:type="dxa"/>
          </w:tcPr>
          <w:p>
            <w:pPr>
              <w:pStyle w:val="9"/>
              <w:spacing w:before="22"/>
              <w:ind w:left="107"/>
              <w:rPr>
                <w:sz w:val="21"/>
              </w:rPr>
            </w:pPr>
            <w:r>
              <w:rPr>
                <w:spacing w:val="-3"/>
                <w:sz w:val="21"/>
              </w:rPr>
              <w:t>但脑干功能仍然保留，需要持续依赖外界生命支持系统维持生命的临床状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81" w:type="dxa"/>
          </w:tcPr>
          <w:p>
            <w:pPr>
              <w:pStyle w:val="9"/>
              <w:spacing w:before="22" w:line="267" w:lineRule="exact"/>
              <w:ind w:left="107"/>
              <w:rPr>
                <w:sz w:val="21"/>
              </w:rPr>
            </w:pPr>
            <w:r>
              <w:rPr>
                <w:spacing w:val="-3"/>
                <w:sz w:val="21"/>
              </w:rPr>
              <w:t>态。植物人状态须由我们认可的医院的神经科专科医生明确诊断，并证明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81" w:type="dxa"/>
          </w:tcPr>
          <w:p>
            <w:pPr>
              <w:pStyle w:val="9"/>
              <w:spacing w:before="25"/>
              <w:ind w:left="107"/>
              <w:rPr>
                <w:sz w:val="21"/>
              </w:rPr>
            </w:pPr>
            <w:r>
              <w:rPr>
                <w:spacing w:val="-5"/>
                <w:sz w:val="21"/>
              </w:rPr>
              <w:t xml:space="preserve">有严重脑部损害。植物人状态必须持续 </w:t>
            </w:r>
            <w:r>
              <w:rPr>
                <w:rFonts w:ascii="Times New Roman" w:eastAsia="Times New Roman"/>
                <w:spacing w:val="-2"/>
                <w:sz w:val="21"/>
              </w:rPr>
              <w:t>180</w:t>
            </w:r>
            <w:r>
              <w:rPr>
                <w:rFonts w:ascii="Times New Roman" w:eastAsia="Times New Roman"/>
                <w:spacing w:val="12"/>
                <w:sz w:val="21"/>
              </w:rPr>
              <w:t xml:space="preserve"> </w:t>
            </w:r>
            <w:r>
              <w:rPr>
                <w:spacing w:val="-3"/>
                <w:sz w:val="21"/>
              </w:rPr>
              <w:t>日以上方可申请理赔。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5"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81" w:type="dxa"/>
          </w:tcPr>
          <w:p>
            <w:pPr>
              <w:pStyle w:val="9"/>
              <w:spacing w:before="170"/>
              <w:ind w:left="107"/>
              <w:rPr>
                <w:rFonts w:ascii="黑体" w:eastAsia="黑体"/>
                <w:sz w:val="21"/>
              </w:rPr>
            </w:pPr>
            <w:r>
              <w:rPr>
                <w:rFonts w:ascii="黑体" w:eastAsia="黑体"/>
                <w:color w:val="000000"/>
                <w:spacing w:val="-3"/>
                <w:sz w:val="21"/>
                <w:shd w:val="clear" w:color="auto" w:fill="D9D9D9"/>
              </w:rPr>
              <w:t>由于酗酒或滥用药物所致的植物人状态不在保障范围内。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856" w:type="dxa"/>
          </w:tcPr>
          <w:p>
            <w:pPr>
              <w:pStyle w:val="9"/>
              <w:spacing w:before="178"/>
              <w:ind w:left="50"/>
              <w:rPr>
                <w:b/>
                <w:sz w:val="21"/>
              </w:rPr>
            </w:pPr>
            <w:r>
              <w:rPr>
                <w:b/>
                <w:spacing w:val="-2"/>
                <w:sz w:val="21"/>
              </w:rPr>
              <w:t>7.2.42</w:t>
            </w:r>
          </w:p>
        </w:tc>
        <w:tc>
          <w:tcPr>
            <w:tcW w:w="2127" w:type="dxa"/>
          </w:tcPr>
          <w:p>
            <w:pPr>
              <w:pStyle w:val="9"/>
              <w:spacing w:before="178"/>
              <w:ind w:left="170"/>
              <w:rPr>
                <w:b/>
                <w:sz w:val="21"/>
              </w:rPr>
            </w:pPr>
            <w:r>
              <w:rPr>
                <w:b/>
                <w:spacing w:val="17"/>
                <w:sz w:val="21"/>
              </w:rPr>
              <w:t>重症急性坏死性筋</w:t>
            </w:r>
          </w:p>
        </w:tc>
        <w:tc>
          <w:tcPr>
            <w:tcW w:w="6881" w:type="dxa"/>
          </w:tcPr>
          <w:p>
            <w:pPr>
              <w:pStyle w:val="9"/>
              <w:spacing w:before="178"/>
              <w:ind w:left="107"/>
              <w:rPr>
                <w:sz w:val="21"/>
              </w:rPr>
            </w:pPr>
            <w:r>
              <w:rPr>
                <w:spacing w:val="-3"/>
                <w:sz w:val="21"/>
              </w:rPr>
              <w:t>是一种由细菌侵入皮下组织和筋膜引起的急性坏死性软组织感染，可伴有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56" w:type="dxa"/>
          </w:tcPr>
          <w:p>
            <w:pPr>
              <w:pStyle w:val="9"/>
              <w:rPr>
                <w:rFonts w:ascii="Times New Roman"/>
                <w:sz w:val="20"/>
              </w:rPr>
            </w:pPr>
          </w:p>
        </w:tc>
        <w:tc>
          <w:tcPr>
            <w:tcW w:w="2127" w:type="dxa"/>
          </w:tcPr>
          <w:p>
            <w:pPr>
              <w:pStyle w:val="9"/>
              <w:spacing w:before="22"/>
              <w:ind w:left="170"/>
              <w:rPr>
                <w:b/>
                <w:sz w:val="21"/>
              </w:rPr>
            </w:pPr>
            <w:r>
              <w:rPr>
                <w:b/>
                <w:spacing w:val="-3"/>
                <w:sz w:val="21"/>
              </w:rPr>
              <w:t>膜炎截肢</w:t>
            </w:r>
          </w:p>
        </w:tc>
        <w:tc>
          <w:tcPr>
            <w:tcW w:w="6881" w:type="dxa"/>
          </w:tcPr>
          <w:p>
            <w:pPr>
              <w:pStyle w:val="9"/>
              <w:spacing w:before="22"/>
              <w:ind w:left="107"/>
              <w:rPr>
                <w:sz w:val="21"/>
              </w:rPr>
            </w:pPr>
            <w:r>
              <w:rPr>
                <w:spacing w:val="-3"/>
                <w:sz w:val="21"/>
              </w:rPr>
              <w:t>毒血症、败血症、中毒性休克、弥漫性血管内凝血及多器官衰竭。须满足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81" w:type="dxa"/>
          </w:tcPr>
          <w:p>
            <w:pPr>
              <w:pStyle w:val="9"/>
              <w:spacing w:before="22" w:line="267" w:lineRule="exact"/>
              <w:ind w:left="107"/>
              <w:rPr>
                <w:sz w:val="21"/>
              </w:rPr>
            </w:pPr>
            <w:r>
              <w:rPr>
                <w:spacing w:val="-4"/>
                <w:sz w:val="21"/>
              </w:rPr>
              <w:t>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03"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81" w:type="dxa"/>
          </w:tcPr>
          <w:p>
            <w:pPr>
              <w:pStyle w:val="9"/>
              <w:numPr>
                <w:ilvl w:val="0"/>
                <w:numId w:val="33"/>
              </w:numPr>
              <w:tabs>
                <w:tab w:val="left" w:pos="637"/>
              </w:tabs>
              <w:spacing w:before="25" w:after="0" w:line="240" w:lineRule="auto"/>
              <w:ind w:left="636" w:right="0" w:hanging="530"/>
              <w:jc w:val="left"/>
              <w:rPr>
                <w:sz w:val="21"/>
              </w:rPr>
            </w:pPr>
            <w:r>
              <w:rPr>
                <w:spacing w:val="-3"/>
                <w:sz w:val="21"/>
              </w:rPr>
              <w:t>细菌培养和临床表现符合坏死性筋膜炎诊断标准；</w:t>
            </w:r>
          </w:p>
          <w:p>
            <w:pPr>
              <w:pStyle w:val="9"/>
              <w:numPr>
                <w:ilvl w:val="0"/>
                <w:numId w:val="33"/>
              </w:numPr>
              <w:tabs>
                <w:tab w:val="left" w:pos="637"/>
              </w:tabs>
              <w:spacing w:before="43" w:after="0" w:line="240" w:lineRule="auto"/>
              <w:ind w:left="636" w:right="0" w:hanging="530"/>
              <w:jc w:val="left"/>
              <w:rPr>
                <w:sz w:val="21"/>
              </w:rPr>
            </w:pPr>
            <w:r>
              <w:rPr>
                <w:spacing w:val="-3"/>
                <w:sz w:val="21"/>
              </w:rPr>
              <w:t>病情迅速恶化，有脓毒血症表现；</w:t>
            </w:r>
          </w:p>
          <w:p>
            <w:pPr>
              <w:pStyle w:val="9"/>
              <w:numPr>
                <w:ilvl w:val="0"/>
                <w:numId w:val="33"/>
              </w:numPr>
              <w:tabs>
                <w:tab w:val="left" w:pos="637"/>
              </w:tabs>
              <w:spacing w:before="43" w:after="0" w:line="240" w:lineRule="auto"/>
              <w:ind w:left="636" w:right="0" w:hanging="530"/>
              <w:jc w:val="left"/>
              <w:rPr>
                <w:sz w:val="21"/>
              </w:rPr>
            </w:pPr>
            <w:r>
              <w:rPr>
                <w:spacing w:val="-2"/>
                <w:sz w:val="21"/>
              </w:rPr>
              <w:t>受感染肢体被截肢（自腕关节或踝关节近端</w:t>
            </w:r>
            <w:r>
              <w:rPr>
                <w:spacing w:val="-108"/>
                <w:sz w:val="21"/>
              </w:rPr>
              <w:t>）</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0" w:hRule="atLeast"/>
        </w:trPr>
        <w:tc>
          <w:tcPr>
            <w:tcW w:w="856" w:type="dxa"/>
          </w:tcPr>
          <w:p>
            <w:pPr>
              <w:pStyle w:val="9"/>
              <w:spacing w:before="170"/>
              <w:ind w:left="50"/>
              <w:rPr>
                <w:b/>
                <w:sz w:val="21"/>
              </w:rPr>
            </w:pPr>
            <w:r>
              <w:rPr>
                <w:b/>
                <w:spacing w:val="-2"/>
                <w:sz w:val="21"/>
              </w:rPr>
              <w:t>7.2.43</w:t>
            </w:r>
          </w:p>
        </w:tc>
        <w:tc>
          <w:tcPr>
            <w:tcW w:w="2127" w:type="dxa"/>
          </w:tcPr>
          <w:p>
            <w:pPr>
              <w:pStyle w:val="9"/>
              <w:spacing w:before="170"/>
              <w:ind w:left="170"/>
              <w:rPr>
                <w:b/>
                <w:sz w:val="21"/>
              </w:rPr>
            </w:pPr>
            <w:r>
              <w:rPr>
                <w:b/>
                <w:spacing w:val="-2"/>
                <w:sz w:val="21"/>
              </w:rPr>
              <w:t>嗜铬细胞瘤</w:t>
            </w:r>
          </w:p>
        </w:tc>
        <w:tc>
          <w:tcPr>
            <w:tcW w:w="6881" w:type="dxa"/>
          </w:tcPr>
          <w:p>
            <w:pPr>
              <w:pStyle w:val="9"/>
              <w:spacing w:before="170"/>
              <w:ind w:left="107"/>
              <w:rPr>
                <w:sz w:val="21"/>
              </w:rPr>
            </w:pPr>
            <w:r>
              <w:rPr>
                <w:spacing w:val="-1"/>
                <w:sz w:val="21"/>
              </w:rPr>
              <w:t>指发生在肾上腺或肾上腺外嗜铬组织的以分泌过多的儿茶酚胺为表现的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81" w:type="dxa"/>
          </w:tcPr>
          <w:p>
            <w:pPr>
              <w:pStyle w:val="9"/>
              <w:spacing w:before="22"/>
              <w:ind w:left="107"/>
              <w:rPr>
                <w:sz w:val="21"/>
              </w:rPr>
            </w:pPr>
            <w:r>
              <w:rPr>
                <w:spacing w:val="-3"/>
                <w:sz w:val="21"/>
              </w:rPr>
              <w:t>神经内分泌肿瘤。嗜铬细胞瘤须由我们认可的医院的专科医生明确诊断，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81" w:type="dxa"/>
          </w:tcPr>
          <w:p>
            <w:pPr>
              <w:pStyle w:val="9"/>
              <w:spacing w:before="22" w:line="267" w:lineRule="exact"/>
              <w:ind w:left="107"/>
              <w:rPr>
                <w:sz w:val="21"/>
              </w:rPr>
            </w:pPr>
            <w:r>
              <w:rPr>
                <w:spacing w:val="-3"/>
                <w:sz w:val="21"/>
              </w:rPr>
              <w:t>并须满足下列全部条件：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91"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81" w:type="dxa"/>
          </w:tcPr>
          <w:p>
            <w:pPr>
              <w:pStyle w:val="9"/>
              <w:numPr>
                <w:ilvl w:val="0"/>
                <w:numId w:val="34"/>
              </w:numPr>
              <w:tabs>
                <w:tab w:val="left" w:pos="637"/>
              </w:tabs>
              <w:spacing w:before="25" w:after="0" w:line="240" w:lineRule="auto"/>
              <w:ind w:left="636" w:right="0" w:hanging="530"/>
              <w:jc w:val="left"/>
              <w:rPr>
                <w:sz w:val="21"/>
              </w:rPr>
            </w:pPr>
            <w:r>
              <w:rPr>
                <w:spacing w:val="-3"/>
                <w:sz w:val="21"/>
              </w:rPr>
              <w:t>临床有高血压症候群表现；</w:t>
            </w:r>
          </w:p>
          <w:p>
            <w:pPr>
              <w:pStyle w:val="9"/>
              <w:numPr>
                <w:ilvl w:val="0"/>
                <w:numId w:val="34"/>
              </w:numPr>
              <w:tabs>
                <w:tab w:val="left" w:pos="637"/>
              </w:tabs>
              <w:spacing w:before="43" w:after="0" w:line="240" w:lineRule="auto"/>
              <w:ind w:left="636" w:right="0" w:hanging="530"/>
              <w:jc w:val="left"/>
              <w:rPr>
                <w:sz w:val="21"/>
              </w:rPr>
            </w:pPr>
            <w:r>
              <w:rPr>
                <w:spacing w:val="-3"/>
                <w:sz w:val="21"/>
              </w:rPr>
              <w:t>实际接受了嗜铬细胞瘤切除手术。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6" w:hRule="atLeast"/>
        </w:trPr>
        <w:tc>
          <w:tcPr>
            <w:tcW w:w="856" w:type="dxa"/>
          </w:tcPr>
          <w:p>
            <w:pPr>
              <w:pStyle w:val="9"/>
              <w:spacing w:before="170" w:line="267" w:lineRule="exact"/>
              <w:ind w:left="50"/>
              <w:rPr>
                <w:b/>
                <w:sz w:val="21"/>
              </w:rPr>
            </w:pPr>
            <w:r>
              <w:rPr>
                <w:b/>
                <w:spacing w:val="-2"/>
                <w:sz w:val="21"/>
              </w:rPr>
              <w:t>7.2.44</w:t>
            </w:r>
          </w:p>
        </w:tc>
        <w:tc>
          <w:tcPr>
            <w:tcW w:w="2127" w:type="dxa"/>
          </w:tcPr>
          <w:p>
            <w:pPr>
              <w:pStyle w:val="9"/>
              <w:spacing w:before="170" w:line="267" w:lineRule="exact"/>
              <w:ind w:left="170"/>
              <w:rPr>
                <w:b/>
                <w:sz w:val="21"/>
              </w:rPr>
            </w:pPr>
            <w:r>
              <w:rPr>
                <w:b/>
                <w:spacing w:val="17"/>
                <w:sz w:val="21"/>
              </w:rPr>
              <w:t>丝虫感染所致严重</w:t>
            </w:r>
          </w:p>
        </w:tc>
        <w:tc>
          <w:tcPr>
            <w:tcW w:w="6881" w:type="dxa"/>
          </w:tcPr>
          <w:p>
            <w:pPr>
              <w:pStyle w:val="9"/>
              <w:spacing w:before="170" w:line="267" w:lineRule="exact"/>
              <w:ind w:left="107"/>
              <w:rPr>
                <w:sz w:val="21"/>
              </w:rPr>
            </w:pPr>
            <w:r>
              <w:rPr>
                <w:spacing w:val="-3"/>
                <w:sz w:val="21"/>
              </w:rPr>
              <w:t>指因丝虫感染导致淋巴循环阻塞出现严重淋巴水肿，达到国际淋巴学会淋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7" w:hRule="atLeast"/>
        </w:trPr>
        <w:tc>
          <w:tcPr>
            <w:tcW w:w="856" w:type="dxa"/>
          </w:tcPr>
          <w:p>
            <w:pPr>
              <w:pStyle w:val="9"/>
              <w:rPr>
                <w:rFonts w:ascii="Times New Roman"/>
                <w:sz w:val="20"/>
              </w:rPr>
            </w:pPr>
          </w:p>
        </w:tc>
        <w:tc>
          <w:tcPr>
            <w:tcW w:w="2127" w:type="dxa"/>
          </w:tcPr>
          <w:p>
            <w:pPr>
              <w:pStyle w:val="9"/>
              <w:spacing w:before="25"/>
              <w:ind w:left="170"/>
              <w:rPr>
                <w:b/>
                <w:sz w:val="21"/>
              </w:rPr>
            </w:pPr>
            <w:r>
              <w:rPr>
                <w:b/>
                <w:spacing w:val="-4"/>
                <w:sz w:val="21"/>
              </w:rPr>
              <w:t>象皮病</w:t>
            </w:r>
          </w:p>
        </w:tc>
        <w:tc>
          <w:tcPr>
            <w:tcW w:w="6881" w:type="dxa"/>
          </w:tcPr>
          <w:p>
            <w:pPr>
              <w:pStyle w:val="9"/>
              <w:spacing w:before="25"/>
              <w:ind w:left="107"/>
              <w:rPr>
                <w:sz w:val="21"/>
              </w:rPr>
            </w:pPr>
            <w:r>
              <w:rPr>
                <w:spacing w:val="-4"/>
                <w:sz w:val="21"/>
              </w:rPr>
              <w:t>巴肿分期第</w:t>
            </w:r>
            <w:r>
              <w:rPr>
                <w:rFonts w:ascii="Times New Roman" w:hAnsi="Times New Roman" w:eastAsia="Times New Roman"/>
                <w:spacing w:val="-4"/>
                <w:sz w:val="21"/>
              </w:rPr>
              <w:t>Ⅲ</w:t>
            </w:r>
            <w:r>
              <w:rPr>
                <w:spacing w:val="-4"/>
                <w:sz w:val="21"/>
              </w:rPr>
              <w:t xml:space="preserve">期，临床表现为肢体象皮肿，患肢较健肢增粗 </w:t>
            </w:r>
            <w:r>
              <w:rPr>
                <w:rFonts w:ascii="Times New Roman" w:hAnsi="Times New Roman" w:eastAsia="Times New Roman"/>
                <w:spacing w:val="-4"/>
                <w:sz w:val="21"/>
              </w:rPr>
              <w:t>30%</w:t>
            </w:r>
            <w:r>
              <w:rPr>
                <w:spacing w:val="-6"/>
                <w:sz w:val="21"/>
              </w:rPr>
              <w:t>以上，日</w:t>
            </w:r>
          </w:p>
          <w:p>
            <w:pPr>
              <w:pStyle w:val="9"/>
              <w:spacing w:before="43"/>
              <w:ind w:left="107"/>
              <w:rPr>
                <w:sz w:val="21"/>
              </w:rPr>
            </w:pPr>
            <w:r>
              <w:rPr>
                <w:spacing w:val="-3"/>
                <w:sz w:val="21"/>
              </w:rPr>
              <w:t>常生活不能自理。丝虫感染所致严重象皮病须由我们认可的医院的专科医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81" w:type="dxa"/>
          </w:tcPr>
          <w:p>
            <w:pPr>
              <w:pStyle w:val="9"/>
              <w:spacing w:before="22"/>
              <w:ind w:left="107"/>
              <w:rPr>
                <w:sz w:val="21"/>
              </w:rPr>
            </w:pPr>
            <w:r>
              <w:rPr>
                <w:spacing w:val="-3"/>
                <w:sz w:val="21"/>
              </w:rPr>
              <w:t>生根据临床表现和微丝蚴的化验结果明确诊断。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856" w:type="dxa"/>
          </w:tcPr>
          <w:p>
            <w:pPr>
              <w:pStyle w:val="9"/>
              <w:spacing w:before="178"/>
              <w:ind w:left="50"/>
              <w:rPr>
                <w:b/>
                <w:sz w:val="21"/>
              </w:rPr>
            </w:pPr>
            <w:r>
              <w:rPr>
                <w:b/>
                <w:spacing w:val="-2"/>
                <w:sz w:val="21"/>
              </w:rPr>
              <w:t>7.2.45</w:t>
            </w:r>
          </w:p>
        </w:tc>
        <w:tc>
          <w:tcPr>
            <w:tcW w:w="2127" w:type="dxa"/>
          </w:tcPr>
          <w:p>
            <w:pPr>
              <w:pStyle w:val="9"/>
              <w:spacing w:before="178"/>
              <w:ind w:left="170"/>
              <w:rPr>
                <w:b/>
                <w:sz w:val="21"/>
              </w:rPr>
            </w:pPr>
            <w:r>
              <w:rPr>
                <w:b/>
                <w:spacing w:val="-2"/>
                <w:sz w:val="21"/>
              </w:rPr>
              <w:t>胰腺移植术</w:t>
            </w:r>
          </w:p>
        </w:tc>
        <w:tc>
          <w:tcPr>
            <w:tcW w:w="6881" w:type="dxa"/>
          </w:tcPr>
          <w:p>
            <w:pPr>
              <w:pStyle w:val="9"/>
              <w:spacing w:before="178"/>
              <w:ind w:left="107"/>
              <w:rPr>
                <w:sz w:val="21"/>
              </w:rPr>
            </w:pPr>
            <w:r>
              <w:rPr>
                <w:spacing w:val="-2"/>
                <w:sz w:val="21"/>
              </w:rPr>
              <w:t>指被保险人因胰腺功能衰竭，实际接受了在全麻下进行的胰腺的同种（</w:t>
            </w:r>
            <w:r>
              <w:rPr>
                <w:spacing w:val="-10"/>
                <w:sz w:val="21"/>
              </w:rPr>
              <w:t>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81" w:type="dxa"/>
          </w:tcPr>
          <w:p>
            <w:pPr>
              <w:pStyle w:val="9"/>
              <w:spacing w:before="22"/>
              <w:ind w:left="107"/>
              <w:rPr>
                <w:sz w:val="21"/>
              </w:rPr>
            </w:pPr>
            <w:r>
              <w:rPr>
                <w:spacing w:val="-2"/>
                <w:sz w:val="21"/>
              </w:rPr>
              <w:t>类）</w:t>
            </w:r>
            <w:r>
              <w:rPr>
                <w:spacing w:val="-3"/>
                <w:sz w:val="21"/>
              </w:rPr>
              <w:t>异体器官移植手术。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3"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81" w:type="dxa"/>
          </w:tcPr>
          <w:p>
            <w:pPr>
              <w:pStyle w:val="9"/>
              <w:spacing w:before="178"/>
              <w:ind w:left="107"/>
              <w:rPr>
                <w:rFonts w:ascii="黑体" w:eastAsia="黑体"/>
                <w:sz w:val="21"/>
              </w:rPr>
            </w:pPr>
            <w:r>
              <w:rPr>
                <w:rFonts w:ascii="黑体" w:eastAsia="黑体"/>
                <w:color w:val="000000"/>
                <w:spacing w:val="-3"/>
                <w:sz w:val="21"/>
                <w:shd w:val="clear" w:color="auto" w:fill="D9D9D9"/>
              </w:rPr>
              <w:t>胰岛、组织、细胞移植不在保障范围内。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856" w:type="dxa"/>
          </w:tcPr>
          <w:p>
            <w:pPr>
              <w:pStyle w:val="9"/>
              <w:spacing w:before="178"/>
              <w:ind w:left="50"/>
              <w:rPr>
                <w:b/>
                <w:sz w:val="21"/>
              </w:rPr>
            </w:pPr>
            <w:r>
              <w:rPr>
                <w:b/>
                <w:spacing w:val="-2"/>
                <w:sz w:val="21"/>
              </w:rPr>
              <w:t>7.2.46</w:t>
            </w:r>
          </w:p>
        </w:tc>
        <w:tc>
          <w:tcPr>
            <w:tcW w:w="2127" w:type="dxa"/>
          </w:tcPr>
          <w:p>
            <w:pPr>
              <w:pStyle w:val="9"/>
              <w:spacing w:before="178"/>
              <w:ind w:left="170"/>
              <w:rPr>
                <w:b/>
                <w:sz w:val="21"/>
              </w:rPr>
            </w:pPr>
            <w:r>
              <w:rPr>
                <w:b/>
                <w:spacing w:val="17"/>
                <w:sz w:val="21"/>
              </w:rPr>
              <w:t>特发性慢性肾上腺</w:t>
            </w:r>
          </w:p>
        </w:tc>
        <w:tc>
          <w:tcPr>
            <w:tcW w:w="6881" w:type="dxa"/>
          </w:tcPr>
          <w:p>
            <w:pPr>
              <w:pStyle w:val="9"/>
              <w:spacing w:before="178"/>
              <w:ind w:left="107"/>
              <w:rPr>
                <w:sz w:val="21"/>
              </w:rPr>
            </w:pPr>
            <w:r>
              <w:rPr>
                <w:spacing w:val="-4"/>
                <w:sz w:val="21"/>
              </w:rPr>
              <w:t>指自身免疫性肾上腺炎（既往称：特发性肾上腺皮质萎缩）</w:t>
            </w:r>
            <w:r>
              <w:rPr>
                <w:spacing w:val="-5"/>
                <w:sz w:val="21"/>
              </w:rPr>
              <w:t>导致肾上腺萎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856" w:type="dxa"/>
          </w:tcPr>
          <w:p>
            <w:pPr>
              <w:pStyle w:val="9"/>
              <w:rPr>
                <w:rFonts w:ascii="Times New Roman"/>
                <w:sz w:val="20"/>
              </w:rPr>
            </w:pPr>
          </w:p>
        </w:tc>
        <w:tc>
          <w:tcPr>
            <w:tcW w:w="2127" w:type="dxa"/>
          </w:tcPr>
          <w:p>
            <w:pPr>
              <w:pStyle w:val="9"/>
              <w:spacing w:before="22" w:line="267" w:lineRule="exact"/>
              <w:ind w:left="170"/>
              <w:rPr>
                <w:b/>
                <w:sz w:val="21"/>
              </w:rPr>
            </w:pPr>
            <w:r>
              <w:rPr>
                <w:b/>
                <w:spacing w:val="-2"/>
                <w:sz w:val="21"/>
              </w:rPr>
              <w:t>皮质功能减退</w:t>
            </w:r>
          </w:p>
        </w:tc>
        <w:tc>
          <w:tcPr>
            <w:tcW w:w="6881" w:type="dxa"/>
          </w:tcPr>
          <w:p>
            <w:pPr>
              <w:pStyle w:val="9"/>
              <w:spacing w:before="22" w:line="267" w:lineRule="exact"/>
              <w:ind w:left="107"/>
              <w:rPr>
                <w:sz w:val="21"/>
              </w:rPr>
            </w:pPr>
            <w:r>
              <w:rPr>
                <w:spacing w:val="-3"/>
                <w:sz w:val="21"/>
              </w:rPr>
              <w:t>缩和慢性肾上腺皮质功能减退。须满足下列全部条件：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81" w:type="dxa"/>
          </w:tcPr>
          <w:p>
            <w:pPr>
              <w:pStyle w:val="9"/>
              <w:spacing w:before="25" w:line="236" w:lineRule="exact"/>
              <w:ind w:left="107"/>
              <w:rPr>
                <w:sz w:val="21"/>
              </w:rPr>
            </w:pPr>
            <w:r>
              <w:rPr>
                <w:spacing w:val="-2"/>
                <w:sz w:val="21"/>
              </w:rPr>
              <w:t>（</w:t>
            </w:r>
            <w:r>
              <w:rPr>
                <w:rFonts w:ascii="Times New Roman" w:eastAsia="Times New Roman"/>
                <w:spacing w:val="-2"/>
                <w:sz w:val="21"/>
              </w:rPr>
              <w:t>1</w:t>
            </w:r>
            <w:r>
              <w:rPr>
                <w:spacing w:val="-2"/>
                <w:sz w:val="21"/>
              </w:rPr>
              <w:t>）</w:t>
            </w:r>
            <w:r>
              <w:rPr>
                <w:spacing w:val="-3"/>
                <w:sz w:val="21"/>
              </w:rPr>
              <w:t>明确诊断，符合下列全部诊断标准：</w:t>
            </w:r>
          </w:p>
        </w:tc>
      </w:tr>
    </w:tbl>
    <w:p>
      <w:pPr>
        <w:pStyle w:val="4"/>
        <w:spacing w:before="66"/>
        <w:ind w:left="3786"/>
      </w:pPr>
      <w:r>
        <w:rPr>
          <w:spacing w:val="-5"/>
        </w:rPr>
        <w:t>① 血浆促肾上腺皮质激素</w:t>
      </w:r>
      <w:r>
        <w:t>（</w:t>
      </w:r>
      <w:r>
        <w:rPr>
          <w:rFonts w:ascii="Times New Roman" w:hAnsi="Times New Roman" w:eastAsia="Times New Roman"/>
        </w:rPr>
        <w:t>ACTH</w:t>
      </w:r>
      <w:r>
        <w:t>）</w:t>
      </w:r>
      <w:r>
        <w:rPr>
          <w:spacing w:val="-1"/>
        </w:rPr>
        <w:t>水平＞</w:t>
      </w:r>
      <w:r>
        <w:rPr>
          <w:rFonts w:ascii="Times New Roman" w:hAnsi="Times New Roman" w:eastAsia="Times New Roman"/>
          <w:spacing w:val="-2"/>
        </w:rPr>
        <w:t>100pg/ml</w:t>
      </w:r>
      <w:r>
        <w:rPr>
          <w:spacing w:val="-2"/>
        </w:rPr>
        <w:t>；</w:t>
      </w:r>
    </w:p>
    <w:p>
      <w:pPr>
        <w:pStyle w:val="4"/>
        <w:spacing w:before="43" w:line="278" w:lineRule="auto"/>
        <w:ind w:left="4100" w:right="234" w:hanging="315"/>
      </w:pPr>
      <w:r>
        <w:t>② 血浆肾素活性、血管紧张素</w:t>
      </w:r>
      <w:r>
        <w:rPr>
          <w:rFonts w:ascii="Times New Roman" w:hAnsi="Times New Roman" w:eastAsia="Times New Roman"/>
        </w:rPr>
        <w:t>Ⅱ</w:t>
      </w:r>
      <w:r>
        <w:t>和醛固酮测定结果显示为原发性肾</w:t>
      </w:r>
      <w:r>
        <w:rPr>
          <w:spacing w:val="-2"/>
        </w:rPr>
        <w:t>上腺皮质功能减退症；</w:t>
      </w:r>
    </w:p>
    <w:p>
      <w:pPr>
        <w:pStyle w:val="4"/>
        <w:spacing w:line="278" w:lineRule="auto"/>
        <w:ind w:left="4100" w:right="236" w:hanging="315"/>
      </w:pPr>
      <w:r>
        <w:t>③ 促肾上腺皮质激素（</w:t>
      </w:r>
      <w:r>
        <w:rPr>
          <w:rFonts w:ascii="Times New Roman" w:hAnsi="Times New Roman" w:eastAsia="Times New Roman"/>
        </w:rPr>
        <w:t>ACTH</w:t>
      </w:r>
      <w:r>
        <w:t>）刺激试验显示为原发性肾上腺皮质</w:t>
      </w:r>
      <w:r>
        <w:rPr>
          <w:spacing w:val="-2"/>
        </w:rPr>
        <w:t>功能减退症。</w:t>
      </w:r>
    </w:p>
    <w:p>
      <w:pPr>
        <w:pStyle w:val="4"/>
        <w:ind w:left="3260"/>
      </w:pPr>
      <w:r>
        <w:rPr>
          <w:spacing w:val="-2"/>
        </w:rPr>
        <w:t>（</w:t>
      </w:r>
      <w:r>
        <w:rPr>
          <w:rFonts w:ascii="Times New Roman" w:eastAsia="Times New Roman"/>
          <w:spacing w:val="-2"/>
        </w:rPr>
        <w:t>2</w:t>
      </w:r>
      <w:r>
        <w:rPr>
          <w:spacing w:val="-2"/>
        </w:rPr>
        <w:t>）</w:t>
      </w:r>
      <w:r>
        <w:rPr>
          <w:spacing w:val="-6"/>
        </w:rPr>
        <w:t xml:space="preserve">已经采用皮质类固醇替代治疗 </w:t>
      </w:r>
      <w:r>
        <w:rPr>
          <w:rFonts w:ascii="Times New Roman" w:eastAsia="Times New Roman"/>
          <w:spacing w:val="-2"/>
        </w:rPr>
        <w:t>180</w:t>
      </w:r>
      <w:r>
        <w:rPr>
          <w:rFonts w:ascii="Times New Roman" w:eastAsia="Times New Roman"/>
          <w:spacing w:val="8"/>
        </w:rPr>
        <w:t xml:space="preserve"> </w:t>
      </w:r>
      <w:r>
        <w:rPr>
          <w:spacing w:val="-4"/>
        </w:rPr>
        <w:t>日以上。</w:t>
      </w:r>
    </w:p>
    <w:p>
      <w:pPr>
        <w:pStyle w:val="4"/>
        <w:spacing w:before="1"/>
        <w:rPr>
          <w:sz w:val="22"/>
        </w:rPr>
      </w:pPr>
    </w:p>
    <w:p>
      <w:pPr>
        <w:pStyle w:val="4"/>
        <w:spacing w:before="72"/>
        <w:ind w:left="3260"/>
        <w:rPr>
          <w:rFonts w:ascii="黑体" w:eastAsia="黑体"/>
        </w:rPr>
      </w:pPr>
      <w:r>
        <w:rPr>
          <w:rFonts w:ascii="黑体" w:eastAsia="黑体"/>
          <w:color w:val="000000"/>
          <w:spacing w:val="-2"/>
          <w:shd w:val="clear" w:color="auto" w:fill="D9D9D9"/>
        </w:rPr>
        <w:t>肾上腺结核、HIV</w:t>
      </w:r>
      <w:r>
        <w:rPr>
          <w:rFonts w:ascii="黑体" w:eastAsia="黑体"/>
          <w:color w:val="000000"/>
          <w:spacing w:val="-3"/>
          <w:shd w:val="clear" w:color="auto" w:fill="D9D9D9"/>
        </w:rPr>
        <w:t xml:space="preserve"> 感染或艾滋病、感染、肿瘤所致的原发性肾上腺皮质功</w:t>
      </w:r>
    </w:p>
    <w:p>
      <w:pPr>
        <w:spacing w:after="0"/>
        <w:rPr>
          <w:rFonts w:ascii="黑体" w:eastAsia="黑体"/>
        </w:rPr>
        <w:sectPr>
          <w:pgSz w:w="11910" w:h="16840"/>
          <w:pgMar w:top="1580" w:right="840" w:bottom="280" w:left="860" w:header="720" w:footer="720" w:gutter="0"/>
          <w:cols w:space="720" w:num="1"/>
        </w:sectPr>
      </w:pPr>
    </w:p>
    <w:p>
      <w:pPr>
        <w:pStyle w:val="4"/>
        <w:spacing w:before="47"/>
        <w:ind w:left="3260"/>
        <w:rPr>
          <w:rFonts w:ascii="黑体" w:eastAsia="黑体"/>
        </w:rPr>
      </w:pPr>
      <w:r>
        <w:rPr>
          <w:rFonts w:ascii="黑体" w:eastAsia="黑体"/>
          <w:color w:val="000000"/>
          <w:spacing w:val="-3"/>
          <w:shd w:val="clear" w:color="auto" w:fill="D9D9D9"/>
        </w:rPr>
        <w:t>能减退和继发性肾上腺皮质功能减退不在保障范围内。</w:t>
      </w:r>
    </w:p>
    <w:p>
      <w:pPr>
        <w:pStyle w:val="4"/>
        <w:spacing w:before="9"/>
        <w:rPr>
          <w:rFonts w:ascii="黑体"/>
          <w:sz w:val="27"/>
        </w:rPr>
      </w:pPr>
    </w:p>
    <w:p>
      <w:pPr>
        <w:pStyle w:val="8"/>
        <w:numPr>
          <w:ilvl w:val="2"/>
          <w:numId w:val="35"/>
        </w:numPr>
        <w:tabs>
          <w:tab w:val="left" w:pos="1196"/>
          <w:tab w:val="left" w:pos="1197"/>
          <w:tab w:val="left" w:pos="3260"/>
        </w:tabs>
        <w:spacing w:before="0" w:after="0" w:line="278" w:lineRule="auto"/>
        <w:ind w:left="3260" w:right="236" w:hanging="3041"/>
        <w:jc w:val="left"/>
        <w:rPr>
          <w:sz w:val="21"/>
        </w:rPr>
      </w:pPr>
      <w:r>
        <w:rPr>
          <w:b/>
          <w:w w:val="100"/>
          <w:sz w:val="21"/>
        </w:rPr>
        <w:t>严重心肌炎</w:t>
      </w:r>
      <w:r>
        <w:rPr>
          <w:b/>
          <w:sz w:val="21"/>
        </w:rPr>
        <w:tab/>
      </w:r>
      <w:r>
        <w:rPr>
          <w:spacing w:val="4"/>
          <w:w w:val="100"/>
          <w:sz w:val="21"/>
        </w:rPr>
        <w:t>指</w:t>
      </w:r>
      <w:r>
        <w:rPr>
          <w:spacing w:val="7"/>
          <w:w w:val="100"/>
          <w:sz w:val="21"/>
        </w:rPr>
        <w:t>被</w:t>
      </w:r>
      <w:r>
        <w:rPr>
          <w:spacing w:val="4"/>
          <w:w w:val="100"/>
          <w:sz w:val="21"/>
        </w:rPr>
        <w:t>保人因严</w:t>
      </w:r>
      <w:r>
        <w:rPr>
          <w:spacing w:val="7"/>
          <w:w w:val="100"/>
          <w:sz w:val="21"/>
        </w:rPr>
        <w:t>重</w:t>
      </w:r>
      <w:r>
        <w:rPr>
          <w:spacing w:val="4"/>
          <w:w w:val="100"/>
          <w:sz w:val="21"/>
        </w:rPr>
        <w:t>心肌炎症性</w:t>
      </w:r>
      <w:r>
        <w:rPr>
          <w:spacing w:val="7"/>
          <w:w w:val="100"/>
          <w:sz w:val="21"/>
        </w:rPr>
        <w:t>病</w:t>
      </w:r>
      <w:r>
        <w:rPr>
          <w:spacing w:val="4"/>
          <w:w w:val="100"/>
          <w:sz w:val="21"/>
        </w:rPr>
        <w:t>变导致心</w:t>
      </w:r>
      <w:r>
        <w:rPr>
          <w:spacing w:val="7"/>
          <w:w w:val="100"/>
          <w:sz w:val="21"/>
        </w:rPr>
        <w:t>功</w:t>
      </w:r>
      <w:r>
        <w:rPr>
          <w:spacing w:val="4"/>
          <w:w w:val="100"/>
          <w:sz w:val="21"/>
        </w:rPr>
        <w:t>能损害造成</w:t>
      </w:r>
      <w:r>
        <w:rPr>
          <w:spacing w:val="7"/>
          <w:w w:val="100"/>
          <w:sz w:val="21"/>
        </w:rPr>
        <w:t>持</w:t>
      </w:r>
      <w:r>
        <w:rPr>
          <w:spacing w:val="4"/>
          <w:w w:val="100"/>
          <w:sz w:val="21"/>
        </w:rPr>
        <w:t>续的永久</w:t>
      </w:r>
      <w:r>
        <w:rPr>
          <w:spacing w:val="7"/>
          <w:w w:val="100"/>
          <w:sz w:val="21"/>
        </w:rPr>
        <w:t>不</w:t>
      </w:r>
      <w:r>
        <w:rPr>
          <w:spacing w:val="4"/>
          <w:w w:val="100"/>
          <w:sz w:val="21"/>
        </w:rPr>
        <w:t>可</w:t>
      </w:r>
      <w:r>
        <w:rPr>
          <w:w w:val="100"/>
          <w:sz w:val="21"/>
        </w:rPr>
        <w:t>逆性的</w:t>
      </w:r>
      <w:r>
        <w:rPr>
          <w:spacing w:val="-3"/>
          <w:w w:val="100"/>
          <w:sz w:val="21"/>
        </w:rPr>
        <w:t>心</w:t>
      </w:r>
      <w:r>
        <w:rPr>
          <w:w w:val="100"/>
          <w:sz w:val="21"/>
        </w:rPr>
        <w:t>功</w:t>
      </w:r>
      <w:r>
        <w:rPr>
          <w:spacing w:val="-3"/>
          <w:w w:val="100"/>
          <w:sz w:val="21"/>
        </w:rPr>
        <w:t>能</w:t>
      </w:r>
      <w:r>
        <w:rPr>
          <w:w w:val="100"/>
          <w:sz w:val="21"/>
        </w:rPr>
        <w:t>衰</w:t>
      </w:r>
      <w:r>
        <w:rPr>
          <w:spacing w:val="-3"/>
          <w:w w:val="100"/>
          <w:sz w:val="21"/>
        </w:rPr>
        <w:t>竭</w:t>
      </w:r>
      <w:r>
        <w:rPr>
          <w:w w:val="100"/>
          <w:sz w:val="21"/>
        </w:rPr>
        <w:t>。</w:t>
      </w:r>
      <w:r>
        <w:rPr>
          <w:spacing w:val="-3"/>
          <w:w w:val="100"/>
          <w:sz w:val="21"/>
        </w:rPr>
        <w:t>须</w:t>
      </w:r>
      <w:r>
        <w:rPr>
          <w:w w:val="100"/>
          <w:sz w:val="21"/>
        </w:rPr>
        <w:t>满</w:t>
      </w:r>
      <w:r>
        <w:rPr>
          <w:spacing w:val="-3"/>
          <w:w w:val="100"/>
          <w:sz w:val="21"/>
        </w:rPr>
        <w:t>足</w:t>
      </w:r>
      <w:r>
        <w:rPr>
          <w:w w:val="100"/>
          <w:sz w:val="21"/>
        </w:rPr>
        <w:t>下列</w:t>
      </w:r>
      <w:r>
        <w:rPr>
          <w:spacing w:val="-3"/>
          <w:w w:val="100"/>
          <w:sz w:val="21"/>
        </w:rPr>
        <w:t>全</w:t>
      </w:r>
      <w:r>
        <w:rPr>
          <w:w w:val="100"/>
          <w:sz w:val="21"/>
        </w:rPr>
        <w:t>部</w:t>
      </w:r>
      <w:r>
        <w:rPr>
          <w:spacing w:val="-3"/>
          <w:w w:val="100"/>
          <w:sz w:val="21"/>
        </w:rPr>
        <w:t>条</w:t>
      </w:r>
      <w:r>
        <w:rPr>
          <w:w w:val="100"/>
          <w:sz w:val="21"/>
        </w:rPr>
        <w:t>件：</w:t>
      </w:r>
    </w:p>
    <w:p>
      <w:pPr>
        <w:pStyle w:val="8"/>
        <w:numPr>
          <w:ilvl w:val="0"/>
          <w:numId w:val="36"/>
        </w:numPr>
        <w:tabs>
          <w:tab w:val="left" w:pos="3795"/>
        </w:tabs>
        <w:spacing w:before="0" w:after="0" w:line="278" w:lineRule="auto"/>
        <w:ind w:left="3786" w:right="236" w:hanging="526"/>
        <w:jc w:val="left"/>
        <w:rPr>
          <w:sz w:val="21"/>
        </w:rPr>
      </w:pPr>
      <w:r>
        <w:rPr>
          <w:spacing w:val="-2"/>
          <w:sz w:val="21"/>
        </w:rPr>
        <w:t>心功能衰竭程度达到美国纽约心脏病学会心功能状态分级</w:t>
      </w:r>
      <w:r>
        <w:rPr>
          <w:rFonts w:ascii="Times New Roman" w:hAnsi="Times New Roman" w:eastAsia="Times New Roman"/>
          <w:spacing w:val="-2"/>
          <w:sz w:val="21"/>
        </w:rPr>
        <w:t>Ⅳ</w:t>
      </w:r>
      <w:r>
        <w:rPr>
          <w:spacing w:val="-2"/>
          <w:sz w:val="21"/>
        </w:rPr>
        <w:t>级，或</w:t>
      </w:r>
      <w:r>
        <w:rPr>
          <w:spacing w:val="-5"/>
          <w:sz w:val="21"/>
        </w:rPr>
        <w:t xml:space="preserve">左室射血分数低于 </w:t>
      </w:r>
      <w:r>
        <w:rPr>
          <w:rFonts w:ascii="Times New Roman" w:hAnsi="Times New Roman" w:eastAsia="Times New Roman"/>
          <w:sz w:val="21"/>
        </w:rPr>
        <w:t>30%</w:t>
      </w:r>
      <w:r>
        <w:rPr>
          <w:sz w:val="21"/>
        </w:rPr>
        <w:t>；</w:t>
      </w:r>
    </w:p>
    <w:p>
      <w:pPr>
        <w:pStyle w:val="8"/>
        <w:numPr>
          <w:ilvl w:val="0"/>
          <w:numId w:val="36"/>
        </w:numPr>
        <w:tabs>
          <w:tab w:val="left" w:pos="3790"/>
        </w:tabs>
        <w:spacing w:before="0" w:after="0" w:line="240" w:lineRule="auto"/>
        <w:ind w:left="3789" w:right="0" w:hanging="530"/>
        <w:jc w:val="left"/>
        <w:rPr>
          <w:sz w:val="21"/>
        </w:rPr>
      </w:pPr>
      <w:r>
        <w:rPr>
          <w:spacing w:val="-11"/>
          <w:sz w:val="21"/>
        </w:rPr>
        <w:t xml:space="preserve">持续不间断 </w:t>
      </w:r>
      <w:r>
        <w:rPr>
          <w:rFonts w:ascii="Times New Roman" w:eastAsia="Times New Roman"/>
          <w:spacing w:val="-2"/>
          <w:sz w:val="21"/>
        </w:rPr>
        <w:t>180</w:t>
      </w:r>
      <w:r>
        <w:rPr>
          <w:rFonts w:ascii="Times New Roman" w:eastAsia="Times New Roman"/>
          <w:spacing w:val="4"/>
          <w:sz w:val="21"/>
        </w:rPr>
        <w:t xml:space="preserve"> </w:t>
      </w:r>
      <w:r>
        <w:rPr>
          <w:spacing w:val="-4"/>
          <w:sz w:val="21"/>
        </w:rPr>
        <w:t>日以上；</w:t>
      </w:r>
    </w:p>
    <w:p>
      <w:pPr>
        <w:pStyle w:val="8"/>
        <w:numPr>
          <w:ilvl w:val="0"/>
          <w:numId w:val="36"/>
        </w:numPr>
        <w:tabs>
          <w:tab w:val="left" w:pos="3790"/>
        </w:tabs>
        <w:spacing w:before="43" w:after="0" w:line="240" w:lineRule="auto"/>
        <w:ind w:left="3789" w:right="0" w:hanging="530"/>
        <w:jc w:val="left"/>
        <w:rPr>
          <w:sz w:val="21"/>
        </w:rPr>
      </w:pPr>
      <w:r>
        <w:rPr>
          <w:spacing w:val="-3"/>
          <w:sz w:val="21"/>
        </w:rPr>
        <w:t>永久不可逆性的体力活动能力受限，不能从事任何体力活动。</w:t>
      </w:r>
    </w:p>
    <w:p>
      <w:pPr>
        <w:pStyle w:val="4"/>
        <w:spacing w:before="8"/>
        <w:rPr>
          <w:sz w:val="27"/>
        </w:rPr>
      </w:pPr>
    </w:p>
    <w:p>
      <w:pPr>
        <w:pStyle w:val="8"/>
        <w:numPr>
          <w:ilvl w:val="2"/>
          <w:numId w:val="35"/>
        </w:numPr>
        <w:tabs>
          <w:tab w:val="left" w:pos="1197"/>
        </w:tabs>
        <w:spacing w:before="1" w:after="0" w:line="240" w:lineRule="auto"/>
        <w:ind w:left="1196" w:right="0" w:hanging="977"/>
        <w:jc w:val="both"/>
        <w:rPr>
          <w:sz w:val="21"/>
        </w:rPr>
      </w:pPr>
      <w:r>
        <w:rPr>
          <w:b/>
          <w:spacing w:val="17"/>
          <w:sz w:val="21"/>
        </w:rPr>
        <w:t xml:space="preserve">慢性肺源性心脏病   </w:t>
      </w:r>
      <w:r>
        <w:rPr>
          <w:spacing w:val="-1"/>
          <w:sz w:val="21"/>
        </w:rPr>
        <w:t>指被保险人因慢性肺部疾病导致慢性肺源性心脏病并且引起慢性心功能</w:t>
      </w:r>
    </w:p>
    <w:p>
      <w:pPr>
        <w:pStyle w:val="4"/>
        <w:spacing w:before="43" w:line="278" w:lineRule="auto"/>
        <w:ind w:left="3260" w:right="234"/>
        <w:jc w:val="both"/>
      </w:pPr>
      <w:r>
        <w:rPr>
          <w:spacing w:val="-4"/>
          <w:w w:val="100"/>
        </w:rPr>
        <w:t>损害造成永久不可逆性的心功能衰竭。心功能衰竭程度达到美国纽约心脏</w:t>
      </w:r>
      <w:r>
        <w:rPr>
          <w:spacing w:val="4"/>
          <w:w w:val="100"/>
        </w:rPr>
        <w:t>病学会心功能状态分级</w:t>
      </w:r>
      <w:r>
        <w:rPr>
          <w:rFonts w:ascii="Times New Roman" w:hAnsi="Times New Roman" w:eastAsia="Times New Roman"/>
          <w:spacing w:val="3"/>
          <w:w w:val="100"/>
        </w:rPr>
        <w:t>Ⅳ</w:t>
      </w:r>
      <w:r>
        <w:rPr>
          <w:spacing w:val="3"/>
          <w:w w:val="100"/>
        </w:rPr>
        <w:t>级。被保险人永久不可逆性的体力活动能力受</w:t>
      </w:r>
      <w:r>
        <w:rPr>
          <w:spacing w:val="-3"/>
          <w:w w:val="100"/>
        </w:rPr>
        <w:t>限，不能从事任何体力活动。</w:t>
      </w:r>
    </w:p>
    <w:p>
      <w:pPr>
        <w:pStyle w:val="4"/>
        <w:spacing w:before="9"/>
        <w:rPr>
          <w:sz w:val="18"/>
        </w:rPr>
      </w:pPr>
    </w:p>
    <w:p>
      <w:pPr>
        <w:spacing w:after="0"/>
        <w:rPr>
          <w:sz w:val="18"/>
        </w:rPr>
        <w:sectPr>
          <w:pgSz w:w="11910" w:h="16840"/>
          <w:pgMar w:top="1400" w:right="840" w:bottom="280" w:left="860" w:header="720" w:footer="720" w:gutter="0"/>
          <w:cols w:space="720" w:num="1"/>
        </w:sectPr>
      </w:pPr>
    </w:p>
    <w:p>
      <w:pPr>
        <w:pStyle w:val="8"/>
        <w:numPr>
          <w:ilvl w:val="2"/>
          <w:numId w:val="35"/>
        </w:numPr>
        <w:tabs>
          <w:tab w:val="left" w:pos="1196"/>
          <w:tab w:val="left" w:pos="1197"/>
        </w:tabs>
        <w:spacing w:before="72" w:after="0" w:line="240" w:lineRule="auto"/>
        <w:ind w:left="1196" w:right="0" w:hanging="977"/>
        <w:jc w:val="left"/>
        <w:rPr>
          <w:b/>
          <w:sz w:val="21"/>
        </w:rPr>
      </w:pPr>
      <w:r>
        <w:rPr>
          <w:b/>
          <w:spacing w:val="17"/>
          <w:sz w:val="21"/>
        </w:rPr>
        <w:t>严重原发性硬化性</w:t>
      </w:r>
    </w:p>
    <w:p>
      <w:pPr>
        <w:spacing w:before="42"/>
        <w:ind w:left="1196" w:right="0" w:firstLine="0"/>
        <w:jc w:val="left"/>
        <w:rPr>
          <w:b/>
          <w:sz w:val="21"/>
        </w:rPr>
      </w:pPr>
      <w:r>
        <w:rPr>
          <w:b/>
          <w:spacing w:val="-4"/>
          <w:sz w:val="21"/>
        </w:rPr>
        <w:t>胆管炎</w:t>
      </w:r>
    </w:p>
    <w:p>
      <w:pPr>
        <w:pStyle w:val="4"/>
        <w:spacing w:before="72" w:line="278" w:lineRule="auto"/>
        <w:ind w:left="173" w:right="234"/>
      </w:pPr>
      <w:r>
        <w:br w:type="column"/>
      </w:r>
      <w:r>
        <w:rPr>
          <w:spacing w:val="-2"/>
        </w:rPr>
        <w:t>是一种特发型淤胆性疾病，特点为肝内及肝外胆道系统胆管壁增厚和管腔狭窄。须满足下列全部条件：</w:t>
      </w:r>
    </w:p>
    <w:p>
      <w:pPr>
        <w:pStyle w:val="8"/>
        <w:numPr>
          <w:ilvl w:val="0"/>
          <w:numId w:val="37"/>
        </w:numPr>
        <w:tabs>
          <w:tab w:val="left" w:pos="703"/>
        </w:tabs>
        <w:spacing w:before="0" w:after="0" w:line="240" w:lineRule="auto"/>
        <w:ind w:left="702" w:right="0" w:hanging="530"/>
        <w:jc w:val="left"/>
        <w:rPr>
          <w:sz w:val="21"/>
        </w:rPr>
      </w:pPr>
      <w:r>
        <w:rPr>
          <w:spacing w:val="-2"/>
          <w:sz w:val="21"/>
        </w:rPr>
        <w:t>诊断由逆行胰胆管造影（</w:t>
      </w:r>
      <w:r>
        <w:rPr>
          <w:rFonts w:ascii="Times New Roman" w:eastAsia="Times New Roman"/>
          <w:spacing w:val="-2"/>
          <w:sz w:val="21"/>
        </w:rPr>
        <w:t>ERCP</w:t>
      </w:r>
      <w:r>
        <w:rPr>
          <w:spacing w:val="-2"/>
          <w:sz w:val="21"/>
        </w:rPr>
        <w:t>）或经皮胆管造影（</w:t>
      </w:r>
      <w:r>
        <w:rPr>
          <w:rFonts w:ascii="Times New Roman" w:eastAsia="Times New Roman"/>
          <w:spacing w:val="-2"/>
          <w:sz w:val="21"/>
        </w:rPr>
        <w:t>PTC</w:t>
      </w:r>
      <w:r>
        <w:rPr>
          <w:spacing w:val="-2"/>
          <w:sz w:val="21"/>
        </w:rPr>
        <w:t>）</w:t>
      </w:r>
      <w:r>
        <w:rPr>
          <w:spacing w:val="-5"/>
          <w:sz w:val="21"/>
        </w:rPr>
        <w:t>确认；</w:t>
      </w:r>
    </w:p>
    <w:p>
      <w:pPr>
        <w:pStyle w:val="8"/>
        <w:numPr>
          <w:ilvl w:val="0"/>
          <w:numId w:val="37"/>
        </w:numPr>
        <w:tabs>
          <w:tab w:val="left" w:pos="703"/>
        </w:tabs>
        <w:spacing w:before="42" w:after="0" w:line="240" w:lineRule="auto"/>
        <w:ind w:left="702" w:right="0" w:hanging="530"/>
        <w:jc w:val="left"/>
        <w:rPr>
          <w:sz w:val="21"/>
        </w:rPr>
      </w:pPr>
      <w:r>
        <w:rPr>
          <w:spacing w:val="-2"/>
          <w:sz w:val="21"/>
        </w:rPr>
        <w:t>持续性黄疸伴碱性磷酸酶（</w:t>
      </w:r>
      <w:r>
        <w:rPr>
          <w:rFonts w:ascii="Times New Roman" w:eastAsia="Times New Roman"/>
          <w:spacing w:val="-2"/>
          <w:sz w:val="21"/>
        </w:rPr>
        <w:t>ALP</w:t>
      </w:r>
      <w:r>
        <w:rPr>
          <w:spacing w:val="-2"/>
          <w:sz w:val="21"/>
        </w:rPr>
        <w:t>）</w:t>
      </w:r>
      <w:r>
        <w:rPr>
          <w:spacing w:val="-4"/>
          <w:sz w:val="21"/>
        </w:rPr>
        <w:t>显著升高；</w:t>
      </w:r>
    </w:p>
    <w:p>
      <w:pPr>
        <w:pStyle w:val="8"/>
        <w:numPr>
          <w:ilvl w:val="0"/>
          <w:numId w:val="37"/>
        </w:numPr>
        <w:tabs>
          <w:tab w:val="left" w:pos="703"/>
        </w:tabs>
        <w:spacing w:before="43" w:after="0" w:line="240" w:lineRule="auto"/>
        <w:ind w:left="702" w:right="0" w:hanging="530"/>
        <w:jc w:val="left"/>
        <w:rPr>
          <w:sz w:val="21"/>
        </w:rPr>
      </w:pPr>
      <w:r>
        <w:rPr>
          <w:spacing w:val="-3"/>
          <w:sz w:val="21"/>
        </w:rPr>
        <w:t>出现继发性胆汁性肝硬化和门静脉高压。</w:t>
      </w:r>
    </w:p>
    <w:p>
      <w:pPr>
        <w:spacing w:after="0" w:line="240" w:lineRule="auto"/>
        <w:jc w:val="left"/>
        <w:rPr>
          <w:sz w:val="21"/>
        </w:rPr>
        <w:sectPr>
          <w:type w:val="continuous"/>
          <w:pgSz w:w="11910" w:h="16840"/>
          <w:pgMar w:top="500" w:right="840" w:bottom="280" w:left="860" w:header="720" w:footer="720" w:gutter="0"/>
          <w:cols w:equalWidth="0" w:num="2">
            <w:col w:w="3048" w:space="40"/>
            <w:col w:w="7122"/>
          </w:cols>
        </w:sectPr>
      </w:pPr>
    </w:p>
    <w:p>
      <w:pPr>
        <w:pStyle w:val="4"/>
        <w:spacing w:before="2"/>
        <w:rPr>
          <w:sz w:val="22"/>
        </w:rPr>
      </w:pPr>
    </w:p>
    <w:p>
      <w:pPr>
        <w:spacing w:after="0"/>
        <w:rPr>
          <w:sz w:val="22"/>
        </w:rPr>
        <w:sectPr>
          <w:type w:val="continuous"/>
          <w:pgSz w:w="11910" w:h="16840"/>
          <w:pgMar w:top="500" w:right="840" w:bottom="280" w:left="860" w:header="720" w:footer="720" w:gutter="0"/>
          <w:cols w:space="720" w:num="1"/>
        </w:sectPr>
      </w:pPr>
    </w:p>
    <w:p>
      <w:pPr>
        <w:pStyle w:val="8"/>
        <w:numPr>
          <w:ilvl w:val="2"/>
          <w:numId w:val="35"/>
        </w:numPr>
        <w:tabs>
          <w:tab w:val="left" w:pos="1196"/>
          <w:tab w:val="left" w:pos="1197"/>
        </w:tabs>
        <w:spacing w:before="71" w:after="0" w:line="240" w:lineRule="auto"/>
        <w:ind w:left="1196" w:right="0" w:hanging="977"/>
        <w:jc w:val="left"/>
        <w:rPr>
          <w:b/>
          <w:sz w:val="21"/>
        </w:rPr>
      </w:pPr>
      <w:r>
        <w:rPr>
          <w:b/>
          <w:spacing w:val="17"/>
          <w:sz w:val="21"/>
        </w:rPr>
        <w:t>严重慢性自身免疫</w:t>
      </w:r>
    </w:p>
    <w:p>
      <w:pPr>
        <w:spacing w:before="43"/>
        <w:ind w:left="1196" w:right="0" w:firstLine="0"/>
        <w:jc w:val="left"/>
        <w:rPr>
          <w:b/>
          <w:sz w:val="21"/>
        </w:rPr>
      </w:pPr>
      <w:r>
        <w:rPr>
          <w:b/>
          <w:spacing w:val="-4"/>
          <w:sz w:val="21"/>
        </w:rPr>
        <w:t>性肝炎</w:t>
      </w:r>
    </w:p>
    <w:p>
      <w:pPr>
        <w:pStyle w:val="4"/>
        <w:spacing w:before="71" w:line="278" w:lineRule="auto"/>
        <w:ind w:left="173" w:right="234"/>
        <w:jc w:val="both"/>
      </w:pPr>
      <w:r>
        <w:br w:type="column"/>
      </w:r>
      <w:r>
        <w:rPr>
          <w:spacing w:val="-2"/>
        </w:rPr>
        <w:t>自身免疫性肝炎是一种原因不明的慢性肝脏的坏死性炎性疾病，机体免疫机制被破坏，产生针对肝脏自身抗原的抗体导致自身免疫反应，从而破坏肝细胞造成肝脏炎症坏死，进而发展为肝硬化。须满足下列全部条件：</w:t>
      </w:r>
    </w:p>
    <w:p>
      <w:pPr>
        <w:pStyle w:val="8"/>
        <w:numPr>
          <w:ilvl w:val="0"/>
          <w:numId w:val="38"/>
        </w:numPr>
        <w:tabs>
          <w:tab w:val="left" w:pos="703"/>
        </w:tabs>
        <w:spacing w:before="0" w:after="0" w:line="269" w:lineRule="exact"/>
        <w:ind w:left="702" w:right="0" w:hanging="530"/>
        <w:jc w:val="left"/>
        <w:rPr>
          <w:sz w:val="21"/>
        </w:rPr>
      </w:pPr>
      <w:r>
        <w:rPr>
          <w:spacing w:val="-2"/>
          <w:sz w:val="21"/>
        </w:rPr>
        <w:t>高γ</w:t>
      </w:r>
      <w:r>
        <w:rPr>
          <w:spacing w:val="-4"/>
          <w:sz w:val="21"/>
        </w:rPr>
        <w:t>球蛋白血症；</w:t>
      </w:r>
    </w:p>
    <w:p>
      <w:pPr>
        <w:pStyle w:val="8"/>
        <w:numPr>
          <w:ilvl w:val="0"/>
          <w:numId w:val="38"/>
        </w:numPr>
        <w:tabs>
          <w:tab w:val="left" w:pos="703"/>
        </w:tabs>
        <w:spacing w:before="43" w:after="0" w:line="278" w:lineRule="auto"/>
        <w:ind w:left="699" w:right="234" w:hanging="526"/>
        <w:jc w:val="left"/>
        <w:rPr>
          <w:sz w:val="21"/>
        </w:rPr>
      </w:pPr>
      <w:r>
        <w:rPr>
          <w:spacing w:val="-3"/>
          <w:sz w:val="21"/>
        </w:rPr>
        <w:t xml:space="preserve">血液中存在高水平的自身免疫抗体，如 </w:t>
      </w:r>
      <w:r>
        <w:rPr>
          <w:rFonts w:ascii="Times New Roman" w:eastAsia="Times New Roman"/>
          <w:sz w:val="21"/>
        </w:rPr>
        <w:t>ANA</w:t>
      </w:r>
      <w:r>
        <w:rPr>
          <w:sz w:val="21"/>
        </w:rPr>
        <w:t>（抗核抗体</w:t>
      </w:r>
      <w:r>
        <w:rPr>
          <w:spacing w:val="-106"/>
          <w:sz w:val="21"/>
        </w:rPr>
        <w:t>）</w:t>
      </w:r>
      <w:r>
        <w:rPr>
          <w:sz w:val="21"/>
        </w:rPr>
        <w:t>、</w:t>
      </w:r>
      <w:r>
        <w:rPr>
          <w:rFonts w:ascii="Times New Roman" w:eastAsia="Times New Roman"/>
          <w:sz w:val="21"/>
        </w:rPr>
        <w:t>SMA</w:t>
      </w:r>
      <w:r>
        <w:rPr>
          <w:sz w:val="21"/>
        </w:rPr>
        <w:t>（抗平滑肌抗体</w:t>
      </w:r>
      <w:r>
        <w:rPr>
          <w:spacing w:val="-106"/>
          <w:sz w:val="21"/>
        </w:rPr>
        <w:t>）</w:t>
      </w:r>
      <w:r>
        <w:rPr>
          <w:spacing w:val="-5"/>
          <w:sz w:val="21"/>
        </w:rPr>
        <w:t xml:space="preserve">、抗 </w:t>
      </w:r>
      <w:r>
        <w:rPr>
          <w:rFonts w:ascii="Times New Roman" w:eastAsia="Times New Roman"/>
          <w:sz w:val="21"/>
        </w:rPr>
        <w:t xml:space="preserve">LKM1 </w:t>
      </w:r>
      <w:r>
        <w:rPr>
          <w:sz w:val="21"/>
        </w:rPr>
        <w:t>抗体或抗-</w:t>
      </w:r>
      <w:r>
        <w:rPr>
          <w:rFonts w:ascii="Times New Roman" w:eastAsia="Times New Roman"/>
          <w:sz w:val="21"/>
        </w:rPr>
        <w:t xml:space="preserve">SLA/LP </w:t>
      </w:r>
      <w:r>
        <w:rPr>
          <w:sz w:val="21"/>
        </w:rPr>
        <w:t>抗体；</w:t>
      </w:r>
    </w:p>
    <w:p>
      <w:pPr>
        <w:pStyle w:val="8"/>
        <w:numPr>
          <w:ilvl w:val="0"/>
          <w:numId w:val="38"/>
        </w:numPr>
        <w:tabs>
          <w:tab w:val="left" w:pos="703"/>
        </w:tabs>
        <w:spacing w:before="0" w:after="0" w:line="269" w:lineRule="exact"/>
        <w:ind w:left="702" w:right="0" w:hanging="530"/>
        <w:jc w:val="left"/>
        <w:rPr>
          <w:sz w:val="21"/>
        </w:rPr>
      </w:pPr>
      <w:r>
        <w:rPr>
          <w:spacing w:val="-3"/>
          <w:sz w:val="21"/>
        </w:rPr>
        <w:t>肝脏活检证实免疫性肝炎；</w:t>
      </w:r>
    </w:p>
    <w:p>
      <w:pPr>
        <w:pStyle w:val="8"/>
        <w:numPr>
          <w:ilvl w:val="0"/>
          <w:numId w:val="38"/>
        </w:numPr>
        <w:tabs>
          <w:tab w:val="left" w:pos="703"/>
        </w:tabs>
        <w:spacing w:before="43" w:after="0" w:line="240" w:lineRule="auto"/>
        <w:ind w:left="702" w:right="0" w:hanging="530"/>
        <w:jc w:val="left"/>
        <w:rPr>
          <w:sz w:val="21"/>
        </w:rPr>
      </w:pPr>
      <w:r>
        <w:rPr>
          <w:spacing w:val="-3"/>
          <w:sz w:val="21"/>
        </w:rPr>
        <w:t>临床已经出现腹水、食道静脉曲张和脾肿大等肝硬化表现。</w:t>
      </w:r>
    </w:p>
    <w:p>
      <w:pPr>
        <w:spacing w:after="0" w:line="240" w:lineRule="auto"/>
        <w:jc w:val="left"/>
        <w:rPr>
          <w:sz w:val="21"/>
        </w:rPr>
        <w:sectPr>
          <w:type w:val="continuous"/>
          <w:pgSz w:w="11910" w:h="16840"/>
          <w:pgMar w:top="500" w:right="840" w:bottom="280" w:left="860" w:header="720" w:footer="720" w:gutter="0"/>
          <w:cols w:equalWidth="0" w:num="2">
            <w:col w:w="3048" w:space="40"/>
            <w:col w:w="7122"/>
          </w:cols>
        </w:sectPr>
      </w:pPr>
    </w:p>
    <w:p>
      <w:pPr>
        <w:pStyle w:val="4"/>
        <w:spacing w:before="2"/>
        <w:rPr>
          <w:sz w:val="22"/>
        </w:rPr>
      </w:pPr>
    </w:p>
    <w:p>
      <w:pPr>
        <w:pStyle w:val="8"/>
        <w:numPr>
          <w:ilvl w:val="2"/>
          <w:numId w:val="35"/>
        </w:numPr>
        <w:tabs>
          <w:tab w:val="left" w:pos="1196"/>
          <w:tab w:val="left" w:pos="1197"/>
          <w:tab w:val="left" w:pos="3260"/>
        </w:tabs>
        <w:spacing w:before="71" w:after="0" w:line="240" w:lineRule="auto"/>
        <w:ind w:left="1196" w:right="0" w:hanging="977"/>
        <w:jc w:val="left"/>
        <w:rPr>
          <w:sz w:val="21"/>
        </w:rPr>
      </w:pPr>
      <w:r>
        <w:rPr>
          <w:b/>
          <w:sz w:val="21"/>
        </w:rPr>
        <w:t>原发性骨髓纤维</w:t>
      </w:r>
      <w:r>
        <w:rPr>
          <w:b/>
          <w:spacing w:val="-10"/>
          <w:sz w:val="21"/>
        </w:rPr>
        <w:t>化</w:t>
      </w:r>
      <w:r>
        <w:rPr>
          <w:b/>
          <w:sz w:val="21"/>
        </w:rPr>
        <w:tab/>
      </w:r>
      <w:r>
        <w:rPr>
          <w:spacing w:val="-2"/>
          <w:sz w:val="21"/>
        </w:rPr>
        <w:t>以骨髓纤维增生和髓外造血为特点，表现为进行性贫血、脾肿大、外周</w:t>
      </w:r>
      <w:r>
        <w:rPr>
          <w:spacing w:val="-10"/>
          <w:sz w:val="21"/>
        </w:rPr>
        <w:t>血</w:t>
      </w:r>
    </w:p>
    <w:p>
      <w:pPr>
        <w:pStyle w:val="4"/>
        <w:spacing w:before="43"/>
        <w:ind w:left="3260"/>
      </w:pPr>
      <w:r>
        <w:rPr>
          <w:spacing w:val="-4"/>
        </w:rPr>
        <w:t>幼稚细胞等。</w:t>
      </w:r>
    </w:p>
    <w:p>
      <w:pPr>
        <w:pStyle w:val="4"/>
        <w:spacing w:before="9"/>
        <w:rPr>
          <w:sz w:val="27"/>
        </w:rPr>
      </w:pPr>
    </w:p>
    <w:p>
      <w:pPr>
        <w:pStyle w:val="4"/>
        <w:spacing w:line="278" w:lineRule="auto"/>
        <w:ind w:left="3260" w:right="234"/>
      </w:pPr>
      <w:r>
        <w:rPr>
          <w:spacing w:val="-2"/>
        </w:rPr>
        <w:t>被保险人须经骨髓活检明确诊断为原发性骨髓纤维化，并须满足下列全部</w:t>
      </w:r>
      <w:r>
        <w:rPr>
          <w:spacing w:val="-4"/>
        </w:rPr>
        <w:t xml:space="preserve">条件并持续 </w:t>
      </w:r>
      <w:r>
        <w:rPr>
          <w:rFonts w:ascii="Times New Roman" w:eastAsia="Times New Roman"/>
        </w:rPr>
        <w:t xml:space="preserve">180 </w:t>
      </w:r>
      <w:r>
        <w:t>日：</w:t>
      </w:r>
    </w:p>
    <w:p>
      <w:pPr>
        <w:pStyle w:val="4"/>
        <w:ind w:left="3260"/>
      </w:pPr>
      <w:r>
        <w:rPr>
          <w:spacing w:val="-2"/>
        </w:rPr>
        <w:t>（</w:t>
      </w:r>
      <w:r>
        <w:rPr>
          <w:rFonts w:ascii="Times New Roman" w:eastAsia="Times New Roman"/>
          <w:spacing w:val="-2"/>
        </w:rPr>
        <w:t>1</w:t>
      </w:r>
      <w:r>
        <w:rPr>
          <w:spacing w:val="-2"/>
        </w:rPr>
        <w:t>）血红蛋白＜</w:t>
      </w:r>
      <w:r>
        <w:rPr>
          <w:rFonts w:ascii="Times New Roman" w:eastAsia="Times New Roman"/>
          <w:spacing w:val="-2"/>
        </w:rPr>
        <w:t>100g/L</w:t>
      </w:r>
      <w:r>
        <w:rPr>
          <w:spacing w:val="-2"/>
        </w:rPr>
        <w:t>；</w:t>
      </w:r>
    </w:p>
    <w:p>
      <w:pPr>
        <w:pStyle w:val="4"/>
        <w:spacing w:before="43"/>
        <w:ind w:left="3260"/>
      </w:pPr>
      <w:r>
        <w:rPr>
          <w:spacing w:val="-2"/>
        </w:rPr>
        <w:t>（</w:t>
      </w:r>
      <w:r>
        <w:rPr>
          <w:rFonts w:ascii="Times New Roman" w:hAnsi="Times New Roman" w:eastAsia="Times New Roman"/>
          <w:spacing w:val="-2"/>
        </w:rPr>
        <w:t>2</w:t>
      </w:r>
      <w:r>
        <w:rPr>
          <w:spacing w:val="-2"/>
        </w:rPr>
        <w:t>）白细胞计数＞</w:t>
      </w:r>
      <w:r>
        <w:rPr>
          <w:rFonts w:ascii="Times New Roman" w:hAnsi="Times New Roman" w:eastAsia="Times New Roman"/>
          <w:spacing w:val="-2"/>
        </w:rPr>
        <w:t>25</w:t>
      </w:r>
      <w:r>
        <w:rPr>
          <w:spacing w:val="-2"/>
        </w:rPr>
        <w:t>×</w:t>
      </w:r>
      <w:r>
        <w:rPr>
          <w:rFonts w:ascii="Times New Roman" w:hAnsi="Times New Roman" w:eastAsia="Times New Roman"/>
          <w:spacing w:val="-2"/>
        </w:rPr>
        <w:t>10</w:t>
      </w:r>
      <w:r>
        <w:rPr>
          <w:rFonts w:ascii="Times New Roman" w:hAnsi="Times New Roman" w:eastAsia="Times New Roman"/>
          <w:spacing w:val="-2"/>
          <w:position w:val="7"/>
          <w:sz w:val="14"/>
        </w:rPr>
        <w:t>9</w:t>
      </w:r>
      <w:r>
        <w:rPr>
          <w:rFonts w:ascii="Times New Roman" w:hAnsi="Times New Roman" w:eastAsia="Times New Roman"/>
          <w:spacing w:val="-2"/>
        </w:rPr>
        <w:t>/L</w:t>
      </w:r>
      <w:r>
        <w:rPr>
          <w:spacing w:val="-2"/>
        </w:rPr>
        <w:t>；</w:t>
      </w:r>
    </w:p>
    <w:p>
      <w:pPr>
        <w:pStyle w:val="4"/>
        <w:spacing w:before="43"/>
        <w:ind w:left="3260"/>
      </w:pPr>
      <w:r>
        <w:rPr>
          <w:spacing w:val="-2"/>
        </w:rPr>
        <w:t>（</w:t>
      </w:r>
      <w:r>
        <w:rPr>
          <w:rFonts w:ascii="Times New Roman" w:hAnsi="Times New Roman" w:eastAsia="Times New Roman"/>
          <w:spacing w:val="-2"/>
        </w:rPr>
        <w:t>3</w:t>
      </w:r>
      <w:r>
        <w:rPr>
          <w:spacing w:val="-2"/>
        </w:rPr>
        <w:t>）</w:t>
      </w:r>
      <w:r>
        <w:rPr>
          <w:spacing w:val="-3"/>
        </w:rPr>
        <w:t>外周血原始细胞≥</w:t>
      </w:r>
      <w:r>
        <w:rPr>
          <w:rFonts w:ascii="Times New Roman" w:hAnsi="Times New Roman" w:eastAsia="Times New Roman"/>
          <w:spacing w:val="-4"/>
        </w:rPr>
        <w:t>1%</w:t>
      </w:r>
      <w:r>
        <w:rPr>
          <w:spacing w:val="-4"/>
        </w:rPr>
        <w:t>；</w:t>
      </w:r>
    </w:p>
    <w:p>
      <w:pPr>
        <w:pStyle w:val="4"/>
        <w:spacing w:before="43"/>
        <w:ind w:left="3260"/>
      </w:pPr>
      <w:r>
        <w:rPr>
          <w:w w:val="95"/>
        </w:rPr>
        <w:t>（</w:t>
      </w:r>
      <w:r>
        <w:rPr>
          <w:rFonts w:ascii="Times New Roman" w:hAnsi="Times New Roman" w:eastAsia="Times New Roman"/>
          <w:w w:val="95"/>
        </w:rPr>
        <w:t>4</w:t>
      </w:r>
      <w:r>
        <w:rPr>
          <w:w w:val="95"/>
        </w:rPr>
        <w:t>）血小板计数＜</w:t>
      </w:r>
      <w:r>
        <w:rPr>
          <w:rFonts w:ascii="Times New Roman" w:hAnsi="Times New Roman" w:eastAsia="Times New Roman"/>
          <w:w w:val="95"/>
        </w:rPr>
        <w:t>100</w:t>
      </w:r>
      <w:r>
        <w:rPr>
          <w:w w:val="95"/>
        </w:rPr>
        <w:t>×</w:t>
      </w:r>
      <w:r>
        <w:rPr>
          <w:rFonts w:ascii="Times New Roman" w:hAnsi="Times New Roman" w:eastAsia="Times New Roman"/>
          <w:w w:val="95"/>
        </w:rPr>
        <w:t>10</w:t>
      </w:r>
      <w:r>
        <w:rPr>
          <w:rFonts w:ascii="Times New Roman" w:hAnsi="Times New Roman" w:eastAsia="Times New Roman"/>
          <w:w w:val="95"/>
          <w:position w:val="7"/>
          <w:sz w:val="14"/>
        </w:rPr>
        <w:t>9</w:t>
      </w:r>
      <w:r>
        <w:rPr>
          <w:rFonts w:ascii="Times New Roman" w:hAnsi="Times New Roman" w:eastAsia="Times New Roman"/>
          <w:w w:val="95"/>
        </w:rPr>
        <w:t>/L</w:t>
      </w:r>
      <w:r>
        <w:rPr>
          <w:spacing w:val="-10"/>
          <w:w w:val="95"/>
        </w:rPr>
        <w:t>。</w:t>
      </w:r>
    </w:p>
    <w:p>
      <w:pPr>
        <w:pStyle w:val="4"/>
        <w:spacing w:before="1"/>
        <w:rPr>
          <w:sz w:val="22"/>
        </w:rPr>
      </w:pPr>
    </w:p>
    <w:p>
      <w:pPr>
        <w:pStyle w:val="4"/>
        <w:spacing w:before="72"/>
        <w:ind w:left="3260"/>
        <w:rPr>
          <w:rFonts w:ascii="黑体" w:eastAsia="黑体"/>
        </w:rPr>
      </w:pPr>
      <w:r>
        <w:rPr>
          <w:rFonts w:ascii="黑体" w:eastAsia="黑体"/>
          <w:color w:val="000000"/>
          <w:spacing w:val="-14"/>
          <w:shd w:val="clear" w:color="auto" w:fill="D9D9D9"/>
        </w:rPr>
        <w:t>恶性肿瘤、中毒、放射线和感染所致的继发性骨髓纤维化不在保障范围内。</w:t>
      </w:r>
    </w:p>
    <w:p>
      <w:pPr>
        <w:pStyle w:val="4"/>
        <w:spacing w:before="1"/>
        <w:rPr>
          <w:rFonts w:ascii="黑体"/>
          <w:sz w:val="22"/>
        </w:rPr>
      </w:pPr>
    </w:p>
    <w:p>
      <w:pPr>
        <w:spacing w:after="0"/>
        <w:rPr>
          <w:rFonts w:ascii="黑体"/>
          <w:sz w:val="22"/>
        </w:rPr>
        <w:sectPr>
          <w:type w:val="continuous"/>
          <w:pgSz w:w="11910" w:h="16840"/>
          <w:pgMar w:top="500" w:right="840" w:bottom="280" w:left="860" w:header="720" w:footer="720" w:gutter="0"/>
          <w:cols w:space="720" w:num="1"/>
        </w:sectPr>
      </w:pPr>
    </w:p>
    <w:p>
      <w:pPr>
        <w:pStyle w:val="8"/>
        <w:numPr>
          <w:ilvl w:val="2"/>
          <w:numId w:val="35"/>
        </w:numPr>
        <w:tabs>
          <w:tab w:val="left" w:pos="1196"/>
          <w:tab w:val="left" w:pos="1197"/>
        </w:tabs>
        <w:spacing w:before="72" w:after="0" w:line="240" w:lineRule="auto"/>
        <w:ind w:left="1196" w:right="0" w:hanging="977"/>
        <w:jc w:val="left"/>
        <w:rPr>
          <w:b/>
          <w:sz w:val="21"/>
        </w:rPr>
      </w:pPr>
      <w:r>
        <w:rPr>
          <w:b/>
          <w:spacing w:val="17"/>
          <w:sz w:val="21"/>
        </w:rPr>
        <w:t>严重骨髓增生异常</w:t>
      </w:r>
    </w:p>
    <w:p>
      <w:pPr>
        <w:spacing w:before="43"/>
        <w:ind w:left="1196" w:right="0" w:firstLine="0"/>
        <w:jc w:val="left"/>
        <w:rPr>
          <w:b/>
          <w:sz w:val="21"/>
        </w:rPr>
      </w:pPr>
      <w:r>
        <w:rPr>
          <w:b/>
          <w:spacing w:val="-4"/>
          <w:sz w:val="21"/>
        </w:rPr>
        <w:t>综合征</w:t>
      </w:r>
    </w:p>
    <w:p>
      <w:pPr>
        <w:pStyle w:val="4"/>
        <w:spacing w:before="72" w:line="278" w:lineRule="auto"/>
        <w:ind w:left="173" w:right="234"/>
      </w:pPr>
      <w:r>
        <w:br w:type="column"/>
      </w:r>
      <w:r>
        <w:rPr>
          <w:spacing w:val="-2"/>
        </w:rPr>
        <w:t>骨髓增生异常综合征是起源于造血干细胞的一组骨髓克隆异常的疾病，表现为无效造血、难治性血细胞减少，有转化为急性髓系白血病的风险。</w:t>
      </w:r>
    </w:p>
    <w:p>
      <w:pPr>
        <w:spacing w:after="0" w:line="278" w:lineRule="auto"/>
        <w:sectPr>
          <w:type w:val="continuous"/>
          <w:pgSz w:w="11910" w:h="16840"/>
          <w:pgMar w:top="500" w:right="840" w:bottom="280" w:left="860" w:header="720" w:footer="720" w:gutter="0"/>
          <w:cols w:equalWidth="0" w:num="2">
            <w:col w:w="3048" w:space="40"/>
            <w:col w:w="7122"/>
          </w:cols>
        </w:sectPr>
      </w:pPr>
    </w:p>
    <w:p>
      <w:pPr>
        <w:pStyle w:val="4"/>
        <w:spacing w:before="47" w:line="278" w:lineRule="auto"/>
        <w:ind w:left="3260" w:right="234"/>
      </w:pPr>
      <w:r>
        <w:rPr>
          <w:spacing w:val="-2"/>
        </w:rPr>
        <w:t>被保险人须经外周血和骨髓活检明确诊断为骨髓增生异常综合征，并须满足下列全部条件：</w:t>
      </w:r>
    </w:p>
    <w:p>
      <w:pPr>
        <w:pStyle w:val="8"/>
        <w:numPr>
          <w:ilvl w:val="3"/>
          <w:numId w:val="35"/>
        </w:numPr>
        <w:tabs>
          <w:tab w:val="left" w:pos="3790"/>
        </w:tabs>
        <w:spacing w:before="0" w:after="0" w:line="240" w:lineRule="auto"/>
        <w:ind w:left="3789" w:right="0" w:hanging="530"/>
        <w:jc w:val="left"/>
        <w:rPr>
          <w:sz w:val="21"/>
        </w:rPr>
      </w:pPr>
      <w:r>
        <w:rPr>
          <w:spacing w:val="17"/>
          <w:sz w:val="21"/>
        </w:rPr>
        <w:t>根据</w:t>
      </w:r>
      <w:r>
        <w:rPr>
          <w:rFonts w:ascii="Times New Roman" w:eastAsia="Times New Roman"/>
          <w:sz w:val="21"/>
        </w:rPr>
        <w:t>WHO</w:t>
      </w:r>
      <w:r>
        <w:rPr>
          <w:rFonts w:ascii="Times New Roman" w:eastAsia="Times New Roman"/>
          <w:spacing w:val="-14"/>
          <w:sz w:val="21"/>
        </w:rPr>
        <w:t xml:space="preserve"> </w:t>
      </w:r>
      <w:r>
        <w:rPr>
          <w:sz w:val="21"/>
        </w:rPr>
        <w:t>分型，分型为难治性贫血伴原始细胞增多</w:t>
      </w:r>
      <w:r>
        <w:rPr>
          <w:spacing w:val="11"/>
          <w:sz w:val="21"/>
        </w:rPr>
        <w:t>（</w:t>
      </w:r>
      <w:r>
        <w:rPr>
          <w:rFonts w:ascii="Times New Roman" w:eastAsia="Times New Roman"/>
          <w:spacing w:val="14"/>
          <w:sz w:val="21"/>
        </w:rPr>
        <w:t>RA</w:t>
      </w:r>
      <w:r>
        <w:rPr>
          <w:rFonts w:ascii="Times New Roman" w:eastAsia="Times New Roman"/>
          <w:spacing w:val="11"/>
          <w:sz w:val="21"/>
        </w:rPr>
        <w:t>E</w:t>
      </w:r>
      <w:r>
        <w:rPr>
          <w:rFonts w:ascii="Times New Roman" w:eastAsia="Times New Roman"/>
          <w:spacing w:val="14"/>
          <w:sz w:val="21"/>
        </w:rPr>
        <w:t>B</w:t>
      </w:r>
      <w:r>
        <w:rPr>
          <w:spacing w:val="-92"/>
          <w:sz w:val="21"/>
        </w:rPr>
        <w:t>）</w:t>
      </w:r>
      <w:r>
        <w:rPr>
          <w:spacing w:val="14"/>
          <w:sz w:val="21"/>
        </w:rPr>
        <w:t>；</w:t>
      </w:r>
    </w:p>
    <w:p>
      <w:pPr>
        <w:pStyle w:val="8"/>
        <w:numPr>
          <w:ilvl w:val="3"/>
          <w:numId w:val="35"/>
        </w:numPr>
        <w:tabs>
          <w:tab w:val="left" w:pos="3788"/>
        </w:tabs>
        <w:spacing w:before="43" w:after="0" w:line="240" w:lineRule="auto"/>
        <w:ind w:left="3787" w:right="0" w:hanging="528"/>
        <w:jc w:val="left"/>
        <w:rPr>
          <w:sz w:val="21"/>
        </w:rPr>
      </w:pPr>
      <w:r>
        <w:rPr>
          <w:spacing w:val="-6"/>
          <w:sz w:val="21"/>
        </w:rPr>
        <w:t>根据“骨髓增生异常综合征修订国际预后积分系统（</w:t>
      </w:r>
      <w:r>
        <w:rPr>
          <w:rFonts w:ascii="Times New Roman" w:hAnsi="Times New Roman" w:eastAsia="Times New Roman"/>
          <w:spacing w:val="-6"/>
          <w:sz w:val="21"/>
        </w:rPr>
        <w:t>IPSS</w:t>
      </w:r>
      <w:r>
        <w:rPr>
          <w:spacing w:val="-6"/>
          <w:sz w:val="21"/>
        </w:rPr>
        <w:t>-</w:t>
      </w:r>
      <w:r>
        <w:rPr>
          <w:rFonts w:ascii="Times New Roman" w:hAnsi="Times New Roman" w:eastAsia="Times New Roman"/>
          <w:spacing w:val="34"/>
          <w:sz w:val="21"/>
        </w:rPr>
        <w:t>R</w:t>
      </w:r>
      <w:r>
        <w:rPr>
          <w:spacing w:val="-74"/>
          <w:sz w:val="21"/>
        </w:rPr>
        <w:t>）</w:t>
      </w:r>
      <w:r>
        <w:rPr>
          <w:spacing w:val="2"/>
          <w:sz w:val="21"/>
        </w:rPr>
        <w:t>”积分</w:t>
      </w:r>
    </w:p>
    <w:p>
      <w:pPr>
        <w:pStyle w:val="4"/>
        <w:spacing w:before="43"/>
        <w:ind w:left="3786"/>
      </w:pPr>
      <w:r>
        <w:rPr>
          <w:spacing w:val="-2"/>
        </w:rPr>
        <w:t>≥</w:t>
      </w:r>
      <w:r>
        <w:rPr>
          <w:rFonts w:ascii="Times New Roman" w:hAnsi="Times New Roman" w:eastAsia="Times New Roman"/>
          <w:spacing w:val="-2"/>
        </w:rPr>
        <w:t>3</w:t>
      </w:r>
      <w:r>
        <w:rPr>
          <w:spacing w:val="-3"/>
        </w:rPr>
        <w:t>，属于中危及以上组。</w:t>
      </w:r>
    </w:p>
    <w:p>
      <w:pPr>
        <w:pStyle w:val="4"/>
        <w:spacing w:before="11" w:after="1"/>
        <w:rPr>
          <w:sz w:val="29"/>
        </w:rPr>
      </w:pPr>
    </w:p>
    <w:tbl>
      <w:tblPr>
        <w:tblStyle w:val="5"/>
        <w:tblW w:w="0" w:type="auto"/>
        <w:tblInd w:w="17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56"/>
        <w:gridCol w:w="2127"/>
        <w:gridCol w:w="68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9" w:hRule="atLeast"/>
        </w:trPr>
        <w:tc>
          <w:tcPr>
            <w:tcW w:w="856" w:type="dxa"/>
          </w:tcPr>
          <w:p>
            <w:pPr>
              <w:pStyle w:val="9"/>
              <w:spacing w:line="241" w:lineRule="exact"/>
              <w:ind w:left="50"/>
              <w:rPr>
                <w:b/>
                <w:sz w:val="21"/>
              </w:rPr>
            </w:pPr>
            <w:r>
              <w:rPr>
                <w:b/>
                <w:spacing w:val="-2"/>
                <w:sz w:val="21"/>
              </w:rPr>
              <w:t>7.2.53</w:t>
            </w:r>
          </w:p>
        </w:tc>
        <w:tc>
          <w:tcPr>
            <w:tcW w:w="2127" w:type="dxa"/>
          </w:tcPr>
          <w:p>
            <w:pPr>
              <w:pStyle w:val="9"/>
              <w:spacing w:line="241" w:lineRule="exact"/>
              <w:ind w:left="170"/>
              <w:rPr>
                <w:b/>
                <w:sz w:val="21"/>
              </w:rPr>
            </w:pPr>
            <w:r>
              <w:rPr>
                <w:b/>
                <w:spacing w:val="17"/>
                <w:sz w:val="21"/>
              </w:rPr>
              <w:t>自体造血干细胞移</w:t>
            </w:r>
          </w:p>
          <w:p>
            <w:pPr>
              <w:pStyle w:val="9"/>
              <w:spacing w:before="43"/>
              <w:ind w:left="170"/>
              <w:rPr>
                <w:b/>
                <w:sz w:val="21"/>
              </w:rPr>
            </w:pPr>
            <w:r>
              <w:rPr>
                <w:b/>
                <w:w w:val="100"/>
                <w:sz w:val="21"/>
              </w:rPr>
              <w:t>植</w:t>
            </w:r>
          </w:p>
        </w:tc>
        <w:tc>
          <w:tcPr>
            <w:tcW w:w="6881" w:type="dxa"/>
          </w:tcPr>
          <w:p>
            <w:pPr>
              <w:pStyle w:val="9"/>
              <w:spacing w:line="241" w:lineRule="exact"/>
              <w:ind w:left="107"/>
              <w:rPr>
                <w:sz w:val="21"/>
              </w:rPr>
            </w:pPr>
            <w:r>
              <w:rPr>
                <w:spacing w:val="-3"/>
                <w:sz w:val="21"/>
              </w:rPr>
              <w:t>指被保险人因急性白血病、恶性淋巴瘤或多发性骨髓瘤，实际接受了自体</w:t>
            </w:r>
          </w:p>
          <w:p>
            <w:pPr>
              <w:pStyle w:val="9"/>
              <w:spacing w:before="43"/>
              <w:ind w:left="107"/>
              <w:rPr>
                <w:sz w:val="21"/>
              </w:rPr>
            </w:pPr>
            <w:r>
              <w:rPr>
                <w:spacing w:val="-4"/>
                <w:sz w:val="21"/>
              </w:rPr>
              <w:t>造血干细胞移植。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81" w:type="dxa"/>
          </w:tcPr>
          <w:p>
            <w:pPr>
              <w:pStyle w:val="9"/>
              <w:spacing w:before="178"/>
              <w:ind w:left="107"/>
              <w:rPr>
                <w:rFonts w:ascii="黑体" w:eastAsia="黑体"/>
                <w:sz w:val="21"/>
              </w:rPr>
            </w:pPr>
            <w:r>
              <w:rPr>
                <w:rFonts w:ascii="黑体" w:eastAsia="黑体"/>
                <w:color w:val="000000"/>
                <w:spacing w:val="-3"/>
                <w:sz w:val="21"/>
                <w:shd w:val="clear" w:color="auto" w:fill="D9D9D9"/>
              </w:rPr>
              <w:t>以下情形不在保障范围内：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81" w:type="dxa"/>
          </w:tcPr>
          <w:p>
            <w:pPr>
              <w:pStyle w:val="9"/>
              <w:spacing w:before="22"/>
              <w:ind w:left="107"/>
              <w:rPr>
                <w:rFonts w:ascii="黑体" w:eastAsia="黑体"/>
                <w:sz w:val="21"/>
              </w:rPr>
            </w:pPr>
            <w:r>
              <w:rPr>
                <w:rFonts w:ascii="黑体" w:eastAsia="黑体"/>
                <w:color w:val="000000"/>
                <w:spacing w:val="-2"/>
                <w:sz w:val="21"/>
                <w:shd w:val="clear" w:color="auto" w:fill="D9D9D9"/>
              </w:rPr>
              <w:t>（1）</w:t>
            </w:r>
            <w:r>
              <w:rPr>
                <w:rFonts w:ascii="黑体" w:eastAsia="黑体"/>
                <w:color w:val="000000"/>
                <w:spacing w:val="-3"/>
                <w:sz w:val="21"/>
                <w:shd w:val="clear" w:color="auto" w:fill="D9D9D9"/>
              </w:rPr>
              <w:t>因上述所列疾病以外疾病接受自体造血干细胞移植；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81" w:type="dxa"/>
          </w:tcPr>
          <w:p>
            <w:pPr>
              <w:pStyle w:val="9"/>
              <w:spacing w:before="22"/>
              <w:ind w:left="107"/>
              <w:rPr>
                <w:rFonts w:ascii="黑体" w:eastAsia="黑体"/>
                <w:sz w:val="21"/>
              </w:rPr>
            </w:pPr>
            <w:r>
              <w:rPr>
                <w:rFonts w:ascii="黑体" w:eastAsia="黑体"/>
                <w:color w:val="000000"/>
                <w:spacing w:val="-2"/>
                <w:sz w:val="21"/>
                <w:shd w:val="clear" w:color="auto" w:fill="D9D9D9"/>
              </w:rPr>
              <w:t>（2）</w:t>
            </w:r>
            <w:r>
              <w:rPr>
                <w:rFonts w:ascii="黑体" w:eastAsia="黑体"/>
                <w:color w:val="000000"/>
                <w:spacing w:val="-3"/>
                <w:sz w:val="21"/>
                <w:shd w:val="clear" w:color="auto" w:fill="D9D9D9"/>
              </w:rPr>
              <w:t>非造血干细胞移植。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856" w:type="dxa"/>
          </w:tcPr>
          <w:p>
            <w:pPr>
              <w:pStyle w:val="9"/>
              <w:spacing w:before="178"/>
              <w:ind w:left="50"/>
              <w:rPr>
                <w:b/>
                <w:sz w:val="21"/>
              </w:rPr>
            </w:pPr>
            <w:r>
              <w:rPr>
                <w:b/>
                <w:spacing w:val="-2"/>
                <w:sz w:val="21"/>
              </w:rPr>
              <w:t>7.2.54</w:t>
            </w:r>
          </w:p>
        </w:tc>
        <w:tc>
          <w:tcPr>
            <w:tcW w:w="2127" w:type="dxa"/>
          </w:tcPr>
          <w:p>
            <w:pPr>
              <w:pStyle w:val="9"/>
              <w:spacing w:before="178"/>
              <w:ind w:left="170"/>
              <w:rPr>
                <w:b/>
                <w:sz w:val="21"/>
              </w:rPr>
            </w:pPr>
            <w:r>
              <w:rPr>
                <w:b/>
                <w:spacing w:val="17"/>
                <w:sz w:val="21"/>
              </w:rPr>
              <w:t>严重感染性心内膜</w:t>
            </w:r>
          </w:p>
        </w:tc>
        <w:tc>
          <w:tcPr>
            <w:tcW w:w="6881" w:type="dxa"/>
          </w:tcPr>
          <w:p>
            <w:pPr>
              <w:pStyle w:val="9"/>
              <w:spacing w:before="178"/>
              <w:ind w:left="107"/>
              <w:rPr>
                <w:sz w:val="21"/>
              </w:rPr>
            </w:pPr>
            <w:r>
              <w:rPr>
                <w:spacing w:val="-3"/>
                <w:sz w:val="21"/>
              </w:rPr>
              <w:t>指因细菌或其他致病菌感染造成心脏内膜感染，瓣膜为最常受累部位，引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856" w:type="dxa"/>
          </w:tcPr>
          <w:p>
            <w:pPr>
              <w:pStyle w:val="9"/>
              <w:rPr>
                <w:rFonts w:ascii="Times New Roman"/>
                <w:sz w:val="20"/>
              </w:rPr>
            </w:pPr>
          </w:p>
        </w:tc>
        <w:tc>
          <w:tcPr>
            <w:tcW w:w="2127" w:type="dxa"/>
          </w:tcPr>
          <w:p>
            <w:pPr>
              <w:pStyle w:val="9"/>
              <w:spacing w:before="22" w:line="267" w:lineRule="exact"/>
              <w:ind w:left="170"/>
              <w:rPr>
                <w:b/>
                <w:sz w:val="21"/>
              </w:rPr>
            </w:pPr>
            <w:r>
              <w:rPr>
                <w:b/>
                <w:w w:val="100"/>
                <w:sz w:val="21"/>
              </w:rPr>
              <w:t>炎</w:t>
            </w:r>
          </w:p>
        </w:tc>
        <w:tc>
          <w:tcPr>
            <w:tcW w:w="6881" w:type="dxa"/>
          </w:tcPr>
          <w:p>
            <w:pPr>
              <w:pStyle w:val="9"/>
              <w:spacing w:before="22" w:line="267" w:lineRule="exact"/>
              <w:ind w:left="107"/>
              <w:rPr>
                <w:sz w:val="21"/>
              </w:rPr>
            </w:pPr>
            <w:r>
              <w:rPr>
                <w:spacing w:val="-3"/>
                <w:sz w:val="21"/>
              </w:rPr>
              <w:t>起心脏瓣膜关闭不全。须满足下列至少三项条件：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15"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81" w:type="dxa"/>
          </w:tcPr>
          <w:p>
            <w:pPr>
              <w:pStyle w:val="9"/>
              <w:numPr>
                <w:ilvl w:val="0"/>
                <w:numId w:val="39"/>
              </w:numPr>
              <w:tabs>
                <w:tab w:val="left" w:pos="637"/>
              </w:tabs>
              <w:spacing w:before="25" w:after="0" w:line="240" w:lineRule="auto"/>
              <w:ind w:left="636" w:right="0" w:hanging="530"/>
              <w:jc w:val="left"/>
              <w:rPr>
                <w:sz w:val="21"/>
              </w:rPr>
            </w:pPr>
            <w:r>
              <w:rPr>
                <w:spacing w:val="-3"/>
                <w:sz w:val="21"/>
              </w:rPr>
              <w:t>急性或亚急性感染性心内膜炎临床表现；</w:t>
            </w:r>
          </w:p>
          <w:p>
            <w:pPr>
              <w:pStyle w:val="9"/>
              <w:numPr>
                <w:ilvl w:val="0"/>
                <w:numId w:val="39"/>
              </w:numPr>
              <w:tabs>
                <w:tab w:val="left" w:pos="637"/>
              </w:tabs>
              <w:spacing w:before="43" w:after="0" w:line="240" w:lineRule="auto"/>
              <w:ind w:left="636" w:right="0" w:hanging="530"/>
              <w:jc w:val="left"/>
              <w:rPr>
                <w:sz w:val="21"/>
              </w:rPr>
            </w:pPr>
            <w:r>
              <w:rPr>
                <w:spacing w:val="-3"/>
                <w:sz w:val="21"/>
              </w:rPr>
              <w:t>血培养病原体阳性；</w:t>
            </w:r>
          </w:p>
          <w:p>
            <w:pPr>
              <w:pStyle w:val="9"/>
              <w:numPr>
                <w:ilvl w:val="0"/>
                <w:numId w:val="39"/>
              </w:numPr>
              <w:tabs>
                <w:tab w:val="left" w:pos="637"/>
              </w:tabs>
              <w:spacing w:before="43" w:after="0" w:line="240" w:lineRule="auto"/>
              <w:ind w:left="636" w:right="0" w:hanging="530"/>
              <w:jc w:val="left"/>
              <w:rPr>
                <w:sz w:val="21"/>
              </w:rPr>
            </w:pPr>
            <w:r>
              <w:rPr>
                <w:spacing w:val="-3"/>
                <w:sz w:val="21"/>
              </w:rPr>
              <w:t>心功能衰竭并实际接受了心脏瓣膜置换手术；</w:t>
            </w:r>
          </w:p>
          <w:p>
            <w:pPr>
              <w:pStyle w:val="9"/>
              <w:numPr>
                <w:ilvl w:val="0"/>
                <w:numId w:val="39"/>
              </w:numPr>
              <w:tabs>
                <w:tab w:val="left" w:pos="637"/>
              </w:tabs>
              <w:spacing w:before="43" w:after="0" w:line="240" w:lineRule="auto"/>
              <w:ind w:left="636" w:right="0" w:hanging="530"/>
              <w:jc w:val="left"/>
              <w:rPr>
                <w:sz w:val="21"/>
              </w:rPr>
            </w:pPr>
            <w:r>
              <w:rPr>
                <w:spacing w:val="-3"/>
                <w:sz w:val="21"/>
              </w:rPr>
              <w:t>并发动脉栓塞导致脑梗塞、肾梗塞或心肌梗塞。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5"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81" w:type="dxa"/>
          </w:tcPr>
          <w:p>
            <w:pPr>
              <w:pStyle w:val="9"/>
              <w:spacing w:before="170"/>
              <w:ind w:left="107"/>
              <w:rPr>
                <w:rFonts w:ascii="黑体" w:eastAsia="黑体"/>
                <w:sz w:val="21"/>
              </w:rPr>
            </w:pPr>
            <w:r>
              <w:rPr>
                <w:rFonts w:ascii="黑体" w:eastAsia="黑体"/>
                <w:color w:val="000000"/>
                <w:spacing w:val="-3"/>
                <w:sz w:val="21"/>
                <w:shd w:val="clear" w:color="auto" w:fill="D9D9D9"/>
              </w:rPr>
              <w:t>药物滥用者所患感染性心内膜炎不在保障范围内。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856" w:type="dxa"/>
          </w:tcPr>
          <w:p>
            <w:pPr>
              <w:pStyle w:val="9"/>
              <w:spacing w:before="178"/>
              <w:ind w:left="50"/>
              <w:rPr>
                <w:b/>
                <w:sz w:val="21"/>
              </w:rPr>
            </w:pPr>
            <w:r>
              <w:rPr>
                <w:b/>
                <w:spacing w:val="-2"/>
                <w:sz w:val="21"/>
              </w:rPr>
              <w:t>7.2.55</w:t>
            </w:r>
          </w:p>
        </w:tc>
        <w:tc>
          <w:tcPr>
            <w:tcW w:w="2127" w:type="dxa"/>
          </w:tcPr>
          <w:p>
            <w:pPr>
              <w:pStyle w:val="9"/>
              <w:spacing w:before="178"/>
              <w:ind w:left="170"/>
              <w:rPr>
                <w:b/>
                <w:sz w:val="21"/>
              </w:rPr>
            </w:pPr>
            <w:r>
              <w:rPr>
                <w:b/>
                <w:spacing w:val="17"/>
                <w:sz w:val="21"/>
              </w:rPr>
              <w:t>严重急性主动脉夹</w:t>
            </w:r>
          </w:p>
        </w:tc>
        <w:tc>
          <w:tcPr>
            <w:tcW w:w="6881" w:type="dxa"/>
          </w:tcPr>
          <w:p>
            <w:pPr>
              <w:pStyle w:val="9"/>
              <w:spacing w:before="178"/>
              <w:ind w:left="107"/>
              <w:rPr>
                <w:sz w:val="21"/>
              </w:rPr>
            </w:pPr>
            <w:r>
              <w:rPr>
                <w:spacing w:val="-3"/>
                <w:sz w:val="21"/>
              </w:rPr>
              <w:t>指主动脉壁在受到某些病理因素破坏后，高速、高压的主动脉血流将其内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56" w:type="dxa"/>
          </w:tcPr>
          <w:p>
            <w:pPr>
              <w:pStyle w:val="9"/>
              <w:rPr>
                <w:rFonts w:ascii="Times New Roman"/>
                <w:sz w:val="20"/>
              </w:rPr>
            </w:pPr>
          </w:p>
        </w:tc>
        <w:tc>
          <w:tcPr>
            <w:tcW w:w="2127" w:type="dxa"/>
          </w:tcPr>
          <w:p>
            <w:pPr>
              <w:pStyle w:val="9"/>
              <w:spacing w:before="22"/>
              <w:ind w:left="170"/>
              <w:rPr>
                <w:b/>
                <w:sz w:val="21"/>
              </w:rPr>
            </w:pPr>
            <w:r>
              <w:rPr>
                <w:b/>
                <w:spacing w:val="-4"/>
                <w:sz w:val="21"/>
              </w:rPr>
              <w:t>层血肿</w:t>
            </w:r>
          </w:p>
        </w:tc>
        <w:tc>
          <w:tcPr>
            <w:tcW w:w="6881" w:type="dxa"/>
          </w:tcPr>
          <w:p>
            <w:pPr>
              <w:pStyle w:val="9"/>
              <w:spacing w:before="22"/>
              <w:ind w:left="107"/>
              <w:rPr>
                <w:sz w:val="21"/>
              </w:rPr>
            </w:pPr>
            <w:r>
              <w:rPr>
                <w:spacing w:val="-3"/>
                <w:sz w:val="21"/>
              </w:rPr>
              <w:t>膜撕裂，以致主动脉腔内的血流通过主动脉内膜的破裂口进入主动脉内壁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81" w:type="dxa"/>
          </w:tcPr>
          <w:p>
            <w:pPr>
              <w:pStyle w:val="9"/>
              <w:spacing w:before="22"/>
              <w:ind w:left="107"/>
              <w:rPr>
                <w:sz w:val="21"/>
              </w:rPr>
            </w:pPr>
            <w:r>
              <w:rPr>
                <w:spacing w:val="-3"/>
                <w:sz w:val="21"/>
              </w:rPr>
              <w:t>而形成血肿。急性主动脉夹层血肿须由我们认可的医院的专科医生明确诊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81" w:type="dxa"/>
          </w:tcPr>
          <w:p>
            <w:pPr>
              <w:pStyle w:val="9"/>
              <w:spacing w:before="22" w:line="267" w:lineRule="exact"/>
              <w:ind w:left="107"/>
              <w:rPr>
                <w:sz w:val="21"/>
              </w:rPr>
            </w:pPr>
            <w:r>
              <w:rPr>
                <w:spacing w:val="-3"/>
                <w:sz w:val="21"/>
              </w:rPr>
              <w:t>断，并须满足下列全部条件：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15"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81" w:type="dxa"/>
          </w:tcPr>
          <w:p>
            <w:pPr>
              <w:pStyle w:val="9"/>
              <w:numPr>
                <w:ilvl w:val="0"/>
                <w:numId w:val="40"/>
              </w:numPr>
              <w:tabs>
                <w:tab w:val="left" w:pos="637"/>
              </w:tabs>
              <w:spacing w:before="25" w:after="0" w:line="240" w:lineRule="auto"/>
              <w:ind w:left="636" w:right="0" w:hanging="530"/>
              <w:jc w:val="left"/>
              <w:rPr>
                <w:sz w:val="21"/>
              </w:rPr>
            </w:pPr>
            <w:r>
              <w:rPr>
                <w:spacing w:val="-3"/>
                <w:sz w:val="21"/>
              </w:rPr>
              <w:t>有典型的临床表现；</w:t>
            </w:r>
          </w:p>
          <w:p>
            <w:pPr>
              <w:pStyle w:val="9"/>
              <w:numPr>
                <w:ilvl w:val="0"/>
                <w:numId w:val="40"/>
              </w:numPr>
              <w:tabs>
                <w:tab w:val="left" w:pos="640"/>
              </w:tabs>
              <w:spacing w:before="43" w:after="0" w:line="240" w:lineRule="auto"/>
              <w:ind w:left="639" w:right="0" w:hanging="533"/>
              <w:jc w:val="left"/>
              <w:rPr>
                <w:sz w:val="21"/>
              </w:rPr>
            </w:pPr>
            <w:r>
              <w:rPr>
                <w:spacing w:val="-8"/>
                <w:sz w:val="21"/>
              </w:rPr>
              <w:t>有电子计算机断层扫描</w:t>
            </w:r>
            <w:r>
              <w:rPr>
                <w:spacing w:val="20"/>
                <w:sz w:val="21"/>
              </w:rPr>
              <w:t>（</w:t>
            </w:r>
            <w:r>
              <w:rPr>
                <w:rFonts w:ascii="Times New Roman" w:eastAsia="Times New Roman"/>
                <w:spacing w:val="16"/>
                <w:sz w:val="21"/>
              </w:rPr>
              <w:t>C</w:t>
            </w:r>
            <w:r>
              <w:rPr>
                <w:rFonts w:ascii="Times New Roman" w:eastAsia="Times New Roman"/>
                <w:spacing w:val="18"/>
                <w:sz w:val="21"/>
              </w:rPr>
              <w:t>T</w:t>
            </w:r>
            <w:r>
              <w:rPr>
                <w:spacing w:val="-86"/>
                <w:sz w:val="21"/>
              </w:rPr>
              <w:t>）</w:t>
            </w:r>
            <w:r>
              <w:rPr>
                <w:spacing w:val="-8"/>
                <w:sz w:val="21"/>
              </w:rPr>
              <w:t>、核磁共振</w:t>
            </w:r>
            <w:r>
              <w:rPr>
                <w:spacing w:val="15"/>
                <w:sz w:val="21"/>
              </w:rPr>
              <w:t>（</w:t>
            </w:r>
            <w:r>
              <w:rPr>
                <w:rFonts w:ascii="Times New Roman" w:eastAsia="Times New Roman"/>
                <w:spacing w:val="10"/>
                <w:sz w:val="21"/>
              </w:rPr>
              <w:t>M</w:t>
            </w:r>
            <w:r>
              <w:rPr>
                <w:rFonts w:ascii="Times New Roman" w:eastAsia="Times New Roman"/>
                <w:spacing w:val="11"/>
                <w:sz w:val="21"/>
              </w:rPr>
              <w:t>R</w:t>
            </w:r>
            <w:r>
              <w:rPr>
                <w:rFonts w:ascii="Times New Roman" w:eastAsia="Times New Roman"/>
                <w:spacing w:val="12"/>
                <w:sz w:val="21"/>
              </w:rPr>
              <w:t>I</w:t>
            </w:r>
            <w:r>
              <w:rPr>
                <w:spacing w:val="-91"/>
                <w:sz w:val="21"/>
              </w:rPr>
              <w:t>）</w:t>
            </w:r>
            <w:r>
              <w:rPr>
                <w:spacing w:val="-9"/>
                <w:sz w:val="21"/>
              </w:rPr>
              <w:t>、磁共振血管造影</w:t>
            </w:r>
          </w:p>
          <w:p>
            <w:pPr>
              <w:pStyle w:val="9"/>
              <w:spacing w:before="43"/>
              <w:ind w:left="633"/>
              <w:rPr>
                <w:sz w:val="21"/>
              </w:rPr>
            </w:pPr>
            <w:r>
              <w:rPr>
                <w:spacing w:val="-2"/>
                <w:sz w:val="21"/>
              </w:rPr>
              <w:t>（</w:t>
            </w:r>
            <w:r>
              <w:rPr>
                <w:rFonts w:ascii="Times New Roman" w:eastAsia="Times New Roman"/>
                <w:spacing w:val="-2"/>
                <w:sz w:val="21"/>
              </w:rPr>
              <w:t>MRA</w:t>
            </w:r>
            <w:r>
              <w:rPr>
                <w:spacing w:val="-2"/>
                <w:sz w:val="21"/>
              </w:rPr>
              <w:t>）</w:t>
            </w:r>
            <w:r>
              <w:rPr>
                <w:spacing w:val="-3"/>
                <w:sz w:val="21"/>
              </w:rPr>
              <w:t>等影像学证据支持诊断；</w:t>
            </w:r>
          </w:p>
          <w:p>
            <w:pPr>
              <w:pStyle w:val="9"/>
              <w:numPr>
                <w:ilvl w:val="0"/>
                <w:numId w:val="40"/>
              </w:numPr>
              <w:tabs>
                <w:tab w:val="left" w:pos="637"/>
              </w:tabs>
              <w:spacing w:before="43" w:after="0" w:line="240" w:lineRule="auto"/>
              <w:ind w:left="636" w:right="0" w:hanging="530"/>
              <w:jc w:val="left"/>
              <w:rPr>
                <w:sz w:val="21"/>
              </w:rPr>
            </w:pPr>
            <w:r>
              <w:rPr>
                <w:spacing w:val="-3"/>
                <w:sz w:val="21"/>
              </w:rPr>
              <w:t>实际接受了急诊条件下进行的传统或微创开胸或开腹主动脉手术。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0"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81" w:type="dxa"/>
          </w:tcPr>
          <w:p>
            <w:pPr>
              <w:pStyle w:val="9"/>
              <w:spacing w:before="170"/>
              <w:ind w:left="107"/>
              <w:rPr>
                <w:rFonts w:ascii="黑体" w:eastAsia="黑体"/>
                <w:sz w:val="21"/>
              </w:rPr>
            </w:pPr>
            <w:r>
              <w:rPr>
                <w:rFonts w:ascii="黑体" w:eastAsia="黑体"/>
                <w:color w:val="000000"/>
                <w:spacing w:val="-3"/>
                <w:sz w:val="21"/>
                <w:shd w:val="clear" w:color="auto" w:fill="D9D9D9"/>
              </w:rPr>
              <w:t>慢性期主动脉夹层择期手术、经导管主动脉内介入手术治疗不在保障范围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81" w:type="dxa"/>
          </w:tcPr>
          <w:p>
            <w:pPr>
              <w:pStyle w:val="9"/>
              <w:spacing w:before="22"/>
              <w:ind w:left="107"/>
              <w:rPr>
                <w:rFonts w:ascii="黑体" w:eastAsia="黑体"/>
                <w:sz w:val="21"/>
              </w:rPr>
            </w:pPr>
            <w:r>
              <w:rPr>
                <w:rFonts w:ascii="黑体" w:eastAsia="黑体"/>
                <w:color w:val="000000"/>
                <w:spacing w:val="-5"/>
                <w:sz w:val="21"/>
                <w:shd w:val="clear" w:color="auto" w:fill="D9D9D9"/>
              </w:rPr>
              <w:t>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856" w:type="dxa"/>
          </w:tcPr>
          <w:p>
            <w:pPr>
              <w:pStyle w:val="9"/>
              <w:spacing w:before="178"/>
              <w:ind w:left="50"/>
              <w:rPr>
                <w:b/>
                <w:sz w:val="21"/>
              </w:rPr>
            </w:pPr>
            <w:r>
              <w:rPr>
                <w:b/>
                <w:spacing w:val="-2"/>
                <w:sz w:val="21"/>
              </w:rPr>
              <w:t>7.2.56</w:t>
            </w:r>
          </w:p>
        </w:tc>
        <w:tc>
          <w:tcPr>
            <w:tcW w:w="2127" w:type="dxa"/>
          </w:tcPr>
          <w:p>
            <w:pPr>
              <w:pStyle w:val="9"/>
              <w:spacing w:before="178"/>
              <w:ind w:left="170"/>
              <w:rPr>
                <w:b/>
                <w:sz w:val="21"/>
              </w:rPr>
            </w:pPr>
            <w:r>
              <w:rPr>
                <w:b/>
                <w:spacing w:val="17"/>
                <w:sz w:val="21"/>
              </w:rPr>
              <w:t>严重慢性缩窄性心</w:t>
            </w:r>
          </w:p>
        </w:tc>
        <w:tc>
          <w:tcPr>
            <w:tcW w:w="6881" w:type="dxa"/>
          </w:tcPr>
          <w:p>
            <w:pPr>
              <w:pStyle w:val="9"/>
              <w:spacing w:before="178"/>
              <w:ind w:left="107"/>
              <w:rPr>
                <w:sz w:val="21"/>
              </w:rPr>
            </w:pPr>
            <w:r>
              <w:rPr>
                <w:spacing w:val="-3"/>
                <w:sz w:val="21"/>
              </w:rPr>
              <w:t>由于慢性心包炎症导致心包脏层和壁层广泛瘢痕粘连、增厚和钙化，心包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56" w:type="dxa"/>
          </w:tcPr>
          <w:p>
            <w:pPr>
              <w:pStyle w:val="9"/>
              <w:rPr>
                <w:rFonts w:ascii="Times New Roman"/>
                <w:sz w:val="20"/>
              </w:rPr>
            </w:pPr>
          </w:p>
        </w:tc>
        <w:tc>
          <w:tcPr>
            <w:tcW w:w="2127" w:type="dxa"/>
          </w:tcPr>
          <w:p>
            <w:pPr>
              <w:pStyle w:val="9"/>
              <w:spacing w:before="22"/>
              <w:ind w:left="170"/>
              <w:rPr>
                <w:b/>
                <w:sz w:val="21"/>
              </w:rPr>
            </w:pPr>
            <w:r>
              <w:rPr>
                <w:b/>
                <w:spacing w:val="-5"/>
                <w:sz w:val="21"/>
              </w:rPr>
              <w:t>包炎</w:t>
            </w:r>
          </w:p>
        </w:tc>
        <w:tc>
          <w:tcPr>
            <w:tcW w:w="6881" w:type="dxa"/>
          </w:tcPr>
          <w:p>
            <w:pPr>
              <w:pStyle w:val="9"/>
              <w:spacing w:before="22"/>
              <w:ind w:left="107"/>
              <w:rPr>
                <w:sz w:val="21"/>
              </w:rPr>
            </w:pPr>
            <w:r>
              <w:rPr>
                <w:spacing w:val="-5"/>
                <w:sz w:val="21"/>
              </w:rPr>
              <w:t>腔闭塞，形成一个纤维瘢痕外壳，使心脏和大血管根部受压，阻碍心脏的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81" w:type="dxa"/>
          </w:tcPr>
          <w:p>
            <w:pPr>
              <w:pStyle w:val="9"/>
              <w:spacing w:before="22"/>
              <w:ind w:left="107"/>
              <w:rPr>
                <w:sz w:val="21"/>
              </w:rPr>
            </w:pPr>
            <w:r>
              <w:rPr>
                <w:spacing w:val="-3"/>
                <w:sz w:val="21"/>
              </w:rPr>
              <w:t>舒张。严重慢性缩窄性心包炎须由我们认可的医院的专科医生明确诊断，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81" w:type="dxa"/>
          </w:tcPr>
          <w:p>
            <w:pPr>
              <w:pStyle w:val="9"/>
              <w:spacing w:before="22" w:line="267" w:lineRule="exact"/>
              <w:ind w:left="107"/>
              <w:rPr>
                <w:sz w:val="21"/>
              </w:rPr>
            </w:pPr>
            <w:r>
              <w:rPr>
                <w:spacing w:val="-3"/>
                <w:sz w:val="21"/>
              </w:rPr>
              <w:t>并须满足下列全部条件：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2" w:hRule="atLeast"/>
        </w:trPr>
        <w:tc>
          <w:tcPr>
            <w:tcW w:w="856" w:type="dxa"/>
          </w:tcPr>
          <w:p>
            <w:pPr>
              <w:pStyle w:val="9"/>
              <w:rPr>
                <w:rFonts w:ascii="Times New Roman"/>
                <w:sz w:val="20"/>
              </w:rPr>
            </w:pPr>
          </w:p>
        </w:tc>
        <w:tc>
          <w:tcPr>
            <w:tcW w:w="2127" w:type="dxa"/>
          </w:tcPr>
          <w:p>
            <w:pPr>
              <w:pStyle w:val="9"/>
              <w:rPr>
                <w:rFonts w:ascii="Times New Roman"/>
                <w:sz w:val="20"/>
              </w:rPr>
            </w:pPr>
          </w:p>
        </w:tc>
        <w:tc>
          <w:tcPr>
            <w:tcW w:w="6881" w:type="dxa"/>
          </w:tcPr>
          <w:p>
            <w:pPr>
              <w:pStyle w:val="9"/>
              <w:spacing w:before="25"/>
              <w:ind w:left="107"/>
              <w:rPr>
                <w:sz w:val="21"/>
              </w:rPr>
            </w:pPr>
            <w:r>
              <w:rPr>
                <w:sz w:val="21"/>
              </w:rPr>
              <w:t>（</w:t>
            </w:r>
            <w:r>
              <w:rPr>
                <w:rFonts w:ascii="Times New Roman" w:hAnsi="Times New Roman" w:eastAsia="Times New Roman"/>
                <w:sz w:val="21"/>
              </w:rPr>
              <w:t>1</w:t>
            </w:r>
            <w:r>
              <w:rPr>
                <w:sz w:val="21"/>
              </w:rPr>
              <w:t>）心功能衰竭程度达到美国纽约心脏病学会心功能状态分级</w:t>
            </w:r>
            <w:r>
              <w:rPr>
                <w:rFonts w:ascii="Times New Roman" w:hAnsi="Times New Roman" w:eastAsia="Times New Roman"/>
                <w:sz w:val="21"/>
              </w:rPr>
              <w:t>Ⅳ</w:t>
            </w:r>
            <w:r>
              <w:rPr>
                <w:spacing w:val="-4"/>
                <w:sz w:val="21"/>
              </w:rPr>
              <w:t>级，并</w:t>
            </w:r>
          </w:p>
          <w:p>
            <w:pPr>
              <w:pStyle w:val="9"/>
              <w:spacing w:before="43" w:line="236" w:lineRule="exact"/>
              <w:ind w:left="633"/>
              <w:rPr>
                <w:sz w:val="21"/>
              </w:rPr>
            </w:pPr>
            <w:r>
              <w:rPr>
                <w:spacing w:val="-18"/>
                <w:sz w:val="21"/>
              </w:rPr>
              <w:t xml:space="preserve">持续 </w:t>
            </w:r>
            <w:r>
              <w:rPr>
                <w:rFonts w:ascii="Times New Roman" w:eastAsia="Times New Roman"/>
                <w:sz w:val="21"/>
              </w:rPr>
              <w:t>180</w:t>
            </w:r>
            <w:r>
              <w:rPr>
                <w:rFonts w:ascii="Times New Roman" w:eastAsia="Times New Roman"/>
                <w:spacing w:val="-9"/>
                <w:sz w:val="21"/>
              </w:rPr>
              <w:t xml:space="preserve"> </w:t>
            </w:r>
            <w:r>
              <w:rPr>
                <w:spacing w:val="-3"/>
                <w:sz w:val="21"/>
              </w:rPr>
              <w:t>日以上；</w:t>
            </w:r>
          </w:p>
        </w:tc>
      </w:tr>
    </w:tbl>
    <w:p>
      <w:pPr>
        <w:pStyle w:val="4"/>
        <w:spacing w:before="65" w:line="278" w:lineRule="auto"/>
        <w:ind w:left="3786" w:right="234" w:hanging="526"/>
      </w:pPr>
      <w:r>
        <w:rPr>
          <w:spacing w:val="-2"/>
        </w:rPr>
        <w:t>（</w:t>
      </w:r>
      <w:r>
        <w:rPr>
          <w:rFonts w:ascii="Times New Roman" w:eastAsia="Times New Roman"/>
          <w:spacing w:val="-2"/>
        </w:rPr>
        <w:t>2</w:t>
      </w:r>
      <w:r>
        <w:rPr>
          <w:spacing w:val="-2"/>
        </w:rPr>
        <w:t>）已经接受了经下列任何一种手术路径进行的开胸心包剥离手术或心包切除手术：</w:t>
      </w:r>
    </w:p>
    <w:p>
      <w:pPr>
        <w:pStyle w:val="4"/>
        <w:ind w:left="3786"/>
      </w:pPr>
      <w:r>
        <w:rPr>
          <w:spacing w:val="-4"/>
        </w:rPr>
        <w:t>① 胸骨正中切口；</w:t>
      </w:r>
    </w:p>
    <w:p>
      <w:pPr>
        <w:pStyle w:val="4"/>
        <w:spacing w:before="43"/>
        <w:ind w:left="3786"/>
      </w:pPr>
      <w:r>
        <w:rPr>
          <w:spacing w:val="-4"/>
        </w:rPr>
        <w:t>② 双侧前胸切口；</w:t>
      </w:r>
    </w:p>
    <w:p>
      <w:pPr>
        <w:spacing w:after="0"/>
        <w:sectPr>
          <w:pgSz w:w="11910" w:h="16840"/>
          <w:pgMar w:top="1400" w:right="840" w:bottom="280" w:left="860" w:header="720" w:footer="720" w:gutter="0"/>
          <w:cols w:space="720" w:num="1"/>
        </w:sectPr>
      </w:pPr>
    </w:p>
    <w:p>
      <w:pPr>
        <w:pStyle w:val="4"/>
        <w:spacing w:before="47"/>
        <w:ind w:left="1113" w:right="1746"/>
        <w:jc w:val="center"/>
      </w:pPr>
      <w:r>
        <w:rPr>
          <w:spacing w:val="-5"/>
        </w:rPr>
        <w:t>③ 左前胸肋间切口。</w:t>
      </w:r>
    </w:p>
    <w:p>
      <w:pPr>
        <w:pStyle w:val="4"/>
        <w:spacing w:before="1"/>
        <w:rPr>
          <w:sz w:val="22"/>
        </w:rPr>
      </w:pPr>
    </w:p>
    <w:p>
      <w:pPr>
        <w:pStyle w:val="4"/>
        <w:spacing w:before="72"/>
        <w:ind w:left="3260"/>
        <w:rPr>
          <w:rFonts w:ascii="黑体" w:eastAsia="黑体"/>
        </w:rPr>
      </w:pPr>
      <w:r>
        <w:rPr>
          <w:rFonts w:ascii="黑体" w:eastAsia="黑体"/>
          <w:color w:val="000000"/>
          <w:spacing w:val="-3"/>
          <w:shd w:val="clear" w:color="auto" w:fill="D9D9D9"/>
        </w:rPr>
        <w:t>经胸腔镜、胸壁打孔进行的手术、心包粘连松解手术不在保障范围内。</w:t>
      </w:r>
    </w:p>
    <w:p>
      <w:pPr>
        <w:pStyle w:val="4"/>
        <w:spacing w:before="9"/>
        <w:rPr>
          <w:rFonts w:ascii="黑体"/>
          <w:sz w:val="27"/>
        </w:rPr>
      </w:pPr>
    </w:p>
    <w:p>
      <w:pPr>
        <w:pStyle w:val="8"/>
        <w:numPr>
          <w:ilvl w:val="2"/>
          <w:numId w:val="41"/>
        </w:numPr>
        <w:tabs>
          <w:tab w:val="left" w:pos="1196"/>
          <w:tab w:val="left" w:pos="1197"/>
          <w:tab w:val="left" w:pos="3260"/>
        </w:tabs>
        <w:spacing w:before="0" w:after="0" w:line="240" w:lineRule="auto"/>
        <w:ind w:left="1196" w:right="0" w:hanging="977"/>
        <w:jc w:val="left"/>
        <w:rPr>
          <w:sz w:val="21"/>
        </w:rPr>
      </w:pPr>
      <w:r>
        <w:rPr>
          <w:b/>
          <w:sz w:val="21"/>
        </w:rPr>
        <w:t>心脏粘液瘤切除</w:t>
      </w:r>
      <w:r>
        <w:rPr>
          <w:b/>
          <w:spacing w:val="-10"/>
          <w:sz w:val="21"/>
        </w:rPr>
        <w:t>术</w:t>
      </w:r>
      <w:r>
        <w:rPr>
          <w:b/>
          <w:sz w:val="21"/>
        </w:rPr>
        <w:tab/>
      </w:r>
      <w:r>
        <w:rPr>
          <w:spacing w:val="-2"/>
          <w:sz w:val="21"/>
        </w:rPr>
        <w:t>指为了治疗心脏粘液瘤，实际接受了开胸开心心脏粘液瘤切除手术。心</w:t>
      </w:r>
      <w:r>
        <w:rPr>
          <w:spacing w:val="-10"/>
          <w:sz w:val="21"/>
        </w:rPr>
        <w:t>脏</w:t>
      </w:r>
    </w:p>
    <w:p>
      <w:pPr>
        <w:pStyle w:val="4"/>
        <w:spacing w:before="43"/>
        <w:ind w:left="3260"/>
      </w:pPr>
      <w:r>
        <w:rPr>
          <w:spacing w:val="-3"/>
        </w:rPr>
        <w:t>粘液瘤须由我们认可的医院的专科医生明确诊断。</w:t>
      </w:r>
    </w:p>
    <w:p>
      <w:pPr>
        <w:pStyle w:val="4"/>
        <w:spacing w:before="1"/>
        <w:rPr>
          <w:sz w:val="22"/>
        </w:rPr>
      </w:pPr>
    </w:p>
    <w:p>
      <w:pPr>
        <w:pStyle w:val="4"/>
        <w:spacing w:before="72"/>
        <w:ind w:left="3260"/>
        <w:rPr>
          <w:rFonts w:ascii="黑体" w:eastAsia="黑体"/>
        </w:rPr>
      </w:pPr>
      <w:r>
        <w:rPr>
          <w:rFonts w:ascii="黑体" w:eastAsia="黑体"/>
          <w:color w:val="000000"/>
          <w:spacing w:val="-2"/>
          <w:shd w:val="clear" w:color="auto" w:fill="D9D9D9"/>
        </w:rPr>
        <w:t>其他未实施开胸开心手术的治疗（如导管介入手术）</w:t>
      </w:r>
      <w:r>
        <w:rPr>
          <w:rFonts w:ascii="黑体" w:eastAsia="黑体"/>
          <w:color w:val="000000"/>
          <w:spacing w:val="-4"/>
          <w:shd w:val="clear" w:color="auto" w:fill="D9D9D9"/>
        </w:rPr>
        <w:t>不在保障范围内。</w:t>
      </w:r>
    </w:p>
    <w:p>
      <w:pPr>
        <w:pStyle w:val="4"/>
        <w:spacing w:before="8"/>
        <w:rPr>
          <w:rFonts w:ascii="黑体"/>
        </w:rPr>
      </w:pPr>
    </w:p>
    <w:p>
      <w:pPr>
        <w:spacing w:after="0"/>
        <w:rPr>
          <w:rFonts w:ascii="黑体"/>
        </w:rPr>
        <w:sectPr>
          <w:pgSz w:w="11910" w:h="16840"/>
          <w:pgMar w:top="1400" w:right="840" w:bottom="280" w:left="860" w:header="720" w:footer="720" w:gutter="0"/>
          <w:cols w:space="720" w:num="1"/>
        </w:sectPr>
      </w:pPr>
    </w:p>
    <w:p>
      <w:pPr>
        <w:pStyle w:val="8"/>
        <w:numPr>
          <w:ilvl w:val="2"/>
          <w:numId w:val="41"/>
        </w:numPr>
        <w:tabs>
          <w:tab w:val="left" w:pos="1196"/>
          <w:tab w:val="left" w:pos="1197"/>
        </w:tabs>
        <w:spacing w:before="78" w:after="0" w:line="240" w:lineRule="auto"/>
        <w:ind w:left="1196" w:right="0" w:hanging="977"/>
        <w:jc w:val="left"/>
        <w:rPr>
          <w:rFonts w:ascii="Times New Roman" w:eastAsia="Times New Roman"/>
          <w:b/>
          <w:sz w:val="21"/>
        </w:rPr>
      </w:pPr>
      <w:r>
        <w:rPr>
          <w:b/>
          <w:spacing w:val="3"/>
          <w:sz w:val="21"/>
        </w:rPr>
        <w:t xml:space="preserve">严重心脏衰竭 </w:t>
      </w:r>
      <w:r>
        <w:rPr>
          <w:rFonts w:ascii="Times New Roman" w:eastAsia="Times New Roman"/>
          <w:b/>
          <w:spacing w:val="-5"/>
          <w:sz w:val="21"/>
        </w:rPr>
        <w:t>CRT</w:t>
      </w:r>
    </w:p>
    <w:p>
      <w:pPr>
        <w:spacing w:before="43"/>
        <w:ind w:left="1196" w:right="0" w:firstLine="0"/>
        <w:jc w:val="left"/>
        <w:rPr>
          <w:b/>
          <w:sz w:val="21"/>
        </w:rPr>
      </w:pPr>
      <w:r>
        <w:rPr>
          <w:b/>
          <w:spacing w:val="-2"/>
          <w:sz w:val="21"/>
        </w:rPr>
        <w:t>心脏再同步治疗</w:t>
      </w:r>
    </w:p>
    <w:p>
      <w:pPr>
        <w:pStyle w:val="4"/>
        <w:spacing w:before="78" w:line="278" w:lineRule="auto"/>
        <w:ind w:left="174" w:right="234"/>
        <w:jc w:val="both"/>
      </w:pPr>
      <w:r>
        <w:br w:type="column"/>
      </w:r>
      <w:r>
        <w:rPr>
          <w:spacing w:val="-2"/>
        </w:rPr>
        <w:t>指被保险人因缺血性心脏病或扩张性心肌病导致慢性严重心脏衰竭，实际</w:t>
      </w:r>
      <w:r>
        <w:rPr>
          <w:spacing w:val="-8"/>
        </w:rPr>
        <w:t xml:space="preserve">接受了 </w:t>
      </w:r>
      <w:r>
        <w:rPr>
          <w:rFonts w:ascii="Times New Roman" w:eastAsia="Times New Roman"/>
          <w:spacing w:val="-2"/>
        </w:rPr>
        <w:t>CRT</w:t>
      </w:r>
      <w:r>
        <w:rPr>
          <w:rFonts w:ascii="Times New Roman" w:eastAsia="Times New Roman"/>
          <w:spacing w:val="-3"/>
        </w:rPr>
        <w:t xml:space="preserve"> </w:t>
      </w:r>
      <w:r>
        <w:rPr>
          <w:spacing w:val="-12"/>
        </w:rPr>
        <w:t>治疗，以矫正心室收缩不协调和改善心脏功能。接受治疗之前</w:t>
      </w:r>
      <w:r>
        <w:rPr>
          <w:spacing w:val="-2"/>
        </w:rPr>
        <w:t>须满足下列全部条件：</w:t>
      </w:r>
    </w:p>
    <w:p>
      <w:pPr>
        <w:pStyle w:val="4"/>
        <w:spacing w:line="278" w:lineRule="auto"/>
        <w:ind w:left="699" w:right="237" w:hanging="526"/>
      </w:pPr>
      <w:r>
        <w:rPr>
          <w:spacing w:val="-2"/>
        </w:rPr>
        <w:t>（</w:t>
      </w:r>
      <w:r>
        <w:rPr>
          <w:rFonts w:ascii="Times New Roman" w:hAnsi="Times New Roman" w:eastAsia="Times New Roman"/>
          <w:spacing w:val="-2"/>
        </w:rPr>
        <w:t>1</w:t>
      </w:r>
      <w:r>
        <w:rPr>
          <w:spacing w:val="-2"/>
        </w:rPr>
        <w:t>）心功能衰竭程度达到美国纽约心脏病学会心功能状态分级</w:t>
      </w:r>
      <w:r>
        <w:rPr>
          <w:rFonts w:ascii="Times New Roman" w:hAnsi="Times New Roman" w:eastAsia="Times New Roman"/>
          <w:spacing w:val="-2"/>
        </w:rPr>
        <w:t>Ⅲ</w:t>
      </w:r>
      <w:r>
        <w:rPr>
          <w:spacing w:val="-2"/>
        </w:rPr>
        <w:t>级或</w:t>
      </w:r>
      <w:r>
        <w:rPr>
          <w:rFonts w:ascii="Times New Roman" w:hAnsi="Times New Roman" w:eastAsia="Times New Roman"/>
          <w:spacing w:val="-2"/>
        </w:rPr>
        <w:t>Ⅳ</w:t>
      </w:r>
      <w:r>
        <w:rPr>
          <w:spacing w:val="-6"/>
        </w:rPr>
        <w:t>级；</w:t>
      </w:r>
    </w:p>
    <w:p>
      <w:pPr>
        <w:spacing w:after="0" w:line="278" w:lineRule="auto"/>
        <w:sectPr>
          <w:type w:val="continuous"/>
          <w:pgSz w:w="11910" w:h="16840"/>
          <w:pgMar w:top="500" w:right="840" w:bottom="280" w:left="860" w:header="720" w:footer="720" w:gutter="0"/>
          <w:cols w:equalWidth="0" w:num="2">
            <w:col w:w="3047" w:space="40"/>
            <w:col w:w="7123"/>
          </w:cols>
        </w:sectPr>
      </w:pPr>
    </w:p>
    <w:tbl>
      <w:tblPr>
        <w:tblStyle w:val="5"/>
        <w:tblW w:w="0" w:type="auto"/>
        <w:tblInd w:w="17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56"/>
        <w:gridCol w:w="2234"/>
        <w:gridCol w:w="67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4" w:hRule="atLeast"/>
        </w:trPr>
        <w:tc>
          <w:tcPr>
            <w:tcW w:w="856" w:type="dxa"/>
          </w:tcPr>
          <w:p>
            <w:pPr>
              <w:pStyle w:val="9"/>
              <w:rPr>
                <w:rFonts w:ascii="Times New Roman"/>
                <w:sz w:val="20"/>
              </w:rPr>
            </w:pPr>
          </w:p>
        </w:tc>
        <w:tc>
          <w:tcPr>
            <w:tcW w:w="2234" w:type="dxa"/>
          </w:tcPr>
          <w:p>
            <w:pPr>
              <w:pStyle w:val="9"/>
              <w:rPr>
                <w:rFonts w:ascii="Times New Roman"/>
                <w:sz w:val="20"/>
              </w:rPr>
            </w:pPr>
          </w:p>
        </w:tc>
        <w:tc>
          <w:tcPr>
            <w:tcW w:w="6704" w:type="dxa"/>
          </w:tcPr>
          <w:p>
            <w:pPr>
              <w:pStyle w:val="9"/>
              <w:numPr>
                <w:ilvl w:val="0"/>
                <w:numId w:val="42"/>
              </w:numPr>
              <w:tabs>
                <w:tab w:val="left" w:pos="530"/>
              </w:tabs>
              <w:spacing w:before="0" w:after="0" w:line="247" w:lineRule="exact"/>
              <w:ind w:left="529" w:right="0" w:hanging="530"/>
              <w:jc w:val="left"/>
              <w:rPr>
                <w:sz w:val="21"/>
              </w:rPr>
            </w:pPr>
            <w:r>
              <w:rPr>
                <w:spacing w:val="-8"/>
                <w:sz w:val="21"/>
              </w:rPr>
              <w:t xml:space="preserve">左室射血分数低于 </w:t>
            </w:r>
            <w:r>
              <w:rPr>
                <w:rFonts w:ascii="Times New Roman" w:eastAsia="Times New Roman"/>
                <w:spacing w:val="-4"/>
                <w:sz w:val="21"/>
              </w:rPr>
              <w:t>35%</w:t>
            </w:r>
            <w:r>
              <w:rPr>
                <w:spacing w:val="-4"/>
                <w:sz w:val="21"/>
              </w:rPr>
              <w:t>；</w:t>
            </w:r>
          </w:p>
          <w:p>
            <w:pPr>
              <w:pStyle w:val="9"/>
              <w:numPr>
                <w:ilvl w:val="0"/>
                <w:numId w:val="42"/>
              </w:numPr>
              <w:tabs>
                <w:tab w:val="left" w:pos="530"/>
              </w:tabs>
              <w:spacing w:before="43" w:after="0" w:line="240" w:lineRule="auto"/>
              <w:ind w:left="529" w:right="0" w:hanging="530"/>
              <w:jc w:val="left"/>
              <w:rPr>
                <w:sz w:val="21"/>
              </w:rPr>
            </w:pPr>
            <w:r>
              <w:rPr>
                <w:spacing w:val="-2"/>
                <w:sz w:val="21"/>
              </w:rPr>
              <w:t>左室舒张末期内径≥</w:t>
            </w:r>
            <w:r>
              <w:rPr>
                <w:rFonts w:ascii="Times New Roman" w:hAnsi="Times New Roman" w:eastAsia="Times New Roman"/>
                <w:spacing w:val="-2"/>
                <w:sz w:val="21"/>
              </w:rPr>
              <w:t>55mm</w:t>
            </w:r>
            <w:r>
              <w:rPr>
                <w:spacing w:val="-2"/>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3" w:hRule="atLeast"/>
        </w:trPr>
        <w:tc>
          <w:tcPr>
            <w:tcW w:w="856" w:type="dxa"/>
          </w:tcPr>
          <w:p>
            <w:pPr>
              <w:pStyle w:val="9"/>
              <w:rPr>
                <w:rFonts w:ascii="Times New Roman"/>
                <w:sz w:val="20"/>
              </w:rPr>
            </w:pPr>
          </w:p>
        </w:tc>
        <w:tc>
          <w:tcPr>
            <w:tcW w:w="2234" w:type="dxa"/>
          </w:tcPr>
          <w:p>
            <w:pPr>
              <w:pStyle w:val="9"/>
              <w:rPr>
                <w:rFonts w:ascii="Times New Roman"/>
                <w:sz w:val="20"/>
              </w:rPr>
            </w:pPr>
          </w:p>
        </w:tc>
        <w:tc>
          <w:tcPr>
            <w:tcW w:w="6704" w:type="dxa"/>
          </w:tcPr>
          <w:p>
            <w:pPr>
              <w:pStyle w:val="9"/>
              <w:numPr>
                <w:ilvl w:val="0"/>
                <w:numId w:val="43"/>
              </w:numPr>
              <w:tabs>
                <w:tab w:val="left" w:pos="530"/>
              </w:tabs>
              <w:spacing w:before="17" w:after="0" w:line="240" w:lineRule="auto"/>
              <w:ind w:left="529" w:right="0" w:hanging="530"/>
              <w:jc w:val="left"/>
              <w:rPr>
                <w:sz w:val="21"/>
              </w:rPr>
            </w:pPr>
            <w:r>
              <w:rPr>
                <w:rFonts w:ascii="Times New Roman" w:hAnsi="Times New Roman" w:eastAsia="Times New Roman"/>
                <w:sz w:val="21"/>
              </w:rPr>
              <w:t>QRS</w:t>
            </w:r>
            <w:r>
              <w:rPr>
                <w:rFonts w:ascii="Times New Roman" w:hAnsi="Times New Roman" w:eastAsia="Times New Roman"/>
                <w:spacing w:val="-7"/>
                <w:sz w:val="21"/>
              </w:rPr>
              <w:t xml:space="preserve"> </w:t>
            </w:r>
            <w:r>
              <w:rPr>
                <w:spacing w:val="-1"/>
                <w:sz w:val="21"/>
              </w:rPr>
              <w:t>时间≥</w:t>
            </w:r>
            <w:r>
              <w:rPr>
                <w:rFonts w:ascii="Times New Roman" w:hAnsi="Times New Roman" w:eastAsia="Times New Roman"/>
                <w:spacing w:val="-2"/>
                <w:sz w:val="21"/>
              </w:rPr>
              <w:t>130msec</w:t>
            </w:r>
            <w:r>
              <w:rPr>
                <w:spacing w:val="-2"/>
                <w:sz w:val="21"/>
              </w:rPr>
              <w:t>；</w:t>
            </w:r>
          </w:p>
          <w:p>
            <w:pPr>
              <w:pStyle w:val="9"/>
              <w:numPr>
                <w:ilvl w:val="0"/>
                <w:numId w:val="43"/>
              </w:numPr>
              <w:tabs>
                <w:tab w:val="left" w:pos="530"/>
              </w:tabs>
              <w:spacing w:before="43" w:after="0" w:line="240" w:lineRule="auto"/>
              <w:ind w:left="529" w:right="0" w:hanging="530"/>
              <w:jc w:val="left"/>
              <w:rPr>
                <w:sz w:val="21"/>
              </w:rPr>
            </w:pPr>
            <w:r>
              <w:rPr>
                <w:spacing w:val="-3"/>
                <w:sz w:val="21"/>
              </w:rPr>
              <w:t>药物治疗效果不佳，仍有症状。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0" w:hRule="atLeast"/>
        </w:trPr>
        <w:tc>
          <w:tcPr>
            <w:tcW w:w="856" w:type="dxa"/>
          </w:tcPr>
          <w:p>
            <w:pPr>
              <w:pStyle w:val="9"/>
              <w:spacing w:before="170"/>
              <w:ind w:left="50"/>
              <w:rPr>
                <w:b/>
                <w:sz w:val="21"/>
              </w:rPr>
            </w:pPr>
            <w:r>
              <w:rPr>
                <w:b/>
                <w:spacing w:val="-2"/>
                <w:sz w:val="21"/>
              </w:rPr>
              <w:t>7.2.59</w:t>
            </w:r>
          </w:p>
        </w:tc>
        <w:tc>
          <w:tcPr>
            <w:tcW w:w="2234" w:type="dxa"/>
          </w:tcPr>
          <w:p>
            <w:pPr>
              <w:pStyle w:val="9"/>
              <w:spacing w:before="170"/>
              <w:ind w:left="170"/>
              <w:rPr>
                <w:b/>
                <w:sz w:val="21"/>
              </w:rPr>
            </w:pPr>
            <w:r>
              <w:rPr>
                <w:b/>
                <w:spacing w:val="17"/>
                <w:sz w:val="21"/>
              </w:rPr>
              <w:t>完全性房室传导阻</w:t>
            </w:r>
          </w:p>
        </w:tc>
        <w:tc>
          <w:tcPr>
            <w:tcW w:w="6704" w:type="dxa"/>
          </w:tcPr>
          <w:p>
            <w:pPr>
              <w:pStyle w:val="9"/>
              <w:spacing w:before="170"/>
              <w:ind w:right="-15"/>
              <w:rPr>
                <w:sz w:val="21"/>
              </w:rPr>
            </w:pPr>
            <w:r>
              <w:rPr>
                <w:spacing w:val="-3"/>
                <w:sz w:val="21"/>
              </w:rPr>
              <w:t>指因慢性心脏疾病导致完全性房室传导阻滞。完全性房室传导阻滞是心房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56" w:type="dxa"/>
          </w:tcPr>
          <w:p>
            <w:pPr>
              <w:pStyle w:val="9"/>
              <w:rPr>
                <w:rFonts w:ascii="Times New Roman"/>
                <w:sz w:val="20"/>
              </w:rPr>
            </w:pPr>
          </w:p>
        </w:tc>
        <w:tc>
          <w:tcPr>
            <w:tcW w:w="2234" w:type="dxa"/>
          </w:tcPr>
          <w:p>
            <w:pPr>
              <w:pStyle w:val="9"/>
              <w:spacing w:before="22"/>
              <w:ind w:left="170"/>
              <w:rPr>
                <w:b/>
                <w:sz w:val="21"/>
              </w:rPr>
            </w:pPr>
            <w:r>
              <w:rPr>
                <w:b/>
                <w:w w:val="100"/>
                <w:sz w:val="21"/>
              </w:rPr>
              <w:t>滞</w:t>
            </w:r>
          </w:p>
        </w:tc>
        <w:tc>
          <w:tcPr>
            <w:tcW w:w="6704" w:type="dxa"/>
          </w:tcPr>
          <w:p>
            <w:pPr>
              <w:pStyle w:val="9"/>
              <w:spacing w:before="22"/>
              <w:ind w:right="-15"/>
              <w:rPr>
                <w:sz w:val="21"/>
              </w:rPr>
            </w:pPr>
            <w:r>
              <w:rPr>
                <w:spacing w:val="-3"/>
                <w:sz w:val="21"/>
              </w:rPr>
              <w:t>的激动不能正常地传导到心室，造成心室率过于缓慢，出现心力衰竭和因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56" w:type="dxa"/>
          </w:tcPr>
          <w:p>
            <w:pPr>
              <w:pStyle w:val="9"/>
              <w:rPr>
                <w:rFonts w:ascii="Times New Roman"/>
                <w:sz w:val="20"/>
              </w:rPr>
            </w:pPr>
          </w:p>
        </w:tc>
        <w:tc>
          <w:tcPr>
            <w:tcW w:w="2234" w:type="dxa"/>
          </w:tcPr>
          <w:p>
            <w:pPr>
              <w:pStyle w:val="9"/>
              <w:rPr>
                <w:rFonts w:ascii="Times New Roman"/>
                <w:sz w:val="20"/>
              </w:rPr>
            </w:pPr>
          </w:p>
        </w:tc>
        <w:tc>
          <w:tcPr>
            <w:tcW w:w="6704" w:type="dxa"/>
          </w:tcPr>
          <w:p>
            <w:pPr>
              <w:pStyle w:val="9"/>
              <w:spacing w:before="22"/>
              <w:ind w:right="-15"/>
              <w:rPr>
                <w:sz w:val="21"/>
              </w:rPr>
            </w:pPr>
            <w:r>
              <w:rPr>
                <w:w w:val="95"/>
                <w:sz w:val="21"/>
              </w:rPr>
              <w:t>大脑供血不足导致的晕厥、阿</w:t>
            </w:r>
            <w:r>
              <w:rPr>
                <w:b/>
                <w:w w:val="95"/>
                <w:sz w:val="21"/>
              </w:rPr>
              <w:t>-</w:t>
            </w:r>
            <w:r>
              <w:rPr>
                <w:w w:val="95"/>
                <w:sz w:val="21"/>
              </w:rPr>
              <w:t>斯综合征。完全性房室传导阻滞须由我</w:t>
            </w:r>
            <w:r>
              <w:rPr>
                <w:spacing w:val="-10"/>
                <w:w w:val="95"/>
                <w:sz w:val="21"/>
              </w:rPr>
              <w:t>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856" w:type="dxa"/>
          </w:tcPr>
          <w:p>
            <w:pPr>
              <w:pStyle w:val="9"/>
              <w:rPr>
                <w:rFonts w:ascii="Times New Roman"/>
                <w:sz w:val="20"/>
              </w:rPr>
            </w:pPr>
          </w:p>
        </w:tc>
        <w:tc>
          <w:tcPr>
            <w:tcW w:w="2234" w:type="dxa"/>
          </w:tcPr>
          <w:p>
            <w:pPr>
              <w:pStyle w:val="9"/>
              <w:rPr>
                <w:rFonts w:ascii="Times New Roman"/>
                <w:sz w:val="20"/>
              </w:rPr>
            </w:pPr>
          </w:p>
        </w:tc>
        <w:tc>
          <w:tcPr>
            <w:tcW w:w="6704" w:type="dxa"/>
          </w:tcPr>
          <w:p>
            <w:pPr>
              <w:pStyle w:val="9"/>
              <w:spacing w:before="22" w:line="267" w:lineRule="exact"/>
              <w:rPr>
                <w:sz w:val="21"/>
              </w:rPr>
            </w:pPr>
            <w:r>
              <w:rPr>
                <w:spacing w:val="-3"/>
                <w:sz w:val="21"/>
              </w:rPr>
              <w:t>认可的医院的专科医生明确诊断，并须满足下列全部条件：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15" w:hRule="atLeast"/>
        </w:trPr>
        <w:tc>
          <w:tcPr>
            <w:tcW w:w="856" w:type="dxa"/>
          </w:tcPr>
          <w:p>
            <w:pPr>
              <w:pStyle w:val="9"/>
              <w:rPr>
                <w:rFonts w:ascii="Times New Roman"/>
                <w:sz w:val="20"/>
              </w:rPr>
            </w:pPr>
          </w:p>
        </w:tc>
        <w:tc>
          <w:tcPr>
            <w:tcW w:w="2234" w:type="dxa"/>
          </w:tcPr>
          <w:p>
            <w:pPr>
              <w:pStyle w:val="9"/>
              <w:rPr>
                <w:rFonts w:ascii="Times New Roman"/>
                <w:sz w:val="20"/>
              </w:rPr>
            </w:pPr>
          </w:p>
        </w:tc>
        <w:tc>
          <w:tcPr>
            <w:tcW w:w="6704" w:type="dxa"/>
          </w:tcPr>
          <w:p>
            <w:pPr>
              <w:pStyle w:val="9"/>
              <w:numPr>
                <w:ilvl w:val="0"/>
                <w:numId w:val="44"/>
              </w:numPr>
              <w:tabs>
                <w:tab w:val="left" w:pos="530"/>
              </w:tabs>
              <w:spacing w:before="25" w:after="0" w:line="240" w:lineRule="auto"/>
              <w:ind w:left="529" w:right="0" w:hanging="530"/>
              <w:jc w:val="left"/>
              <w:rPr>
                <w:sz w:val="21"/>
              </w:rPr>
            </w:pPr>
            <w:r>
              <w:rPr>
                <w:spacing w:val="-3"/>
                <w:sz w:val="21"/>
              </w:rPr>
              <w:t>患有慢性心脏疾病；</w:t>
            </w:r>
          </w:p>
          <w:p>
            <w:pPr>
              <w:pStyle w:val="9"/>
              <w:numPr>
                <w:ilvl w:val="0"/>
                <w:numId w:val="44"/>
              </w:numPr>
              <w:tabs>
                <w:tab w:val="left" w:pos="530"/>
              </w:tabs>
              <w:spacing w:before="43" w:after="0" w:line="240" w:lineRule="auto"/>
              <w:ind w:left="529" w:right="0" w:hanging="530"/>
              <w:jc w:val="left"/>
              <w:rPr>
                <w:sz w:val="21"/>
              </w:rPr>
            </w:pPr>
            <w:r>
              <w:rPr>
                <w:w w:val="95"/>
                <w:sz w:val="21"/>
              </w:rPr>
              <w:t>曾经有晕厥、阿</w:t>
            </w:r>
            <w:r>
              <w:rPr>
                <w:b/>
                <w:w w:val="95"/>
                <w:sz w:val="21"/>
              </w:rPr>
              <w:t>-</w:t>
            </w:r>
            <w:r>
              <w:rPr>
                <w:w w:val="95"/>
                <w:sz w:val="21"/>
              </w:rPr>
              <w:t>斯综合</w:t>
            </w:r>
            <w:r>
              <w:rPr>
                <w:spacing w:val="-3"/>
                <w:w w:val="95"/>
                <w:sz w:val="21"/>
              </w:rPr>
              <w:t>征发作；</w:t>
            </w:r>
          </w:p>
          <w:p>
            <w:pPr>
              <w:pStyle w:val="9"/>
              <w:numPr>
                <w:ilvl w:val="0"/>
                <w:numId w:val="44"/>
              </w:numPr>
              <w:tabs>
                <w:tab w:val="left" w:pos="530"/>
              </w:tabs>
              <w:spacing w:before="43" w:after="0" w:line="240" w:lineRule="auto"/>
              <w:ind w:left="529" w:right="0" w:hanging="530"/>
              <w:jc w:val="left"/>
              <w:rPr>
                <w:sz w:val="21"/>
              </w:rPr>
            </w:pPr>
            <w:r>
              <w:rPr>
                <w:spacing w:val="-4"/>
                <w:sz w:val="21"/>
              </w:rPr>
              <w:t xml:space="preserve">心电图表现为持续室性逸搏心律，心室率持续低于 </w:t>
            </w:r>
            <w:r>
              <w:rPr>
                <w:rFonts w:ascii="Times New Roman" w:eastAsia="Times New Roman"/>
                <w:spacing w:val="-2"/>
                <w:sz w:val="21"/>
              </w:rPr>
              <w:t>40</w:t>
            </w:r>
            <w:r>
              <w:rPr>
                <w:rFonts w:ascii="Times New Roman" w:eastAsia="Times New Roman"/>
                <w:spacing w:val="9"/>
                <w:sz w:val="21"/>
              </w:rPr>
              <w:t xml:space="preserve"> </w:t>
            </w:r>
            <w:r>
              <w:rPr>
                <w:spacing w:val="-2"/>
                <w:sz w:val="21"/>
              </w:rPr>
              <w:t>次</w:t>
            </w:r>
            <w:r>
              <w:rPr>
                <w:rFonts w:ascii="Times New Roman" w:eastAsia="Times New Roman"/>
                <w:spacing w:val="-2"/>
                <w:sz w:val="21"/>
              </w:rPr>
              <w:t>/</w:t>
            </w:r>
            <w:r>
              <w:rPr>
                <w:spacing w:val="-6"/>
                <w:sz w:val="21"/>
              </w:rPr>
              <w:t>分；</w:t>
            </w:r>
          </w:p>
          <w:p>
            <w:pPr>
              <w:pStyle w:val="9"/>
              <w:numPr>
                <w:ilvl w:val="0"/>
                <w:numId w:val="44"/>
              </w:numPr>
              <w:tabs>
                <w:tab w:val="left" w:pos="530"/>
              </w:tabs>
              <w:spacing w:before="43" w:after="0" w:line="240" w:lineRule="auto"/>
              <w:ind w:left="529" w:right="0" w:hanging="530"/>
              <w:jc w:val="left"/>
              <w:rPr>
                <w:sz w:val="21"/>
              </w:rPr>
            </w:pPr>
            <w:r>
              <w:rPr>
                <w:spacing w:val="-3"/>
                <w:sz w:val="21"/>
              </w:rPr>
              <w:t>已经植入永久性心脏起搏器。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0" w:hRule="atLeast"/>
        </w:trPr>
        <w:tc>
          <w:tcPr>
            <w:tcW w:w="856" w:type="dxa"/>
          </w:tcPr>
          <w:p>
            <w:pPr>
              <w:pStyle w:val="9"/>
              <w:spacing w:before="170"/>
              <w:ind w:left="50"/>
              <w:rPr>
                <w:b/>
                <w:sz w:val="21"/>
              </w:rPr>
            </w:pPr>
            <w:r>
              <w:rPr>
                <w:b/>
                <w:spacing w:val="-2"/>
                <w:sz w:val="21"/>
              </w:rPr>
              <w:t>7.2.60</w:t>
            </w:r>
          </w:p>
        </w:tc>
        <w:tc>
          <w:tcPr>
            <w:tcW w:w="2234" w:type="dxa"/>
          </w:tcPr>
          <w:p>
            <w:pPr>
              <w:pStyle w:val="9"/>
              <w:spacing w:before="170"/>
              <w:ind w:left="170"/>
              <w:rPr>
                <w:b/>
                <w:sz w:val="21"/>
              </w:rPr>
            </w:pPr>
            <w:r>
              <w:rPr>
                <w:b/>
                <w:spacing w:val="17"/>
                <w:sz w:val="21"/>
              </w:rPr>
              <w:t>风湿热导致的心脏</w:t>
            </w:r>
          </w:p>
        </w:tc>
        <w:tc>
          <w:tcPr>
            <w:tcW w:w="6704" w:type="dxa"/>
          </w:tcPr>
          <w:p>
            <w:pPr>
              <w:pStyle w:val="9"/>
              <w:spacing w:before="170"/>
              <w:ind w:right="-15"/>
              <w:rPr>
                <w:sz w:val="21"/>
              </w:rPr>
            </w:pPr>
            <w:r>
              <w:rPr>
                <w:spacing w:val="-3"/>
                <w:sz w:val="21"/>
              </w:rPr>
              <w:t>指风湿热反复发作并发心脏瓣膜损害，导致慢性心脏瓣膜病，引起心脏瓣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856" w:type="dxa"/>
          </w:tcPr>
          <w:p>
            <w:pPr>
              <w:pStyle w:val="9"/>
              <w:rPr>
                <w:rFonts w:ascii="Times New Roman"/>
                <w:sz w:val="20"/>
              </w:rPr>
            </w:pPr>
          </w:p>
        </w:tc>
        <w:tc>
          <w:tcPr>
            <w:tcW w:w="2234" w:type="dxa"/>
          </w:tcPr>
          <w:p>
            <w:pPr>
              <w:pStyle w:val="9"/>
              <w:spacing w:before="22" w:line="267" w:lineRule="exact"/>
              <w:ind w:left="170"/>
              <w:rPr>
                <w:b/>
                <w:sz w:val="21"/>
              </w:rPr>
            </w:pPr>
            <w:r>
              <w:rPr>
                <w:b/>
                <w:spacing w:val="-4"/>
                <w:sz w:val="21"/>
              </w:rPr>
              <w:t>瓣膜病</w:t>
            </w:r>
          </w:p>
        </w:tc>
        <w:tc>
          <w:tcPr>
            <w:tcW w:w="6704" w:type="dxa"/>
          </w:tcPr>
          <w:p>
            <w:pPr>
              <w:pStyle w:val="9"/>
              <w:spacing w:before="22" w:line="267" w:lineRule="exact"/>
              <w:rPr>
                <w:sz w:val="21"/>
              </w:rPr>
            </w:pPr>
            <w:r>
              <w:rPr>
                <w:spacing w:val="-3"/>
                <w:sz w:val="21"/>
              </w:rPr>
              <w:t>膜狭窄、关闭不全。须满足下列全部条件：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03" w:hRule="atLeast"/>
        </w:trPr>
        <w:tc>
          <w:tcPr>
            <w:tcW w:w="856" w:type="dxa"/>
          </w:tcPr>
          <w:p>
            <w:pPr>
              <w:pStyle w:val="9"/>
              <w:rPr>
                <w:rFonts w:ascii="Times New Roman"/>
                <w:sz w:val="20"/>
              </w:rPr>
            </w:pPr>
          </w:p>
        </w:tc>
        <w:tc>
          <w:tcPr>
            <w:tcW w:w="2234" w:type="dxa"/>
          </w:tcPr>
          <w:p>
            <w:pPr>
              <w:pStyle w:val="9"/>
              <w:rPr>
                <w:rFonts w:ascii="Times New Roman"/>
                <w:sz w:val="20"/>
              </w:rPr>
            </w:pPr>
          </w:p>
        </w:tc>
        <w:tc>
          <w:tcPr>
            <w:tcW w:w="6704" w:type="dxa"/>
          </w:tcPr>
          <w:p>
            <w:pPr>
              <w:pStyle w:val="9"/>
              <w:numPr>
                <w:ilvl w:val="0"/>
                <w:numId w:val="45"/>
              </w:numPr>
              <w:tabs>
                <w:tab w:val="left" w:pos="530"/>
              </w:tabs>
              <w:spacing w:before="25" w:after="0" w:line="240" w:lineRule="auto"/>
              <w:ind w:left="529" w:right="0" w:hanging="530"/>
              <w:jc w:val="left"/>
              <w:rPr>
                <w:sz w:val="21"/>
              </w:rPr>
            </w:pPr>
            <w:r>
              <w:rPr>
                <w:spacing w:val="-4"/>
                <w:sz w:val="21"/>
              </w:rPr>
              <w:t>风湿热病史；</w:t>
            </w:r>
          </w:p>
          <w:p>
            <w:pPr>
              <w:pStyle w:val="9"/>
              <w:numPr>
                <w:ilvl w:val="0"/>
                <w:numId w:val="45"/>
              </w:numPr>
              <w:tabs>
                <w:tab w:val="left" w:pos="530"/>
              </w:tabs>
              <w:spacing w:before="43" w:after="0" w:line="240" w:lineRule="auto"/>
              <w:ind w:left="529" w:right="0" w:hanging="530"/>
              <w:jc w:val="left"/>
              <w:rPr>
                <w:sz w:val="21"/>
              </w:rPr>
            </w:pPr>
            <w:r>
              <w:rPr>
                <w:spacing w:val="-3"/>
                <w:sz w:val="21"/>
              </w:rPr>
              <w:t>慢性心脏瓣膜病病史；</w:t>
            </w:r>
          </w:p>
          <w:p>
            <w:pPr>
              <w:pStyle w:val="9"/>
              <w:numPr>
                <w:ilvl w:val="0"/>
                <w:numId w:val="45"/>
              </w:numPr>
              <w:tabs>
                <w:tab w:val="left" w:pos="530"/>
              </w:tabs>
              <w:spacing w:before="43" w:after="0" w:line="240" w:lineRule="auto"/>
              <w:ind w:left="529" w:right="0" w:hanging="530"/>
              <w:jc w:val="left"/>
              <w:rPr>
                <w:sz w:val="21"/>
              </w:rPr>
            </w:pPr>
            <w:r>
              <w:rPr>
                <w:spacing w:val="-3"/>
                <w:sz w:val="21"/>
              </w:rPr>
              <w:t>实际接受了开胸开心进行的心脏瓣膜置换手术。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5" w:hRule="atLeast"/>
        </w:trPr>
        <w:tc>
          <w:tcPr>
            <w:tcW w:w="856" w:type="dxa"/>
          </w:tcPr>
          <w:p>
            <w:pPr>
              <w:pStyle w:val="9"/>
              <w:rPr>
                <w:rFonts w:ascii="Times New Roman"/>
                <w:sz w:val="20"/>
              </w:rPr>
            </w:pPr>
          </w:p>
        </w:tc>
        <w:tc>
          <w:tcPr>
            <w:tcW w:w="2234" w:type="dxa"/>
          </w:tcPr>
          <w:p>
            <w:pPr>
              <w:pStyle w:val="9"/>
              <w:rPr>
                <w:rFonts w:ascii="Times New Roman"/>
                <w:sz w:val="20"/>
              </w:rPr>
            </w:pPr>
          </w:p>
        </w:tc>
        <w:tc>
          <w:tcPr>
            <w:tcW w:w="6704" w:type="dxa"/>
          </w:tcPr>
          <w:p>
            <w:pPr>
              <w:pStyle w:val="9"/>
              <w:spacing w:before="170"/>
              <w:rPr>
                <w:rFonts w:ascii="黑体" w:eastAsia="黑体"/>
                <w:sz w:val="21"/>
              </w:rPr>
            </w:pPr>
            <w:r>
              <w:rPr>
                <w:rFonts w:ascii="黑体" w:eastAsia="黑体"/>
                <w:color w:val="000000"/>
                <w:spacing w:val="-3"/>
                <w:sz w:val="21"/>
                <w:shd w:val="clear" w:color="auto" w:fill="D9D9D9"/>
              </w:rPr>
              <w:t>经导管进行的瓣膜置换手术或瓣膜成型手术不在保障范围内。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856" w:type="dxa"/>
          </w:tcPr>
          <w:p>
            <w:pPr>
              <w:pStyle w:val="9"/>
              <w:spacing w:before="178"/>
              <w:ind w:left="50"/>
              <w:rPr>
                <w:b/>
                <w:sz w:val="21"/>
              </w:rPr>
            </w:pPr>
            <w:r>
              <w:rPr>
                <w:b/>
                <w:spacing w:val="-2"/>
                <w:sz w:val="21"/>
              </w:rPr>
              <w:t>7.2.61</w:t>
            </w:r>
          </w:p>
        </w:tc>
        <w:tc>
          <w:tcPr>
            <w:tcW w:w="2234" w:type="dxa"/>
          </w:tcPr>
          <w:p>
            <w:pPr>
              <w:pStyle w:val="9"/>
              <w:spacing w:before="178"/>
              <w:ind w:left="170"/>
              <w:rPr>
                <w:b/>
                <w:sz w:val="21"/>
              </w:rPr>
            </w:pPr>
            <w:r>
              <w:rPr>
                <w:b/>
                <w:spacing w:val="17"/>
                <w:sz w:val="21"/>
              </w:rPr>
              <w:t>头臂动脉型多发性</w:t>
            </w:r>
          </w:p>
        </w:tc>
        <w:tc>
          <w:tcPr>
            <w:tcW w:w="6704" w:type="dxa"/>
          </w:tcPr>
          <w:p>
            <w:pPr>
              <w:pStyle w:val="9"/>
              <w:spacing w:before="178"/>
              <w:ind w:right="-15"/>
              <w:rPr>
                <w:sz w:val="21"/>
              </w:rPr>
            </w:pPr>
            <w:r>
              <w:rPr>
                <w:spacing w:val="-2"/>
                <w:sz w:val="21"/>
              </w:rPr>
              <w:t>多发性大动脉炎（高安氏动脉炎）</w:t>
            </w:r>
            <w:r>
              <w:rPr>
                <w:spacing w:val="-3"/>
                <w:sz w:val="21"/>
              </w:rPr>
              <w:t>是一种发生在主动脉和其主要分支的慢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856" w:type="dxa"/>
          </w:tcPr>
          <w:p>
            <w:pPr>
              <w:pStyle w:val="9"/>
              <w:rPr>
                <w:rFonts w:ascii="Times New Roman"/>
                <w:sz w:val="20"/>
              </w:rPr>
            </w:pPr>
          </w:p>
        </w:tc>
        <w:tc>
          <w:tcPr>
            <w:tcW w:w="2234" w:type="dxa"/>
          </w:tcPr>
          <w:p>
            <w:pPr>
              <w:pStyle w:val="9"/>
              <w:spacing w:before="22" w:line="267" w:lineRule="exact"/>
              <w:ind w:left="170"/>
              <w:rPr>
                <w:b/>
                <w:sz w:val="21"/>
              </w:rPr>
            </w:pPr>
            <w:r>
              <w:rPr>
                <w:b/>
                <w:spacing w:val="17"/>
                <w:sz w:val="21"/>
              </w:rPr>
              <w:t>大动脉炎旁路移植</w:t>
            </w:r>
          </w:p>
        </w:tc>
        <w:tc>
          <w:tcPr>
            <w:tcW w:w="6704" w:type="dxa"/>
          </w:tcPr>
          <w:p>
            <w:pPr>
              <w:pStyle w:val="9"/>
              <w:spacing w:before="22" w:line="267" w:lineRule="exact"/>
              <w:ind w:right="-15"/>
              <w:rPr>
                <w:sz w:val="21"/>
              </w:rPr>
            </w:pPr>
            <w:r>
              <w:rPr>
                <w:spacing w:val="-5"/>
                <w:sz w:val="21"/>
              </w:rPr>
              <w:t>性炎症性动脉疾病，表现为受累动脉狭窄或闭塞。头臂动脉型多发性大动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7" w:hRule="atLeast"/>
        </w:trPr>
        <w:tc>
          <w:tcPr>
            <w:tcW w:w="856" w:type="dxa"/>
          </w:tcPr>
          <w:p>
            <w:pPr>
              <w:pStyle w:val="9"/>
              <w:rPr>
                <w:rFonts w:ascii="Times New Roman"/>
                <w:sz w:val="20"/>
              </w:rPr>
            </w:pPr>
          </w:p>
        </w:tc>
        <w:tc>
          <w:tcPr>
            <w:tcW w:w="2234" w:type="dxa"/>
          </w:tcPr>
          <w:p>
            <w:pPr>
              <w:pStyle w:val="9"/>
              <w:spacing w:before="25"/>
              <w:ind w:left="170"/>
              <w:rPr>
                <w:b/>
                <w:sz w:val="21"/>
              </w:rPr>
            </w:pPr>
            <w:r>
              <w:rPr>
                <w:b/>
                <w:spacing w:val="-5"/>
                <w:sz w:val="21"/>
              </w:rPr>
              <w:t>手术</w:t>
            </w:r>
          </w:p>
        </w:tc>
        <w:tc>
          <w:tcPr>
            <w:tcW w:w="6704" w:type="dxa"/>
          </w:tcPr>
          <w:p>
            <w:pPr>
              <w:pStyle w:val="9"/>
              <w:spacing w:before="25"/>
              <w:ind w:right="-15"/>
              <w:rPr>
                <w:sz w:val="21"/>
              </w:rPr>
            </w:pPr>
            <w:r>
              <w:rPr>
                <w:spacing w:val="-2"/>
                <w:sz w:val="21"/>
              </w:rPr>
              <w:t>脉炎是指多发性大动脉炎头臂动脉型（</w:t>
            </w:r>
            <w:r>
              <w:rPr>
                <w:rFonts w:ascii="Times New Roman" w:eastAsia="Times New Roman"/>
                <w:spacing w:val="-2"/>
                <w:sz w:val="21"/>
              </w:rPr>
              <w:t>I</w:t>
            </w:r>
            <w:r>
              <w:rPr>
                <w:rFonts w:ascii="Times New Roman" w:eastAsia="Times New Roman"/>
                <w:spacing w:val="-3"/>
                <w:sz w:val="21"/>
              </w:rPr>
              <w:t xml:space="preserve"> </w:t>
            </w:r>
            <w:r>
              <w:rPr>
                <w:spacing w:val="-2"/>
                <w:sz w:val="21"/>
              </w:rPr>
              <w:t>型</w:t>
            </w:r>
            <w:r>
              <w:rPr>
                <w:spacing w:val="-59"/>
                <w:sz w:val="21"/>
              </w:rPr>
              <w:t>）</w:t>
            </w:r>
            <w:r>
              <w:rPr>
                <w:spacing w:val="-10"/>
                <w:sz w:val="21"/>
              </w:rPr>
              <w:t>，又称为无脉症。被保险人被</w:t>
            </w:r>
          </w:p>
          <w:p>
            <w:pPr>
              <w:pStyle w:val="9"/>
              <w:spacing w:before="43"/>
              <w:ind w:right="-15"/>
              <w:rPr>
                <w:sz w:val="21"/>
              </w:rPr>
            </w:pPr>
            <w:r>
              <w:rPr>
                <w:spacing w:val="-1"/>
                <w:sz w:val="21"/>
              </w:rPr>
              <w:t>明确诊断为头臂动脉型多发性大动脉炎并且实际接受了经胸部切开进行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2" w:hRule="atLeast"/>
        </w:trPr>
        <w:tc>
          <w:tcPr>
            <w:tcW w:w="856" w:type="dxa"/>
          </w:tcPr>
          <w:p>
            <w:pPr>
              <w:pStyle w:val="9"/>
              <w:rPr>
                <w:rFonts w:ascii="Times New Roman"/>
                <w:sz w:val="20"/>
              </w:rPr>
            </w:pPr>
          </w:p>
        </w:tc>
        <w:tc>
          <w:tcPr>
            <w:tcW w:w="2234" w:type="dxa"/>
          </w:tcPr>
          <w:p>
            <w:pPr>
              <w:pStyle w:val="9"/>
              <w:rPr>
                <w:rFonts w:ascii="Times New Roman"/>
                <w:sz w:val="20"/>
              </w:rPr>
            </w:pPr>
          </w:p>
        </w:tc>
        <w:tc>
          <w:tcPr>
            <w:tcW w:w="6704" w:type="dxa"/>
          </w:tcPr>
          <w:p>
            <w:pPr>
              <w:pStyle w:val="9"/>
              <w:spacing w:before="22"/>
              <w:rPr>
                <w:sz w:val="21"/>
              </w:rPr>
            </w:pPr>
            <w:r>
              <w:rPr>
                <w:spacing w:val="-2"/>
                <w:sz w:val="21"/>
              </w:rPr>
              <w:t>的无名动脉（头臂干</w:t>
            </w:r>
            <w:r>
              <w:rPr>
                <w:spacing w:val="-106"/>
                <w:sz w:val="21"/>
              </w:rPr>
              <w:t>）</w:t>
            </w:r>
            <w:r>
              <w:rPr>
                <w:spacing w:val="-3"/>
                <w:sz w:val="21"/>
              </w:rPr>
              <w:t>、颈总动脉、锁骨下动脉旁路移植手术。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3" w:hRule="atLeast"/>
        </w:trPr>
        <w:tc>
          <w:tcPr>
            <w:tcW w:w="856" w:type="dxa"/>
          </w:tcPr>
          <w:p>
            <w:pPr>
              <w:pStyle w:val="9"/>
              <w:rPr>
                <w:rFonts w:ascii="Times New Roman"/>
                <w:sz w:val="20"/>
              </w:rPr>
            </w:pPr>
          </w:p>
        </w:tc>
        <w:tc>
          <w:tcPr>
            <w:tcW w:w="2234" w:type="dxa"/>
          </w:tcPr>
          <w:p>
            <w:pPr>
              <w:pStyle w:val="9"/>
              <w:rPr>
                <w:rFonts w:ascii="Times New Roman"/>
                <w:sz w:val="20"/>
              </w:rPr>
            </w:pPr>
          </w:p>
        </w:tc>
        <w:tc>
          <w:tcPr>
            <w:tcW w:w="6704" w:type="dxa"/>
            <w:shd w:val="clear" w:color="auto" w:fill="D9D9D9"/>
          </w:tcPr>
          <w:p>
            <w:pPr>
              <w:pStyle w:val="9"/>
              <w:spacing w:before="3"/>
              <w:ind w:right="-15"/>
              <w:rPr>
                <w:rFonts w:ascii="黑体" w:eastAsia="黑体"/>
                <w:sz w:val="21"/>
              </w:rPr>
            </w:pPr>
            <w:r>
              <w:rPr>
                <w:rFonts w:ascii="黑体" w:eastAsia="黑体"/>
                <w:spacing w:val="-3"/>
                <w:sz w:val="21"/>
              </w:rPr>
              <w:t>非开胸的血管旁路移植手术、因其他病因而进行的旁路移植手术，对其他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1" w:hRule="atLeast"/>
        </w:trPr>
        <w:tc>
          <w:tcPr>
            <w:tcW w:w="856" w:type="dxa"/>
          </w:tcPr>
          <w:p>
            <w:pPr>
              <w:pStyle w:val="9"/>
              <w:rPr>
                <w:rFonts w:ascii="Times New Roman"/>
                <w:sz w:val="20"/>
              </w:rPr>
            </w:pPr>
          </w:p>
        </w:tc>
        <w:tc>
          <w:tcPr>
            <w:tcW w:w="2234" w:type="dxa"/>
          </w:tcPr>
          <w:p>
            <w:pPr>
              <w:pStyle w:val="9"/>
              <w:rPr>
                <w:rFonts w:ascii="Times New Roman"/>
                <w:sz w:val="20"/>
              </w:rPr>
            </w:pPr>
          </w:p>
        </w:tc>
        <w:tc>
          <w:tcPr>
            <w:tcW w:w="6704" w:type="dxa"/>
            <w:shd w:val="clear" w:color="auto" w:fill="D9D9D9"/>
          </w:tcPr>
          <w:p>
            <w:pPr>
              <w:pStyle w:val="9"/>
              <w:spacing w:before="22" w:line="250" w:lineRule="exact"/>
              <w:ind w:right="-15"/>
              <w:rPr>
                <w:rFonts w:ascii="黑体" w:eastAsia="黑体"/>
                <w:sz w:val="21"/>
              </w:rPr>
            </w:pPr>
            <w:r>
              <w:rPr>
                <w:rFonts w:ascii="黑体" w:eastAsia="黑体"/>
                <w:spacing w:val="-1"/>
                <w:sz w:val="21"/>
              </w:rPr>
              <w:t>动脉进行的旁路移植手术，经皮经导管进行的血管内手术不在保障范围</w:t>
            </w:r>
          </w:p>
        </w:tc>
      </w:tr>
    </w:tbl>
    <w:p>
      <w:pPr>
        <w:spacing w:after="0" w:line="250" w:lineRule="exact"/>
        <w:rPr>
          <w:rFonts w:ascii="黑体" w:eastAsia="黑体"/>
          <w:sz w:val="21"/>
        </w:rPr>
        <w:sectPr>
          <w:type w:val="continuous"/>
          <w:pgSz w:w="11910" w:h="16840"/>
          <w:pgMar w:top="500" w:right="840" w:bottom="280" w:left="860" w:header="720" w:footer="720" w:gutter="0"/>
          <w:cols w:space="720" w:num="1"/>
        </w:sectPr>
      </w:pPr>
    </w:p>
    <w:p>
      <w:pPr>
        <w:pStyle w:val="4"/>
        <w:spacing w:before="47"/>
        <w:ind w:left="3260"/>
        <w:rPr>
          <w:rFonts w:ascii="黑体" w:eastAsia="黑体"/>
        </w:rPr>
      </w:pPr>
      <w:r>
        <w:rPr>
          <w:rFonts w:ascii="黑体" w:eastAsia="黑体"/>
          <w:color w:val="000000"/>
          <w:spacing w:val="-5"/>
          <w:shd w:val="clear" w:color="auto" w:fill="D9D9D9"/>
        </w:rPr>
        <w:t>内。</w:t>
      </w:r>
    </w:p>
    <w:p>
      <w:pPr>
        <w:pStyle w:val="4"/>
        <w:spacing w:before="9"/>
        <w:rPr>
          <w:rFonts w:ascii="黑体"/>
          <w:sz w:val="27"/>
        </w:rPr>
      </w:pPr>
    </w:p>
    <w:p>
      <w:pPr>
        <w:pStyle w:val="8"/>
        <w:numPr>
          <w:ilvl w:val="2"/>
          <w:numId w:val="46"/>
        </w:numPr>
        <w:tabs>
          <w:tab w:val="left" w:pos="1196"/>
          <w:tab w:val="left" w:pos="1197"/>
          <w:tab w:val="left" w:pos="3260"/>
        </w:tabs>
        <w:spacing w:before="0" w:after="0" w:line="240" w:lineRule="auto"/>
        <w:ind w:left="1196" w:right="0" w:hanging="977"/>
        <w:jc w:val="left"/>
        <w:rPr>
          <w:sz w:val="21"/>
        </w:rPr>
      </w:pPr>
      <w:r>
        <w:rPr>
          <w:b/>
          <w:sz w:val="21"/>
        </w:rPr>
        <w:t>肺淋巴管肌</w:t>
      </w:r>
      <w:r>
        <w:rPr>
          <w:b/>
          <w:spacing w:val="-10"/>
          <w:sz w:val="21"/>
        </w:rPr>
        <w:t>瘤</w:t>
      </w:r>
      <w:r>
        <w:rPr>
          <w:b/>
          <w:sz w:val="21"/>
        </w:rPr>
        <w:tab/>
      </w:r>
      <w:r>
        <w:rPr>
          <w:spacing w:val="-2"/>
          <w:sz w:val="21"/>
        </w:rPr>
        <w:t>是一种弥漫性肺部疾病，其特征性病理表现为囊性病变及不成熟的平滑</w:t>
      </w:r>
      <w:r>
        <w:rPr>
          <w:spacing w:val="-10"/>
          <w:sz w:val="21"/>
        </w:rPr>
        <w:t>肌</w:t>
      </w:r>
    </w:p>
    <w:p>
      <w:pPr>
        <w:pStyle w:val="4"/>
        <w:spacing w:before="43"/>
        <w:ind w:left="3260"/>
      </w:pPr>
      <w:r>
        <w:rPr>
          <w:spacing w:val="-3"/>
        </w:rPr>
        <w:t>细胞和血管周围上皮细胞异常增生形成多发结节。须满足下列全部条件：</w:t>
      </w:r>
    </w:p>
    <w:p>
      <w:pPr>
        <w:pStyle w:val="8"/>
        <w:numPr>
          <w:ilvl w:val="0"/>
          <w:numId w:val="47"/>
        </w:numPr>
        <w:tabs>
          <w:tab w:val="left" w:pos="3892"/>
        </w:tabs>
        <w:spacing w:before="43" w:after="0" w:line="240" w:lineRule="auto"/>
        <w:ind w:left="3892" w:right="0" w:hanging="632"/>
        <w:jc w:val="left"/>
        <w:rPr>
          <w:sz w:val="21"/>
        </w:rPr>
      </w:pPr>
      <w:r>
        <w:rPr>
          <w:spacing w:val="-3"/>
          <w:sz w:val="21"/>
        </w:rPr>
        <w:t>经组织病理学检查明确诊断；</w:t>
      </w:r>
    </w:p>
    <w:p>
      <w:pPr>
        <w:pStyle w:val="8"/>
        <w:numPr>
          <w:ilvl w:val="0"/>
          <w:numId w:val="47"/>
        </w:numPr>
        <w:tabs>
          <w:tab w:val="left" w:pos="3892"/>
        </w:tabs>
        <w:spacing w:before="43" w:after="0" w:line="240" w:lineRule="auto"/>
        <w:ind w:left="3892" w:right="0" w:hanging="632"/>
        <w:jc w:val="left"/>
        <w:rPr>
          <w:sz w:val="21"/>
        </w:rPr>
      </w:pPr>
      <w:r>
        <w:rPr>
          <w:rFonts w:ascii="Times New Roman" w:eastAsia="Times New Roman"/>
          <w:spacing w:val="-2"/>
          <w:sz w:val="21"/>
        </w:rPr>
        <w:t>CT</w:t>
      </w:r>
      <w:r>
        <w:rPr>
          <w:rFonts w:ascii="Times New Roman" w:eastAsia="Times New Roman"/>
          <w:spacing w:val="7"/>
          <w:sz w:val="21"/>
        </w:rPr>
        <w:t xml:space="preserve"> </w:t>
      </w:r>
      <w:r>
        <w:rPr>
          <w:spacing w:val="-3"/>
          <w:sz w:val="21"/>
        </w:rPr>
        <w:t>显示双肺弥漫性囊性改变；</w:t>
      </w:r>
    </w:p>
    <w:p>
      <w:pPr>
        <w:pStyle w:val="8"/>
        <w:numPr>
          <w:ilvl w:val="0"/>
          <w:numId w:val="47"/>
        </w:numPr>
        <w:tabs>
          <w:tab w:val="left" w:pos="3892"/>
        </w:tabs>
        <w:spacing w:before="43" w:after="0" w:line="240" w:lineRule="auto"/>
        <w:ind w:left="3892" w:right="0" w:hanging="632"/>
        <w:jc w:val="left"/>
        <w:rPr>
          <w:sz w:val="21"/>
        </w:rPr>
      </w:pPr>
      <w:r>
        <w:rPr>
          <w:spacing w:val="-8"/>
          <w:sz w:val="21"/>
        </w:rPr>
        <w:t xml:space="preserve">肺功能检查显示 </w:t>
      </w:r>
      <w:r>
        <w:rPr>
          <w:rFonts w:ascii="Times New Roman" w:eastAsia="Times New Roman"/>
          <w:spacing w:val="-2"/>
          <w:sz w:val="21"/>
        </w:rPr>
        <w:t>FEV1</w:t>
      </w:r>
      <w:r>
        <w:rPr>
          <w:rFonts w:ascii="Times New Roman" w:eastAsia="Times New Roman"/>
          <w:spacing w:val="2"/>
          <w:sz w:val="21"/>
        </w:rPr>
        <w:t xml:space="preserve"> </w:t>
      </w:r>
      <w:r>
        <w:rPr>
          <w:spacing w:val="-26"/>
          <w:sz w:val="21"/>
        </w:rPr>
        <w:t xml:space="preserve">和 </w:t>
      </w:r>
      <w:r>
        <w:rPr>
          <w:rFonts w:ascii="Times New Roman" w:eastAsia="Times New Roman"/>
          <w:spacing w:val="-2"/>
          <w:sz w:val="21"/>
        </w:rPr>
        <w:t>DLCO</w:t>
      </w:r>
      <w:r>
        <w:rPr>
          <w:spacing w:val="-2"/>
          <w:sz w:val="21"/>
        </w:rPr>
        <w:t>（</w:t>
      </w:r>
      <w:r>
        <w:rPr>
          <w:rFonts w:ascii="Times New Roman" w:eastAsia="Times New Roman"/>
          <w:spacing w:val="-2"/>
          <w:sz w:val="21"/>
        </w:rPr>
        <w:t>CO</w:t>
      </w:r>
      <w:r>
        <w:rPr>
          <w:rFonts w:ascii="Times New Roman" w:eastAsia="Times New Roman"/>
          <w:spacing w:val="7"/>
          <w:sz w:val="21"/>
        </w:rPr>
        <w:t xml:space="preserve"> </w:t>
      </w:r>
      <w:r>
        <w:rPr>
          <w:spacing w:val="-2"/>
          <w:sz w:val="21"/>
        </w:rPr>
        <w:t>弥散功能）</w:t>
      </w:r>
      <w:r>
        <w:rPr>
          <w:spacing w:val="-5"/>
          <w:sz w:val="21"/>
        </w:rPr>
        <w:t>下降；</w:t>
      </w:r>
    </w:p>
    <w:p>
      <w:pPr>
        <w:pStyle w:val="8"/>
        <w:numPr>
          <w:ilvl w:val="0"/>
          <w:numId w:val="47"/>
        </w:numPr>
        <w:tabs>
          <w:tab w:val="left" w:pos="3892"/>
        </w:tabs>
        <w:spacing w:before="43" w:after="0" w:line="240" w:lineRule="auto"/>
        <w:ind w:left="3892" w:right="0" w:hanging="632"/>
        <w:jc w:val="left"/>
        <w:rPr>
          <w:sz w:val="21"/>
        </w:rPr>
      </w:pPr>
      <w:r>
        <w:rPr>
          <w:spacing w:val="-3"/>
          <w:sz w:val="21"/>
        </w:rPr>
        <w:t>动脉血气分析显示低氧血症。</w:t>
      </w:r>
    </w:p>
    <w:p>
      <w:pPr>
        <w:pStyle w:val="4"/>
        <w:spacing w:before="1"/>
        <w:rPr>
          <w:sz w:val="22"/>
        </w:rPr>
      </w:pPr>
    </w:p>
    <w:p>
      <w:pPr>
        <w:pStyle w:val="4"/>
        <w:spacing w:before="72"/>
        <w:ind w:left="3260"/>
        <w:rPr>
          <w:rFonts w:ascii="黑体" w:eastAsia="黑体"/>
        </w:rPr>
      </w:pPr>
      <w:r>
        <w:rPr>
          <w:rFonts w:ascii="黑体" w:eastAsia="黑体"/>
          <w:color w:val="000000"/>
          <w:spacing w:val="-3"/>
          <w:shd w:val="clear" w:color="auto" w:fill="D9D9D9"/>
        </w:rPr>
        <w:t>疑似肺淋巴管肌瘤病不在保障范围内。</w:t>
      </w:r>
    </w:p>
    <w:p>
      <w:pPr>
        <w:pStyle w:val="4"/>
        <w:spacing w:before="9"/>
        <w:rPr>
          <w:rFonts w:ascii="黑体"/>
          <w:sz w:val="27"/>
        </w:rPr>
      </w:pPr>
    </w:p>
    <w:p>
      <w:pPr>
        <w:pStyle w:val="8"/>
        <w:numPr>
          <w:ilvl w:val="2"/>
          <w:numId w:val="46"/>
        </w:numPr>
        <w:tabs>
          <w:tab w:val="left" w:pos="1196"/>
          <w:tab w:val="left" w:pos="1197"/>
          <w:tab w:val="left" w:pos="3260"/>
        </w:tabs>
        <w:spacing w:before="0" w:after="0" w:line="240" w:lineRule="auto"/>
        <w:ind w:left="1196" w:right="0" w:hanging="977"/>
        <w:jc w:val="left"/>
        <w:rPr>
          <w:sz w:val="21"/>
        </w:rPr>
      </w:pPr>
      <w:r>
        <w:rPr>
          <w:b/>
          <w:sz w:val="21"/>
        </w:rPr>
        <w:t>严重肺结节</w:t>
      </w:r>
      <w:r>
        <w:rPr>
          <w:b/>
          <w:spacing w:val="-10"/>
          <w:sz w:val="21"/>
        </w:rPr>
        <w:t>病</w:t>
      </w:r>
      <w:r>
        <w:rPr>
          <w:b/>
          <w:sz w:val="21"/>
        </w:rPr>
        <w:tab/>
      </w:r>
      <w:r>
        <w:rPr>
          <w:spacing w:val="-2"/>
          <w:sz w:val="21"/>
        </w:rPr>
        <w:t>结节病是一种原因未明的慢性肉芽肿病，可侵犯全身多个器官，以肺和</w:t>
      </w:r>
      <w:r>
        <w:rPr>
          <w:spacing w:val="-10"/>
          <w:sz w:val="21"/>
        </w:rPr>
        <w:t>淋</w:t>
      </w:r>
    </w:p>
    <w:p>
      <w:pPr>
        <w:pStyle w:val="4"/>
        <w:spacing w:before="43" w:line="278" w:lineRule="auto"/>
        <w:ind w:left="3260" w:right="234"/>
      </w:pPr>
      <w:r>
        <w:rPr>
          <w:spacing w:val="-2"/>
        </w:rPr>
        <w:t>巴结受累最为常见。严重肺结节病表现为肺的广泛纤维化导致慢性呼吸功能衰竭。须满足下列全部条件：</w:t>
      </w:r>
    </w:p>
    <w:p>
      <w:pPr>
        <w:pStyle w:val="8"/>
        <w:numPr>
          <w:ilvl w:val="3"/>
          <w:numId w:val="46"/>
        </w:numPr>
        <w:tabs>
          <w:tab w:val="left" w:pos="3892"/>
        </w:tabs>
        <w:spacing w:before="0" w:after="0" w:line="269" w:lineRule="exact"/>
        <w:ind w:left="3892" w:right="0" w:hanging="632"/>
        <w:jc w:val="left"/>
        <w:rPr>
          <w:sz w:val="21"/>
        </w:rPr>
      </w:pPr>
      <w:r>
        <w:rPr>
          <w:spacing w:val="6"/>
          <w:sz w:val="21"/>
        </w:rPr>
        <w:t>肺结节病的</w:t>
      </w:r>
      <w:r>
        <w:rPr>
          <w:rFonts w:ascii="Times New Roman" w:hAnsi="Times New Roman" w:eastAsia="Times New Roman"/>
          <w:sz w:val="21"/>
        </w:rPr>
        <w:t>X</w:t>
      </w:r>
      <w:r>
        <w:rPr>
          <w:rFonts w:ascii="Times New Roman" w:hAnsi="Times New Roman" w:eastAsia="Times New Roman"/>
          <w:spacing w:val="-14"/>
          <w:sz w:val="21"/>
        </w:rPr>
        <w:t xml:space="preserve"> </w:t>
      </w:r>
      <w:r>
        <w:rPr>
          <w:sz w:val="21"/>
        </w:rPr>
        <w:t>线分期为</w:t>
      </w:r>
      <w:r>
        <w:rPr>
          <w:rFonts w:ascii="Times New Roman" w:hAnsi="Times New Roman" w:eastAsia="Times New Roman"/>
          <w:sz w:val="21"/>
        </w:rPr>
        <w:t>Ⅳ</w:t>
      </w:r>
      <w:r>
        <w:rPr>
          <w:spacing w:val="-1"/>
          <w:sz w:val="21"/>
        </w:rPr>
        <w:t>期，即广泛肺纤维化；</w:t>
      </w:r>
    </w:p>
    <w:p>
      <w:pPr>
        <w:pStyle w:val="8"/>
        <w:numPr>
          <w:ilvl w:val="3"/>
          <w:numId w:val="46"/>
        </w:numPr>
        <w:tabs>
          <w:tab w:val="left" w:pos="3885"/>
        </w:tabs>
        <w:spacing w:before="43" w:after="0" w:line="240" w:lineRule="auto"/>
        <w:ind w:left="3884" w:right="0" w:hanging="625"/>
        <w:jc w:val="left"/>
        <w:rPr>
          <w:sz w:val="21"/>
        </w:rPr>
      </w:pPr>
      <w:r>
        <w:rPr>
          <w:spacing w:val="-5"/>
          <w:sz w:val="21"/>
        </w:rPr>
        <w:t xml:space="preserve">永久不可逆性的慢性呼吸功能衰竭，临床持续 </w:t>
      </w:r>
      <w:r>
        <w:rPr>
          <w:rFonts w:ascii="Times New Roman" w:eastAsia="Times New Roman"/>
          <w:spacing w:val="-2"/>
          <w:sz w:val="21"/>
        </w:rPr>
        <w:t>180</w:t>
      </w:r>
      <w:r>
        <w:rPr>
          <w:rFonts w:ascii="Times New Roman" w:eastAsia="Times New Roman"/>
          <w:spacing w:val="2"/>
          <w:sz w:val="21"/>
        </w:rPr>
        <w:t xml:space="preserve"> </w:t>
      </w:r>
      <w:r>
        <w:rPr>
          <w:spacing w:val="-4"/>
          <w:sz w:val="21"/>
        </w:rPr>
        <w:t>日动脉血氧分压</w:t>
      </w:r>
    </w:p>
    <w:p>
      <w:pPr>
        <w:pStyle w:val="4"/>
        <w:spacing w:before="42"/>
        <w:ind w:left="3786"/>
      </w:pPr>
      <w:r>
        <w:rPr>
          <w:spacing w:val="-2"/>
          <w:position w:val="2"/>
        </w:rPr>
        <w:t>（</w:t>
      </w:r>
      <w:r>
        <w:rPr>
          <w:rFonts w:ascii="Times New Roman" w:eastAsia="Times New Roman"/>
          <w:spacing w:val="-2"/>
          <w:position w:val="2"/>
        </w:rPr>
        <w:t>PaO</w:t>
      </w:r>
      <w:r>
        <w:rPr>
          <w:rFonts w:ascii="Times New Roman" w:eastAsia="Times New Roman"/>
          <w:spacing w:val="-2"/>
          <w:sz w:val="14"/>
        </w:rPr>
        <w:t>2</w:t>
      </w:r>
      <w:r>
        <w:rPr>
          <w:spacing w:val="-2"/>
          <w:position w:val="2"/>
        </w:rPr>
        <w:t>）＜</w:t>
      </w:r>
      <w:r>
        <w:rPr>
          <w:rFonts w:ascii="Times New Roman" w:eastAsia="Times New Roman"/>
          <w:spacing w:val="-2"/>
          <w:position w:val="2"/>
        </w:rPr>
        <w:t>50mmHg</w:t>
      </w:r>
      <w:r>
        <w:rPr>
          <w:rFonts w:ascii="Times New Roman" w:eastAsia="Times New Roman"/>
          <w:spacing w:val="23"/>
          <w:position w:val="2"/>
        </w:rPr>
        <w:t xml:space="preserve"> </w:t>
      </w:r>
      <w:r>
        <w:rPr>
          <w:spacing w:val="-2"/>
          <w:position w:val="2"/>
        </w:rPr>
        <w:t>和动脉血氧饱和度（</w:t>
      </w:r>
      <w:r>
        <w:rPr>
          <w:rFonts w:ascii="Times New Roman" w:eastAsia="Times New Roman"/>
          <w:spacing w:val="-2"/>
          <w:position w:val="2"/>
        </w:rPr>
        <w:t>SaO</w:t>
      </w:r>
      <w:r>
        <w:rPr>
          <w:rFonts w:ascii="Times New Roman" w:eastAsia="Times New Roman"/>
          <w:spacing w:val="-2"/>
          <w:sz w:val="14"/>
        </w:rPr>
        <w:t>2</w:t>
      </w:r>
      <w:r>
        <w:rPr>
          <w:spacing w:val="-2"/>
          <w:position w:val="2"/>
        </w:rPr>
        <w:t>）＜</w:t>
      </w:r>
      <w:r>
        <w:rPr>
          <w:rFonts w:ascii="Times New Roman" w:eastAsia="Times New Roman"/>
          <w:spacing w:val="-2"/>
          <w:position w:val="2"/>
        </w:rPr>
        <w:t>80%</w:t>
      </w:r>
      <w:r>
        <w:rPr>
          <w:spacing w:val="-10"/>
          <w:position w:val="2"/>
        </w:rPr>
        <w:t>。</w:t>
      </w:r>
    </w:p>
    <w:p>
      <w:pPr>
        <w:pStyle w:val="4"/>
        <w:spacing w:before="2"/>
        <w:rPr>
          <w:sz w:val="22"/>
        </w:rPr>
      </w:pPr>
    </w:p>
    <w:p>
      <w:pPr>
        <w:spacing w:after="0"/>
        <w:rPr>
          <w:sz w:val="22"/>
        </w:rPr>
        <w:sectPr>
          <w:pgSz w:w="11910" w:h="16840"/>
          <w:pgMar w:top="1400" w:right="840" w:bottom="280" w:left="860" w:header="720" w:footer="720" w:gutter="0"/>
          <w:cols w:space="720" w:num="1"/>
        </w:sectPr>
      </w:pPr>
    </w:p>
    <w:p>
      <w:pPr>
        <w:pStyle w:val="8"/>
        <w:numPr>
          <w:ilvl w:val="2"/>
          <w:numId w:val="46"/>
        </w:numPr>
        <w:tabs>
          <w:tab w:val="left" w:pos="1196"/>
          <w:tab w:val="left" w:pos="1197"/>
        </w:tabs>
        <w:spacing w:before="72" w:after="0" w:line="278" w:lineRule="auto"/>
        <w:ind w:left="1196" w:right="0" w:hanging="977"/>
        <w:jc w:val="left"/>
        <w:rPr>
          <w:b/>
          <w:sz w:val="21"/>
        </w:rPr>
      </w:pPr>
      <w:r>
        <w:rPr>
          <w:b/>
          <w:spacing w:val="17"/>
          <w:sz w:val="21"/>
        </w:rPr>
        <w:t>非阿尔茨海默病致</w:t>
      </w:r>
      <w:r>
        <w:rPr>
          <w:b/>
          <w:spacing w:val="-4"/>
          <w:sz w:val="21"/>
        </w:rPr>
        <w:t>严重痴呆</w:t>
      </w:r>
    </w:p>
    <w:p>
      <w:pPr>
        <w:pStyle w:val="4"/>
        <w:spacing w:before="72" w:line="278" w:lineRule="auto"/>
        <w:ind w:left="173" w:right="234"/>
        <w:jc w:val="both"/>
      </w:pPr>
      <w:r>
        <w:br w:type="column"/>
      </w:r>
      <w:r>
        <w:rPr>
          <w:spacing w:val="3"/>
          <w:w w:val="100"/>
        </w:rPr>
        <w:t>指因阿尔茨海默病以外的脑的器质性疾病造成脑功能衰竭导致永久不可</w:t>
      </w:r>
      <w:r>
        <w:rPr>
          <w:spacing w:val="-4"/>
          <w:w w:val="100"/>
        </w:rPr>
        <w:t>逆性的严重痴呆，临床表现为明显的认知能力障碍、行为异常和社交能力</w:t>
      </w:r>
      <w:r>
        <w:rPr>
          <w:spacing w:val="-6"/>
          <w:w w:val="100"/>
        </w:rPr>
        <w:t>减退。被保险人自主生活能力完全丧失，无法独立完成六项基本日常生活活动中的三项或三项以上，日常生活必须持续受到他人监护。导致痴呆的疾病须由我们认可的医院的专科医生明确诊断，且由完整的临床、实验室</w:t>
      </w:r>
      <w:r>
        <w:rPr>
          <w:spacing w:val="-4"/>
          <w:w w:val="100"/>
        </w:rPr>
        <w:t>和影像学检查结果证实。</w:t>
      </w:r>
    </w:p>
    <w:p>
      <w:pPr>
        <w:spacing w:after="0" w:line="278" w:lineRule="auto"/>
        <w:jc w:val="both"/>
        <w:sectPr>
          <w:type w:val="continuous"/>
          <w:pgSz w:w="11910" w:h="16840"/>
          <w:pgMar w:top="500" w:right="840" w:bottom="280" w:left="860" w:header="720" w:footer="720" w:gutter="0"/>
          <w:cols w:equalWidth="0" w:num="2">
            <w:col w:w="3048" w:space="40"/>
            <w:col w:w="7122"/>
          </w:cols>
        </w:sectPr>
      </w:pPr>
    </w:p>
    <w:p>
      <w:pPr>
        <w:pStyle w:val="4"/>
        <w:spacing w:before="9"/>
        <w:rPr>
          <w:sz w:val="18"/>
        </w:rPr>
      </w:pPr>
    </w:p>
    <w:p>
      <w:pPr>
        <w:pStyle w:val="4"/>
        <w:spacing w:before="71"/>
        <w:ind w:left="3260"/>
        <w:rPr>
          <w:rFonts w:ascii="黑体" w:eastAsia="黑体"/>
        </w:rPr>
      </w:pPr>
      <w:r>
        <w:rPr>
          <w:rFonts w:ascii="黑体" w:eastAsia="黑体"/>
          <w:color w:val="000000"/>
          <w:spacing w:val="-3"/>
          <w:shd w:val="clear" w:color="auto" w:fill="D9D9D9"/>
        </w:rPr>
        <w:t>神经官能症,精神疾病及酒精中毒所致脑损害不在保障范围内。</w:t>
      </w:r>
    </w:p>
    <w:p>
      <w:pPr>
        <w:pStyle w:val="4"/>
        <w:spacing w:before="9"/>
        <w:rPr>
          <w:rFonts w:ascii="黑体"/>
          <w:sz w:val="27"/>
        </w:rPr>
      </w:pPr>
    </w:p>
    <w:p>
      <w:pPr>
        <w:pStyle w:val="8"/>
        <w:numPr>
          <w:ilvl w:val="2"/>
          <w:numId w:val="46"/>
        </w:numPr>
        <w:tabs>
          <w:tab w:val="left" w:pos="1196"/>
          <w:tab w:val="left" w:pos="1197"/>
          <w:tab w:val="left" w:pos="3260"/>
        </w:tabs>
        <w:spacing w:before="1" w:after="0" w:line="240" w:lineRule="auto"/>
        <w:ind w:left="1196" w:right="0" w:hanging="977"/>
        <w:jc w:val="left"/>
        <w:rPr>
          <w:sz w:val="21"/>
        </w:rPr>
      </w:pPr>
      <w:r>
        <w:rPr>
          <w:b/>
          <w:sz w:val="21"/>
        </w:rPr>
        <w:t>进行性核上性麻</w:t>
      </w:r>
      <w:r>
        <w:rPr>
          <w:b/>
          <w:spacing w:val="-10"/>
          <w:sz w:val="21"/>
        </w:rPr>
        <w:t>痹</w:t>
      </w:r>
      <w:r>
        <w:rPr>
          <w:b/>
          <w:sz w:val="21"/>
        </w:rPr>
        <w:tab/>
      </w:r>
      <w:r>
        <w:rPr>
          <w:spacing w:val="-2"/>
          <w:sz w:val="21"/>
        </w:rPr>
        <w:t>是中枢神经系统变性性疾病，临床表现为眼球运动障碍、假性球麻痹、</w:t>
      </w:r>
      <w:r>
        <w:rPr>
          <w:spacing w:val="-10"/>
          <w:sz w:val="21"/>
        </w:rPr>
        <w:t>帕</w:t>
      </w:r>
    </w:p>
    <w:p>
      <w:pPr>
        <w:pStyle w:val="4"/>
        <w:spacing w:before="42" w:line="278" w:lineRule="auto"/>
        <w:ind w:left="3260" w:right="236"/>
      </w:pPr>
      <w:r>
        <w:rPr>
          <w:spacing w:val="-2"/>
        </w:rPr>
        <w:t>金森综合征等。被保险人自主生活能力完全丧失，无法独立完成六项基本日常生活活动中的三项或三项以上，日常生活必须持续受到他人监护。</w:t>
      </w:r>
    </w:p>
    <w:p>
      <w:pPr>
        <w:pStyle w:val="4"/>
        <w:spacing w:before="10"/>
        <w:rPr>
          <w:sz w:val="18"/>
        </w:rPr>
      </w:pPr>
    </w:p>
    <w:p>
      <w:pPr>
        <w:spacing w:after="0"/>
        <w:rPr>
          <w:sz w:val="18"/>
        </w:rPr>
        <w:sectPr>
          <w:type w:val="continuous"/>
          <w:pgSz w:w="11910" w:h="16840"/>
          <w:pgMar w:top="500" w:right="840" w:bottom="280" w:left="860" w:header="720" w:footer="720" w:gutter="0"/>
          <w:cols w:space="720" w:num="1"/>
        </w:sectPr>
      </w:pPr>
    </w:p>
    <w:p>
      <w:pPr>
        <w:pStyle w:val="8"/>
        <w:numPr>
          <w:ilvl w:val="2"/>
          <w:numId w:val="46"/>
        </w:numPr>
        <w:tabs>
          <w:tab w:val="left" w:pos="1196"/>
          <w:tab w:val="left" w:pos="1197"/>
        </w:tabs>
        <w:spacing w:before="72" w:after="0" w:line="240" w:lineRule="auto"/>
        <w:ind w:left="1196" w:right="0" w:hanging="977"/>
        <w:jc w:val="left"/>
        <w:rPr>
          <w:b/>
          <w:sz w:val="21"/>
        </w:rPr>
      </w:pPr>
      <w:r>
        <w:rPr>
          <w:b/>
          <w:w w:val="95"/>
          <w:sz w:val="21"/>
        </w:rPr>
        <w:t>克-雅氏</w:t>
      </w:r>
      <w:r>
        <w:rPr>
          <w:b/>
          <w:spacing w:val="-10"/>
          <w:w w:val="95"/>
          <w:sz w:val="21"/>
        </w:rPr>
        <w:t>病</w:t>
      </w:r>
    </w:p>
    <w:p>
      <w:pPr>
        <w:spacing w:before="43" w:line="278" w:lineRule="auto"/>
        <w:ind w:left="1196" w:right="0" w:firstLine="0"/>
        <w:jc w:val="left"/>
        <w:rPr>
          <w:b/>
          <w:sz w:val="21"/>
        </w:rPr>
      </w:pPr>
      <w:r>
        <w:rPr>
          <w:b/>
          <w:sz w:val="21"/>
        </w:rPr>
        <w:t>（</w:t>
      </w:r>
      <w:r>
        <w:rPr>
          <w:b/>
          <w:spacing w:val="-78"/>
          <w:sz w:val="21"/>
        </w:rPr>
        <w:t xml:space="preserve"> </w:t>
      </w:r>
      <w:r>
        <w:rPr>
          <w:rFonts w:ascii="Times New Roman" w:eastAsia="Times New Roman"/>
          <w:b/>
          <w:sz w:val="21"/>
        </w:rPr>
        <w:t>CJD</w:t>
      </w:r>
      <w:r>
        <w:rPr>
          <w:rFonts w:ascii="Times New Roman" w:eastAsia="Times New Roman"/>
          <w:b/>
          <w:spacing w:val="-26"/>
          <w:sz w:val="21"/>
        </w:rPr>
        <w:t xml:space="preserve"> </w:t>
      </w:r>
      <w:r>
        <w:rPr>
          <w:b/>
          <w:spacing w:val="20"/>
          <w:sz w:val="21"/>
        </w:rPr>
        <w:t>、人类疯牛</w:t>
      </w:r>
      <w:r>
        <w:rPr>
          <w:b/>
          <w:spacing w:val="-6"/>
          <w:sz w:val="21"/>
        </w:rPr>
        <w:t>病）</w:t>
      </w:r>
    </w:p>
    <w:p>
      <w:pPr>
        <w:pStyle w:val="4"/>
        <w:spacing w:before="72" w:line="278" w:lineRule="auto"/>
        <w:ind w:left="176" w:right="234"/>
        <w:jc w:val="both"/>
      </w:pPr>
      <w:r>
        <w:br w:type="column"/>
      </w:r>
      <w:r>
        <w:rPr>
          <w:spacing w:val="-2"/>
        </w:rPr>
        <w:t>是一种传染性海绵状脑病，临床表现为快速进行性痴呆、肌阵挛和特征性</w:t>
      </w:r>
      <w:r>
        <w:rPr>
          <w:spacing w:val="-14"/>
        </w:rPr>
        <w:t xml:space="preserve">脑电图变化。克-雅氏病须由三级医院的专科医生根据 </w:t>
      </w:r>
      <w:r>
        <w:rPr>
          <w:rFonts w:ascii="Times New Roman" w:eastAsia="Times New Roman"/>
          <w:spacing w:val="-2"/>
        </w:rPr>
        <w:t>WHO</w:t>
      </w:r>
      <w:r>
        <w:rPr>
          <w:rFonts w:ascii="Times New Roman" w:eastAsia="Times New Roman"/>
          <w:spacing w:val="8"/>
        </w:rPr>
        <w:t xml:space="preserve"> </w:t>
      </w:r>
      <w:r>
        <w:rPr>
          <w:spacing w:val="-2"/>
        </w:rPr>
        <w:t>诊断标准明确诊断，并须满足自主生活能力完全丧失，无法独立完成六项基本日常生活活动中的三项或三项以上的条件。</w:t>
      </w:r>
    </w:p>
    <w:p>
      <w:pPr>
        <w:spacing w:after="0" w:line="278" w:lineRule="auto"/>
        <w:jc w:val="both"/>
        <w:sectPr>
          <w:type w:val="continuous"/>
          <w:pgSz w:w="11910" w:h="16840"/>
          <w:pgMar w:top="500" w:right="840" w:bottom="280" w:left="860" w:header="720" w:footer="720" w:gutter="0"/>
          <w:cols w:equalWidth="0" w:num="2">
            <w:col w:w="3045" w:space="40"/>
            <w:col w:w="7125"/>
          </w:cols>
        </w:sectPr>
      </w:pPr>
    </w:p>
    <w:p>
      <w:pPr>
        <w:pStyle w:val="4"/>
        <w:spacing w:before="9"/>
        <w:rPr>
          <w:sz w:val="18"/>
        </w:rPr>
      </w:pPr>
    </w:p>
    <w:p>
      <w:pPr>
        <w:spacing w:after="0"/>
        <w:rPr>
          <w:sz w:val="18"/>
        </w:rPr>
        <w:sectPr>
          <w:type w:val="continuous"/>
          <w:pgSz w:w="11910" w:h="16840"/>
          <w:pgMar w:top="500" w:right="840" w:bottom="280" w:left="860" w:header="720" w:footer="720" w:gutter="0"/>
          <w:cols w:space="720" w:num="1"/>
        </w:sectPr>
      </w:pPr>
    </w:p>
    <w:p>
      <w:pPr>
        <w:pStyle w:val="8"/>
        <w:numPr>
          <w:ilvl w:val="2"/>
          <w:numId w:val="46"/>
        </w:numPr>
        <w:tabs>
          <w:tab w:val="left" w:pos="1196"/>
          <w:tab w:val="left" w:pos="1197"/>
        </w:tabs>
        <w:spacing w:before="72" w:after="0" w:line="240" w:lineRule="auto"/>
        <w:ind w:left="1196" w:right="0" w:hanging="977"/>
        <w:jc w:val="left"/>
        <w:rPr>
          <w:b/>
          <w:sz w:val="21"/>
        </w:rPr>
      </w:pPr>
      <w:r>
        <w:rPr>
          <w:b/>
          <w:spacing w:val="17"/>
          <w:sz w:val="21"/>
        </w:rPr>
        <w:t>亚急性硬化性全脑</w:t>
      </w:r>
    </w:p>
    <w:p>
      <w:pPr>
        <w:spacing w:before="42"/>
        <w:ind w:left="1196" w:right="0" w:firstLine="0"/>
        <w:jc w:val="left"/>
        <w:rPr>
          <w:b/>
          <w:sz w:val="21"/>
        </w:rPr>
      </w:pPr>
      <w:r>
        <w:rPr>
          <w:b/>
          <w:w w:val="100"/>
          <w:sz w:val="21"/>
        </w:rPr>
        <w:t>炎</w:t>
      </w:r>
    </w:p>
    <w:p>
      <w:pPr>
        <w:pStyle w:val="4"/>
        <w:spacing w:before="72" w:line="278" w:lineRule="auto"/>
        <w:ind w:left="173" w:right="234"/>
        <w:jc w:val="both"/>
      </w:pPr>
      <w:r>
        <w:br w:type="column"/>
      </w:r>
      <w:r>
        <w:rPr>
          <w:spacing w:val="-2"/>
        </w:rPr>
        <w:t>是麻疹或麻疹样病毒所致的一种中枢神经系统慢病毒感染。中枢神经系统呈现灰质和白质破坏为特征的慢性和急性混合存在的炎症。须满足下列全</w:t>
      </w:r>
      <w:r>
        <w:rPr>
          <w:spacing w:val="-4"/>
        </w:rPr>
        <w:t>部条件：</w:t>
      </w:r>
    </w:p>
    <w:p>
      <w:pPr>
        <w:pStyle w:val="8"/>
        <w:numPr>
          <w:ilvl w:val="0"/>
          <w:numId w:val="48"/>
        </w:numPr>
        <w:tabs>
          <w:tab w:val="left" w:pos="801"/>
        </w:tabs>
        <w:spacing w:before="0" w:after="0" w:line="278" w:lineRule="auto"/>
        <w:ind w:left="804" w:right="236" w:hanging="632"/>
        <w:jc w:val="both"/>
        <w:rPr>
          <w:sz w:val="21"/>
        </w:rPr>
      </w:pPr>
      <w:r>
        <w:rPr>
          <w:spacing w:val="-2"/>
          <w:sz w:val="21"/>
        </w:rPr>
        <w:t>须由三级医院诊断，临床检查证实脑电图存在周期性复合波、脑脊液γ球蛋白升高、脑脊液和血清中麻疹抗体滴定度升高；</w:t>
      </w:r>
    </w:p>
    <w:p>
      <w:pPr>
        <w:pStyle w:val="8"/>
        <w:numPr>
          <w:ilvl w:val="0"/>
          <w:numId w:val="48"/>
        </w:numPr>
        <w:tabs>
          <w:tab w:val="left" w:pos="801"/>
        </w:tabs>
        <w:spacing w:before="0" w:after="0" w:line="278" w:lineRule="auto"/>
        <w:ind w:left="804" w:right="236" w:hanging="632"/>
        <w:jc w:val="both"/>
        <w:rPr>
          <w:sz w:val="21"/>
        </w:rPr>
      </w:pPr>
      <w:r>
        <w:rPr>
          <w:spacing w:val="-2"/>
          <w:sz w:val="21"/>
        </w:rPr>
        <w:t>运动功能严重障碍，自主生活能力完全丧失，无法独立完成六项基本日常生活活动中的三项或三项以上。</w:t>
      </w:r>
    </w:p>
    <w:p>
      <w:pPr>
        <w:spacing w:after="0" w:line="278" w:lineRule="auto"/>
        <w:jc w:val="both"/>
        <w:rPr>
          <w:sz w:val="21"/>
        </w:rPr>
        <w:sectPr>
          <w:type w:val="continuous"/>
          <w:pgSz w:w="11910" w:h="16840"/>
          <w:pgMar w:top="500" w:right="840" w:bottom="280" w:left="860" w:header="720" w:footer="720" w:gutter="0"/>
          <w:cols w:equalWidth="0" w:num="2">
            <w:col w:w="3048" w:space="40"/>
            <w:col w:w="7122"/>
          </w:cols>
        </w:sectPr>
      </w:pPr>
    </w:p>
    <w:p>
      <w:pPr>
        <w:pStyle w:val="8"/>
        <w:numPr>
          <w:ilvl w:val="2"/>
          <w:numId w:val="46"/>
        </w:numPr>
        <w:tabs>
          <w:tab w:val="left" w:pos="1196"/>
          <w:tab w:val="left" w:pos="1197"/>
        </w:tabs>
        <w:spacing w:before="47" w:after="0" w:line="240" w:lineRule="auto"/>
        <w:ind w:left="1196" w:right="0" w:hanging="977"/>
        <w:jc w:val="left"/>
        <w:rPr>
          <w:b/>
          <w:sz w:val="21"/>
        </w:rPr>
      </w:pPr>
      <w:r>
        <w:rPr>
          <w:b/>
          <w:spacing w:val="17"/>
          <w:sz w:val="21"/>
        </w:rPr>
        <w:t>进行性多灶性白质</w:t>
      </w:r>
    </w:p>
    <w:p>
      <w:pPr>
        <w:spacing w:before="43"/>
        <w:ind w:left="1196" w:right="0" w:firstLine="0"/>
        <w:jc w:val="left"/>
        <w:rPr>
          <w:b/>
          <w:sz w:val="21"/>
        </w:rPr>
      </w:pPr>
      <w:r>
        <w:rPr>
          <w:b/>
          <w:spacing w:val="-5"/>
          <w:sz w:val="21"/>
        </w:rPr>
        <w:t>脑病</w:t>
      </w:r>
    </w:p>
    <w:p>
      <w:pPr>
        <w:pStyle w:val="4"/>
        <w:spacing w:before="47" w:line="278" w:lineRule="auto"/>
        <w:ind w:left="173" w:right="234"/>
      </w:pPr>
      <w:r>
        <w:br w:type="column"/>
      </w:r>
      <w:r>
        <w:rPr>
          <w:spacing w:val="-2"/>
        </w:rPr>
        <w:t>是一种亚急性脱髓鞘脑病，常常发生于免疫缺陷病人。须满足下列全部条</w:t>
      </w:r>
      <w:r>
        <w:rPr>
          <w:spacing w:val="-6"/>
        </w:rPr>
        <w:t>件：</w:t>
      </w:r>
    </w:p>
    <w:p>
      <w:pPr>
        <w:pStyle w:val="8"/>
        <w:numPr>
          <w:ilvl w:val="0"/>
          <w:numId w:val="49"/>
        </w:numPr>
        <w:tabs>
          <w:tab w:val="left" w:pos="703"/>
        </w:tabs>
        <w:spacing w:before="0" w:after="0" w:line="240" w:lineRule="auto"/>
        <w:ind w:left="702" w:right="0" w:hanging="530"/>
        <w:jc w:val="left"/>
        <w:rPr>
          <w:sz w:val="21"/>
        </w:rPr>
      </w:pPr>
      <w:r>
        <w:rPr>
          <w:spacing w:val="-3"/>
          <w:sz w:val="21"/>
        </w:rPr>
        <w:t>根据脑组织活检明确诊断；</w:t>
      </w:r>
    </w:p>
    <w:p>
      <w:pPr>
        <w:pStyle w:val="8"/>
        <w:numPr>
          <w:ilvl w:val="0"/>
          <w:numId w:val="49"/>
        </w:numPr>
        <w:tabs>
          <w:tab w:val="left" w:pos="709"/>
        </w:tabs>
        <w:spacing w:before="43" w:after="0" w:line="278" w:lineRule="auto"/>
        <w:ind w:left="699" w:right="234" w:hanging="526"/>
        <w:jc w:val="left"/>
        <w:rPr>
          <w:sz w:val="21"/>
        </w:rPr>
      </w:pPr>
      <w:r>
        <w:rPr>
          <w:spacing w:val="-2"/>
          <w:sz w:val="21"/>
        </w:rPr>
        <w:t>自主生活能力完全丧失，无法独立完成六项基本日常生活活动中的三项或三项以上。</w:t>
      </w:r>
    </w:p>
    <w:p>
      <w:pPr>
        <w:spacing w:after="0" w:line="278" w:lineRule="auto"/>
        <w:jc w:val="left"/>
        <w:rPr>
          <w:sz w:val="21"/>
        </w:rPr>
        <w:sectPr>
          <w:pgSz w:w="11910" w:h="16840"/>
          <w:pgMar w:top="1400" w:right="840" w:bottom="280" w:left="860" w:header="720" w:footer="720" w:gutter="0"/>
          <w:cols w:equalWidth="0" w:num="2">
            <w:col w:w="3048" w:space="40"/>
            <w:col w:w="7122"/>
          </w:cols>
        </w:sectPr>
      </w:pPr>
    </w:p>
    <w:p>
      <w:pPr>
        <w:pStyle w:val="4"/>
        <w:spacing w:before="9"/>
        <w:rPr>
          <w:sz w:val="18"/>
        </w:rPr>
      </w:pPr>
    </w:p>
    <w:p>
      <w:pPr>
        <w:pStyle w:val="8"/>
        <w:numPr>
          <w:ilvl w:val="2"/>
          <w:numId w:val="46"/>
        </w:numPr>
        <w:tabs>
          <w:tab w:val="left" w:pos="1196"/>
          <w:tab w:val="left" w:pos="1197"/>
          <w:tab w:val="left" w:pos="3260"/>
        </w:tabs>
        <w:spacing w:before="72" w:after="0" w:line="240" w:lineRule="auto"/>
        <w:ind w:left="1196" w:right="0" w:hanging="977"/>
        <w:jc w:val="left"/>
        <w:rPr>
          <w:sz w:val="21"/>
        </w:rPr>
      </w:pPr>
      <w:r>
        <w:rPr>
          <w:b/>
          <w:sz w:val="21"/>
        </w:rPr>
        <w:t>丧失独立生活能</w:t>
      </w:r>
      <w:r>
        <w:rPr>
          <w:b/>
          <w:spacing w:val="-10"/>
          <w:sz w:val="21"/>
        </w:rPr>
        <w:t>力</w:t>
      </w:r>
      <w:r>
        <w:rPr>
          <w:b/>
          <w:sz w:val="21"/>
        </w:rPr>
        <w:tab/>
      </w:r>
      <w:r>
        <w:rPr>
          <w:spacing w:val="-2"/>
          <w:sz w:val="21"/>
        </w:rPr>
        <w:t>指由于疾病或外伤导致被保险人自主生活能力完全丧失，无法独立完成</w:t>
      </w:r>
      <w:r>
        <w:rPr>
          <w:spacing w:val="-10"/>
          <w:sz w:val="21"/>
        </w:rPr>
        <w:t>六</w:t>
      </w:r>
    </w:p>
    <w:p>
      <w:pPr>
        <w:pStyle w:val="4"/>
        <w:spacing w:before="43"/>
        <w:ind w:left="3260"/>
      </w:pPr>
      <w:r>
        <w:rPr>
          <w:spacing w:val="-3"/>
        </w:rPr>
        <w:t>项基本日常生活活动中的四项或四项以上。</w:t>
      </w:r>
    </w:p>
    <w:p>
      <w:pPr>
        <w:pStyle w:val="4"/>
        <w:spacing w:before="1"/>
        <w:rPr>
          <w:sz w:val="22"/>
        </w:rPr>
      </w:pPr>
    </w:p>
    <w:p>
      <w:pPr>
        <w:pStyle w:val="4"/>
        <w:spacing w:before="72"/>
        <w:ind w:left="3260"/>
        <w:rPr>
          <w:rFonts w:ascii="黑体" w:eastAsia="黑体"/>
        </w:rPr>
      </w:pPr>
      <w:r>
        <w:rPr>
          <w:rFonts w:ascii="黑体" w:eastAsia="黑体"/>
          <w:color w:val="000000"/>
          <w:spacing w:val="-6"/>
          <w:shd w:val="clear" w:color="auto" w:fill="D9D9D9"/>
        </w:rPr>
        <w:t xml:space="preserve">申请理赔时，被保险人年龄须在 </w:t>
      </w:r>
      <w:r>
        <w:rPr>
          <w:rFonts w:ascii="黑体" w:eastAsia="黑体"/>
          <w:color w:val="000000"/>
          <w:spacing w:val="-2"/>
          <w:shd w:val="clear" w:color="auto" w:fill="D9D9D9"/>
        </w:rPr>
        <w:t>6</w:t>
      </w:r>
      <w:r>
        <w:rPr>
          <w:rFonts w:ascii="黑体" w:eastAsia="黑体"/>
          <w:color w:val="000000"/>
          <w:spacing w:val="-12"/>
          <w:shd w:val="clear" w:color="auto" w:fill="D9D9D9"/>
        </w:rPr>
        <w:t xml:space="preserve"> 周岁以上。</w:t>
      </w:r>
    </w:p>
    <w:p>
      <w:pPr>
        <w:pStyle w:val="4"/>
        <w:spacing w:before="9"/>
        <w:rPr>
          <w:rFonts w:ascii="黑体"/>
          <w:sz w:val="27"/>
        </w:rPr>
      </w:pPr>
    </w:p>
    <w:p>
      <w:pPr>
        <w:pStyle w:val="8"/>
        <w:numPr>
          <w:ilvl w:val="2"/>
          <w:numId w:val="46"/>
        </w:numPr>
        <w:tabs>
          <w:tab w:val="left" w:pos="1196"/>
          <w:tab w:val="left" w:pos="1197"/>
          <w:tab w:val="left" w:pos="3260"/>
        </w:tabs>
        <w:spacing w:before="0" w:after="0" w:line="240" w:lineRule="auto"/>
        <w:ind w:left="1196" w:right="0" w:hanging="977"/>
        <w:jc w:val="left"/>
        <w:rPr>
          <w:sz w:val="21"/>
        </w:rPr>
      </w:pPr>
      <w:r>
        <w:rPr>
          <w:b/>
          <w:sz w:val="21"/>
        </w:rPr>
        <w:t>脊髓小脑变性</w:t>
      </w:r>
      <w:r>
        <w:rPr>
          <w:b/>
          <w:spacing w:val="-10"/>
          <w:sz w:val="21"/>
        </w:rPr>
        <w:t>症</w:t>
      </w:r>
      <w:r>
        <w:rPr>
          <w:b/>
          <w:sz w:val="21"/>
        </w:rPr>
        <w:tab/>
      </w:r>
      <w:r>
        <w:rPr>
          <w:spacing w:val="-2"/>
          <w:sz w:val="21"/>
        </w:rPr>
        <w:t>是一组以小脑萎缩和共济失调为主要临床特点的多与遗传有关的疾病。</w:t>
      </w:r>
      <w:r>
        <w:rPr>
          <w:spacing w:val="-10"/>
          <w:sz w:val="21"/>
        </w:rPr>
        <w:t>须</w:t>
      </w:r>
    </w:p>
    <w:p>
      <w:pPr>
        <w:pStyle w:val="4"/>
        <w:spacing w:before="43"/>
        <w:ind w:left="3260"/>
      </w:pPr>
      <w:r>
        <w:rPr>
          <w:spacing w:val="-3"/>
        </w:rPr>
        <w:t>满足下列全部条件：</w:t>
      </w:r>
    </w:p>
    <w:p>
      <w:pPr>
        <w:pStyle w:val="8"/>
        <w:numPr>
          <w:ilvl w:val="0"/>
          <w:numId w:val="50"/>
        </w:numPr>
        <w:tabs>
          <w:tab w:val="left" w:pos="3790"/>
        </w:tabs>
        <w:spacing w:before="43" w:after="0" w:line="240" w:lineRule="auto"/>
        <w:ind w:left="3789" w:right="0" w:hanging="530"/>
        <w:jc w:val="left"/>
        <w:rPr>
          <w:sz w:val="21"/>
        </w:rPr>
      </w:pPr>
      <w:r>
        <w:rPr>
          <w:spacing w:val="-3"/>
          <w:sz w:val="21"/>
        </w:rPr>
        <w:t>须由三级医院诊断，并有下列所有证据支持：</w:t>
      </w:r>
    </w:p>
    <w:p>
      <w:pPr>
        <w:pStyle w:val="4"/>
        <w:spacing w:before="43"/>
        <w:ind w:left="3786"/>
      </w:pPr>
      <w:r>
        <w:rPr>
          <w:spacing w:val="-6"/>
        </w:rPr>
        <w:t>① 影像学检查结果证实存在小脑萎缩；</w:t>
      </w:r>
    </w:p>
    <w:p>
      <w:pPr>
        <w:pStyle w:val="4"/>
        <w:spacing w:before="43"/>
        <w:ind w:left="3786"/>
      </w:pPr>
      <w:r>
        <w:rPr>
          <w:spacing w:val="-3"/>
        </w:rPr>
        <w:t>② 临床表现存在共济失调、语言障碍和肌张力异常。</w:t>
      </w:r>
    </w:p>
    <w:p>
      <w:pPr>
        <w:pStyle w:val="8"/>
        <w:numPr>
          <w:ilvl w:val="0"/>
          <w:numId w:val="50"/>
        </w:numPr>
        <w:tabs>
          <w:tab w:val="left" w:pos="3797"/>
        </w:tabs>
        <w:spacing w:before="43" w:after="0" w:line="278" w:lineRule="auto"/>
        <w:ind w:left="3786" w:right="234" w:hanging="526"/>
        <w:jc w:val="left"/>
        <w:rPr>
          <w:sz w:val="21"/>
        </w:rPr>
      </w:pPr>
      <w:r>
        <w:rPr>
          <w:spacing w:val="-2"/>
          <w:sz w:val="21"/>
        </w:rPr>
        <w:t>运动功能严重障碍，自主生活能力完全丧失，无法独立完成六项基本日常生活活动中的三项或三项以上。</w:t>
      </w:r>
    </w:p>
    <w:p>
      <w:pPr>
        <w:pStyle w:val="4"/>
        <w:spacing w:before="4"/>
        <w:rPr>
          <w:sz w:val="24"/>
        </w:rPr>
      </w:pPr>
    </w:p>
    <w:p>
      <w:pPr>
        <w:pStyle w:val="4"/>
        <w:ind w:left="3260"/>
      </w:pPr>
      <w:r>
        <w:rPr>
          <w:spacing w:val="-2"/>
        </w:rPr>
        <w:t>我们承担该项保险责任，不受本保险条款责任免除第（</w:t>
      </w:r>
      <w:r>
        <w:rPr>
          <w:rFonts w:ascii="Times New Roman" w:eastAsia="Times New Roman"/>
          <w:spacing w:val="-2"/>
        </w:rPr>
        <w:t>7</w:t>
      </w:r>
      <w:r>
        <w:rPr>
          <w:spacing w:val="-2"/>
        </w:rPr>
        <w:t>）</w:t>
      </w:r>
      <w:r>
        <w:rPr>
          <w:spacing w:val="-4"/>
        </w:rPr>
        <w:t>条限制。</w:t>
      </w:r>
    </w:p>
    <w:p>
      <w:pPr>
        <w:pStyle w:val="4"/>
        <w:spacing w:before="9"/>
        <w:rPr>
          <w:sz w:val="27"/>
        </w:rPr>
      </w:pPr>
    </w:p>
    <w:p>
      <w:pPr>
        <w:pStyle w:val="8"/>
        <w:numPr>
          <w:ilvl w:val="2"/>
          <w:numId w:val="46"/>
        </w:numPr>
        <w:tabs>
          <w:tab w:val="left" w:pos="1196"/>
          <w:tab w:val="left" w:pos="1197"/>
          <w:tab w:val="left" w:pos="3260"/>
        </w:tabs>
        <w:spacing w:before="0" w:after="0" w:line="240" w:lineRule="auto"/>
        <w:ind w:left="1196" w:right="0" w:hanging="977"/>
        <w:jc w:val="left"/>
        <w:rPr>
          <w:sz w:val="21"/>
        </w:rPr>
      </w:pPr>
      <w:r>
        <w:rPr>
          <w:b/>
          <w:sz w:val="21"/>
        </w:rPr>
        <w:t>神经白塞</w:t>
      </w:r>
      <w:r>
        <w:rPr>
          <w:b/>
          <w:spacing w:val="-10"/>
          <w:sz w:val="21"/>
        </w:rPr>
        <w:t>病</w:t>
      </w:r>
      <w:r>
        <w:rPr>
          <w:b/>
          <w:sz w:val="21"/>
        </w:rPr>
        <w:tab/>
      </w:r>
      <w:r>
        <w:rPr>
          <w:spacing w:val="-2"/>
          <w:sz w:val="21"/>
        </w:rPr>
        <w:t>白塞病是一种慢性全身性血管炎症性疾病，主要表现为复发性口腔溃疡</w:t>
      </w:r>
      <w:r>
        <w:rPr>
          <w:spacing w:val="-10"/>
          <w:sz w:val="21"/>
        </w:rPr>
        <w:t>、</w:t>
      </w:r>
    </w:p>
    <w:p>
      <w:pPr>
        <w:pStyle w:val="4"/>
        <w:spacing w:before="43" w:line="278" w:lineRule="auto"/>
        <w:ind w:left="3260" w:right="131"/>
      </w:pPr>
      <w:r>
        <w:rPr>
          <w:spacing w:val="-4"/>
        </w:rPr>
        <w:t>生殖器溃疡、眼炎及皮肤损害，并可累及大血管、神经系统、消化道、肺、</w:t>
      </w:r>
      <w:r>
        <w:rPr>
          <w:spacing w:val="-2"/>
        </w:rPr>
        <w:t>肾等。累及神经系统损害的白塞病称为神经白塞病。神经白塞病须由我们认可的医院的专科医生明确诊断，并导致神经系统功能的永久性损害。</w:t>
      </w:r>
    </w:p>
    <w:p>
      <w:pPr>
        <w:pStyle w:val="4"/>
        <w:spacing w:before="9"/>
        <w:rPr>
          <w:sz w:val="18"/>
        </w:rPr>
      </w:pPr>
    </w:p>
    <w:p>
      <w:pPr>
        <w:pStyle w:val="4"/>
        <w:spacing w:before="72"/>
        <w:ind w:left="3260"/>
        <w:rPr>
          <w:rFonts w:ascii="黑体" w:eastAsia="黑体"/>
        </w:rPr>
      </w:pPr>
      <w:r>
        <w:rPr>
          <w:rFonts w:ascii="黑体" w:eastAsia="黑体"/>
          <w:color w:val="000000"/>
          <w:spacing w:val="-3"/>
          <w:shd w:val="clear" w:color="auto" w:fill="D9D9D9"/>
        </w:rPr>
        <w:t>未累及神经系统的白塞病不在保障范围内。</w:t>
      </w:r>
    </w:p>
    <w:p>
      <w:pPr>
        <w:pStyle w:val="4"/>
        <w:spacing w:before="9"/>
        <w:rPr>
          <w:rFonts w:ascii="黑体"/>
          <w:sz w:val="27"/>
        </w:rPr>
      </w:pPr>
    </w:p>
    <w:p>
      <w:pPr>
        <w:pStyle w:val="8"/>
        <w:numPr>
          <w:ilvl w:val="2"/>
          <w:numId w:val="46"/>
        </w:numPr>
        <w:tabs>
          <w:tab w:val="left" w:pos="1196"/>
          <w:tab w:val="left" w:pos="1197"/>
          <w:tab w:val="left" w:pos="3260"/>
        </w:tabs>
        <w:spacing w:before="0" w:after="0" w:line="240" w:lineRule="auto"/>
        <w:ind w:left="1196" w:right="0" w:hanging="977"/>
        <w:jc w:val="left"/>
        <w:rPr>
          <w:sz w:val="21"/>
        </w:rPr>
      </w:pPr>
      <w:r>
        <w:rPr>
          <w:b/>
          <w:sz w:val="21"/>
        </w:rPr>
        <w:t>脊髓内肿</w:t>
      </w:r>
      <w:r>
        <w:rPr>
          <w:b/>
          <w:spacing w:val="-10"/>
          <w:sz w:val="21"/>
        </w:rPr>
        <w:t>瘤</w:t>
      </w:r>
      <w:r>
        <w:rPr>
          <w:b/>
          <w:sz w:val="21"/>
        </w:rPr>
        <w:tab/>
      </w:r>
      <w:r>
        <w:rPr>
          <w:spacing w:val="-2"/>
          <w:sz w:val="21"/>
        </w:rPr>
        <w:t>指脊髓内良性或恶性肿瘤。肿瘤造成脊髓损害导致瘫痪。须满足下列全</w:t>
      </w:r>
      <w:r>
        <w:rPr>
          <w:spacing w:val="-10"/>
          <w:sz w:val="21"/>
        </w:rPr>
        <w:t>部</w:t>
      </w:r>
    </w:p>
    <w:p>
      <w:pPr>
        <w:pStyle w:val="4"/>
        <w:spacing w:before="43"/>
        <w:ind w:left="3260"/>
      </w:pPr>
      <w:r>
        <w:rPr>
          <w:spacing w:val="-4"/>
        </w:rPr>
        <w:t>条件：</w:t>
      </w:r>
    </w:p>
    <w:p>
      <w:pPr>
        <w:pStyle w:val="8"/>
        <w:numPr>
          <w:ilvl w:val="0"/>
          <w:numId w:val="51"/>
        </w:numPr>
        <w:tabs>
          <w:tab w:val="left" w:pos="3790"/>
        </w:tabs>
        <w:spacing w:before="43" w:after="0" w:line="240" w:lineRule="auto"/>
        <w:ind w:left="3789" w:right="0" w:hanging="530"/>
        <w:jc w:val="left"/>
        <w:rPr>
          <w:sz w:val="21"/>
        </w:rPr>
      </w:pPr>
      <w:r>
        <w:rPr>
          <w:spacing w:val="-3"/>
          <w:sz w:val="21"/>
        </w:rPr>
        <w:t>实际接受了肿瘤切除的手术治疗；</w:t>
      </w:r>
    </w:p>
    <w:p>
      <w:pPr>
        <w:pStyle w:val="8"/>
        <w:numPr>
          <w:ilvl w:val="0"/>
          <w:numId w:val="51"/>
        </w:numPr>
        <w:tabs>
          <w:tab w:val="left" w:pos="3790"/>
        </w:tabs>
        <w:spacing w:before="43" w:after="0" w:line="278" w:lineRule="auto"/>
        <w:ind w:left="3786" w:right="234" w:hanging="526"/>
        <w:jc w:val="left"/>
        <w:rPr>
          <w:sz w:val="21"/>
        </w:rPr>
      </w:pPr>
      <w:r>
        <w:rPr>
          <w:spacing w:val="-8"/>
          <w:sz w:val="21"/>
        </w:rPr>
        <w:t xml:space="preserve">手术 </w:t>
      </w:r>
      <w:r>
        <w:rPr>
          <w:rFonts w:ascii="Times New Roman" w:eastAsia="Times New Roman"/>
          <w:sz w:val="21"/>
        </w:rPr>
        <w:t>180</w:t>
      </w:r>
      <w:r>
        <w:rPr>
          <w:rFonts w:ascii="Times New Roman" w:eastAsia="Times New Roman"/>
          <w:spacing w:val="28"/>
          <w:sz w:val="21"/>
        </w:rPr>
        <w:t xml:space="preserve"> </w:t>
      </w:r>
      <w:r>
        <w:rPr>
          <w:sz w:val="21"/>
        </w:rPr>
        <w:t>日后遗留下列神经系统损害，无法独立完成下列基本日常</w:t>
      </w:r>
      <w:r>
        <w:rPr>
          <w:spacing w:val="-2"/>
          <w:sz w:val="21"/>
        </w:rPr>
        <w:t>生活活动之一：</w:t>
      </w:r>
    </w:p>
    <w:p>
      <w:pPr>
        <w:pStyle w:val="4"/>
        <w:spacing w:line="269" w:lineRule="exact"/>
        <w:ind w:left="3786"/>
      </w:pPr>
      <w:r>
        <w:rPr>
          <w:spacing w:val="-6"/>
        </w:rPr>
        <w:t>① 移动：自己从一个房间到另一个房间；</w:t>
      </w:r>
    </w:p>
    <w:p>
      <w:pPr>
        <w:pStyle w:val="4"/>
        <w:spacing w:before="43"/>
        <w:ind w:left="3786"/>
      </w:pPr>
      <w:r>
        <w:rPr>
          <w:spacing w:val="-3"/>
        </w:rPr>
        <w:t>② 进食：自己从已准备好的碗或碟中取食物放入口中。</w:t>
      </w:r>
    </w:p>
    <w:p>
      <w:pPr>
        <w:pStyle w:val="4"/>
        <w:spacing w:before="1"/>
        <w:rPr>
          <w:sz w:val="22"/>
        </w:rPr>
      </w:pPr>
    </w:p>
    <w:p>
      <w:pPr>
        <w:pStyle w:val="4"/>
        <w:spacing w:before="72"/>
        <w:ind w:left="3260"/>
        <w:rPr>
          <w:rFonts w:ascii="黑体" w:eastAsia="黑体"/>
        </w:rPr>
      </w:pPr>
      <w:r>
        <w:rPr>
          <w:rFonts w:ascii="黑体" w:eastAsia="黑体"/>
          <w:color w:val="000000"/>
          <w:spacing w:val="-3"/>
          <w:shd w:val="clear" w:color="auto" w:fill="D9D9D9"/>
        </w:rPr>
        <w:t>非脊髓内的其他椎管内肿瘤、脊柱肿瘤、神经纤维瘤不在保障范围内。</w:t>
      </w:r>
    </w:p>
    <w:p>
      <w:pPr>
        <w:pStyle w:val="4"/>
        <w:spacing w:before="1"/>
        <w:rPr>
          <w:rFonts w:ascii="黑体"/>
          <w:sz w:val="22"/>
        </w:rPr>
      </w:pPr>
    </w:p>
    <w:p>
      <w:pPr>
        <w:spacing w:after="0"/>
        <w:rPr>
          <w:rFonts w:ascii="黑体"/>
          <w:sz w:val="22"/>
        </w:rPr>
        <w:sectPr>
          <w:type w:val="continuous"/>
          <w:pgSz w:w="11910" w:h="16840"/>
          <w:pgMar w:top="500" w:right="840" w:bottom="280" w:left="860" w:header="720" w:footer="720" w:gutter="0"/>
          <w:cols w:space="720" w:num="1"/>
        </w:sectPr>
      </w:pPr>
    </w:p>
    <w:p>
      <w:pPr>
        <w:pStyle w:val="8"/>
        <w:numPr>
          <w:ilvl w:val="2"/>
          <w:numId w:val="46"/>
        </w:numPr>
        <w:tabs>
          <w:tab w:val="left" w:pos="1196"/>
          <w:tab w:val="left" w:pos="1197"/>
        </w:tabs>
        <w:spacing w:before="72" w:after="0" w:line="240" w:lineRule="auto"/>
        <w:ind w:left="1196" w:right="0" w:hanging="977"/>
        <w:jc w:val="left"/>
        <w:rPr>
          <w:b/>
          <w:sz w:val="21"/>
        </w:rPr>
      </w:pPr>
      <w:r>
        <w:rPr>
          <w:b/>
          <w:spacing w:val="17"/>
          <w:sz w:val="21"/>
        </w:rPr>
        <w:t>横贯性脊髓炎后遗</w:t>
      </w:r>
    </w:p>
    <w:p>
      <w:pPr>
        <w:spacing w:before="43"/>
        <w:ind w:left="1196" w:right="0" w:firstLine="0"/>
        <w:jc w:val="left"/>
        <w:rPr>
          <w:b/>
          <w:sz w:val="21"/>
        </w:rPr>
      </w:pPr>
      <w:r>
        <w:rPr>
          <w:b/>
          <w:w w:val="100"/>
          <w:sz w:val="21"/>
        </w:rPr>
        <w:t>症</w:t>
      </w:r>
    </w:p>
    <w:p>
      <w:pPr>
        <w:pStyle w:val="4"/>
        <w:spacing w:before="72" w:line="278" w:lineRule="auto"/>
        <w:ind w:left="173" w:right="234"/>
        <w:jc w:val="both"/>
      </w:pPr>
      <w:r>
        <w:br w:type="column"/>
      </w:r>
      <w:r>
        <w:rPr>
          <w:spacing w:val="3"/>
          <w:w w:val="100"/>
        </w:rPr>
        <w:t>脊髓炎是一种炎症性脊髓疾病。横贯性脊髓炎是指炎症扩展横贯整个脊</w:t>
      </w:r>
      <w:r>
        <w:rPr>
          <w:spacing w:val="-5"/>
          <w:w w:val="100"/>
        </w:rPr>
        <w:t>髓，表现为运动障碍、感觉障碍和自主神经功能障碍。横断性脊髓炎须由</w:t>
      </w:r>
      <w:r>
        <w:rPr>
          <w:spacing w:val="3"/>
          <w:w w:val="100"/>
        </w:rPr>
        <w:t>我们认可的医院的专科医生明确诊断，并导致神经系统功能的永久性损害。</w:t>
      </w:r>
    </w:p>
    <w:p>
      <w:pPr>
        <w:spacing w:after="0" w:line="278" w:lineRule="auto"/>
        <w:jc w:val="both"/>
        <w:sectPr>
          <w:type w:val="continuous"/>
          <w:pgSz w:w="11910" w:h="16840"/>
          <w:pgMar w:top="500" w:right="840" w:bottom="280" w:left="860" w:header="720" w:footer="720" w:gutter="0"/>
          <w:cols w:equalWidth="0" w:num="2">
            <w:col w:w="3048" w:space="40"/>
            <w:col w:w="7122"/>
          </w:cols>
        </w:sectPr>
      </w:pPr>
    </w:p>
    <w:p>
      <w:pPr>
        <w:pStyle w:val="4"/>
        <w:spacing w:before="9"/>
        <w:rPr>
          <w:sz w:val="18"/>
        </w:rPr>
      </w:pPr>
    </w:p>
    <w:p>
      <w:pPr>
        <w:pStyle w:val="8"/>
        <w:numPr>
          <w:ilvl w:val="2"/>
          <w:numId w:val="46"/>
        </w:numPr>
        <w:tabs>
          <w:tab w:val="left" w:pos="1196"/>
          <w:tab w:val="left" w:pos="1197"/>
          <w:tab w:val="left" w:pos="3260"/>
        </w:tabs>
        <w:spacing w:before="72" w:after="0" w:line="240" w:lineRule="auto"/>
        <w:ind w:left="1196" w:right="0" w:hanging="977"/>
        <w:jc w:val="left"/>
        <w:rPr>
          <w:sz w:val="21"/>
        </w:rPr>
      </w:pPr>
      <w:r>
        <w:rPr>
          <w:b/>
          <w:sz w:val="21"/>
        </w:rPr>
        <w:t>延髓空洞</w:t>
      </w:r>
      <w:r>
        <w:rPr>
          <w:b/>
          <w:spacing w:val="-10"/>
          <w:sz w:val="21"/>
        </w:rPr>
        <w:t>症</w:t>
      </w:r>
      <w:r>
        <w:rPr>
          <w:b/>
          <w:sz w:val="21"/>
        </w:rPr>
        <w:tab/>
      </w:r>
      <w:r>
        <w:rPr>
          <w:spacing w:val="-2"/>
          <w:sz w:val="21"/>
        </w:rPr>
        <w:t>是一种慢性进行性的脊髓变性性疾病，其特征为脊髓内空洞形成。表现</w:t>
      </w:r>
      <w:r>
        <w:rPr>
          <w:spacing w:val="-10"/>
          <w:sz w:val="21"/>
        </w:rPr>
        <w:t>为</w:t>
      </w:r>
    </w:p>
    <w:p>
      <w:pPr>
        <w:spacing w:after="0" w:line="240" w:lineRule="auto"/>
        <w:jc w:val="left"/>
        <w:rPr>
          <w:sz w:val="21"/>
        </w:rPr>
        <w:sectPr>
          <w:type w:val="continuous"/>
          <w:pgSz w:w="11910" w:h="16840"/>
          <w:pgMar w:top="500" w:right="840" w:bottom="280" w:left="860" w:header="720" w:footer="720" w:gutter="0"/>
          <w:cols w:space="720" w:num="1"/>
        </w:sectPr>
      </w:pPr>
    </w:p>
    <w:p>
      <w:pPr>
        <w:pStyle w:val="4"/>
        <w:spacing w:before="47" w:line="278" w:lineRule="auto"/>
        <w:ind w:left="3260" w:right="131"/>
      </w:pPr>
      <w:r>
        <w:rPr>
          <w:spacing w:val="-14"/>
        </w:rPr>
        <w:t>感觉异常、肌萎缩及神经营养障碍。脊髓空洞症累及延髓称为延髓空洞症，</w:t>
      </w:r>
      <w:r>
        <w:rPr>
          <w:spacing w:val="-2"/>
        </w:rPr>
        <w:t xml:space="preserve">表现为延髓麻痹。脊髓空洞症须由我们认可的医院的专科医生明确诊断，并导致神经系统功能的永久性损害，存在持续至少 </w:t>
      </w:r>
      <w:r>
        <w:rPr>
          <w:rFonts w:ascii="Times New Roman" w:eastAsia="Times New Roman"/>
        </w:rPr>
        <w:t xml:space="preserve">180 </w:t>
      </w:r>
      <w:r>
        <w:t>日以上的神经系统</w:t>
      </w:r>
      <w:r>
        <w:rPr>
          <w:spacing w:val="-2"/>
        </w:rPr>
        <w:t>功能缺失并须满足下列至少一项条件：</w:t>
      </w:r>
    </w:p>
    <w:p>
      <w:pPr>
        <w:pStyle w:val="8"/>
        <w:numPr>
          <w:ilvl w:val="0"/>
          <w:numId w:val="52"/>
        </w:numPr>
        <w:tabs>
          <w:tab w:val="left" w:pos="3790"/>
        </w:tabs>
        <w:spacing w:before="0" w:after="0" w:line="269" w:lineRule="exact"/>
        <w:ind w:left="3789" w:right="0" w:hanging="530"/>
        <w:jc w:val="left"/>
        <w:rPr>
          <w:sz w:val="21"/>
        </w:rPr>
      </w:pPr>
      <w:r>
        <w:rPr>
          <w:spacing w:val="-3"/>
          <w:sz w:val="21"/>
        </w:rPr>
        <w:t>延髓麻痹呈现显著舌肌萎缩、构音困难和吞咽困难；</w:t>
      </w:r>
    </w:p>
    <w:p>
      <w:pPr>
        <w:pStyle w:val="8"/>
        <w:numPr>
          <w:ilvl w:val="0"/>
          <w:numId w:val="52"/>
        </w:numPr>
        <w:tabs>
          <w:tab w:val="left" w:pos="3790"/>
        </w:tabs>
        <w:spacing w:before="43" w:after="0" w:line="240" w:lineRule="auto"/>
        <w:ind w:left="3789" w:right="0" w:hanging="530"/>
        <w:jc w:val="left"/>
        <w:rPr>
          <w:sz w:val="21"/>
        </w:rPr>
      </w:pPr>
      <w:r>
        <w:rPr>
          <w:spacing w:val="-2"/>
          <w:sz w:val="21"/>
        </w:rPr>
        <w:t>双手萎缩呈</w:t>
      </w:r>
      <w:r>
        <w:rPr>
          <w:rFonts w:ascii="Times New Roman" w:hAnsi="Times New Roman" w:eastAsia="Times New Roman"/>
          <w:spacing w:val="-2"/>
          <w:sz w:val="21"/>
        </w:rPr>
        <w:t>“</w:t>
      </w:r>
      <w:r>
        <w:rPr>
          <w:spacing w:val="-2"/>
          <w:sz w:val="21"/>
        </w:rPr>
        <w:t>爪形手</w:t>
      </w:r>
      <w:r>
        <w:rPr>
          <w:rFonts w:ascii="Times New Roman" w:hAnsi="Times New Roman" w:eastAsia="Times New Roman"/>
          <w:spacing w:val="-2"/>
          <w:sz w:val="21"/>
        </w:rPr>
        <w:t>”</w:t>
      </w:r>
      <w:r>
        <w:rPr>
          <w:spacing w:val="-14"/>
          <w:sz w:val="21"/>
        </w:rPr>
        <w:t xml:space="preserve">，肌力 </w:t>
      </w:r>
      <w:r>
        <w:rPr>
          <w:rFonts w:ascii="Times New Roman" w:hAnsi="Times New Roman" w:eastAsia="Times New Roman"/>
          <w:spacing w:val="-2"/>
          <w:sz w:val="21"/>
        </w:rPr>
        <w:t>2</w:t>
      </w:r>
      <w:r>
        <w:rPr>
          <w:rFonts w:ascii="Times New Roman" w:hAnsi="Times New Roman" w:eastAsia="Times New Roman"/>
          <w:spacing w:val="8"/>
          <w:sz w:val="21"/>
        </w:rPr>
        <w:t xml:space="preserve"> </w:t>
      </w:r>
      <w:r>
        <w:rPr>
          <w:spacing w:val="-4"/>
          <w:sz w:val="21"/>
        </w:rPr>
        <w:t>级或以下。</w:t>
      </w:r>
    </w:p>
    <w:p>
      <w:pPr>
        <w:pStyle w:val="4"/>
        <w:spacing w:before="9"/>
        <w:rPr>
          <w:sz w:val="27"/>
        </w:rPr>
      </w:pPr>
    </w:p>
    <w:p>
      <w:pPr>
        <w:pStyle w:val="8"/>
        <w:numPr>
          <w:ilvl w:val="2"/>
          <w:numId w:val="46"/>
        </w:numPr>
        <w:tabs>
          <w:tab w:val="left" w:pos="1196"/>
          <w:tab w:val="left" w:pos="1197"/>
          <w:tab w:val="left" w:pos="3260"/>
        </w:tabs>
        <w:spacing w:before="0" w:after="0" w:line="240" w:lineRule="auto"/>
        <w:ind w:left="1196" w:right="0" w:hanging="977"/>
        <w:jc w:val="left"/>
        <w:rPr>
          <w:sz w:val="21"/>
        </w:rPr>
      </w:pPr>
      <w:r>
        <w:rPr>
          <w:b/>
          <w:sz w:val="21"/>
        </w:rPr>
        <w:t>脊髓血管病后遗</w:t>
      </w:r>
      <w:r>
        <w:rPr>
          <w:b/>
          <w:spacing w:val="-10"/>
          <w:sz w:val="21"/>
        </w:rPr>
        <w:t>症</w:t>
      </w:r>
      <w:r>
        <w:rPr>
          <w:b/>
          <w:sz w:val="21"/>
        </w:rPr>
        <w:tab/>
      </w:r>
      <w:r>
        <w:rPr>
          <w:spacing w:val="-2"/>
          <w:sz w:val="21"/>
        </w:rPr>
        <w:t>指脊髓血管的突发病变引起脊髓梗塞或脊髓出血，导致神经系统功能的</w:t>
      </w:r>
      <w:r>
        <w:rPr>
          <w:spacing w:val="-10"/>
          <w:sz w:val="21"/>
        </w:rPr>
        <w:t>永</w:t>
      </w:r>
    </w:p>
    <w:p>
      <w:pPr>
        <w:pStyle w:val="4"/>
        <w:spacing w:before="43"/>
        <w:ind w:left="3260"/>
      </w:pPr>
      <w:r>
        <w:rPr>
          <w:spacing w:val="-3"/>
        </w:rPr>
        <w:t>久性损害，表现为截瘫或四肢瘫。</w:t>
      </w:r>
    </w:p>
    <w:p>
      <w:pPr>
        <w:pStyle w:val="4"/>
        <w:spacing w:before="9"/>
        <w:rPr>
          <w:sz w:val="27"/>
        </w:rPr>
      </w:pPr>
    </w:p>
    <w:p>
      <w:pPr>
        <w:pStyle w:val="8"/>
        <w:numPr>
          <w:ilvl w:val="2"/>
          <w:numId w:val="46"/>
        </w:numPr>
        <w:tabs>
          <w:tab w:val="left" w:pos="1196"/>
          <w:tab w:val="left" w:pos="1197"/>
          <w:tab w:val="left" w:pos="3260"/>
        </w:tabs>
        <w:spacing w:before="0" w:after="0" w:line="240" w:lineRule="auto"/>
        <w:ind w:left="1196" w:right="0" w:hanging="977"/>
        <w:jc w:val="left"/>
        <w:rPr>
          <w:sz w:val="21"/>
        </w:rPr>
      </w:pPr>
      <w:r>
        <w:rPr>
          <w:b/>
          <w:sz w:val="21"/>
        </w:rPr>
        <w:t>开颅手</w:t>
      </w:r>
      <w:r>
        <w:rPr>
          <w:b/>
          <w:spacing w:val="-10"/>
          <w:sz w:val="21"/>
        </w:rPr>
        <w:t>术</w:t>
      </w:r>
      <w:r>
        <w:rPr>
          <w:b/>
          <w:sz w:val="21"/>
        </w:rPr>
        <w:tab/>
      </w:r>
      <w:r>
        <w:rPr>
          <w:spacing w:val="-4"/>
          <w:sz w:val="21"/>
        </w:rPr>
        <w:t>指被保险人因外伤、颅内肿瘤或脑动脉瘤破裂，实际接受了在全麻下进</w:t>
      </w:r>
      <w:r>
        <w:rPr>
          <w:spacing w:val="-10"/>
          <w:sz w:val="21"/>
        </w:rPr>
        <w:t>行</w:t>
      </w:r>
    </w:p>
    <w:p>
      <w:pPr>
        <w:pStyle w:val="4"/>
        <w:spacing w:before="43"/>
        <w:ind w:left="3260"/>
      </w:pPr>
      <w:r>
        <w:rPr>
          <w:spacing w:val="-3"/>
        </w:rPr>
        <w:t>的颅骨切开手术，以清除脑内血肿、切除肿瘤或夹闭破裂动脉瘤。</w:t>
      </w:r>
    </w:p>
    <w:p>
      <w:pPr>
        <w:pStyle w:val="4"/>
        <w:spacing w:before="1"/>
        <w:rPr>
          <w:sz w:val="22"/>
        </w:rPr>
      </w:pPr>
    </w:p>
    <w:p>
      <w:pPr>
        <w:pStyle w:val="4"/>
        <w:spacing w:before="72" w:line="278" w:lineRule="auto"/>
        <w:ind w:left="3260" w:right="217"/>
        <w:jc w:val="both"/>
        <w:rPr>
          <w:rFonts w:ascii="黑体" w:eastAsia="黑体"/>
        </w:rPr>
      </w:pPr>
      <w:r>
        <w:rPr>
          <w:rFonts w:ascii="黑体" w:eastAsia="黑体"/>
          <w:color w:val="000000"/>
          <w:spacing w:val="-2"/>
          <w:shd w:val="clear" w:color="auto" w:fill="D9D9D9"/>
        </w:rPr>
        <w:t>颅骨打孔手术、硬膜下血肿清除术、未破裂动脉瘤预防性手术、动脉瘤栓</w:t>
      </w:r>
      <w:r>
        <w:rPr>
          <w:rFonts w:ascii="黑体" w:eastAsia="黑体"/>
          <w:color w:val="000000"/>
          <w:spacing w:val="40"/>
          <w:shd w:val="clear" w:color="auto" w:fill="D9D9D9"/>
        </w:rPr>
        <w:t xml:space="preserve"> </w:t>
      </w:r>
      <w:r>
        <w:rPr>
          <w:rFonts w:ascii="黑体" w:eastAsia="黑体"/>
          <w:color w:val="000000"/>
          <w:spacing w:val="-2"/>
          <w:shd w:val="clear" w:color="auto" w:fill="D9D9D9"/>
        </w:rPr>
        <w:t>塞手术、血管内手术、颅骨切开或切除减压术、脑积水脑脊液分流手术、经蝶骨肿瘤切除术及其他原因的开颅手术不在保障范围内。</w:t>
      </w:r>
    </w:p>
    <w:p>
      <w:pPr>
        <w:pStyle w:val="4"/>
        <w:spacing w:before="9"/>
        <w:rPr>
          <w:rFonts w:ascii="黑体"/>
          <w:sz w:val="18"/>
        </w:rPr>
      </w:pPr>
    </w:p>
    <w:p>
      <w:pPr>
        <w:spacing w:after="0"/>
        <w:rPr>
          <w:rFonts w:ascii="黑体"/>
          <w:sz w:val="18"/>
        </w:rPr>
        <w:sectPr>
          <w:pgSz w:w="11910" w:h="16840"/>
          <w:pgMar w:top="1400" w:right="840" w:bottom="280" w:left="860" w:header="720" w:footer="720" w:gutter="0"/>
          <w:cols w:space="720" w:num="1"/>
        </w:sectPr>
      </w:pPr>
    </w:p>
    <w:p>
      <w:pPr>
        <w:pStyle w:val="8"/>
        <w:numPr>
          <w:ilvl w:val="2"/>
          <w:numId w:val="46"/>
        </w:numPr>
        <w:tabs>
          <w:tab w:val="left" w:pos="1196"/>
          <w:tab w:val="left" w:pos="1197"/>
        </w:tabs>
        <w:spacing w:before="72" w:after="0" w:line="278" w:lineRule="auto"/>
        <w:ind w:left="1196" w:right="0" w:hanging="977"/>
        <w:jc w:val="left"/>
        <w:rPr>
          <w:b/>
          <w:sz w:val="21"/>
        </w:rPr>
      </w:pPr>
      <w:r>
        <w:rPr>
          <w:b/>
          <w:spacing w:val="17"/>
          <w:sz w:val="21"/>
        </w:rPr>
        <w:t>系统性红斑狼疮性</w:t>
      </w:r>
      <w:r>
        <w:rPr>
          <w:b/>
          <w:spacing w:val="-2"/>
          <w:sz w:val="21"/>
        </w:rPr>
        <w:t>肾炎尿毒症</w:t>
      </w:r>
    </w:p>
    <w:p>
      <w:pPr>
        <w:pStyle w:val="4"/>
        <w:spacing w:before="72" w:line="278" w:lineRule="auto"/>
        <w:ind w:left="173" w:right="234"/>
      </w:pPr>
      <w:r>
        <w:br w:type="column"/>
      </w:r>
      <w:r>
        <w:rPr>
          <w:spacing w:val="-2"/>
        </w:rPr>
        <w:t>系统性红斑狼疮是由多种因素引起，累及多系统的自身免疫性疾病。其特点是生成自身抗体对抗多种自身抗原。</w:t>
      </w:r>
    </w:p>
    <w:p>
      <w:pPr>
        <w:pStyle w:val="4"/>
        <w:spacing w:before="4"/>
        <w:rPr>
          <w:sz w:val="24"/>
        </w:rPr>
      </w:pPr>
    </w:p>
    <w:p>
      <w:pPr>
        <w:pStyle w:val="4"/>
        <w:spacing w:line="278" w:lineRule="auto"/>
        <w:ind w:left="173" w:right="234"/>
        <w:jc w:val="both"/>
      </w:pPr>
      <w:r>
        <w:rPr>
          <w:spacing w:val="-2"/>
        </w:rPr>
        <w:t xml:space="preserve">本合同所指的系统性红斑狼疮仅限于累及肾脏（经肾脏活检确认的，符合 </w:t>
      </w:r>
      <w:r>
        <w:rPr>
          <w:rFonts w:ascii="Times New Roman" w:hAnsi="Times New Roman" w:eastAsia="Times New Roman"/>
        </w:rPr>
        <w:t xml:space="preserve">WHO </w:t>
      </w:r>
      <w:r>
        <w:t>诊断标准定义</w:t>
      </w:r>
      <w:r>
        <w:rPr>
          <w:rFonts w:ascii="Times New Roman" w:hAnsi="Times New Roman" w:eastAsia="Times New Roman"/>
        </w:rPr>
        <w:t>Ⅲ</w:t>
      </w:r>
      <w:r>
        <w:t>型或</w:t>
      </w:r>
      <w:r>
        <w:rPr>
          <w:rFonts w:ascii="Times New Roman" w:hAnsi="Times New Roman" w:eastAsia="Times New Roman"/>
        </w:rPr>
        <w:t>Ⅲ</w:t>
      </w:r>
      <w:r>
        <w:t>型以上狼疮性肾炎）的系统性红斑狼疮，并</w:t>
      </w:r>
      <w:r>
        <w:rPr>
          <w:spacing w:val="-2"/>
        </w:rPr>
        <w:t>且临床出现肾功能衰竭达到尿毒症期。</w:t>
      </w:r>
    </w:p>
    <w:p>
      <w:pPr>
        <w:spacing w:after="0" w:line="278" w:lineRule="auto"/>
        <w:jc w:val="both"/>
        <w:sectPr>
          <w:type w:val="continuous"/>
          <w:pgSz w:w="11910" w:h="16840"/>
          <w:pgMar w:top="500" w:right="840" w:bottom="280" w:left="860" w:header="720" w:footer="720" w:gutter="0"/>
          <w:cols w:equalWidth="0" w:num="2">
            <w:col w:w="3048" w:space="40"/>
            <w:col w:w="7122"/>
          </w:cols>
        </w:sectPr>
      </w:pPr>
    </w:p>
    <w:p>
      <w:pPr>
        <w:pStyle w:val="4"/>
        <w:spacing w:before="10"/>
        <w:rPr>
          <w:sz w:val="18"/>
        </w:rPr>
      </w:pPr>
    </w:p>
    <w:p>
      <w:pPr>
        <w:pStyle w:val="4"/>
        <w:spacing w:before="71" w:line="278" w:lineRule="auto"/>
        <w:ind w:left="3260" w:right="236"/>
        <w:rPr>
          <w:rFonts w:ascii="黑体" w:eastAsia="黑体"/>
        </w:rPr>
      </w:pPr>
      <w:r>
        <w:rPr>
          <w:rFonts w:ascii="黑体" w:eastAsia="黑体"/>
          <w:color w:val="000000"/>
          <w:spacing w:val="-2"/>
          <w:shd w:val="clear" w:color="auto" w:fill="D9D9D9"/>
        </w:rPr>
        <w:t>其他类型的红斑性狼疮，如盘状狼疮、仅累及血液及关节的狼疮不在保障</w:t>
      </w:r>
      <w:r>
        <w:rPr>
          <w:rFonts w:ascii="黑体" w:eastAsia="黑体"/>
          <w:color w:val="000000"/>
          <w:spacing w:val="-4"/>
          <w:shd w:val="clear" w:color="auto" w:fill="D9D9D9"/>
        </w:rPr>
        <w:t>范围内。</w:t>
      </w:r>
    </w:p>
    <w:p>
      <w:pPr>
        <w:pStyle w:val="4"/>
        <w:spacing w:before="4"/>
        <w:rPr>
          <w:rFonts w:ascii="黑体"/>
          <w:sz w:val="24"/>
        </w:rPr>
      </w:pPr>
    </w:p>
    <w:p>
      <w:pPr>
        <w:pStyle w:val="8"/>
        <w:numPr>
          <w:ilvl w:val="2"/>
          <w:numId w:val="46"/>
        </w:numPr>
        <w:tabs>
          <w:tab w:val="left" w:pos="1196"/>
          <w:tab w:val="left" w:pos="1197"/>
          <w:tab w:val="left" w:pos="3260"/>
        </w:tabs>
        <w:spacing w:before="1" w:after="0" w:line="240" w:lineRule="auto"/>
        <w:ind w:left="1196" w:right="0" w:hanging="977"/>
        <w:jc w:val="left"/>
        <w:rPr>
          <w:sz w:val="21"/>
        </w:rPr>
      </w:pPr>
      <w:r>
        <w:rPr>
          <w:b/>
          <w:sz w:val="21"/>
        </w:rPr>
        <w:t>成骨不全症第三</w:t>
      </w:r>
      <w:r>
        <w:rPr>
          <w:b/>
          <w:spacing w:val="-10"/>
          <w:sz w:val="21"/>
        </w:rPr>
        <w:t>型</w:t>
      </w:r>
      <w:r>
        <w:rPr>
          <w:b/>
          <w:sz w:val="21"/>
        </w:rPr>
        <w:tab/>
      </w:r>
      <w:r>
        <w:rPr>
          <w:spacing w:val="-2"/>
          <w:sz w:val="21"/>
        </w:rPr>
        <w:t>成骨不全症第三型须满足下列全部条件</w:t>
      </w:r>
      <w:r>
        <w:rPr>
          <w:spacing w:val="-10"/>
          <w:sz w:val="21"/>
        </w:rPr>
        <w:t>：</w:t>
      </w:r>
    </w:p>
    <w:p>
      <w:pPr>
        <w:pStyle w:val="4"/>
        <w:spacing w:before="43"/>
        <w:ind w:left="3260"/>
      </w:pPr>
      <w:r>
        <w:rPr>
          <w:spacing w:val="-2"/>
        </w:rPr>
        <w:t>（</w:t>
      </w:r>
      <w:r>
        <w:rPr>
          <w:rFonts w:ascii="Times New Roman" w:eastAsia="Times New Roman"/>
          <w:spacing w:val="-2"/>
        </w:rPr>
        <w:t>1</w:t>
      </w:r>
      <w:r>
        <w:rPr>
          <w:spacing w:val="-2"/>
        </w:rPr>
        <w:t>）</w:t>
      </w:r>
      <w:r>
        <w:rPr>
          <w:spacing w:val="-3"/>
        </w:rPr>
        <w:t>就成骨不全症第三型之诊断进行的皮肤切片的病理检查结果为阳性；</w:t>
      </w:r>
    </w:p>
    <w:p>
      <w:pPr>
        <w:pStyle w:val="4"/>
        <w:spacing w:before="42"/>
        <w:ind w:left="3260"/>
      </w:pPr>
      <w:r>
        <w:rPr>
          <w:spacing w:val="-2"/>
        </w:rPr>
        <w:t>（</w:t>
      </w:r>
      <w:r>
        <w:rPr>
          <w:rFonts w:ascii="Times New Roman" w:eastAsia="Times New Roman"/>
          <w:spacing w:val="-2"/>
        </w:rPr>
        <w:t>2</w:t>
      </w:r>
      <w:r>
        <w:rPr>
          <w:spacing w:val="-2"/>
        </w:rPr>
        <w:t>）</w:t>
      </w:r>
      <w:r>
        <w:rPr>
          <w:rFonts w:ascii="Times New Roman" w:eastAsia="Times New Roman"/>
          <w:spacing w:val="-2"/>
        </w:rPr>
        <w:t>X</w:t>
      </w:r>
      <w:r>
        <w:rPr>
          <w:rFonts w:ascii="Times New Roman" w:eastAsia="Times New Roman"/>
          <w:spacing w:val="15"/>
        </w:rPr>
        <w:t xml:space="preserve"> </w:t>
      </w:r>
      <w:r>
        <w:rPr>
          <w:spacing w:val="-3"/>
        </w:rPr>
        <w:t>光片结果显示多处骨折及逐步脊柱后侧凸畸形；</w:t>
      </w:r>
    </w:p>
    <w:p>
      <w:pPr>
        <w:pStyle w:val="8"/>
        <w:numPr>
          <w:ilvl w:val="0"/>
          <w:numId w:val="53"/>
        </w:numPr>
        <w:tabs>
          <w:tab w:val="left" w:pos="3790"/>
        </w:tabs>
        <w:spacing w:before="44" w:after="0" w:line="240" w:lineRule="auto"/>
        <w:ind w:left="3789" w:right="0" w:hanging="530"/>
        <w:jc w:val="left"/>
        <w:rPr>
          <w:sz w:val="21"/>
        </w:rPr>
      </w:pPr>
      <w:r>
        <w:rPr>
          <w:spacing w:val="-3"/>
          <w:sz w:val="21"/>
        </w:rPr>
        <w:t>有证明是因此疾病引致发育迟缓及听力损伤；</w:t>
      </w:r>
    </w:p>
    <w:p>
      <w:pPr>
        <w:pStyle w:val="8"/>
        <w:numPr>
          <w:ilvl w:val="0"/>
          <w:numId w:val="53"/>
        </w:numPr>
        <w:tabs>
          <w:tab w:val="left" w:pos="3790"/>
        </w:tabs>
        <w:spacing w:before="42" w:after="0" w:line="240" w:lineRule="auto"/>
        <w:ind w:left="3789" w:right="0" w:hanging="530"/>
        <w:jc w:val="left"/>
        <w:rPr>
          <w:sz w:val="21"/>
        </w:rPr>
      </w:pPr>
      <w:r>
        <w:rPr>
          <w:spacing w:val="-3"/>
          <w:sz w:val="21"/>
        </w:rPr>
        <w:t>须由我们认可的医院的儿科专科医生明确诊断。</w:t>
      </w:r>
    </w:p>
    <w:p>
      <w:pPr>
        <w:pStyle w:val="4"/>
        <w:spacing w:before="9"/>
        <w:rPr>
          <w:sz w:val="27"/>
        </w:rPr>
      </w:pPr>
    </w:p>
    <w:p>
      <w:pPr>
        <w:pStyle w:val="4"/>
        <w:ind w:left="3260"/>
      </w:pPr>
      <w:r>
        <w:rPr>
          <w:spacing w:val="-2"/>
        </w:rPr>
        <w:t>我们承担该项保险责任，不受本保险条款责任免除第（</w:t>
      </w:r>
      <w:r>
        <w:rPr>
          <w:rFonts w:ascii="Times New Roman" w:eastAsia="Times New Roman"/>
          <w:spacing w:val="-2"/>
        </w:rPr>
        <w:t>7</w:t>
      </w:r>
      <w:r>
        <w:rPr>
          <w:spacing w:val="-2"/>
        </w:rPr>
        <w:t>）</w:t>
      </w:r>
      <w:r>
        <w:rPr>
          <w:spacing w:val="-4"/>
        </w:rPr>
        <w:t>条限制。</w:t>
      </w:r>
    </w:p>
    <w:p>
      <w:pPr>
        <w:pStyle w:val="4"/>
        <w:spacing w:before="9"/>
        <w:rPr>
          <w:sz w:val="27"/>
        </w:rPr>
      </w:pPr>
    </w:p>
    <w:p>
      <w:pPr>
        <w:pStyle w:val="8"/>
        <w:numPr>
          <w:ilvl w:val="2"/>
          <w:numId w:val="46"/>
        </w:numPr>
        <w:tabs>
          <w:tab w:val="left" w:pos="1196"/>
          <w:tab w:val="left" w:pos="1197"/>
          <w:tab w:val="left" w:pos="3260"/>
        </w:tabs>
        <w:spacing w:before="0" w:after="0" w:line="240" w:lineRule="auto"/>
        <w:ind w:left="1196" w:right="0" w:hanging="977"/>
        <w:jc w:val="left"/>
        <w:rPr>
          <w:sz w:val="21"/>
        </w:rPr>
      </w:pPr>
      <w:r>
        <w:rPr>
          <w:b/>
          <w:sz w:val="21"/>
        </w:rPr>
        <w:t>席汉氏综合</w:t>
      </w:r>
      <w:r>
        <w:rPr>
          <w:b/>
          <w:spacing w:val="-10"/>
          <w:sz w:val="21"/>
        </w:rPr>
        <w:t>征</w:t>
      </w:r>
      <w:r>
        <w:rPr>
          <w:b/>
          <w:sz w:val="21"/>
        </w:rPr>
        <w:tab/>
      </w:r>
      <w:r>
        <w:rPr>
          <w:spacing w:val="-2"/>
          <w:sz w:val="21"/>
        </w:rPr>
        <w:t>指因产后大出血并发休克、全身循环衰竭、弥漫性血管内凝血导致脑垂</w:t>
      </w:r>
      <w:r>
        <w:rPr>
          <w:spacing w:val="-10"/>
          <w:sz w:val="21"/>
        </w:rPr>
        <w:t>体</w:t>
      </w:r>
    </w:p>
    <w:p>
      <w:pPr>
        <w:pStyle w:val="4"/>
        <w:spacing w:before="43" w:line="278" w:lineRule="auto"/>
        <w:ind w:left="3260" w:right="128"/>
      </w:pPr>
      <w:r>
        <w:rPr>
          <w:spacing w:val="-4"/>
        </w:rPr>
        <w:t>缺血坏死和垂体分泌激素不足，造成性腺、甲状腺、肾上腺皮质功能减退。</w:t>
      </w:r>
      <w:r>
        <w:rPr>
          <w:spacing w:val="-2"/>
        </w:rPr>
        <w:t>须满足下列全部条件：</w:t>
      </w:r>
    </w:p>
    <w:p>
      <w:pPr>
        <w:pStyle w:val="8"/>
        <w:numPr>
          <w:ilvl w:val="0"/>
          <w:numId w:val="54"/>
        </w:numPr>
        <w:tabs>
          <w:tab w:val="left" w:pos="3790"/>
        </w:tabs>
        <w:spacing w:before="0" w:after="0" w:line="240" w:lineRule="auto"/>
        <w:ind w:left="3789" w:right="0" w:hanging="530"/>
        <w:jc w:val="left"/>
        <w:rPr>
          <w:sz w:val="21"/>
        </w:rPr>
      </w:pPr>
      <w:r>
        <w:rPr>
          <w:spacing w:val="-3"/>
          <w:sz w:val="21"/>
        </w:rPr>
        <w:t>产后大出血休克病史；</w:t>
      </w:r>
    </w:p>
    <w:p>
      <w:pPr>
        <w:pStyle w:val="8"/>
        <w:numPr>
          <w:ilvl w:val="0"/>
          <w:numId w:val="54"/>
        </w:numPr>
        <w:tabs>
          <w:tab w:val="left" w:pos="3790"/>
        </w:tabs>
        <w:spacing w:before="43" w:after="0" w:line="240" w:lineRule="auto"/>
        <w:ind w:left="3789" w:right="0" w:hanging="530"/>
        <w:jc w:val="left"/>
        <w:rPr>
          <w:sz w:val="21"/>
        </w:rPr>
      </w:pPr>
      <w:r>
        <w:rPr>
          <w:spacing w:val="-3"/>
          <w:sz w:val="21"/>
        </w:rPr>
        <w:t>严重腺垂体功能破坏，破坏程度＞</w:t>
      </w:r>
      <w:r>
        <w:rPr>
          <w:rFonts w:ascii="Times New Roman" w:eastAsia="Times New Roman"/>
          <w:spacing w:val="-4"/>
          <w:sz w:val="21"/>
        </w:rPr>
        <w:t>95%</w:t>
      </w:r>
      <w:r>
        <w:rPr>
          <w:spacing w:val="-4"/>
          <w:sz w:val="21"/>
        </w:rPr>
        <w:t>；</w:t>
      </w:r>
    </w:p>
    <w:p>
      <w:pPr>
        <w:pStyle w:val="8"/>
        <w:numPr>
          <w:ilvl w:val="0"/>
          <w:numId w:val="54"/>
        </w:numPr>
        <w:tabs>
          <w:tab w:val="left" w:pos="3790"/>
        </w:tabs>
        <w:spacing w:before="43" w:after="0" w:line="240" w:lineRule="auto"/>
        <w:ind w:left="3789" w:right="0" w:hanging="530"/>
        <w:jc w:val="left"/>
        <w:rPr>
          <w:sz w:val="21"/>
        </w:rPr>
      </w:pPr>
      <w:r>
        <w:rPr>
          <w:spacing w:val="-3"/>
          <w:sz w:val="21"/>
        </w:rPr>
        <w:t>影像学检查显示脑垂体严重萎缩或消失；</w:t>
      </w:r>
    </w:p>
    <w:p>
      <w:pPr>
        <w:pStyle w:val="8"/>
        <w:numPr>
          <w:ilvl w:val="0"/>
          <w:numId w:val="54"/>
        </w:numPr>
        <w:tabs>
          <w:tab w:val="left" w:pos="3790"/>
        </w:tabs>
        <w:spacing w:before="43" w:after="0" w:line="240" w:lineRule="auto"/>
        <w:ind w:left="3789" w:right="0" w:hanging="530"/>
        <w:jc w:val="left"/>
        <w:rPr>
          <w:sz w:val="21"/>
        </w:rPr>
      </w:pPr>
      <w:r>
        <w:rPr>
          <w:spacing w:val="-4"/>
          <w:sz w:val="21"/>
        </w:rPr>
        <w:t>实验室检查显示：</w:t>
      </w:r>
    </w:p>
    <w:p>
      <w:pPr>
        <w:pStyle w:val="4"/>
        <w:spacing w:before="43" w:line="278" w:lineRule="auto"/>
        <w:ind w:left="4100" w:right="236" w:hanging="315"/>
      </w:pPr>
      <w:r>
        <w:rPr>
          <w:spacing w:val="-6"/>
        </w:rPr>
        <w:t>① 垂体前叶激素全面低下</w:t>
      </w:r>
      <w:r>
        <w:t>（包括生长激素、促甲状腺素、促肾上腺</w:t>
      </w:r>
      <w:r>
        <w:rPr>
          <w:spacing w:val="-2"/>
        </w:rPr>
        <w:t>皮质激素、卵泡刺激素和黄体生成素</w:t>
      </w:r>
      <w:r>
        <w:rPr>
          <w:spacing w:val="-106"/>
        </w:rPr>
        <w:t>）</w:t>
      </w:r>
      <w:r>
        <w:t>；</w:t>
      </w:r>
    </w:p>
    <w:p>
      <w:pPr>
        <w:spacing w:after="0" w:line="278" w:lineRule="auto"/>
        <w:sectPr>
          <w:type w:val="continuous"/>
          <w:pgSz w:w="11910" w:h="16840"/>
          <w:pgMar w:top="500" w:right="840" w:bottom="280" w:left="860" w:header="720" w:footer="720" w:gutter="0"/>
          <w:cols w:space="720" w:num="1"/>
        </w:sectPr>
      </w:pPr>
    </w:p>
    <w:p>
      <w:pPr>
        <w:pStyle w:val="4"/>
        <w:spacing w:before="47"/>
        <w:ind w:left="3786"/>
      </w:pPr>
      <w:r>
        <w:rPr>
          <w:spacing w:val="-3"/>
        </w:rPr>
        <w:t>② 性激素、甲状腺素、肾上腺皮质激素全面低下。</w:t>
      </w:r>
    </w:p>
    <w:p>
      <w:pPr>
        <w:pStyle w:val="8"/>
        <w:numPr>
          <w:ilvl w:val="0"/>
          <w:numId w:val="54"/>
        </w:numPr>
        <w:tabs>
          <w:tab w:val="left" w:pos="3797"/>
        </w:tabs>
        <w:spacing w:before="43" w:after="0" w:line="278" w:lineRule="auto"/>
        <w:ind w:left="3786" w:right="234" w:hanging="526"/>
        <w:jc w:val="left"/>
        <w:rPr>
          <w:sz w:val="21"/>
        </w:rPr>
      </w:pPr>
      <w:r>
        <w:rPr>
          <w:spacing w:val="-2"/>
          <w:sz w:val="21"/>
        </w:rPr>
        <w:t>需要终身激素替代治疗以维持身体功能，持续服用各种替代激素超</w:t>
      </w:r>
      <w:r>
        <w:rPr>
          <w:spacing w:val="-4"/>
          <w:sz w:val="21"/>
        </w:rPr>
        <w:t>过一年。</w:t>
      </w:r>
    </w:p>
    <w:p>
      <w:pPr>
        <w:pStyle w:val="4"/>
        <w:spacing w:before="9"/>
        <w:rPr>
          <w:sz w:val="18"/>
        </w:rPr>
      </w:pPr>
    </w:p>
    <w:p>
      <w:pPr>
        <w:pStyle w:val="4"/>
        <w:spacing w:before="72"/>
        <w:ind w:left="3260"/>
        <w:rPr>
          <w:rFonts w:ascii="黑体" w:eastAsia="黑体"/>
        </w:rPr>
      </w:pPr>
      <w:r>
        <w:rPr>
          <w:rFonts w:ascii="黑体" w:eastAsia="黑体"/>
          <w:color w:val="000000"/>
          <w:spacing w:val="-3"/>
          <w:shd w:val="clear" w:color="auto" w:fill="D9D9D9"/>
        </w:rPr>
        <w:t>垂体功能部分低下及其他原因所致垂体功能低下不在保障范围之内。</w:t>
      </w:r>
    </w:p>
    <w:p>
      <w:pPr>
        <w:pStyle w:val="4"/>
        <w:spacing w:before="9"/>
        <w:rPr>
          <w:rFonts w:ascii="黑体"/>
          <w:sz w:val="27"/>
        </w:rPr>
      </w:pPr>
    </w:p>
    <w:p>
      <w:pPr>
        <w:pStyle w:val="8"/>
        <w:numPr>
          <w:ilvl w:val="2"/>
          <w:numId w:val="46"/>
        </w:numPr>
        <w:tabs>
          <w:tab w:val="left" w:pos="1196"/>
          <w:tab w:val="left" w:pos="1197"/>
          <w:tab w:val="left" w:pos="3260"/>
        </w:tabs>
        <w:spacing w:before="0" w:after="0" w:line="240" w:lineRule="auto"/>
        <w:ind w:left="1196" w:right="0" w:hanging="977"/>
        <w:jc w:val="left"/>
        <w:rPr>
          <w:sz w:val="21"/>
        </w:rPr>
      </w:pPr>
      <w:r>
        <w:rPr>
          <w:b/>
          <w:sz w:val="21"/>
        </w:rPr>
        <w:t>严重强直性脊柱</w:t>
      </w:r>
      <w:r>
        <w:rPr>
          <w:b/>
          <w:spacing w:val="-10"/>
          <w:sz w:val="21"/>
        </w:rPr>
        <w:t>炎</w:t>
      </w:r>
      <w:r>
        <w:rPr>
          <w:b/>
          <w:sz w:val="21"/>
        </w:rPr>
        <w:tab/>
      </w:r>
      <w:r>
        <w:rPr>
          <w:spacing w:val="-2"/>
          <w:sz w:val="21"/>
        </w:rPr>
        <w:t>强直性脊柱炎是一种慢性全身性炎性疾病，主要侵犯脊柱导致脊柱畸形</w:t>
      </w:r>
      <w:r>
        <w:rPr>
          <w:spacing w:val="-10"/>
          <w:sz w:val="21"/>
        </w:rPr>
        <w:t>。</w:t>
      </w:r>
    </w:p>
    <w:p>
      <w:pPr>
        <w:pStyle w:val="4"/>
        <w:spacing w:before="43" w:line="278" w:lineRule="auto"/>
        <w:ind w:left="3260" w:right="234"/>
      </w:pPr>
      <w:r>
        <w:rPr>
          <w:spacing w:val="-2"/>
        </w:rPr>
        <w:t>强直性脊柱炎须由我们认可的医院的专科医生明确诊断，并须满足下列全</w:t>
      </w:r>
      <w:r>
        <w:rPr>
          <w:spacing w:val="-4"/>
        </w:rPr>
        <w:t>部条件：</w:t>
      </w:r>
    </w:p>
    <w:p>
      <w:pPr>
        <w:pStyle w:val="8"/>
        <w:numPr>
          <w:ilvl w:val="0"/>
          <w:numId w:val="55"/>
        </w:numPr>
        <w:tabs>
          <w:tab w:val="left" w:pos="3790"/>
        </w:tabs>
        <w:spacing w:before="0" w:after="0" w:line="240" w:lineRule="auto"/>
        <w:ind w:left="3789" w:right="0" w:hanging="530"/>
        <w:jc w:val="left"/>
        <w:rPr>
          <w:sz w:val="21"/>
        </w:rPr>
      </w:pPr>
      <w:r>
        <w:rPr>
          <w:spacing w:val="-4"/>
          <w:sz w:val="21"/>
        </w:rPr>
        <w:t>严重脊柱畸形；</w:t>
      </w:r>
    </w:p>
    <w:p>
      <w:pPr>
        <w:pStyle w:val="8"/>
        <w:numPr>
          <w:ilvl w:val="0"/>
          <w:numId w:val="55"/>
        </w:numPr>
        <w:tabs>
          <w:tab w:val="left" w:pos="3797"/>
        </w:tabs>
        <w:spacing w:before="43" w:after="0" w:line="278" w:lineRule="auto"/>
        <w:ind w:left="3786" w:right="234" w:hanging="526"/>
        <w:jc w:val="left"/>
        <w:rPr>
          <w:sz w:val="21"/>
        </w:rPr>
      </w:pPr>
      <w:r>
        <w:rPr>
          <w:spacing w:val="-2"/>
          <w:sz w:val="21"/>
        </w:rPr>
        <w:t>自主生活能力完全丧失，无法独立完成六项基本日常生活活动中的三项或三项以上。</w:t>
      </w:r>
    </w:p>
    <w:p>
      <w:pPr>
        <w:pStyle w:val="4"/>
        <w:spacing w:before="4"/>
        <w:rPr>
          <w:sz w:val="24"/>
        </w:rPr>
      </w:pPr>
    </w:p>
    <w:p>
      <w:pPr>
        <w:pStyle w:val="8"/>
        <w:numPr>
          <w:ilvl w:val="2"/>
          <w:numId w:val="46"/>
        </w:numPr>
        <w:tabs>
          <w:tab w:val="left" w:pos="1196"/>
          <w:tab w:val="left" w:pos="1197"/>
          <w:tab w:val="left" w:pos="3260"/>
        </w:tabs>
        <w:spacing w:before="0" w:after="0" w:line="240" w:lineRule="auto"/>
        <w:ind w:left="1196" w:right="0" w:hanging="977"/>
        <w:jc w:val="left"/>
        <w:rPr>
          <w:sz w:val="21"/>
        </w:rPr>
      </w:pPr>
      <w:r>
        <w:rPr>
          <w:b/>
          <w:sz w:val="21"/>
        </w:rPr>
        <w:t>肾髓质囊性</w:t>
      </w:r>
      <w:r>
        <w:rPr>
          <w:b/>
          <w:spacing w:val="-10"/>
          <w:sz w:val="21"/>
        </w:rPr>
        <w:t>病</w:t>
      </w:r>
      <w:r>
        <w:rPr>
          <w:b/>
          <w:sz w:val="21"/>
        </w:rPr>
        <w:tab/>
      </w:r>
      <w:r>
        <w:rPr>
          <w:spacing w:val="-2"/>
          <w:sz w:val="21"/>
        </w:rPr>
        <w:t>是一种遗传性肾脏疾病，特点为肾髓质多发大小不等的囊肿并且伴有小</w:t>
      </w:r>
      <w:r>
        <w:rPr>
          <w:spacing w:val="-10"/>
          <w:sz w:val="21"/>
        </w:rPr>
        <w:t>管</w:t>
      </w:r>
    </w:p>
    <w:p>
      <w:pPr>
        <w:pStyle w:val="4"/>
        <w:spacing w:before="43"/>
        <w:ind w:left="3260"/>
      </w:pPr>
      <w:r>
        <w:rPr>
          <w:spacing w:val="-3"/>
        </w:rPr>
        <w:t>炎症和间质性肾炎。须满足下列全部条件：</w:t>
      </w:r>
    </w:p>
    <w:p>
      <w:pPr>
        <w:pStyle w:val="8"/>
        <w:numPr>
          <w:ilvl w:val="0"/>
          <w:numId w:val="56"/>
        </w:numPr>
        <w:tabs>
          <w:tab w:val="left" w:pos="3790"/>
        </w:tabs>
        <w:spacing w:before="43" w:after="0" w:line="240" w:lineRule="auto"/>
        <w:ind w:left="3789" w:right="0" w:hanging="530"/>
        <w:jc w:val="left"/>
        <w:rPr>
          <w:sz w:val="21"/>
        </w:rPr>
      </w:pPr>
      <w:r>
        <w:rPr>
          <w:spacing w:val="-3"/>
          <w:sz w:val="21"/>
        </w:rPr>
        <w:t>经肾组织活检明确诊断；</w:t>
      </w:r>
    </w:p>
    <w:p>
      <w:pPr>
        <w:pStyle w:val="8"/>
        <w:numPr>
          <w:ilvl w:val="0"/>
          <w:numId w:val="56"/>
        </w:numPr>
        <w:tabs>
          <w:tab w:val="left" w:pos="3790"/>
        </w:tabs>
        <w:spacing w:before="43" w:after="0" w:line="240" w:lineRule="auto"/>
        <w:ind w:left="3789" w:right="0" w:hanging="530"/>
        <w:jc w:val="left"/>
        <w:rPr>
          <w:sz w:val="21"/>
        </w:rPr>
      </w:pPr>
      <w:r>
        <w:rPr>
          <w:spacing w:val="-3"/>
          <w:sz w:val="21"/>
        </w:rPr>
        <w:t>临床有肾脏衰竭和肾小管功能障碍表现；</w:t>
      </w:r>
    </w:p>
    <w:p>
      <w:pPr>
        <w:pStyle w:val="8"/>
        <w:numPr>
          <w:ilvl w:val="0"/>
          <w:numId w:val="56"/>
        </w:numPr>
        <w:tabs>
          <w:tab w:val="left" w:pos="3790"/>
        </w:tabs>
        <w:spacing w:before="43" w:after="0" w:line="240" w:lineRule="auto"/>
        <w:ind w:left="3789" w:right="0" w:hanging="530"/>
        <w:jc w:val="left"/>
        <w:rPr>
          <w:sz w:val="21"/>
        </w:rPr>
      </w:pPr>
      <w:r>
        <w:rPr>
          <w:spacing w:val="-3"/>
          <w:sz w:val="21"/>
        </w:rPr>
        <w:t>影像学证据显示肾髓质多发囊肿。</w:t>
      </w:r>
    </w:p>
    <w:p>
      <w:pPr>
        <w:pStyle w:val="4"/>
        <w:spacing w:before="1"/>
        <w:rPr>
          <w:sz w:val="22"/>
        </w:rPr>
      </w:pPr>
    </w:p>
    <w:p>
      <w:pPr>
        <w:pStyle w:val="4"/>
        <w:spacing w:before="72"/>
        <w:ind w:left="3260"/>
        <w:rPr>
          <w:rFonts w:ascii="黑体" w:eastAsia="黑体"/>
        </w:rPr>
      </w:pPr>
      <w:r>
        <w:rPr>
          <w:rFonts w:ascii="黑体" w:eastAsia="黑体"/>
          <w:color w:val="000000"/>
          <w:spacing w:val="-3"/>
          <w:shd w:val="clear" w:color="auto" w:fill="D9D9D9"/>
        </w:rPr>
        <w:t>其他肾脏囊性病变不在保障范围内。</w:t>
      </w:r>
    </w:p>
    <w:p>
      <w:pPr>
        <w:pStyle w:val="4"/>
        <w:spacing w:before="9"/>
        <w:rPr>
          <w:rFonts w:ascii="黑体"/>
          <w:sz w:val="27"/>
        </w:rPr>
      </w:pPr>
    </w:p>
    <w:p>
      <w:pPr>
        <w:pStyle w:val="4"/>
        <w:ind w:left="3260"/>
      </w:pPr>
      <w:r>
        <w:rPr>
          <w:spacing w:val="-2"/>
        </w:rPr>
        <w:t>我们承担该项保险责任，不受本保险条款责任免除第（</w:t>
      </w:r>
      <w:r>
        <w:rPr>
          <w:rFonts w:ascii="Times New Roman" w:eastAsia="Times New Roman"/>
          <w:spacing w:val="-2"/>
        </w:rPr>
        <w:t>7</w:t>
      </w:r>
      <w:r>
        <w:rPr>
          <w:spacing w:val="-2"/>
        </w:rPr>
        <w:t>）</w:t>
      </w:r>
      <w:r>
        <w:rPr>
          <w:spacing w:val="-4"/>
        </w:rPr>
        <w:t>条限制。</w:t>
      </w:r>
    </w:p>
    <w:p>
      <w:pPr>
        <w:pStyle w:val="4"/>
        <w:spacing w:before="9"/>
        <w:rPr>
          <w:sz w:val="27"/>
        </w:rPr>
      </w:pPr>
    </w:p>
    <w:p>
      <w:pPr>
        <w:pStyle w:val="8"/>
        <w:numPr>
          <w:ilvl w:val="2"/>
          <w:numId w:val="46"/>
        </w:numPr>
        <w:tabs>
          <w:tab w:val="left" w:pos="1197"/>
        </w:tabs>
        <w:spacing w:before="0" w:after="0" w:line="240" w:lineRule="auto"/>
        <w:ind w:left="1196" w:right="0" w:hanging="977"/>
        <w:jc w:val="both"/>
        <w:rPr>
          <w:sz w:val="21"/>
        </w:rPr>
      </w:pPr>
      <w:r>
        <w:rPr>
          <w:b/>
          <w:spacing w:val="90"/>
          <w:sz w:val="21"/>
        </w:rPr>
        <w:t xml:space="preserve">肝豆状核变性 </w:t>
      </w:r>
      <w:r>
        <w:rPr>
          <w:spacing w:val="-1"/>
          <w:sz w:val="21"/>
        </w:rPr>
        <w:t>是一种遗传性铜代谢障碍疾病。表现为体内的铜离子在肝、脑、肾、角膜</w:t>
      </w:r>
    </w:p>
    <w:p>
      <w:pPr>
        <w:pStyle w:val="4"/>
        <w:spacing w:before="43" w:line="278" w:lineRule="auto"/>
        <w:ind w:left="3260" w:right="217"/>
        <w:jc w:val="both"/>
      </w:pPr>
      <w:r>
        <w:rPr>
          <w:spacing w:val="-2"/>
        </w:rPr>
        <w:t>等处沉积，引起进行性加重的肝硬化、锥体外系症状、精神症状、肾损害及角膜色素环。肝豆状核变性须由我们认可的医院的专科医生明确诊断，并须满足下列至少一项条件：</w:t>
      </w:r>
    </w:p>
    <w:p>
      <w:pPr>
        <w:pStyle w:val="8"/>
        <w:numPr>
          <w:ilvl w:val="0"/>
          <w:numId w:val="57"/>
        </w:numPr>
        <w:tabs>
          <w:tab w:val="left" w:pos="3797"/>
        </w:tabs>
        <w:spacing w:before="0" w:after="0" w:line="278" w:lineRule="auto"/>
        <w:ind w:left="3786" w:right="234" w:hanging="526"/>
        <w:jc w:val="left"/>
        <w:rPr>
          <w:sz w:val="21"/>
        </w:rPr>
      </w:pPr>
      <w:r>
        <w:rPr>
          <w:spacing w:val="-2"/>
          <w:sz w:val="21"/>
        </w:rPr>
        <w:t>帕金森综合征或其他神经系统功能损害，自主生活能力完全丧失，无法独立完成六项基本日常生活活动中的三项或三项以上；</w:t>
      </w:r>
    </w:p>
    <w:p>
      <w:pPr>
        <w:pStyle w:val="8"/>
        <w:numPr>
          <w:ilvl w:val="0"/>
          <w:numId w:val="57"/>
        </w:numPr>
        <w:tabs>
          <w:tab w:val="left" w:pos="3797"/>
        </w:tabs>
        <w:spacing w:before="0" w:after="0" w:line="278" w:lineRule="auto"/>
        <w:ind w:left="3786" w:right="234" w:hanging="526"/>
        <w:jc w:val="left"/>
        <w:rPr>
          <w:sz w:val="21"/>
        </w:rPr>
      </w:pPr>
      <w:r>
        <w:rPr>
          <w:spacing w:val="-2"/>
          <w:sz w:val="21"/>
        </w:rPr>
        <w:t>失代偿性肝硬化，临床已经出现腹水、食道静脉曲张和脾肿大等表</w:t>
      </w:r>
      <w:r>
        <w:rPr>
          <w:spacing w:val="-6"/>
          <w:sz w:val="21"/>
        </w:rPr>
        <w:t>现；</w:t>
      </w:r>
    </w:p>
    <w:p>
      <w:pPr>
        <w:pStyle w:val="8"/>
        <w:numPr>
          <w:ilvl w:val="0"/>
          <w:numId w:val="57"/>
        </w:numPr>
        <w:tabs>
          <w:tab w:val="left" w:pos="3790"/>
        </w:tabs>
        <w:spacing w:before="0" w:after="0" w:line="240" w:lineRule="auto"/>
        <w:ind w:left="3789" w:right="0" w:hanging="530"/>
        <w:jc w:val="left"/>
        <w:rPr>
          <w:sz w:val="21"/>
        </w:rPr>
      </w:pPr>
      <w:r>
        <w:rPr>
          <w:spacing w:val="-3"/>
          <w:sz w:val="21"/>
        </w:rPr>
        <w:t>慢性肾功能衰竭，已开始肾脏透析治疗；</w:t>
      </w:r>
    </w:p>
    <w:p>
      <w:pPr>
        <w:pStyle w:val="8"/>
        <w:numPr>
          <w:ilvl w:val="0"/>
          <w:numId w:val="57"/>
        </w:numPr>
        <w:tabs>
          <w:tab w:val="left" w:pos="3790"/>
        </w:tabs>
        <w:spacing w:before="42" w:after="0" w:line="240" w:lineRule="auto"/>
        <w:ind w:left="3789" w:right="0" w:hanging="530"/>
        <w:jc w:val="left"/>
        <w:rPr>
          <w:sz w:val="21"/>
        </w:rPr>
      </w:pPr>
      <w:r>
        <w:rPr>
          <w:spacing w:val="-3"/>
          <w:sz w:val="21"/>
        </w:rPr>
        <w:t>实际接受了肝移植或肾移植手术。</w:t>
      </w:r>
    </w:p>
    <w:p>
      <w:pPr>
        <w:pStyle w:val="4"/>
        <w:spacing w:before="9"/>
        <w:rPr>
          <w:sz w:val="27"/>
        </w:rPr>
      </w:pPr>
    </w:p>
    <w:p>
      <w:pPr>
        <w:pStyle w:val="4"/>
        <w:ind w:left="3260"/>
      </w:pPr>
      <w:r>
        <w:rPr>
          <w:spacing w:val="-2"/>
        </w:rPr>
        <w:t>我们承担该项保险责任，不受本保险条款责任免除第（</w:t>
      </w:r>
      <w:r>
        <w:rPr>
          <w:rFonts w:ascii="Times New Roman" w:eastAsia="Times New Roman"/>
          <w:spacing w:val="-2"/>
        </w:rPr>
        <w:t>7</w:t>
      </w:r>
      <w:r>
        <w:rPr>
          <w:spacing w:val="-2"/>
        </w:rPr>
        <w:t>）</w:t>
      </w:r>
      <w:r>
        <w:rPr>
          <w:spacing w:val="-4"/>
        </w:rPr>
        <w:t>条限制。</w:t>
      </w:r>
    </w:p>
    <w:p>
      <w:pPr>
        <w:pStyle w:val="4"/>
        <w:spacing w:before="1"/>
        <w:rPr>
          <w:sz w:val="22"/>
        </w:rPr>
      </w:pPr>
    </w:p>
    <w:p>
      <w:pPr>
        <w:spacing w:after="0"/>
        <w:rPr>
          <w:sz w:val="22"/>
        </w:rPr>
        <w:sectPr>
          <w:pgSz w:w="11910" w:h="16840"/>
          <w:pgMar w:top="1400" w:right="840" w:bottom="280" w:left="860" w:header="720" w:footer="720" w:gutter="0"/>
          <w:cols w:space="720" w:num="1"/>
        </w:sectPr>
      </w:pPr>
    </w:p>
    <w:p>
      <w:pPr>
        <w:pStyle w:val="8"/>
        <w:numPr>
          <w:ilvl w:val="2"/>
          <w:numId w:val="46"/>
        </w:numPr>
        <w:tabs>
          <w:tab w:val="left" w:pos="1196"/>
          <w:tab w:val="left" w:pos="1197"/>
        </w:tabs>
        <w:spacing w:before="72" w:after="0" w:line="240" w:lineRule="auto"/>
        <w:ind w:left="1196" w:right="0" w:hanging="977"/>
        <w:jc w:val="left"/>
        <w:rPr>
          <w:b/>
          <w:sz w:val="21"/>
        </w:rPr>
      </w:pPr>
      <w:r>
        <w:rPr>
          <w:b/>
          <w:spacing w:val="17"/>
          <w:sz w:val="21"/>
        </w:rPr>
        <w:t>重症急性出血坏死</w:t>
      </w:r>
    </w:p>
    <w:p>
      <w:pPr>
        <w:spacing w:before="43"/>
        <w:ind w:left="1196" w:right="0" w:firstLine="0"/>
        <w:jc w:val="left"/>
        <w:rPr>
          <w:b/>
          <w:sz w:val="21"/>
        </w:rPr>
      </w:pPr>
      <w:r>
        <w:rPr>
          <w:b/>
          <w:spacing w:val="-2"/>
          <w:sz w:val="21"/>
        </w:rPr>
        <w:t>性胰腺炎开腹手术</w:t>
      </w:r>
    </w:p>
    <w:p>
      <w:pPr>
        <w:pStyle w:val="4"/>
        <w:spacing w:before="72" w:line="278" w:lineRule="auto"/>
        <w:ind w:left="173" w:right="234"/>
      </w:pPr>
      <w:r>
        <w:br w:type="column"/>
      </w:r>
      <w:r>
        <w:rPr>
          <w:spacing w:val="-2"/>
        </w:rPr>
        <w:t>指被保险人被明确诊断为重症急性出血坏死性胰腺炎，并实际接受了外科剖腹直视手术治疗，进行坏死组织清除、坏死病灶切除或胰腺切除。</w:t>
      </w:r>
    </w:p>
    <w:p>
      <w:pPr>
        <w:spacing w:after="0" w:line="278" w:lineRule="auto"/>
        <w:sectPr>
          <w:type w:val="continuous"/>
          <w:pgSz w:w="11910" w:h="16840"/>
          <w:pgMar w:top="500" w:right="840" w:bottom="280" w:left="860" w:header="720" w:footer="720" w:gutter="0"/>
          <w:cols w:equalWidth="0" w:num="2">
            <w:col w:w="3048" w:space="40"/>
            <w:col w:w="7122"/>
          </w:cols>
        </w:sectPr>
      </w:pPr>
    </w:p>
    <w:p>
      <w:pPr>
        <w:pStyle w:val="4"/>
        <w:spacing w:before="10"/>
        <w:rPr>
          <w:sz w:val="18"/>
        </w:rPr>
      </w:pPr>
    </w:p>
    <w:p>
      <w:pPr>
        <w:pStyle w:val="4"/>
        <w:spacing w:before="71" w:line="278" w:lineRule="auto"/>
        <w:ind w:left="3260" w:right="234"/>
        <w:rPr>
          <w:rFonts w:ascii="黑体" w:eastAsia="黑体"/>
        </w:rPr>
      </w:pPr>
      <w:r>
        <w:rPr>
          <w:rFonts w:ascii="黑体" w:eastAsia="黑体"/>
          <w:color w:val="000000"/>
          <w:spacing w:val="-2"/>
          <w:shd w:val="clear" w:color="auto" w:fill="D9D9D9"/>
        </w:rPr>
        <w:t>腹腔镜手术治疗、因酗酒或饮酒过量所致的急性坏死性胰腺炎不在保障范</w:t>
      </w:r>
      <w:r>
        <w:rPr>
          <w:rFonts w:ascii="黑体" w:eastAsia="黑体"/>
          <w:color w:val="000000"/>
          <w:spacing w:val="-4"/>
          <w:shd w:val="clear" w:color="auto" w:fill="D9D9D9"/>
        </w:rPr>
        <w:t>围内。</w:t>
      </w:r>
    </w:p>
    <w:p>
      <w:pPr>
        <w:pStyle w:val="4"/>
        <w:spacing w:before="4"/>
        <w:rPr>
          <w:rFonts w:ascii="黑体"/>
          <w:sz w:val="24"/>
        </w:rPr>
      </w:pPr>
    </w:p>
    <w:p>
      <w:pPr>
        <w:pStyle w:val="8"/>
        <w:numPr>
          <w:ilvl w:val="2"/>
          <w:numId w:val="46"/>
        </w:numPr>
        <w:tabs>
          <w:tab w:val="left" w:pos="976"/>
          <w:tab w:val="left" w:pos="1197"/>
          <w:tab w:val="left" w:pos="3040"/>
        </w:tabs>
        <w:spacing w:before="1" w:after="0" w:line="240" w:lineRule="auto"/>
        <w:ind w:left="1196" w:right="236" w:hanging="1197"/>
        <w:jc w:val="right"/>
        <w:rPr>
          <w:sz w:val="21"/>
        </w:rPr>
      </w:pPr>
      <w:r>
        <w:rPr>
          <w:b/>
          <w:sz w:val="21"/>
        </w:rPr>
        <w:t>小肠移植</w:t>
      </w:r>
      <w:r>
        <w:rPr>
          <w:b/>
          <w:spacing w:val="-10"/>
          <w:sz w:val="21"/>
        </w:rPr>
        <w:t>术</w:t>
      </w:r>
      <w:r>
        <w:rPr>
          <w:b/>
          <w:sz w:val="21"/>
        </w:rPr>
        <w:tab/>
      </w:r>
      <w:r>
        <w:rPr>
          <w:sz w:val="21"/>
        </w:rPr>
        <w:t>指被保险人因疾病或外伤导致严重小肠损害不得不切除三分之二以上</w:t>
      </w:r>
      <w:r>
        <w:rPr>
          <w:spacing w:val="-10"/>
          <w:sz w:val="21"/>
        </w:rPr>
        <w:t>肠</w:t>
      </w:r>
    </w:p>
    <w:p>
      <w:pPr>
        <w:pStyle w:val="4"/>
        <w:spacing w:before="42"/>
        <w:ind w:right="234"/>
        <w:jc w:val="right"/>
      </w:pPr>
      <w:r>
        <w:rPr>
          <w:spacing w:val="-2"/>
        </w:rPr>
        <w:t>段，为了维持生理功能的需要实际接受了小肠的同种（人类）</w:t>
      </w:r>
      <w:r>
        <w:rPr>
          <w:spacing w:val="-4"/>
        </w:rPr>
        <w:t>异体器官移</w:t>
      </w:r>
    </w:p>
    <w:p>
      <w:pPr>
        <w:spacing w:after="0"/>
        <w:jc w:val="right"/>
        <w:sectPr>
          <w:type w:val="continuous"/>
          <w:pgSz w:w="11910" w:h="16840"/>
          <w:pgMar w:top="500" w:right="840" w:bottom="280" w:left="860" w:header="720" w:footer="720" w:gutter="0"/>
          <w:cols w:space="720" w:num="1"/>
        </w:sectPr>
      </w:pPr>
    </w:p>
    <w:p>
      <w:pPr>
        <w:pStyle w:val="4"/>
        <w:spacing w:before="47"/>
        <w:ind w:left="3260"/>
      </w:pPr>
      <w:r>
        <w:rPr>
          <w:spacing w:val="-4"/>
        </w:rPr>
        <w:t>植手术。</w:t>
      </w:r>
    </w:p>
    <w:p>
      <w:pPr>
        <w:pStyle w:val="4"/>
        <w:spacing w:before="8"/>
      </w:pPr>
    </w:p>
    <w:p>
      <w:pPr>
        <w:spacing w:after="0"/>
        <w:sectPr>
          <w:pgSz w:w="11910" w:h="16840"/>
          <w:pgMar w:top="1400" w:right="840" w:bottom="280" w:left="860" w:header="720" w:footer="720" w:gutter="0"/>
          <w:cols w:space="720" w:num="1"/>
        </w:sectPr>
      </w:pPr>
    </w:p>
    <w:p>
      <w:pPr>
        <w:pStyle w:val="8"/>
        <w:numPr>
          <w:ilvl w:val="2"/>
          <w:numId w:val="46"/>
        </w:numPr>
        <w:tabs>
          <w:tab w:val="left" w:pos="1196"/>
          <w:tab w:val="left" w:pos="1197"/>
        </w:tabs>
        <w:spacing w:before="78" w:after="0" w:line="240" w:lineRule="auto"/>
        <w:ind w:left="1196" w:right="0" w:hanging="977"/>
        <w:jc w:val="left"/>
        <w:rPr>
          <w:b/>
          <w:sz w:val="21"/>
        </w:rPr>
      </w:pPr>
      <w:r>
        <w:rPr>
          <w:b/>
          <w:spacing w:val="17"/>
          <w:sz w:val="21"/>
        </w:rPr>
        <w:t>意外导致的重度面</w:t>
      </w:r>
    </w:p>
    <w:p>
      <w:pPr>
        <w:spacing w:before="43"/>
        <w:ind w:left="1196" w:right="0" w:firstLine="0"/>
        <w:jc w:val="left"/>
        <w:rPr>
          <w:b/>
          <w:sz w:val="21"/>
        </w:rPr>
      </w:pPr>
      <w:r>
        <w:rPr>
          <w:b/>
          <w:spacing w:val="-4"/>
          <w:sz w:val="21"/>
        </w:rPr>
        <w:t>部烧伤</w:t>
      </w:r>
    </w:p>
    <w:p>
      <w:pPr>
        <w:pStyle w:val="4"/>
        <w:spacing w:before="78" w:line="278" w:lineRule="auto"/>
        <w:ind w:left="173" w:right="234"/>
        <w:jc w:val="both"/>
        <w:rPr>
          <w:rFonts w:ascii="黑体" w:hAnsi="黑体" w:eastAsia="黑体"/>
        </w:rPr>
      </w:pPr>
      <w:r>
        <w:br w:type="column"/>
      </w:r>
      <w:r>
        <w:rPr>
          <w:spacing w:val="5"/>
          <w:w w:val="100"/>
        </w:rPr>
        <w:t>指面部</w:t>
      </w:r>
      <w:r>
        <w:rPr>
          <w:rFonts w:ascii="Times New Roman" w:hAnsi="Times New Roman" w:eastAsia="Times New Roman"/>
          <w:spacing w:val="3"/>
          <w:w w:val="100"/>
        </w:rPr>
        <w:t>Ⅲ</w:t>
      </w:r>
      <w:r>
        <w:rPr>
          <w:spacing w:val="3"/>
          <w:w w:val="100"/>
        </w:rPr>
        <w:t>度烧伤且烧伤面积达到面部表面积的三分之二或全身体表面积的</w:t>
      </w:r>
      <w:r>
        <w:rPr>
          <w:spacing w:val="3"/>
        </w:rPr>
        <w:t xml:space="preserve"> </w:t>
      </w:r>
      <w:r>
        <w:rPr>
          <w:rFonts w:ascii="Times New Roman" w:hAnsi="Times New Roman" w:eastAsia="Times New Roman"/>
          <w:spacing w:val="3"/>
          <w:w w:val="100"/>
        </w:rPr>
        <w:t>2</w:t>
      </w:r>
      <w:r>
        <w:rPr>
          <w:rFonts w:ascii="Times New Roman" w:hAnsi="Times New Roman" w:eastAsia="Times New Roman"/>
          <w:spacing w:val="-1"/>
          <w:w w:val="100"/>
        </w:rPr>
        <w:t>%</w:t>
      </w:r>
      <w:r>
        <w:rPr>
          <w:spacing w:val="-3"/>
          <w:w w:val="100"/>
        </w:rPr>
        <w:t>。体表面积根据《中国新九分法》计算，面部总面积为全身体表面积的</w:t>
      </w:r>
      <w:r>
        <w:rPr>
          <w:spacing w:val="-53"/>
        </w:rPr>
        <w:t xml:space="preserve"> </w:t>
      </w:r>
      <w:r>
        <w:rPr>
          <w:rFonts w:ascii="Times New Roman" w:hAnsi="Times New Roman" w:eastAsia="Times New Roman"/>
          <w:w w:val="100"/>
        </w:rPr>
        <w:t>3</w:t>
      </w:r>
      <w:r>
        <w:rPr>
          <w:rFonts w:ascii="Times New Roman" w:hAnsi="Times New Roman" w:eastAsia="Times New Roman"/>
          <w:spacing w:val="-4"/>
          <w:w w:val="100"/>
        </w:rPr>
        <w:t>%</w:t>
      </w:r>
      <w:r>
        <w:rPr>
          <w:w w:val="100"/>
        </w:rPr>
        <w:t>。</w:t>
      </w:r>
      <w:r>
        <w:rPr>
          <w:rFonts w:ascii="黑体" w:hAnsi="黑体" w:eastAsia="黑体"/>
          <w:color w:val="000000"/>
          <w:spacing w:val="-3"/>
          <w:w w:val="100"/>
          <w:shd w:val="clear" w:color="auto" w:fill="D9D9D9"/>
        </w:rPr>
        <w:t>面部面积不包括发部和颈部。</w:t>
      </w:r>
    </w:p>
    <w:p>
      <w:pPr>
        <w:spacing w:after="0" w:line="278" w:lineRule="auto"/>
        <w:jc w:val="both"/>
        <w:rPr>
          <w:rFonts w:ascii="黑体" w:hAnsi="黑体" w:eastAsia="黑体"/>
        </w:rPr>
        <w:sectPr>
          <w:type w:val="continuous"/>
          <w:pgSz w:w="11910" w:h="16840"/>
          <w:pgMar w:top="500" w:right="840" w:bottom="280" w:left="860" w:header="720" w:footer="720" w:gutter="0"/>
          <w:cols w:equalWidth="0" w:num="2">
            <w:col w:w="3048" w:space="40"/>
            <w:col w:w="7122"/>
          </w:cols>
        </w:sectPr>
      </w:pPr>
    </w:p>
    <w:p>
      <w:pPr>
        <w:pStyle w:val="4"/>
        <w:spacing w:before="9"/>
        <w:rPr>
          <w:rFonts w:ascii="黑体"/>
          <w:sz w:val="18"/>
        </w:rPr>
      </w:pPr>
    </w:p>
    <w:p>
      <w:pPr>
        <w:pStyle w:val="8"/>
        <w:numPr>
          <w:ilvl w:val="2"/>
          <w:numId w:val="46"/>
        </w:numPr>
        <w:tabs>
          <w:tab w:val="left" w:pos="1196"/>
          <w:tab w:val="left" w:pos="1197"/>
          <w:tab w:val="left" w:pos="3260"/>
        </w:tabs>
        <w:spacing w:before="72" w:after="0" w:line="240" w:lineRule="auto"/>
        <w:ind w:left="1196" w:right="0" w:hanging="977"/>
        <w:jc w:val="left"/>
        <w:rPr>
          <w:sz w:val="21"/>
        </w:rPr>
      </w:pPr>
      <w:r>
        <w:rPr>
          <w:b/>
          <w:sz w:val="21"/>
        </w:rPr>
        <w:t>失去一肢及一</w:t>
      </w:r>
      <w:r>
        <w:rPr>
          <w:b/>
          <w:spacing w:val="-10"/>
          <w:sz w:val="21"/>
        </w:rPr>
        <w:t>眼</w:t>
      </w:r>
      <w:r>
        <w:rPr>
          <w:b/>
          <w:sz w:val="21"/>
        </w:rPr>
        <w:tab/>
      </w:r>
      <w:r>
        <w:rPr>
          <w:spacing w:val="-2"/>
          <w:sz w:val="21"/>
        </w:rPr>
        <w:t>被保险人因同一次意外伤害事件导致一肢体丧失和一眼视力丧失。须满</w:t>
      </w:r>
      <w:r>
        <w:rPr>
          <w:spacing w:val="-10"/>
          <w:sz w:val="21"/>
        </w:rPr>
        <w:t>足</w:t>
      </w:r>
    </w:p>
    <w:p>
      <w:pPr>
        <w:pStyle w:val="4"/>
        <w:spacing w:before="43"/>
        <w:ind w:left="3260"/>
      </w:pPr>
      <w:r>
        <w:rPr>
          <w:spacing w:val="-4"/>
        </w:rPr>
        <w:t>下列全部条件：</w:t>
      </w:r>
    </w:p>
    <w:p>
      <w:pPr>
        <w:pStyle w:val="8"/>
        <w:numPr>
          <w:ilvl w:val="0"/>
          <w:numId w:val="58"/>
        </w:numPr>
        <w:tabs>
          <w:tab w:val="left" w:pos="3797"/>
        </w:tabs>
        <w:spacing w:before="43" w:after="0" w:line="278" w:lineRule="auto"/>
        <w:ind w:left="3786" w:right="234" w:hanging="526"/>
        <w:jc w:val="left"/>
        <w:rPr>
          <w:sz w:val="21"/>
        </w:rPr>
      </w:pPr>
      <w:r>
        <w:rPr>
          <w:spacing w:val="-2"/>
          <w:sz w:val="21"/>
        </w:rPr>
        <w:t>一肢体丧失指任何一肢体自腕关节或踝关节近端（靠近躯干端）以上完全性断离；</w:t>
      </w:r>
    </w:p>
    <w:p>
      <w:pPr>
        <w:pStyle w:val="8"/>
        <w:numPr>
          <w:ilvl w:val="0"/>
          <w:numId w:val="58"/>
        </w:numPr>
        <w:tabs>
          <w:tab w:val="left" w:pos="3797"/>
        </w:tabs>
        <w:spacing w:before="0" w:after="0" w:line="278" w:lineRule="auto"/>
        <w:ind w:left="3786" w:right="234" w:hanging="526"/>
        <w:jc w:val="left"/>
        <w:rPr>
          <w:sz w:val="21"/>
        </w:rPr>
      </w:pPr>
      <w:r>
        <w:rPr>
          <w:spacing w:val="-2"/>
          <w:sz w:val="21"/>
        </w:rPr>
        <w:t>一眼视力丧失指一只眼视力永久不可逆性丧失，患眼须满足下列至少一项条件：</w:t>
      </w:r>
    </w:p>
    <w:p>
      <w:pPr>
        <w:pStyle w:val="4"/>
        <w:ind w:left="3786"/>
      </w:pPr>
      <w:r>
        <w:rPr>
          <w:spacing w:val="-4"/>
        </w:rPr>
        <w:t>① 眼球摘除；</w:t>
      </w:r>
    </w:p>
    <w:p>
      <w:pPr>
        <w:pStyle w:val="4"/>
        <w:spacing w:before="42" w:line="278" w:lineRule="auto"/>
        <w:ind w:left="4100" w:right="234" w:hanging="315"/>
      </w:pPr>
      <w:r>
        <w:rPr>
          <w:spacing w:val="-12"/>
        </w:rPr>
        <w:t xml:space="preserve">② 矫正视力低于 </w:t>
      </w:r>
      <w:r>
        <w:rPr>
          <w:rFonts w:ascii="Times New Roman" w:hAnsi="Times New Roman" w:eastAsia="Times New Roman"/>
        </w:rPr>
        <w:t>0.02</w:t>
      </w:r>
      <w:r>
        <w:t>（采用国际标准视力表，如果使用其它视力表</w:t>
      </w:r>
      <w:r>
        <w:rPr>
          <w:spacing w:val="-2"/>
        </w:rPr>
        <w:t>应进行换算</w:t>
      </w:r>
      <w:r>
        <w:rPr>
          <w:spacing w:val="-106"/>
        </w:rPr>
        <w:t>）</w:t>
      </w:r>
      <w:r>
        <w:t>；</w:t>
      </w:r>
    </w:p>
    <w:p>
      <w:pPr>
        <w:pStyle w:val="4"/>
        <w:spacing w:line="269" w:lineRule="exact"/>
        <w:ind w:left="3786"/>
      </w:pPr>
      <w:r>
        <w:rPr>
          <w:spacing w:val="-9"/>
        </w:rPr>
        <w:t xml:space="preserve">③ 视野半径小于 </w:t>
      </w:r>
      <w:r>
        <w:rPr>
          <w:rFonts w:ascii="Times New Roman" w:hAnsi="Times New Roman" w:eastAsia="Times New Roman"/>
        </w:rPr>
        <w:t>5</w:t>
      </w:r>
      <w:r>
        <w:rPr>
          <w:rFonts w:ascii="Times New Roman" w:hAnsi="Times New Roman" w:eastAsia="Times New Roman"/>
          <w:spacing w:val="-5"/>
        </w:rPr>
        <w:t xml:space="preserve"> </w:t>
      </w:r>
      <w:r>
        <w:rPr>
          <w:spacing w:val="-5"/>
        </w:rPr>
        <w:t>度。</w:t>
      </w:r>
    </w:p>
    <w:p>
      <w:pPr>
        <w:pStyle w:val="4"/>
        <w:spacing w:before="8"/>
      </w:pPr>
    </w:p>
    <w:p>
      <w:pPr>
        <w:pStyle w:val="4"/>
        <w:spacing w:before="78" w:line="278" w:lineRule="auto"/>
        <w:ind w:left="3260" w:right="236"/>
        <w:rPr>
          <w:rFonts w:ascii="黑体" w:eastAsia="黑体"/>
        </w:rPr>
      </w:pPr>
      <w:r>
        <w:rPr>
          <w:rFonts w:ascii="黑体" w:eastAsia="黑体"/>
          <w:color w:val="000000"/>
          <w:spacing w:val="-4"/>
          <w:shd w:val="clear" w:color="auto" w:fill="D9D9D9"/>
        </w:rPr>
        <w:t xml:space="preserve">除眼球摘除以外，申请理赔时，被保险人年龄须在 </w:t>
      </w:r>
      <w:r>
        <w:rPr>
          <w:rFonts w:ascii="Times New Roman" w:eastAsia="Times New Roman"/>
          <w:color w:val="000000"/>
          <w:spacing w:val="-2"/>
          <w:shd w:val="clear" w:color="auto" w:fill="D9D9D9"/>
        </w:rPr>
        <w:t xml:space="preserve">3 </w:t>
      </w:r>
      <w:r>
        <w:rPr>
          <w:rFonts w:ascii="黑体" w:eastAsia="黑体"/>
          <w:color w:val="000000"/>
          <w:spacing w:val="-2"/>
          <w:shd w:val="clear" w:color="auto" w:fill="D9D9D9"/>
        </w:rPr>
        <w:t>周岁以上，并须提供</w:t>
      </w:r>
      <w:r>
        <w:rPr>
          <w:rFonts w:ascii="黑体" w:eastAsia="黑体"/>
          <w:color w:val="000000"/>
          <w:spacing w:val="80"/>
          <w:w w:val="150"/>
          <w:shd w:val="clear" w:color="auto" w:fill="D9D9D9"/>
        </w:rPr>
        <w:t xml:space="preserve">                                    </w:t>
      </w:r>
      <w:r>
        <w:rPr>
          <w:rFonts w:ascii="黑体" w:eastAsia="黑体"/>
          <w:color w:val="000000"/>
          <w:spacing w:val="-2"/>
          <w:shd w:val="clear" w:color="auto" w:fill="D9D9D9"/>
        </w:rPr>
        <w:t>理赔当时的视力丧失诊断及检查证据。</w:t>
      </w:r>
    </w:p>
    <w:p>
      <w:pPr>
        <w:pStyle w:val="4"/>
        <w:spacing w:before="10"/>
        <w:rPr>
          <w:rFonts w:ascii="黑体"/>
          <w:sz w:val="18"/>
        </w:rPr>
      </w:pPr>
    </w:p>
    <w:p>
      <w:pPr>
        <w:spacing w:after="0"/>
        <w:rPr>
          <w:rFonts w:ascii="黑体"/>
          <w:sz w:val="18"/>
        </w:rPr>
        <w:sectPr>
          <w:type w:val="continuous"/>
          <w:pgSz w:w="11910" w:h="16840"/>
          <w:pgMar w:top="500" w:right="840" w:bottom="280" w:left="860" w:header="720" w:footer="720" w:gutter="0"/>
          <w:cols w:space="720" w:num="1"/>
        </w:sectPr>
      </w:pPr>
    </w:p>
    <w:p>
      <w:pPr>
        <w:pStyle w:val="8"/>
        <w:numPr>
          <w:ilvl w:val="2"/>
          <w:numId w:val="46"/>
        </w:numPr>
        <w:tabs>
          <w:tab w:val="left" w:pos="1196"/>
          <w:tab w:val="left" w:pos="1197"/>
        </w:tabs>
        <w:spacing w:before="72" w:after="0" w:line="278" w:lineRule="auto"/>
        <w:ind w:left="1196" w:right="0" w:hanging="977"/>
        <w:jc w:val="left"/>
        <w:rPr>
          <w:b/>
          <w:sz w:val="21"/>
        </w:rPr>
      </w:pPr>
      <w:r>
        <w:rPr>
          <w:b/>
          <w:spacing w:val="17"/>
          <w:sz w:val="21"/>
        </w:rPr>
        <w:t>溶血性链球菌感染</w:t>
      </w:r>
      <w:r>
        <w:rPr>
          <w:b/>
          <w:spacing w:val="-2"/>
          <w:sz w:val="21"/>
        </w:rPr>
        <w:t>引起的坏疽</w:t>
      </w:r>
    </w:p>
    <w:p>
      <w:pPr>
        <w:pStyle w:val="4"/>
        <w:spacing w:before="72" w:line="278" w:lineRule="auto"/>
        <w:ind w:left="173" w:right="236"/>
      </w:pPr>
      <w:r>
        <w:br w:type="column"/>
      </w:r>
      <w:r>
        <w:rPr>
          <w:spacing w:val="3"/>
          <w:w w:val="100"/>
        </w:rPr>
        <w:t>由于急性溶血性链球菌感染导致广泛的皮肤、皮下组织和深层组织的坏</w:t>
      </w:r>
      <w:r>
        <w:rPr>
          <w:spacing w:val="-3"/>
          <w:w w:val="100"/>
        </w:rPr>
        <w:t>死。须满足下列全部条件：</w:t>
      </w:r>
    </w:p>
    <w:p>
      <w:pPr>
        <w:pStyle w:val="8"/>
        <w:numPr>
          <w:ilvl w:val="0"/>
          <w:numId w:val="59"/>
        </w:numPr>
        <w:tabs>
          <w:tab w:val="left" w:pos="703"/>
        </w:tabs>
        <w:spacing w:before="0" w:after="0" w:line="269" w:lineRule="exact"/>
        <w:ind w:left="702" w:right="0" w:hanging="530"/>
        <w:jc w:val="left"/>
        <w:rPr>
          <w:sz w:val="21"/>
        </w:rPr>
      </w:pPr>
      <w:r>
        <w:rPr>
          <w:spacing w:val="-3"/>
          <w:sz w:val="21"/>
        </w:rPr>
        <w:t>细菌培养证实致病菌为溶血性链球菌；</w:t>
      </w:r>
    </w:p>
    <w:p>
      <w:pPr>
        <w:pStyle w:val="8"/>
        <w:numPr>
          <w:ilvl w:val="0"/>
          <w:numId w:val="59"/>
        </w:numPr>
        <w:tabs>
          <w:tab w:val="left" w:pos="703"/>
        </w:tabs>
        <w:spacing w:before="43" w:after="0" w:line="240" w:lineRule="auto"/>
        <w:ind w:left="702" w:right="0" w:hanging="530"/>
        <w:jc w:val="left"/>
        <w:rPr>
          <w:sz w:val="21"/>
        </w:rPr>
      </w:pPr>
      <w:r>
        <w:rPr>
          <w:spacing w:val="-2"/>
          <w:sz w:val="21"/>
        </w:rPr>
        <w:t>受感染肢体被截肢（自腕关节或踝关节近端</w:t>
      </w:r>
      <w:r>
        <w:rPr>
          <w:spacing w:val="-108"/>
          <w:sz w:val="21"/>
        </w:rPr>
        <w:t>）</w:t>
      </w:r>
      <w:r>
        <w:rPr>
          <w:spacing w:val="-10"/>
          <w:sz w:val="21"/>
        </w:rPr>
        <w:t>。</w:t>
      </w:r>
    </w:p>
    <w:p>
      <w:pPr>
        <w:spacing w:after="0" w:line="240" w:lineRule="auto"/>
        <w:jc w:val="left"/>
        <w:rPr>
          <w:sz w:val="21"/>
        </w:rPr>
        <w:sectPr>
          <w:type w:val="continuous"/>
          <w:pgSz w:w="11910" w:h="16840"/>
          <w:pgMar w:top="500" w:right="840" w:bottom="280" w:left="860" w:header="720" w:footer="720" w:gutter="0"/>
          <w:cols w:equalWidth="0" w:num="2">
            <w:col w:w="3048" w:space="40"/>
            <w:col w:w="7122"/>
          </w:cols>
        </w:sectPr>
      </w:pPr>
    </w:p>
    <w:p>
      <w:pPr>
        <w:pStyle w:val="4"/>
        <w:spacing w:before="7"/>
      </w:pPr>
    </w:p>
    <w:p>
      <w:pPr>
        <w:spacing w:after="0"/>
        <w:sectPr>
          <w:type w:val="continuous"/>
          <w:pgSz w:w="11910" w:h="16840"/>
          <w:pgMar w:top="500" w:right="840" w:bottom="280" w:left="860" w:header="720" w:footer="720" w:gutter="0"/>
          <w:cols w:space="720" w:num="1"/>
        </w:sectPr>
      </w:pPr>
    </w:p>
    <w:p>
      <w:pPr>
        <w:pStyle w:val="8"/>
        <w:numPr>
          <w:ilvl w:val="2"/>
          <w:numId w:val="46"/>
        </w:numPr>
        <w:tabs>
          <w:tab w:val="left" w:pos="976"/>
          <w:tab w:val="left" w:pos="1197"/>
        </w:tabs>
        <w:spacing w:before="78" w:after="0" w:line="240" w:lineRule="auto"/>
        <w:ind w:left="1196" w:right="0" w:hanging="1197"/>
        <w:jc w:val="right"/>
        <w:rPr>
          <w:b/>
          <w:sz w:val="21"/>
        </w:rPr>
      </w:pPr>
      <w:r>
        <w:rPr>
          <w:b/>
          <w:spacing w:val="17"/>
          <w:sz w:val="21"/>
        </w:rPr>
        <w:t>器官移植导致人类</w:t>
      </w:r>
    </w:p>
    <w:p>
      <w:pPr>
        <w:spacing w:before="43"/>
        <w:ind w:left="0" w:right="0" w:firstLine="0"/>
        <w:jc w:val="right"/>
        <w:rPr>
          <w:b/>
          <w:sz w:val="21"/>
        </w:rPr>
      </w:pPr>
      <w:r>
        <w:rPr>
          <w:b/>
          <w:sz w:val="21"/>
        </w:rPr>
        <w:t>免 疫 缺 陷 病 毒</w:t>
      </w:r>
    </w:p>
    <w:p>
      <w:pPr>
        <w:spacing w:before="43"/>
        <w:ind w:left="1196" w:right="0" w:firstLine="0"/>
        <w:jc w:val="left"/>
        <w:rPr>
          <w:b/>
          <w:sz w:val="21"/>
        </w:rPr>
      </w:pPr>
      <w:r>
        <w:rPr>
          <w:b/>
          <w:spacing w:val="-2"/>
          <w:sz w:val="21"/>
        </w:rPr>
        <w:t>（</w:t>
      </w:r>
      <w:r>
        <w:rPr>
          <w:rFonts w:ascii="Times New Roman" w:eastAsia="Times New Roman"/>
          <w:b/>
          <w:spacing w:val="-2"/>
          <w:sz w:val="21"/>
        </w:rPr>
        <w:t>HIV</w:t>
      </w:r>
      <w:r>
        <w:rPr>
          <w:b/>
          <w:spacing w:val="-2"/>
          <w:sz w:val="21"/>
        </w:rPr>
        <w:t>）</w:t>
      </w:r>
      <w:r>
        <w:rPr>
          <w:b/>
          <w:spacing w:val="-6"/>
          <w:sz w:val="21"/>
        </w:rPr>
        <w:t>感染</w:t>
      </w:r>
    </w:p>
    <w:p>
      <w:pPr>
        <w:pStyle w:val="4"/>
        <w:spacing w:before="78" w:line="278" w:lineRule="auto"/>
        <w:ind w:left="173" w:right="234"/>
      </w:pPr>
      <w:r>
        <w:br w:type="column"/>
      </w:r>
      <w:r>
        <w:rPr>
          <w:spacing w:val="-6"/>
        </w:rPr>
        <w:t>被保险人因接受器官移植感染上人类免疫缺陷病毒</w:t>
      </w:r>
      <w:r>
        <w:rPr>
          <w:spacing w:val="16"/>
        </w:rPr>
        <w:t>（</w:t>
      </w:r>
      <w:r>
        <w:rPr>
          <w:rFonts w:ascii="Times New Roman" w:eastAsia="Times New Roman"/>
          <w:spacing w:val="18"/>
        </w:rPr>
        <w:t>H</w:t>
      </w:r>
      <w:r>
        <w:rPr>
          <w:rFonts w:ascii="Times New Roman" w:eastAsia="Times New Roman"/>
          <w:spacing w:val="16"/>
        </w:rPr>
        <w:t>I</w:t>
      </w:r>
      <w:r>
        <w:rPr>
          <w:rFonts w:ascii="Times New Roman" w:eastAsia="Times New Roman"/>
          <w:spacing w:val="20"/>
        </w:rPr>
        <w:t>V</w:t>
      </w:r>
      <w:r>
        <w:rPr>
          <w:spacing w:val="-90"/>
        </w:rPr>
        <w:t>）</w:t>
      </w:r>
      <w:r>
        <w:rPr>
          <w:spacing w:val="-9"/>
        </w:rPr>
        <w:t>，并须满足下列</w:t>
      </w:r>
      <w:r>
        <w:rPr>
          <w:spacing w:val="-2"/>
        </w:rPr>
        <w:t>全部条件：</w:t>
      </w:r>
    </w:p>
    <w:p>
      <w:pPr>
        <w:pStyle w:val="8"/>
        <w:numPr>
          <w:ilvl w:val="0"/>
          <w:numId w:val="60"/>
        </w:numPr>
        <w:tabs>
          <w:tab w:val="left" w:pos="703"/>
        </w:tabs>
        <w:spacing w:before="0" w:after="0" w:line="240" w:lineRule="auto"/>
        <w:ind w:left="702" w:right="0" w:hanging="530"/>
        <w:jc w:val="left"/>
        <w:rPr>
          <w:sz w:val="21"/>
        </w:rPr>
      </w:pPr>
      <w:r>
        <w:rPr>
          <w:spacing w:val="-4"/>
          <w:sz w:val="21"/>
        </w:rPr>
        <w:t xml:space="preserve">本合同生效之日后，接受器官移植，并因此感染 </w:t>
      </w:r>
      <w:r>
        <w:rPr>
          <w:rFonts w:ascii="Times New Roman" w:eastAsia="Times New Roman"/>
          <w:spacing w:val="-4"/>
          <w:sz w:val="21"/>
        </w:rPr>
        <w:t>HIV</w:t>
      </w:r>
      <w:r>
        <w:rPr>
          <w:spacing w:val="-4"/>
          <w:sz w:val="21"/>
        </w:rPr>
        <w:t>；</w:t>
      </w:r>
    </w:p>
    <w:p>
      <w:pPr>
        <w:pStyle w:val="8"/>
        <w:numPr>
          <w:ilvl w:val="0"/>
          <w:numId w:val="60"/>
        </w:numPr>
        <w:tabs>
          <w:tab w:val="left" w:pos="703"/>
        </w:tabs>
        <w:spacing w:before="43" w:after="0" w:line="240" w:lineRule="auto"/>
        <w:ind w:left="702" w:right="0" w:hanging="530"/>
        <w:jc w:val="left"/>
        <w:rPr>
          <w:sz w:val="21"/>
        </w:rPr>
      </w:pPr>
      <w:r>
        <w:rPr>
          <w:spacing w:val="-3"/>
          <w:sz w:val="21"/>
        </w:rPr>
        <w:t>实施器官移植的医院为三级甲等医院；</w:t>
      </w:r>
    </w:p>
    <w:p>
      <w:pPr>
        <w:pStyle w:val="8"/>
        <w:numPr>
          <w:ilvl w:val="0"/>
          <w:numId w:val="60"/>
        </w:numPr>
        <w:tabs>
          <w:tab w:val="left" w:pos="709"/>
        </w:tabs>
        <w:spacing w:before="43" w:after="0" w:line="278" w:lineRule="auto"/>
        <w:ind w:left="699" w:right="234" w:hanging="526"/>
        <w:jc w:val="left"/>
        <w:rPr>
          <w:sz w:val="21"/>
        </w:rPr>
      </w:pPr>
      <w:r>
        <w:rPr>
          <w:spacing w:val="-2"/>
          <w:sz w:val="21"/>
        </w:rPr>
        <w:t>实施器官移植的医院出具的具有法律效力的证明，确认移植器官来</w:t>
      </w:r>
      <w:r>
        <w:rPr>
          <w:spacing w:val="-11"/>
          <w:sz w:val="21"/>
        </w:rPr>
        <w:t xml:space="preserve">自 </w:t>
      </w:r>
      <w:r>
        <w:rPr>
          <w:rFonts w:ascii="Times New Roman" w:eastAsia="Times New Roman"/>
          <w:sz w:val="21"/>
        </w:rPr>
        <w:t xml:space="preserve">HIV </w:t>
      </w:r>
      <w:r>
        <w:rPr>
          <w:sz w:val="21"/>
        </w:rPr>
        <w:t>感染者。</w:t>
      </w:r>
    </w:p>
    <w:p>
      <w:pPr>
        <w:spacing w:after="0" w:line="278" w:lineRule="auto"/>
        <w:jc w:val="left"/>
        <w:rPr>
          <w:sz w:val="21"/>
        </w:rPr>
        <w:sectPr>
          <w:type w:val="continuous"/>
          <w:pgSz w:w="11910" w:h="16840"/>
          <w:pgMar w:top="500" w:right="840" w:bottom="280" w:left="860" w:header="720" w:footer="720" w:gutter="0"/>
          <w:cols w:equalWidth="0" w:num="2">
            <w:col w:w="3048" w:space="40"/>
            <w:col w:w="7122"/>
          </w:cols>
        </w:sectPr>
      </w:pPr>
    </w:p>
    <w:p>
      <w:pPr>
        <w:pStyle w:val="4"/>
        <w:spacing w:before="10"/>
        <w:rPr>
          <w:sz w:val="18"/>
        </w:rPr>
      </w:pPr>
    </w:p>
    <w:p>
      <w:pPr>
        <w:pStyle w:val="4"/>
        <w:spacing w:before="71" w:line="278" w:lineRule="auto"/>
        <w:ind w:left="3260" w:right="234"/>
        <w:jc w:val="both"/>
        <w:rPr>
          <w:rFonts w:ascii="黑体" w:eastAsia="黑体"/>
        </w:rPr>
      </w:pPr>
      <w:r>
        <w:rPr>
          <w:rFonts w:ascii="黑体" w:eastAsia="黑体"/>
          <w:color w:val="000000"/>
          <w:shd w:val="clear" w:color="auto" w:fill="D9D9D9"/>
        </w:rPr>
        <w:t>在任何治愈艾滋病（AIDS）</w:t>
      </w:r>
      <w:r>
        <w:rPr>
          <w:rFonts w:ascii="黑体" w:eastAsia="黑体"/>
          <w:color w:val="000000"/>
          <w:spacing w:val="3"/>
          <w:shd w:val="clear" w:color="auto" w:fill="D9D9D9"/>
        </w:rPr>
        <w:t>或阻止</w:t>
      </w:r>
      <w:r>
        <w:rPr>
          <w:rFonts w:ascii="黑体" w:eastAsia="黑体"/>
          <w:color w:val="000000"/>
          <w:shd w:val="clear" w:color="auto" w:fill="D9D9D9"/>
        </w:rPr>
        <w:t>HIV</w:t>
      </w:r>
      <w:r>
        <w:rPr>
          <w:rFonts w:ascii="黑体" w:eastAsia="黑体"/>
          <w:color w:val="000000"/>
          <w:spacing w:val="-6"/>
          <w:shd w:val="clear" w:color="auto" w:fill="D9D9D9"/>
        </w:rPr>
        <w:t xml:space="preserve"> 病毒作用的疗法被发现以后，或能</w:t>
      </w:r>
      <w:r>
        <w:rPr>
          <w:rFonts w:ascii="黑体" w:eastAsia="黑体"/>
          <w:color w:val="000000"/>
          <w:spacing w:val="40"/>
          <w:shd w:val="clear" w:color="auto" w:fill="D9D9D9"/>
        </w:rPr>
        <w:t xml:space="preserve"> </w:t>
      </w:r>
      <w:r>
        <w:rPr>
          <w:rFonts w:ascii="黑体" w:eastAsia="黑体"/>
          <w:color w:val="000000"/>
          <w:spacing w:val="-8"/>
          <w:shd w:val="clear" w:color="auto" w:fill="D9D9D9"/>
        </w:rPr>
        <w:t xml:space="preserve">防止 </w:t>
      </w:r>
      <w:r>
        <w:rPr>
          <w:rFonts w:ascii="黑体" w:eastAsia="黑体"/>
          <w:color w:val="000000"/>
          <w:shd w:val="clear" w:color="auto" w:fill="D9D9D9"/>
        </w:rPr>
        <w:t>AIDS</w:t>
      </w:r>
      <w:r>
        <w:rPr>
          <w:rFonts w:ascii="黑体" w:eastAsia="黑体"/>
          <w:color w:val="000000"/>
          <w:spacing w:val="-5"/>
          <w:shd w:val="clear" w:color="auto" w:fill="D9D9D9"/>
        </w:rPr>
        <w:t xml:space="preserve"> 发生的医疗方法被研究出来以后，我们不再承担给付保险金的</w:t>
      </w:r>
      <w:r>
        <w:rPr>
          <w:rFonts w:ascii="黑体" w:eastAsia="黑体"/>
          <w:color w:val="000000"/>
          <w:spacing w:val="-4"/>
          <w:shd w:val="clear" w:color="auto" w:fill="D9D9D9"/>
        </w:rPr>
        <w:t>责任。</w:t>
      </w:r>
    </w:p>
    <w:p>
      <w:pPr>
        <w:pStyle w:val="4"/>
        <w:spacing w:before="4"/>
        <w:rPr>
          <w:rFonts w:ascii="黑体"/>
          <w:sz w:val="24"/>
        </w:rPr>
      </w:pPr>
    </w:p>
    <w:p>
      <w:pPr>
        <w:pStyle w:val="4"/>
        <w:ind w:left="3260"/>
      </w:pPr>
      <w:r>
        <w:rPr>
          <w:spacing w:val="-2"/>
        </w:rPr>
        <w:t>我们承担该项保险责任，不受本保险条款责任免除第（</w:t>
      </w:r>
      <w:r>
        <w:rPr>
          <w:rFonts w:ascii="Times New Roman" w:eastAsia="Times New Roman"/>
          <w:spacing w:val="-2"/>
        </w:rPr>
        <w:t>6</w:t>
      </w:r>
      <w:r>
        <w:rPr>
          <w:spacing w:val="-2"/>
        </w:rPr>
        <w:t>）</w:t>
      </w:r>
      <w:r>
        <w:rPr>
          <w:spacing w:val="-4"/>
        </w:rPr>
        <w:t>条限制。</w:t>
      </w:r>
    </w:p>
    <w:p>
      <w:pPr>
        <w:pStyle w:val="4"/>
        <w:spacing w:before="9"/>
        <w:rPr>
          <w:sz w:val="27"/>
        </w:rPr>
      </w:pPr>
    </w:p>
    <w:p>
      <w:pPr>
        <w:pStyle w:val="8"/>
        <w:numPr>
          <w:ilvl w:val="2"/>
          <w:numId w:val="46"/>
        </w:numPr>
        <w:tabs>
          <w:tab w:val="left" w:pos="1196"/>
          <w:tab w:val="left" w:pos="1197"/>
          <w:tab w:val="left" w:pos="3260"/>
        </w:tabs>
        <w:spacing w:before="0" w:after="0" w:line="240" w:lineRule="auto"/>
        <w:ind w:left="1196" w:right="0" w:hanging="977"/>
        <w:jc w:val="left"/>
        <w:rPr>
          <w:sz w:val="21"/>
        </w:rPr>
      </w:pPr>
      <w:r>
        <w:rPr>
          <w:b/>
          <w:sz w:val="21"/>
        </w:rPr>
        <w:t>埃博拉病毒感</w:t>
      </w:r>
      <w:r>
        <w:rPr>
          <w:b/>
          <w:spacing w:val="-10"/>
          <w:sz w:val="21"/>
        </w:rPr>
        <w:t>染</w:t>
      </w:r>
      <w:r>
        <w:rPr>
          <w:b/>
          <w:sz w:val="21"/>
        </w:rPr>
        <w:tab/>
      </w:r>
      <w:r>
        <w:rPr>
          <w:spacing w:val="-2"/>
          <w:sz w:val="21"/>
        </w:rPr>
        <w:t>指因埃博拉病毒感染导致的急性出血性传染病。埃博拉病毒病须由国家</w:t>
      </w:r>
      <w:r>
        <w:rPr>
          <w:spacing w:val="-10"/>
          <w:sz w:val="21"/>
        </w:rPr>
        <w:t>认</w:t>
      </w:r>
    </w:p>
    <w:p>
      <w:pPr>
        <w:pStyle w:val="4"/>
        <w:spacing w:before="43" w:line="278" w:lineRule="auto"/>
        <w:ind w:left="3260" w:right="236"/>
      </w:pPr>
      <w:r>
        <w:rPr>
          <w:spacing w:val="3"/>
          <w:w w:val="100"/>
        </w:rPr>
        <w:t>可的有合法资质的传染病专家明确诊断并且已上报国家疾病控制中心并</w:t>
      </w:r>
      <w:r>
        <w:rPr>
          <w:spacing w:val="-3"/>
          <w:w w:val="100"/>
        </w:rPr>
        <w:t>接受了隔离和治疗，并须满足下列全部条件：</w:t>
      </w:r>
    </w:p>
    <w:p>
      <w:pPr>
        <w:pStyle w:val="8"/>
        <w:numPr>
          <w:ilvl w:val="0"/>
          <w:numId w:val="61"/>
        </w:numPr>
        <w:tabs>
          <w:tab w:val="left" w:pos="3790"/>
        </w:tabs>
        <w:spacing w:before="0" w:after="0" w:line="240" w:lineRule="auto"/>
        <w:ind w:left="3789" w:right="0" w:hanging="530"/>
        <w:jc w:val="left"/>
        <w:rPr>
          <w:sz w:val="21"/>
        </w:rPr>
      </w:pPr>
      <w:r>
        <w:rPr>
          <w:spacing w:val="-3"/>
          <w:sz w:val="21"/>
        </w:rPr>
        <w:t>实验室检查证据证实存在埃博拉病毒感染；</w:t>
      </w:r>
    </w:p>
    <w:p>
      <w:pPr>
        <w:pStyle w:val="8"/>
        <w:numPr>
          <w:ilvl w:val="0"/>
          <w:numId w:val="61"/>
        </w:numPr>
        <w:tabs>
          <w:tab w:val="left" w:pos="3790"/>
        </w:tabs>
        <w:spacing w:before="43" w:after="0" w:line="240" w:lineRule="auto"/>
        <w:ind w:left="3789" w:right="0" w:hanging="530"/>
        <w:jc w:val="left"/>
        <w:rPr>
          <w:sz w:val="21"/>
        </w:rPr>
      </w:pPr>
      <w:r>
        <w:rPr>
          <w:spacing w:val="-12"/>
          <w:sz w:val="21"/>
        </w:rPr>
        <w:t xml:space="preserve">存在持续 </w:t>
      </w:r>
      <w:r>
        <w:rPr>
          <w:rFonts w:ascii="Times New Roman" w:eastAsia="Times New Roman"/>
          <w:spacing w:val="-2"/>
          <w:sz w:val="21"/>
        </w:rPr>
        <w:t>30</w:t>
      </w:r>
      <w:r>
        <w:rPr>
          <w:rFonts w:ascii="Times New Roman" w:eastAsia="Times New Roman"/>
          <w:spacing w:val="8"/>
          <w:sz w:val="21"/>
        </w:rPr>
        <w:t xml:space="preserve"> </w:t>
      </w:r>
      <w:r>
        <w:rPr>
          <w:spacing w:val="-3"/>
          <w:sz w:val="21"/>
        </w:rPr>
        <w:t>日以上广泛出血的临床表现。</w:t>
      </w:r>
    </w:p>
    <w:p>
      <w:pPr>
        <w:spacing w:after="0" w:line="240" w:lineRule="auto"/>
        <w:jc w:val="left"/>
        <w:rPr>
          <w:sz w:val="21"/>
        </w:rPr>
        <w:sectPr>
          <w:type w:val="continuous"/>
          <w:pgSz w:w="11910" w:h="16840"/>
          <w:pgMar w:top="500" w:right="840" w:bottom="280" w:left="860" w:header="720" w:footer="720" w:gutter="0"/>
          <w:cols w:space="720" w:num="1"/>
        </w:sectPr>
      </w:pPr>
    </w:p>
    <w:p>
      <w:pPr>
        <w:pStyle w:val="4"/>
        <w:spacing w:before="47" w:line="278" w:lineRule="auto"/>
        <w:ind w:left="3260" w:right="234"/>
        <w:rPr>
          <w:rFonts w:ascii="黑体" w:eastAsia="黑体"/>
        </w:rPr>
      </w:pPr>
      <w:r>
        <w:rPr>
          <w:rFonts w:ascii="黑体" w:eastAsia="黑体"/>
          <w:color w:val="000000"/>
          <w:spacing w:val="-2"/>
          <w:shd w:val="clear" w:color="auto" w:fill="D9D9D9"/>
        </w:rPr>
        <w:t>埃博拉病毒感染疑似病例，在明确诊断之前已经死亡的病例不在保障范围</w:t>
      </w:r>
      <w:r>
        <w:rPr>
          <w:rFonts w:ascii="黑体" w:eastAsia="黑体"/>
          <w:color w:val="000000"/>
          <w:spacing w:val="-6"/>
          <w:shd w:val="clear" w:color="auto" w:fill="D9D9D9"/>
        </w:rPr>
        <w:t>内。</w:t>
      </w:r>
    </w:p>
    <w:p>
      <w:pPr>
        <w:pStyle w:val="4"/>
        <w:spacing w:before="4"/>
        <w:rPr>
          <w:rFonts w:ascii="黑体"/>
          <w:sz w:val="24"/>
        </w:rPr>
      </w:pPr>
    </w:p>
    <w:p>
      <w:pPr>
        <w:pStyle w:val="8"/>
        <w:numPr>
          <w:ilvl w:val="2"/>
          <w:numId w:val="46"/>
        </w:numPr>
        <w:tabs>
          <w:tab w:val="left" w:pos="1196"/>
          <w:tab w:val="left" w:pos="1197"/>
          <w:tab w:val="left" w:pos="3260"/>
        </w:tabs>
        <w:spacing w:before="0" w:after="0" w:line="240" w:lineRule="auto"/>
        <w:ind w:left="1196" w:right="0" w:hanging="977"/>
        <w:jc w:val="left"/>
        <w:rPr>
          <w:sz w:val="21"/>
        </w:rPr>
      </w:pPr>
      <w:r>
        <w:rPr>
          <w:rFonts w:ascii="Times New Roman" w:eastAsia="Times New Roman"/>
          <w:b/>
          <w:sz w:val="21"/>
        </w:rPr>
        <w:t>Brugada</w:t>
      </w:r>
      <w:r>
        <w:rPr>
          <w:rFonts w:ascii="Times New Roman" w:eastAsia="Times New Roman"/>
          <w:b/>
          <w:spacing w:val="-5"/>
          <w:sz w:val="21"/>
        </w:rPr>
        <w:t xml:space="preserve"> </w:t>
      </w:r>
      <w:r>
        <w:rPr>
          <w:b/>
          <w:sz w:val="21"/>
        </w:rPr>
        <w:t>综合</w:t>
      </w:r>
      <w:r>
        <w:rPr>
          <w:b/>
          <w:spacing w:val="-10"/>
          <w:sz w:val="21"/>
        </w:rPr>
        <w:t>征</w:t>
      </w:r>
      <w:r>
        <w:rPr>
          <w:b/>
          <w:sz w:val="21"/>
        </w:rPr>
        <w:tab/>
      </w:r>
      <w:r>
        <w:rPr>
          <w:rFonts w:ascii="Times New Roman" w:eastAsia="Times New Roman"/>
          <w:sz w:val="21"/>
        </w:rPr>
        <w:t>Brugada</w:t>
      </w:r>
      <w:r>
        <w:rPr>
          <w:rFonts w:ascii="Times New Roman" w:eastAsia="Times New Roman"/>
          <w:spacing w:val="19"/>
          <w:sz w:val="21"/>
        </w:rPr>
        <w:t xml:space="preserve"> </w:t>
      </w:r>
      <w:r>
        <w:rPr>
          <w:sz w:val="21"/>
        </w:rPr>
        <w:t>综合征须由我们认可的医院的心脏专科医生明确诊断，并须满</w:t>
      </w:r>
      <w:r>
        <w:rPr>
          <w:spacing w:val="-10"/>
          <w:sz w:val="21"/>
        </w:rPr>
        <w:t>足</w:t>
      </w:r>
    </w:p>
    <w:p>
      <w:pPr>
        <w:pStyle w:val="4"/>
        <w:spacing w:before="43"/>
        <w:ind w:left="3260"/>
      </w:pPr>
      <w:r>
        <w:rPr>
          <w:spacing w:val="-4"/>
        </w:rPr>
        <w:t>下列全部条件：</w:t>
      </w:r>
    </w:p>
    <w:p>
      <w:pPr>
        <w:pStyle w:val="8"/>
        <w:numPr>
          <w:ilvl w:val="0"/>
          <w:numId w:val="62"/>
        </w:numPr>
        <w:tabs>
          <w:tab w:val="left" w:pos="3790"/>
        </w:tabs>
        <w:spacing w:before="43" w:after="0" w:line="240" w:lineRule="auto"/>
        <w:ind w:left="3789" w:right="0" w:hanging="530"/>
        <w:jc w:val="left"/>
        <w:rPr>
          <w:sz w:val="21"/>
        </w:rPr>
      </w:pPr>
      <w:r>
        <w:rPr>
          <w:spacing w:val="-3"/>
          <w:sz w:val="21"/>
        </w:rPr>
        <w:t>有晕厥或心脏骤停病史，并提供完整的诊疗记录；</w:t>
      </w:r>
    </w:p>
    <w:p>
      <w:pPr>
        <w:pStyle w:val="8"/>
        <w:numPr>
          <w:ilvl w:val="0"/>
          <w:numId w:val="62"/>
        </w:numPr>
        <w:tabs>
          <w:tab w:val="left" w:pos="3790"/>
        </w:tabs>
        <w:spacing w:before="43" w:after="0" w:line="240" w:lineRule="auto"/>
        <w:ind w:left="3789" w:right="0" w:hanging="530"/>
        <w:jc w:val="left"/>
        <w:rPr>
          <w:sz w:val="21"/>
        </w:rPr>
      </w:pPr>
      <w:r>
        <w:rPr>
          <w:spacing w:val="-7"/>
          <w:sz w:val="21"/>
        </w:rPr>
        <w:t xml:space="preserve">心电图有典型的 </w:t>
      </w:r>
      <w:r>
        <w:rPr>
          <w:rFonts w:ascii="Times New Roman" w:eastAsia="Times New Roman"/>
          <w:sz w:val="21"/>
        </w:rPr>
        <w:t>I</w:t>
      </w:r>
      <w:r>
        <w:rPr>
          <w:rFonts w:ascii="Times New Roman" w:eastAsia="Times New Roman"/>
          <w:spacing w:val="-14"/>
          <w:sz w:val="21"/>
        </w:rPr>
        <w:t xml:space="preserve"> </w:t>
      </w:r>
      <w:r>
        <w:rPr>
          <w:spacing w:val="-27"/>
          <w:sz w:val="21"/>
        </w:rPr>
        <w:t xml:space="preserve">型 </w:t>
      </w:r>
      <w:r>
        <w:rPr>
          <w:rFonts w:ascii="Times New Roman" w:eastAsia="Times New Roman"/>
          <w:sz w:val="21"/>
        </w:rPr>
        <w:t>Brugada</w:t>
      </w:r>
      <w:r>
        <w:rPr>
          <w:rFonts w:ascii="Times New Roman" w:eastAsia="Times New Roman"/>
          <w:spacing w:val="-4"/>
          <w:sz w:val="21"/>
        </w:rPr>
        <w:t xml:space="preserve"> </w:t>
      </w:r>
      <w:r>
        <w:rPr>
          <w:spacing w:val="-5"/>
          <w:sz w:val="21"/>
        </w:rPr>
        <w:t>波；</w:t>
      </w:r>
    </w:p>
    <w:p>
      <w:pPr>
        <w:pStyle w:val="8"/>
        <w:numPr>
          <w:ilvl w:val="0"/>
          <w:numId w:val="62"/>
        </w:numPr>
        <w:tabs>
          <w:tab w:val="left" w:pos="3790"/>
        </w:tabs>
        <w:spacing w:before="43" w:after="0" w:line="240" w:lineRule="auto"/>
        <w:ind w:left="3789" w:right="0" w:hanging="530"/>
        <w:jc w:val="left"/>
        <w:rPr>
          <w:sz w:val="21"/>
        </w:rPr>
      </w:pPr>
      <w:r>
        <w:rPr>
          <w:spacing w:val="-3"/>
          <w:sz w:val="21"/>
        </w:rPr>
        <w:t>已经安装了永久性心脏起搏器。</w:t>
      </w:r>
    </w:p>
    <w:p>
      <w:pPr>
        <w:pStyle w:val="4"/>
        <w:spacing w:before="2"/>
        <w:rPr>
          <w:sz w:val="22"/>
        </w:rPr>
      </w:pPr>
    </w:p>
    <w:p>
      <w:pPr>
        <w:spacing w:after="0"/>
        <w:rPr>
          <w:sz w:val="22"/>
        </w:rPr>
        <w:sectPr>
          <w:pgSz w:w="11910" w:h="16840"/>
          <w:pgMar w:top="1400" w:right="840" w:bottom="280" w:left="860" w:header="720" w:footer="720" w:gutter="0"/>
          <w:cols w:space="720" w:num="1"/>
        </w:sectPr>
      </w:pPr>
    </w:p>
    <w:p>
      <w:pPr>
        <w:pStyle w:val="8"/>
        <w:numPr>
          <w:ilvl w:val="2"/>
          <w:numId w:val="46"/>
        </w:numPr>
        <w:tabs>
          <w:tab w:val="left" w:pos="1196"/>
          <w:tab w:val="left" w:pos="1197"/>
        </w:tabs>
        <w:spacing w:before="71" w:after="0" w:line="240" w:lineRule="auto"/>
        <w:ind w:left="1196" w:right="0" w:hanging="977"/>
        <w:jc w:val="left"/>
        <w:rPr>
          <w:b/>
          <w:sz w:val="21"/>
        </w:rPr>
      </w:pPr>
      <w:r>
        <w:rPr>
          <w:b/>
          <w:spacing w:val="17"/>
          <w:sz w:val="21"/>
        </w:rPr>
        <w:t>川崎病冠状动脉瘤</w:t>
      </w:r>
    </w:p>
    <w:p>
      <w:pPr>
        <w:spacing w:before="43"/>
        <w:ind w:left="1196" w:right="0" w:firstLine="0"/>
        <w:jc w:val="left"/>
        <w:rPr>
          <w:b/>
          <w:sz w:val="21"/>
        </w:rPr>
      </w:pPr>
      <w:r>
        <w:rPr>
          <w:b/>
          <w:spacing w:val="-5"/>
          <w:sz w:val="21"/>
        </w:rPr>
        <w:t>手术</w:t>
      </w:r>
    </w:p>
    <w:p>
      <w:pPr>
        <w:pStyle w:val="4"/>
        <w:spacing w:before="71" w:line="278" w:lineRule="auto"/>
        <w:ind w:left="173" w:right="234"/>
        <w:jc w:val="both"/>
      </w:pPr>
      <w:r>
        <w:br w:type="column"/>
      </w:r>
      <w:r>
        <w:rPr>
          <w:spacing w:val="-4"/>
          <w:w w:val="100"/>
        </w:rPr>
        <w:t>川崎病是一种病因不明的系统性血管炎。我们仅对诊断性检查证实川崎病</w:t>
      </w:r>
      <w:r>
        <w:rPr>
          <w:spacing w:val="3"/>
          <w:w w:val="100"/>
        </w:rPr>
        <w:t>并发冠状动脉瘤或其他心血管异常并实际接受了手术治疗的情形承担给</w:t>
      </w:r>
      <w:r>
        <w:rPr>
          <w:spacing w:val="-2"/>
          <w:w w:val="100"/>
        </w:rPr>
        <w:t>付保险金的责任。</w:t>
      </w:r>
    </w:p>
    <w:p>
      <w:pPr>
        <w:spacing w:after="0" w:line="278" w:lineRule="auto"/>
        <w:jc w:val="both"/>
        <w:sectPr>
          <w:type w:val="continuous"/>
          <w:pgSz w:w="11910" w:h="16840"/>
          <w:pgMar w:top="500" w:right="840" w:bottom="280" w:left="860" w:header="720" w:footer="720" w:gutter="0"/>
          <w:cols w:equalWidth="0" w:num="2">
            <w:col w:w="3048" w:space="40"/>
            <w:col w:w="7122"/>
          </w:cols>
        </w:sectPr>
      </w:pPr>
    </w:p>
    <w:p>
      <w:pPr>
        <w:pStyle w:val="4"/>
        <w:spacing w:before="10"/>
        <w:rPr>
          <w:sz w:val="18"/>
        </w:rPr>
      </w:pPr>
    </w:p>
    <w:p>
      <w:pPr>
        <w:spacing w:after="0"/>
        <w:rPr>
          <w:sz w:val="18"/>
        </w:rPr>
        <w:sectPr>
          <w:type w:val="continuous"/>
          <w:pgSz w:w="11910" w:h="16840"/>
          <w:pgMar w:top="500" w:right="840" w:bottom="280" w:left="860" w:header="720" w:footer="720" w:gutter="0"/>
          <w:cols w:space="720" w:num="1"/>
        </w:sectPr>
      </w:pPr>
    </w:p>
    <w:p>
      <w:pPr>
        <w:pStyle w:val="8"/>
        <w:numPr>
          <w:ilvl w:val="2"/>
          <w:numId w:val="46"/>
        </w:numPr>
        <w:tabs>
          <w:tab w:val="left" w:pos="1196"/>
          <w:tab w:val="left" w:pos="1197"/>
        </w:tabs>
        <w:spacing w:before="71" w:after="0" w:line="240" w:lineRule="auto"/>
        <w:ind w:left="1196" w:right="0" w:hanging="977"/>
        <w:jc w:val="left"/>
        <w:rPr>
          <w:b/>
          <w:sz w:val="21"/>
        </w:rPr>
      </w:pPr>
      <w:r>
        <w:rPr>
          <w:b/>
          <w:spacing w:val="17"/>
          <w:sz w:val="21"/>
        </w:rPr>
        <w:t>严重幼年型类风湿</w:t>
      </w:r>
    </w:p>
    <w:p>
      <w:pPr>
        <w:spacing w:before="43" w:line="278" w:lineRule="auto"/>
        <w:ind w:left="1196" w:right="0" w:firstLine="0"/>
        <w:jc w:val="left"/>
        <w:rPr>
          <w:b/>
          <w:sz w:val="21"/>
        </w:rPr>
      </w:pPr>
      <w:r>
        <w:rPr>
          <w:b/>
          <w:spacing w:val="17"/>
          <w:sz w:val="21"/>
        </w:rPr>
        <w:t>关节炎导致膝关节</w:t>
      </w:r>
      <w:r>
        <w:rPr>
          <w:b/>
          <w:spacing w:val="-2"/>
          <w:sz w:val="21"/>
        </w:rPr>
        <w:t>或髋关节置换手术</w:t>
      </w:r>
    </w:p>
    <w:p>
      <w:pPr>
        <w:pStyle w:val="4"/>
        <w:spacing w:before="71" w:line="278" w:lineRule="auto"/>
        <w:ind w:left="173" w:right="234"/>
        <w:jc w:val="both"/>
      </w:pPr>
      <w:r>
        <w:br w:type="column"/>
      </w:r>
      <w:r>
        <w:rPr>
          <w:spacing w:val="-2"/>
        </w:rPr>
        <w:t>幼年型类风湿关节炎是一种儿童期发病的慢性关节炎，其特点为在高热和系统性病征出现数月后发生关节炎。我们仅对实际接受了膝关节或髋关节置换手术治疗的严重的幼年型类风湿关节炎承担给付保险金的责任。</w:t>
      </w:r>
    </w:p>
    <w:p>
      <w:pPr>
        <w:spacing w:after="0" w:line="278" w:lineRule="auto"/>
        <w:jc w:val="both"/>
        <w:sectPr>
          <w:type w:val="continuous"/>
          <w:pgSz w:w="11910" w:h="16840"/>
          <w:pgMar w:top="500" w:right="840" w:bottom="280" w:left="860" w:header="720" w:footer="720" w:gutter="0"/>
          <w:cols w:equalWidth="0" w:num="2">
            <w:col w:w="3048" w:space="40"/>
            <w:col w:w="7122"/>
          </w:cols>
        </w:sectPr>
      </w:pPr>
    </w:p>
    <w:p>
      <w:pPr>
        <w:pStyle w:val="4"/>
        <w:spacing w:before="10"/>
        <w:rPr>
          <w:sz w:val="18"/>
        </w:rPr>
      </w:pPr>
    </w:p>
    <w:p>
      <w:pPr>
        <w:spacing w:after="0"/>
        <w:rPr>
          <w:sz w:val="18"/>
        </w:rPr>
        <w:sectPr>
          <w:type w:val="continuous"/>
          <w:pgSz w:w="11910" w:h="16840"/>
          <w:pgMar w:top="500" w:right="840" w:bottom="280" w:left="860" w:header="720" w:footer="720" w:gutter="0"/>
          <w:cols w:space="720" w:num="1"/>
        </w:sectPr>
      </w:pPr>
    </w:p>
    <w:p>
      <w:pPr>
        <w:pStyle w:val="8"/>
        <w:numPr>
          <w:ilvl w:val="2"/>
          <w:numId w:val="46"/>
        </w:numPr>
        <w:tabs>
          <w:tab w:val="left" w:pos="1196"/>
          <w:tab w:val="left" w:pos="1197"/>
        </w:tabs>
        <w:spacing w:before="71" w:after="0" w:line="278" w:lineRule="auto"/>
        <w:ind w:left="1196" w:right="0" w:hanging="977"/>
        <w:jc w:val="left"/>
        <w:rPr>
          <w:b/>
          <w:sz w:val="21"/>
        </w:rPr>
      </w:pPr>
      <w:r>
        <w:rPr>
          <w:b/>
          <w:spacing w:val="17"/>
          <w:sz w:val="21"/>
        </w:rPr>
        <w:t>因疾病或外伤导致</w:t>
      </w:r>
      <w:r>
        <w:rPr>
          <w:b/>
          <w:spacing w:val="-4"/>
          <w:sz w:val="21"/>
        </w:rPr>
        <w:t>智力缺陷</w:t>
      </w:r>
    </w:p>
    <w:p>
      <w:pPr>
        <w:pStyle w:val="4"/>
        <w:spacing w:before="71" w:line="278" w:lineRule="auto"/>
        <w:ind w:left="173" w:right="128"/>
      </w:pPr>
      <w:r>
        <w:br w:type="column"/>
      </w:r>
      <w:r>
        <w:rPr>
          <w:spacing w:val="-2"/>
        </w:rPr>
        <w:t>因严重头部创伤或疾病造成被保险人智力低常（智力低于常态）或智力残</w:t>
      </w:r>
      <w:r>
        <w:rPr>
          <w:spacing w:val="-6"/>
        </w:rPr>
        <w:t>疾。根据智商（</w:t>
      </w:r>
      <w:r>
        <w:rPr>
          <w:rFonts w:ascii="Times New Roman" w:eastAsia="Times New Roman"/>
          <w:spacing w:val="-6"/>
        </w:rPr>
        <w:t>IQ</w:t>
      </w:r>
      <w:r>
        <w:rPr>
          <w:spacing w:val="-6"/>
        </w:rPr>
        <w:t>）智力低常分为轻度（</w:t>
      </w:r>
      <w:r>
        <w:rPr>
          <w:rFonts w:ascii="Times New Roman" w:eastAsia="Times New Roman"/>
          <w:spacing w:val="-6"/>
        </w:rPr>
        <w:t>IQ</w:t>
      </w:r>
      <w:r>
        <w:rPr>
          <w:rFonts w:ascii="Times New Roman" w:eastAsia="Times New Roman"/>
          <w:spacing w:val="-8"/>
        </w:rPr>
        <w:t xml:space="preserve"> </w:t>
      </w:r>
      <w:r>
        <w:rPr>
          <w:rFonts w:ascii="Times New Roman" w:eastAsia="Times New Roman"/>
          <w:spacing w:val="11"/>
        </w:rPr>
        <w:t>5</w:t>
      </w:r>
      <w:r>
        <w:rPr>
          <w:rFonts w:ascii="Times New Roman" w:eastAsia="Times New Roman"/>
          <w:spacing w:val="9"/>
        </w:rPr>
        <w:t>0</w:t>
      </w:r>
      <w:r>
        <w:rPr>
          <w:spacing w:val="11"/>
        </w:rPr>
        <w:t>－</w:t>
      </w:r>
      <w:r>
        <w:rPr>
          <w:rFonts w:ascii="Times New Roman" w:eastAsia="Times New Roman"/>
          <w:spacing w:val="11"/>
        </w:rPr>
        <w:t>7</w:t>
      </w:r>
      <w:r>
        <w:rPr>
          <w:rFonts w:ascii="Times New Roman" w:eastAsia="Times New Roman"/>
          <w:spacing w:val="8"/>
        </w:rPr>
        <w:t>0</w:t>
      </w:r>
      <w:r>
        <w:rPr>
          <w:spacing w:val="-95"/>
        </w:rPr>
        <w:t>）</w:t>
      </w:r>
      <w:r>
        <w:rPr>
          <w:spacing w:val="-4"/>
        </w:rPr>
        <w:t>；中度</w:t>
      </w:r>
      <w:r>
        <w:rPr>
          <w:spacing w:val="-6"/>
        </w:rPr>
        <w:t>（</w:t>
      </w:r>
      <w:r>
        <w:rPr>
          <w:rFonts w:ascii="Times New Roman" w:eastAsia="Times New Roman"/>
          <w:spacing w:val="-6"/>
        </w:rPr>
        <w:t>IQ</w:t>
      </w:r>
      <w:r>
        <w:rPr>
          <w:rFonts w:ascii="Times New Roman" w:eastAsia="Times New Roman"/>
          <w:spacing w:val="-7"/>
        </w:rPr>
        <w:t xml:space="preserve"> </w:t>
      </w:r>
      <w:r>
        <w:rPr>
          <w:rFonts w:ascii="Times New Roman" w:eastAsia="Times New Roman"/>
          <w:spacing w:val="7"/>
        </w:rPr>
        <w:t>3</w:t>
      </w:r>
      <w:r>
        <w:rPr>
          <w:rFonts w:ascii="Times New Roman" w:eastAsia="Times New Roman"/>
          <w:spacing w:val="9"/>
        </w:rPr>
        <w:t>5</w:t>
      </w:r>
      <w:r>
        <w:rPr>
          <w:spacing w:val="9"/>
        </w:rPr>
        <w:t>－</w:t>
      </w:r>
      <w:r>
        <w:rPr>
          <w:rFonts w:ascii="Times New Roman" w:eastAsia="Times New Roman"/>
          <w:spacing w:val="6"/>
        </w:rPr>
        <w:t>5</w:t>
      </w:r>
      <w:r>
        <w:rPr>
          <w:rFonts w:ascii="Times New Roman" w:eastAsia="Times New Roman"/>
          <w:spacing w:val="9"/>
        </w:rPr>
        <w:t>0</w:t>
      </w:r>
      <w:r>
        <w:rPr>
          <w:spacing w:val="-97"/>
        </w:rPr>
        <w:t>）</w:t>
      </w:r>
      <w:r>
        <w:rPr>
          <w:spacing w:val="9"/>
        </w:rPr>
        <w:t>；</w:t>
      </w:r>
      <w:r>
        <w:rPr>
          <w:spacing w:val="-2"/>
        </w:rPr>
        <w:t>重度（</w:t>
      </w:r>
      <w:r>
        <w:rPr>
          <w:rFonts w:ascii="Times New Roman" w:eastAsia="Times New Roman"/>
          <w:spacing w:val="-2"/>
        </w:rPr>
        <w:t>IQ</w:t>
      </w:r>
      <w:r>
        <w:rPr>
          <w:rFonts w:ascii="Times New Roman" w:eastAsia="Times New Roman"/>
          <w:spacing w:val="-12"/>
        </w:rPr>
        <w:t xml:space="preserve"> </w:t>
      </w:r>
      <w:r>
        <w:rPr>
          <w:rFonts w:ascii="Times New Roman" w:eastAsia="Times New Roman"/>
          <w:spacing w:val="-2"/>
        </w:rPr>
        <w:t>20</w:t>
      </w:r>
      <w:r>
        <w:rPr>
          <w:spacing w:val="-2"/>
        </w:rPr>
        <w:t>－</w:t>
      </w:r>
      <w:r>
        <w:rPr>
          <w:rFonts w:ascii="Times New Roman" w:eastAsia="Times New Roman"/>
          <w:spacing w:val="-2"/>
        </w:rPr>
        <w:t>35</w:t>
      </w:r>
      <w:r>
        <w:rPr>
          <w:spacing w:val="-2"/>
        </w:rPr>
        <w:t>）和极重度</w:t>
      </w:r>
      <w:r>
        <w:rPr>
          <w:spacing w:val="13"/>
        </w:rPr>
        <w:t>（</w:t>
      </w:r>
      <w:r>
        <w:rPr>
          <w:rFonts w:ascii="Times New Roman" w:eastAsia="Times New Roman"/>
          <w:spacing w:val="10"/>
        </w:rPr>
        <w:t>I</w:t>
      </w:r>
      <w:r>
        <w:rPr>
          <w:rFonts w:ascii="Times New Roman" w:eastAsia="Times New Roman"/>
          <w:spacing w:val="15"/>
        </w:rPr>
        <w:t>Q</w:t>
      </w:r>
      <w:r>
        <w:rPr>
          <w:spacing w:val="14"/>
        </w:rPr>
        <w:t>＜</w:t>
      </w:r>
      <w:r>
        <w:rPr>
          <w:rFonts w:ascii="Times New Roman" w:eastAsia="Times New Roman"/>
          <w:spacing w:val="14"/>
        </w:rPr>
        <w:t>2</w:t>
      </w:r>
      <w:r>
        <w:rPr>
          <w:rFonts w:ascii="Times New Roman" w:eastAsia="Times New Roman"/>
          <w:spacing w:val="11"/>
        </w:rPr>
        <w:t>0</w:t>
      </w:r>
      <w:r>
        <w:rPr>
          <w:spacing w:val="-92"/>
        </w:rPr>
        <w:t>）</w:t>
      </w:r>
      <w:r>
        <w:rPr>
          <w:spacing w:val="-2"/>
        </w:rPr>
        <w:t>。</w:t>
      </w:r>
      <w:r>
        <w:rPr>
          <w:rFonts w:ascii="黑体" w:eastAsia="黑体"/>
          <w:color w:val="000000"/>
          <w:spacing w:val="-20"/>
          <w:shd w:val="clear" w:color="auto" w:fill="D9D9D9"/>
        </w:rPr>
        <w:t xml:space="preserve">智商 </w:t>
      </w:r>
      <w:r>
        <w:rPr>
          <w:rFonts w:ascii="Times New Roman" w:eastAsia="Times New Roman"/>
          <w:color w:val="000000"/>
          <w:spacing w:val="-2"/>
          <w:shd w:val="clear" w:color="auto" w:fill="D9D9D9"/>
        </w:rPr>
        <w:t>70</w:t>
      </w:r>
      <w:r>
        <w:rPr>
          <w:color w:val="000000"/>
          <w:spacing w:val="-2"/>
          <w:shd w:val="clear" w:color="auto" w:fill="D9D9D9"/>
        </w:rPr>
        <w:t>－</w:t>
      </w:r>
      <w:r>
        <w:rPr>
          <w:rFonts w:ascii="Times New Roman" w:eastAsia="Times New Roman"/>
          <w:color w:val="000000"/>
          <w:spacing w:val="-2"/>
          <w:shd w:val="clear" w:color="auto" w:fill="D9D9D9"/>
        </w:rPr>
        <w:t>85</w:t>
      </w:r>
      <w:r>
        <w:rPr>
          <w:rFonts w:ascii="Times New Roman" w:eastAsia="Times New Roman"/>
          <w:color w:val="000000"/>
          <w:spacing w:val="-11"/>
          <w:shd w:val="clear" w:color="auto" w:fill="D9D9D9"/>
        </w:rPr>
        <w:t xml:space="preserve"> </w:t>
      </w:r>
      <w:r>
        <w:rPr>
          <w:rFonts w:ascii="黑体" w:eastAsia="黑体"/>
          <w:color w:val="000000"/>
          <w:spacing w:val="-2"/>
          <w:shd w:val="clear" w:color="auto" w:fill="D9D9D9"/>
        </w:rPr>
        <w:t>为智力临界低常，不</w:t>
      </w:r>
      <w:r>
        <w:rPr>
          <w:rFonts w:ascii="黑体" w:eastAsia="黑体"/>
          <w:color w:val="000000"/>
          <w:spacing w:val="80"/>
          <w:w w:val="150"/>
          <w:shd w:val="clear" w:color="auto" w:fill="D9D9D9"/>
        </w:rPr>
        <w:t xml:space="preserve">                                     </w:t>
      </w:r>
      <w:r>
        <w:rPr>
          <w:rFonts w:ascii="黑体" w:eastAsia="黑体"/>
          <w:color w:val="000000"/>
          <w:spacing w:val="-2"/>
          <w:shd w:val="clear" w:color="auto" w:fill="D9D9D9"/>
        </w:rPr>
        <w:t>在保障范围内。</w:t>
      </w:r>
      <w:r>
        <w:rPr>
          <w:color w:val="000000"/>
          <w:spacing w:val="-2"/>
        </w:rPr>
        <w:t>智商的检测须由我们认可的专职心理测验工作者进行，心理测验工作者必须持有心理测量专业委员会资格认定书。根据被保险人年龄采用对应的智力量表如韦克斯勒智力量表（儿童智力量表或成人智力量表</w:t>
      </w:r>
      <w:r>
        <w:rPr>
          <w:color w:val="000000"/>
          <w:spacing w:val="-106"/>
        </w:rPr>
        <w:t>）</w:t>
      </w:r>
      <w:r>
        <w:rPr>
          <w:color w:val="000000"/>
          <w:spacing w:val="-2"/>
        </w:rPr>
        <w:t>。须满足下列全部条件：</w:t>
      </w:r>
    </w:p>
    <w:p>
      <w:pPr>
        <w:pStyle w:val="8"/>
        <w:numPr>
          <w:ilvl w:val="0"/>
          <w:numId w:val="63"/>
        </w:numPr>
        <w:tabs>
          <w:tab w:val="left" w:pos="703"/>
        </w:tabs>
        <w:spacing w:before="0" w:after="0" w:line="268" w:lineRule="exact"/>
        <w:ind w:left="702" w:right="0" w:hanging="530"/>
        <w:jc w:val="left"/>
        <w:rPr>
          <w:rFonts w:ascii="Times New Roman" w:eastAsia="Times New Roman"/>
          <w:sz w:val="21"/>
        </w:rPr>
      </w:pPr>
      <w:r>
        <w:rPr>
          <w:spacing w:val="-6"/>
          <w:sz w:val="21"/>
        </w:rPr>
        <w:t xml:space="preserve">被保险人大于或等于 </w:t>
      </w:r>
      <w:r>
        <w:rPr>
          <w:rFonts w:ascii="Times New Roman" w:eastAsia="Times New Roman"/>
          <w:spacing w:val="-2"/>
          <w:sz w:val="21"/>
        </w:rPr>
        <w:t>6</w:t>
      </w:r>
      <w:r>
        <w:rPr>
          <w:rFonts w:ascii="Times New Roman" w:eastAsia="Times New Roman"/>
          <w:spacing w:val="18"/>
          <w:sz w:val="21"/>
        </w:rPr>
        <w:t xml:space="preserve"> </w:t>
      </w:r>
      <w:r>
        <w:rPr>
          <w:spacing w:val="-4"/>
          <w:sz w:val="21"/>
        </w:rPr>
        <w:t xml:space="preserve">周岁，且在做智力鉴定并明确诊断时小于 </w:t>
      </w:r>
      <w:r>
        <w:rPr>
          <w:rFonts w:ascii="Times New Roman" w:eastAsia="Times New Roman"/>
          <w:spacing w:val="-5"/>
          <w:sz w:val="21"/>
        </w:rPr>
        <w:t>25</w:t>
      </w:r>
    </w:p>
    <w:p>
      <w:pPr>
        <w:pStyle w:val="4"/>
        <w:spacing w:before="43"/>
        <w:ind w:left="699"/>
      </w:pPr>
      <w:r>
        <w:rPr>
          <w:spacing w:val="-4"/>
        </w:rPr>
        <w:t>周岁；</w:t>
      </w:r>
    </w:p>
    <w:p>
      <w:pPr>
        <w:pStyle w:val="8"/>
        <w:numPr>
          <w:ilvl w:val="0"/>
          <w:numId w:val="63"/>
        </w:numPr>
        <w:tabs>
          <w:tab w:val="left" w:pos="703"/>
        </w:tabs>
        <w:spacing w:before="43" w:after="0" w:line="240" w:lineRule="auto"/>
        <w:ind w:left="702" w:right="0" w:hanging="530"/>
        <w:jc w:val="left"/>
        <w:rPr>
          <w:sz w:val="21"/>
        </w:rPr>
      </w:pPr>
      <w:r>
        <w:rPr>
          <w:spacing w:val="-3"/>
          <w:sz w:val="21"/>
        </w:rPr>
        <w:t>主任医师明确诊断被保险人由于严重头部创伤或疾病造成智力低下；</w:t>
      </w:r>
    </w:p>
    <w:p>
      <w:pPr>
        <w:pStyle w:val="8"/>
        <w:numPr>
          <w:ilvl w:val="0"/>
          <w:numId w:val="63"/>
        </w:numPr>
        <w:tabs>
          <w:tab w:val="left" w:pos="709"/>
        </w:tabs>
        <w:spacing w:before="43" w:after="0" w:line="240" w:lineRule="auto"/>
        <w:ind w:left="708" w:right="0" w:hanging="536"/>
        <w:jc w:val="left"/>
        <w:rPr>
          <w:sz w:val="21"/>
        </w:rPr>
      </w:pPr>
      <w:r>
        <w:rPr>
          <w:spacing w:val="-1"/>
          <w:sz w:val="21"/>
        </w:rPr>
        <w:t>专职合格心理检测工作者适时做的心理检测证实被保险人智力低常</w:t>
      </w:r>
    </w:p>
    <w:p>
      <w:pPr>
        <w:pStyle w:val="4"/>
        <w:spacing w:before="43"/>
        <w:ind w:left="699"/>
      </w:pPr>
      <w:r>
        <w:rPr>
          <w:spacing w:val="-2"/>
        </w:rPr>
        <w:t>（轻度、中度、重度或极重度</w:t>
      </w:r>
      <w:r>
        <w:rPr>
          <w:spacing w:val="-96"/>
        </w:rPr>
        <w:t>）</w:t>
      </w:r>
      <w:r>
        <w:rPr>
          <w:spacing w:val="12"/>
        </w:rPr>
        <w:t>，</w:t>
      </w:r>
      <w:r>
        <w:rPr>
          <w:rFonts w:ascii="Times New Roman" w:eastAsia="Times New Roman"/>
          <w:spacing w:val="8"/>
        </w:rPr>
        <w:t>I</w:t>
      </w:r>
      <w:r>
        <w:rPr>
          <w:rFonts w:ascii="Times New Roman" w:eastAsia="Times New Roman"/>
          <w:spacing w:val="12"/>
        </w:rPr>
        <w:t>Q</w:t>
      </w:r>
      <w:r>
        <w:rPr>
          <w:spacing w:val="12"/>
        </w:rPr>
        <w:t>＜</w:t>
      </w:r>
      <w:r>
        <w:rPr>
          <w:rFonts w:ascii="Times New Roman" w:eastAsia="Times New Roman"/>
          <w:spacing w:val="12"/>
        </w:rPr>
        <w:t>7</w:t>
      </w:r>
      <w:r>
        <w:rPr>
          <w:rFonts w:ascii="Times New Roman" w:eastAsia="Times New Roman"/>
          <w:spacing w:val="9"/>
        </w:rPr>
        <w:t>0</w:t>
      </w:r>
      <w:r>
        <w:rPr>
          <w:spacing w:val="12"/>
        </w:rPr>
        <w:t>；</w:t>
      </w:r>
    </w:p>
    <w:p>
      <w:pPr>
        <w:pStyle w:val="8"/>
        <w:numPr>
          <w:ilvl w:val="0"/>
          <w:numId w:val="63"/>
        </w:numPr>
        <w:tabs>
          <w:tab w:val="left" w:pos="703"/>
        </w:tabs>
        <w:spacing w:before="43" w:after="0" w:line="240" w:lineRule="auto"/>
        <w:ind w:left="702" w:right="0" w:hanging="530"/>
        <w:jc w:val="left"/>
        <w:rPr>
          <w:sz w:val="21"/>
        </w:rPr>
      </w:pPr>
      <w:r>
        <w:rPr>
          <w:spacing w:val="-5"/>
          <w:sz w:val="21"/>
        </w:rPr>
        <w:t xml:space="preserve">被保险人的智力低常自确认日起持续 </w:t>
      </w:r>
      <w:r>
        <w:rPr>
          <w:rFonts w:ascii="Times New Roman" w:eastAsia="Times New Roman"/>
          <w:spacing w:val="-2"/>
          <w:sz w:val="21"/>
        </w:rPr>
        <w:t>180</w:t>
      </w:r>
      <w:r>
        <w:rPr>
          <w:rFonts w:ascii="Times New Roman" w:eastAsia="Times New Roman"/>
          <w:spacing w:val="6"/>
          <w:sz w:val="21"/>
        </w:rPr>
        <w:t xml:space="preserve"> </w:t>
      </w:r>
      <w:r>
        <w:rPr>
          <w:spacing w:val="-4"/>
          <w:sz w:val="21"/>
        </w:rPr>
        <w:t>日以上。</w:t>
      </w:r>
    </w:p>
    <w:p>
      <w:pPr>
        <w:spacing w:after="0" w:line="240" w:lineRule="auto"/>
        <w:jc w:val="left"/>
        <w:rPr>
          <w:sz w:val="21"/>
        </w:rPr>
        <w:sectPr>
          <w:type w:val="continuous"/>
          <w:pgSz w:w="11910" w:h="16840"/>
          <w:pgMar w:top="500" w:right="840" w:bottom="280" w:left="860" w:header="720" w:footer="720" w:gutter="0"/>
          <w:cols w:equalWidth="0" w:num="2">
            <w:col w:w="3048" w:space="40"/>
            <w:col w:w="7122"/>
          </w:cols>
        </w:sectPr>
      </w:pPr>
    </w:p>
    <w:p>
      <w:pPr>
        <w:pStyle w:val="4"/>
        <w:spacing w:before="1"/>
        <w:rPr>
          <w:sz w:val="22"/>
        </w:rPr>
      </w:pPr>
    </w:p>
    <w:p>
      <w:pPr>
        <w:spacing w:after="0"/>
        <w:rPr>
          <w:sz w:val="22"/>
        </w:rPr>
        <w:sectPr>
          <w:type w:val="continuous"/>
          <w:pgSz w:w="11910" w:h="16840"/>
          <w:pgMar w:top="500" w:right="840" w:bottom="280" w:left="860" w:header="720" w:footer="720" w:gutter="0"/>
          <w:cols w:space="720" w:num="1"/>
        </w:sectPr>
      </w:pPr>
    </w:p>
    <w:p>
      <w:pPr>
        <w:pStyle w:val="8"/>
        <w:numPr>
          <w:ilvl w:val="2"/>
          <w:numId w:val="46"/>
        </w:numPr>
        <w:tabs>
          <w:tab w:val="left" w:pos="1196"/>
          <w:tab w:val="left" w:pos="1197"/>
        </w:tabs>
        <w:spacing w:before="72" w:after="0" w:line="240" w:lineRule="auto"/>
        <w:ind w:left="1196" w:right="0" w:hanging="977"/>
        <w:jc w:val="left"/>
        <w:rPr>
          <w:b/>
          <w:sz w:val="21"/>
        </w:rPr>
      </w:pPr>
      <w:r>
        <w:rPr>
          <w:b/>
          <w:spacing w:val="17"/>
          <w:sz w:val="21"/>
        </w:rPr>
        <w:t>严重肠道疾病并发</w:t>
      </w:r>
    </w:p>
    <w:p>
      <w:pPr>
        <w:spacing w:before="43"/>
        <w:ind w:left="1196" w:right="0" w:firstLine="0"/>
        <w:jc w:val="left"/>
        <w:rPr>
          <w:b/>
          <w:sz w:val="21"/>
        </w:rPr>
      </w:pPr>
      <w:r>
        <w:rPr>
          <w:b/>
          <w:w w:val="100"/>
          <w:sz w:val="21"/>
        </w:rPr>
        <w:t>症</w:t>
      </w:r>
    </w:p>
    <w:p>
      <w:pPr>
        <w:pStyle w:val="4"/>
        <w:spacing w:before="72"/>
        <w:ind w:left="173"/>
      </w:pPr>
      <w:r>
        <w:br w:type="column"/>
      </w:r>
      <w:r>
        <w:rPr>
          <w:spacing w:val="-3"/>
        </w:rPr>
        <w:t>严重肠道疾病或外伤导致小肠损害并发症，并须满足下列全部条件：</w:t>
      </w:r>
    </w:p>
    <w:p>
      <w:pPr>
        <w:pStyle w:val="8"/>
        <w:numPr>
          <w:ilvl w:val="0"/>
          <w:numId w:val="64"/>
        </w:numPr>
        <w:tabs>
          <w:tab w:val="left" w:pos="703"/>
        </w:tabs>
        <w:spacing w:before="43" w:after="0" w:line="240" w:lineRule="auto"/>
        <w:ind w:left="702" w:right="0" w:hanging="530"/>
        <w:jc w:val="left"/>
        <w:rPr>
          <w:sz w:val="21"/>
        </w:rPr>
      </w:pPr>
      <w:r>
        <w:rPr>
          <w:spacing w:val="-3"/>
          <w:sz w:val="21"/>
        </w:rPr>
        <w:t>至少切除了三分之二小肠；</w:t>
      </w:r>
    </w:p>
    <w:p>
      <w:pPr>
        <w:pStyle w:val="8"/>
        <w:numPr>
          <w:ilvl w:val="0"/>
          <w:numId w:val="64"/>
        </w:numPr>
        <w:tabs>
          <w:tab w:val="left" w:pos="703"/>
        </w:tabs>
        <w:spacing w:before="43" w:after="0" w:line="240" w:lineRule="auto"/>
        <w:ind w:left="702" w:right="0" w:hanging="530"/>
        <w:jc w:val="left"/>
        <w:rPr>
          <w:sz w:val="21"/>
        </w:rPr>
      </w:pPr>
      <w:r>
        <w:rPr>
          <w:spacing w:val="-8"/>
          <w:sz w:val="21"/>
        </w:rPr>
        <w:t xml:space="preserve">完全肠外营养支持 </w:t>
      </w:r>
      <w:r>
        <w:rPr>
          <w:rFonts w:ascii="Times New Roman" w:eastAsia="Times New Roman"/>
          <w:spacing w:val="-2"/>
          <w:sz w:val="21"/>
        </w:rPr>
        <w:t>3</w:t>
      </w:r>
      <w:r>
        <w:rPr>
          <w:rFonts w:ascii="Times New Roman" w:eastAsia="Times New Roman"/>
          <w:spacing w:val="4"/>
          <w:sz w:val="21"/>
        </w:rPr>
        <w:t xml:space="preserve"> </w:t>
      </w:r>
      <w:r>
        <w:rPr>
          <w:spacing w:val="-4"/>
          <w:sz w:val="21"/>
        </w:rPr>
        <w:t>个月以上。</w:t>
      </w:r>
    </w:p>
    <w:p>
      <w:pPr>
        <w:spacing w:after="0" w:line="240" w:lineRule="auto"/>
        <w:jc w:val="left"/>
        <w:rPr>
          <w:sz w:val="21"/>
        </w:rPr>
        <w:sectPr>
          <w:type w:val="continuous"/>
          <w:pgSz w:w="11910" w:h="16840"/>
          <w:pgMar w:top="500" w:right="840" w:bottom="280" w:left="860" w:header="720" w:footer="720" w:gutter="0"/>
          <w:cols w:equalWidth="0" w:num="2">
            <w:col w:w="3048" w:space="40"/>
            <w:col w:w="7122"/>
          </w:cols>
        </w:sectPr>
      </w:pPr>
    </w:p>
    <w:p>
      <w:pPr>
        <w:pStyle w:val="4"/>
        <w:spacing w:before="7"/>
      </w:pPr>
    </w:p>
    <w:p>
      <w:pPr>
        <w:pStyle w:val="8"/>
        <w:numPr>
          <w:ilvl w:val="2"/>
          <w:numId w:val="46"/>
        </w:numPr>
        <w:tabs>
          <w:tab w:val="left" w:pos="1197"/>
        </w:tabs>
        <w:spacing w:before="79" w:after="0" w:line="240" w:lineRule="auto"/>
        <w:ind w:left="1196" w:right="0" w:hanging="977"/>
        <w:jc w:val="both"/>
        <w:rPr>
          <w:sz w:val="21"/>
        </w:rPr>
      </w:pPr>
      <w:r>
        <w:rPr>
          <w:b/>
          <w:spacing w:val="55"/>
          <w:sz w:val="21"/>
        </w:rPr>
        <w:t xml:space="preserve">严重瑞氏综合征 </w:t>
      </w:r>
      <w:r>
        <w:rPr>
          <w:spacing w:val="-13"/>
          <w:sz w:val="21"/>
        </w:rPr>
        <w:t>瑞氏综合征</w:t>
      </w:r>
      <w:r>
        <w:rPr>
          <w:sz w:val="21"/>
        </w:rPr>
        <w:t>（</w:t>
      </w:r>
      <w:r>
        <w:rPr>
          <w:rFonts w:ascii="Times New Roman" w:eastAsia="Times New Roman"/>
          <w:sz w:val="21"/>
        </w:rPr>
        <w:t>Reye</w:t>
      </w:r>
      <w:r>
        <w:rPr>
          <w:rFonts w:ascii="Times New Roman" w:eastAsia="Times New Roman"/>
          <w:spacing w:val="-3"/>
          <w:sz w:val="21"/>
        </w:rPr>
        <w:t xml:space="preserve"> </w:t>
      </w:r>
      <w:r>
        <w:rPr>
          <w:sz w:val="21"/>
        </w:rPr>
        <w:t>综合征</w:t>
      </w:r>
      <w:r>
        <w:rPr>
          <w:spacing w:val="-63"/>
          <w:sz w:val="21"/>
        </w:rPr>
        <w:t>）</w:t>
      </w:r>
      <w:r>
        <w:rPr>
          <w:spacing w:val="-7"/>
          <w:sz w:val="21"/>
        </w:rPr>
        <w:t>是线粒体功能障碍性疾病。导致脂肪代谢障碍，</w:t>
      </w:r>
    </w:p>
    <w:p>
      <w:pPr>
        <w:pStyle w:val="4"/>
        <w:spacing w:before="43" w:line="278" w:lineRule="auto"/>
        <w:ind w:left="3260" w:right="236"/>
        <w:jc w:val="both"/>
      </w:pPr>
      <w:r>
        <w:rPr>
          <w:spacing w:val="-2"/>
        </w:rPr>
        <w:t>引起短链脂肪酸、血氨升高，造成脑水肿。主要临床表现为急性发热、反复呕吐、惊厥及意识障碍等。瑞氏综合征须由三级医院的专科医生明确诊断，并须满足下列全部条件：</w:t>
      </w:r>
    </w:p>
    <w:p>
      <w:pPr>
        <w:pStyle w:val="8"/>
        <w:numPr>
          <w:ilvl w:val="0"/>
          <w:numId w:val="65"/>
        </w:numPr>
        <w:tabs>
          <w:tab w:val="left" w:pos="3790"/>
        </w:tabs>
        <w:spacing w:before="0" w:after="0" w:line="269" w:lineRule="exact"/>
        <w:ind w:left="3789" w:right="0" w:hanging="530"/>
        <w:jc w:val="left"/>
        <w:rPr>
          <w:sz w:val="21"/>
        </w:rPr>
      </w:pPr>
      <w:r>
        <w:rPr>
          <w:spacing w:val="-3"/>
          <w:sz w:val="21"/>
        </w:rPr>
        <w:t>有脑水肿和颅内压升高的脑脊液检查和影像学检查证据；</w:t>
      </w:r>
    </w:p>
    <w:p>
      <w:pPr>
        <w:pStyle w:val="8"/>
        <w:numPr>
          <w:ilvl w:val="0"/>
          <w:numId w:val="65"/>
        </w:numPr>
        <w:tabs>
          <w:tab w:val="left" w:pos="3790"/>
        </w:tabs>
        <w:spacing w:before="43" w:after="0" w:line="240" w:lineRule="auto"/>
        <w:ind w:left="3789" w:right="0" w:hanging="530"/>
        <w:jc w:val="left"/>
        <w:rPr>
          <w:sz w:val="21"/>
        </w:rPr>
      </w:pPr>
      <w:r>
        <w:rPr>
          <w:spacing w:val="-7"/>
          <w:sz w:val="21"/>
        </w:rPr>
        <w:t xml:space="preserve">血氨超过正常值的 </w:t>
      </w:r>
      <w:r>
        <w:rPr>
          <w:rFonts w:ascii="Times New Roman" w:eastAsia="Times New Roman"/>
          <w:sz w:val="21"/>
        </w:rPr>
        <w:t>3</w:t>
      </w:r>
      <w:r>
        <w:rPr>
          <w:rFonts w:ascii="Times New Roman" w:eastAsia="Times New Roman"/>
          <w:spacing w:val="-12"/>
          <w:sz w:val="21"/>
        </w:rPr>
        <w:t xml:space="preserve"> </w:t>
      </w:r>
      <w:r>
        <w:rPr>
          <w:spacing w:val="-5"/>
          <w:sz w:val="21"/>
        </w:rPr>
        <w:t>倍；</w:t>
      </w:r>
    </w:p>
    <w:p>
      <w:pPr>
        <w:pStyle w:val="8"/>
        <w:numPr>
          <w:ilvl w:val="0"/>
          <w:numId w:val="65"/>
        </w:numPr>
        <w:tabs>
          <w:tab w:val="left" w:pos="3790"/>
        </w:tabs>
        <w:spacing w:before="43" w:after="0" w:line="240" w:lineRule="auto"/>
        <w:ind w:left="3789" w:right="0" w:hanging="530"/>
        <w:jc w:val="left"/>
        <w:rPr>
          <w:sz w:val="21"/>
        </w:rPr>
      </w:pPr>
      <w:r>
        <w:rPr>
          <w:spacing w:val="-5"/>
          <w:sz w:val="21"/>
        </w:rPr>
        <w:t xml:space="preserve">临床出现昏迷，病程至少达到疾病分期第 </w:t>
      </w:r>
      <w:r>
        <w:rPr>
          <w:rFonts w:ascii="Times New Roman" w:eastAsia="Times New Roman"/>
          <w:spacing w:val="-2"/>
          <w:sz w:val="21"/>
        </w:rPr>
        <w:t>3</w:t>
      </w:r>
      <w:r>
        <w:rPr>
          <w:rFonts w:ascii="Times New Roman" w:eastAsia="Times New Roman"/>
          <w:spacing w:val="5"/>
          <w:sz w:val="21"/>
        </w:rPr>
        <w:t xml:space="preserve"> </w:t>
      </w:r>
      <w:r>
        <w:rPr>
          <w:spacing w:val="-6"/>
          <w:sz w:val="21"/>
        </w:rPr>
        <w:t>期。</w:t>
      </w:r>
    </w:p>
    <w:p>
      <w:pPr>
        <w:pStyle w:val="4"/>
        <w:spacing w:before="8"/>
        <w:rPr>
          <w:sz w:val="27"/>
        </w:rPr>
      </w:pPr>
    </w:p>
    <w:p>
      <w:pPr>
        <w:pStyle w:val="8"/>
        <w:numPr>
          <w:ilvl w:val="2"/>
          <w:numId w:val="46"/>
        </w:numPr>
        <w:tabs>
          <w:tab w:val="left" w:pos="1197"/>
        </w:tabs>
        <w:spacing w:before="0" w:after="0" w:line="240" w:lineRule="auto"/>
        <w:ind w:left="1196" w:right="0" w:hanging="977"/>
        <w:jc w:val="both"/>
        <w:rPr>
          <w:sz w:val="21"/>
        </w:rPr>
      </w:pPr>
      <w:r>
        <w:rPr>
          <w:b/>
          <w:spacing w:val="21"/>
          <w:sz w:val="21"/>
        </w:rPr>
        <w:t xml:space="preserve">多处臂丛神经根性 </w:t>
      </w:r>
      <w:r>
        <w:rPr>
          <w:spacing w:val="-1"/>
          <w:sz w:val="21"/>
        </w:rPr>
        <w:t>指由于疾病或意外伤害导致至少两根臂丛神经根性撕脱，造成永久不可逆</w:t>
      </w:r>
    </w:p>
    <w:p>
      <w:pPr>
        <w:spacing w:after="0" w:line="240" w:lineRule="auto"/>
        <w:jc w:val="both"/>
        <w:rPr>
          <w:sz w:val="21"/>
        </w:rPr>
        <w:sectPr>
          <w:type w:val="continuous"/>
          <w:pgSz w:w="11910" w:h="16840"/>
          <w:pgMar w:top="500" w:right="840" w:bottom="280" w:left="860" w:header="720" w:footer="720" w:gutter="0"/>
          <w:cols w:space="720" w:num="1"/>
        </w:sectPr>
      </w:pPr>
    </w:p>
    <w:p>
      <w:pPr>
        <w:pStyle w:val="4"/>
        <w:tabs>
          <w:tab w:val="left" w:pos="3260"/>
        </w:tabs>
        <w:spacing w:before="47" w:line="278" w:lineRule="auto"/>
        <w:ind w:left="3260" w:right="234" w:hanging="2065"/>
      </w:pPr>
      <w:r>
        <w:rPr>
          <w:b/>
          <w:spacing w:val="-6"/>
        </w:rPr>
        <w:t>撕脱</w:t>
      </w:r>
      <w:r>
        <w:rPr>
          <w:b/>
        </w:rPr>
        <w:tab/>
      </w:r>
      <w:r>
        <w:rPr>
          <w:spacing w:val="-2"/>
        </w:rPr>
        <w:t>性的手臂感觉功能与运动功能完全丧失。多处臂丛神经根性撕脱须由我们认可的医院的专科医生明确诊断，并且有电生理检查结果证实。</w:t>
      </w:r>
    </w:p>
    <w:p>
      <w:pPr>
        <w:pStyle w:val="4"/>
        <w:spacing w:before="4"/>
        <w:rPr>
          <w:sz w:val="24"/>
        </w:rPr>
      </w:pPr>
    </w:p>
    <w:p>
      <w:pPr>
        <w:pStyle w:val="8"/>
        <w:numPr>
          <w:ilvl w:val="2"/>
          <w:numId w:val="46"/>
        </w:numPr>
        <w:tabs>
          <w:tab w:val="left" w:pos="1196"/>
          <w:tab w:val="left" w:pos="1197"/>
          <w:tab w:val="left" w:pos="3260"/>
        </w:tabs>
        <w:spacing w:before="0" w:after="0" w:line="240" w:lineRule="auto"/>
        <w:ind w:left="1196" w:right="0" w:hanging="977"/>
        <w:jc w:val="left"/>
        <w:rPr>
          <w:sz w:val="21"/>
        </w:rPr>
      </w:pPr>
      <w:r>
        <w:rPr>
          <w:b/>
          <w:sz w:val="21"/>
        </w:rPr>
        <w:t>溶血性尿毒综合</w:t>
      </w:r>
      <w:r>
        <w:rPr>
          <w:b/>
          <w:spacing w:val="-10"/>
          <w:sz w:val="21"/>
        </w:rPr>
        <w:t>征</w:t>
      </w:r>
      <w:r>
        <w:rPr>
          <w:b/>
          <w:sz w:val="21"/>
        </w:rPr>
        <w:tab/>
      </w:r>
      <w:r>
        <w:rPr>
          <w:spacing w:val="-2"/>
          <w:sz w:val="21"/>
        </w:rPr>
        <w:t>是一种由于感染导致的急性综合征，引起红细胞溶血，肾功能衰竭及尿</w:t>
      </w:r>
      <w:r>
        <w:rPr>
          <w:spacing w:val="-10"/>
          <w:sz w:val="21"/>
        </w:rPr>
        <w:t>毒</w:t>
      </w:r>
    </w:p>
    <w:p>
      <w:pPr>
        <w:pStyle w:val="4"/>
        <w:spacing w:before="43" w:line="278" w:lineRule="auto"/>
        <w:ind w:left="3260" w:right="234"/>
      </w:pPr>
      <w:r>
        <w:rPr>
          <w:spacing w:val="-2"/>
        </w:rPr>
        <w:t>症。溶血尿毒综合征须由血液和肾脏专科医生诊断，被保险人理赔时年龄</w:t>
      </w:r>
      <w:r>
        <w:rPr>
          <w:spacing w:val="-11"/>
        </w:rPr>
        <w:t xml:space="preserve">在 </w:t>
      </w:r>
      <w:r>
        <w:rPr>
          <w:rFonts w:ascii="Times New Roman" w:eastAsia="Times New Roman"/>
        </w:rPr>
        <w:t xml:space="preserve">25 </w:t>
      </w:r>
      <w:r>
        <w:t>周岁以下，并须满足下列全部条件：</w:t>
      </w:r>
    </w:p>
    <w:p>
      <w:pPr>
        <w:pStyle w:val="8"/>
        <w:numPr>
          <w:ilvl w:val="0"/>
          <w:numId w:val="66"/>
        </w:numPr>
        <w:tabs>
          <w:tab w:val="left" w:pos="3790"/>
        </w:tabs>
        <w:spacing w:before="0" w:after="0" w:line="240" w:lineRule="auto"/>
        <w:ind w:left="3789" w:right="0" w:hanging="530"/>
        <w:jc w:val="left"/>
        <w:rPr>
          <w:sz w:val="21"/>
        </w:rPr>
      </w:pPr>
      <w:r>
        <w:rPr>
          <w:spacing w:val="-3"/>
          <w:sz w:val="21"/>
        </w:rPr>
        <w:t>实验室检查确认有溶血性贫血、血尿、尿毒症或血小板减少性紫癜；</w:t>
      </w:r>
    </w:p>
    <w:p>
      <w:pPr>
        <w:pStyle w:val="8"/>
        <w:numPr>
          <w:ilvl w:val="0"/>
          <w:numId w:val="66"/>
        </w:numPr>
        <w:tabs>
          <w:tab w:val="left" w:pos="3790"/>
        </w:tabs>
        <w:spacing w:before="43" w:after="0" w:line="240" w:lineRule="auto"/>
        <w:ind w:left="3789" w:right="0" w:hanging="530"/>
        <w:jc w:val="left"/>
        <w:rPr>
          <w:sz w:val="21"/>
        </w:rPr>
      </w:pPr>
      <w:r>
        <w:rPr>
          <w:spacing w:val="-3"/>
          <w:sz w:val="21"/>
        </w:rPr>
        <w:t>因肾脏功能衰竭实际接受了肾脏透析治疗。</w:t>
      </w:r>
    </w:p>
    <w:p>
      <w:pPr>
        <w:pStyle w:val="4"/>
        <w:spacing w:before="7"/>
        <w:rPr>
          <w:sz w:val="25"/>
        </w:rPr>
      </w:pPr>
      <w:r>
        <w:drawing>
          <wp:anchor distT="0" distB="0" distL="0" distR="0" simplePos="0" relativeHeight="251686912" behindDoc="1" locked="0" layoutInCell="1" allowOverlap="1">
            <wp:simplePos x="0" y="0"/>
            <wp:positionH relativeFrom="page">
              <wp:posOffset>2616200</wp:posOffset>
            </wp:positionH>
            <wp:positionV relativeFrom="paragraph">
              <wp:posOffset>222885</wp:posOffset>
            </wp:positionV>
            <wp:extent cx="4256405" cy="372110"/>
            <wp:effectExtent l="0" t="0" r="0" b="0"/>
            <wp:wrapNone/>
            <wp:docPr id="7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24.png"/>
                    <pic:cNvPicPr>
                      <a:picLocks noChangeAspect="1"/>
                    </pic:cNvPicPr>
                  </pic:nvPicPr>
                  <pic:blipFill>
                    <a:blip r:embed="rId29" cstate="print"/>
                    <a:stretch>
                      <a:fillRect/>
                    </a:stretch>
                  </pic:blipFill>
                  <pic:spPr>
                    <a:xfrm>
                      <a:off x="0" y="0"/>
                      <a:ext cx="4256532" cy="371855"/>
                    </a:xfrm>
                    <a:prstGeom prst="rect">
                      <a:avLst/>
                    </a:prstGeom>
                  </pic:spPr>
                </pic:pic>
              </a:graphicData>
            </a:graphic>
          </wp:anchor>
        </w:drawing>
      </w:r>
      <w:r>
        <w:pict>
          <v:shape id="docshape32" o:spid="_x0000_s1057" o:spt="202" type="#_x0000_t202" style="position:absolute;left:0pt;margin-left:206pt;margin-top:17.55pt;height:29.3pt;width:340.7pt;mso-position-horizontal-relative:page;mso-wrap-distance-bottom:0pt;mso-wrap-distance-top:0pt;z-index:-251619328;mso-width-relative:page;mso-height-relative:page;" filled="f" stroked="f" coordsize="21600,21600">
            <v:path/>
            <v:fill on="f" focussize="0,0"/>
            <v:stroke on="f" joinstyle="miter"/>
            <v:imagedata o:title=""/>
            <o:lock v:ext="edit"/>
            <v:textbox inset="0mm,0mm,0mm,0mm">
              <w:txbxContent>
                <w:p>
                  <w:pPr>
                    <w:pStyle w:val="4"/>
                    <w:spacing w:before="3"/>
                    <w:rPr>
                      <w:rFonts w:ascii="黑体" w:eastAsia="黑体"/>
                    </w:rPr>
                  </w:pPr>
                  <w:r>
                    <w:rPr>
                      <w:rFonts w:ascii="黑体" w:eastAsia="黑体"/>
                      <w:spacing w:val="-3"/>
                    </w:rPr>
                    <w:t>任何非因感染导致的溶血性贫血，如：自身免疫性溶血性贫血、与红细胞</w:t>
                  </w:r>
                </w:p>
                <w:p>
                  <w:pPr>
                    <w:pStyle w:val="4"/>
                    <w:spacing w:before="43"/>
                    <w:rPr>
                      <w:rFonts w:ascii="黑体" w:eastAsia="黑体"/>
                    </w:rPr>
                  </w:pPr>
                  <w:r>
                    <w:rPr>
                      <w:rFonts w:ascii="黑体" w:eastAsia="黑体"/>
                      <w:spacing w:val="-7"/>
                    </w:rPr>
                    <w:t>膜缺陷有关的溶血性贫血、红细胞酶病、血红蛋白病等，不在保障范围内。</w:t>
                  </w:r>
                </w:p>
              </w:txbxContent>
            </v:textbox>
            <w10:wrap type="topAndBottom"/>
          </v:shape>
        </w:pict>
      </w:r>
    </w:p>
    <w:p>
      <w:pPr>
        <w:pStyle w:val="4"/>
        <w:rPr>
          <w:sz w:val="22"/>
        </w:rPr>
      </w:pPr>
    </w:p>
    <w:p>
      <w:pPr>
        <w:pStyle w:val="8"/>
        <w:numPr>
          <w:ilvl w:val="2"/>
          <w:numId w:val="46"/>
        </w:numPr>
        <w:tabs>
          <w:tab w:val="left" w:pos="1197"/>
        </w:tabs>
        <w:spacing w:before="72" w:after="0" w:line="240" w:lineRule="auto"/>
        <w:ind w:left="1196" w:right="0" w:hanging="977"/>
        <w:jc w:val="both"/>
        <w:rPr>
          <w:sz w:val="21"/>
        </w:rPr>
      </w:pPr>
      <w:r>
        <w:rPr>
          <w:b/>
          <w:sz w:val="21"/>
        </w:rPr>
        <w:t>亚历山大病</w:t>
      </w:r>
      <w:r>
        <w:rPr>
          <w:b/>
          <w:spacing w:val="841"/>
          <w:sz w:val="21"/>
        </w:rPr>
        <w:t xml:space="preserve"> </w:t>
      </w:r>
      <w:r>
        <w:rPr>
          <w:spacing w:val="-1"/>
          <w:sz w:val="21"/>
        </w:rPr>
        <w:t>是一种遗传性中枢神经系统退行性病变，特点为脑白质营养不良性。临床</w:t>
      </w:r>
    </w:p>
    <w:p>
      <w:pPr>
        <w:pStyle w:val="4"/>
        <w:spacing w:before="43" w:line="278" w:lineRule="auto"/>
        <w:ind w:left="3260" w:right="234"/>
        <w:jc w:val="both"/>
      </w:pPr>
      <w:r>
        <w:rPr>
          <w:spacing w:val="-2"/>
        </w:rPr>
        <w:t>表现为惊厥发作、智力下降、球麻痹、共济失调、痉性瘫痪。亚历山大病须由我们认可的医院的专科医生明确诊断，并且造成永久性神经系统功能障碍。被保险人自主生活能力完全丧失，无法独立完成六项基本日常生活活动中的三项或三项以上，日常生活必须持续受到他人监护。</w:t>
      </w:r>
    </w:p>
    <w:p>
      <w:pPr>
        <w:pStyle w:val="4"/>
        <w:spacing w:before="9"/>
        <w:rPr>
          <w:sz w:val="18"/>
        </w:rPr>
      </w:pPr>
    </w:p>
    <w:p>
      <w:pPr>
        <w:pStyle w:val="4"/>
        <w:spacing w:before="72"/>
        <w:ind w:left="3260"/>
        <w:rPr>
          <w:rFonts w:ascii="黑体" w:eastAsia="黑体"/>
        </w:rPr>
      </w:pPr>
      <w:r>
        <w:rPr>
          <w:rFonts w:ascii="黑体" w:eastAsia="黑体"/>
          <w:color w:val="000000"/>
          <w:spacing w:val="-3"/>
          <w:shd w:val="clear" w:color="auto" w:fill="D9D9D9"/>
        </w:rPr>
        <w:t>未明确诊断的疑似病例不在保障范围内。</w:t>
      </w:r>
    </w:p>
    <w:p>
      <w:pPr>
        <w:pStyle w:val="4"/>
        <w:spacing w:before="9"/>
        <w:rPr>
          <w:rFonts w:ascii="黑体"/>
          <w:sz w:val="27"/>
        </w:rPr>
      </w:pPr>
    </w:p>
    <w:p>
      <w:pPr>
        <w:pStyle w:val="4"/>
        <w:ind w:left="3260"/>
      </w:pPr>
      <w:r>
        <w:rPr>
          <w:spacing w:val="-2"/>
        </w:rPr>
        <w:t>我们承担该项保险责任，不受本保险条款责任免除第（</w:t>
      </w:r>
      <w:r>
        <w:rPr>
          <w:rFonts w:ascii="Times New Roman" w:eastAsia="Times New Roman"/>
          <w:spacing w:val="-2"/>
        </w:rPr>
        <w:t>7</w:t>
      </w:r>
      <w:r>
        <w:rPr>
          <w:spacing w:val="-2"/>
        </w:rPr>
        <w:t>）</w:t>
      </w:r>
      <w:r>
        <w:rPr>
          <w:spacing w:val="-4"/>
        </w:rPr>
        <w:t>条限制。</w:t>
      </w:r>
    </w:p>
    <w:p>
      <w:pPr>
        <w:pStyle w:val="4"/>
        <w:spacing w:before="8"/>
        <w:rPr>
          <w:sz w:val="27"/>
        </w:rPr>
      </w:pPr>
    </w:p>
    <w:p>
      <w:pPr>
        <w:pStyle w:val="8"/>
        <w:numPr>
          <w:ilvl w:val="2"/>
          <w:numId w:val="46"/>
        </w:numPr>
        <w:tabs>
          <w:tab w:val="left" w:pos="1196"/>
          <w:tab w:val="left" w:pos="1197"/>
          <w:tab w:val="left" w:pos="3260"/>
        </w:tabs>
        <w:spacing w:before="1" w:after="0" w:line="240" w:lineRule="auto"/>
        <w:ind w:left="1196" w:right="0" w:hanging="977"/>
        <w:jc w:val="left"/>
        <w:rPr>
          <w:sz w:val="21"/>
        </w:rPr>
      </w:pPr>
      <w:r>
        <w:rPr>
          <w:b/>
          <w:sz w:val="21"/>
        </w:rPr>
        <w:t>多发性骨髓</w:t>
      </w:r>
      <w:r>
        <w:rPr>
          <w:b/>
          <w:spacing w:val="-10"/>
          <w:sz w:val="21"/>
        </w:rPr>
        <w:t>瘤</w:t>
      </w:r>
      <w:r>
        <w:rPr>
          <w:b/>
          <w:sz w:val="21"/>
        </w:rPr>
        <w:tab/>
      </w:r>
      <w:r>
        <w:rPr>
          <w:spacing w:val="-2"/>
          <w:sz w:val="21"/>
        </w:rPr>
        <w:t>是一种浆细胞异常增生的恶性肿瘤。须满足下列全部条件</w:t>
      </w:r>
      <w:r>
        <w:rPr>
          <w:spacing w:val="-10"/>
          <w:sz w:val="21"/>
        </w:rPr>
        <w:t>：</w:t>
      </w:r>
    </w:p>
    <w:p>
      <w:pPr>
        <w:pStyle w:val="8"/>
        <w:numPr>
          <w:ilvl w:val="0"/>
          <w:numId w:val="67"/>
        </w:numPr>
        <w:tabs>
          <w:tab w:val="left" w:pos="3790"/>
        </w:tabs>
        <w:spacing w:before="43" w:after="0" w:line="240" w:lineRule="auto"/>
        <w:ind w:left="3789" w:right="0" w:hanging="530"/>
        <w:jc w:val="left"/>
        <w:rPr>
          <w:sz w:val="21"/>
        </w:rPr>
      </w:pPr>
      <w:r>
        <w:rPr>
          <w:spacing w:val="-3"/>
          <w:sz w:val="21"/>
        </w:rPr>
        <w:t>骨髓活组织检查符合多发性骨髓瘤的典型骨髓改变；</w:t>
      </w:r>
    </w:p>
    <w:p>
      <w:pPr>
        <w:pStyle w:val="8"/>
        <w:numPr>
          <w:ilvl w:val="0"/>
          <w:numId w:val="67"/>
        </w:numPr>
        <w:tabs>
          <w:tab w:val="left" w:pos="3790"/>
        </w:tabs>
        <w:spacing w:before="43" w:after="0" w:line="240" w:lineRule="auto"/>
        <w:ind w:left="3789" w:right="0" w:hanging="530"/>
        <w:jc w:val="left"/>
        <w:rPr>
          <w:sz w:val="21"/>
        </w:rPr>
      </w:pPr>
      <w:r>
        <w:rPr>
          <w:spacing w:val="-3"/>
          <w:sz w:val="21"/>
        </w:rPr>
        <w:t>至少存在下列一项：</w:t>
      </w:r>
    </w:p>
    <w:p>
      <w:pPr>
        <w:pStyle w:val="4"/>
        <w:spacing w:before="42"/>
        <w:ind w:left="3786"/>
      </w:pPr>
      <w:r>
        <w:rPr>
          <w:spacing w:val="-5"/>
        </w:rPr>
        <w:t>① 异常球蛋白血症；</w:t>
      </w:r>
    </w:p>
    <w:p>
      <w:pPr>
        <w:pStyle w:val="4"/>
        <w:spacing w:before="43"/>
        <w:ind w:left="3786"/>
      </w:pPr>
      <w:r>
        <w:rPr>
          <w:spacing w:val="-4"/>
        </w:rPr>
        <w:t>② 溶骨性损害。</w:t>
      </w:r>
    </w:p>
    <w:p>
      <w:pPr>
        <w:pStyle w:val="4"/>
        <w:spacing w:before="9"/>
        <w:rPr>
          <w:sz w:val="27"/>
        </w:rPr>
      </w:pPr>
    </w:p>
    <w:p>
      <w:pPr>
        <w:pStyle w:val="8"/>
        <w:numPr>
          <w:ilvl w:val="2"/>
          <w:numId w:val="46"/>
        </w:numPr>
        <w:tabs>
          <w:tab w:val="left" w:pos="1197"/>
          <w:tab w:val="left" w:pos="3260"/>
        </w:tabs>
        <w:spacing w:before="0" w:after="0" w:line="240" w:lineRule="auto"/>
        <w:ind w:left="1196" w:right="0" w:hanging="977"/>
        <w:jc w:val="left"/>
        <w:rPr>
          <w:sz w:val="21"/>
        </w:rPr>
      </w:pPr>
      <w:r>
        <w:rPr>
          <w:b/>
          <w:sz w:val="21"/>
        </w:rPr>
        <w:t>室壁瘤切除手</w:t>
      </w:r>
      <w:r>
        <w:rPr>
          <w:b/>
          <w:spacing w:val="-10"/>
          <w:sz w:val="21"/>
        </w:rPr>
        <w:t>术</w:t>
      </w:r>
      <w:r>
        <w:rPr>
          <w:b/>
          <w:sz w:val="21"/>
        </w:rPr>
        <w:tab/>
      </w:r>
      <w:r>
        <w:rPr>
          <w:spacing w:val="-2"/>
          <w:sz w:val="21"/>
        </w:rPr>
        <w:t>指被保险人被明确诊断为左室室壁瘤，并实际接受了开胸开心进行的室</w:t>
      </w:r>
      <w:r>
        <w:rPr>
          <w:spacing w:val="-10"/>
          <w:sz w:val="21"/>
        </w:rPr>
        <w:t>壁</w:t>
      </w:r>
    </w:p>
    <w:p>
      <w:pPr>
        <w:pStyle w:val="4"/>
        <w:spacing w:before="43"/>
        <w:ind w:left="3260"/>
      </w:pPr>
      <w:r>
        <w:rPr>
          <w:spacing w:val="-4"/>
        </w:rPr>
        <w:t>瘤切除手术治疗。</w:t>
      </w:r>
    </w:p>
    <w:p>
      <w:pPr>
        <w:pStyle w:val="4"/>
        <w:spacing w:before="2"/>
        <w:rPr>
          <w:sz w:val="22"/>
        </w:rPr>
      </w:pPr>
    </w:p>
    <w:p>
      <w:pPr>
        <w:pStyle w:val="4"/>
        <w:spacing w:before="71"/>
        <w:ind w:left="3260"/>
        <w:rPr>
          <w:rFonts w:ascii="黑体" w:eastAsia="黑体"/>
        </w:rPr>
      </w:pPr>
      <w:r>
        <w:rPr>
          <w:rFonts w:ascii="黑体" w:eastAsia="黑体"/>
          <w:color w:val="000000"/>
          <w:spacing w:val="-3"/>
          <w:shd w:val="clear" w:color="auto" w:fill="D9D9D9"/>
        </w:rPr>
        <w:t>经导管心室内成型手术治疗不在保障范围内。</w:t>
      </w:r>
    </w:p>
    <w:p>
      <w:pPr>
        <w:spacing w:after="0"/>
        <w:rPr>
          <w:rFonts w:ascii="黑体" w:eastAsia="黑体"/>
        </w:rPr>
        <w:sectPr>
          <w:pgSz w:w="11910" w:h="16840"/>
          <w:pgMar w:top="1400" w:right="840" w:bottom="280" w:left="860" w:header="720" w:footer="720" w:gutter="0"/>
          <w:cols w:space="720" w:num="1"/>
        </w:sectPr>
      </w:pPr>
    </w:p>
    <w:p>
      <w:pPr>
        <w:spacing w:before="47" w:line="278" w:lineRule="auto"/>
        <w:ind w:left="942" w:right="168" w:firstLine="0"/>
        <w:jc w:val="left"/>
        <w:rPr>
          <w:b/>
          <w:sz w:val="21"/>
        </w:rPr>
      </w:pPr>
      <w:r>
        <w:rPr>
          <w:b/>
          <w:spacing w:val="-4"/>
          <w:sz w:val="21"/>
        </w:rPr>
        <w:t xml:space="preserve">附表一： </w:t>
      </w:r>
      <w:r>
        <w:rPr>
          <w:b/>
          <w:spacing w:val="-2"/>
          <w:sz w:val="21"/>
        </w:rPr>
        <w:t>保障计划表</w:t>
      </w:r>
    </w:p>
    <w:p>
      <w:pPr>
        <w:pStyle w:val="4"/>
        <w:rPr>
          <w:b/>
          <w:sz w:val="20"/>
        </w:rPr>
      </w:pPr>
    </w:p>
    <w:tbl>
      <w:tblPr>
        <w:tblStyle w:val="5"/>
        <w:tblpPr w:leftFromText="180" w:rightFromText="180" w:vertAnchor="text" w:horzAnchor="page" w:tblpX="1692" w:tblpY="106"/>
        <w:tblOverlap w:val="never"/>
        <w:tblW w:w="9199" w:type="dxa"/>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2923"/>
        <w:gridCol w:w="3166"/>
        <w:gridCol w:w="3110"/>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1" w:hRule="atLeast"/>
        </w:trPr>
        <w:tc>
          <w:tcPr>
            <w:tcW w:w="2923" w:type="dxa"/>
            <w:tcBorders>
              <w:bottom w:val="single" w:color="000000" w:sz="4" w:space="0"/>
              <w:right w:val="single" w:color="000000" w:sz="4" w:space="0"/>
            </w:tcBorders>
          </w:tcPr>
          <w:p>
            <w:pPr>
              <w:pStyle w:val="9"/>
              <w:rPr>
                <w:rFonts w:ascii="Times New Roman"/>
                <w:sz w:val="20"/>
              </w:rPr>
            </w:pPr>
          </w:p>
        </w:tc>
        <w:tc>
          <w:tcPr>
            <w:tcW w:w="3166" w:type="dxa"/>
            <w:tcBorders>
              <w:left w:val="single" w:color="000000" w:sz="4" w:space="0"/>
              <w:bottom w:val="single" w:color="000000" w:sz="4" w:space="0"/>
              <w:right w:val="single" w:color="000000" w:sz="4" w:space="0"/>
            </w:tcBorders>
          </w:tcPr>
          <w:p>
            <w:pPr>
              <w:pStyle w:val="9"/>
              <w:spacing w:before="27"/>
              <w:ind w:left="148" w:right="118"/>
              <w:jc w:val="center"/>
              <w:rPr>
                <w:sz w:val="21"/>
              </w:rPr>
            </w:pPr>
            <w:r>
              <w:rPr>
                <w:spacing w:val="-4"/>
                <w:sz w:val="21"/>
              </w:rPr>
              <w:t>乐享计划</w:t>
            </w:r>
          </w:p>
        </w:tc>
        <w:tc>
          <w:tcPr>
            <w:tcW w:w="3110" w:type="dxa"/>
            <w:tcBorders>
              <w:left w:val="single" w:color="000000" w:sz="4" w:space="0"/>
              <w:bottom w:val="single" w:color="000000" w:sz="4" w:space="0"/>
            </w:tcBorders>
          </w:tcPr>
          <w:p>
            <w:pPr>
              <w:pStyle w:val="9"/>
              <w:spacing w:before="27"/>
              <w:ind w:left="114" w:right="86"/>
              <w:jc w:val="center"/>
              <w:rPr>
                <w:sz w:val="21"/>
              </w:rPr>
            </w:pPr>
            <w:r>
              <w:rPr>
                <w:spacing w:val="-4"/>
                <w:sz w:val="21"/>
              </w:rPr>
              <w:t>尊享计划</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269" w:hRule="atLeast"/>
        </w:trPr>
        <w:tc>
          <w:tcPr>
            <w:tcW w:w="2923" w:type="dxa"/>
            <w:tcBorders>
              <w:top w:val="single" w:color="000000" w:sz="4" w:space="0"/>
              <w:bottom w:val="single" w:color="000000" w:sz="4" w:space="0"/>
              <w:right w:val="single" w:color="000000" w:sz="4" w:space="0"/>
            </w:tcBorders>
          </w:tcPr>
          <w:p>
            <w:pPr>
              <w:pStyle w:val="9"/>
              <w:rPr>
                <w:b/>
                <w:sz w:val="20"/>
              </w:rPr>
            </w:pPr>
          </w:p>
          <w:p>
            <w:pPr>
              <w:pStyle w:val="9"/>
              <w:spacing w:before="8"/>
              <w:rPr>
                <w:b/>
                <w:sz w:val="18"/>
              </w:rPr>
            </w:pPr>
          </w:p>
          <w:p>
            <w:pPr>
              <w:pStyle w:val="9"/>
              <w:ind w:left="568"/>
              <w:rPr>
                <w:sz w:val="21"/>
              </w:rPr>
            </w:pPr>
            <w:r>
              <w:rPr>
                <w:spacing w:val="-4"/>
                <w:sz w:val="21"/>
              </w:rPr>
              <w:t>医院范围释义</w:t>
            </w:r>
          </w:p>
        </w:tc>
        <w:tc>
          <w:tcPr>
            <w:tcW w:w="3166" w:type="dxa"/>
            <w:tcBorders>
              <w:top w:val="single" w:color="000000" w:sz="4" w:space="0"/>
              <w:left w:val="single" w:color="000000" w:sz="4" w:space="0"/>
              <w:bottom w:val="single" w:color="000000" w:sz="4" w:space="0"/>
              <w:right w:val="single" w:color="000000" w:sz="4" w:space="0"/>
            </w:tcBorders>
          </w:tcPr>
          <w:p>
            <w:pPr>
              <w:pStyle w:val="9"/>
              <w:spacing w:before="27"/>
              <w:ind w:left="147" w:right="120"/>
              <w:jc w:val="center"/>
              <w:rPr>
                <w:sz w:val="21"/>
              </w:rPr>
            </w:pPr>
            <w:r>
              <w:rPr>
                <w:spacing w:val="-3"/>
                <w:sz w:val="21"/>
              </w:rPr>
              <w:t>二级或二级以上公立医院</w:t>
            </w:r>
          </w:p>
          <w:p>
            <w:pPr>
              <w:pStyle w:val="9"/>
              <w:spacing w:before="43" w:line="278" w:lineRule="auto"/>
              <w:ind w:left="150" w:right="120"/>
              <w:jc w:val="center"/>
              <w:rPr>
                <w:sz w:val="21"/>
              </w:rPr>
            </w:pPr>
            <w:r>
              <w:rPr>
                <w:color w:val="000000"/>
                <w:spacing w:val="-2"/>
                <w:sz w:val="21"/>
                <w:shd w:val="clear" w:color="auto" w:fill="D9D9D9"/>
              </w:rPr>
              <w:t>（不含其附属的国际医</w:t>
            </w:r>
            <w:r>
              <w:rPr>
                <w:color w:val="000000"/>
                <w:spacing w:val="80"/>
                <w:w w:val="150"/>
                <w:sz w:val="21"/>
                <w:shd w:val="clear" w:color="auto" w:fill="D9D9D9"/>
              </w:rPr>
              <w:t xml:space="preserve">            </w:t>
            </w:r>
            <w:r>
              <w:rPr>
                <w:color w:val="000000"/>
                <w:spacing w:val="-2"/>
                <w:sz w:val="21"/>
                <w:shd w:val="clear" w:color="auto" w:fill="D9D9D9"/>
              </w:rPr>
              <w:t>疗、特需医疗或相类似的部门和科室）</w:t>
            </w:r>
          </w:p>
        </w:tc>
        <w:tc>
          <w:tcPr>
            <w:tcW w:w="3110" w:type="dxa"/>
            <w:tcBorders>
              <w:top w:val="single" w:color="000000" w:sz="4" w:space="0"/>
              <w:left w:val="single" w:color="000000" w:sz="4" w:space="0"/>
              <w:bottom w:val="single" w:color="000000" w:sz="4" w:space="0"/>
            </w:tcBorders>
          </w:tcPr>
          <w:p>
            <w:pPr>
              <w:pStyle w:val="9"/>
              <w:spacing w:before="27"/>
              <w:ind w:left="116" w:right="86"/>
              <w:jc w:val="center"/>
              <w:rPr>
                <w:sz w:val="21"/>
              </w:rPr>
            </w:pPr>
            <w:r>
              <w:rPr>
                <w:spacing w:val="-3"/>
                <w:sz w:val="21"/>
              </w:rPr>
              <w:t>二级或二级以上公立医院</w:t>
            </w:r>
          </w:p>
          <w:p>
            <w:pPr>
              <w:pStyle w:val="9"/>
              <w:spacing w:before="43" w:line="278" w:lineRule="auto"/>
              <w:ind w:left="119" w:right="86"/>
              <w:jc w:val="center"/>
              <w:rPr>
                <w:sz w:val="21"/>
              </w:rPr>
            </w:pPr>
            <w:r>
              <w:rPr>
                <w:color w:val="000000"/>
                <w:spacing w:val="-2"/>
                <w:sz w:val="21"/>
                <w:shd w:val="clear" w:color="auto" w:fill="D9D9D9"/>
              </w:rPr>
              <w:t>（含其附属的国际医疗、</w:t>
            </w:r>
            <w:r>
              <w:rPr>
                <w:color w:val="000000"/>
                <w:spacing w:val="80"/>
                <w:w w:val="150"/>
                <w:sz w:val="21"/>
                <w:shd w:val="clear" w:color="auto" w:fill="D9D9D9"/>
              </w:rPr>
              <w:t xml:space="preserve">            </w:t>
            </w:r>
            <w:r>
              <w:rPr>
                <w:color w:val="000000"/>
                <w:spacing w:val="-2"/>
                <w:sz w:val="21"/>
                <w:shd w:val="clear" w:color="auto" w:fill="D9D9D9"/>
              </w:rPr>
              <w:t>特需医疗或相类似的部门</w:t>
            </w:r>
            <w:r>
              <w:rPr>
                <w:color w:val="000000"/>
                <w:spacing w:val="-4"/>
                <w:sz w:val="21"/>
                <w:shd w:val="clear" w:color="auto" w:fill="D9D9D9"/>
              </w:rPr>
              <w:t>和科室）</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078" w:hRule="atLeast"/>
        </w:trPr>
        <w:tc>
          <w:tcPr>
            <w:tcW w:w="2923" w:type="dxa"/>
            <w:tcBorders>
              <w:top w:val="single" w:color="000000" w:sz="4" w:space="0"/>
              <w:bottom w:val="single" w:color="000000" w:sz="4" w:space="0"/>
              <w:right w:val="single" w:color="000000" w:sz="4" w:space="0"/>
            </w:tcBorders>
          </w:tcPr>
          <w:p>
            <w:pPr>
              <w:pStyle w:val="9"/>
              <w:spacing w:before="85" w:line="278" w:lineRule="auto"/>
              <w:ind w:left="107" w:right="74"/>
              <w:rPr>
                <w:sz w:val="21"/>
              </w:rPr>
            </w:pPr>
            <w:r>
              <w:rPr>
                <w:spacing w:val="-2"/>
                <w:sz w:val="21"/>
              </w:rPr>
              <w:t>一般医疗保险金年度给</w:t>
            </w:r>
            <w:r>
              <w:rPr>
                <w:spacing w:val="-4"/>
                <w:sz w:val="21"/>
              </w:rPr>
              <w:t>付限额</w:t>
            </w:r>
          </w:p>
        </w:tc>
        <w:tc>
          <w:tcPr>
            <w:tcW w:w="3166" w:type="dxa"/>
            <w:tcBorders>
              <w:top w:val="single" w:color="000000" w:sz="4" w:space="0"/>
              <w:left w:val="single" w:color="000000" w:sz="4" w:space="0"/>
              <w:bottom w:val="single" w:color="000000" w:sz="4" w:space="0"/>
              <w:right w:val="single" w:color="000000" w:sz="4" w:space="0"/>
            </w:tcBorders>
          </w:tcPr>
          <w:p>
            <w:pPr>
              <w:pStyle w:val="9"/>
              <w:spacing w:before="10"/>
              <w:rPr>
                <w:b/>
                <w:sz w:val="18"/>
              </w:rPr>
            </w:pPr>
          </w:p>
          <w:p>
            <w:pPr>
              <w:pStyle w:val="9"/>
              <w:ind w:left="148" w:right="118"/>
              <w:jc w:val="center"/>
              <w:rPr>
                <w:sz w:val="21"/>
              </w:rPr>
            </w:pPr>
            <w:r>
              <w:rPr>
                <w:spacing w:val="-2"/>
                <w:sz w:val="21"/>
              </w:rPr>
              <w:t>200</w:t>
            </w:r>
            <w:r>
              <w:rPr>
                <w:spacing w:val="-20"/>
                <w:sz w:val="21"/>
              </w:rPr>
              <w:t xml:space="preserve"> 万元</w:t>
            </w:r>
          </w:p>
        </w:tc>
        <w:tc>
          <w:tcPr>
            <w:tcW w:w="3110" w:type="dxa"/>
            <w:tcBorders>
              <w:top w:val="single" w:color="000000" w:sz="4" w:space="0"/>
              <w:left w:val="single" w:color="000000" w:sz="4" w:space="0"/>
              <w:bottom w:val="single" w:color="000000" w:sz="4" w:space="0"/>
            </w:tcBorders>
          </w:tcPr>
          <w:p>
            <w:pPr>
              <w:pStyle w:val="9"/>
              <w:spacing w:before="10"/>
              <w:rPr>
                <w:b/>
                <w:sz w:val="18"/>
              </w:rPr>
            </w:pPr>
          </w:p>
          <w:p>
            <w:pPr>
              <w:pStyle w:val="9"/>
              <w:ind w:left="114" w:right="86"/>
              <w:jc w:val="center"/>
              <w:rPr>
                <w:sz w:val="21"/>
              </w:rPr>
            </w:pPr>
            <w:r>
              <w:rPr>
                <w:spacing w:val="-2"/>
                <w:sz w:val="21"/>
              </w:rPr>
              <w:t>200</w:t>
            </w:r>
            <w:r>
              <w:rPr>
                <w:spacing w:val="-20"/>
                <w:sz w:val="21"/>
              </w:rPr>
              <w:t xml:space="preserve"> 万元</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031" w:hRule="atLeast"/>
        </w:trPr>
        <w:tc>
          <w:tcPr>
            <w:tcW w:w="2923" w:type="dxa"/>
            <w:tcBorders>
              <w:top w:val="single" w:color="000000" w:sz="4" w:space="0"/>
              <w:bottom w:val="single" w:color="000000" w:sz="4" w:space="0"/>
              <w:right w:val="single" w:color="000000" w:sz="4" w:space="0"/>
            </w:tcBorders>
          </w:tcPr>
          <w:p>
            <w:pPr>
              <w:pStyle w:val="9"/>
              <w:spacing w:before="40" w:line="324" w:lineRule="auto"/>
              <w:ind w:left="325" w:right="76"/>
              <w:rPr>
                <w:sz w:val="18"/>
              </w:rPr>
            </w:pPr>
            <w:r>
              <w:rPr>
                <w:spacing w:val="-2"/>
                <w:sz w:val="18"/>
              </w:rPr>
              <w:t>其中：质子重离子医疗费用年度给付限额</w:t>
            </w:r>
          </w:p>
        </w:tc>
        <w:tc>
          <w:tcPr>
            <w:tcW w:w="3166" w:type="dxa"/>
            <w:tcBorders>
              <w:top w:val="single" w:color="000000" w:sz="4" w:space="0"/>
              <w:left w:val="single" w:color="000000" w:sz="4" w:space="0"/>
              <w:bottom w:val="single" w:color="000000" w:sz="4" w:space="0"/>
              <w:right w:val="single" w:color="000000" w:sz="4" w:space="0"/>
            </w:tcBorders>
          </w:tcPr>
          <w:p>
            <w:pPr>
              <w:pStyle w:val="9"/>
              <w:spacing w:before="4"/>
              <w:rPr>
                <w:b/>
                <w:sz w:val="16"/>
              </w:rPr>
            </w:pPr>
          </w:p>
          <w:p>
            <w:pPr>
              <w:pStyle w:val="9"/>
              <w:spacing w:before="1"/>
              <w:ind w:left="148" w:right="118"/>
              <w:jc w:val="center"/>
              <w:rPr>
                <w:sz w:val="21"/>
              </w:rPr>
            </w:pPr>
            <w:r>
              <w:rPr>
                <w:spacing w:val="-2"/>
                <w:sz w:val="21"/>
              </w:rPr>
              <w:t>100</w:t>
            </w:r>
            <w:r>
              <w:rPr>
                <w:spacing w:val="-20"/>
                <w:sz w:val="21"/>
              </w:rPr>
              <w:t xml:space="preserve"> 万元</w:t>
            </w:r>
          </w:p>
        </w:tc>
        <w:tc>
          <w:tcPr>
            <w:tcW w:w="3110" w:type="dxa"/>
            <w:tcBorders>
              <w:top w:val="single" w:color="000000" w:sz="4" w:space="0"/>
              <w:left w:val="single" w:color="000000" w:sz="4" w:space="0"/>
              <w:bottom w:val="single" w:color="000000" w:sz="4" w:space="0"/>
            </w:tcBorders>
          </w:tcPr>
          <w:p>
            <w:pPr>
              <w:pStyle w:val="9"/>
              <w:spacing w:before="4"/>
              <w:rPr>
                <w:b/>
                <w:sz w:val="16"/>
              </w:rPr>
            </w:pPr>
          </w:p>
          <w:p>
            <w:pPr>
              <w:pStyle w:val="9"/>
              <w:spacing w:before="1"/>
              <w:ind w:left="114" w:right="86"/>
              <w:jc w:val="center"/>
              <w:rPr>
                <w:sz w:val="21"/>
              </w:rPr>
            </w:pPr>
            <w:r>
              <w:rPr>
                <w:spacing w:val="-2"/>
                <w:sz w:val="21"/>
              </w:rPr>
              <w:t>100</w:t>
            </w:r>
            <w:r>
              <w:rPr>
                <w:spacing w:val="-20"/>
                <w:sz w:val="21"/>
              </w:rPr>
              <w:t xml:space="preserve"> 万元</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078" w:hRule="atLeast"/>
        </w:trPr>
        <w:tc>
          <w:tcPr>
            <w:tcW w:w="2923" w:type="dxa"/>
            <w:tcBorders>
              <w:top w:val="single" w:color="000000" w:sz="4" w:space="0"/>
              <w:bottom w:val="single" w:color="000000" w:sz="4" w:space="0"/>
              <w:right w:val="single" w:color="000000" w:sz="4" w:space="0"/>
            </w:tcBorders>
          </w:tcPr>
          <w:p>
            <w:pPr>
              <w:pStyle w:val="9"/>
              <w:spacing w:before="85" w:line="278" w:lineRule="auto"/>
              <w:ind w:left="107" w:right="74"/>
              <w:rPr>
                <w:sz w:val="21"/>
              </w:rPr>
            </w:pPr>
            <w:r>
              <w:rPr>
                <w:spacing w:val="-2"/>
                <w:sz w:val="21"/>
              </w:rPr>
              <w:t>重大疾病医疗保险金年度给付限额</w:t>
            </w:r>
          </w:p>
        </w:tc>
        <w:tc>
          <w:tcPr>
            <w:tcW w:w="3166" w:type="dxa"/>
            <w:tcBorders>
              <w:top w:val="single" w:color="000000" w:sz="4" w:space="0"/>
              <w:left w:val="single" w:color="000000" w:sz="4" w:space="0"/>
              <w:bottom w:val="single" w:color="000000" w:sz="4" w:space="0"/>
              <w:right w:val="single" w:color="000000" w:sz="4" w:space="0"/>
            </w:tcBorders>
          </w:tcPr>
          <w:p>
            <w:pPr>
              <w:pStyle w:val="9"/>
              <w:spacing w:before="10"/>
              <w:rPr>
                <w:b/>
                <w:sz w:val="18"/>
              </w:rPr>
            </w:pPr>
          </w:p>
          <w:p>
            <w:pPr>
              <w:pStyle w:val="9"/>
              <w:ind w:left="148" w:right="118"/>
              <w:jc w:val="center"/>
              <w:rPr>
                <w:sz w:val="21"/>
              </w:rPr>
            </w:pPr>
            <w:r>
              <w:rPr>
                <w:spacing w:val="-2"/>
                <w:sz w:val="21"/>
              </w:rPr>
              <w:t>200</w:t>
            </w:r>
            <w:r>
              <w:rPr>
                <w:spacing w:val="-20"/>
                <w:sz w:val="21"/>
              </w:rPr>
              <w:t xml:space="preserve"> 万元</w:t>
            </w:r>
          </w:p>
        </w:tc>
        <w:tc>
          <w:tcPr>
            <w:tcW w:w="3110" w:type="dxa"/>
            <w:tcBorders>
              <w:top w:val="single" w:color="000000" w:sz="4" w:space="0"/>
              <w:left w:val="single" w:color="000000" w:sz="4" w:space="0"/>
              <w:bottom w:val="single" w:color="000000" w:sz="4" w:space="0"/>
            </w:tcBorders>
          </w:tcPr>
          <w:p>
            <w:pPr>
              <w:pStyle w:val="9"/>
              <w:spacing w:before="10"/>
              <w:rPr>
                <w:b/>
                <w:sz w:val="18"/>
              </w:rPr>
            </w:pPr>
          </w:p>
          <w:p>
            <w:pPr>
              <w:pStyle w:val="9"/>
              <w:ind w:left="114" w:right="86"/>
              <w:jc w:val="center"/>
              <w:rPr>
                <w:sz w:val="21"/>
              </w:rPr>
            </w:pPr>
            <w:r>
              <w:rPr>
                <w:spacing w:val="-2"/>
                <w:sz w:val="21"/>
              </w:rPr>
              <w:t>200</w:t>
            </w:r>
            <w:r>
              <w:rPr>
                <w:spacing w:val="-20"/>
                <w:sz w:val="21"/>
              </w:rPr>
              <w:t xml:space="preserve"> 万元</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196" w:hRule="atLeast"/>
        </w:trPr>
        <w:tc>
          <w:tcPr>
            <w:tcW w:w="2923" w:type="dxa"/>
            <w:tcBorders>
              <w:top w:val="single" w:color="000000" w:sz="4" w:space="0"/>
              <w:bottom w:val="single" w:color="000000" w:sz="4" w:space="0"/>
              <w:right w:val="single" w:color="000000" w:sz="4" w:space="0"/>
            </w:tcBorders>
          </w:tcPr>
          <w:p>
            <w:pPr>
              <w:pStyle w:val="9"/>
              <w:spacing w:before="1"/>
              <w:rPr>
                <w:b/>
                <w:sz w:val="14"/>
              </w:rPr>
            </w:pPr>
          </w:p>
          <w:p>
            <w:pPr>
              <w:pStyle w:val="9"/>
              <w:ind w:left="107"/>
              <w:rPr>
                <w:sz w:val="21"/>
              </w:rPr>
            </w:pPr>
            <w:r>
              <w:rPr>
                <w:spacing w:val="-4"/>
                <w:sz w:val="21"/>
              </w:rPr>
              <w:t>床位费日给付限额</w:t>
            </w:r>
          </w:p>
        </w:tc>
        <w:tc>
          <w:tcPr>
            <w:tcW w:w="3166" w:type="dxa"/>
            <w:tcBorders>
              <w:top w:val="single" w:color="000000" w:sz="4" w:space="0"/>
              <w:left w:val="single" w:color="000000" w:sz="4" w:space="0"/>
              <w:bottom w:val="single" w:color="000000" w:sz="4" w:space="0"/>
              <w:right w:val="single" w:color="000000" w:sz="4" w:space="0"/>
            </w:tcBorders>
          </w:tcPr>
          <w:p>
            <w:pPr>
              <w:pStyle w:val="9"/>
              <w:spacing w:before="25"/>
              <w:ind w:left="147" w:right="120"/>
              <w:jc w:val="center"/>
              <w:rPr>
                <w:sz w:val="21"/>
              </w:rPr>
            </w:pPr>
            <w:r>
              <w:rPr>
                <w:spacing w:val="-3"/>
                <w:sz w:val="21"/>
              </w:rPr>
              <w:t>质子重离子治疗的床位费</w:t>
            </w:r>
          </w:p>
          <w:p>
            <w:pPr>
              <w:pStyle w:val="9"/>
              <w:spacing w:before="43" w:line="267" w:lineRule="exact"/>
              <w:ind w:left="148" w:right="118"/>
              <w:jc w:val="center"/>
              <w:rPr>
                <w:sz w:val="21"/>
              </w:rPr>
            </w:pPr>
            <w:r>
              <w:rPr>
                <w:spacing w:val="-12"/>
                <w:sz w:val="21"/>
              </w:rPr>
              <w:t xml:space="preserve">日限额为 </w:t>
            </w:r>
            <w:r>
              <w:rPr>
                <w:spacing w:val="-2"/>
                <w:sz w:val="21"/>
              </w:rPr>
              <w:t>1500</w:t>
            </w:r>
            <w:r>
              <w:rPr>
                <w:spacing w:val="-30"/>
                <w:sz w:val="21"/>
              </w:rPr>
              <w:t xml:space="preserve"> 元</w:t>
            </w:r>
          </w:p>
        </w:tc>
        <w:tc>
          <w:tcPr>
            <w:tcW w:w="3110" w:type="dxa"/>
            <w:tcBorders>
              <w:top w:val="single" w:color="000000" w:sz="4" w:space="0"/>
              <w:left w:val="single" w:color="000000" w:sz="4" w:space="0"/>
              <w:bottom w:val="single" w:color="000000" w:sz="4" w:space="0"/>
            </w:tcBorders>
          </w:tcPr>
          <w:p>
            <w:pPr>
              <w:pStyle w:val="9"/>
              <w:spacing w:before="1"/>
              <w:rPr>
                <w:b/>
                <w:sz w:val="14"/>
              </w:rPr>
            </w:pPr>
          </w:p>
          <w:p>
            <w:pPr>
              <w:pStyle w:val="9"/>
              <w:ind w:left="114" w:right="86"/>
              <w:jc w:val="center"/>
              <w:rPr>
                <w:sz w:val="21"/>
              </w:rPr>
            </w:pPr>
            <w:r>
              <w:rPr>
                <w:sz w:val="21"/>
              </w:rPr>
              <w:t>1500</w:t>
            </w:r>
            <w:r>
              <w:rPr>
                <w:spacing w:val="-33"/>
                <w:sz w:val="21"/>
              </w:rPr>
              <w:t xml:space="preserve"> 元</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71" w:hRule="atLeast"/>
        </w:trPr>
        <w:tc>
          <w:tcPr>
            <w:tcW w:w="2923" w:type="dxa"/>
            <w:tcBorders>
              <w:top w:val="single" w:color="000000" w:sz="4" w:space="0"/>
              <w:bottom w:val="single" w:color="000000" w:sz="4" w:space="0"/>
              <w:right w:val="single" w:color="000000" w:sz="4" w:space="0"/>
            </w:tcBorders>
          </w:tcPr>
          <w:p>
            <w:pPr>
              <w:pStyle w:val="9"/>
              <w:spacing w:before="90"/>
              <w:ind w:left="107"/>
              <w:rPr>
                <w:sz w:val="21"/>
              </w:rPr>
            </w:pPr>
            <w:r>
              <w:rPr>
                <w:spacing w:val="-4"/>
                <w:sz w:val="21"/>
              </w:rPr>
              <w:t>恶性肿瘤住院津贴</w:t>
            </w:r>
          </w:p>
        </w:tc>
        <w:tc>
          <w:tcPr>
            <w:tcW w:w="3166" w:type="dxa"/>
            <w:tcBorders>
              <w:top w:val="single" w:color="000000" w:sz="4" w:space="0"/>
              <w:left w:val="single" w:color="000000" w:sz="4" w:space="0"/>
              <w:bottom w:val="single" w:color="000000" w:sz="4" w:space="0"/>
              <w:right w:val="single" w:color="000000" w:sz="4" w:space="0"/>
            </w:tcBorders>
          </w:tcPr>
          <w:p>
            <w:pPr>
              <w:pStyle w:val="9"/>
              <w:spacing w:before="90"/>
              <w:ind w:left="148" w:right="120"/>
              <w:jc w:val="center"/>
              <w:rPr>
                <w:sz w:val="21"/>
              </w:rPr>
            </w:pPr>
            <w:r>
              <w:rPr>
                <w:spacing w:val="-19"/>
                <w:sz w:val="21"/>
              </w:rPr>
              <w:t xml:space="preserve">最高 </w:t>
            </w:r>
            <w:r>
              <w:rPr>
                <w:spacing w:val="-2"/>
                <w:sz w:val="21"/>
              </w:rPr>
              <w:t>200</w:t>
            </w:r>
            <w:r>
              <w:rPr>
                <w:spacing w:val="-17"/>
                <w:sz w:val="21"/>
              </w:rPr>
              <w:t xml:space="preserve"> 元/日，限 </w:t>
            </w:r>
            <w:r>
              <w:rPr>
                <w:spacing w:val="-2"/>
                <w:sz w:val="21"/>
              </w:rPr>
              <w:t>90</w:t>
            </w:r>
            <w:r>
              <w:rPr>
                <w:spacing w:val="-30"/>
                <w:sz w:val="21"/>
              </w:rPr>
              <w:t xml:space="preserve"> 日</w:t>
            </w:r>
          </w:p>
        </w:tc>
        <w:tc>
          <w:tcPr>
            <w:tcW w:w="3110" w:type="dxa"/>
            <w:tcBorders>
              <w:top w:val="single" w:color="000000" w:sz="4" w:space="0"/>
              <w:left w:val="single" w:color="000000" w:sz="4" w:space="0"/>
              <w:bottom w:val="single" w:color="000000" w:sz="4" w:space="0"/>
            </w:tcBorders>
          </w:tcPr>
          <w:p>
            <w:pPr>
              <w:pStyle w:val="9"/>
              <w:spacing w:before="90"/>
              <w:ind w:left="116" w:right="86"/>
              <w:jc w:val="center"/>
              <w:rPr>
                <w:sz w:val="21"/>
              </w:rPr>
            </w:pPr>
            <w:r>
              <w:rPr>
                <w:spacing w:val="-19"/>
                <w:sz w:val="21"/>
              </w:rPr>
              <w:t xml:space="preserve">最高 </w:t>
            </w:r>
            <w:r>
              <w:rPr>
                <w:spacing w:val="-2"/>
                <w:sz w:val="21"/>
              </w:rPr>
              <w:t>200</w:t>
            </w:r>
            <w:r>
              <w:rPr>
                <w:spacing w:val="-17"/>
                <w:sz w:val="21"/>
              </w:rPr>
              <w:t xml:space="preserve"> 元/日，限 </w:t>
            </w:r>
            <w:r>
              <w:rPr>
                <w:spacing w:val="-2"/>
                <w:sz w:val="21"/>
              </w:rPr>
              <w:t>90</w:t>
            </w:r>
            <w:r>
              <w:rPr>
                <w:spacing w:val="-30"/>
                <w:sz w:val="21"/>
              </w:rPr>
              <w:t xml:space="preserve"> 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401" w:hRule="atLeast"/>
        </w:trPr>
        <w:tc>
          <w:tcPr>
            <w:tcW w:w="2923" w:type="dxa"/>
            <w:tcBorders>
              <w:top w:val="single" w:color="000000" w:sz="4" w:space="0"/>
              <w:bottom w:val="single" w:color="000000" w:sz="4" w:space="0"/>
              <w:right w:val="single" w:color="000000" w:sz="4" w:space="0"/>
            </w:tcBorders>
          </w:tcPr>
          <w:p>
            <w:pPr>
              <w:pStyle w:val="9"/>
              <w:spacing w:before="85" w:line="278" w:lineRule="auto"/>
              <w:ind w:left="107" w:right="74"/>
              <w:rPr>
                <w:sz w:val="21"/>
              </w:rPr>
            </w:pPr>
            <w:r>
              <w:rPr>
                <w:spacing w:val="-2"/>
                <w:sz w:val="21"/>
              </w:rPr>
              <w:t>恶性肿瘤赴德国或日本医疗保险金给付限额</w:t>
            </w:r>
          </w:p>
        </w:tc>
        <w:tc>
          <w:tcPr>
            <w:tcW w:w="3166" w:type="dxa"/>
            <w:tcBorders>
              <w:top w:val="single" w:color="000000" w:sz="4" w:space="0"/>
              <w:left w:val="single" w:color="000000" w:sz="4" w:space="0"/>
              <w:bottom w:val="single" w:color="000000" w:sz="4" w:space="0"/>
              <w:right w:val="single" w:color="000000" w:sz="4" w:space="0"/>
            </w:tcBorders>
          </w:tcPr>
          <w:p>
            <w:pPr>
              <w:pStyle w:val="9"/>
              <w:spacing w:before="10"/>
              <w:rPr>
                <w:b/>
                <w:sz w:val="18"/>
              </w:rPr>
            </w:pPr>
          </w:p>
          <w:p>
            <w:pPr>
              <w:pStyle w:val="9"/>
              <w:ind w:left="148" w:right="118"/>
              <w:jc w:val="center"/>
              <w:rPr>
                <w:sz w:val="21"/>
              </w:rPr>
            </w:pPr>
            <w:r>
              <w:rPr>
                <w:spacing w:val="-2"/>
                <w:sz w:val="21"/>
              </w:rPr>
              <w:t>200</w:t>
            </w:r>
            <w:r>
              <w:rPr>
                <w:spacing w:val="-20"/>
                <w:sz w:val="21"/>
              </w:rPr>
              <w:t xml:space="preserve"> 万元</w:t>
            </w:r>
          </w:p>
        </w:tc>
        <w:tc>
          <w:tcPr>
            <w:tcW w:w="3110" w:type="dxa"/>
            <w:tcBorders>
              <w:top w:val="single" w:color="000000" w:sz="4" w:space="0"/>
              <w:left w:val="single" w:color="000000" w:sz="4" w:space="0"/>
              <w:bottom w:val="single" w:color="000000" w:sz="4" w:space="0"/>
            </w:tcBorders>
          </w:tcPr>
          <w:p>
            <w:pPr>
              <w:pStyle w:val="9"/>
              <w:spacing w:before="10"/>
              <w:rPr>
                <w:b/>
                <w:sz w:val="18"/>
              </w:rPr>
            </w:pPr>
          </w:p>
          <w:p>
            <w:pPr>
              <w:pStyle w:val="9"/>
              <w:ind w:left="114" w:right="86"/>
              <w:jc w:val="center"/>
              <w:rPr>
                <w:sz w:val="21"/>
              </w:rPr>
            </w:pPr>
            <w:r>
              <w:rPr>
                <w:spacing w:val="-2"/>
                <w:sz w:val="21"/>
              </w:rPr>
              <w:t>200</w:t>
            </w:r>
            <w:r>
              <w:rPr>
                <w:spacing w:val="-20"/>
                <w:sz w:val="21"/>
              </w:rPr>
              <w:t xml:space="preserve"> 万元</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48" w:hRule="atLeast"/>
        </w:trPr>
        <w:tc>
          <w:tcPr>
            <w:tcW w:w="2923" w:type="dxa"/>
            <w:tcBorders>
              <w:top w:val="single" w:color="000000" w:sz="4" w:space="0"/>
              <w:bottom w:val="single" w:color="000000" w:sz="4" w:space="0"/>
              <w:right w:val="single" w:color="000000" w:sz="4" w:space="0"/>
            </w:tcBorders>
          </w:tcPr>
          <w:p>
            <w:pPr>
              <w:pStyle w:val="9"/>
              <w:spacing w:before="56"/>
              <w:ind w:left="107"/>
              <w:rPr>
                <w:sz w:val="21"/>
              </w:rPr>
            </w:pPr>
            <w:r>
              <w:rPr>
                <w:spacing w:val="-4"/>
                <w:sz w:val="21"/>
              </w:rPr>
              <w:t>年免赔额</w:t>
            </w:r>
          </w:p>
        </w:tc>
        <w:tc>
          <w:tcPr>
            <w:tcW w:w="3166" w:type="dxa"/>
            <w:tcBorders>
              <w:top w:val="single" w:color="000000" w:sz="4" w:space="0"/>
              <w:left w:val="single" w:color="000000" w:sz="4" w:space="0"/>
              <w:bottom w:val="single" w:color="000000" w:sz="4" w:space="0"/>
              <w:right w:val="single" w:color="000000" w:sz="4" w:space="0"/>
            </w:tcBorders>
          </w:tcPr>
          <w:p>
            <w:pPr>
              <w:pStyle w:val="9"/>
              <w:spacing w:before="87"/>
              <w:ind w:left="148" w:right="120"/>
              <w:jc w:val="center"/>
              <w:rPr>
                <w:sz w:val="21"/>
              </w:rPr>
            </w:pPr>
            <w:r>
              <w:rPr>
                <w:sz w:val="21"/>
              </w:rPr>
              <w:t>1</w:t>
            </w:r>
            <w:r>
              <w:rPr>
                <w:spacing w:val="-22"/>
                <w:sz w:val="21"/>
              </w:rPr>
              <w:t xml:space="preserve"> 万元</w:t>
            </w:r>
          </w:p>
        </w:tc>
        <w:tc>
          <w:tcPr>
            <w:tcW w:w="3110" w:type="dxa"/>
            <w:tcBorders>
              <w:top w:val="single" w:color="000000" w:sz="4" w:space="0"/>
              <w:left w:val="single" w:color="000000" w:sz="4" w:space="0"/>
              <w:bottom w:val="single" w:color="000000" w:sz="4" w:space="0"/>
            </w:tcBorders>
          </w:tcPr>
          <w:p>
            <w:pPr>
              <w:pStyle w:val="9"/>
              <w:spacing w:before="87"/>
              <w:ind w:left="116" w:right="86"/>
              <w:jc w:val="center"/>
              <w:rPr>
                <w:sz w:val="21"/>
              </w:rPr>
            </w:pPr>
            <w:r>
              <w:rPr>
                <w:sz w:val="21"/>
              </w:rPr>
              <w:t>1</w:t>
            </w:r>
            <w:r>
              <w:rPr>
                <w:spacing w:val="-22"/>
                <w:sz w:val="21"/>
              </w:rPr>
              <w:t xml:space="preserve"> 万元</w:t>
            </w:r>
          </w:p>
        </w:tc>
      </w:tr>
    </w:tbl>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spacing w:before="4"/>
        <w:rPr>
          <w:b/>
          <w:sz w:val="20"/>
        </w:rPr>
      </w:pPr>
    </w:p>
    <w:p>
      <w:pPr>
        <w:pStyle w:val="4"/>
        <w:ind w:left="935" w:right="-58"/>
        <w:rPr>
          <w:sz w:val="20"/>
        </w:rPr>
      </w:pPr>
    </w:p>
    <w:p>
      <w:pPr>
        <w:pStyle w:val="4"/>
        <w:spacing w:before="1"/>
        <w:rPr>
          <w:b/>
          <w:sz w:val="26"/>
        </w:rPr>
      </w:pPr>
      <w:bookmarkStart w:id="0" w:name="_GoBack"/>
      <w:bookmarkEnd w:id="0"/>
    </w:p>
    <w:p>
      <w:pPr>
        <w:spacing w:before="0"/>
        <w:ind w:left="942" w:right="0" w:firstLine="0"/>
        <w:jc w:val="left"/>
        <w:rPr>
          <w:b/>
          <w:sz w:val="21"/>
        </w:rPr>
      </w:pPr>
    </w:p>
    <w:p>
      <w:pPr>
        <w:spacing w:before="5" w:line="240" w:lineRule="auto"/>
        <w:rPr>
          <w:b/>
          <w:sz w:val="28"/>
        </w:rPr>
      </w:pPr>
      <w:r>
        <w:br w:type="column"/>
      </w:r>
    </w:p>
    <w:p>
      <w:pPr>
        <w:pStyle w:val="4"/>
        <w:spacing w:line="278" w:lineRule="auto"/>
        <w:ind w:left="183" w:right="126"/>
      </w:pPr>
      <w:r>
        <w:rPr>
          <w:sz w:val="20"/>
        </w:rPr>
        <w:drawing>
          <wp:inline distT="0" distB="0" distL="0" distR="0">
            <wp:extent cx="786130" cy="791845"/>
            <wp:effectExtent l="0" t="0" r="1270" b="8255"/>
            <wp:docPr id="81"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25.jpeg"/>
                    <pic:cNvPicPr>
                      <a:picLocks noChangeAspect="1"/>
                    </pic:cNvPicPr>
                  </pic:nvPicPr>
                  <pic:blipFill>
                    <a:blip r:embed="rId30" cstate="print"/>
                    <a:stretch>
                      <a:fillRect/>
                    </a:stretch>
                  </pic:blipFill>
                  <pic:spPr>
                    <a:xfrm>
                      <a:off x="0" y="0"/>
                      <a:ext cx="786336" cy="792479"/>
                    </a:xfrm>
                    <a:prstGeom prst="rect">
                      <a:avLst/>
                    </a:prstGeom>
                  </pic:spPr>
                </pic:pic>
              </a:graphicData>
            </a:graphic>
          </wp:inline>
        </w:drawing>
      </w:r>
      <w:r>
        <w:t>关于您履行如实告知义务、我们对条款的说明义务、受益人请求给付保险金的诉讼时效、被保险人年龄申报错误的法律后果、受益人为数人时的受益顺序和受益份额、以及没有受益人时保险金如何给付，这些保险法中的相关规定，您可以通过扫描二维码来加以了解。</w:t>
      </w:r>
    </w:p>
    <w:p>
      <w:pPr>
        <w:pStyle w:val="4"/>
        <w:spacing w:line="278" w:lineRule="auto"/>
        <w:ind w:left="183" w:right="126"/>
        <w:rPr>
          <w:spacing w:val="-2"/>
        </w:rPr>
      </w:pPr>
      <w:r>
        <w:rPr>
          <w:b/>
          <w:spacing w:val="-5"/>
          <w:sz w:val="21"/>
        </w:rPr>
        <w:t>结束</w:t>
      </w:r>
    </w:p>
    <w:p>
      <w:pPr>
        <w:pStyle w:val="4"/>
        <w:spacing w:line="278" w:lineRule="auto"/>
        <w:ind w:left="183" w:right="126"/>
        <w:rPr>
          <w:spacing w:val="-2"/>
        </w:rPr>
      </w:pPr>
    </w:p>
    <w:p>
      <w:pPr>
        <w:pStyle w:val="4"/>
        <w:spacing w:line="278" w:lineRule="auto"/>
        <w:ind w:left="183" w:right="126"/>
        <w:rPr>
          <w:spacing w:val="-2"/>
        </w:rPr>
      </w:pPr>
    </w:p>
    <w:p>
      <w:pPr>
        <w:pStyle w:val="4"/>
        <w:spacing w:line="278" w:lineRule="auto"/>
        <w:ind w:left="183" w:right="126"/>
        <w:rPr>
          <w:spacing w:val="-2"/>
        </w:rPr>
      </w:pPr>
    </w:p>
    <w:p>
      <w:pPr>
        <w:pStyle w:val="4"/>
        <w:spacing w:line="278" w:lineRule="auto"/>
        <w:ind w:left="183" w:right="126"/>
        <w:rPr>
          <w:spacing w:val="-2"/>
        </w:rPr>
      </w:pPr>
    </w:p>
    <w:p>
      <w:pPr>
        <w:pStyle w:val="4"/>
        <w:spacing w:line="278" w:lineRule="auto"/>
        <w:ind w:left="183" w:right="126"/>
        <w:rPr>
          <w:spacing w:val="-2"/>
        </w:rPr>
      </w:pPr>
    </w:p>
    <w:p>
      <w:pPr>
        <w:pStyle w:val="4"/>
        <w:spacing w:line="278" w:lineRule="auto"/>
        <w:ind w:left="183" w:right="126"/>
        <w:rPr>
          <w:spacing w:val="-2"/>
        </w:rPr>
      </w:pPr>
    </w:p>
    <w:p>
      <w:pPr>
        <w:pStyle w:val="4"/>
        <w:spacing w:line="278" w:lineRule="auto"/>
        <w:ind w:left="183" w:right="126"/>
        <w:rPr>
          <w:spacing w:val="-2"/>
        </w:rPr>
      </w:pPr>
    </w:p>
    <w:p>
      <w:pPr>
        <w:pStyle w:val="4"/>
        <w:spacing w:line="278" w:lineRule="auto"/>
        <w:ind w:left="183" w:right="126"/>
      </w:pPr>
    </w:p>
    <w:sectPr>
      <w:pgSz w:w="11910" w:h="16840"/>
      <w:pgMar w:top="1400" w:right="840" w:bottom="280" w:left="860" w:header="720" w:footer="720" w:gutter="0"/>
      <w:cols w:equalWidth="0" w:num="2">
        <w:col w:w="2169" w:space="40"/>
        <w:col w:w="8001"/>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幼圆">
    <w:panose1 w:val="0201050906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Wingdings 2">
    <w:panose1 w:val="05020102010507070707"/>
    <w:charset w:val="02"/>
    <w:family w:val="roman"/>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3A4B87"/>
    <w:multiLevelType w:val="multilevel"/>
    <w:tmpl w:val="813A4B87"/>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64" w:hanging="529"/>
      </w:pPr>
      <w:rPr>
        <w:rFonts w:hint="default"/>
        <w:lang w:val="en-US" w:eastAsia="zh-CN" w:bidi="ar-SA"/>
      </w:rPr>
    </w:lvl>
    <w:lvl w:ilvl="2" w:tentative="0">
      <w:start w:val="0"/>
      <w:numFmt w:val="bullet"/>
      <w:lvlText w:val="•"/>
      <w:lvlJc w:val="left"/>
      <w:pPr>
        <w:ind w:left="1888" w:hanging="529"/>
      </w:pPr>
      <w:rPr>
        <w:rFonts w:hint="default"/>
        <w:lang w:val="en-US" w:eastAsia="zh-CN" w:bidi="ar-SA"/>
      </w:rPr>
    </w:lvl>
    <w:lvl w:ilvl="3" w:tentative="0">
      <w:start w:val="0"/>
      <w:numFmt w:val="bullet"/>
      <w:lvlText w:val="•"/>
      <w:lvlJc w:val="left"/>
      <w:pPr>
        <w:ind w:left="2512" w:hanging="529"/>
      </w:pPr>
      <w:rPr>
        <w:rFonts w:hint="default"/>
        <w:lang w:val="en-US" w:eastAsia="zh-CN" w:bidi="ar-SA"/>
      </w:rPr>
    </w:lvl>
    <w:lvl w:ilvl="4" w:tentative="0">
      <w:start w:val="0"/>
      <w:numFmt w:val="bullet"/>
      <w:lvlText w:val="•"/>
      <w:lvlJc w:val="left"/>
      <w:pPr>
        <w:ind w:left="3136" w:hanging="529"/>
      </w:pPr>
      <w:rPr>
        <w:rFonts w:hint="default"/>
        <w:lang w:val="en-US" w:eastAsia="zh-CN" w:bidi="ar-SA"/>
      </w:rPr>
    </w:lvl>
    <w:lvl w:ilvl="5" w:tentative="0">
      <w:start w:val="0"/>
      <w:numFmt w:val="bullet"/>
      <w:lvlText w:val="•"/>
      <w:lvlJc w:val="left"/>
      <w:pPr>
        <w:ind w:left="3760" w:hanging="529"/>
      </w:pPr>
      <w:rPr>
        <w:rFonts w:hint="default"/>
        <w:lang w:val="en-US" w:eastAsia="zh-CN" w:bidi="ar-SA"/>
      </w:rPr>
    </w:lvl>
    <w:lvl w:ilvl="6" w:tentative="0">
      <w:start w:val="0"/>
      <w:numFmt w:val="bullet"/>
      <w:lvlText w:val="•"/>
      <w:lvlJc w:val="left"/>
      <w:pPr>
        <w:ind w:left="4384" w:hanging="529"/>
      </w:pPr>
      <w:rPr>
        <w:rFonts w:hint="default"/>
        <w:lang w:val="en-US" w:eastAsia="zh-CN" w:bidi="ar-SA"/>
      </w:rPr>
    </w:lvl>
    <w:lvl w:ilvl="7" w:tentative="0">
      <w:start w:val="0"/>
      <w:numFmt w:val="bullet"/>
      <w:lvlText w:val="•"/>
      <w:lvlJc w:val="left"/>
      <w:pPr>
        <w:ind w:left="5008" w:hanging="529"/>
      </w:pPr>
      <w:rPr>
        <w:rFonts w:hint="default"/>
        <w:lang w:val="en-US" w:eastAsia="zh-CN" w:bidi="ar-SA"/>
      </w:rPr>
    </w:lvl>
    <w:lvl w:ilvl="8" w:tentative="0">
      <w:start w:val="0"/>
      <w:numFmt w:val="bullet"/>
      <w:lvlText w:val="•"/>
      <w:lvlJc w:val="left"/>
      <w:pPr>
        <w:ind w:left="5632" w:hanging="529"/>
      </w:pPr>
      <w:rPr>
        <w:rFonts w:hint="default"/>
        <w:lang w:val="en-US" w:eastAsia="zh-CN" w:bidi="ar-SA"/>
      </w:rPr>
    </w:lvl>
  </w:abstractNum>
  <w:abstractNum w:abstractNumId="1">
    <w:nsid w:val="845B5372"/>
    <w:multiLevelType w:val="multilevel"/>
    <w:tmpl w:val="845B5372"/>
    <w:lvl w:ilvl="0" w:tentative="0">
      <w:start w:val="1"/>
      <w:numFmt w:val="decimal"/>
      <w:lvlText w:val="（%1）"/>
      <w:lvlJc w:val="left"/>
      <w:pPr>
        <w:ind w:left="529"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138" w:hanging="529"/>
      </w:pPr>
      <w:rPr>
        <w:rFonts w:hint="default"/>
        <w:lang w:val="en-US" w:eastAsia="zh-CN" w:bidi="ar-SA"/>
      </w:rPr>
    </w:lvl>
    <w:lvl w:ilvl="2" w:tentative="0">
      <w:start w:val="0"/>
      <w:numFmt w:val="bullet"/>
      <w:lvlText w:val="•"/>
      <w:lvlJc w:val="left"/>
      <w:pPr>
        <w:ind w:left="1756" w:hanging="529"/>
      </w:pPr>
      <w:rPr>
        <w:rFonts w:hint="default"/>
        <w:lang w:val="en-US" w:eastAsia="zh-CN" w:bidi="ar-SA"/>
      </w:rPr>
    </w:lvl>
    <w:lvl w:ilvl="3" w:tentative="0">
      <w:start w:val="0"/>
      <w:numFmt w:val="bullet"/>
      <w:lvlText w:val="•"/>
      <w:lvlJc w:val="left"/>
      <w:pPr>
        <w:ind w:left="2375" w:hanging="529"/>
      </w:pPr>
      <w:rPr>
        <w:rFonts w:hint="default"/>
        <w:lang w:val="en-US" w:eastAsia="zh-CN" w:bidi="ar-SA"/>
      </w:rPr>
    </w:lvl>
    <w:lvl w:ilvl="4" w:tentative="0">
      <w:start w:val="0"/>
      <w:numFmt w:val="bullet"/>
      <w:lvlText w:val="•"/>
      <w:lvlJc w:val="left"/>
      <w:pPr>
        <w:ind w:left="2993" w:hanging="529"/>
      </w:pPr>
      <w:rPr>
        <w:rFonts w:hint="default"/>
        <w:lang w:val="en-US" w:eastAsia="zh-CN" w:bidi="ar-SA"/>
      </w:rPr>
    </w:lvl>
    <w:lvl w:ilvl="5" w:tentative="0">
      <w:start w:val="0"/>
      <w:numFmt w:val="bullet"/>
      <w:lvlText w:val="•"/>
      <w:lvlJc w:val="left"/>
      <w:pPr>
        <w:ind w:left="3612" w:hanging="529"/>
      </w:pPr>
      <w:rPr>
        <w:rFonts w:hint="default"/>
        <w:lang w:val="en-US" w:eastAsia="zh-CN" w:bidi="ar-SA"/>
      </w:rPr>
    </w:lvl>
    <w:lvl w:ilvl="6" w:tentative="0">
      <w:start w:val="0"/>
      <w:numFmt w:val="bullet"/>
      <w:lvlText w:val="•"/>
      <w:lvlJc w:val="left"/>
      <w:pPr>
        <w:ind w:left="4230" w:hanging="529"/>
      </w:pPr>
      <w:rPr>
        <w:rFonts w:hint="default"/>
        <w:lang w:val="en-US" w:eastAsia="zh-CN" w:bidi="ar-SA"/>
      </w:rPr>
    </w:lvl>
    <w:lvl w:ilvl="7" w:tentative="0">
      <w:start w:val="0"/>
      <w:numFmt w:val="bullet"/>
      <w:lvlText w:val="•"/>
      <w:lvlJc w:val="left"/>
      <w:pPr>
        <w:ind w:left="4848" w:hanging="529"/>
      </w:pPr>
      <w:rPr>
        <w:rFonts w:hint="default"/>
        <w:lang w:val="en-US" w:eastAsia="zh-CN" w:bidi="ar-SA"/>
      </w:rPr>
    </w:lvl>
    <w:lvl w:ilvl="8" w:tentative="0">
      <w:start w:val="0"/>
      <w:numFmt w:val="bullet"/>
      <w:lvlText w:val="•"/>
      <w:lvlJc w:val="left"/>
      <w:pPr>
        <w:ind w:left="5467" w:hanging="529"/>
      </w:pPr>
      <w:rPr>
        <w:rFonts w:hint="default"/>
        <w:lang w:val="en-US" w:eastAsia="zh-CN" w:bidi="ar-SA"/>
      </w:rPr>
    </w:lvl>
  </w:abstractNum>
  <w:abstractNum w:abstractNumId="2">
    <w:nsid w:val="8461FADE"/>
    <w:multiLevelType w:val="multilevel"/>
    <w:tmpl w:val="8461FADE"/>
    <w:lvl w:ilvl="0" w:tentative="0">
      <w:start w:val="1"/>
      <w:numFmt w:val="decimal"/>
      <w:lvlText w:val="（%1）"/>
      <w:lvlJc w:val="left"/>
      <w:pPr>
        <w:ind w:left="702"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1"/>
      <w:numFmt w:val="decimal"/>
      <w:lvlText w:val="（%2）"/>
      <w:lvlJc w:val="left"/>
      <w:pPr>
        <w:ind w:left="3789" w:hanging="529"/>
        <w:jc w:val="left"/>
      </w:pPr>
      <w:rPr>
        <w:rFonts w:hint="default" w:ascii="黑体" w:hAnsi="黑体" w:eastAsia="黑体" w:cs="黑体"/>
        <w:b w:val="0"/>
        <w:bCs w:val="0"/>
        <w:i w:val="0"/>
        <w:iCs w:val="0"/>
        <w:spacing w:val="-3"/>
        <w:w w:val="100"/>
        <w:sz w:val="19"/>
        <w:szCs w:val="19"/>
        <w:shd w:val="clear" w:color="auto" w:fill="D9D9D9"/>
        <w:lang w:val="en-US" w:eastAsia="zh-CN" w:bidi="ar-SA"/>
      </w:rPr>
    </w:lvl>
    <w:lvl w:ilvl="2" w:tentative="0">
      <w:start w:val="0"/>
      <w:numFmt w:val="bullet"/>
      <w:lvlText w:val="•"/>
      <w:lvlJc w:val="left"/>
      <w:pPr>
        <w:ind w:left="4150" w:hanging="529"/>
      </w:pPr>
      <w:rPr>
        <w:rFonts w:hint="default"/>
        <w:lang w:val="en-US" w:eastAsia="zh-CN" w:bidi="ar-SA"/>
      </w:rPr>
    </w:lvl>
    <w:lvl w:ilvl="3" w:tentative="0">
      <w:start w:val="0"/>
      <w:numFmt w:val="bullet"/>
      <w:lvlText w:val="•"/>
      <w:lvlJc w:val="left"/>
      <w:pPr>
        <w:ind w:left="4521" w:hanging="529"/>
      </w:pPr>
      <w:rPr>
        <w:rFonts w:hint="default"/>
        <w:lang w:val="en-US" w:eastAsia="zh-CN" w:bidi="ar-SA"/>
      </w:rPr>
    </w:lvl>
    <w:lvl w:ilvl="4" w:tentative="0">
      <w:start w:val="0"/>
      <w:numFmt w:val="bullet"/>
      <w:lvlText w:val="•"/>
      <w:lvlJc w:val="left"/>
      <w:pPr>
        <w:ind w:left="4892" w:hanging="529"/>
      </w:pPr>
      <w:rPr>
        <w:rFonts w:hint="default"/>
        <w:lang w:val="en-US" w:eastAsia="zh-CN" w:bidi="ar-SA"/>
      </w:rPr>
    </w:lvl>
    <w:lvl w:ilvl="5" w:tentative="0">
      <w:start w:val="0"/>
      <w:numFmt w:val="bullet"/>
      <w:lvlText w:val="•"/>
      <w:lvlJc w:val="left"/>
      <w:pPr>
        <w:ind w:left="5263" w:hanging="529"/>
      </w:pPr>
      <w:rPr>
        <w:rFonts w:hint="default"/>
        <w:lang w:val="en-US" w:eastAsia="zh-CN" w:bidi="ar-SA"/>
      </w:rPr>
    </w:lvl>
    <w:lvl w:ilvl="6" w:tentative="0">
      <w:start w:val="0"/>
      <w:numFmt w:val="bullet"/>
      <w:lvlText w:val="•"/>
      <w:lvlJc w:val="left"/>
      <w:pPr>
        <w:ind w:left="5634" w:hanging="529"/>
      </w:pPr>
      <w:rPr>
        <w:rFonts w:hint="default"/>
        <w:lang w:val="en-US" w:eastAsia="zh-CN" w:bidi="ar-SA"/>
      </w:rPr>
    </w:lvl>
    <w:lvl w:ilvl="7" w:tentative="0">
      <w:start w:val="0"/>
      <w:numFmt w:val="bullet"/>
      <w:lvlText w:val="•"/>
      <w:lvlJc w:val="left"/>
      <w:pPr>
        <w:ind w:left="6005" w:hanging="529"/>
      </w:pPr>
      <w:rPr>
        <w:rFonts w:hint="default"/>
        <w:lang w:val="en-US" w:eastAsia="zh-CN" w:bidi="ar-SA"/>
      </w:rPr>
    </w:lvl>
    <w:lvl w:ilvl="8" w:tentative="0">
      <w:start w:val="0"/>
      <w:numFmt w:val="bullet"/>
      <w:lvlText w:val="•"/>
      <w:lvlJc w:val="left"/>
      <w:pPr>
        <w:ind w:left="6376" w:hanging="529"/>
      </w:pPr>
      <w:rPr>
        <w:rFonts w:hint="default"/>
        <w:lang w:val="en-US" w:eastAsia="zh-CN" w:bidi="ar-SA"/>
      </w:rPr>
    </w:lvl>
  </w:abstractNum>
  <w:abstractNum w:abstractNumId="3">
    <w:nsid w:val="8CAEB125"/>
    <w:multiLevelType w:val="multilevel"/>
    <w:tmpl w:val="8CAEB125"/>
    <w:lvl w:ilvl="0" w:tentative="0">
      <w:start w:val="1"/>
      <w:numFmt w:val="decimal"/>
      <w:lvlText w:val="（%1）"/>
      <w:lvlJc w:val="left"/>
      <w:pPr>
        <w:ind w:left="3892" w:hanging="632"/>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4530" w:hanging="632"/>
      </w:pPr>
      <w:rPr>
        <w:rFonts w:hint="default"/>
        <w:lang w:val="en-US" w:eastAsia="zh-CN" w:bidi="ar-SA"/>
      </w:rPr>
    </w:lvl>
    <w:lvl w:ilvl="2" w:tentative="0">
      <w:start w:val="0"/>
      <w:numFmt w:val="bullet"/>
      <w:lvlText w:val="•"/>
      <w:lvlJc w:val="left"/>
      <w:pPr>
        <w:ind w:left="5161" w:hanging="632"/>
      </w:pPr>
      <w:rPr>
        <w:rFonts w:hint="default"/>
        <w:lang w:val="en-US" w:eastAsia="zh-CN" w:bidi="ar-SA"/>
      </w:rPr>
    </w:lvl>
    <w:lvl w:ilvl="3" w:tentative="0">
      <w:start w:val="0"/>
      <w:numFmt w:val="bullet"/>
      <w:lvlText w:val="•"/>
      <w:lvlJc w:val="left"/>
      <w:pPr>
        <w:ind w:left="5791" w:hanging="632"/>
      </w:pPr>
      <w:rPr>
        <w:rFonts w:hint="default"/>
        <w:lang w:val="en-US" w:eastAsia="zh-CN" w:bidi="ar-SA"/>
      </w:rPr>
    </w:lvl>
    <w:lvl w:ilvl="4" w:tentative="0">
      <w:start w:val="0"/>
      <w:numFmt w:val="bullet"/>
      <w:lvlText w:val="•"/>
      <w:lvlJc w:val="left"/>
      <w:pPr>
        <w:ind w:left="6422" w:hanging="632"/>
      </w:pPr>
      <w:rPr>
        <w:rFonts w:hint="default"/>
        <w:lang w:val="en-US" w:eastAsia="zh-CN" w:bidi="ar-SA"/>
      </w:rPr>
    </w:lvl>
    <w:lvl w:ilvl="5" w:tentative="0">
      <w:start w:val="0"/>
      <w:numFmt w:val="bullet"/>
      <w:lvlText w:val="•"/>
      <w:lvlJc w:val="left"/>
      <w:pPr>
        <w:ind w:left="7052" w:hanging="632"/>
      </w:pPr>
      <w:rPr>
        <w:rFonts w:hint="default"/>
        <w:lang w:val="en-US" w:eastAsia="zh-CN" w:bidi="ar-SA"/>
      </w:rPr>
    </w:lvl>
    <w:lvl w:ilvl="6" w:tentative="0">
      <w:start w:val="0"/>
      <w:numFmt w:val="bullet"/>
      <w:lvlText w:val="•"/>
      <w:lvlJc w:val="left"/>
      <w:pPr>
        <w:ind w:left="7683" w:hanging="632"/>
      </w:pPr>
      <w:rPr>
        <w:rFonts w:hint="default"/>
        <w:lang w:val="en-US" w:eastAsia="zh-CN" w:bidi="ar-SA"/>
      </w:rPr>
    </w:lvl>
    <w:lvl w:ilvl="7" w:tentative="0">
      <w:start w:val="0"/>
      <w:numFmt w:val="bullet"/>
      <w:lvlText w:val="•"/>
      <w:lvlJc w:val="left"/>
      <w:pPr>
        <w:ind w:left="8313" w:hanging="632"/>
      </w:pPr>
      <w:rPr>
        <w:rFonts w:hint="default"/>
        <w:lang w:val="en-US" w:eastAsia="zh-CN" w:bidi="ar-SA"/>
      </w:rPr>
    </w:lvl>
    <w:lvl w:ilvl="8" w:tentative="0">
      <w:start w:val="0"/>
      <w:numFmt w:val="bullet"/>
      <w:lvlText w:val="•"/>
      <w:lvlJc w:val="left"/>
      <w:pPr>
        <w:ind w:left="8944" w:hanging="632"/>
      </w:pPr>
      <w:rPr>
        <w:rFonts w:hint="default"/>
        <w:lang w:val="en-US" w:eastAsia="zh-CN" w:bidi="ar-SA"/>
      </w:rPr>
    </w:lvl>
  </w:abstractNum>
  <w:abstractNum w:abstractNumId="4">
    <w:nsid w:val="91995D4F"/>
    <w:multiLevelType w:val="multilevel"/>
    <w:tmpl w:val="91995D4F"/>
    <w:lvl w:ilvl="0" w:tentative="0">
      <w:start w:val="2"/>
      <w:numFmt w:val="decimal"/>
      <w:lvlText w:val="（%1）"/>
      <w:lvlJc w:val="left"/>
      <w:pPr>
        <w:ind w:left="529"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138" w:hanging="529"/>
      </w:pPr>
      <w:rPr>
        <w:rFonts w:hint="default"/>
        <w:lang w:val="en-US" w:eastAsia="zh-CN" w:bidi="ar-SA"/>
      </w:rPr>
    </w:lvl>
    <w:lvl w:ilvl="2" w:tentative="0">
      <w:start w:val="0"/>
      <w:numFmt w:val="bullet"/>
      <w:lvlText w:val="•"/>
      <w:lvlJc w:val="left"/>
      <w:pPr>
        <w:ind w:left="1756" w:hanging="529"/>
      </w:pPr>
      <w:rPr>
        <w:rFonts w:hint="default"/>
        <w:lang w:val="en-US" w:eastAsia="zh-CN" w:bidi="ar-SA"/>
      </w:rPr>
    </w:lvl>
    <w:lvl w:ilvl="3" w:tentative="0">
      <w:start w:val="0"/>
      <w:numFmt w:val="bullet"/>
      <w:lvlText w:val="•"/>
      <w:lvlJc w:val="left"/>
      <w:pPr>
        <w:ind w:left="2375" w:hanging="529"/>
      </w:pPr>
      <w:rPr>
        <w:rFonts w:hint="default"/>
        <w:lang w:val="en-US" w:eastAsia="zh-CN" w:bidi="ar-SA"/>
      </w:rPr>
    </w:lvl>
    <w:lvl w:ilvl="4" w:tentative="0">
      <w:start w:val="0"/>
      <w:numFmt w:val="bullet"/>
      <w:lvlText w:val="•"/>
      <w:lvlJc w:val="left"/>
      <w:pPr>
        <w:ind w:left="2993" w:hanging="529"/>
      </w:pPr>
      <w:rPr>
        <w:rFonts w:hint="default"/>
        <w:lang w:val="en-US" w:eastAsia="zh-CN" w:bidi="ar-SA"/>
      </w:rPr>
    </w:lvl>
    <w:lvl w:ilvl="5" w:tentative="0">
      <w:start w:val="0"/>
      <w:numFmt w:val="bullet"/>
      <w:lvlText w:val="•"/>
      <w:lvlJc w:val="left"/>
      <w:pPr>
        <w:ind w:left="3612" w:hanging="529"/>
      </w:pPr>
      <w:rPr>
        <w:rFonts w:hint="default"/>
        <w:lang w:val="en-US" w:eastAsia="zh-CN" w:bidi="ar-SA"/>
      </w:rPr>
    </w:lvl>
    <w:lvl w:ilvl="6" w:tentative="0">
      <w:start w:val="0"/>
      <w:numFmt w:val="bullet"/>
      <w:lvlText w:val="•"/>
      <w:lvlJc w:val="left"/>
      <w:pPr>
        <w:ind w:left="4230" w:hanging="529"/>
      </w:pPr>
      <w:rPr>
        <w:rFonts w:hint="default"/>
        <w:lang w:val="en-US" w:eastAsia="zh-CN" w:bidi="ar-SA"/>
      </w:rPr>
    </w:lvl>
    <w:lvl w:ilvl="7" w:tentative="0">
      <w:start w:val="0"/>
      <w:numFmt w:val="bullet"/>
      <w:lvlText w:val="•"/>
      <w:lvlJc w:val="left"/>
      <w:pPr>
        <w:ind w:left="4848" w:hanging="529"/>
      </w:pPr>
      <w:rPr>
        <w:rFonts w:hint="default"/>
        <w:lang w:val="en-US" w:eastAsia="zh-CN" w:bidi="ar-SA"/>
      </w:rPr>
    </w:lvl>
    <w:lvl w:ilvl="8" w:tentative="0">
      <w:start w:val="0"/>
      <w:numFmt w:val="bullet"/>
      <w:lvlText w:val="•"/>
      <w:lvlJc w:val="left"/>
      <w:pPr>
        <w:ind w:left="5467" w:hanging="529"/>
      </w:pPr>
      <w:rPr>
        <w:rFonts w:hint="default"/>
        <w:lang w:val="en-US" w:eastAsia="zh-CN" w:bidi="ar-SA"/>
      </w:rPr>
    </w:lvl>
  </w:abstractNum>
  <w:abstractNum w:abstractNumId="5">
    <w:nsid w:val="9239341B"/>
    <w:multiLevelType w:val="multilevel"/>
    <w:tmpl w:val="9239341B"/>
    <w:lvl w:ilvl="0" w:tentative="0">
      <w:start w:val="1"/>
      <w:numFmt w:val="decimal"/>
      <w:lvlText w:val="（%1）"/>
      <w:lvlJc w:val="left"/>
      <w:pPr>
        <w:ind w:left="897" w:hanging="453"/>
        <w:jc w:val="left"/>
      </w:pPr>
      <w:rPr>
        <w:rFonts w:hint="default" w:ascii="宋体" w:hAnsi="宋体" w:eastAsia="宋体" w:cs="宋体"/>
        <w:b w:val="0"/>
        <w:bCs w:val="0"/>
        <w:i w:val="0"/>
        <w:iCs w:val="0"/>
        <w:w w:val="100"/>
        <w:sz w:val="16"/>
        <w:szCs w:val="16"/>
        <w:lang w:val="en-US" w:eastAsia="zh-CN" w:bidi="ar-SA"/>
      </w:rPr>
    </w:lvl>
    <w:lvl w:ilvl="1" w:tentative="0">
      <w:start w:val="13"/>
      <w:numFmt w:val="decimal"/>
      <w:lvlText w:val="（%2）"/>
      <w:lvlJc w:val="left"/>
      <w:pPr>
        <w:ind w:left="3892" w:hanging="633"/>
        <w:jc w:val="left"/>
      </w:pPr>
      <w:rPr>
        <w:rFonts w:hint="default" w:ascii="黑体" w:hAnsi="黑体" w:eastAsia="黑体" w:cs="黑体"/>
        <w:b w:val="0"/>
        <w:bCs w:val="0"/>
        <w:i w:val="0"/>
        <w:iCs w:val="0"/>
        <w:spacing w:val="-3"/>
        <w:w w:val="100"/>
        <w:sz w:val="19"/>
        <w:szCs w:val="19"/>
        <w:shd w:val="clear" w:color="auto" w:fill="D9D9D9"/>
        <w:lang w:val="en-US" w:eastAsia="zh-CN" w:bidi="ar-SA"/>
      </w:rPr>
    </w:lvl>
    <w:lvl w:ilvl="2" w:tentative="0">
      <w:start w:val="0"/>
      <w:numFmt w:val="bullet"/>
      <w:lvlText w:val="•"/>
      <w:lvlJc w:val="left"/>
      <w:pPr>
        <w:ind w:left="4600" w:hanging="633"/>
      </w:pPr>
      <w:rPr>
        <w:rFonts w:hint="default"/>
        <w:lang w:val="en-US" w:eastAsia="zh-CN" w:bidi="ar-SA"/>
      </w:rPr>
    </w:lvl>
    <w:lvl w:ilvl="3" w:tentative="0">
      <w:start w:val="0"/>
      <w:numFmt w:val="bullet"/>
      <w:lvlText w:val="•"/>
      <w:lvlJc w:val="left"/>
      <w:pPr>
        <w:ind w:left="5301" w:hanging="633"/>
      </w:pPr>
      <w:rPr>
        <w:rFonts w:hint="default"/>
        <w:lang w:val="en-US" w:eastAsia="zh-CN" w:bidi="ar-SA"/>
      </w:rPr>
    </w:lvl>
    <w:lvl w:ilvl="4" w:tentative="0">
      <w:start w:val="0"/>
      <w:numFmt w:val="bullet"/>
      <w:lvlText w:val="•"/>
      <w:lvlJc w:val="left"/>
      <w:pPr>
        <w:ind w:left="6001" w:hanging="633"/>
      </w:pPr>
      <w:rPr>
        <w:rFonts w:hint="default"/>
        <w:lang w:val="en-US" w:eastAsia="zh-CN" w:bidi="ar-SA"/>
      </w:rPr>
    </w:lvl>
    <w:lvl w:ilvl="5" w:tentative="0">
      <w:start w:val="0"/>
      <w:numFmt w:val="bullet"/>
      <w:lvlText w:val="•"/>
      <w:lvlJc w:val="left"/>
      <w:pPr>
        <w:ind w:left="6702" w:hanging="633"/>
      </w:pPr>
      <w:rPr>
        <w:rFonts w:hint="default"/>
        <w:lang w:val="en-US" w:eastAsia="zh-CN" w:bidi="ar-SA"/>
      </w:rPr>
    </w:lvl>
    <w:lvl w:ilvl="6" w:tentative="0">
      <w:start w:val="0"/>
      <w:numFmt w:val="bullet"/>
      <w:lvlText w:val="•"/>
      <w:lvlJc w:val="left"/>
      <w:pPr>
        <w:ind w:left="7403" w:hanging="633"/>
      </w:pPr>
      <w:rPr>
        <w:rFonts w:hint="default"/>
        <w:lang w:val="en-US" w:eastAsia="zh-CN" w:bidi="ar-SA"/>
      </w:rPr>
    </w:lvl>
    <w:lvl w:ilvl="7" w:tentative="0">
      <w:start w:val="0"/>
      <w:numFmt w:val="bullet"/>
      <w:lvlText w:val="•"/>
      <w:lvlJc w:val="left"/>
      <w:pPr>
        <w:ind w:left="8103" w:hanging="633"/>
      </w:pPr>
      <w:rPr>
        <w:rFonts w:hint="default"/>
        <w:lang w:val="en-US" w:eastAsia="zh-CN" w:bidi="ar-SA"/>
      </w:rPr>
    </w:lvl>
    <w:lvl w:ilvl="8" w:tentative="0">
      <w:start w:val="0"/>
      <w:numFmt w:val="bullet"/>
      <w:lvlText w:val="•"/>
      <w:lvlJc w:val="left"/>
      <w:pPr>
        <w:ind w:left="8804" w:hanging="633"/>
      </w:pPr>
      <w:rPr>
        <w:rFonts w:hint="default"/>
        <w:lang w:val="en-US" w:eastAsia="zh-CN" w:bidi="ar-SA"/>
      </w:rPr>
    </w:lvl>
  </w:abstractNum>
  <w:abstractNum w:abstractNumId="6">
    <w:nsid w:val="9288B902"/>
    <w:multiLevelType w:val="multilevel"/>
    <w:tmpl w:val="9288B902"/>
    <w:lvl w:ilvl="0" w:tentative="0">
      <w:start w:val="1"/>
      <w:numFmt w:val="decimal"/>
      <w:lvlText w:val="（%1）"/>
      <w:lvlJc w:val="left"/>
      <w:pPr>
        <w:ind w:left="804" w:hanging="632"/>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431" w:hanging="632"/>
      </w:pPr>
      <w:rPr>
        <w:rFonts w:hint="default"/>
        <w:lang w:val="en-US" w:eastAsia="zh-CN" w:bidi="ar-SA"/>
      </w:rPr>
    </w:lvl>
    <w:lvl w:ilvl="2" w:tentative="0">
      <w:start w:val="0"/>
      <w:numFmt w:val="bullet"/>
      <w:lvlText w:val="•"/>
      <w:lvlJc w:val="left"/>
      <w:pPr>
        <w:ind w:left="2063" w:hanging="632"/>
      </w:pPr>
      <w:rPr>
        <w:rFonts w:hint="default"/>
        <w:lang w:val="en-US" w:eastAsia="zh-CN" w:bidi="ar-SA"/>
      </w:rPr>
    </w:lvl>
    <w:lvl w:ilvl="3" w:tentative="0">
      <w:start w:val="0"/>
      <w:numFmt w:val="bullet"/>
      <w:lvlText w:val="•"/>
      <w:lvlJc w:val="left"/>
      <w:pPr>
        <w:ind w:left="2695" w:hanging="632"/>
      </w:pPr>
      <w:rPr>
        <w:rFonts w:hint="default"/>
        <w:lang w:val="en-US" w:eastAsia="zh-CN" w:bidi="ar-SA"/>
      </w:rPr>
    </w:lvl>
    <w:lvl w:ilvl="4" w:tentative="0">
      <w:start w:val="0"/>
      <w:numFmt w:val="bullet"/>
      <w:lvlText w:val="•"/>
      <w:lvlJc w:val="left"/>
      <w:pPr>
        <w:ind w:left="3327" w:hanging="632"/>
      </w:pPr>
      <w:rPr>
        <w:rFonts w:hint="default"/>
        <w:lang w:val="en-US" w:eastAsia="zh-CN" w:bidi="ar-SA"/>
      </w:rPr>
    </w:lvl>
    <w:lvl w:ilvl="5" w:tentative="0">
      <w:start w:val="0"/>
      <w:numFmt w:val="bullet"/>
      <w:lvlText w:val="•"/>
      <w:lvlJc w:val="left"/>
      <w:pPr>
        <w:ind w:left="3959" w:hanging="632"/>
      </w:pPr>
      <w:rPr>
        <w:rFonts w:hint="default"/>
        <w:lang w:val="en-US" w:eastAsia="zh-CN" w:bidi="ar-SA"/>
      </w:rPr>
    </w:lvl>
    <w:lvl w:ilvl="6" w:tentative="0">
      <w:start w:val="0"/>
      <w:numFmt w:val="bullet"/>
      <w:lvlText w:val="•"/>
      <w:lvlJc w:val="left"/>
      <w:pPr>
        <w:ind w:left="4590" w:hanging="632"/>
      </w:pPr>
      <w:rPr>
        <w:rFonts w:hint="default"/>
        <w:lang w:val="en-US" w:eastAsia="zh-CN" w:bidi="ar-SA"/>
      </w:rPr>
    </w:lvl>
    <w:lvl w:ilvl="7" w:tentative="0">
      <w:start w:val="0"/>
      <w:numFmt w:val="bullet"/>
      <w:lvlText w:val="•"/>
      <w:lvlJc w:val="left"/>
      <w:pPr>
        <w:ind w:left="5222" w:hanging="632"/>
      </w:pPr>
      <w:rPr>
        <w:rFonts w:hint="default"/>
        <w:lang w:val="en-US" w:eastAsia="zh-CN" w:bidi="ar-SA"/>
      </w:rPr>
    </w:lvl>
    <w:lvl w:ilvl="8" w:tentative="0">
      <w:start w:val="0"/>
      <w:numFmt w:val="bullet"/>
      <w:lvlText w:val="•"/>
      <w:lvlJc w:val="left"/>
      <w:pPr>
        <w:ind w:left="5854" w:hanging="632"/>
      </w:pPr>
      <w:rPr>
        <w:rFonts w:hint="default"/>
        <w:lang w:val="en-US" w:eastAsia="zh-CN" w:bidi="ar-SA"/>
      </w:rPr>
    </w:lvl>
  </w:abstractNum>
  <w:abstractNum w:abstractNumId="7">
    <w:nsid w:val="9C8AC8EF"/>
    <w:multiLevelType w:val="multilevel"/>
    <w:tmpl w:val="9C8AC8EF"/>
    <w:lvl w:ilvl="0" w:tentative="0">
      <w:start w:val="1"/>
      <w:numFmt w:val="decimal"/>
      <w:lvlText w:val="（%1）"/>
      <w:lvlJc w:val="left"/>
      <w:pPr>
        <w:ind w:left="3789"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4422" w:hanging="529"/>
      </w:pPr>
      <w:rPr>
        <w:rFonts w:hint="default"/>
        <w:lang w:val="en-US" w:eastAsia="zh-CN" w:bidi="ar-SA"/>
      </w:rPr>
    </w:lvl>
    <w:lvl w:ilvl="2" w:tentative="0">
      <w:start w:val="0"/>
      <w:numFmt w:val="bullet"/>
      <w:lvlText w:val="•"/>
      <w:lvlJc w:val="left"/>
      <w:pPr>
        <w:ind w:left="5065" w:hanging="529"/>
      </w:pPr>
      <w:rPr>
        <w:rFonts w:hint="default"/>
        <w:lang w:val="en-US" w:eastAsia="zh-CN" w:bidi="ar-SA"/>
      </w:rPr>
    </w:lvl>
    <w:lvl w:ilvl="3" w:tentative="0">
      <w:start w:val="0"/>
      <w:numFmt w:val="bullet"/>
      <w:lvlText w:val="•"/>
      <w:lvlJc w:val="left"/>
      <w:pPr>
        <w:ind w:left="5707" w:hanging="529"/>
      </w:pPr>
      <w:rPr>
        <w:rFonts w:hint="default"/>
        <w:lang w:val="en-US" w:eastAsia="zh-CN" w:bidi="ar-SA"/>
      </w:rPr>
    </w:lvl>
    <w:lvl w:ilvl="4" w:tentative="0">
      <w:start w:val="0"/>
      <w:numFmt w:val="bullet"/>
      <w:lvlText w:val="•"/>
      <w:lvlJc w:val="left"/>
      <w:pPr>
        <w:ind w:left="6350" w:hanging="529"/>
      </w:pPr>
      <w:rPr>
        <w:rFonts w:hint="default"/>
        <w:lang w:val="en-US" w:eastAsia="zh-CN" w:bidi="ar-SA"/>
      </w:rPr>
    </w:lvl>
    <w:lvl w:ilvl="5" w:tentative="0">
      <w:start w:val="0"/>
      <w:numFmt w:val="bullet"/>
      <w:lvlText w:val="•"/>
      <w:lvlJc w:val="left"/>
      <w:pPr>
        <w:ind w:left="6992" w:hanging="529"/>
      </w:pPr>
      <w:rPr>
        <w:rFonts w:hint="default"/>
        <w:lang w:val="en-US" w:eastAsia="zh-CN" w:bidi="ar-SA"/>
      </w:rPr>
    </w:lvl>
    <w:lvl w:ilvl="6" w:tentative="0">
      <w:start w:val="0"/>
      <w:numFmt w:val="bullet"/>
      <w:lvlText w:val="•"/>
      <w:lvlJc w:val="left"/>
      <w:pPr>
        <w:ind w:left="7635" w:hanging="529"/>
      </w:pPr>
      <w:rPr>
        <w:rFonts w:hint="default"/>
        <w:lang w:val="en-US" w:eastAsia="zh-CN" w:bidi="ar-SA"/>
      </w:rPr>
    </w:lvl>
    <w:lvl w:ilvl="7" w:tentative="0">
      <w:start w:val="0"/>
      <w:numFmt w:val="bullet"/>
      <w:lvlText w:val="•"/>
      <w:lvlJc w:val="left"/>
      <w:pPr>
        <w:ind w:left="8277" w:hanging="529"/>
      </w:pPr>
      <w:rPr>
        <w:rFonts w:hint="default"/>
        <w:lang w:val="en-US" w:eastAsia="zh-CN" w:bidi="ar-SA"/>
      </w:rPr>
    </w:lvl>
    <w:lvl w:ilvl="8" w:tentative="0">
      <w:start w:val="0"/>
      <w:numFmt w:val="bullet"/>
      <w:lvlText w:val="•"/>
      <w:lvlJc w:val="left"/>
      <w:pPr>
        <w:ind w:left="8920" w:hanging="529"/>
      </w:pPr>
      <w:rPr>
        <w:rFonts w:hint="default"/>
        <w:lang w:val="en-US" w:eastAsia="zh-CN" w:bidi="ar-SA"/>
      </w:rPr>
    </w:lvl>
  </w:abstractNum>
  <w:abstractNum w:abstractNumId="8">
    <w:nsid w:val="B0F1ACD9"/>
    <w:multiLevelType w:val="multilevel"/>
    <w:tmpl w:val="B0F1ACD9"/>
    <w:lvl w:ilvl="0" w:tentative="0">
      <w:start w:val="1"/>
      <w:numFmt w:val="decimal"/>
      <w:lvlText w:val="（%1）"/>
      <w:lvlJc w:val="left"/>
      <w:pPr>
        <w:ind w:left="738" w:hanging="632"/>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352" w:hanging="632"/>
      </w:pPr>
      <w:rPr>
        <w:rFonts w:hint="default"/>
        <w:lang w:val="en-US" w:eastAsia="zh-CN" w:bidi="ar-SA"/>
      </w:rPr>
    </w:lvl>
    <w:lvl w:ilvl="2" w:tentative="0">
      <w:start w:val="0"/>
      <w:numFmt w:val="bullet"/>
      <w:lvlText w:val="•"/>
      <w:lvlJc w:val="left"/>
      <w:pPr>
        <w:ind w:left="1964" w:hanging="632"/>
      </w:pPr>
      <w:rPr>
        <w:rFonts w:hint="default"/>
        <w:lang w:val="en-US" w:eastAsia="zh-CN" w:bidi="ar-SA"/>
      </w:rPr>
    </w:lvl>
    <w:lvl w:ilvl="3" w:tentative="0">
      <w:start w:val="0"/>
      <w:numFmt w:val="bullet"/>
      <w:lvlText w:val="•"/>
      <w:lvlJc w:val="left"/>
      <w:pPr>
        <w:ind w:left="2577" w:hanging="632"/>
      </w:pPr>
      <w:rPr>
        <w:rFonts w:hint="default"/>
        <w:lang w:val="en-US" w:eastAsia="zh-CN" w:bidi="ar-SA"/>
      </w:rPr>
    </w:lvl>
    <w:lvl w:ilvl="4" w:tentative="0">
      <w:start w:val="0"/>
      <w:numFmt w:val="bullet"/>
      <w:lvlText w:val="•"/>
      <w:lvlJc w:val="left"/>
      <w:pPr>
        <w:ind w:left="3189" w:hanging="632"/>
      </w:pPr>
      <w:rPr>
        <w:rFonts w:hint="default"/>
        <w:lang w:val="en-US" w:eastAsia="zh-CN" w:bidi="ar-SA"/>
      </w:rPr>
    </w:lvl>
    <w:lvl w:ilvl="5" w:tentative="0">
      <w:start w:val="0"/>
      <w:numFmt w:val="bullet"/>
      <w:lvlText w:val="•"/>
      <w:lvlJc w:val="left"/>
      <w:pPr>
        <w:ind w:left="3802" w:hanging="632"/>
      </w:pPr>
      <w:rPr>
        <w:rFonts w:hint="default"/>
        <w:lang w:val="en-US" w:eastAsia="zh-CN" w:bidi="ar-SA"/>
      </w:rPr>
    </w:lvl>
    <w:lvl w:ilvl="6" w:tentative="0">
      <w:start w:val="0"/>
      <w:numFmt w:val="bullet"/>
      <w:lvlText w:val="•"/>
      <w:lvlJc w:val="left"/>
      <w:pPr>
        <w:ind w:left="4414" w:hanging="632"/>
      </w:pPr>
      <w:rPr>
        <w:rFonts w:hint="default"/>
        <w:lang w:val="en-US" w:eastAsia="zh-CN" w:bidi="ar-SA"/>
      </w:rPr>
    </w:lvl>
    <w:lvl w:ilvl="7" w:tentative="0">
      <w:start w:val="0"/>
      <w:numFmt w:val="bullet"/>
      <w:lvlText w:val="•"/>
      <w:lvlJc w:val="left"/>
      <w:pPr>
        <w:ind w:left="5026" w:hanging="632"/>
      </w:pPr>
      <w:rPr>
        <w:rFonts w:hint="default"/>
        <w:lang w:val="en-US" w:eastAsia="zh-CN" w:bidi="ar-SA"/>
      </w:rPr>
    </w:lvl>
    <w:lvl w:ilvl="8" w:tentative="0">
      <w:start w:val="0"/>
      <w:numFmt w:val="bullet"/>
      <w:lvlText w:val="•"/>
      <w:lvlJc w:val="left"/>
      <w:pPr>
        <w:ind w:left="5639" w:hanging="632"/>
      </w:pPr>
      <w:rPr>
        <w:rFonts w:hint="default"/>
        <w:lang w:val="en-US" w:eastAsia="zh-CN" w:bidi="ar-SA"/>
      </w:rPr>
    </w:lvl>
  </w:abstractNum>
  <w:abstractNum w:abstractNumId="9">
    <w:nsid w:val="B23A94A9"/>
    <w:multiLevelType w:val="multilevel"/>
    <w:tmpl w:val="B23A94A9"/>
    <w:lvl w:ilvl="0" w:tentative="0">
      <w:start w:val="1"/>
      <w:numFmt w:val="decimal"/>
      <w:lvlText w:val="（%1）"/>
      <w:lvlJc w:val="left"/>
      <w:pPr>
        <w:ind w:left="3789"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4422" w:hanging="529"/>
      </w:pPr>
      <w:rPr>
        <w:rFonts w:hint="default"/>
        <w:lang w:val="en-US" w:eastAsia="zh-CN" w:bidi="ar-SA"/>
      </w:rPr>
    </w:lvl>
    <w:lvl w:ilvl="2" w:tentative="0">
      <w:start w:val="0"/>
      <w:numFmt w:val="bullet"/>
      <w:lvlText w:val="•"/>
      <w:lvlJc w:val="left"/>
      <w:pPr>
        <w:ind w:left="5065" w:hanging="529"/>
      </w:pPr>
      <w:rPr>
        <w:rFonts w:hint="default"/>
        <w:lang w:val="en-US" w:eastAsia="zh-CN" w:bidi="ar-SA"/>
      </w:rPr>
    </w:lvl>
    <w:lvl w:ilvl="3" w:tentative="0">
      <w:start w:val="0"/>
      <w:numFmt w:val="bullet"/>
      <w:lvlText w:val="•"/>
      <w:lvlJc w:val="left"/>
      <w:pPr>
        <w:ind w:left="5707" w:hanging="529"/>
      </w:pPr>
      <w:rPr>
        <w:rFonts w:hint="default"/>
        <w:lang w:val="en-US" w:eastAsia="zh-CN" w:bidi="ar-SA"/>
      </w:rPr>
    </w:lvl>
    <w:lvl w:ilvl="4" w:tentative="0">
      <w:start w:val="0"/>
      <w:numFmt w:val="bullet"/>
      <w:lvlText w:val="•"/>
      <w:lvlJc w:val="left"/>
      <w:pPr>
        <w:ind w:left="6350" w:hanging="529"/>
      </w:pPr>
      <w:rPr>
        <w:rFonts w:hint="default"/>
        <w:lang w:val="en-US" w:eastAsia="zh-CN" w:bidi="ar-SA"/>
      </w:rPr>
    </w:lvl>
    <w:lvl w:ilvl="5" w:tentative="0">
      <w:start w:val="0"/>
      <w:numFmt w:val="bullet"/>
      <w:lvlText w:val="•"/>
      <w:lvlJc w:val="left"/>
      <w:pPr>
        <w:ind w:left="6992" w:hanging="529"/>
      </w:pPr>
      <w:rPr>
        <w:rFonts w:hint="default"/>
        <w:lang w:val="en-US" w:eastAsia="zh-CN" w:bidi="ar-SA"/>
      </w:rPr>
    </w:lvl>
    <w:lvl w:ilvl="6" w:tentative="0">
      <w:start w:val="0"/>
      <w:numFmt w:val="bullet"/>
      <w:lvlText w:val="•"/>
      <w:lvlJc w:val="left"/>
      <w:pPr>
        <w:ind w:left="7635" w:hanging="529"/>
      </w:pPr>
      <w:rPr>
        <w:rFonts w:hint="default"/>
        <w:lang w:val="en-US" w:eastAsia="zh-CN" w:bidi="ar-SA"/>
      </w:rPr>
    </w:lvl>
    <w:lvl w:ilvl="7" w:tentative="0">
      <w:start w:val="0"/>
      <w:numFmt w:val="bullet"/>
      <w:lvlText w:val="•"/>
      <w:lvlJc w:val="left"/>
      <w:pPr>
        <w:ind w:left="8277" w:hanging="529"/>
      </w:pPr>
      <w:rPr>
        <w:rFonts w:hint="default"/>
        <w:lang w:val="en-US" w:eastAsia="zh-CN" w:bidi="ar-SA"/>
      </w:rPr>
    </w:lvl>
    <w:lvl w:ilvl="8" w:tentative="0">
      <w:start w:val="0"/>
      <w:numFmt w:val="bullet"/>
      <w:lvlText w:val="•"/>
      <w:lvlJc w:val="left"/>
      <w:pPr>
        <w:ind w:left="8920" w:hanging="529"/>
      </w:pPr>
      <w:rPr>
        <w:rFonts w:hint="default"/>
        <w:lang w:val="en-US" w:eastAsia="zh-CN" w:bidi="ar-SA"/>
      </w:rPr>
    </w:lvl>
  </w:abstractNum>
  <w:abstractNum w:abstractNumId="10">
    <w:nsid w:val="B53F3350"/>
    <w:multiLevelType w:val="multilevel"/>
    <w:tmpl w:val="B53F3350"/>
    <w:lvl w:ilvl="0" w:tentative="0">
      <w:start w:val="1"/>
      <w:numFmt w:val="decimal"/>
      <w:lvlText w:val="（%1）"/>
      <w:lvlJc w:val="left"/>
      <w:pPr>
        <w:ind w:left="702"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41" w:hanging="529"/>
      </w:pPr>
      <w:rPr>
        <w:rFonts w:hint="default"/>
        <w:lang w:val="en-US" w:eastAsia="zh-CN" w:bidi="ar-SA"/>
      </w:rPr>
    </w:lvl>
    <w:lvl w:ilvl="2" w:tentative="0">
      <w:start w:val="0"/>
      <w:numFmt w:val="bullet"/>
      <w:lvlText w:val="•"/>
      <w:lvlJc w:val="left"/>
      <w:pPr>
        <w:ind w:left="1983" w:hanging="529"/>
      </w:pPr>
      <w:rPr>
        <w:rFonts w:hint="default"/>
        <w:lang w:val="en-US" w:eastAsia="zh-CN" w:bidi="ar-SA"/>
      </w:rPr>
    </w:lvl>
    <w:lvl w:ilvl="3" w:tentative="0">
      <w:start w:val="0"/>
      <w:numFmt w:val="bullet"/>
      <w:lvlText w:val="•"/>
      <w:lvlJc w:val="left"/>
      <w:pPr>
        <w:ind w:left="2625" w:hanging="529"/>
      </w:pPr>
      <w:rPr>
        <w:rFonts w:hint="default"/>
        <w:lang w:val="en-US" w:eastAsia="zh-CN" w:bidi="ar-SA"/>
      </w:rPr>
    </w:lvl>
    <w:lvl w:ilvl="4" w:tentative="0">
      <w:start w:val="0"/>
      <w:numFmt w:val="bullet"/>
      <w:lvlText w:val="•"/>
      <w:lvlJc w:val="left"/>
      <w:pPr>
        <w:ind w:left="3267" w:hanging="529"/>
      </w:pPr>
      <w:rPr>
        <w:rFonts w:hint="default"/>
        <w:lang w:val="en-US" w:eastAsia="zh-CN" w:bidi="ar-SA"/>
      </w:rPr>
    </w:lvl>
    <w:lvl w:ilvl="5" w:tentative="0">
      <w:start w:val="0"/>
      <w:numFmt w:val="bullet"/>
      <w:lvlText w:val="•"/>
      <w:lvlJc w:val="left"/>
      <w:pPr>
        <w:ind w:left="3909" w:hanging="529"/>
      </w:pPr>
      <w:rPr>
        <w:rFonts w:hint="default"/>
        <w:lang w:val="en-US" w:eastAsia="zh-CN" w:bidi="ar-SA"/>
      </w:rPr>
    </w:lvl>
    <w:lvl w:ilvl="6" w:tentative="0">
      <w:start w:val="0"/>
      <w:numFmt w:val="bullet"/>
      <w:lvlText w:val="•"/>
      <w:lvlJc w:val="left"/>
      <w:pPr>
        <w:ind w:left="4550" w:hanging="529"/>
      </w:pPr>
      <w:rPr>
        <w:rFonts w:hint="default"/>
        <w:lang w:val="en-US" w:eastAsia="zh-CN" w:bidi="ar-SA"/>
      </w:rPr>
    </w:lvl>
    <w:lvl w:ilvl="7" w:tentative="0">
      <w:start w:val="0"/>
      <w:numFmt w:val="bullet"/>
      <w:lvlText w:val="•"/>
      <w:lvlJc w:val="left"/>
      <w:pPr>
        <w:ind w:left="5192" w:hanging="529"/>
      </w:pPr>
      <w:rPr>
        <w:rFonts w:hint="default"/>
        <w:lang w:val="en-US" w:eastAsia="zh-CN" w:bidi="ar-SA"/>
      </w:rPr>
    </w:lvl>
    <w:lvl w:ilvl="8" w:tentative="0">
      <w:start w:val="0"/>
      <w:numFmt w:val="bullet"/>
      <w:lvlText w:val="•"/>
      <w:lvlJc w:val="left"/>
      <w:pPr>
        <w:ind w:left="5834" w:hanging="529"/>
      </w:pPr>
      <w:rPr>
        <w:rFonts w:hint="default"/>
        <w:lang w:val="en-US" w:eastAsia="zh-CN" w:bidi="ar-SA"/>
      </w:rPr>
    </w:lvl>
  </w:abstractNum>
  <w:abstractNum w:abstractNumId="11">
    <w:nsid w:val="B5E306ED"/>
    <w:multiLevelType w:val="multilevel"/>
    <w:tmpl w:val="B5E306ED"/>
    <w:lvl w:ilvl="0" w:tentative="0">
      <w:start w:val="1"/>
      <w:numFmt w:val="decimal"/>
      <w:lvlText w:val="（%1）"/>
      <w:lvlJc w:val="left"/>
      <w:pPr>
        <w:ind w:left="897" w:hanging="453"/>
        <w:jc w:val="left"/>
      </w:pPr>
      <w:rPr>
        <w:rFonts w:hint="default" w:ascii="宋体" w:hAnsi="宋体" w:eastAsia="宋体" w:cs="宋体"/>
        <w:b w:val="0"/>
        <w:bCs w:val="0"/>
        <w:i w:val="0"/>
        <w:iCs w:val="0"/>
        <w:w w:val="100"/>
        <w:sz w:val="16"/>
        <w:szCs w:val="16"/>
        <w:lang w:val="en-US" w:eastAsia="zh-CN" w:bidi="ar-SA"/>
      </w:rPr>
    </w:lvl>
    <w:lvl w:ilvl="1" w:tentative="0">
      <w:start w:val="1"/>
      <w:numFmt w:val="decimal"/>
      <w:lvlText w:val="（%2）"/>
      <w:lvlJc w:val="left"/>
      <w:pPr>
        <w:ind w:left="3789" w:hanging="529"/>
        <w:jc w:val="left"/>
      </w:pPr>
      <w:rPr>
        <w:rFonts w:hint="default" w:ascii="宋体" w:hAnsi="宋体" w:eastAsia="宋体" w:cs="宋体"/>
        <w:b w:val="0"/>
        <w:bCs w:val="0"/>
        <w:i w:val="0"/>
        <w:iCs w:val="0"/>
        <w:spacing w:val="-3"/>
        <w:w w:val="100"/>
        <w:sz w:val="19"/>
        <w:szCs w:val="19"/>
        <w:lang w:val="en-US" w:eastAsia="zh-CN" w:bidi="ar-SA"/>
      </w:rPr>
    </w:lvl>
    <w:lvl w:ilvl="2" w:tentative="0">
      <w:start w:val="0"/>
      <w:numFmt w:val="bullet"/>
      <w:lvlText w:val="•"/>
      <w:lvlJc w:val="left"/>
      <w:pPr>
        <w:ind w:left="4493" w:hanging="529"/>
      </w:pPr>
      <w:rPr>
        <w:rFonts w:hint="default"/>
        <w:lang w:val="en-US" w:eastAsia="zh-CN" w:bidi="ar-SA"/>
      </w:rPr>
    </w:lvl>
    <w:lvl w:ilvl="3" w:tentative="0">
      <w:start w:val="0"/>
      <w:numFmt w:val="bullet"/>
      <w:lvlText w:val="•"/>
      <w:lvlJc w:val="left"/>
      <w:pPr>
        <w:ind w:left="5207" w:hanging="529"/>
      </w:pPr>
      <w:rPr>
        <w:rFonts w:hint="default"/>
        <w:lang w:val="en-US" w:eastAsia="zh-CN" w:bidi="ar-SA"/>
      </w:rPr>
    </w:lvl>
    <w:lvl w:ilvl="4" w:tentative="0">
      <w:start w:val="0"/>
      <w:numFmt w:val="bullet"/>
      <w:lvlText w:val="•"/>
      <w:lvlJc w:val="left"/>
      <w:pPr>
        <w:ind w:left="5921" w:hanging="529"/>
      </w:pPr>
      <w:rPr>
        <w:rFonts w:hint="default"/>
        <w:lang w:val="en-US" w:eastAsia="zh-CN" w:bidi="ar-SA"/>
      </w:rPr>
    </w:lvl>
    <w:lvl w:ilvl="5" w:tentative="0">
      <w:start w:val="0"/>
      <w:numFmt w:val="bullet"/>
      <w:lvlText w:val="•"/>
      <w:lvlJc w:val="left"/>
      <w:pPr>
        <w:ind w:left="6635" w:hanging="529"/>
      </w:pPr>
      <w:rPr>
        <w:rFonts w:hint="default"/>
        <w:lang w:val="en-US" w:eastAsia="zh-CN" w:bidi="ar-SA"/>
      </w:rPr>
    </w:lvl>
    <w:lvl w:ilvl="6" w:tentative="0">
      <w:start w:val="0"/>
      <w:numFmt w:val="bullet"/>
      <w:lvlText w:val="•"/>
      <w:lvlJc w:val="left"/>
      <w:pPr>
        <w:ind w:left="7349" w:hanging="529"/>
      </w:pPr>
      <w:rPr>
        <w:rFonts w:hint="default"/>
        <w:lang w:val="en-US" w:eastAsia="zh-CN" w:bidi="ar-SA"/>
      </w:rPr>
    </w:lvl>
    <w:lvl w:ilvl="7" w:tentative="0">
      <w:start w:val="0"/>
      <w:numFmt w:val="bullet"/>
      <w:lvlText w:val="•"/>
      <w:lvlJc w:val="left"/>
      <w:pPr>
        <w:ind w:left="8063" w:hanging="529"/>
      </w:pPr>
      <w:rPr>
        <w:rFonts w:hint="default"/>
        <w:lang w:val="en-US" w:eastAsia="zh-CN" w:bidi="ar-SA"/>
      </w:rPr>
    </w:lvl>
    <w:lvl w:ilvl="8" w:tentative="0">
      <w:start w:val="0"/>
      <w:numFmt w:val="bullet"/>
      <w:lvlText w:val="•"/>
      <w:lvlJc w:val="left"/>
      <w:pPr>
        <w:ind w:left="8777" w:hanging="529"/>
      </w:pPr>
      <w:rPr>
        <w:rFonts w:hint="default"/>
        <w:lang w:val="en-US" w:eastAsia="zh-CN" w:bidi="ar-SA"/>
      </w:rPr>
    </w:lvl>
  </w:abstractNum>
  <w:abstractNum w:abstractNumId="12">
    <w:nsid w:val="B8CEF35B"/>
    <w:multiLevelType w:val="multilevel"/>
    <w:tmpl w:val="B8CEF35B"/>
    <w:lvl w:ilvl="0" w:tentative="0">
      <w:start w:val="4"/>
      <w:numFmt w:val="decimal"/>
      <w:lvlText w:val="（%1）"/>
      <w:lvlJc w:val="left"/>
      <w:pPr>
        <w:ind w:left="529"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138" w:hanging="529"/>
      </w:pPr>
      <w:rPr>
        <w:rFonts w:hint="default"/>
        <w:lang w:val="en-US" w:eastAsia="zh-CN" w:bidi="ar-SA"/>
      </w:rPr>
    </w:lvl>
    <w:lvl w:ilvl="2" w:tentative="0">
      <w:start w:val="0"/>
      <w:numFmt w:val="bullet"/>
      <w:lvlText w:val="•"/>
      <w:lvlJc w:val="left"/>
      <w:pPr>
        <w:ind w:left="1756" w:hanging="529"/>
      </w:pPr>
      <w:rPr>
        <w:rFonts w:hint="default"/>
        <w:lang w:val="en-US" w:eastAsia="zh-CN" w:bidi="ar-SA"/>
      </w:rPr>
    </w:lvl>
    <w:lvl w:ilvl="3" w:tentative="0">
      <w:start w:val="0"/>
      <w:numFmt w:val="bullet"/>
      <w:lvlText w:val="•"/>
      <w:lvlJc w:val="left"/>
      <w:pPr>
        <w:ind w:left="2375" w:hanging="529"/>
      </w:pPr>
      <w:rPr>
        <w:rFonts w:hint="default"/>
        <w:lang w:val="en-US" w:eastAsia="zh-CN" w:bidi="ar-SA"/>
      </w:rPr>
    </w:lvl>
    <w:lvl w:ilvl="4" w:tentative="0">
      <w:start w:val="0"/>
      <w:numFmt w:val="bullet"/>
      <w:lvlText w:val="•"/>
      <w:lvlJc w:val="left"/>
      <w:pPr>
        <w:ind w:left="2993" w:hanging="529"/>
      </w:pPr>
      <w:rPr>
        <w:rFonts w:hint="default"/>
        <w:lang w:val="en-US" w:eastAsia="zh-CN" w:bidi="ar-SA"/>
      </w:rPr>
    </w:lvl>
    <w:lvl w:ilvl="5" w:tentative="0">
      <w:start w:val="0"/>
      <w:numFmt w:val="bullet"/>
      <w:lvlText w:val="•"/>
      <w:lvlJc w:val="left"/>
      <w:pPr>
        <w:ind w:left="3612" w:hanging="529"/>
      </w:pPr>
      <w:rPr>
        <w:rFonts w:hint="default"/>
        <w:lang w:val="en-US" w:eastAsia="zh-CN" w:bidi="ar-SA"/>
      </w:rPr>
    </w:lvl>
    <w:lvl w:ilvl="6" w:tentative="0">
      <w:start w:val="0"/>
      <w:numFmt w:val="bullet"/>
      <w:lvlText w:val="•"/>
      <w:lvlJc w:val="left"/>
      <w:pPr>
        <w:ind w:left="4230" w:hanging="529"/>
      </w:pPr>
      <w:rPr>
        <w:rFonts w:hint="default"/>
        <w:lang w:val="en-US" w:eastAsia="zh-CN" w:bidi="ar-SA"/>
      </w:rPr>
    </w:lvl>
    <w:lvl w:ilvl="7" w:tentative="0">
      <w:start w:val="0"/>
      <w:numFmt w:val="bullet"/>
      <w:lvlText w:val="•"/>
      <w:lvlJc w:val="left"/>
      <w:pPr>
        <w:ind w:left="4848" w:hanging="529"/>
      </w:pPr>
      <w:rPr>
        <w:rFonts w:hint="default"/>
        <w:lang w:val="en-US" w:eastAsia="zh-CN" w:bidi="ar-SA"/>
      </w:rPr>
    </w:lvl>
    <w:lvl w:ilvl="8" w:tentative="0">
      <w:start w:val="0"/>
      <w:numFmt w:val="bullet"/>
      <w:lvlText w:val="•"/>
      <w:lvlJc w:val="left"/>
      <w:pPr>
        <w:ind w:left="5467" w:hanging="529"/>
      </w:pPr>
      <w:rPr>
        <w:rFonts w:hint="default"/>
        <w:lang w:val="en-US" w:eastAsia="zh-CN" w:bidi="ar-SA"/>
      </w:rPr>
    </w:lvl>
  </w:abstractNum>
  <w:abstractNum w:abstractNumId="13">
    <w:nsid w:val="BB64CFA9"/>
    <w:multiLevelType w:val="multilevel"/>
    <w:tmpl w:val="BB64CFA9"/>
    <w:lvl w:ilvl="0" w:tentative="0">
      <w:start w:val="7"/>
      <w:numFmt w:val="decimal"/>
      <w:lvlText w:val="%1"/>
      <w:lvlJc w:val="left"/>
      <w:pPr>
        <w:ind w:left="1196" w:hanging="977"/>
        <w:jc w:val="left"/>
      </w:pPr>
      <w:rPr>
        <w:rFonts w:hint="default"/>
        <w:lang w:val="en-US" w:eastAsia="zh-CN" w:bidi="ar-SA"/>
      </w:rPr>
    </w:lvl>
    <w:lvl w:ilvl="1" w:tentative="0">
      <w:start w:val="2"/>
      <w:numFmt w:val="decimal"/>
      <w:lvlText w:val="%1.%2"/>
      <w:lvlJc w:val="left"/>
      <w:pPr>
        <w:ind w:left="1196" w:hanging="977"/>
        <w:jc w:val="left"/>
      </w:pPr>
      <w:rPr>
        <w:rFonts w:hint="default"/>
        <w:lang w:val="en-US" w:eastAsia="zh-CN" w:bidi="ar-SA"/>
      </w:rPr>
    </w:lvl>
    <w:lvl w:ilvl="2" w:tentative="0">
      <w:start w:val="57"/>
      <w:numFmt w:val="decimal"/>
      <w:lvlText w:val="%1.%2.%3"/>
      <w:lvlJc w:val="left"/>
      <w:pPr>
        <w:ind w:left="1196" w:hanging="977"/>
        <w:jc w:val="left"/>
      </w:pPr>
      <w:rPr>
        <w:rFonts w:hint="default" w:ascii="宋体" w:hAnsi="宋体" w:eastAsia="宋体" w:cs="宋体"/>
        <w:b/>
        <w:bCs/>
        <w:i w:val="0"/>
        <w:iCs w:val="0"/>
        <w:w w:val="99"/>
        <w:sz w:val="21"/>
        <w:szCs w:val="21"/>
        <w:lang w:val="en-US" w:eastAsia="zh-CN" w:bidi="ar-SA"/>
      </w:rPr>
    </w:lvl>
    <w:lvl w:ilvl="3" w:tentative="0">
      <w:start w:val="0"/>
      <w:numFmt w:val="bullet"/>
      <w:lvlText w:val="•"/>
      <w:lvlJc w:val="left"/>
      <w:pPr>
        <w:ind w:left="3901" w:hanging="977"/>
      </w:pPr>
      <w:rPr>
        <w:rFonts w:hint="default"/>
        <w:lang w:val="en-US" w:eastAsia="zh-CN" w:bidi="ar-SA"/>
      </w:rPr>
    </w:lvl>
    <w:lvl w:ilvl="4" w:tentative="0">
      <w:start w:val="0"/>
      <w:numFmt w:val="bullet"/>
      <w:lvlText w:val="•"/>
      <w:lvlJc w:val="left"/>
      <w:pPr>
        <w:ind w:left="4802" w:hanging="977"/>
      </w:pPr>
      <w:rPr>
        <w:rFonts w:hint="default"/>
        <w:lang w:val="en-US" w:eastAsia="zh-CN" w:bidi="ar-SA"/>
      </w:rPr>
    </w:lvl>
    <w:lvl w:ilvl="5" w:tentative="0">
      <w:start w:val="0"/>
      <w:numFmt w:val="bullet"/>
      <w:lvlText w:val="•"/>
      <w:lvlJc w:val="left"/>
      <w:pPr>
        <w:ind w:left="5702" w:hanging="977"/>
      </w:pPr>
      <w:rPr>
        <w:rFonts w:hint="default"/>
        <w:lang w:val="en-US" w:eastAsia="zh-CN" w:bidi="ar-SA"/>
      </w:rPr>
    </w:lvl>
    <w:lvl w:ilvl="6" w:tentative="0">
      <w:start w:val="0"/>
      <w:numFmt w:val="bullet"/>
      <w:lvlText w:val="•"/>
      <w:lvlJc w:val="left"/>
      <w:pPr>
        <w:ind w:left="6603" w:hanging="977"/>
      </w:pPr>
      <w:rPr>
        <w:rFonts w:hint="default"/>
        <w:lang w:val="en-US" w:eastAsia="zh-CN" w:bidi="ar-SA"/>
      </w:rPr>
    </w:lvl>
    <w:lvl w:ilvl="7" w:tentative="0">
      <w:start w:val="0"/>
      <w:numFmt w:val="bullet"/>
      <w:lvlText w:val="•"/>
      <w:lvlJc w:val="left"/>
      <w:pPr>
        <w:ind w:left="7503" w:hanging="977"/>
      </w:pPr>
      <w:rPr>
        <w:rFonts w:hint="default"/>
        <w:lang w:val="en-US" w:eastAsia="zh-CN" w:bidi="ar-SA"/>
      </w:rPr>
    </w:lvl>
    <w:lvl w:ilvl="8" w:tentative="0">
      <w:start w:val="0"/>
      <w:numFmt w:val="bullet"/>
      <w:lvlText w:val="•"/>
      <w:lvlJc w:val="left"/>
      <w:pPr>
        <w:ind w:left="8404" w:hanging="977"/>
      </w:pPr>
      <w:rPr>
        <w:rFonts w:hint="default"/>
        <w:lang w:val="en-US" w:eastAsia="zh-CN" w:bidi="ar-SA"/>
      </w:rPr>
    </w:lvl>
  </w:abstractNum>
  <w:abstractNum w:abstractNumId="14">
    <w:nsid w:val="BE923771"/>
    <w:multiLevelType w:val="multilevel"/>
    <w:tmpl w:val="BE923771"/>
    <w:lvl w:ilvl="0" w:tentative="0">
      <w:start w:val="1"/>
      <w:numFmt w:val="decimal"/>
      <w:lvlText w:val="（%1）"/>
      <w:lvlJc w:val="left"/>
      <w:pPr>
        <w:ind w:left="3892" w:hanging="632"/>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4530" w:hanging="632"/>
      </w:pPr>
      <w:rPr>
        <w:rFonts w:hint="default"/>
        <w:lang w:val="en-US" w:eastAsia="zh-CN" w:bidi="ar-SA"/>
      </w:rPr>
    </w:lvl>
    <w:lvl w:ilvl="2" w:tentative="0">
      <w:start w:val="0"/>
      <w:numFmt w:val="bullet"/>
      <w:lvlText w:val="•"/>
      <w:lvlJc w:val="left"/>
      <w:pPr>
        <w:ind w:left="5161" w:hanging="632"/>
      </w:pPr>
      <w:rPr>
        <w:rFonts w:hint="default"/>
        <w:lang w:val="en-US" w:eastAsia="zh-CN" w:bidi="ar-SA"/>
      </w:rPr>
    </w:lvl>
    <w:lvl w:ilvl="3" w:tentative="0">
      <w:start w:val="0"/>
      <w:numFmt w:val="bullet"/>
      <w:lvlText w:val="•"/>
      <w:lvlJc w:val="left"/>
      <w:pPr>
        <w:ind w:left="5791" w:hanging="632"/>
      </w:pPr>
      <w:rPr>
        <w:rFonts w:hint="default"/>
        <w:lang w:val="en-US" w:eastAsia="zh-CN" w:bidi="ar-SA"/>
      </w:rPr>
    </w:lvl>
    <w:lvl w:ilvl="4" w:tentative="0">
      <w:start w:val="0"/>
      <w:numFmt w:val="bullet"/>
      <w:lvlText w:val="•"/>
      <w:lvlJc w:val="left"/>
      <w:pPr>
        <w:ind w:left="6422" w:hanging="632"/>
      </w:pPr>
      <w:rPr>
        <w:rFonts w:hint="default"/>
        <w:lang w:val="en-US" w:eastAsia="zh-CN" w:bidi="ar-SA"/>
      </w:rPr>
    </w:lvl>
    <w:lvl w:ilvl="5" w:tentative="0">
      <w:start w:val="0"/>
      <w:numFmt w:val="bullet"/>
      <w:lvlText w:val="•"/>
      <w:lvlJc w:val="left"/>
      <w:pPr>
        <w:ind w:left="7052" w:hanging="632"/>
      </w:pPr>
      <w:rPr>
        <w:rFonts w:hint="default"/>
        <w:lang w:val="en-US" w:eastAsia="zh-CN" w:bidi="ar-SA"/>
      </w:rPr>
    </w:lvl>
    <w:lvl w:ilvl="6" w:tentative="0">
      <w:start w:val="0"/>
      <w:numFmt w:val="bullet"/>
      <w:lvlText w:val="•"/>
      <w:lvlJc w:val="left"/>
      <w:pPr>
        <w:ind w:left="7683" w:hanging="632"/>
      </w:pPr>
      <w:rPr>
        <w:rFonts w:hint="default"/>
        <w:lang w:val="en-US" w:eastAsia="zh-CN" w:bidi="ar-SA"/>
      </w:rPr>
    </w:lvl>
    <w:lvl w:ilvl="7" w:tentative="0">
      <w:start w:val="0"/>
      <w:numFmt w:val="bullet"/>
      <w:lvlText w:val="•"/>
      <w:lvlJc w:val="left"/>
      <w:pPr>
        <w:ind w:left="8313" w:hanging="632"/>
      </w:pPr>
      <w:rPr>
        <w:rFonts w:hint="default"/>
        <w:lang w:val="en-US" w:eastAsia="zh-CN" w:bidi="ar-SA"/>
      </w:rPr>
    </w:lvl>
    <w:lvl w:ilvl="8" w:tentative="0">
      <w:start w:val="0"/>
      <w:numFmt w:val="bullet"/>
      <w:lvlText w:val="•"/>
      <w:lvlJc w:val="left"/>
      <w:pPr>
        <w:ind w:left="8944" w:hanging="632"/>
      </w:pPr>
      <w:rPr>
        <w:rFonts w:hint="default"/>
        <w:lang w:val="en-US" w:eastAsia="zh-CN" w:bidi="ar-SA"/>
      </w:rPr>
    </w:lvl>
  </w:abstractNum>
  <w:abstractNum w:abstractNumId="15">
    <w:nsid w:val="BF205925"/>
    <w:multiLevelType w:val="multilevel"/>
    <w:tmpl w:val="BF205925"/>
    <w:lvl w:ilvl="0" w:tentative="0">
      <w:start w:val="1"/>
      <w:numFmt w:val="decimal"/>
      <w:lvlText w:val="（%1）"/>
      <w:lvlJc w:val="left"/>
      <w:pPr>
        <w:ind w:left="835" w:hanging="453"/>
        <w:jc w:val="left"/>
      </w:pPr>
      <w:rPr>
        <w:rFonts w:hint="default" w:ascii="宋体" w:hAnsi="宋体" w:eastAsia="宋体" w:cs="宋体"/>
        <w:b w:val="0"/>
        <w:bCs w:val="0"/>
        <w:i w:val="0"/>
        <w:iCs w:val="0"/>
        <w:w w:val="100"/>
        <w:sz w:val="16"/>
        <w:szCs w:val="16"/>
        <w:lang w:val="en-US" w:eastAsia="zh-CN" w:bidi="ar-SA"/>
      </w:rPr>
    </w:lvl>
    <w:lvl w:ilvl="1" w:tentative="0">
      <w:start w:val="1"/>
      <w:numFmt w:val="decimal"/>
      <w:lvlText w:val="（%2）"/>
      <w:lvlJc w:val="left"/>
      <w:pPr>
        <w:ind w:left="3789" w:hanging="529"/>
        <w:jc w:val="left"/>
      </w:pPr>
      <w:rPr>
        <w:rFonts w:hint="default" w:ascii="宋体" w:hAnsi="宋体" w:eastAsia="宋体" w:cs="宋体"/>
        <w:b w:val="0"/>
        <w:bCs w:val="0"/>
        <w:i w:val="0"/>
        <w:iCs w:val="0"/>
        <w:spacing w:val="-3"/>
        <w:w w:val="100"/>
        <w:sz w:val="19"/>
        <w:szCs w:val="19"/>
        <w:lang w:val="en-US" w:eastAsia="zh-CN" w:bidi="ar-SA"/>
      </w:rPr>
    </w:lvl>
    <w:lvl w:ilvl="2" w:tentative="0">
      <w:start w:val="0"/>
      <w:numFmt w:val="bullet"/>
      <w:lvlText w:val="•"/>
      <w:lvlJc w:val="left"/>
      <w:pPr>
        <w:ind w:left="4493" w:hanging="529"/>
      </w:pPr>
      <w:rPr>
        <w:rFonts w:hint="default"/>
        <w:lang w:val="en-US" w:eastAsia="zh-CN" w:bidi="ar-SA"/>
      </w:rPr>
    </w:lvl>
    <w:lvl w:ilvl="3" w:tentative="0">
      <w:start w:val="0"/>
      <w:numFmt w:val="bullet"/>
      <w:lvlText w:val="•"/>
      <w:lvlJc w:val="left"/>
      <w:pPr>
        <w:ind w:left="5207" w:hanging="529"/>
      </w:pPr>
      <w:rPr>
        <w:rFonts w:hint="default"/>
        <w:lang w:val="en-US" w:eastAsia="zh-CN" w:bidi="ar-SA"/>
      </w:rPr>
    </w:lvl>
    <w:lvl w:ilvl="4" w:tentative="0">
      <w:start w:val="0"/>
      <w:numFmt w:val="bullet"/>
      <w:lvlText w:val="•"/>
      <w:lvlJc w:val="left"/>
      <w:pPr>
        <w:ind w:left="5921" w:hanging="529"/>
      </w:pPr>
      <w:rPr>
        <w:rFonts w:hint="default"/>
        <w:lang w:val="en-US" w:eastAsia="zh-CN" w:bidi="ar-SA"/>
      </w:rPr>
    </w:lvl>
    <w:lvl w:ilvl="5" w:tentative="0">
      <w:start w:val="0"/>
      <w:numFmt w:val="bullet"/>
      <w:lvlText w:val="•"/>
      <w:lvlJc w:val="left"/>
      <w:pPr>
        <w:ind w:left="6635" w:hanging="529"/>
      </w:pPr>
      <w:rPr>
        <w:rFonts w:hint="default"/>
        <w:lang w:val="en-US" w:eastAsia="zh-CN" w:bidi="ar-SA"/>
      </w:rPr>
    </w:lvl>
    <w:lvl w:ilvl="6" w:tentative="0">
      <w:start w:val="0"/>
      <w:numFmt w:val="bullet"/>
      <w:lvlText w:val="•"/>
      <w:lvlJc w:val="left"/>
      <w:pPr>
        <w:ind w:left="7349" w:hanging="529"/>
      </w:pPr>
      <w:rPr>
        <w:rFonts w:hint="default"/>
        <w:lang w:val="en-US" w:eastAsia="zh-CN" w:bidi="ar-SA"/>
      </w:rPr>
    </w:lvl>
    <w:lvl w:ilvl="7" w:tentative="0">
      <w:start w:val="0"/>
      <w:numFmt w:val="bullet"/>
      <w:lvlText w:val="•"/>
      <w:lvlJc w:val="left"/>
      <w:pPr>
        <w:ind w:left="8063" w:hanging="529"/>
      </w:pPr>
      <w:rPr>
        <w:rFonts w:hint="default"/>
        <w:lang w:val="en-US" w:eastAsia="zh-CN" w:bidi="ar-SA"/>
      </w:rPr>
    </w:lvl>
    <w:lvl w:ilvl="8" w:tentative="0">
      <w:start w:val="0"/>
      <w:numFmt w:val="bullet"/>
      <w:lvlText w:val="•"/>
      <w:lvlJc w:val="left"/>
      <w:pPr>
        <w:ind w:left="8777" w:hanging="529"/>
      </w:pPr>
      <w:rPr>
        <w:rFonts w:hint="default"/>
        <w:lang w:val="en-US" w:eastAsia="zh-CN" w:bidi="ar-SA"/>
      </w:rPr>
    </w:lvl>
  </w:abstractNum>
  <w:abstractNum w:abstractNumId="16">
    <w:nsid w:val="C0915F4F"/>
    <w:multiLevelType w:val="multilevel"/>
    <w:tmpl w:val="C0915F4F"/>
    <w:lvl w:ilvl="0" w:tentative="0">
      <w:start w:val="1"/>
      <w:numFmt w:val="decimal"/>
      <w:lvlText w:val="（%1）"/>
      <w:lvlJc w:val="left"/>
      <w:pPr>
        <w:ind w:left="3789"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4422" w:hanging="529"/>
      </w:pPr>
      <w:rPr>
        <w:rFonts w:hint="default"/>
        <w:lang w:val="en-US" w:eastAsia="zh-CN" w:bidi="ar-SA"/>
      </w:rPr>
    </w:lvl>
    <w:lvl w:ilvl="2" w:tentative="0">
      <w:start w:val="0"/>
      <w:numFmt w:val="bullet"/>
      <w:lvlText w:val="•"/>
      <w:lvlJc w:val="left"/>
      <w:pPr>
        <w:ind w:left="5065" w:hanging="529"/>
      </w:pPr>
      <w:rPr>
        <w:rFonts w:hint="default"/>
        <w:lang w:val="en-US" w:eastAsia="zh-CN" w:bidi="ar-SA"/>
      </w:rPr>
    </w:lvl>
    <w:lvl w:ilvl="3" w:tentative="0">
      <w:start w:val="0"/>
      <w:numFmt w:val="bullet"/>
      <w:lvlText w:val="•"/>
      <w:lvlJc w:val="left"/>
      <w:pPr>
        <w:ind w:left="5707" w:hanging="529"/>
      </w:pPr>
      <w:rPr>
        <w:rFonts w:hint="default"/>
        <w:lang w:val="en-US" w:eastAsia="zh-CN" w:bidi="ar-SA"/>
      </w:rPr>
    </w:lvl>
    <w:lvl w:ilvl="4" w:tentative="0">
      <w:start w:val="0"/>
      <w:numFmt w:val="bullet"/>
      <w:lvlText w:val="•"/>
      <w:lvlJc w:val="left"/>
      <w:pPr>
        <w:ind w:left="6350" w:hanging="529"/>
      </w:pPr>
      <w:rPr>
        <w:rFonts w:hint="default"/>
        <w:lang w:val="en-US" w:eastAsia="zh-CN" w:bidi="ar-SA"/>
      </w:rPr>
    </w:lvl>
    <w:lvl w:ilvl="5" w:tentative="0">
      <w:start w:val="0"/>
      <w:numFmt w:val="bullet"/>
      <w:lvlText w:val="•"/>
      <w:lvlJc w:val="left"/>
      <w:pPr>
        <w:ind w:left="6992" w:hanging="529"/>
      </w:pPr>
      <w:rPr>
        <w:rFonts w:hint="default"/>
        <w:lang w:val="en-US" w:eastAsia="zh-CN" w:bidi="ar-SA"/>
      </w:rPr>
    </w:lvl>
    <w:lvl w:ilvl="6" w:tentative="0">
      <w:start w:val="0"/>
      <w:numFmt w:val="bullet"/>
      <w:lvlText w:val="•"/>
      <w:lvlJc w:val="left"/>
      <w:pPr>
        <w:ind w:left="7635" w:hanging="529"/>
      </w:pPr>
      <w:rPr>
        <w:rFonts w:hint="default"/>
        <w:lang w:val="en-US" w:eastAsia="zh-CN" w:bidi="ar-SA"/>
      </w:rPr>
    </w:lvl>
    <w:lvl w:ilvl="7" w:tentative="0">
      <w:start w:val="0"/>
      <w:numFmt w:val="bullet"/>
      <w:lvlText w:val="•"/>
      <w:lvlJc w:val="left"/>
      <w:pPr>
        <w:ind w:left="8277" w:hanging="529"/>
      </w:pPr>
      <w:rPr>
        <w:rFonts w:hint="default"/>
        <w:lang w:val="en-US" w:eastAsia="zh-CN" w:bidi="ar-SA"/>
      </w:rPr>
    </w:lvl>
    <w:lvl w:ilvl="8" w:tentative="0">
      <w:start w:val="0"/>
      <w:numFmt w:val="bullet"/>
      <w:lvlText w:val="•"/>
      <w:lvlJc w:val="left"/>
      <w:pPr>
        <w:ind w:left="8920" w:hanging="529"/>
      </w:pPr>
      <w:rPr>
        <w:rFonts w:hint="default"/>
        <w:lang w:val="en-US" w:eastAsia="zh-CN" w:bidi="ar-SA"/>
      </w:rPr>
    </w:lvl>
  </w:abstractNum>
  <w:abstractNum w:abstractNumId="17">
    <w:nsid w:val="C8879AEF"/>
    <w:multiLevelType w:val="multilevel"/>
    <w:tmpl w:val="C8879AEF"/>
    <w:lvl w:ilvl="0" w:tentative="0">
      <w:start w:val="1"/>
      <w:numFmt w:val="decimal"/>
      <w:lvlText w:val="（%1）"/>
      <w:lvlJc w:val="left"/>
      <w:pPr>
        <w:ind w:left="702"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41" w:hanging="529"/>
      </w:pPr>
      <w:rPr>
        <w:rFonts w:hint="default"/>
        <w:lang w:val="en-US" w:eastAsia="zh-CN" w:bidi="ar-SA"/>
      </w:rPr>
    </w:lvl>
    <w:lvl w:ilvl="2" w:tentative="0">
      <w:start w:val="0"/>
      <w:numFmt w:val="bullet"/>
      <w:lvlText w:val="•"/>
      <w:lvlJc w:val="left"/>
      <w:pPr>
        <w:ind w:left="1983" w:hanging="529"/>
      </w:pPr>
      <w:rPr>
        <w:rFonts w:hint="default"/>
        <w:lang w:val="en-US" w:eastAsia="zh-CN" w:bidi="ar-SA"/>
      </w:rPr>
    </w:lvl>
    <w:lvl w:ilvl="3" w:tentative="0">
      <w:start w:val="0"/>
      <w:numFmt w:val="bullet"/>
      <w:lvlText w:val="•"/>
      <w:lvlJc w:val="left"/>
      <w:pPr>
        <w:ind w:left="2625" w:hanging="529"/>
      </w:pPr>
      <w:rPr>
        <w:rFonts w:hint="default"/>
        <w:lang w:val="en-US" w:eastAsia="zh-CN" w:bidi="ar-SA"/>
      </w:rPr>
    </w:lvl>
    <w:lvl w:ilvl="4" w:tentative="0">
      <w:start w:val="0"/>
      <w:numFmt w:val="bullet"/>
      <w:lvlText w:val="•"/>
      <w:lvlJc w:val="left"/>
      <w:pPr>
        <w:ind w:left="3267" w:hanging="529"/>
      </w:pPr>
      <w:rPr>
        <w:rFonts w:hint="default"/>
        <w:lang w:val="en-US" w:eastAsia="zh-CN" w:bidi="ar-SA"/>
      </w:rPr>
    </w:lvl>
    <w:lvl w:ilvl="5" w:tentative="0">
      <w:start w:val="0"/>
      <w:numFmt w:val="bullet"/>
      <w:lvlText w:val="•"/>
      <w:lvlJc w:val="left"/>
      <w:pPr>
        <w:ind w:left="3909" w:hanging="529"/>
      </w:pPr>
      <w:rPr>
        <w:rFonts w:hint="default"/>
        <w:lang w:val="en-US" w:eastAsia="zh-CN" w:bidi="ar-SA"/>
      </w:rPr>
    </w:lvl>
    <w:lvl w:ilvl="6" w:tentative="0">
      <w:start w:val="0"/>
      <w:numFmt w:val="bullet"/>
      <w:lvlText w:val="•"/>
      <w:lvlJc w:val="left"/>
      <w:pPr>
        <w:ind w:left="4550" w:hanging="529"/>
      </w:pPr>
      <w:rPr>
        <w:rFonts w:hint="default"/>
        <w:lang w:val="en-US" w:eastAsia="zh-CN" w:bidi="ar-SA"/>
      </w:rPr>
    </w:lvl>
    <w:lvl w:ilvl="7" w:tentative="0">
      <w:start w:val="0"/>
      <w:numFmt w:val="bullet"/>
      <w:lvlText w:val="•"/>
      <w:lvlJc w:val="left"/>
      <w:pPr>
        <w:ind w:left="5192" w:hanging="529"/>
      </w:pPr>
      <w:rPr>
        <w:rFonts w:hint="default"/>
        <w:lang w:val="en-US" w:eastAsia="zh-CN" w:bidi="ar-SA"/>
      </w:rPr>
    </w:lvl>
    <w:lvl w:ilvl="8" w:tentative="0">
      <w:start w:val="0"/>
      <w:numFmt w:val="bullet"/>
      <w:lvlText w:val="•"/>
      <w:lvlJc w:val="left"/>
      <w:pPr>
        <w:ind w:left="5834" w:hanging="529"/>
      </w:pPr>
      <w:rPr>
        <w:rFonts w:hint="default"/>
        <w:lang w:val="en-US" w:eastAsia="zh-CN" w:bidi="ar-SA"/>
      </w:rPr>
    </w:lvl>
  </w:abstractNum>
  <w:abstractNum w:abstractNumId="18">
    <w:nsid w:val="CF092B84"/>
    <w:multiLevelType w:val="multilevel"/>
    <w:tmpl w:val="CF092B84"/>
    <w:lvl w:ilvl="0" w:tentative="0">
      <w:start w:val="1"/>
      <w:numFmt w:val="decimal"/>
      <w:lvlText w:val="%1"/>
      <w:lvlJc w:val="left"/>
      <w:pPr>
        <w:ind w:left="1196" w:hanging="977"/>
        <w:jc w:val="left"/>
      </w:pPr>
      <w:rPr>
        <w:rFonts w:hint="default"/>
        <w:lang w:val="en-US" w:eastAsia="zh-CN" w:bidi="ar-SA"/>
      </w:rPr>
    </w:lvl>
    <w:lvl w:ilvl="1" w:tentative="0">
      <w:start w:val="1"/>
      <w:numFmt w:val="decimal"/>
      <w:lvlText w:val="%1.%2"/>
      <w:lvlJc w:val="left"/>
      <w:pPr>
        <w:ind w:left="1196" w:hanging="977"/>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835" w:hanging="453"/>
        <w:jc w:val="left"/>
      </w:pPr>
      <w:rPr>
        <w:rFonts w:hint="default" w:ascii="黑体" w:hAnsi="黑体" w:eastAsia="黑体" w:cs="黑体"/>
        <w:b w:val="0"/>
        <w:bCs w:val="0"/>
        <w:i w:val="0"/>
        <w:iCs w:val="0"/>
        <w:spacing w:val="-2"/>
        <w:w w:val="100"/>
        <w:sz w:val="16"/>
        <w:szCs w:val="16"/>
        <w:shd w:val="clear" w:color="auto" w:fill="D9D9D9"/>
        <w:lang w:val="en-US" w:eastAsia="zh-CN" w:bidi="ar-SA"/>
      </w:rPr>
    </w:lvl>
    <w:lvl w:ilvl="3" w:tentative="0">
      <w:start w:val="0"/>
      <w:numFmt w:val="bullet"/>
      <w:lvlText w:val="•"/>
      <w:lvlJc w:val="left"/>
      <w:pPr>
        <w:ind w:left="3201" w:hanging="453"/>
      </w:pPr>
      <w:rPr>
        <w:rFonts w:hint="default"/>
        <w:lang w:val="en-US" w:eastAsia="zh-CN" w:bidi="ar-SA"/>
      </w:rPr>
    </w:lvl>
    <w:lvl w:ilvl="4" w:tentative="0">
      <w:start w:val="0"/>
      <w:numFmt w:val="bullet"/>
      <w:lvlText w:val="•"/>
      <w:lvlJc w:val="left"/>
      <w:pPr>
        <w:ind w:left="4201" w:hanging="453"/>
      </w:pPr>
      <w:rPr>
        <w:rFonts w:hint="default"/>
        <w:lang w:val="en-US" w:eastAsia="zh-CN" w:bidi="ar-SA"/>
      </w:rPr>
    </w:lvl>
    <w:lvl w:ilvl="5" w:tentative="0">
      <w:start w:val="0"/>
      <w:numFmt w:val="bullet"/>
      <w:lvlText w:val="•"/>
      <w:lvlJc w:val="left"/>
      <w:pPr>
        <w:ind w:left="5202" w:hanging="453"/>
      </w:pPr>
      <w:rPr>
        <w:rFonts w:hint="default"/>
        <w:lang w:val="en-US" w:eastAsia="zh-CN" w:bidi="ar-SA"/>
      </w:rPr>
    </w:lvl>
    <w:lvl w:ilvl="6" w:tentative="0">
      <w:start w:val="0"/>
      <w:numFmt w:val="bullet"/>
      <w:lvlText w:val="•"/>
      <w:lvlJc w:val="left"/>
      <w:pPr>
        <w:ind w:left="6203" w:hanging="453"/>
      </w:pPr>
      <w:rPr>
        <w:rFonts w:hint="default"/>
        <w:lang w:val="en-US" w:eastAsia="zh-CN" w:bidi="ar-SA"/>
      </w:rPr>
    </w:lvl>
    <w:lvl w:ilvl="7" w:tentative="0">
      <w:start w:val="0"/>
      <w:numFmt w:val="bullet"/>
      <w:lvlText w:val="•"/>
      <w:lvlJc w:val="left"/>
      <w:pPr>
        <w:ind w:left="7203" w:hanging="453"/>
      </w:pPr>
      <w:rPr>
        <w:rFonts w:hint="default"/>
        <w:lang w:val="en-US" w:eastAsia="zh-CN" w:bidi="ar-SA"/>
      </w:rPr>
    </w:lvl>
    <w:lvl w:ilvl="8" w:tentative="0">
      <w:start w:val="0"/>
      <w:numFmt w:val="bullet"/>
      <w:lvlText w:val="•"/>
      <w:lvlJc w:val="left"/>
      <w:pPr>
        <w:ind w:left="8204" w:hanging="453"/>
      </w:pPr>
      <w:rPr>
        <w:rFonts w:hint="default"/>
        <w:lang w:val="en-US" w:eastAsia="zh-CN" w:bidi="ar-SA"/>
      </w:rPr>
    </w:lvl>
  </w:abstractNum>
  <w:abstractNum w:abstractNumId="19">
    <w:nsid w:val="D7D140E4"/>
    <w:multiLevelType w:val="multilevel"/>
    <w:tmpl w:val="D7D140E4"/>
    <w:lvl w:ilvl="0" w:tentative="0">
      <w:start w:val="1"/>
      <w:numFmt w:val="decimal"/>
      <w:lvlText w:val="（%1）"/>
      <w:lvlJc w:val="left"/>
      <w:pPr>
        <w:ind w:left="3789"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4422" w:hanging="529"/>
      </w:pPr>
      <w:rPr>
        <w:rFonts w:hint="default"/>
        <w:lang w:val="en-US" w:eastAsia="zh-CN" w:bidi="ar-SA"/>
      </w:rPr>
    </w:lvl>
    <w:lvl w:ilvl="2" w:tentative="0">
      <w:start w:val="0"/>
      <w:numFmt w:val="bullet"/>
      <w:lvlText w:val="•"/>
      <w:lvlJc w:val="left"/>
      <w:pPr>
        <w:ind w:left="5065" w:hanging="529"/>
      </w:pPr>
      <w:rPr>
        <w:rFonts w:hint="default"/>
        <w:lang w:val="en-US" w:eastAsia="zh-CN" w:bidi="ar-SA"/>
      </w:rPr>
    </w:lvl>
    <w:lvl w:ilvl="3" w:tentative="0">
      <w:start w:val="0"/>
      <w:numFmt w:val="bullet"/>
      <w:lvlText w:val="•"/>
      <w:lvlJc w:val="left"/>
      <w:pPr>
        <w:ind w:left="5707" w:hanging="529"/>
      </w:pPr>
      <w:rPr>
        <w:rFonts w:hint="default"/>
        <w:lang w:val="en-US" w:eastAsia="zh-CN" w:bidi="ar-SA"/>
      </w:rPr>
    </w:lvl>
    <w:lvl w:ilvl="4" w:tentative="0">
      <w:start w:val="0"/>
      <w:numFmt w:val="bullet"/>
      <w:lvlText w:val="•"/>
      <w:lvlJc w:val="left"/>
      <w:pPr>
        <w:ind w:left="6350" w:hanging="529"/>
      </w:pPr>
      <w:rPr>
        <w:rFonts w:hint="default"/>
        <w:lang w:val="en-US" w:eastAsia="zh-CN" w:bidi="ar-SA"/>
      </w:rPr>
    </w:lvl>
    <w:lvl w:ilvl="5" w:tentative="0">
      <w:start w:val="0"/>
      <w:numFmt w:val="bullet"/>
      <w:lvlText w:val="•"/>
      <w:lvlJc w:val="left"/>
      <w:pPr>
        <w:ind w:left="6992" w:hanging="529"/>
      </w:pPr>
      <w:rPr>
        <w:rFonts w:hint="default"/>
        <w:lang w:val="en-US" w:eastAsia="zh-CN" w:bidi="ar-SA"/>
      </w:rPr>
    </w:lvl>
    <w:lvl w:ilvl="6" w:tentative="0">
      <w:start w:val="0"/>
      <w:numFmt w:val="bullet"/>
      <w:lvlText w:val="•"/>
      <w:lvlJc w:val="left"/>
      <w:pPr>
        <w:ind w:left="7635" w:hanging="529"/>
      </w:pPr>
      <w:rPr>
        <w:rFonts w:hint="default"/>
        <w:lang w:val="en-US" w:eastAsia="zh-CN" w:bidi="ar-SA"/>
      </w:rPr>
    </w:lvl>
    <w:lvl w:ilvl="7" w:tentative="0">
      <w:start w:val="0"/>
      <w:numFmt w:val="bullet"/>
      <w:lvlText w:val="•"/>
      <w:lvlJc w:val="left"/>
      <w:pPr>
        <w:ind w:left="8277" w:hanging="529"/>
      </w:pPr>
      <w:rPr>
        <w:rFonts w:hint="default"/>
        <w:lang w:val="en-US" w:eastAsia="zh-CN" w:bidi="ar-SA"/>
      </w:rPr>
    </w:lvl>
    <w:lvl w:ilvl="8" w:tentative="0">
      <w:start w:val="0"/>
      <w:numFmt w:val="bullet"/>
      <w:lvlText w:val="•"/>
      <w:lvlJc w:val="left"/>
      <w:pPr>
        <w:ind w:left="8920" w:hanging="529"/>
      </w:pPr>
      <w:rPr>
        <w:rFonts w:hint="default"/>
        <w:lang w:val="en-US" w:eastAsia="zh-CN" w:bidi="ar-SA"/>
      </w:rPr>
    </w:lvl>
  </w:abstractNum>
  <w:abstractNum w:abstractNumId="20">
    <w:nsid w:val="D7F9FE59"/>
    <w:multiLevelType w:val="multilevel"/>
    <w:tmpl w:val="D7F9FE59"/>
    <w:lvl w:ilvl="0" w:tentative="0">
      <w:start w:val="7"/>
      <w:numFmt w:val="decimal"/>
      <w:lvlText w:val="%1"/>
      <w:lvlJc w:val="left"/>
      <w:pPr>
        <w:ind w:left="1196" w:hanging="977"/>
        <w:jc w:val="left"/>
      </w:pPr>
      <w:rPr>
        <w:rFonts w:hint="default"/>
        <w:lang w:val="en-US" w:eastAsia="zh-CN" w:bidi="ar-SA"/>
      </w:rPr>
    </w:lvl>
    <w:lvl w:ilvl="1" w:tentative="0">
      <w:start w:val="2"/>
      <w:numFmt w:val="decimal"/>
      <w:lvlText w:val="%1.%2"/>
      <w:lvlJc w:val="left"/>
      <w:pPr>
        <w:ind w:left="1196" w:hanging="977"/>
        <w:jc w:val="left"/>
      </w:pPr>
      <w:rPr>
        <w:rFonts w:hint="default"/>
        <w:lang w:val="en-US" w:eastAsia="zh-CN" w:bidi="ar-SA"/>
      </w:rPr>
    </w:lvl>
    <w:lvl w:ilvl="2" w:tentative="0">
      <w:start w:val="1"/>
      <w:numFmt w:val="decimal"/>
      <w:lvlText w:val="%1.%2.%3"/>
      <w:lvlJc w:val="left"/>
      <w:pPr>
        <w:ind w:left="1196" w:hanging="977"/>
        <w:jc w:val="left"/>
      </w:pPr>
      <w:rPr>
        <w:rFonts w:hint="default" w:ascii="宋体" w:hAnsi="宋体" w:eastAsia="宋体" w:cs="宋体"/>
        <w:b/>
        <w:bCs/>
        <w:i w:val="0"/>
        <w:iCs w:val="0"/>
        <w:w w:val="99"/>
        <w:sz w:val="21"/>
        <w:szCs w:val="21"/>
        <w:lang w:val="en-US" w:eastAsia="zh-CN" w:bidi="ar-SA"/>
      </w:rPr>
    </w:lvl>
    <w:lvl w:ilvl="3" w:tentative="0">
      <w:start w:val="1"/>
      <w:numFmt w:val="decimal"/>
      <w:lvlText w:val="（%4）"/>
      <w:lvlJc w:val="left"/>
      <w:pPr>
        <w:ind w:left="3789" w:hanging="529"/>
        <w:jc w:val="left"/>
      </w:pPr>
      <w:rPr>
        <w:rFonts w:hint="default"/>
        <w:spacing w:val="-3"/>
        <w:w w:val="100"/>
        <w:lang w:val="en-US" w:eastAsia="zh-CN" w:bidi="ar-SA"/>
      </w:rPr>
    </w:lvl>
    <w:lvl w:ilvl="4" w:tentative="0">
      <w:start w:val="0"/>
      <w:numFmt w:val="bullet"/>
      <w:lvlText w:val="•"/>
      <w:lvlJc w:val="left"/>
      <w:pPr>
        <w:ind w:left="5921" w:hanging="529"/>
      </w:pPr>
      <w:rPr>
        <w:rFonts w:hint="default"/>
        <w:lang w:val="en-US" w:eastAsia="zh-CN" w:bidi="ar-SA"/>
      </w:rPr>
    </w:lvl>
    <w:lvl w:ilvl="5" w:tentative="0">
      <w:start w:val="0"/>
      <w:numFmt w:val="bullet"/>
      <w:lvlText w:val="•"/>
      <w:lvlJc w:val="left"/>
      <w:pPr>
        <w:ind w:left="6635" w:hanging="529"/>
      </w:pPr>
      <w:rPr>
        <w:rFonts w:hint="default"/>
        <w:lang w:val="en-US" w:eastAsia="zh-CN" w:bidi="ar-SA"/>
      </w:rPr>
    </w:lvl>
    <w:lvl w:ilvl="6" w:tentative="0">
      <w:start w:val="0"/>
      <w:numFmt w:val="bullet"/>
      <w:lvlText w:val="•"/>
      <w:lvlJc w:val="left"/>
      <w:pPr>
        <w:ind w:left="7349" w:hanging="529"/>
      </w:pPr>
      <w:rPr>
        <w:rFonts w:hint="default"/>
        <w:lang w:val="en-US" w:eastAsia="zh-CN" w:bidi="ar-SA"/>
      </w:rPr>
    </w:lvl>
    <w:lvl w:ilvl="7" w:tentative="0">
      <w:start w:val="0"/>
      <w:numFmt w:val="bullet"/>
      <w:lvlText w:val="•"/>
      <w:lvlJc w:val="left"/>
      <w:pPr>
        <w:ind w:left="8063" w:hanging="529"/>
      </w:pPr>
      <w:rPr>
        <w:rFonts w:hint="default"/>
        <w:lang w:val="en-US" w:eastAsia="zh-CN" w:bidi="ar-SA"/>
      </w:rPr>
    </w:lvl>
    <w:lvl w:ilvl="8" w:tentative="0">
      <w:start w:val="0"/>
      <w:numFmt w:val="bullet"/>
      <w:lvlText w:val="•"/>
      <w:lvlJc w:val="left"/>
      <w:pPr>
        <w:ind w:left="8777" w:hanging="529"/>
      </w:pPr>
      <w:rPr>
        <w:rFonts w:hint="default"/>
        <w:lang w:val="en-US" w:eastAsia="zh-CN" w:bidi="ar-SA"/>
      </w:rPr>
    </w:lvl>
  </w:abstractNum>
  <w:abstractNum w:abstractNumId="21">
    <w:nsid w:val="DCBA6B53"/>
    <w:multiLevelType w:val="multilevel"/>
    <w:tmpl w:val="DCBA6B53"/>
    <w:lvl w:ilvl="0" w:tentative="0">
      <w:start w:val="7"/>
      <w:numFmt w:val="decimal"/>
      <w:lvlText w:val="%1"/>
      <w:lvlJc w:val="left"/>
      <w:pPr>
        <w:ind w:left="1196" w:hanging="977"/>
        <w:jc w:val="left"/>
      </w:pPr>
      <w:rPr>
        <w:rFonts w:hint="default"/>
        <w:lang w:val="en-US" w:eastAsia="zh-CN" w:bidi="ar-SA"/>
      </w:rPr>
    </w:lvl>
    <w:lvl w:ilvl="1" w:tentative="0">
      <w:start w:val="1"/>
      <w:numFmt w:val="decimal"/>
      <w:lvlText w:val="%1.%2"/>
      <w:lvlJc w:val="left"/>
      <w:pPr>
        <w:ind w:left="1196" w:hanging="977"/>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3786" w:hanging="536"/>
        <w:jc w:val="left"/>
      </w:pPr>
      <w:rPr>
        <w:rFonts w:hint="default" w:ascii="宋体" w:hAnsi="宋体" w:eastAsia="宋体" w:cs="宋体"/>
        <w:b w:val="0"/>
        <w:bCs w:val="0"/>
        <w:i w:val="0"/>
        <w:iCs w:val="0"/>
        <w:spacing w:val="2"/>
        <w:w w:val="100"/>
        <w:sz w:val="19"/>
        <w:szCs w:val="19"/>
        <w:lang w:val="en-US" w:eastAsia="zh-CN" w:bidi="ar-SA"/>
      </w:rPr>
    </w:lvl>
    <w:lvl w:ilvl="3" w:tentative="0">
      <w:start w:val="0"/>
      <w:numFmt w:val="bullet"/>
      <w:lvlText w:val="•"/>
      <w:lvlJc w:val="left"/>
      <w:pPr>
        <w:ind w:left="5207" w:hanging="536"/>
      </w:pPr>
      <w:rPr>
        <w:rFonts w:hint="default"/>
        <w:lang w:val="en-US" w:eastAsia="zh-CN" w:bidi="ar-SA"/>
      </w:rPr>
    </w:lvl>
    <w:lvl w:ilvl="4" w:tentative="0">
      <w:start w:val="0"/>
      <w:numFmt w:val="bullet"/>
      <w:lvlText w:val="•"/>
      <w:lvlJc w:val="left"/>
      <w:pPr>
        <w:ind w:left="5921" w:hanging="536"/>
      </w:pPr>
      <w:rPr>
        <w:rFonts w:hint="default"/>
        <w:lang w:val="en-US" w:eastAsia="zh-CN" w:bidi="ar-SA"/>
      </w:rPr>
    </w:lvl>
    <w:lvl w:ilvl="5" w:tentative="0">
      <w:start w:val="0"/>
      <w:numFmt w:val="bullet"/>
      <w:lvlText w:val="•"/>
      <w:lvlJc w:val="left"/>
      <w:pPr>
        <w:ind w:left="6635" w:hanging="536"/>
      </w:pPr>
      <w:rPr>
        <w:rFonts w:hint="default"/>
        <w:lang w:val="en-US" w:eastAsia="zh-CN" w:bidi="ar-SA"/>
      </w:rPr>
    </w:lvl>
    <w:lvl w:ilvl="6" w:tentative="0">
      <w:start w:val="0"/>
      <w:numFmt w:val="bullet"/>
      <w:lvlText w:val="•"/>
      <w:lvlJc w:val="left"/>
      <w:pPr>
        <w:ind w:left="7349" w:hanging="536"/>
      </w:pPr>
      <w:rPr>
        <w:rFonts w:hint="default"/>
        <w:lang w:val="en-US" w:eastAsia="zh-CN" w:bidi="ar-SA"/>
      </w:rPr>
    </w:lvl>
    <w:lvl w:ilvl="7" w:tentative="0">
      <w:start w:val="0"/>
      <w:numFmt w:val="bullet"/>
      <w:lvlText w:val="•"/>
      <w:lvlJc w:val="left"/>
      <w:pPr>
        <w:ind w:left="8063" w:hanging="536"/>
      </w:pPr>
      <w:rPr>
        <w:rFonts w:hint="default"/>
        <w:lang w:val="en-US" w:eastAsia="zh-CN" w:bidi="ar-SA"/>
      </w:rPr>
    </w:lvl>
    <w:lvl w:ilvl="8" w:tentative="0">
      <w:start w:val="0"/>
      <w:numFmt w:val="bullet"/>
      <w:lvlText w:val="•"/>
      <w:lvlJc w:val="left"/>
      <w:pPr>
        <w:ind w:left="8777" w:hanging="536"/>
      </w:pPr>
      <w:rPr>
        <w:rFonts w:hint="default"/>
        <w:lang w:val="en-US" w:eastAsia="zh-CN" w:bidi="ar-SA"/>
      </w:rPr>
    </w:lvl>
  </w:abstractNum>
  <w:abstractNum w:abstractNumId="22">
    <w:nsid w:val="E093A4B0"/>
    <w:multiLevelType w:val="multilevel"/>
    <w:tmpl w:val="E093A4B0"/>
    <w:lvl w:ilvl="0" w:tentative="0">
      <w:start w:val="1"/>
      <w:numFmt w:val="decimal"/>
      <w:lvlText w:val="（%1）"/>
      <w:lvlJc w:val="left"/>
      <w:pPr>
        <w:ind w:left="702"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41" w:hanging="529"/>
      </w:pPr>
      <w:rPr>
        <w:rFonts w:hint="default"/>
        <w:lang w:val="en-US" w:eastAsia="zh-CN" w:bidi="ar-SA"/>
      </w:rPr>
    </w:lvl>
    <w:lvl w:ilvl="2" w:tentative="0">
      <w:start w:val="0"/>
      <w:numFmt w:val="bullet"/>
      <w:lvlText w:val="•"/>
      <w:lvlJc w:val="left"/>
      <w:pPr>
        <w:ind w:left="1983" w:hanging="529"/>
      </w:pPr>
      <w:rPr>
        <w:rFonts w:hint="default"/>
        <w:lang w:val="en-US" w:eastAsia="zh-CN" w:bidi="ar-SA"/>
      </w:rPr>
    </w:lvl>
    <w:lvl w:ilvl="3" w:tentative="0">
      <w:start w:val="0"/>
      <w:numFmt w:val="bullet"/>
      <w:lvlText w:val="•"/>
      <w:lvlJc w:val="left"/>
      <w:pPr>
        <w:ind w:left="2625" w:hanging="529"/>
      </w:pPr>
      <w:rPr>
        <w:rFonts w:hint="default"/>
        <w:lang w:val="en-US" w:eastAsia="zh-CN" w:bidi="ar-SA"/>
      </w:rPr>
    </w:lvl>
    <w:lvl w:ilvl="4" w:tentative="0">
      <w:start w:val="0"/>
      <w:numFmt w:val="bullet"/>
      <w:lvlText w:val="•"/>
      <w:lvlJc w:val="left"/>
      <w:pPr>
        <w:ind w:left="3267" w:hanging="529"/>
      </w:pPr>
      <w:rPr>
        <w:rFonts w:hint="default"/>
        <w:lang w:val="en-US" w:eastAsia="zh-CN" w:bidi="ar-SA"/>
      </w:rPr>
    </w:lvl>
    <w:lvl w:ilvl="5" w:tentative="0">
      <w:start w:val="0"/>
      <w:numFmt w:val="bullet"/>
      <w:lvlText w:val="•"/>
      <w:lvlJc w:val="left"/>
      <w:pPr>
        <w:ind w:left="3909" w:hanging="529"/>
      </w:pPr>
      <w:rPr>
        <w:rFonts w:hint="default"/>
        <w:lang w:val="en-US" w:eastAsia="zh-CN" w:bidi="ar-SA"/>
      </w:rPr>
    </w:lvl>
    <w:lvl w:ilvl="6" w:tentative="0">
      <w:start w:val="0"/>
      <w:numFmt w:val="bullet"/>
      <w:lvlText w:val="•"/>
      <w:lvlJc w:val="left"/>
      <w:pPr>
        <w:ind w:left="4550" w:hanging="529"/>
      </w:pPr>
      <w:rPr>
        <w:rFonts w:hint="default"/>
        <w:lang w:val="en-US" w:eastAsia="zh-CN" w:bidi="ar-SA"/>
      </w:rPr>
    </w:lvl>
    <w:lvl w:ilvl="7" w:tentative="0">
      <w:start w:val="0"/>
      <w:numFmt w:val="bullet"/>
      <w:lvlText w:val="•"/>
      <w:lvlJc w:val="left"/>
      <w:pPr>
        <w:ind w:left="5192" w:hanging="529"/>
      </w:pPr>
      <w:rPr>
        <w:rFonts w:hint="default"/>
        <w:lang w:val="en-US" w:eastAsia="zh-CN" w:bidi="ar-SA"/>
      </w:rPr>
    </w:lvl>
    <w:lvl w:ilvl="8" w:tentative="0">
      <w:start w:val="0"/>
      <w:numFmt w:val="bullet"/>
      <w:lvlText w:val="•"/>
      <w:lvlJc w:val="left"/>
      <w:pPr>
        <w:ind w:left="5834" w:hanging="529"/>
      </w:pPr>
      <w:rPr>
        <w:rFonts w:hint="default"/>
        <w:lang w:val="en-US" w:eastAsia="zh-CN" w:bidi="ar-SA"/>
      </w:rPr>
    </w:lvl>
  </w:abstractNum>
  <w:abstractNum w:abstractNumId="23">
    <w:nsid w:val="F0E89278"/>
    <w:multiLevelType w:val="multilevel"/>
    <w:tmpl w:val="F0E89278"/>
    <w:lvl w:ilvl="0" w:tentative="0">
      <w:start w:val="1"/>
      <w:numFmt w:val="decimal"/>
      <w:lvlText w:val="（%1）"/>
      <w:lvlJc w:val="left"/>
      <w:pPr>
        <w:ind w:left="3786" w:hanging="536"/>
        <w:jc w:val="left"/>
      </w:pPr>
      <w:rPr>
        <w:rFonts w:hint="default" w:ascii="宋体" w:hAnsi="宋体" w:eastAsia="宋体" w:cs="宋体"/>
        <w:b w:val="0"/>
        <w:bCs w:val="0"/>
        <w:i w:val="0"/>
        <w:iCs w:val="0"/>
        <w:spacing w:val="2"/>
        <w:w w:val="100"/>
        <w:sz w:val="19"/>
        <w:szCs w:val="19"/>
        <w:lang w:val="en-US" w:eastAsia="zh-CN" w:bidi="ar-SA"/>
      </w:rPr>
    </w:lvl>
    <w:lvl w:ilvl="1" w:tentative="0">
      <w:start w:val="0"/>
      <w:numFmt w:val="bullet"/>
      <w:lvlText w:val="•"/>
      <w:lvlJc w:val="left"/>
      <w:pPr>
        <w:ind w:left="4422" w:hanging="536"/>
      </w:pPr>
      <w:rPr>
        <w:rFonts w:hint="default"/>
        <w:lang w:val="en-US" w:eastAsia="zh-CN" w:bidi="ar-SA"/>
      </w:rPr>
    </w:lvl>
    <w:lvl w:ilvl="2" w:tentative="0">
      <w:start w:val="0"/>
      <w:numFmt w:val="bullet"/>
      <w:lvlText w:val="•"/>
      <w:lvlJc w:val="left"/>
      <w:pPr>
        <w:ind w:left="5065" w:hanging="536"/>
      </w:pPr>
      <w:rPr>
        <w:rFonts w:hint="default"/>
        <w:lang w:val="en-US" w:eastAsia="zh-CN" w:bidi="ar-SA"/>
      </w:rPr>
    </w:lvl>
    <w:lvl w:ilvl="3" w:tentative="0">
      <w:start w:val="0"/>
      <w:numFmt w:val="bullet"/>
      <w:lvlText w:val="•"/>
      <w:lvlJc w:val="left"/>
      <w:pPr>
        <w:ind w:left="5707" w:hanging="536"/>
      </w:pPr>
      <w:rPr>
        <w:rFonts w:hint="default"/>
        <w:lang w:val="en-US" w:eastAsia="zh-CN" w:bidi="ar-SA"/>
      </w:rPr>
    </w:lvl>
    <w:lvl w:ilvl="4" w:tentative="0">
      <w:start w:val="0"/>
      <w:numFmt w:val="bullet"/>
      <w:lvlText w:val="•"/>
      <w:lvlJc w:val="left"/>
      <w:pPr>
        <w:ind w:left="6350" w:hanging="536"/>
      </w:pPr>
      <w:rPr>
        <w:rFonts w:hint="default"/>
        <w:lang w:val="en-US" w:eastAsia="zh-CN" w:bidi="ar-SA"/>
      </w:rPr>
    </w:lvl>
    <w:lvl w:ilvl="5" w:tentative="0">
      <w:start w:val="0"/>
      <w:numFmt w:val="bullet"/>
      <w:lvlText w:val="•"/>
      <w:lvlJc w:val="left"/>
      <w:pPr>
        <w:ind w:left="6992" w:hanging="536"/>
      </w:pPr>
      <w:rPr>
        <w:rFonts w:hint="default"/>
        <w:lang w:val="en-US" w:eastAsia="zh-CN" w:bidi="ar-SA"/>
      </w:rPr>
    </w:lvl>
    <w:lvl w:ilvl="6" w:tentative="0">
      <w:start w:val="0"/>
      <w:numFmt w:val="bullet"/>
      <w:lvlText w:val="•"/>
      <w:lvlJc w:val="left"/>
      <w:pPr>
        <w:ind w:left="7635" w:hanging="536"/>
      </w:pPr>
      <w:rPr>
        <w:rFonts w:hint="default"/>
        <w:lang w:val="en-US" w:eastAsia="zh-CN" w:bidi="ar-SA"/>
      </w:rPr>
    </w:lvl>
    <w:lvl w:ilvl="7" w:tentative="0">
      <w:start w:val="0"/>
      <w:numFmt w:val="bullet"/>
      <w:lvlText w:val="•"/>
      <w:lvlJc w:val="left"/>
      <w:pPr>
        <w:ind w:left="8277" w:hanging="536"/>
      </w:pPr>
      <w:rPr>
        <w:rFonts w:hint="default"/>
        <w:lang w:val="en-US" w:eastAsia="zh-CN" w:bidi="ar-SA"/>
      </w:rPr>
    </w:lvl>
    <w:lvl w:ilvl="8" w:tentative="0">
      <w:start w:val="0"/>
      <w:numFmt w:val="bullet"/>
      <w:lvlText w:val="•"/>
      <w:lvlJc w:val="left"/>
      <w:pPr>
        <w:ind w:left="8920" w:hanging="536"/>
      </w:pPr>
      <w:rPr>
        <w:rFonts w:hint="default"/>
        <w:lang w:val="en-US" w:eastAsia="zh-CN" w:bidi="ar-SA"/>
      </w:rPr>
    </w:lvl>
  </w:abstractNum>
  <w:abstractNum w:abstractNumId="24">
    <w:nsid w:val="F4B5D9F5"/>
    <w:multiLevelType w:val="multilevel"/>
    <w:tmpl w:val="F4B5D9F5"/>
    <w:lvl w:ilvl="0" w:tentative="0">
      <w:start w:val="5"/>
      <w:numFmt w:val="decimal"/>
      <w:lvlText w:val="%1"/>
      <w:lvlJc w:val="left"/>
      <w:pPr>
        <w:ind w:left="1196" w:hanging="977"/>
        <w:jc w:val="left"/>
      </w:pPr>
      <w:rPr>
        <w:rFonts w:hint="default"/>
        <w:lang w:val="en-US" w:eastAsia="zh-CN" w:bidi="ar-SA"/>
      </w:rPr>
    </w:lvl>
    <w:lvl w:ilvl="1" w:tentative="0">
      <w:start w:val="1"/>
      <w:numFmt w:val="decimal"/>
      <w:lvlText w:val="%1.%2"/>
      <w:lvlJc w:val="left"/>
      <w:pPr>
        <w:ind w:left="1196" w:hanging="977"/>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3789" w:hanging="529"/>
        <w:jc w:val="left"/>
      </w:pPr>
      <w:rPr>
        <w:rFonts w:hint="default" w:ascii="宋体" w:hAnsi="宋体" w:eastAsia="宋体" w:cs="宋体"/>
        <w:b w:val="0"/>
        <w:bCs w:val="0"/>
        <w:i w:val="0"/>
        <w:iCs w:val="0"/>
        <w:spacing w:val="-3"/>
        <w:w w:val="100"/>
        <w:sz w:val="19"/>
        <w:szCs w:val="19"/>
        <w:lang w:val="en-US" w:eastAsia="zh-CN" w:bidi="ar-SA"/>
      </w:rPr>
    </w:lvl>
    <w:lvl w:ilvl="3" w:tentative="0">
      <w:start w:val="0"/>
      <w:numFmt w:val="bullet"/>
      <w:lvlText w:val="•"/>
      <w:lvlJc w:val="left"/>
      <w:pPr>
        <w:ind w:left="5207" w:hanging="529"/>
      </w:pPr>
      <w:rPr>
        <w:rFonts w:hint="default"/>
        <w:lang w:val="en-US" w:eastAsia="zh-CN" w:bidi="ar-SA"/>
      </w:rPr>
    </w:lvl>
    <w:lvl w:ilvl="4" w:tentative="0">
      <w:start w:val="0"/>
      <w:numFmt w:val="bullet"/>
      <w:lvlText w:val="•"/>
      <w:lvlJc w:val="left"/>
      <w:pPr>
        <w:ind w:left="5921" w:hanging="529"/>
      </w:pPr>
      <w:rPr>
        <w:rFonts w:hint="default"/>
        <w:lang w:val="en-US" w:eastAsia="zh-CN" w:bidi="ar-SA"/>
      </w:rPr>
    </w:lvl>
    <w:lvl w:ilvl="5" w:tentative="0">
      <w:start w:val="0"/>
      <w:numFmt w:val="bullet"/>
      <w:lvlText w:val="•"/>
      <w:lvlJc w:val="left"/>
      <w:pPr>
        <w:ind w:left="6635" w:hanging="529"/>
      </w:pPr>
      <w:rPr>
        <w:rFonts w:hint="default"/>
        <w:lang w:val="en-US" w:eastAsia="zh-CN" w:bidi="ar-SA"/>
      </w:rPr>
    </w:lvl>
    <w:lvl w:ilvl="6" w:tentative="0">
      <w:start w:val="0"/>
      <w:numFmt w:val="bullet"/>
      <w:lvlText w:val="•"/>
      <w:lvlJc w:val="left"/>
      <w:pPr>
        <w:ind w:left="7349" w:hanging="529"/>
      </w:pPr>
      <w:rPr>
        <w:rFonts w:hint="default"/>
        <w:lang w:val="en-US" w:eastAsia="zh-CN" w:bidi="ar-SA"/>
      </w:rPr>
    </w:lvl>
    <w:lvl w:ilvl="7" w:tentative="0">
      <w:start w:val="0"/>
      <w:numFmt w:val="bullet"/>
      <w:lvlText w:val="•"/>
      <w:lvlJc w:val="left"/>
      <w:pPr>
        <w:ind w:left="8063" w:hanging="529"/>
      </w:pPr>
      <w:rPr>
        <w:rFonts w:hint="default"/>
        <w:lang w:val="en-US" w:eastAsia="zh-CN" w:bidi="ar-SA"/>
      </w:rPr>
    </w:lvl>
    <w:lvl w:ilvl="8" w:tentative="0">
      <w:start w:val="0"/>
      <w:numFmt w:val="bullet"/>
      <w:lvlText w:val="•"/>
      <w:lvlJc w:val="left"/>
      <w:pPr>
        <w:ind w:left="8777" w:hanging="529"/>
      </w:pPr>
      <w:rPr>
        <w:rFonts w:hint="default"/>
        <w:lang w:val="en-US" w:eastAsia="zh-CN" w:bidi="ar-SA"/>
      </w:rPr>
    </w:lvl>
  </w:abstractNum>
  <w:abstractNum w:abstractNumId="25">
    <w:nsid w:val="F7735DC9"/>
    <w:multiLevelType w:val="multilevel"/>
    <w:tmpl w:val="F7735DC9"/>
    <w:lvl w:ilvl="0" w:tentative="0">
      <w:start w:val="1"/>
      <w:numFmt w:val="decimal"/>
      <w:lvlText w:val="（%1）"/>
      <w:lvlJc w:val="left"/>
      <w:pPr>
        <w:ind w:left="702"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41" w:hanging="529"/>
      </w:pPr>
      <w:rPr>
        <w:rFonts w:hint="default"/>
        <w:lang w:val="en-US" w:eastAsia="zh-CN" w:bidi="ar-SA"/>
      </w:rPr>
    </w:lvl>
    <w:lvl w:ilvl="2" w:tentative="0">
      <w:start w:val="0"/>
      <w:numFmt w:val="bullet"/>
      <w:lvlText w:val="•"/>
      <w:lvlJc w:val="left"/>
      <w:pPr>
        <w:ind w:left="1983" w:hanging="529"/>
      </w:pPr>
      <w:rPr>
        <w:rFonts w:hint="default"/>
        <w:lang w:val="en-US" w:eastAsia="zh-CN" w:bidi="ar-SA"/>
      </w:rPr>
    </w:lvl>
    <w:lvl w:ilvl="3" w:tentative="0">
      <w:start w:val="0"/>
      <w:numFmt w:val="bullet"/>
      <w:lvlText w:val="•"/>
      <w:lvlJc w:val="left"/>
      <w:pPr>
        <w:ind w:left="2625" w:hanging="529"/>
      </w:pPr>
      <w:rPr>
        <w:rFonts w:hint="default"/>
        <w:lang w:val="en-US" w:eastAsia="zh-CN" w:bidi="ar-SA"/>
      </w:rPr>
    </w:lvl>
    <w:lvl w:ilvl="4" w:tentative="0">
      <w:start w:val="0"/>
      <w:numFmt w:val="bullet"/>
      <w:lvlText w:val="•"/>
      <w:lvlJc w:val="left"/>
      <w:pPr>
        <w:ind w:left="3267" w:hanging="529"/>
      </w:pPr>
      <w:rPr>
        <w:rFonts w:hint="default"/>
        <w:lang w:val="en-US" w:eastAsia="zh-CN" w:bidi="ar-SA"/>
      </w:rPr>
    </w:lvl>
    <w:lvl w:ilvl="5" w:tentative="0">
      <w:start w:val="0"/>
      <w:numFmt w:val="bullet"/>
      <w:lvlText w:val="•"/>
      <w:lvlJc w:val="left"/>
      <w:pPr>
        <w:ind w:left="3909" w:hanging="529"/>
      </w:pPr>
      <w:rPr>
        <w:rFonts w:hint="default"/>
        <w:lang w:val="en-US" w:eastAsia="zh-CN" w:bidi="ar-SA"/>
      </w:rPr>
    </w:lvl>
    <w:lvl w:ilvl="6" w:tentative="0">
      <w:start w:val="0"/>
      <w:numFmt w:val="bullet"/>
      <w:lvlText w:val="•"/>
      <w:lvlJc w:val="left"/>
      <w:pPr>
        <w:ind w:left="4550" w:hanging="529"/>
      </w:pPr>
      <w:rPr>
        <w:rFonts w:hint="default"/>
        <w:lang w:val="en-US" w:eastAsia="zh-CN" w:bidi="ar-SA"/>
      </w:rPr>
    </w:lvl>
    <w:lvl w:ilvl="7" w:tentative="0">
      <w:start w:val="0"/>
      <w:numFmt w:val="bullet"/>
      <w:lvlText w:val="•"/>
      <w:lvlJc w:val="left"/>
      <w:pPr>
        <w:ind w:left="5192" w:hanging="529"/>
      </w:pPr>
      <w:rPr>
        <w:rFonts w:hint="default"/>
        <w:lang w:val="en-US" w:eastAsia="zh-CN" w:bidi="ar-SA"/>
      </w:rPr>
    </w:lvl>
    <w:lvl w:ilvl="8" w:tentative="0">
      <w:start w:val="0"/>
      <w:numFmt w:val="bullet"/>
      <w:lvlText w:val="•"/>
      <w:lvlJc w:val="left"/>
      <w:pPr>
        <w:ind w:left="5834" w:hanging="529"/>
      </w:pPr>
      <w:rPr>
        <w:rFonts w:hint="default"/>
        <w:lang w:val="en-US" w:eastAsia="zh-CN" w:bidi="ar-SA"/>
      </w:rPr>
    </w:lvl>
  </w:abstractNum>
  <w:abstractNum w:abstractNumId="26">
    <w:nsid w:val="0053208E"/>
    <w:multiLevelType w:val="multilevel"/>
    <w:tmpl w:val="0053208E"/>
    <w:lvl w:ilvl="0" w:tentative="0">
      <w:start w:val="1"/>
      <w:numFmt w:val="decimal"/>
      <w:lvlText w:val="（%1）"/>
      <w:lvlJc w:val="left"/>
      <w:pPr>
        <w:ind w:left="851" w:hanging="632"/>
        <w:jc w:val="left"/>
      </w:pPr>
      <w:rPr>
        <w:rFonts w:hint="default" w:ascii="黑体" w:hAnsi="黑体" w:eastAsia="黑体" w:cs="黑体"/>
        <w:b w:val="0"/>
        <w:bCs w:val="0"/>
        <w:i w:val="0"/>
        <w:iCs w:val="0"/>
        <w:w w:val="100"/>
        <w:sz w:val="21"/>
        <w:szCs w:val="21"/>
        <w:shd w:val="clear" w:color="auto" w:fill="D9D9D9"/>
        <w:lang w:val="en-US" w:eastAsia="zh-CN" w:bidi="ar-SA"/>
      </w:rPr>
    </w:lvl>
    <w:lvl w:ilvl="1" w:tentative="0">
      <w:start w:val="0"/>
      <w:numFmt w:val="bullet"/>
      <w:lvlText w:val="•"/>
      <w:lvlJc w:val="left"/>
      <w:pPr>
        <w:ind w:left="1794" w:hanging="632"/>
      </w:pPr>
      <w:rPr>
        <w:rFonts w:hint="default"/>
        <w:lang w:val="en-US" w:eastAsia="zh-CN" w:bidi="ar-SA"/>
      </w:rPr>
    </w:lvl>
    <w:lvl w:ilvl="2" w:tentative="0">
      <w:start w:val="0"/>
      <w:numFmt w:val="bullet"/>
      <w:lvlText w:val="•"/>
      <w:lvlJc w:val="left"/>
      <w:pPr>
        <w:ind w:left="2729" w:hanging="632"/>
      </w:pPr>
      <w:rPr>
        <w:rFonts w:hint="default"/>
        <w:lang w:val="en-US" w:eastAsia="zh-CN" w:bidi="ar-SA"/>
      </w:rPr>
    </w:lvl>
    <w:lvl w:ilvl="3" w:tentative="0">
      <w:start w:val="0"/>
      <w:numFmt w:val="bullet"/>
      <w:lvlText w:val="•"/>
      <w:lvlJc w:val="left"/>
      <w:pPr>
        <w:ind w:left="3663" w:hanging="632"/>
      </w:pPr>
      <w:rPr>
        <w:rFonts w:hint="default"/>
        <w:lang w:val="en-US" w:eastAsia="zh-CN" w:bidi="ar-SA"/>
      </w:rPr>
    </w:lvl>
    <w:lvl w:ilvl="4" w:tentative="0">
      <w:start w:val="0"/>
      <w:numFmt w:val="bullet"/>
      <w:lvlText w:val="•"/>
      <w:lvlJc w:val="left"/>
      <w:pPr>
        <w:ind w:left="4598" w:hanging="632"/>
      </w:pPr>
      <w:rPr>
        <w:rFonts w:hint="default"/>
        <w:lang w:val="en-US" w:eastAsia="zh-CN" w:bidi="ar-SA"/>
      </w:rPr>
    </w:lvl>
    <w:lvl w:ilvl="5" w:tentative="0">
      <w:start w:val="0"/>
      <w:numFmt w:val="bullet"/>
      <w:lvlText w:val="•"/>
      <w:lvlJc w:val="left"/>
      <w:pPr>
        <w:ind w:left="5532" w:hanging="632"/>
      </w:pPr>
      <w:rPr>
        <w:rFonts w:hint="default"/>
        <w:lang w:val="en-US" w:eastAsia="zh-CN" w:bidi="ar-SA"/>
      </w:rPr>
    </w:lvl>
    <w:lvl w:ilvl="6" w:tentative="0">
      <w:start w:val="0"/>
      <w:numFmt w:val="bullet"/>
      <w:lvlText w:val="•"/>
      <w:lvlJc w:val="left"/>
      <w:pPr>
        <w:ind w:left="6467" w:hanging="632"/>
      </w:pPr>
      <w:rPr>
        <w:rFonts w:hint="default"/>
        <w:lang w:val="en-US" w:eastAsia="zh-CN" w:bidi="ar-SA"/>
      </w:rPr>
    </w:lvl>
    <w:lvl w:ilvl="7" w:tentative="0">
      <w:start w:val="0"/>
      <w:numFmt w:val="bullet"/>
      <w:lvlText w:val="•"/>
      <w:lvlJc w:val="left"/>
      <w:pPr>
        <w:ind w:left="7401" w:hanging="632"/>
      </w:pPr>
      <w:rPr>
        <w:rFonts w:hint="default"/>
        <w:lang w:val="en-US" w:eastAsia="zh-CN" w:bidi="ar-SA"/>
      </w:rPr>
    </w:lvl>
    <w:lvl w:ilvl="8" w:tentative="0">
      <w:start w:val="0"/>
      <w:numFmt w:val="bullet"/>
      <w:lvlText w:val="•"/>
      <w:lvlJc w:val="left"/>
      <w:pPr>
        <w:ind w:left="8336" w:hanging="632"/>
      </w:pPr>
      <w:rPr>
        <w:rFonts w:hint="default"/>
        <w:lang w:val="en-US" w:eastAsia="zh-CN" w:bidi="ar-SA"/>
      </w:rPr>
    </w:lvl>
  </w:abstractNum>
  <w:abstractNum w:abstractNumId="27">
    <w:nsid w:val="0248C179"/>
    <w:multiLevelType w:val="multilevel"/>
    <w:tmpl w:val="0248C179"/>
    <w:lvl w:ilvl="0" w:tentative="0">
      <w:start w:val="1"/>
      <w:numFmt w:val="decimal"/>
      <w:lvlText w:val="（%1）"/>
      <w:lvlJc w:val="left"/>
      <w:pPr>
        <w:ind w:left="897" w:hanging="453"/>
        <w:jc w:val="left"/>
      </w:pPr>
      <w:rPr>
        <w:rFonts w:hint="default" w:ascii="宋体" w:hAnsi="宋体" w:eastAsia="宋体" w:cs="宋体"/>
        <w:b w:val="0"/>
        <w:bCs w:val="0"/>
        <w:i w:val="0"/>
        <w:iCs w:val="0"/>
        <w:w w:val="100"/>
        <w:sz w:val="16"/>
        <w:szCs w:val="16"/>
        <w:lang w:val="en-US" w:eastAsia="zh-CN" w:bidi="ar-SA"/>
      </w:rPr>
    </w:lvl>
    <w:lvl w:ilvl="1" w:tentative="0">
      <w:start w:val="0"/>
      <w:numFmt w:val="bullet"/>
      <w:lvlText w:val="•"/>
      <w:lvlJc w:val="left"/>
      <w:pPr>
        <w:ind w:left="1830" w:hanging="453"/>
      </w:pPr>
      <w:rPr>
        <w:rFonts w:hint="default"/>
        <w:lang w:val="en-US" w:eastAsia="zh-CN" w:bidi="ar-SA"/>
      </w:rPr>
    </w:lvl>
    <w:lvl w:ilvl="2" w:tentative="0">
      <w:start w:val="0"/>
      <w:numFmt w:val="bullet"/>
      <w:lvlText w:val="•"/>
      <w:lvlJc w:val="left"/>
      <w:pPr>
        <w:ind w:left="2761" w:hanging="453"/>
      </w:pPr>
      <w:rPr>
        <w:rFonts w:hint="default"/>
        <w:lang w:val="en-US" w:eastAsia="zh-CN" w:bidi="ar-SA"/>
      </w:rPr>
    </w:lvl>
    <w:lvl w:ilvl="3" w:tentative="0">
      <w:start w:val="0"/>
      <w:numFmt w:val="bullet"/>
      <w:lvlText w:val="•"/>
      <w:lvlJc w:val="left"/>
      <w:pPr>
        <w:ind w:left="3691" w:hanging="453"/>
      </w:pPr>
      <w:rPr>
        <w:rFonts w:hint="default"/>
        <w:lang w:val="en-US" w:eastAsia="zh-CN" w:bidi="ar-SA"/>
      </w:rPr>
    </w:lvl>
    <w:lvl w:ilvl="4" w:tentative="0">
      <w:start w:val="0"/>
      <w:numFmt w:val="bullet"/>
      <w:lvlText w:val="•"/>
      <w:lvlJc w:val="left"/>
      <w:pPr>
        <w:ind w:left="4622" w:hanging="453"/>
      </w:pPr>
      <w:rPr>
        <w:rFonts w:hint="default"/>
        <w:lang w:val="en-US" w:eastAsia="zh-CN" w:bidi="ar-SA"/>
      </w:rPr>
    </w:lvl>
    <w:lvl w:ilvl="5" w:tentative="0">
      <w:start w:val="0"/>
      <w:numFmt w:val="bullet"/>
      <w:lvlText w:val="•"/>
      <w:lvlJc w:val="left"/>
      <w:pPr>
        <w:ind w:left="5552" w:hanging="453"/>
      </w:pPr>
      <w:rPr>
        <w:rFonts w:hint="default"/>
        <w:lang w:val="en-US" w:eastAsia="zh-CN" w:bidi="ar-SA"/>
      </w:rPr>
    </w:lvl>
    <w:lvl w:ilvl="6" w:tentative="0">
      <w:start w:val="0"/>
      <w:numFmt w:val="bullet"/>
      <w:lvlText w:val="•"/>
      <w:lvlJc w:val="left"/>
      <w:pPr>
        <w:ind w:left="6483" w:hanging="453"/>
      </w:pPr>
      <w:rPr>
        <w:rFonts w:hint="default"/>
        <w:lang w:val="en-US" w:eastAsia="zh-CN" w:bidi="ar-SA"/>
      </w:rPr>
    </w:lvl>
    <w:lvl w:ilvl="7" w:tentative="0">
      <w:start w:val="0"/>
      <w:numFmt w:val="bullet"/>
      <w:lvlText w:val="•"/>
      <w:lvlJc w:val="left"/>
      <w:pPr>
        <w:ind w:left="7413" w:hanging="453"/>
      </w:pPr>
      <w:rPr>
        <w:rFonts w:hint="default"/>
        <w:lang w:val="en-US" w:eastAsia="zh-CN" w:bidi="ar-SA"/>
      </w:rPr>
    </w:lvl>
    <w:lvl w:ilvl="8" w:tentative="0">
      <w:start w:val="0"/>
      <w:numFmt w:val="bullet"/>
      <w:lvlText w:val="•"/>
      <w:lvlJc w:val="left"/>
      <w:pPr>
        <w:ind w:left="8344" w:hanging="453"/>
      </w:pPr>
      <w:rPr>
        <w:rFonts w:hint="default"/>
        <w:lang w:val="en-US" w:eastAsia="zh-CN" w:bidi="ar-SA"/>
      </w:rPr>
    </w:lvl>
  </w:abstractNum>
  <w:abstractNum w:abstractNumId="28">
    <w:nsid w:val="03A63A41"/>
    <w:multiLevelType w:val="multilevel"/>
    <w:tmpl w:val="03A63A41"/>
    <w:lvl w:ilvl="0" w:tentative="0">
      <w:start w:val="1"/>
      <w:numFmt w:val="decimal"/>
      <w:lvlText w:val="（%1）"/>
      <w:lvlJc w:val="left"/>
      <w:pPr>
        <w:ind w:left="702"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41" w:hanging="529"/>
      </w:pPr>
      <w:rPr>
        <w:rFonts w:hint="default"/>
        <w:lang w:val="en-US" w:eastAsia="zh-CN" w:bidi="ar-SA"/>
      </w:rPr>
    </w:lvl>
    <w:lvl w:ilvl="2" w:tentative="0">
      <w:start w:val="0"/>
      <w:numFmt w:val="bullet"/>
      <w:lvlText w:val="•"/>
      <w:lvlJc w:val="left"/>
      <w:pPr>
        <w:ind w:left="1983" w:hanging="529"/>
      </w:pPr>
      <w:rPr>
        <w:rFonts w:hint="default"/>
        <w:lang w:val="en-US" w:eastAsia="zh-CN" w:bidi="ar-SA"/>
      </w:rPr>
    </w:lvl>
    <w:lvl w:ilvl="3" w:tentative="0">
      <w:start w:val="0"/>
      <w:numFmt w:val="bullet"/>
      <w:lvlText w:val="•"/>
      <w:lvlJc w:val="left"/>
      <w:pPr>
        <w:ind w:left="2625" w:hanging="529"/>
      </w:pPr>
      <w:rPr>
        <w:rFonts w:hint="default"/>
        <w:lang w:val="en-US" w:eastAsia="zh-CN" w:bidi="ar-SA"/>
      </w:rPr>
    </w:lvl>
    <w:lvl w:ilvl="4" w:tentative="0">
      <w:start w:val="0"/>
      <w:numFmt w:val="bullet"/>
      <w:lvlText w:val="•"/>
      <w:lvlJc w:val="left"/>
      <w:pPr>
        <w:ind w:left="3267" w:hanging="529"/>
      </w:pPr>
      <w:rPr>
        <w:rFonts w:hint="default"/>
        <w:lang w:val="en-US" w:eastAsia="zh-CN" w:bidi="ar-SA"/>
      </w:rPr>
    </w:lvl>
    <w:lvl w:ilvl="5" w:tentative="0">
      <w:start w:val="0"/>
      <w:numFmt w:val="bullet"/>
      <w:lvlText w:val="•"/>
      <w:lvlJc w:val="left"/>
      <w:pPr>
        <w:ind w:left="3909" w:hanging="529"/>
      </w:pPr>
      <w:rPr>
        <w:rFonts w:hint="default"/>
        <w:lang w:val="en-US" w:eastAsia="zh-CN" w:bidi="ar-SA"/>
      </w:rPr>
    </w:lvl>
    <w:lvl w:ilvl="6" w:tentative="0">
      <w:start w:val="0"/>
      <w:numFmt w:val="bullet"/>
      <w:lvlText w:val="•"/>
      <w:lvlJc w:val="left"/>
      <w:pPr>
        <w:ind w:left="4550" w:hanging="529"/>
      </w:pPr>
      <w:rPr>
        <w:rFonts w:hint="default"/>
        <w:lang w:val="en-US" w:eastAsia="zh-CN" w:bidi="ar-SA"/>
      </w:rPr>
    </w:lvl>
    <w:lvl w:ilvl="7" w:tentative="0">
      <w:start w:val="0"/>
      <w:numFmt w:val="bullet"/>
      <w:lvlText w:val="•"/>
      <w:lvlJc w:val="left"/>
      <w:pPr>
        <w:ind w:left="5192" w:hanging="529"/>
      </w:pPr>
      <w:rPr>
        <w:rFonts w:hint="default"/>
        <w:lang w:val="en-US" w:eastAsia="zh-CN" w:bidi="ar-SA"/>
      </w:rPr>
    </w:lvl>
    <w:lvl w:ilvl="8" w:tentative="0">
      <w:start w:val="0"/>
      <w:numFmt w:val="bullet"/>
      <w:lvlText w:val="•"/>
      <w:lvlJc w:val="left"/>
      <w:pPr>
        <w:ind w:left="5834" w:hanging="529"/>
      </w:pPr>
      <w:rPr>
        <w:rFonts w:hint="default"/>
        <w:lang w:val="en-US" w:eastAsia="zh-CN" w:bidi="ar-SA"/>
      </w:rPr>
    </w:lvl>
  </w:abstractNum>
  <w:abstractNum w:abstractNumId="29">
    <w:nsid w:val="03D62ECE"/>
    <w:multiLevelType w:val="multilevel"/>
    <w:tmpl w:val="03D62ECE"/>
    <w:lvl w:ilvl="0" w:tentative="0">
      <w:start w:val="1"/>
      <w:numFmt w:val="decimal"/>
      <w:lvlText w:val="（%1）"/>
      <w:lvlJc w:val="left"/>
      <w:pPr>
        <w:ind w:left="378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4422" w:hanging="529"/>
      </w:pPr>
      <w:rPr>
        <w:rFonts w:hint="default"/>
        <w:lang w:val="en-US" w:eastAsia="zh-CN" w:bidi="ar-SA"/>
      </w:rPr>
    </w:lvl>
    <w:lvl w:ilvl="2" w:tentative="0">
      <w:start w:val="0"/>
      <w:numFmt w:val="bullet"/>
      <w:lvlText w:val="•"/>
      <w:lvlJc w:val="left"/>
      <w:pPr>
        <w:ind w:left="5065" w:hanging="529"/>
      </w:pPr>
      <w:rPr>
        <w:rFonts w:hint="default"/>
        <w:lang w:val="en-US" w:eastAsia="zh-CN" w:bidi="ar-SA"/>
      </w:rPr>
    </w:lvl>
    <w:lvl w:ilvl="3" w:tentative="0">
      <w:start w:val="0"/>
      <w:numFmt w:val="bullet"/>
      <w:lvlText w:val="•"/>
      <w:lvlJc w:val="left"/>
      <w:pPr>
        <w:ind w:left="5707" w:hanging="529"/>
      </w:pPr>
      <w:rPr>
        <w:rFonts w:hint="default"/>
        <w:lang w:val="en-US" w:eastAsia="zh-CN" w:bidi="ar-SA"/>
      </w:rPr>
    </w:lvl>
    <w:lvl w:ilvl="4" w:tentative="0">
      <w:start w:val="0"/>
      <w:numFmt w:val="bullet"/>
      <w:lvlText w:val="•"/>
      <w:lvlJc w:val="left"/>
      <w:pPr>
        <w:ind w:left="6350" w:hanging="529"/>
      </w:pPr>
      <w:rPr>
        <w:rFonts w:hint="default"/>
        <w:lang w:val="en-US" w:eastAsia="zh-CN" w:bidi="ar-SA"/>
      </w:rPr>
    </w:lvl>
    <w:lvl w:ilvl="5" w:tentative="0">
      <w:start w:val="0"/>
      <w:numFmt w:val="bullet"/>
      <w:lvlText w:val="•"/>
      <w:lvlJc w:val="left"/>
      <w:pPr>
        <w:ind w:left="6992" w:hanging="529"/>
      </w:pPr>
      <w:rPr>
        <w:rFonts w:hint="default"/>
        <w:lang w:val="en-US" w:eastAsia="zh-CN" w:bidi="ar-SA"/>
      </w:rPr>
    </w:lvl>
    <w:lvl w:ilvl="6" w:tentative="0">
      <w:start w:val="0"/>
      <w:numFmt w:val="bullet"/>
      <w:lvlText w:val="•"/>
      <w:lvlJc w:val="left"/>
      <w:pPr>
        <w:ind w:left="7635" w:hanging="529"/>
      </w:pPr>
      <w:rPr>
        <w:rFonts w:hint="default"/>
        <w:lang w:val="en-US" w:eastAsia="zh-CN" w:bidi="ar-SA"/>
      </w:rPr>
    </w:lvl>
    <w:lvl w:ilvl="7" w:tentative="0">
      <w:start w:val="0"/>
      <w:numFmt w:val="bullet"/>
      <w:lvlText w:val="•"/>
      <w:lvlJc w:val="left"/>
      <w:pPr>
        <w:ind w:left="8277" w:hanging="529"/>
      </w:pPr>
      <w:rPr>
        <w:rFonts w:hint="default"/>
        <w:lang w:val="en-US" w:eastAsia="zh-CN" w:bidi="ar-SA"/>
      </w:rPr>
    </w:lvl>
    <w:lvl w:ilvl="8" w:tentative="0">
      <w:start w:val="0"/>
      <w:numFmt w:val="bullet"/>
      <w:lvlText w:val="•"/>
      <w:lvlJc w:val="left"/>
      <w:pPr>
        <w:ind w:left="8920" w:hanging="529"/>
      </w:pPr>
      <w:rPr>
        <w:rFonts w:hint="default"/>
        <w:lang w:val="en-US" w:eastAsia="zh-CN" w:bidi="ar-SA"/>
      </w:rPr>
    </w:lvl>
  </w:abstractNum>
  <w:abstractNum w:abstractNumId="30">
    <w:nsid w:val="0709FD3E"/>
    <w:multiLevelType w:val="multilevel"/>
    <w:tmpl w:val="0709FD3E"/>
    <w:lvl w:ilvl="0" w:tentative="0">
      <w:start w:val="3"/>
      <w:numFmt w:val="decimal"/>
      <w:lvlText w:val="（%1）"/>
      <w:lvlJc w:val="left"/>
      <w:pPr>
        <w:ind w:left="3789"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4422" w:hanging="529"/>
      </w:pPr>
      <w:rPr>
        <w:rFonts w:hint="default"/>
        <w:lang w:val="en-US" w:eastAsia="zh-CN" w:bidi="ar-SA"/>
      </w:rPr>
    </w:lvl>
    <w:lvl w:ilvl="2" w:tentative="0">
      <w:start w:val="0"/>
      <w:numFmt w:val="bullet"/>
      <w:lvlText w:val="•"/>
      <w:lvlJc w:val="left"/>
      <w:pPr>
        <w:ind w:left="5065" w:hanging="529"/>
      </w:pPr>
      <w:rPr>
        <w:rFonts w:hint="default"/>
        <w:lang w:val="en-US" w:eastAsia="zh-CN" w:bidi="ar-SA"/>
      </w:rPr>
    </w:lvl>
    <w:lvl w:ilvl="3" w:tentative="0">
      <w:start w:val="0"/>
      <w:numFmt w:val="bullet"/>
      <w:lvlText w:val="•"/>
      <w:lvlJc w:val="left"/>
      <w:pPr>
        <w:ind w:left="5707" w:hanging="529"/>
      </w:pPr>
      <w:rPr>
        <w:rFonts w:hint="default"/>
        <w:lang w:val="en-US" w:eastAsia="zh-CN" w:bidi="ar-SA"/>
      </w:rPr>
    </w:lvl>
    <w:lvl w:ilvl="4" w:tentative="0">
      <w:start w:val="0"/>
      <w:numFmt w:val="bullet"/>
      <w:lvlText w:val="•"/>
      <w:lvlJc w:val="left"/>
      <w:pPr>
        <w:ind w:left="6350" w:hanging="529"/>
      </w:pPr>
      <w:rPr>
        <w:rFonts w:hint="default"/>
        <w:lang w:val="en-US" w:eastAsia="zh-CN" w:bidi="ar-SA"/>
      </w:rPr>
    </w:lvl>
    <w:lvl w:ilvl="5" w:tentative="0">
      <w:start w:val="0"/>
      <w:numFmt w:val="bullet"/>
      <w:lvlText w:val="•"/>
      <w:lvlJc w:val="left"/>
      <w:pPr>
        <w:ind w:left="6992" w:hanging="529"/>
      </w:pPr>
      <w:rPr>
        <w:rFonts w:hint="default"/>
        <w:lang w:val="en-US" w:eastAsia="zh-CN" w:bidi="ar-SA"/>
      </w:rPr>
    </w:lvl>
    <w:lvl w:ilvl="6" w:tentative="0">
      <w:start w:val="0"/>
      <w:numFmt w:val="bullet"/>
      <w:lvlText w:val="•"/>
      <w:lvlJc w:val="left"/>
      <w:pPr>
        <w:ind w:left="7635" w:hanging="529"/>
      </w:pPr>
      <w:rPr>
        <w:rFonts w:hint="default"/>
        <w:lang w:val="en-US" w:eastAsia="zh-CN" w:bidi="ar-SA"/>
      </w:rPr>
    </w:lvl>
    <w:lvl w:ilvl="7" w:tentative="0">
      <w:start w:val="0"/>
      <w:numFmt w:val="bullet"/>
      <w:lvlText w:val="•"/>
      <w:lvlJc w:val="left"/>
      <w:pPr>
        <w:ind w:left="8277" w:hanging="529"/>
      </w:pPr>
      <w:rPr>
        <w:rFonts w:hint="default"/>
        <w:lang w:val="en-US" w:eastAsia="zh-CN" w:bidi="ar-SA"/>
      </w:rPr>
    </w:lvl>
    <w:lvl w:ilvl="8" w:tentative="0">
      <w:start w:val="0"/>
      <w:numFmt w:val="bullet"/>
      <w:lvlText w:val="•"/>
      <w:lvlJc w:val="left"/>
      <w:pPr>
        <w:ind w:left="8920" w:hanging="529"/>
      </w:pPr>
      <w:rPr>
        <w:rFonts w:hint="default"/>
        <w:lang w:val="en-US" w:eastAsia="zh-CN" w:bidi="ar-SA"/>
      </w:rPr>
    </w:lvl>
  </w:abstractNum>
  <w:abstractNum w:abstractNumId="31">
    <w:nsid w:val="0CEF100B"/>
    <w:multiLevelType w:val="multilevel"/>
    <w:tmpl w:val="0CEF100B"/>
    <w:lvl w:ilvl="0" w:tentative="0">
      <w:start w:val="1"/>
      <w:numFmt w:val="decimal"/>
      <w:lvlText w:val="（%1）"/>
      <w:lvlJc w:val="left"/>
      <w:pPr>
        <w:ind w:left="3789"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4422" w:hanging="529"/>
      </w:pPr>
      <w:rPr>
        <w:rFonts w:hint="default"/>
        <w:lang w:val="en-US" w:eastAsia="zh-CN" w:bidi="ar-SA"/>
      </w:rPr>
    </w:lvl>
    <w:lvl w:ilvl="2" w:tentative="0">
      <w:start w:val="0"/>
      <w:numFmt w:val="bullet"/>
      <w:lvlText w:val="•"/>
      <w:lvlJc w:val="left"/>
      <w:pPr>
        <w:ind w:left="5065" w:hanging="529"/>
      </w:pPr>
      <w:rPr>
        <w:rFonts w:hint="default"/>
        <w:lang w:val="en-US" w:eastAsia="zh-CN" w:bidi="ar-SA"/>
      </w:rPr>
    </w:lvl>
    <w:lvl w:ilvl="3" w:tentative="0">
      <w:start w:val="0"/>
      <w:numFmt w:val="bullet"/>
      <w:lvlText w:val="•"/>
      <w:lvlJc w:val="left"/>
      <w:pPr>
        <w:ind w:left="5707" w:hanging="529"/>
      </w:pPr>
      <w:rPr>
        <w:rFonts w:hint="default"/>
        <w:lang w:val="en-US" w:eastAsia="zh-CN" w:bidi="ar-SA"/>
      </w:rPr>
    </w:lvl>
    <w:lvl w:ilvl="4" w:tentative="0">
      <w:start w:val="0"/>
      <w:numFmt w:val="bullet"/>
      <w:lvlText w:val="•"/>
      <w:lvlJc w:val="left"/>
      <w:pPr>
        <w:ind w:left="6350" w:hanging="529"/>
      </w:pPr>
      <w:rPr>
        <w:rFonts w:hint="default"/>
        <w:lang w:val="en-US" w:eastAsia="zh-CN" w:bidi="ar-SA"/>
      </w:rPr>
    </w:lvl>
    <w:lvl w:ilvl="5" w:tentative="0">
      <w:start w:val="0"/>
      <w:numFmt w:val="bullet"/>
      <w:lvlText w:val="•"/>
      <w:lvlJc w:val="left"/>
      <w:pPr>
        <w:ind w:left="6992" w:hanging="529"/>
      </w:pPr>
      <w:rPr>
        <w:rFonts w:hint="default"/>
        <w:lang w:val="en-US" w:eastAsia="zh-CN" w:bidi="ar-SA"/>
      </w:rPr>
    </w:lvl>
    <w:lvl w:ilvl="6" w:tentative="0">
      <w:start w:val="0"/>
      <w:numFmt w:val="bullet"/>
      <w:lvlText w:val="•"/>
      <w:lvlJc w:val="left"/>
      <w:pPr>
        <w:ind w:left="7635" w:hanging="529"/>
      </w:pPr>
      <w:rPr>
        <w:rFonts w:hint="default"/>
        <w:lang w:val="en-US" w:eastAsia="zh-CN" w:bidi="ar-SA"/>
      </w:rPr>
    </w:lvl>
    <w:lvl w:ilvl="7" w:tentative="0">
      <w:start w:val="0"/>
      <w:numFmt w:val="bullet"/>
      <w:lvlText w:val="•"/>
      <w:lvlJc w:val="left"/>
      <w:pPr>
        <w:ind w:left="8277" w:hanging="529"/>
      </w:pPr>
      <w:rPr>
        <w:rFonts w:hint="default"/>
        <w:lang w:val="en-US" w:eastAsia="zh-CN" w:bidi="ar-SA"/>
      </w:rPr>
    </w:lvl>
    <w:lvl w:ilvl="8" w:tentative="0">
      <w:start w:val="0"/>
      <w:numFmt w:val="bullet"/>
      <w:lvlText w:val="•"/>
      <w:lvlJc w:val="left"/>
      <w:pPr>
        <w:ind w:left="8920" w:hanging="529"/>
      </w:pPr>
      <w:rPr>
        <w:rFonts w:hint="default"/>
        <w:lang w:val="en-US" w:eastAsia="zh-CN" w:bidi="ar-SA"/>
      </w:rPr>
    </w:lvl>
  </w:abstractNum>
  <w:abstractNum w:abstractNumId="32">
    <w:nsid w:val="0E640482"/>
    <w:multiLevelType w:val="multilevel"/>
    <w:tmpl w:val="0E640482"/>
    <w:lvl w:ilvl="0" w:tentative="0">
      <w:start w:val="1"/>
      <w:numFmt w:val="decimal"/>
      <w:lvlText w:val="（%1）"/>
      <w:lvlJc w:val="left"/>
      <w:pPr>
        <w:ind w:left="738" w:hanging="632"/>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352" w:hanging="632"/>
      </w:pPr>
      <w:rPr>
        <w:rFonts w:hint="default"/>
        <w:lang w:val="en-US" w:eastAsia="zh-CN" w:bidi="ar-SA"/>
      </w:rPr>
    </w:lvl>
    <w:lvl w:ilvl="2" w:tentative="0">
      <w:start w:val="0"/>
      <w:numFmt w:val="bullet"/>
      <w:lvlText w:val="•"/>
      <w:lvlJc w:val="left"/>
      <w:pPr>
        <w:ind w:left="1964" w:hanging="632"/>
      </w:pPr>
      <w:rPr>
        <w:rFonts w:hint="default"/>
        <w:lang w:val="en-US" w:eastAsia="zh-CN" w:bidi="ar-SA"/>
      </w:rPr>
    </w:lvl>
    <w:lvl w:ilvl="3" w:tentative="0">
      <w:start w:val="0"/>
      <w:numFmt w:val="bullet"/>
      <w:lvlText w:val="•"/>
      <w:lvlJc w:val="left"/>
      <w:pPr>
        <w:ind w:left="2577" w:hanging="632"/>
      </w:pPr>
      <w:rPr>
        <w:rFonts w:hint="default"/>
        <w:lang w:val="en-US" w:eastAsia="zh-CN" w:bidi="ar-SA"/>
      </w:rPr>
    </w:lvl>
    <w:lvl w:ilvl="4" w:tentative="0">
      <w:start w:val="0"/>
      <w:numFmt w:val="bullet"/>
      <w:lvlText w:val="•"/>
      <w:lvlJc w:val="left"/>
      <w:pPr>
        <w:ind w:left="3189" w:hanging="632"/>
      </w:pPr>
      <w:rPr>
        <w:rFonts w:hint="default"/>
        <w:lang w:val="en-US" w:eastAsia="zh-CN" w:bidi="ar-SA"/>
      </w:rPr>
    </w:lvl>
    <w:lvl w:ilvl="5" w:tentative="0">
      <w:start w:val="0"/>
      <w:numFmt w:val="bullet"/>
      <w:lvlText w:val="•"/>
      <w:lvlJc w:val="left"/>
      <w:pPr>
        <w:ind w:left="3802" w:hanging="632"/>
      </w:pPr>
      <w:rPr>
        <w:rFonts w:hint="default"/>
        <w:lang w:val="en-US" w:eastAsia="zh-CN" w:bidi="ar-SA"/>
      </w:rPr>
    </w:lvl>
    <w:lvl w:ilvl="6" w:tentative="0">
      <w:start w:val="0"/>
      <w:numFmt w:val="bullet"/>
      <w:lvlText w:val="•"/>
      <w:lvlJc w:val="left"/>
      <w:pPr>
        <w:ind w:left="4414" w:hanging="632"/>
      </w:pPr>
      <w:rPr>
        <w:rFonts w:hint="default"/>
        <w:lang w:val="en-US" w:eastAsia="zh-CN" w:bidi="ar-SA"/>
      </w:rPr>
    </w:lvl>
    <w:lvl w:ilvl="7" w:tentative="0">
      <w:start w:val="0"/>
      <w:numFmt w:val="bullet"/>
      <w:lvlText w:val="•"/>
      <w:lvlJc w:val="left"/>
      <w:pPr>
        <w:ind w:left="5026" w:hanging="632"/>
      </w:pPr>
      <w:rPr>
        <w:rFonts w:hint="default"/>
        <w:lang w:val="en-US" w:eastAsia="zh-CN" w:bidi="ar-SA"/>
      </w:rPr>
    </w:lvl>
    <w:lvl w:ilvl="8" w:tentative="0">
      <w:start w:val="0"/>
      <w:numFmt w:val="bullet"/>
      <w:lvlText w:val="•"/>
      <w:lvlJc w:val="left"/>
      <w:pPr>
        <w:ind w:left="5639" w:hanging="632"/>
      </w:pPr>
      <w:rPr>
        <w:rFonts w:hint="default"/>
        <w:lang w:val="en-US" w:eastAsia="zh-CN" w:bidi="ar-SA"/>
      </w:rPr>
    </w:lvl>
  </w:abstractNum>
  <w:abstractNum w:abstractNumId="33">
    <w:nsid w:val="0F9F9CCA"/>
    <w:multiLevelType w:val="multilevel"/>
    <w:tmpl w:val="0F9F9CCA"/>
    <w:lvl w:ilvl="0" w:tentative="0">
      <w:start w:val="1"/>
      <w:numFmt w:val="decimal"/>
      <w:lvlText w:val="（%1）"/>
      <w:lvlJc w:val="left"/>
      <w:pPr>
        <w:ind w:left="3789"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4422" w:hanging="529"/>
      </w:pPr>
      <w:rPr>
        <w:rFonts w:hint="default"/>
        <w:lang w:val="en-US" w:eastAsia="zh-CN" w:bidi="ar-SA"/>
      </w:rPr>
    </w:lvl>
    <w:lvl w:ilvl="2" w:tentative="0">
      <w:start w:val="0"/>
      <w:numFmt w:val="bullet"/>
      <w:lvlText w:val="•"/>
      <w:lvlJc w:val="left"/>
      <w:pPr>
        <w:ind w:left="5065" w:hanging="529"/>
      </w:pPr>
      <w:rPr>
        <w:rFonts w:hint="default"/>
        <w:lang w:val="en-US" w:eastAsia="zh-CN" w:bidi="ar-SA"/>
      </w:rPr>
    </w:lvl>
    <w:lvl w:ilvl="3" w:tentative="0">
      <w:start w:val="0"/>
      <w:numFmt w:val="bullet"/>
      <w:lvlText w:val="•"/>
      <w:lvlJc w:val="left"/>
      <w:pPr>
        <w:ind w:left="5707" w:hanging="529"/>
      </w:pPr>
      <w:rPr>
        <w:rFonts w:hint="default"/>
        <w:lang w:val="en-US" w:eastAsia="zh-CN" w:bidi="ar-SA"/>
      </w:rPr>
    </w:lvl>
    <w:lvl w:ilvl="4" w:tentative="0">
      <w:start w:val="0"/>
      <w:numFmt w:val="bullet"/>
      <w:lvlText w:val="•"/>
      <w:lvlJc w:val="left"/>
      <w:pPr>
        <w:ind w:left="6350" w:hanging="529"/>
      </w:pPr>
      <w:rPr>
        <w:rFonts w:hint="default"/>
        <w:lang w:val="en-US" w:eastAsia="zh-CN" w:bidi="ar-SA"/>
      </w:rPr>
    </w:lvl>
    <w:lvl w:ilvl="5" w:tentative="0">
      <w:start w:val="0"/>
      <w:numFmt w:val="bullet"/>
      <w:lvlText w:val="•"/>
      <w:lvlJc w:val="left"/>
      <w:pPr>
        <w:ind w:left="6992" w:hanging="529"/>
      </w:pPr>
      <w:rPr>
        <w:rFonts w:hint="default"/>
        <w:lang w:val="en-US" w:eastAsia="zh-CN" w:bidi="ar-SA"/>
      </w:rPr>
    </w:lvl>
    <w:lvl w:ilvl="6" w:tentative="0">
      <w:start w:val="0"/>
      <w:numFmt w:val="bullet"/>
      <w:lvlText w:val="•"/>
      <w:lvlJc w:val="left"/>
      <w:pPr>
        <w:ind w:left="7635" w:hanging="529"/>
      </w:pPr>
      <w:rPr>
        <w:rFonts w:hint="default"/>
        <w:lang w:val="en-US" w:eastAsia="zh-CN" w:bidi="ar-SA"/>
      </w:rPr>
    </w:lvl>
    <w:lvl w:ilvl="7" w:tentative="0">
      <w:start w:val="0"/>
      <w:numFmt w:val="bullet"/>
      <w:lvlText w:val="•"/>
      <w:lvlJc w:val="left"/>
      <w:pPr>
        <w:ind w:left="8277" w:hanging="529"/>
      </w:pPr>
      <w:rPr>
        <w:rFonts w:hint="default"/>
        <w:lang w:val="en-US" w:eastAsia="zh-CN" w:bidi="ar-SA"/>
      </w:rPr>
    </w:lvl>
    <w:lvl w:ilvl="8" w:tentative="0">
      <w:start w:val="0"/>
      <w:numFmt w:val="bullet"/>
      <w:lvlText w:val="•"/>
      <w:lvlJc w:val="left"/>
      <w:pPr>
        <w:ind w:left="8920" w:hanging="529"/>
      </w:pPr>
      <w:rPr>
        <w:rFonts w:hint="default"/>
        <w:lang w:val="en-US" w:eastAsia="zh-CN" w:bidi="ar-SA"/>
      </w:rPr>
    </w:lvl>
  </w:abstractNum>
  <w:abstractNum w:abstractNumId="34">
    <w:nsid w:val="12EADF99"/>
    <w:multiLevelType w:val="multilevel"/>
    <w:tmpl w:val="12EADF99"/>
    <w:lvl w:ilvl="0" w:tentative="0">
      <w:start w:val="1"/>
      <w:numFmt w:val="decimal"/>
      <w:lvlText w:val="（%1）"/>
      <w:lvlJc w:val="left"/>
      <w:pPr>
        <w:ind w:left="3789" w:hanging="529"/>
        <w:jc w:val="left"/>
      </w:pPr>
      <w:rPr>
        <w:rFonts w:hint="default" w:ascii="宋体" w:hAnsi="宋体" w:eastAsia="宋体" w:cs="宋体"/>
        <w:b w:val="0"/>
        <w:bCs w:val="0"/>
        <w:i w:val="0"/>
        <w:iCs w:val="0"/>
        <w:spacing w:val="-8"/>
        <w:w w:val="100"/>
        <w:sz w:val="19"/>
        <w:szCs w:val="19"/>
        <w:lang w:val="en-US" w:eastAsia="zh-CN" w:bidi="ar-SA"/>
      </w:rPr>
    </w:lvl>
    <w:lvl w:ilvl="1" w:tentative="0">
      <w:start w:val="0"/>
      <w:numFmt w:val="bullet"/>
      <w:lvlText w:val="•"/>
      <w:lvlJc w:val="left"/>
      <w:pPr>
        <w:ind w:left="4422" w:hanging="529"/>
      </w:pPr>
      <w:rPr>
        <w:rFonts w:hint="default"/>
        <w:lang w:val="en-US" w:eastAsia="zh-CN" w:bidi="ar-SA"/>
      </w:rPr>
    </w:lvl>
    <w:lvl w:ilvl="2" w:tentative="0">
      <w:start w:val="0"/>
      <w:numFmt w:val="bullet"/>
      <w:lvlText w:val="•"/>
      <w:lvlJc w:val="left"/>
      <w:pPr>
        <w:ind w:left="5065" w:hanging="529"/>
      </w:pPr>
      <w:rPr>
        <w:rFonts w:hint="default"/>
        <w:lang w:val="en-US" w:eastAsia="zh-CN" w:bidi="ar-SA"/>
      </w:rPr>
    </w:lvl>
    <w:lvl w:ilvl="3" w:tentative="0">
      <w:start w:val="0"/>
      <w:numFmt w:val="bullet"/>
      <w:lvlText w:val="•"/>
      <w:lvlJc w:val="left"/>
      <w:pPr>
        <w:ind w:left="5707" w:hanging="529"/>
      </w:pPr>
      <w:rPr>
        <w:rFonts w:hint="default"/>
        <w:lang w:val="en-US" w:eastAsia="zh-CN" w:bidi="ar-SA"/>
      </w:rPr>
    </w:lvl>
    <w:lvl w:ilvl="4" w:tentative="0">
      <w:start w:val="0"/>
      <w:numFmt w:val="bullet"/>
      <w:lvlText w:val="•"/>
      <w:lvlJc w:val="left"/>
      <w:pPr>
        <w:ind w:left="6350" w:hanging="529"/>
      </w:pPr>
      <w:rPr>
        <w:rFonts w:hint="default"/>
        <w:lang w:val="en-US" w:eastAsia="zh-CN" w:bidi="ar-SA"/>
      </w:rPr>
    </w:lvl>
    <w:lvl w:ilvl="5" w:tentative="0">
      <w:start w:val="0"/>
      <w:numFmt w:val="bullet"/>
      <w:lvlText w:val="•"/>
      <w:lvlJc w:val="left"/>
      <w:pPr>
        <w:ind w:left="6992" w:hanging="529"/>
      </w:pPr>
      <w:rPr>
        <w:rFonts w:hint="default"/>
        <w:lang w:val="en-US" w:eastAsia="zh-CN" w:bidi="ar-SA"/>
      </w:rPr>
    </w:lvl>
    <w:lvl w:ilvl="6" w:tentative="0">
      <w:start w:val="0"/>
      <w:numFmt w:val="bullet"/>
      <w:lvlText w:val="•"/>
      <w:lvlJc w:val="left"/>
      <w:pPr>
        <w:ind w:left="7635" w:hanging="529"/>
      </w:pPr>
      <w:rPr>
        <w:rFonts w:hint="default"/>
        <w:lang w:val="en-US" w:eastAsia="zh-CN" w:bidi="ar-SA"/>
      </w:rPr>
    </w:lvl>
    <w:lvl w:ilvl="7" w:tentative="0">
      <w:start w:val="0"/>
      <w:numFmt w:val="bullet"/>
      <w:lvlText w:val="•"/>
      <w:lvlJc w:val="left"/>
      <w:pPr>
        <w:ind w:left="8277" w:hanging="529"/>
      </w:pPr>
      <w:rPr>
        <w:rFonts w:hint="default"/>
        <w:lang w:val="en-US" w:eastAsia="zh-CN" w:bidi="ar-SA"/>
      </w:rPr>
    </w:lvl>
    <w:lvl w:ilvl="8" w:tentative="0">
      <w:start w:val="0"/>
      <w:numFmt w:val="bullet"/>
      <w:lvlText w:val="•"/>
      <w:lvlJc w:val="left"/>
      <w:pPr>
        <w:ind w:left="8920" w:hanging="529"/>
      </w:pPr>
      <w:rPr>
        <w:rFonts w:hint="default"/>
        <w:lang w:val="en-US" w:eastAsia="zh-CN" w:bidi="ar-SA"/>
      </w:rPr>
    </w:lvl>
  </w:abstractNum>
  <w:abstractNum w:abstractNumId="35">
    <w:nsid w:val="1ACDE60F"/>
    <w:multiLevelType w:val="multilevel"/>
    <w:tmpl w:val="1ACDE60F"/>
    <w:lvl w:ilvl="0" w:tentative="0">
      <w:start w:val="7"/>
      <w:numFmt w:val="decimal"/>
      <w:lvlText w:val="%1"/>
      <w:lvlJc w:val="left"/>
      <w:pPr>
        <w:ind w:left="1196" w:hanging="977"/>
        <w:jc w:val="left"/>
      </w:pPr>
      <w:rPr>
        <w:rFonts w:hint="default"/>
        <w:lang w:val="en-US" w:eastAsia="zh-CN" w:bidi="ar-SA"/>
      </w:rPr>
    </w:lvl>
    <w:lvl w:ilvl="1" w:tentative="0">
      <w:start w:val="2"/>
      <w:numFmt w:val="decimal"/>
      <w:lvlText w:val="%1.%2"/>
      <w:lvlJc w:val="left"/>
      <w:pPr>
        <w:ind w:left="1196" w:hanging="977"/>
        <w:jc w:val="left"/>
      </w:pPr>
      <w:rPr>
        <w:rFonts w:hint="default"/>
        <w:lang w:val="en-US" w:eastAsia="zh-CN" w:bidi="ar-SA"/>
      </w:rPr>
    </w:lvl>
    <w:lvl w:ilvl="2" w:tentative="0">
      <w:start w:val="62"/>
      <w:numFmt w:val="decimal"/>
      <w:lvlText w:val="%1.%2.%3"/>
      <w:lvlJc w:val="left"/>
      <w:pPr>
        <w:ind w:left="1196" w:hanging="977"/>
        <w:jc w:val="left"/>
      </w:pPr>
      <w:rPr>
        <w:rFonts w:hint="default" w:ascii="宋体" w:hAnsi="宋体" w:eastAsia="宋体" w:cs="宋体"/>
        <w:b/>
        <w:bCs/>
        <w:i w:val="0"/>
        <w:iCs w:val="0"/>
        <w:w w:val="99"/>
        <w:sz w:val="21"/>
        <w:szCs w:val="21"/>
        <w:lang w:val="en-US" w:eastAsia="zh-CN" w:bidi="ar-SA"/>
      </w:rPr>
    </w:lvl>
    <w:lvl w:ilvl="3" w:tentative="0">
      <w:start w:val="1"/>
      <w:numFmt w:val="decimal"/>
      <w:lvlText w:val="（%4）"/>
      <w:lvlJc w:val="left"/>
      <w:pPr>
        <w:ind w:left="3892" w:hanging="632"/>
        <w:jc w:val="left"/>
      </w:pPr>
      <w:rPr>
        <w:rFonts w:hint="default" w:ascii="宋体" w:hAnsi="宋体" w:eastAsia="宋体" w:cs="宋体"/>
        <w:b w:val="0"/>
        <w:bCs w:val="0"/>
        <w:i w:val="0"/>
        <w:iCs w:val="0"/>
        <w:w w:val="100"/>
        <w:sz w:val="21"/>
        <w:szCs w:val="21"/>
        <w:lang w:val="en-US" w:eastAsia="zh-CN" w:bidi="ar-SA"/>
      </w:rPr>
    </w:lvl>
    <w:lvl w:ilvl="4" w:tentative="0">
      <w:start w:val="0"/>
      <w:numFmt w:val="bullet"/>
      <w:lvlText w:val="•"/>
      <w:lvlJc w:val="left"/>
      <w:pPr>
        <w:ind w:left="6001" w:hanging="632"/>
      </w:pPr>
      <w:rPr>
        <w:rFonts w:hint="default"/>
        <w:lang w:val="en-US" w:eastAsia="zh-CN" w:bidi="ar-SA"/>
      </w:rPr>
    </w:lvl>
    <w:lvl w:ilvl="5" w:tentative="0">
      <w:start w:val="0"/>
      <w:numFmt w:val="bullet"/>
      <w:lvlText w:val="•"/>
      <w:lvlJc w:val="left"/>
      <w:pPr>
        <w:ind w:left="6702" w:hanging="632"/>
      </w:pPr>
      <w:rPr>
        <w:rFonts w:hint="default"/>
        <w:lang w:val="en-US" w:eastAsia="zh-CN" w:bidi="ar-SA"/>
      </w:rPr>
    </w:lvl>
    <w:lvl w:ilvl="6" w:tentative="0">
      <w:start w:val="0"/>
      <w:numFmt w:val="bullet"/>
      <w:lvlText w:val="•"/>
      <w:lvlJc w:val="left"/>
      <w:pPr>
        <w:ind w:left="7403" w:hanging="632"/>
      </w:pPr>
      <w:rPr>
        <w:rFonts w:hint="default"/>
        <w:lang w:val="en-US" w:eastAsia="zh-CN" w:bidi="ar-SA"/>
      </w:rPr>
    </w:lvl>
    <w:lvl w:ilvl="7" w:tentative="0">
      <w:start w:val="0"/>
      <w:numFmt w:val="bullet"/>
      <w:lvlText w:val="•"/>
      <w:lvlJc w:val="left"/>
      <w:pPr>
        <w:ind w:left="8103" w:hanging="632"/>
      </w:pPr>
      <w:rPr>
        <w:rFonts w:hint="default"/>
        <w:lang w:val="en-US" w:eastAsia="zh-CN" w:bidi="ar-SA"/>
      </w:rPr>
    </w:lvl>
    <w:lvl w:ilvl="8" w:tentative="0">
      <w:start w:val="0"/>
      <w:numFmt w:val="bullet"/>
      <w:lvlText w:val="•"/>
      <w:lvlJc w:val="left"/>
      <w:pPr>
        <w:ind w:left="8804" w:hanging="632"/>
      </w:pPr>
      <w:rPr>
        <w:rFonts w:hint="default"/>
        <w:lang w:val="en-US" w:eastAsia="zh-CN" w:bidi="ar-SA"/>
      </w:rPr>
    </w:lvl>
  </w:abstractNum>
  <w:abstractNum w:abstractNumId="36">
    <w:nsid w:val="1C257C7B"/>
    <w:multiLevelType w:val="multilevel"/>
    <w:tmpl w:val="1C257C7B"/>
    <w:lvl w:ilvl="0" w:tentative="0">
      <w:start w:val="1"/>
      <w:numFmt w:val="decimal"/>
      <w:lvlText w:val="（%1）"/>
      <w:lvlJc w:val="left"/>
      <w:pPr>
        <w:ind w:left="3786" w:hanging="536"/>
        <w:jc w:val="left"/>
      </w:pPr>
      <w:rPr>
        <w:rFonts w:hint="default" w:ascii="宋体" w:hAnsi="宋体" w:eastAsia="宋体" w:cs="宋体"/>
        <w:b w:val="0"/>
        <w:bCs w:val="0"/>
        <w:i w:val="0"/>
        <w:iCs w:val="0"/>
        <w:spacing w:val="2"/>
        <w:w w:val="100"/>
        <w:sz w:val="19"/>
        <w:szCs w:val="19"/>
        <w:lang w:val="en-US" w:eastAsia="zh-CN" w:bidi="ar-SA"/>
      </w:rPr>
    </w:lvl>
    <w:lvl w:ilvl="1" w:tentative="0">
      <w:start w:val="0"/>
      <w:numFmt w:val="bullet"/>
      <w:lvlText w:val="•"/>
      <w:lvlJc w:val="left"/>
      <w:pPr>
        <w:ind w:left="4422" w:hanging="536"/>
      </w:pPr>
      <w:rPr>
        <w:rFonts w:hint="default"/>
        <w:lang w:val="en-US" w:eastAsia="zh-CN" w:bidi="ar-SA"/>
      </w:rPr>
    </w:lvl>
    <w:lvl w:ilvl="2" w:tentative="0">
      <w:start w:val="0"/>
      <w:numFmt w:val="bullet"/>
      <w:lvlText w:val="•"/>
      <w:lvlJc w:val="left"/>
      <w:pPr>
        <w:ind w:left="5065" w:hanging="536"/>
      </w:pPr>
      <w:rPr>
        <w:rFonts w:hint="default"/>
        <w:lang w:val="en-US" w:eastAsia="zh-CN" w:bidi="ar-SA"/>
      </w:rPr>
    </w:lvl>
    <w:lvl w:ilvl="3" w:tentative="0">
      <w:start w:val="0"/>
      <w:numFmt w:val="bullet"/>
      <w:lvlText w:val="•"/>
      <w:lvlJc w:val="left"/>
      <w:pPr>
        <w:ind w:left="5707" w:hanging="536"/>
      </w:pPr>
      <w:rPr>
        <w:rFonts w:hint="default"/>
        <w:lang w:val="en-US" w:eastAsia="zh-CN" w:bidi="ar-SA"/>
      </w:rPr>
    </w:lvl>
    <w:lvl w:ilvl="4" w:tentative="0">
      <w:start w:val="0"/>
      <w:numFmt w:val="bullet"/>
      <w:lvlText w:val="•"/>
      <w:lvlJc w:val="left"/>
      <w:pPr>
        <w:ind w:left="6350" w:hanging="536"/>
      </w:pPr>
      <w:rPr>
        <w:rFonts w:hint="default"/>
        <w:lang w:val="en-US" w:eastAsia="zh-CN" w:bidi="ar-SA"/>
      </w:rPr>
    </w:lvl>
    <w:lvl w:ilvl="5" w:tentative="0">
      <w:start w:val="0"/>
      <w:numFmt w:val="bullet"/>
      <w:lvlText w:val="•"/>
      <w:lvlJc w:val="left"/>
      <w:pPr>
        <w:ind w:left="6992" w:hanging="536"/>
      </w:pPr>
      <w:rPr>
        <w:rFonts w:hint="default"/>
        <w:lang w:val="en-US" w:eastAsia="zh-CN" w:bidi="ar-SA"/>
      </w:rPr>
    </w:lvl>
    <w:lvl w:ilvl="6" w:tentative="0">
      <w:start w:val="0"/>
      <w:numFmt w:val="bullet"/>
      <w:lvlText w:val="•"/>
      <w:lvlJc w:val="left"/>
      <w:pPr>
        <w:ind w:left="7635" w:hanging="536"/>
      </w:pPr>
      <w:rPr>
        <w:rFonts w:hint="default"/>
        <w:lang w:val="en-US" w:eastAsia="zh-CN" w:bidi="ar-SA"/>
      </w:rPr>
    </w:lvl>
    <w:lvl w:ilvl="7" w:tentative="0">
      <w:start w:val="0"/>
      <w:numFmt w:val="bullet"/>
      <w:lvlText w:val="•"/>
      <w:lvlJc w:val="left"/>
      <w:pPr>
        <w:ind w:left="8277" w:hanging="536"/>
      </w:pPr>
      <w:rPr>
        <w:rFonts w:hint="default"/>
        <w:lang w:val="en-US" w:eastAsia="zh-CN" w:bidi="ar-SA"/>
      </w:rPr>
    </w:lvl>
    <w:lvl w:ilvl="8" w:tentative="0">
      <w:start w:val="0"/>
      <w:numFmt w:val="bullet"/>
      <w:lvlText w:val="•"/>
      <w:lvlJc w:val="left"/>
      <w:pPr>
        <w:ind w:left="8920" w:hanging="536"/>
      </w:pPr>
      <w:rPr>
        <w:rFonts w:hint="default"/>
        <w:lang w:val="en-US" w:eastAsia="zh-CN" w:bidi="ar-SA"/>
      </w:rPr>
    </w:lvl>
  </w:abstractNum>
  <w:abstractNum w:abstractNumId="37">
    <w:nsid w:val="23E97754"/>
    <w:multiLevelType w:val="multilevel"/>
    <w:tmpl w:val="23E97754"/>
    <w:lvl w:ilvl="0" w:tentative="0">
      <w:start w:val="1"/>
      <w:numFmt w:val="decimal"/>
      <w:lvlText w:val="（%1）"/>
      <w:lvlJc w:val="left"/>
      <w:pPr>
        <w:ind w:left="702"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41" w:hanging="529"/>
      </w:pPr>
      <w:rPr>
        <w:rFonts w:hint="default"/>
        <w:lang w:val="en-US" w:eastAsia="zh-CN" w:bidi="ar-SA"/>
      </w:rPr>
    </w:lvl>
    <w:lvl w:ilvl="2" w:tentative="0">
      <w:start w:val="0"/>
      <w:numFmt w:val="bullet"/>
      <w:lvlText w:val="•"/>
      <w:lvlJc w:val="left"/>
      <w:pPr>
        <w:ind w:left="1983" w:hanging="529"/>
      </w:pPr>
      <w:rPr>
        <w:rFonts w:hint="default"/>
        <w:lang w:val="en-US" w:eastAsia="zh-CN" w:bidi="ar-SA"/>
      </w:rPr>
    </w:lvl>
    <w:lvl w:ilvl="3" w:tentative="0">
      <w:start w:val="0"/>
      <w:numFmt w:val="bullet"/>
      <w:lvlText w:val="•"/>
      <w:lvlJc w:val="left"/>
      <w:pPr>
        <w:ind w:left="2625" w:hanging="529"/>
      </w:pPr>
      <w:rPr>
        <w:rFonts w:hint="default"/>
        <w:lang w:val="en-US" w:eastAsia="zh-CN" w:bidi="ar-SA"/>
      </w:rPr>
    </w:lvl>
    <w:lvl w:ilvl="4" w:tentative="0">
      <w:start w:val="0"/>
      <w:numFmt w:val="bullet"/>
      <w:lvlText w:val="•"/>
      <w:lvlJc w:val="left"/>
      <w:pPr>
        <w:ind w:left="3267" w:hanging="529"/>
      </w:pPr>
      <w:rPr>
        <w:rFonts w:hint="default"/>
        <w:lang w:val="en-US" w:eastAsia="zh-CN" w:bidi="ar-SA"/>
      </w:rPr>
    </w:lvl>
    <w:lvl w:ilvl="5" w:tentative="0">
      <w:start w:val="0"/>
      <w:numFmt w:val="bullet"/>
      <w:lvlText w:val="•"/>
      <w:lvlJc w:val="left"/>
      <w:pPr>
        <w:ind w:left="3909" w:hanging="529"/>
      </w:pPr>
      <w:rPr>
        <w:rFonts w:hint="default"/>
        <w:lang w:val="en-US" w:eastAsia="zh-CN" w:bidi="ar-SA"/>
      </w:rPr>
    </w:lvl>
    <w:lvl w:ilvl="6" w:tentative="0">
      <w:start w:val="0"/>
      <w:numFmt w:val="bullet"/>
      <w:lvlText w:val="•"/>
      <w:lvlJc w:val="left"/>
      <w:pPr>
        <w:ind w:left="4550" w:hanging="529"/>
      </w:pPr>
      <w:rPr>
        <w:rFonts w:hint="default"/>
        <w:lang w:val="en-US" w:eastAsia="zh-CN" w:bidi="ar-SA"/>
      </w:rPr>
    </w:lvl>
    <w:lvl w:ilvl="7" w:tentative="0">
      <w:start w:val="0"/>
      <w:numFmt w:val="bullet"/>
      <w:lvlText w:val="•"/>
      <w:lvlJc w:val="left"/>
      <w:pPr>
        <w:ind w:left="5192" w:hanging="529"/>
      </w:pPr>
      <w:rPr>
        <w:rFonts w:hint="default"/>
        <w:lang w:val="en-US" w:eastAsia="zh-CN" w:bidi="ar-SA"/>
      </w:rPr>
    </w:lvl>
    <w:lvl w:ilvl="8" w:tentative="0">
      <w:start w:val="0"/>
      <w:numFmt w:val="bullet"/>
      <w:lvlText w:val="•"/>
      <w:lvlJc w:val="left"/>
      <w:pPr>
        <w:ind w:left="5834" w:hanging="529"/>
      </w:pPr>
      <w:rPr>
        <w:rFonts w:hint="default"/>
        <w:lang w:val="en-US" w:eastAsia="zh-CN" w:bidi="ar-SA"/>
      </w:rPr>
    </w:lvl>
  </w:abstractNum>
  <w:abstractNum w:abstractNumId="38">
    <w:nsid w:val="243FCF68"/>
    <w:multiLevelType w:val="multilevel"/>
    <w:tmpl w:val="243FCF68"/>
    <w:lvl w:ilvl="0" w:tentative="0">
      <w:start w:val="7"/>
      <w:numFmt w:val="decimal"/>
      <w:lvlText w:val="%1"/>
      <w:lvlJc w:val="left"/>
      <w:pPr>
        <w:ind w:left="3260" w:hanging="977"/>
        <w:jc w:val="left"/>
      </w:pPr>
      <w:rPr>
        <w:rFonts w:hint="default"/>
        <w:lang w:val="en-US" w:eastAsia="zh-CN" w:bidi="ar-SA"/>
      </w:rPr>
    </w:lvl>
    <w:lvl w:ilvl="1" w:tentative="0">
      <w:start w:val="2"/>
      <w:numFmt w:val="decimal"/>
      <w:lvlText w:val="%1.%2"/>
      <w:lvlJc w:val="left"/>
      <w:pPr>
        <w:ind w:left="3260" w:hanging="977"/>
        <w:jc w:val="left"/>
      </w:pPr>
      <w:rPr>
        <w:rFonts w:hint="default"/>
        <w:lang w:val="en-US" w:eastAsia="zh-CN" w:bidi="ar-SA"/>
      </w:rPr>
    </w:lvl>
    <w:lvl w:ilvl="2" w:tentative="0">
      <w:start w:val="47"/>
      <w:numFmt w:val="decimal"/>
      <w:lvlText w:val="%1.%2.%3"/>
      <w:lvlJc w:val="left"/>
      <w:pPr>
        <w:ind w:left="3260" w:hanging="977"/>
        <w:jc w:val="left"/>
      </w:pPr>
      <w:rPr>
        <w:rFonts w:hint="default" w:ascii="宋体" w:hAnsi="宋体" w:eastAsia="宋体" w:cs="宋体"/>
        <w:b/>
        <w:bCs/>
        <w:i w:val="0"/>
        <w:iCs w:val="0"/>
        <w:w w:val="99"/>
        <w:sz w:val="21"/>
        <w:szCs w:val="21"/>
        <w:lang w:val="en-US" w:eastAsia="zh-CN" w:bidi="ar-SA"/>
      </w:rPr>
    </w:lvl>
    <w:lvl w:ilvl="3" w:tentative="0">
      <w:start w:val="1"/>
      <w:numFmt w:val="decimal"/>
      <w:lvlText w:val="（%4）"/>
      <w:lvlJc w:val="left"/>
      <w:pPr>
        <w:ind w:left="3789" w:hanging="529"/>
        <w:jc w:val="left"/>
      </w:pPr>
      <w:rPr>
        <w:rFonts w:hint="default" w:ascii="宋体" w:hAnsi="宋体" w:eastAsia="宋体" w:cs="宋体"/>
        <w:b w:val="0"/>
        <w:bCs w:val="0"/>
        <w:i w:val="0"/>
        <w:iCs w:val="0"/>
        <w:spacing w:val="-3"/>
        <w:w w:val="100"/>
        <w:sz w:val="19"/>
        <w:szCs w:val="19"/>
        <w:lang w:val="en-US" w:eastAsia="zh-CN" w:bidi="ar-SA"/>
      </w:rPr>
    </w:lvl>
    <w:lvl w:ilvl="4" w:tentative="0">
      <w:start w:val="0"/>
      <w:numFmt w:val="bullet"/>
      <w:lvlText w:val="•"/>
      <w:lvlJc w:val="left"/>
      <w:pPr>
        <w:ind w:left="5921" w:hanging="529"/>
      </w:pPr>
      <w:rPr>
        <w:rFonts w:hint="default"/>
        <w:lang w:val="en-US" w:eastAsia="zh-CN" w:bidi="ar-SA"/>
      </w:rPr>
    </w:lvl>
    <w:lvl w:ilvl="5" w:tentative="0">
      <w:start w:val="0"/>
      <w:numFmt w:val="bullet"/>
      <w:lvlText w:val="•"/>
      <w:lvlJc w:val="left"/>
      <w:pPr>
        <w:ind w:left="6635" w:hanging="529"/>
      </w:pPr>
      <w:rPr>
        <w:rFonts w:hint="default"/>
        <w:lang w:val="en-US" w:eastAsia="zh-CN" w:bidi="ar-SA"/>
      </w:rPr>
    </w:lvl>
    <w:lvl w:ilvl="6" w:tentative="0">
      <w:start w:val="0"/>
      <w:numFmt w:val="bullet"/>
      <w:lvlText w:val="•"/>
      <w:lvlJc w:val="left"/>
      <w:pPr>
        <w:ind w:left="7349" w:hanging="529"/>
      </w:pPr>
      <w:rPr>
        <w:rFonts w:hint="default"/>
        <w:lang w:val="en-US" w:eastAsia="zh-CN" w:bidi="ar-SA"/>
      </w:rPr>
    </w:lvl>
    <w:lvl w:ilvl="7" w:tentative="0">
      <w:start w:val="0"/>
      <w:numFmt w:val="bullet"/>
      <w:lvlText w:val="•"/>
      <w:lvlJc w:val="left"/>
      <w:pPr>
        <w:ind w:left="8063" w:hanging="529"/>
      </w:pPr>
      <w:rPr>
        <w:rFonts w:hint="default"/>
        <w:lang w:val="en-US" w:eastAsia="zh-CN" w:bidi="ar-SA"/>
      </w:rPr>
    </w:lvl>
    <w:lvl w:ilvl="8" w:tentative="0">
      <w:start w:val="0"/>
      <w:numFmt w:val="bullet"/>
      <w:lvlText w:val="•"/>
      <w:lvlJc w:val="left"/>
      <w:pPr>
        <w:ind w:left="8777" w:hanging="529"/>
      </w:pPr>
      <w:rPr>
        <w:rFonts w:hint="default"/>
        <w:lang w:val="en-US" w:eastAsia="zh-CN" w:bidi="ar-SA"/>
      </w:rPr>
    </w:lvl>
  </w:abstractNum>
  <w:abstractNum w:abstractNumId="39">
    <w:nsid w:val="2470EC97"/>
    <w:multiLevelType w:val="multilevel"/>
    <w:tmpl w:val="2470EC97"/>
    <w:lvl w:ilvl="0" w:tentative="0">
      <w:start w:val="6"/>
      <w:numFmt w:val="decimal"/>
      <w:lvlText w:val="%1"/>
      <w:lvlJc w:val="left"/>
      <w:pPr>
        <w:ind w:left="1196" w:hanging="977"/>
        <w:jc w:val="left"/>
      </w:pPr>
      <w:rPr>
        <w:rFonts w:hint="default"/>
        <w:lang w:val="en-US" w:eastAsia="zh-CN" w:bidi="ar-SA"/>
      </w:rPr>
    </w:lvl>
    <w:lvl w:ilvl="1" w:tentative="0">
      <w:start w:val="1"/>
      <w:numFmt w:val="decimal"/>
      <w:lvlText w:val="%1.%2"/>
      <w:lvlJc w:val="left"/>
      <w:pPr>
        <w:ind w:left="1196" w:hanging="977"/>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3789" w:hanging="529"/>
        <w:jc w:val="left"/>
      </w:pPr>
      <w:rPr>
        <w:rFonts w:hint="default" w:ascii="宋体" w:hAnsi="宋体" w:eastAsia="宋体" w:cs="宋体"/>
        <w:b w:val="0"/>
        <w:bCs w:val="0"/>
        <w:i w:val="0"/>
        <w:iCs w:val="0"/>
        <w:spacing w:val="-3"/>
        <w:w w:val="100"/>
        <w:sz w:val="19"/>
        <w:szCs w:val="19"/>
        <w:lang w:val="en-US" w:eastAsia="zh-CN" w:bidi="ar-SA"/>
      </w:rPr>
    </w:lvl>
    <w:lvl w:ilvl="3" w:tentative="0">
      <w:start w:val="0"/>
      <w:numFmt w:val="bullet"/>
      <w:lvlText w:val="•"/>
      <w:lvlJc w:val="left"/>
      <w:pPr>
        <w:ind w:left="5207" w:hanging="529"/>
      </w:pPr>
      <w:rPr>
        <w:rFonts w:hint="default"/>
        <w:lang w:val="en-US" w:eastAsia="zh-CN" w:bidi="ar-SA"/>
      </w:rPr>
    </w:lvl>
    <w:lvl w:ilvl="4" w:tentative="0">
      <w:start w:val="0"/>
      <w:numFmt w:val="bullet"/>
      <w:lvlText w:val="•"/>
      <w:lvlJc w:val="left"/>
      <w:pPr>
        <w:ind w:left="5921" w:hanging="529"/>
      </w:pPr>
      <w:rPr>
        <w:rFonts w:hint="default"/>
        <w:lang w:val="en-US" w:eastAsia="zh-CN" w:bidi="ar-SA"/>
      </w:rPr>
    </w:lvl>
    <w:lvl w:ilvl="5" w:tentative="0">
      <w:start w:val="0"/>
      <w:numFmt w:val="bullet"/>
      <w:lvlText w:val="•"/>
      <w:lvlJc w:val="left"/>
      <w:pPr>
        <w:ind w:left="6635" w:hanging="529"/>
      </w:pPr>
      <w:rPr>
        <w:rFonts w:hint="default"/>
        <w:lang w:val="en-US" w:eastAsia="zh-CN" w:bidi="ar-SA"/>
      </w:rPr>
    </w:lvl>
    <w:lvl w:ilvl="6" w:tentative="0">
      <w:start w:val="0"/>
      <w:numFmt w:val="bullet"/>
      <w:lvlText w:val="•"/>
      <w:lvlJc w:val="left"/>
      <w:pPr>
        <w:ind w:left="7349" w:hanging="529"/>
      </w:pPr>
      <w:rPr>
        <w:rFonts w:hint="default"/>
        <w:lang w:val="en-US" w:eastAsia="zh-CN" w:bidi="ar-SA"/>
      </w:rPr>
    </w:lvl>
    <w:lvl w:ilvl="7" w:tentative="0">
      <w:start w:val="0"/>
      <w:numFmt w:val="bullet"/>
      <w:lvlText w:val="•"/>
      <w:lvlJc w:val="left"/>
      <w:pPr>
        <w:ind w:left="8063" w:hanging="529"/>
      </w:pPr>
      <w:rPr>
        <w:rFonts w:hint="default"/>
        <w:lang w:val="en-US" w:eastAsia="zh-CN" w:bidi="ar-SA"/>
      </w:rPr>
    </w:lvl>
    <w:lvl w:ilvl="8" w:tentative="0">
      <w:start w:val="0"/>
      <w:numFmt w:val="bullet"/>
      <w:lvlText w:val="•"/>
      <w:lvlJc w:val="left"/>
      <w:pPr>
        <w:ind w:left="8777" w:hanging="529"/>
      </w:pPr>
      <w:rPr>
        <w:rFonts w:hint="default"/>
        <w:lang w:val="en-US" w:eastAsia="zh-CN" w:bidi="ar-SA"/>
      </w:rPr>
    </w:lvl>
  </w:abstractNum>
  <w:abstractNum w:abstractNumId="40">
    <w:nsid w:val="25B654F3"/>
    <w:multiLevelType w:val="multilevel"/>
    <w:tmpl w:val="25B654F3"/>
    <w:lvl w:ilvl="0" w:tentative="0">
      <w:start w:val="2"/>
      <w:numFmt w:val="decimal"/>
      <w:lvlText w:val="%1"/>
      <w:lvlJc w:val="left"/>
      <w:pPr>
        <w:ind w:left="1196" w:hanging="977"/>
        <w:jc w:val="left"/>
      </w:pPr>
      <w:rPr>
        <w:rFonts w:hint="default"/>
        <w:lang w:val="en-US" w:eastAsia="zh-CN" w:bidi="ar-SA"/>
      </w:rPr>
    </w:lvl>
    <w:lvl w:ilvl="1" w:tentative="0">
      <w:start w:val="1"/>
      <w:numFmt w:val="decimal"/>
      <w:lvlText w:val="%1.%2"/>
      <w:lvlJc w:val="left"/>
      <w:pPr>
        <w:ind w:left="1196" w:hanging="977"/>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3892" w:hanging="632"/>
        <w:jc w:val="left"/>
      </w:pPr>
      <w:rPr>
        <w:rFonts w:hint="default" w:ascii="黑体" w:hAnsi="黑体" w:eastAsia="黑体" w:cs="黑体"/>
        <w:b w:val="0"/>
        <w:bCs w:val="0"/>
        <w:i w:val="0"/>
        <w:iCs w:val="0"/>
        <w:w w:val="100"/>
        <w:sz w:val="21"/>
        <w:szCs w:val="21"/>
        <w:shd w:val="clear" w:color="auto" w:fill="D9D9D9"/>
        <w:lang w:val="en-US" w:eastAsia="zh-CN" w:bidi="ar-SA"/>
      </w:rPr>
    </w:lvl>
    <w:lvl w:ilvl="3" w:tentative="0">
      <w:start w:val="0"/>
      <w:numFmt w:val="bullet"/>
      <w:lvlText w:val="•"/>
      <w:lvlJc w:val="left"/>
      <w:pPr>
        <w:ind w:left="5301" w:hanging="632"/>
      </w:pPr>
      <w:rPr>
        <w:rFonts w:hint="default"/>
        <w:lang w:val="en-US" w:eastAsia="zh-CN" w:bidi="ar-SA"/>
      </w:rPr>
    </w:lvl>
    <w:lvl w:ilvl="4" w:tentative="0">
      <w:start w:val="0"/>
      <w:numFmt w:val="bullet"/>
      <w:lvlText w:val="•"/>
      <w:lvlJc w:val="left"/>
      <w:pPr>
        <w:ind w:left="6001" w:hanging="632"/>
      </w:pPr>
      <w:rPr>
        <w:rFonts w:hint="default"/>
        <w:lang w:val="en-US" w:eastAsia="zh-CN" w:bidi="ar-SA"/>
      </w:rPr>
    </w:lvl>
    <w:lvl w:ilvl="5" w:tentative="0">
      <w:start w:val="0"/>
      <w:numFmt w:val="bullet"/>
      <w:lvlText w:val="•"/>
      <w:lvlJc w:val="left"/>
      <w:pPr>
        <w:ind w:left="6702" w:hanging="632"/>
      </w:pPr>
      <w:rPr>
        <w:rFonts w:hint="default"/>
        <w:lang w:val="en-US" w:eastAsia="zh-CN" w:bidi="ar-SA"/>
      </w:rPr>
    </w:lvl>
    <w:lvl w:ilvl="6" w:tentative="0">
      <w:start w:val="0"/>
      <w:numFmt w:val="bullet"/>
      <w:lvlText w:val="•"/>
      <w:lvlJc w:val="left"/>
      <w:pPr>
        <w:ind w:left="7403" w:hanging="632"/>
      </w:pPr>
      <w:rPr>
        <w:rFonts w:hint="default"/>
        <w:lang w:val="en-US" w:eastAsia="zh-CN" w:bidi="ar-SA"/>
      </w:rPr>
    </w:lvl>
    <w:lvl w:ilvl="7" w:tentative="0">
      <w:start w:val="0"/>
      <w:numFmt w:val="bullet"/>
      <w:lvlText w:val="•"/>
      <w:lvlJc w:val="left"/>
      <w:pPr>
        <w:ind w:left="8103" w:hanging="632"/>
      </w:pPr>
      <w:rPr>
        <w:rFonts w:hint="default"/>
        <w:lang w:val="en-US" w:eastAsia="zh-CN" w:bidi="ar-SA"/>
      </w:rPr>
    </w:lvl>
    <w:lvl w:ilvl="8" w:tentative="0">
      <w:start w:val="0"/>
      <w:numFmt w:val="bullet"/>
      <w:lvlText w:val="•"/>
      <w:lvlJc w:val="left"/>
      <w:pPr>
        <w:ind w:left="8804" w:hanging="632"/>
      </w:pPr>
      <w:rPr>
        <w:rFonts w:hint="default"/>
        <w:lang w:val="en-US" w:eastAsia="zh-CN" w:bidi="ar-SA"/>
      </w:rPr>
    </w:lvl>
  </w:abstractNum>
  <w:abstractNum w:abstractNumId="41">
    <w:nsid w:val="2A8F537B"/>
    <w:multiLevelType w:val="multilevel"/>
    <w:tmpl w:val="2A8F537B"/>
    <w:lvl w:ilvl="0" w:tentative="0">
      <w:start w:val="4"/>
      <w:numFmt w:val="decimal"/>
      <w:lvlText w:val="%1"/>
      <w:lvlJc w:val="left"/>
      <w:pPr>
        <w:ind w:left="1196" w:hanging="977"/>
        <w:jc w:val="left"/>
      </w:pPr>
      <w:rPr>
        <w:rFonts w:hint="default"/>
        <w:lang w:val="en-US" w:eastAsia="zh-CN" w:bidi="ar-SA"/>
      </w:rPr>
    </w:lvl>
    <w:lvl w:ilvl="1" w:tentative="0">
      <w:start w:val="1"/>
      <w:numFmt w:val="decimal"/>
      <w:lvlText w:val="%1.%2"/>
      <w:lvlJc w:val="left"/>
      <w:pPr>
        <w:ind w:left="1196" w:hanging="977"/>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3001" w:hanging="977"/>
      </w:pPr>
      <w:rPr>
        <w:rFonts w:hint="default"/>
        <w:lang w:val="en-US" w:eastAsia="zh-CN" w:bidi="ar-SA"/>
      </w:rPr>
    </w:lvl>
    <w:lvl w:ilvl="3" w:tentative="0">
      <w:start w:val="0"/>
      <w:numFmt w:val="bullet"/>
      <w:lvlText w:val="•"/>
      <w:lvlJc w:val="left"/>
      <w:pPr>
        <w:ind w:left="3901" w:hanging="977"/>
      </w:pPr>
      <w:rPr>
        <w:rFonts w:hint="default"/>
        <w:lang w:val="en-US" w:eastAsia="zh-CN" w:bidi="ar-SA"/>
      </w:rPr>
    </w:lvl>
    <w:lvl w:ilvl="4" w:tentative="0">
      <w:start w:val="0"/>
      <w:numFmt w:val="bullet"/>
      <w:lvlText w:val="•"/>
      <w:lvlJc w:val="left"/>
      <w:pPr>
        <w:ind w:left="4802" w:hanging="977"/>
      </w:pPr>
      <w:rPr>
        <w:rFonts w:hint="default"/>
        <w:lang w:val="en-US" w:eastAsia="zh-CN" w:bidi="ar-SA"/>
      </w:rPr>
    </w:lvl>
    <w:lvl w:ilvl="5" w:tentative="0">
      <w:start w:val="0"/>
      <w:numFmt w:val="bullet"/>
      <w:lvlText w:val="•"/>
      <w:lvlJc w:val="left"/>
      <w:pPr>
        <w:ind w:left="5702" w:hanging="977"/>
      </w:pPr>
      <w:rPr>
        <w:rFonts w:hint="default"/>
        <w:lang w:val="en-US" w:eastAsia="zh-CN" w:bidi="ar-SA"/>
      </w:rPr>
    </w:lvl>
    <w:lvl w:ilvl="6" w:tentative="0">
      <w:start w:val="0"/>
      <w:numFmt w:val="bullet"/>
      <w:lvlText w:val="•"/>
      <w:lvlJc w:val="left"/>
      <w:pPr>
        <w:ind w:left="6603" w:hanging="977"/>
      </w:pPr>
      <w:rPr>
        <w:rFonts w:hint="default"/>
        <w:lang w:val="en-US" w:eastAsia="zh-CN" w:bidi="ar-SA"/>
      </w:rPr>
    </w:lvl>
    <w:lvl w:ilvl="7" w:tentative="0">
      <w:start w:val="0"/>
      <w:numFmt w:val="bullet"/>
      <w:lvlText w:val="•"/>
      <w:lvlJc w:val="left"/>
      <w:pPr>
        <w:ind w:left="7503" w:hanging="977"/>
      </w:pPr>
      <w:rPr>
        <w:rFonts w:hint="default"/>
        <w:lang w:val="en-US" w:eastAsia="zh-CN" w:bidi="ar-SA"/>
      </w:rPr>
    </w:lvl>
    <w:lvl w:ilvl="8" w:tentative="0">
      <w:start w:val="0"/>
      <w:numFmt w:val="bullet"/>
      <w:lvlText w:val="•"/>
      <w:lvlJc w:val="left"/>
      <w:pPr>
        <w:ind w:left="8404" w:hanging="977"/>
      </w:pPr>
      <w:rPr>
        <w:rFonts w:hint="default"/>
        <w:lang w:val="en-US" w:eastAsia="zh-CN" w:bidi="ar-SA"/>
      </w:rPr>
    </w:lvl>
  </w:abstractNum>
  <w:abstractNum w:abstractNumId="42">
    <w:nsid w:val="30FC5B15"/>
    <w:multiLevelType w:val="multilevel"/>
    <w:tmpl w:val="30FC5B15"/>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64" w:hanging="529"/>
      </w:pPr>
      <w:rPr>
        <w:rFonts w:hint="default"/>
        <w:lang w:val="en-US" w:eastAsia="zh-CN" w:bidi="ar-SA"/>
      </w:rPr>
    </w:lvl>
    <w:lvl w:ilvl="2" w:tentative="0">
      <w:start w:val="0"/>
      <w:numFmt w:val="bullet"/>
      <w:lvlText w:val="•"/>
      <w:lvlJc w:val="left"/>
      <w:pPr>
        <w:ind w:left="1888" w:hanging="529"/>
      </w:pPr>
      <w:rPr>
        <w:rFonts w:hint="default"/>
        <w:lang w:val="en-US" w:eastAsia="zh-CN" w:bidi="ar-SA"/>
      </w:rPr>
    </w:lvl>
    <w:lvl w:ilvl="3" w:tentative="0">
      <w:start w:val="0"/>
      <w:numFmt w:val="bullet"/>
      <w:lvlText w:val="•"/>
      <w:lvlJc w:val="left"/>
      <w:pPr>
        <w:ind w:left="2512" w:hanging="529"/>
      </w:pPr>
      <w:rPr>
        <w:rFonts w:hint="default"/>
        <w:lang w:val="en-US" w:eastAsia="zh-CN" w:bidi="ar-SA"/>
      </w:rPr>
    </w:lvl>
    <w:lvl w:ilvl="4" w:tentative="0">
      <w:start w:val="0"/>
      <w:numFmt w:val="bullet"/>
      <w:lvlText w:val="•"/>
      <w:lvlJc w:val="left"/>
      <w:pPr>
        <w:ind w:left="3136" w:hanging="529"/>
      </w:pPr>
      <w:rPr>
        <w:rFonts w:hint="default"/>
        <w:lang w:val="en-US" w:eastAsia="zh-CN" w:bidi="ar-SA"/>
      </w:rPr>
    </w:lvl>
    <w:lvl w:ilvl="5" w:tentative="0">
      <w:start w:val="0"/>
      <w:numFmt w:val="bullet"/>
      <w:lvlText w:val="•"/>
      <w:lvlJc w:val="left"/>
      <w:pPr>
        <w:ind w:left="3760" w:hanging="529"/>
      </w:pPr>
      <w:rPr>
        <w:rFonts w:hint="default"/>
        <w:lang w:val="en-US" w:eastAsia="zh-CN" w:bidi="ar-SA"/>
      </w:rPr>
    </w:lvl>
    <w:lvl w:ilvl="6" w:tentative="0">
      <w:start w:val="0"/>
      <w:numFmt w:val="bullet"/>
      <w:lvlText w:val="•"/>
      <w:lvlJc w:val="left"/>
      <w:pPr>
        <w:ind w:left="4384" w:hanging="529"/>
      </w:pPr>
      <w:rPr>
        <w:rFonts w:hint="default"/>
        <w:lang w:val="en-US" w:eastAsia="zh-CN" w:bidi="ar-SA"/>
      </w:rPr>
    </w:lvl>
    <w:lvl w:ilvl="7" w:tentative="0">
      <w:start w:val="0"/>
      <w:numFmt w:val="bullet"/>
      <w:lvlText w:val="•"/>
      <w:lvlJc w:val="left"/>
      <w:pPr>
        <w:ind w:left="5008" w:hanging="529"/>
      </w:pPr>
      <w:rPr>
        <w:rFonts w:hint="default"/>
        <w:lang w:val="en-US" w:eastAsia="zh-CN" w:bidi="ar-SA"/>
      </w:rPr>
    </w:lvl>
    <w:lvl w:ilvl="8" w:tentative="0">
      <w:start w:val="0"/>
      <w:numFmt w:val="bullet"/>
      <w:lvlText w:val="•"/>
      <w:lvlJc w:val="left"/>
      <w:pPr>
        <w:ind w:left="5632" w:hanging="529"/>
      </w:pPr>
      <w:rPr>
        <w:rFonts w:hint="default"/>
        <w:lang w:val="en-US" w:eastAsia="zh-CN" w:bidi="ar-SA"/>
      </w:rPr>
    </w:lvl>
  </w:abstractNum>
  <w:abstractNum w:abstractNumId="43">
    <w:nsid w:val="322D85CA"/>
    <w:multiLevelType w:val="multilevel"/>
    <w:tmpl w:val="322D85CA"/>
    <w:lvl w:ilvl="0" w:tentative="0">
      <w:start w:val="1"/>
      <w:numFmt w:val="decimal"/>
      <w:lvlText w:val="（%1）"/>
      <w:lvlJc w:val="left"/>
      <w:pPr>
        <w:ind w:left="3789"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4422" w:hanging="529"/>
      </w:pPr>
      <w:rPr>
        <w:rFonts w:hint="default"/>
        <w:lang w:val="en-US" w:eastAsia="zh-CN" w:bidi="ar-SA"/>
      </w:rPr>
    </w:lvl>
    <w:lvl w:ilvl="2" w:tentative="0">
      <w:start w:val="0"/>
      <w:numFmt w:val="bullet"/>
      <w:lvlText w:val="•"/>
      <w:lvlJc w:val="left"/>
      <w:pPr>
        <w:ind w:left="5065" w:hanging="529"/>
      </w:pPr>
      <w:rPr>
        <w:rFonts w:hint="default"/>
        <w:lang w:val="en-US" w:eastAsia="zh-CN" w:bidi="ar-SA"/>
      </w:rPr>
    </w:lvl>
    <w:lvl w:ilvl="3" w:tentative="0">
      <w:start w:val="0"/>
      <w:numFmt w:val="bullet"/>
      <w:lvlText w:val="•"/>
      <w:lvlJc w:val="left"/>
      <w:pPr>
        <w:ind w:left="5707" w:hanging="529"/>
      </w:pPr>
      <w:rPr>
        <w:rFonts w:hint="default"/>
        <w:lang w:val="en-US" w:eastAsia="zh-CN" w:bidi="ar-SA"/>
      </w:rPr>
    </w:lvl>
    <w:lvl w:ilvl="4" w:tentative="0">
      <w:start w:val="0"/>
      <w:numFmt w:val="bullet"/>
      <w:lvlText w:val="•"/>
      <w:lvlJc w:val="left"/>
      <w:pPr>
        <w:ind w:left="6350" w:hanging="529"/>
      </w:pPr>
      <w:rPr>
        <w:rFonts w:hint="default"/>
        <w:lang w:val="en-US" w:eastAsia="zh-CN" w:bidi="ar-SA"/>
      </w:rPr>
    </w:lvl>
    <w:lvl w:ilvl="5" w:tentative="0">
      <w:start w:val="0"/>
      <w:numFmt w:val="bullet"/>
      <w:lvlText w:val="•"/>
      <w:lvlJc w:val="left"/>
      <w:pPr>
        <w:ind w:left="6992" w:hanging="529"/>
      </w:pPr>
      <w:rPr>
        <w:rFonts w:hint="default"/>
        <w:lang w:val="en-US" w:eastAsia="zh-CN" w:bidi="ar-SA"/>
      </w:rPr>
    </w:lvl>
    <w:lvl w:ilvl="6" w:tentative="0">
      <w:start w:val="0"/>
      <w:numFmt w:val="bullet"/>
      <w:lvlText w:val="•"/>
      <w:lvlJc w:val="left"/>
      <w:pPr>
        <w:ind w:left="7635" w:hanging="529"/>
      </w:pPr>
      <w:rPr>
        <w:rFonts w:hint="default"/>
        <w:lang w:val="en-US" w:eastAsia="zh-CN" w:bidi="ar-SA"/>
      </w:rPr>
    </w:lvl>
    <w:lvl w:ilvl="7" w:tentative="0">
      <w:start w:val="0"/>
      <w:numFmt w:val="bullet"/>
      <w:lvlText w:val="•"/>
      <w:lvlJc w:val="left"/>
      <w:pPr>
        <w:ind w:left="8277" w:hanging="529"/>
      </w:pPr>
      <w:rPr>
        <w:rFonts w:hint="default"/>
        <w:lang w:val="en-US" w:eastAsia="zh-CN" w:bidi="ar-SA"/>
      </w:rPr>
    </w:lvl>
    <w:lvl w:ilvl="8" w:tentative="0">
      <w:start w:val="0"/>
      <w:numFmt w:val="bullet"/>
      <w:lvlText w:val="•"/>
      <w:lvlJc w:val="left"/>
      <w:pPr>
        <w:ind w:left="8920" w:hanging="529"/>
      </w:pPr>
      <w:rPr>
        <w:rFonts w:hint="default"/>
        <w:lang w:val="en-US" w:eastAsia="zh-CN" w:bidi="ar-SA"/>
      </w:rPr>
    </w:lvl>
  </w:abstractNum>
  <w:abstractNum w:abstractNumId="44">
    <w:nsid w:val="32A7AF2D"/>
    <w:multiLevelType w:val="multilevel"/>
    <w:tmpl w:val="32A7AF2D"/>
    <w:lvl w:ilvl="0" w:tentative="0">
      <w:start w:val="1"/>
      <w:numFmt w:val="decimal"/>
      <w:lvlText w:val="（%1）"/>
      <w:lvlJc w:val="left"/>
      <w:pPr>
        <w:ind w:left="3789"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4422" w:hanging="529"/>
      </w:pPr>
      <w:rPr>
        <w:rFonts w:hint="default"/>
        <w:lang w:val="en-US" w:eastAsia="zh-CN" w:bidi="ar-SA"/>
      </w:rPr>
    </w:lvl>
    <w:lvl w:ilvl="2" w:tentative="0">
      <w:start w:val="0"/>
      <w:numFmt w:val="bullet"/>
      <w:lvlText w:val="•"/>
      <w:lvlJc w:val="left"/>
      <w:pPr>
        <w:ind w:left="5065" w:hanging="529"/>
      </w:pPr>
      <w:rPr>
        <w:rFonts w:hint="default"/>
        <w:lang w:val="en-US" w:eastAsia="zh-CN" w:bidi="ar-SA"/>
      </w:rPr>
    </w:lvl>
    <w:lvl w:ilvl="3" w:tentative="0">
      <w:start w:val="0"/>
      <w:numFmt w:val="bullet"/>
      <w:lvlText w:val="•"/>
      <w:lvlJc w:val="left"/>
      <w:pPr>
        <w:ind w:left="5707" w:hanging="529"/>
      </w:pPr>
      <w:rPr>
        <w:rFonts w:hint="default"/>
        <w:lang w:val="en-US" w:eastAsia="zh-CN" w:bidi="ar-SA"/>
      </w:rPr>
    </w:lvl>
    <w:lvl w:ilvl="4" w:tentative="0">
      <w:start w:val="0"/>
      <w:numFmt w:val="bullet"/>
      <w:lvlText w:val="•"/>
      <w:lvlJc w:val="left"/>
      <w:pPr>
        <w:ind w:left="6350" w:hanging="529"/>
      </w:pPr>
      <w:rPr>
        <w:rFonts w:hint="default"/>
        <w:lang w:val="en-US" w:eastAsia="zh-CN" w:bidi="ar-SA"/>
      </w:rPr>
    </w:lvl>
    <w:lvl w:ilvl="5" w:tentative="0">
      <w:start w:val="0"/>
      <w:numFmt w:val="bullet"/>
      <w:lvlText w:val="•"/>
      <w:lvlJc w:val="left"/>
      <w:pPr>
        <w:ind w:left="6992" w:hanging="529"/>
      </w:pPr>
      <w:rPr>
        <w:rFonts w:hint="default"/>
        <w:lang w:val="en-US" w:eastAsia="zh-CN" w:bidi="ar-SA"/>
      </w:rPr>
    </w:lvl>
    <w:lvl w:ilvl="6" w:tentative="0">
      <w:start w:val="0"/>
      <w:numFmt w:val="bullet"/>
      <w:lvlText w:val="•"/>
      <w:lvlJc w:val="left"/>
      <w:pPr>
        <w:ind w:left="7635" w:hanging="529"/>
      </w:pPr>
      <w:rPr>
        <w:rFonts w:hint="default"/>
        <w:lang w:val="en-US" w:eastAsia="zh-CN" w:bidi="ar-SA"/>
      </w:rPr>
    </w:lvl>
    <w:lvl w:ilvl="7" w:tentative="0">
      <w:start w:val="0"/>
      <w:numFmt w:val="bullet"/>
      <w:lvlText w:val="•"/>
      <w:lvlJc w:val="left"/>
      <w:pPr>
        <w:ind w:left="8277" w:hanging="529"/>
      </w:pPr>
      <w:rPr>
        <w:rFonts w:hint="default"/>
        <w:lang w:val="en-US" w:eastAsia="zh-CN" w:bidi="ar-SA"/>
      </w:rPr>
    </w:lvl>
    <w:lvl w:ilvl="8" w:tentative="0">
      <w:start w:val="0"/>
      <w:numFmt w:val="bullet"/>
      <w:lvlText w:val="•"/>
      <w:lvlJc w:val="left"/>
      <w:pPr>
        <w:ind w:left="8920" w:hanging="529"/>
      </w:pPr>
      <w:rPr>
        <w:rFonts w:hint="default"/>
        <w:lang w:val="en-US" w:eastAsia="zh-CN" w:bidi="ar-SA"/>
      </w:rPr>
    </w:lvl>
  </w:abstractNum>
  <w:abstractNum w:abstractNumId="45">
    <w:nsid w:val="35E83B33"/>
    <w:multiLevelType w:val="multilevel"/>
    <w:tmpl w:val="35E83B33"/>
    <w:lvl w:ilvl="0" w:tentative="0">
      <w:start w:val="1"/>
      <w:numFmt w:val="decimal"/>
      <w:lvlText w:val="（%1）"/>
      <w:lvlJc w:val="left"/>
      <w:pPr>
        <w:ind w:left="702"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41" w:hanging="529"/>
      </w:pPr>
      <w:rPr>
        <w:rFonts w:hint="default"/>
        <w:lang w:val="en-US" w:eastAsia="zh-CN" w:bidi="ar-SA"/>
      </w:rPr>
    </w:lvl>
    <w:lvl w:ilvl="2" w:tentative="0">
      <w:start w:val="0"/>
      <w:numFmt w:val="bullet"/>
      <w:lvlText w:val="•"/>
      <w:lvlJc w:val="left"/>
      <w:pPr>
        <w:ind w:left="1983" w:hanging="529"/>
      </w:pPr>
      <w:rPr>
        <w:rFonts w:hint="default"/>
        <w:lang w:val="en-US" w:eastAsia="zh-CN" w:bidi="ar-SA"/>
      </w:rPr>
    </w:lvl>
    <w:lvl w:ilvl="3" w:tentative="0">
      <w:start w:val="0"/>
      <w:numFmt w:val="bullet"/>
      <w:lvlText w:val="•"/>
      <w:lvlJc w:val="left"/>
      <w:pPr>
        <w:ind w:left="2625" w:hanging="529"/>
      </w:pPr>
      <w:rPr>
        <w:rFonts w:hint="default"/>
        <w:lang w:val="en-US" w:eastAsia="zh-CN" w:bidi="ar-SA"/>
      </w:rPr>
    </w:lvl>
    <w:lvl w:ilvl="4" w:tentative="0">
      <w:start w:val="0"/>
      <w:numFmt w:val="bullet"/>
      <w:lvlText w:val="•"/>
      <w:lvlJc w:val="left"/>
      <w:pPr>
        <w:ind w:left="3267" w:hanging="529"/>
      </w:pPr>
      <w:rPr>
        <w:rFonts w:hint="default"/>
        <w:lang w:val="en-US" w:eastAsia="zh-CN" w:bidi="ar-SA"/>
      </w:rPr>
    </w:lvl>
    <w:lvl w:ilvl="5" w:tentative="0">
      <w:start w:val="0"/>
      <w:numFmt w:val="bullet"/>
      <w:lvlText w:val="•"/>
      <w:lvlJc w:val="left"/>
      <w:pPr>
        <w:ind w:left="3909" w:hanging="529"/>
      </w:pPr>
      <w:rPr>
        <w:rFonts w:hint="default"/>
        <w:lang w:val="en-US" w:eastAsia="zh-CN" w:bidi="ar-SA"/>
      </w:rPr>
    </w:lvl>
    <w:lvl w:ilvl="6" w:tentative="0">
      <w:start w:val="0"/>
      <w:numFmt w:val="bullet"/>
      <w:lvlText w:val="•"/>
      <w:lvlJc w:val="left"/>
      <w:pPr>
        <w:ind w:left="4550" w:hanging="529"/>
      </w:pPr>
      <w:rPr>
        <w:rFonts w:hint="default"/>
        <w:lang w:val="en-US" w:eastAsia="zh-CN" w:bidi="ar-SA"/>
      </w:rPr>
    </w:lvl>
    <w:lvl w:ilvl="7" w:tentative="0">
      <w:start w:val="0"/>
      <w:numFmt w:val="bullet"/>
      <w:lvlText w:val="•"/>
      <w:lvlJc w:val="left"/>
      <w:pPr>
        <w:ind w:left="5192" w:hanging="529"/>
      </w:pPr>
      <w:rPr>
        <w:rFonts w:hint="default"/>
        <w:lang w:val="en-US" w:eastAsia="zh-CN" w:bidi="ar-SA"/>
      </w:rPr>
    </w:lvl>
    <w:lvl w:ilvl="8" w:tentative="0">
      <w:start w:val="0"/>
      <w:numFmt w:val="bullet"/>
      <w:lvlText w:val="•"/>
      <w:lvlJc w:val="left"/>
      <w:pPr>
        <w:ind w:left="5834" w:hanging="529"/>
      </w:pPr>
      <w:rPr>
        <w:rFonts w:hint="default"/>
        <w:lang w:val="en-US" w:eastAsia="zh-CN" w:bidi="ar-SA"/>
      </w:rPr>
    </w:lvl>
  </w:abstractNum>
  <w:abstractNum w:abstractNumId="46">
    <w:nsid w:val="39A0D9AC"/>
    <w:multiLevelType w:val="multilevel"/>
    <w:tmpl w:val="39A0D9AC"/>
    <w:lvl w:ilvl="0" w:tentative="0">
      <w:start w:val="1"/>
      <w:numFmt w:val="decimal"/>
      <w:lvlText w:val="（%1）"/>
      <w:lvlJc w:val="left"/>
      <w:pPr>
        <w:ind w:left="804" w:hanging="632"/>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431" w:hanging="632"/>
      </w:pPr>
      <w:rPr>
        <w:rFonts w:hint="default"/>
        <w:lang w:val="en-US" w:eastAsia="zh-CN" w:bidi="ar-SA"/>
      </w:rPr>
    </w:lvl>
    <w:lvl w:ilvl="2" w:tentative="0">
      <w:start w:val="0"/>
      <w:numFmt w:val="bullet"/>
      <w:lvlText w:val="•"/>
      <w:lvlJc w:val="left"/>
      <w:pPr>
        <w:ind w:left="2063" w:hanging="632"/>
      </w:pPr>
      <w:rPr>
        <w:rFonts w:hint="default"/>
        <w:lang w:val="en-US" w:eastAsia="zh-CN" w:bidi="ar-SA"/>
      </w:rPr>
    </w:lvl>
    <w:lvl w:ilvl="3" w:tentative="0">
      <w:start w:val="0"/>
      <w:numFmt w:val="bullet"/>
      <w:lvlText w:val="•"/>
      <w:lvlJc w:val="left"/>
      <w:pPr>
        <w:ind w:left="2695" w:hanging="632"/>
      </w:pPr>
      <w:rPr>
        <w:rFonts w:hint="default"/>
        <w:lang w:val="en-US" w:eastAsia="zh-CN" w:bidi="ar-SA"/>
      </w:rPr>
    </w:lvl>
    <w:lvl w:ilvl="4" w:tentative="0">
      <w:start w:val="0"/>
      <w:numFmt w:val="bullet"/>
      <w:lvlText w:val="•"/>
      <w:lvlJc w:val="left"/>
      <w:pPr>
        <w:ind w:left="3327" w:hanging="632"/>
      </w:pPr>
      <w:rPr>
        <w:rFonts w:hint="default"/>
        <w:lang w:val="en-US" w:eastAsia="zh-CN" w:bidi="ar-SA"/>
      </w:rPr>
    </w:lvl>
    <w:lvl w:ilvl="5" w:tentative="0">
      <w:start w:val="0"/>
      <w:numFmt w:val="bullet"/>
      <w:lvlText w:val="•"/>
      <w:lvlJc w:val="left"/>
      <w:pPr>
        <w:ind w:left="3959" w:hanging="632"/>
      </w:pPr>
      <w:rPr>
        <w:rFonts w:hint="default"/>
        <w:lang w:val="en-US" w:eastAsia="zh-CN" w:bidi="ar-SA"/>
      </w:rPr>
    </w:lvl>
    <w:lvl w:ilvl="6" w:tentative="0">
      <w:start w:val="0"/>
      <w:numFmt w:val="bullet"/>
      <w:lvlText w:val="•"/>
      <w:lvlJc w:val="left"/>
      <w:pPr>
        <w:ind w:left="4590" w:hanging="632"/>
      </w:pPr>
      <w:rPr>
        <w:rFonts w:hint="default"/>
        <w:lang w:val="en-US" w:eastAsia="zh-CN" w:bidi="ar-SA"/>
      </w:rPr>
    </w:lvl>
    <w:lvl w:ilvl="7" w:tentative="0">
      <w:start w:val="0"/>
      <w:numFmt w:val="bullet"/>
      <w:lvlText w:val="•"/>
      <w:lvlJc w:val="left"/>
      <w:pPr>
        <w:ind w:left="5222" w:hanging="632"/>
      </w:pPr>
      <w:rPr>
        <w:rFonts w:hint="default"/>
        <w:lang w:val="en-US" w:eastAsia="zh-CN" w:bidi="ar-SA"/>
      </w:rPr>
    </w:lvl>
    <w:lvl w:ilvl="8" w:tentative="0">
      <w:start w:val="0"/>
      <w:numFmt w:val="bullet"/>
      <w:lvlText w:val="•"/>
      <w:lvlJc w:val="left"/>
      <w:pPr>
        <w:ind w:left="5854" w:hanging="632"/>
      </w:pPr>
      <w:rPr>
        <w:rFonts w:hint="default"/>
        <w:lang w:val="en-US" w:eastAsia="zh-CN" w:bidi="ar-SA"/>
      </w:rPr>
    </w:lvl>
  </w:abstractNum>
  <w:abstractNum w:abstractNumId="47">
    <w:nsid w:val="40B249F9"/>
    <w:multiLevelType w:val="multilevel"/>
    <w:tmpl w:val="40B249F9"/>
    <w:lvl w:ilvl="0" w:tentative="0">
      <w:start w:val="1"/>
      <w:numFmt w:val="decimal"/>
      <w:lvlText w:val="（%1）"/>
      <w:lvlJc w:val="left"/>
      <w:pPr>
        <w:ind w:left="3789"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4422" w:hanging="529"/>
      </w:pPr>
      <w:rPr>
        <w:rFonts w:hint="default"/>
        <w:lang w:val="en-US" w:eastAsia="zh-CN" w:bidi="ar-SA"/>
      </w:rPr>
    </w:lvl>
    <w:lvl w:ilvl="2" w:tentative="0">
      <w:start w:val="0"/>
      <w:numFmt w:val="bullet"/>
      <w:lvlText w:val="•"/>
      <w:lvlJc w:val="left"/>
      <w:pPr>
        <w:ind w:left="5065" w:hanging="529"/>
      </w:pPr>
      <w:rPr>
        <w:rFonts w:hint="default"/>
        <w:lang w:val="en-US" w:eastAsia="zh-CN" w:bidi="ar-SA"/>
      </w:rPr>
    </w:lvl>
    <w:lvl w:ilvl="3" w:tentative="0">
      <w:start w:val="0"/>
      <w:numFmt w:val="bullet"/>
      <w:lvlText w:val="•"/>
      <w:lvlJc w:val="left"/>
      <w:pPr>
        <w:ind w:left="5707" w:hanging="529"/>
      </w:pPr>
      <w:rPr>
        <w:rFonts w:hint="default"/>
        <w:lang w:val="en-US" w:eastAsia="zh-CN" w:bidi="ar-SA"/>
      </w:rPr>
    </w:lvl>
    <w:lvl w:ilvl="4" w:tentative="0">
      <w:start w:val="0"/>
      <w:numFmt w:val="bullet"/>
      <w:lvlText w:val="•"/>
      <w:lvlJc w:val="left"/>
      <w:pPr>
        <w:ind w:left="6350" w:hanging="529"/>
      </w:pPr>
      <w:rPr>
        <w:rFonts w:hint="default"/>
        <w:lang w:val="en-US" w:eastAsia="zh-CN" w:bidi="ar-SA"/>
      </w:rPr>
    </w:lvl>
    <w:lvl w:ilvl="5" w:tentative="0">
      <w:start w:val="0"/>
      <w:numFmt w:val="bullet"/>
      <w:lvlText w:val="•"/>
      <w:lvlJc w:val="left"/>
      <w:pPr>
        <w:ind w:left="6992" w:hanging="529"/>
      </w:pPr>
      <w:rPr>
        <w:rFonts w:hint="default"/>
        <w:lang w:val="en-US" w:eastAsia="zh-CN" w:bidi="ar-SA"/>
      </w:rPr>
    </w:lvl>
    <w:lvl w:ilvl="6" w:tentative="0">
      <w:start w:val="0"/>
      <w:numFmt w:val="bullet"/>
      <w:lvlText w:val="•"/>
      <w:lvlJc w:val="left"/>
      <w:pPr>
        <w:ind w:left="7635" w:hanging="529"/>
      </w:pPr>
      <w:rPr>
        <w:rFonts w:hint="default"/>
        <w:lang w:val="en-US" w:eastAsia="zh-CN" w:bidi="ar-SA"/>
      </w:rPr>
    </w:lvl>
    <w:lvl w:ilvl="7" w:tentative="0">
      <w:start w:val="0"/>
      <w:numFmt w:val="bullet"/>
      <w:lvlText w:val="•"/>
      <w:lvlJc w:val="left"/>
      <w:pPr>
        <w:ind w:left="8277" w:hanging="529"/>
      </w:pPr>
      <w:rPr>
        <w:rFonts w:hint="default"/>
        <w:lang w:val="en-US" w:eastAsia="zh-CN" w:bidi="ar-SA"/>
      </w:rPr>
    </w:lvl>
    <w:lvl w:ilvl="8" w:tentative="0">
      <w:start w:val="0"/>
      <w:numFmt w:val="bullet"/>
      <w:lvlText w:val="•"/>
      <w:lvlJc w:val="left"/>
      <w:pPr>
        <w:ind w:left="8920" w:hanging="529"/>
      </w:pPr>
      <w:rPr>
        <w:rFonts w:hint="default"/>
        <w:lang w:val="en-US" w:eastAsia="zh-CN" w:bidi="ar-SA"/>
      </w:rPr>
    </w:lvl>
  </w:abstractNum>
  <w:abstractNum w:abstractNumId="48">
    <w:nsid w:val="46A08BB8"/>
    <w:multiLevelType w:val="multilevel"/>
    <w:tmpl w:val="46A08BB8"/>
    <w:lvl w:ilvl="0" w:tentative="0">
      <w:start w:val="3"/>
      <w:numFmt w:val="decimal"/>
      <w:lvlText w:val="（%1）"/>
      <w:lvlJc w:val="left"/>
      <w:pPr>
        <w:ind w:left="738" w:hanging="632"/>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352" w:hanging="632"/>
      </w:pPr>
      <w:rPr>
        <w:rFonts w:hint="default"/>
        <w:lang w:val="en-US" w:eastAsia="zh-CN" w:bidi="ar-SA"/>
      </w:rPr>
    </w:lvl>
    <w:lvl w:ilvl="2" w:tentative="0">
      <w:start w:val="0"/>
      <w:numFmt w:val="bullet"/>
      <w:lvlText w:val="•"/>
      <w:lvlJc w:val="left"/>
      <w:pPr>
        <w:ind w:left="1964" w:hanging="632"/>
      </w:pPr>
      <w:rPr>
        <w:rFonts w:hint="default"/>
        <w:lang w:val="en-US" w:eastAsia="zh-CN" w:bidi="ar-SA"/>
      </w:rPr>
    </w:lvl>
    <w:lvl w:ilvl="3" w:tentative="0">
      <w:start w:val="0"/>
      <w:numFmt w:val="bullet"/>
      <w:lvlText w:val="•"/>
      <w:lvlJc w:val="left"/>
      <w:pPr>
        <w:ind w:left="2577" w:hanging="632"/>
      </w:pPr>
      <w:rPr>
        <w:rFonts w:hint="default"/>
        <w:lang w:val="en-US" w:eastAsia="zh-CN" w:bidi="ar-SA"/>
      </w:rPr>
    </w:lvl>
    <w:lvl w:ilvl="4" w:tentative="0">
      <w:start w:val="0"/>
      <w:numFmt w:val="bullet"/>
      <w:lvlText w:val="•"/>
      <w:lvlJc w:val="left"/>
      <w:pPr>
        <w:ind w:left="3189" w:hanging="632"/>
      </w:pPr>
      <w:rPr>
        <w:rFonts w:hint="default"/>
        <w:lang w:val="en-US" w:eastAsia="zh-CN" w:bidi="ar-SA"/>
      </w:rPr>
    </w:lvl>
    <w:lvl w:ilvl="5" w:tentative="0">
      <w:start w:val="0"/>
      <w:numFmt w:val="bullet"/>
      <w:lvlText w:val="•"/>
      <w:lvlJc w:val="left"/>
      <w:pPr>
        <w:ind w:left="3802" w:hanging="632"/>
      </w:pPr>
      <w:rPr>
        <w:rFonts w:hint="default"/>
        <w:lang w:val="en-US" w:eastAsia="zh-CN" w:bidi="ar-SA"/>
      </w:rPr>
    </w:lvl>
    <w:lvl w:ilvl="6" w:tentative="0">
      <w:start w:val="0"/>
      <w:numFmt w:val="bullet"/>
      <w:lvlText w:val="•"/>
      <w:lvlJc w:val="left"/>
      <w:pPr>
        <w:ind w:left="4414" w:hanging="632"/>
      </w:pPr>
      <w:rPr>
        <w:rFonts w:hint="default"/>
        <w:lang w:val="en-US" w:eastAsia="zh-CN" w:bidi="ar-SA"/>
      </w:rPr>
    </w:lvl>
    <w:lvl w:ilvl="7" w:tentative="0">
      <w:start w:val="0"/>
      <w:numFmt w:val="bullet"/>
      <w:lvlText w:val="•"/>
      <w:lvlJc w:val="left"/>
      <w:pPr>
        <w:ind w:left="5026" w:hanging="632"/>
      </w:pPr>
      <w:rPr>
        <w:rFonts w:hint="default"/>
        <w:lang w:val="en-US" w:eastAsia="zh-CN" w:bidi="ar-SA"/>
      </w:rPr>
    </w:lvl>
    <w:lvl w:ilvl="8" w:tentative="0">
      <w:start w:val="0"/>
      <w:numFmt w:val="bullet"/>
      <w:lvlText w:val="•"/>
      <w:lvlJc w:val="left"/>
      <w:pPr>
        <w:ind w:left="5639" w:hanging="632"/>
      </w:pPr>
      <w:rPr>
        <w:rFonts w:hint="default"/>
        <w:lang w:val="en-US" w:eastAsia="zh-CN" w:bidi="ar-SA"/>
      </w:rPr>
    </w:lvl>
  </w:abstractNum>
  <w:abstractNum w:abstractNumId="49">
    <w:nsid w:val="4C1BAE26"/>
    <w:multiLevelType w:val="multilevel"/>
    <w:tmpl w:val="4C1BAE26"/>
    <w:lvl w:ilvl="0" w:tentative="0">
      <w:start w:val="1"/>
      <w:numFmt w:val="decimal"/>
      <w:lvlText w:val="（%1）"/>
      <w:lvlJc w:val="left"/>
      <w:pPr>
        <w:ind w:left="897" w:hanging="453"/>
        <w:jc w:val="left"/>
      </w:pPr>
      <w:rPr>
        <w:rFonts w:hint="default" w:ascii="宋体" w:hAnsi="宋体" w:eastAsia="宋体" w:cs="宋体"/>
        <w:b w:val="0"/>
        <w:bCs w:val="0"/>
        <w:i w:val="0"/>
        <w:iCs w:val="0"/>
        <w:w w:val="100"/>
        <w:sz w:val="16"/>
        <w:szCs w:val="16"/>
        <w:lang w:val="en-US" w:eastAsia="zh-CN" w:bidi="ar-SA"/>
      </w:rPr>
    </w:lvl>
    <w:lvl w:ilvl="1" w:tentative="0">
      <w:start w:val="0"/>
      <w:numFmt w:val="bullet"/>
      <w:lvlText w:val="•"/>
      <w:lvlJc w:val="left"/>
      <w:pPr>
        <w:ind w:left="1830" w:hanging="453"/>
      </w:pPr>
      <w:rPr>
        <w:rFonts w:hint="default"/>
        <w:lang w:val="en-US" w:eastAsia="zh-CN" w:bidi="ar-SA"/>
      </w:rPr>
    </w:lvl>
    <w:lvl w:ilvl="2" w:tentative="0">
      <w:start w:val="0"/>
      <w:numFmt w:val="bullet"/>
      <w:lvlText w:val="•"/>
      <w:lvlJc w:val="left"/>
      <w:pPr>
        <w:ind w:left="2761" w:hanging="453"/>
      </w:pPr>
      <w:rPr>
        <w:rFonts w:hint="default"/>
        <w:lang w:val="en-US" w:eastAsia="zh-CN" w:bidi="ar-SA"/>
      </w:rPr>
    </w:lvl>
    <w:lvl w:ilvl="3" w:tentative="0">
      <w:start w:val="0"/>
      <w:numFmt w:val="bullet"/>
      <w:lvlText w:val="•"/>
      <w:lvlJc w:val="left"/>
      <w:pPr>
        <w:ind w:left="3691" w:hanging="453"/>
      </w:pPr>
      <w:rPr>
        <w:rFonts w:hint="default"/>
        <w:lang w:val="en-US" w:eastAsia="zh-CN" w:bidi="ar-SA"/>
      </w:rPr>
    </w:lvl>
    <w:lvl w:ilvl="4" w:tentative="0">
      <w:start w:val="0"/>
      <w:numFmt w:val="bullet"/>
      <w:lvlText w:val="•"/>
      <w:lvlJc w:val="left"/>
      <w:pPr>
        <w:ind w:left="4622" w:hanging="453"/>
      </w:pPr>
      <w:rPr>
        <w:rFonts w:hint="default"/>
        <w:lang w:val="en-US" w:eastAsia="zh-CN" w:bidi="ar-SA"/>
      </w:rPr>
    </w:lvl>
    <w:lvl w:ilvl="5" w:tentative="0">
      <w:start w:val="0"/>
      <w:numFmt w:val="bullet"/>
      <w:lvlText w:val="•"/>
      <w:lvlJc w:val="left"/>
      <w:pPr>
        <w:ind w:left="5552" w:hanging="453"/>
      </w:pPr>
      <w:rPr>
        <w:rFonts w:hint="default"/>
        <w:lang w:val="en-US" w:eastAsia="zh-CN" w:bidi="ar-SA"/>
      </w:rPr>
    </w:lvl>
    <w:lvl w:ilvl="6" w:tentative="0">
      <w:start w:val="0"/>
      <w:numFmt w:val="bullet"/>
      <w:lvlText w:val="•"/>
      <w:lvlJc w:val="left"/>
      <w:pPr>
        <w:ind w:left="6483" w:hanging="453"/>
      </w:pPr>
      <w:rPr>
        <w:rFonts w:hint="default"/>
        <w:lang w:val="en-US" w:eastAsia="zh-CN" w:bidi="ar-SA"/>
      </w:rPr>
    </w:lvl>
    <w:lvl w:ilvl="7" w:tentative="0">
      <w:start w:val="0"/>
      <w:numFmt w:val="bullet"/>
      <w:lvlText w:val="•"/>
      <w:lvlJc w:val="left"/>
      <w:pPr>
        <w:ind w:left="7413" w:hanging="453"/>
      </w:pPr>
      <w:rPr>
        <w:rFonts w:hint="default"/>
        <w:lang w:val="en-US" w:eastAsia="zh-CN" w:bidi="ar-SA"/>
      </w:rPr>
    </w:lvl>
    <w:lvl w:ilvl="8" w:tentative="0">
      <w:start w:val="0"/>
      <w:numFmt w:val="bullet"/>
      <w:lvlText w:val="•"/>
      <w:lvlJc w:val="left"/>
      <w:pPr>
        <w:ind w:left="8344" w:hanging="453"/>
      </w:pPr>
      <w:rPr>
        <w:rFonts w:hint="default"/>
        <w:lang w:val="en-US" w:eastAsia="zh-CN" w:bidi="ar-SA"/>
      </w:rPr>
    </w:lvl>
  </w:abstractNum>
  <w:abstractNum w:abstractNumId="50">
    <w:nsid w:val="4C3D7A74"/>
    <w:multiLevelType w:val="multilevel"/>
    <w:tmpl w:val="4C3D7A74"/>
    <w:lvl w:ilvl="0" w:tentative="0">
      <w:start w:val="1"/>
      <w:numFmt w:val="decimal"/>
      <w:lvlText w:val="（%1）"/>
      <w:lvlJc w:val="left"/>
      <w:pPr>
        <w:ind w:left="3789"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4422" w:hanging="529"/>
      </w:pPr>
      <w:rPr>
        <w:rFonts w:hint="default"/>
        <w:lang w:val="en-US" w:eastAsia="zh-CN" w:bidi="ar-SA"/>
      </w:rPr>
    </w:lvl>
    <w:lvl w:ilvl="2" w:tentative="0">
      <w:start w:val="0"/>
      <w:numFmt w:val="bullet"/>
      <w:lvlText w:val="•"/>
      <w:lvlJc w:val="left"/>
      <w:pPr>
        <w:ind w:left="5065" w:hanging="529"/>
      </w:pPr>
      <w:rPr>
        <w:rFonts w:hint="default"/>
        <w:lang w:val="en-US" w:eastAsia="zh-CN" w:bidi="ar-SA"/>
      </w:rPr>
    </w:lvl>
    <w:lvl w:ilvl="3" w:tentative="0">
      <w:start w:val="0"/>
      <w:numFmt w:val="bullet"/>
      <w:lvlText w:val="•"/>
      <w:lvlJc w:val="left"/>
      <w:pPr>
        <w:ind w:left="5707" w:hanging="529"/>
      </w:pPr>
      <w:rPr>
        <w:rFonts w:hint="default"/>
        <w:lang w:val="en-US" w:eastAsia="zh-CN" w:bidi="ar-SA"/>
      </w:rPr>
    </w:lvl>
    <w:lvl w:ilvl="4" w:tentative="0">
      <w:start w:val="0"/>
      <w:numFmt w:val="bullet"/>
      <w:lvlText w:val="•"/>
      <w:lvlJc w:val="left"/>
      <w:pPr>
        <w:ind w:left="6350" w:hanging="529"/>
      </w:pPr>
      <w:rPr>
        <w:rFonts w:hint="default"/>
        <w:lang w:val="en-US" w:eastAsia="zh-CN" w:bidi="ar-SA"/>
      </w:rPr>
    </w:lvl>
    <w:lvl w:ilvl="5" w:tentative="0">
      <w:start w:val="0"/>
      <w:numFmt w:val="bullet"/>
      <w:lvlText w:val="•"/>
      <w:lvlJc w:val="left"/>
      <w:pPr>
        <w:ind w:left="6992" w:hanging="529"/>
      </w:pPr>
      <w:rPr>
        <w:rFonts w:hint="default"/>
        <w:lang w:val="en-US" w:eastAsia="zh-CN" w:bidi="ar-SA"/>
      </w:rPr>
    </w:lvl>
    <w:lvl w:ilvl="6" w:tentative="0">
      <w:start w:val="0"/>
      <w:numFmt w:val="bullet"/>
      <w:lvlText w:val="•"/>
      <w:lvlJc w:val="left"/>
      <w:pPr>
        <w:ind w:left="7635" w:hanging="529"/>
      </w:pPr>
      <w:rPr>
        <w:rFonts w:hint="default"/>
        <w:lang w:val="en-US" w:eastAsia="zh-CN" w:bidi="ar-SA"/>
      </w:rPr>
    </w:lvl>
    <w:lvl w:ilvl="7" w:tentative="0">
      <w:start w:val="0"/>
      <w:numFmt w:val="bullet"/>
      <w:lvlText w:val="•"/>
      <w:lvlJc w:val="left"/>
      <w:pPr>
        <w:ind w:left="8277" w:hanging="529"/>
      </w:pPr>
      <w:rPr>
        <w:rFonts w:hint="default"/>
        <w:lang w:val="en-US" w:eastAsia="zh-CN" w:bidi="ar-SA"/>
      </w:rPr>
    </w:lvl>
    <w:lvl w:ilvl="8" w:tentative="0">
      <w:start w:val="0"/>
      <w:numFmt w:val="bullet"/>
      <w:lvlText w:val="•"/>
      <w:lvlJc w:val="left"/>
      <w:pPr>
        <w:ind w:left="8920" w:hanging="529"/>
      </w:pPr>
      <w:rPr>
        <w:rFonts w:hint="default"/>
        <w:lang w:val="en-US" w:eastAsia="zh-CN" w:bidi="ar-SA"/>
      </w:rPr>
    </w:lvl>
  </w:abstractNum>
  <w:abstractNum w:abstractNumId="51">
    <w:nsid w:val="4D4DC07F"/>
    <w:multiLevelType w:val="multilevel"/>
    <w:tmpl w:val="4D4DC07F"/>
    <w:lvl w:ilvl="0" w:tentative="0">
      <w:start w:val="1"/>
      <w:numFmt w:val="decimal"/>
      <w:lvlText w:val="（%1）"/>
      <w:lvlJc w:val="left"/>
      <w:pPr>
        <w:ind w:left="702"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41" w:hanging="529"/>
      </w:pPr>
      <w:rPr>
        <w:rFonts w:hint="default"/>
        <w:lang w:val="en-US" w:eastAsia="zh-CN" w:bidi="ar-SA"/>
      </w:rPr>
    </w:lvl>
    <w:lvl w:ilvl="2" w:tentative="0">
      <w:start w:val="0"/>
      <w:numFmt w:val="bullet"/>
      <w:lvlText w:val="•"/>
      <w:lvlJc w:val="left"/>
      <w:pPr>
        <w:ind w:left="1983" w:hanging="529"/>
      </w:pPr>
      <w:rPr>
        <w:rFonts w:hint="default"/>
        <w:lang w:val="en-US" w:eastAsia="zh-CN" w:bidi="ar-SA"/>
      </w:rPr>
    </w:lvl>
    <w:lvl w:ilvl="3" w:tentative="0">
      <w:start w:val="0"/>
      <w:numFmt w:val="bullet"/>
      <w:lvlText w:val="•"/>
      <w:lvlJc w:val="left"/>
      <w:pPr>
        <w:ind w:left="2625" w:hanging="529"/>
      </w:pPr>
      <w:rPr>
        <w:rFonts w:hint="default"/>
        <w:lang w:val="en-US" w:eastAsia="zh-CN" w:bidi="ar-SA"/>
      </w:rPr>
    </w:lvl>
    <w:lvl w:ilvl="4" w:tentative="0">
      <w:start w:val="0"/>
      <w:numFmt w:val="bullet"/>
      <w:lvlText w:val="•"/>
      <w:lvlJc w:val="left"/>
      <w:pPr>
        <w:ind w:left="3267" w:hanging="529"/>
      </w:pPr>
      <w:rPr>
        <w:rFonts w:hint="default"/>
        <w:lang w:val="en-US" w:eastAsia="zh-CN" w:bidi="ar-SA"/>
      </w:rPr>
    </w:lvl>
    <w:lvl w:ilvl="5" w:tentative="0">
      <w:start w:val="0"/>
      <w:numFmt w:val="bullet"/>
      <w:lvlText w:val="•"/>
      <w:lvlJc w:val="left"/>
      <w:pPr>
        <w:ind w:left="3909" w:hanging="529"/>
      </w:pPr>
      <w:rPr>
        <w:rFonts w:hint="default"/>
        <w:lang w:val="en-US" w:eastAsia="zh-CN" w:bidi="ar-SA"/>
      </w:rPr>
    </w:lvl>
    <w:lvl w:ilvl="6" w:tentative="0">
      <w:start w:val="0"/>
      <w:numFmt w:val="bullet"/>
      <w:lvlText w:val="•"/>
      <w:lvlJc w:val="left"/>
      <w:pPr>
        <w:ind w:left="4550" w:hanging="529"/>
      </w:pPr>
      <w:rPr>
        <w:rFonts w:hint="default"/>
        <w:lang w:val="en-US" w:eastAsia="zh-CN" w:bidi="ar-SA"/>
      </w:rPr>
    </w:lvl>
    <w:lvl w:ilvl="7" w:tentative="0">
      <w:start w:val="0"/>
      <w:numFmt w:val="bullet"/>
      <w:lvlText w:val="•"/>
      <w:lvlJc w:val="left"/>
      <w:pPr>
        <w:ind w:left="5192" w:hanging="529"/>
      </w:pPr>
      <w:rPr>
        <w:rFonts w:hint="default"/>
        <w:lang w:val="en-US" w:eastAsia="zh-CN" w:bidi="ar-SA"/>
      </w:rPr>
    </w:lvl>
    <w:lvl w:ilvl="8" w:tentative="0">
      <w:start w:val="0"/>
      <w:numFmt w:val="bullet"/>
      <w:lvlText w:val="•"/>
      <w:lvlJc w:val="left"/>
      <w:pPr>
        <w:ind w:left="5834" w:hanging="529"/>
      </w:pPr>
      <w:rPr>
        <w:rFonts w:hint="default"/>
        <w:lang w:val="en-US" w:eastAsia="zh-CN" w:bidi="ar-SA"/>
      </w:rPr>
    </w:lvl>
  </w:abstractNum>
  <w:abstractNum w:abstractNumId="52">
    <w:nsid w:val="4D94DA66"/>
    <w:multiLevelType w:val="multilevel"/>
    <w:tmpl w:val="4D94DA66"/>
    <w:lvl w:ilvl="0" w:tentative="0">
      <w:start w:val="1"/>
      <w:numFmt w:val="decimal"/>
      <w:lvlText w:val="（%1）"/>
      <w:lvlJc w:val="left"/>
      <w:pPr>
        <w:ind w:left="3786" w:hanging="534"/>
        <w:jc w:val="left"/>
      </w:pPr>
      <w:rPr>
        <w:rFonts w:hint="default" w:ascii="宋体" w:hAnsi="宋体" w:eastAsia="宋体" w:cs="宋体"/>
        <w:b w:val="0"/>
        <w:bCs w:val="0"/>
        <w:i w:val="0"/>
        <w:iCs w:val="0"/>
        <w:spacing w:val="0"/>
        <w:w w:val="100"/>
        <w:sz w:val="19"/>
        <w:szCs w:val="19"/>
        <w:lang w:val="en-US" w:eastAsia="zh-CN" w:bidi="ar-SA"/>
      </w:rPr>
    </w:lvl>
    <w:lvl w:ilvl="1" w:tentative="0">
      <w:start w:val="0"/>
      <w:numFmt w:val="bullet"/>
      <w:lvlText w:val="•"/>
      <w:lvlJc w:val="left"/>
      <w:pPr>
        <w:ind w:left="4422" w:hanging="534"/>
      </w:pPr>
      <w:rPr>
        <w:rFonts w:hint="default"/>
        <w:lang w:val="en-US" w:eastAsia="zh-CN" w:bidi="ar-SA"/>
      </w:rPr>
    </w:lvl>
    <w:lvl w:ilvl="2" w:tentative="0">
      <w:start w:val="0"/>
      <w:numFmt w:val="bullet"/>
      <w:lvlText w:val="•"/>
      <w:lvlJc w:val="left"/>
      <w:pPr>
        <w:ind w:left="5065" w:hanging="534"/>
      </w:pPr>
      <w:rPr>
        <w:rFonts w:hint="default"/>
        <w:lang w:val="en-US" w:eastAsia="zh-CN" w:bidi="ar-SA"/>
      </w:rPr>
    </w:lvl>
    <w:lvl w:ilvl="3" w:tentative="0">
      <w:start w:val="0"/>
      <w:numFmt w:val="bullet"/>
      <w:lvlText w:val="•"/>
      <w:lvlJc w:val="left"/>
      <w:pPr>
        <w:ind w:left="5707" w:hanging="534"/>
      </w:pPr>
      <w:rPr>
        <w:rFonts w:hint="default"/>
        <w:lang w:val="en-US" w:eastAsia="zh-CN" w:bidi="ar-SA"/>
      </w:rPr>
    </w:lvl>
    <w:lvl w:ilvl="4" w:tentative="0">
      <w:start w:val="0"/>
      <w:numFmt w:val="bullet"/>
      <w:lvlText w:val="•"/>
      <w:lvlJc w:val="left"/>
      <w:pPr>
        <w:ind w:left="6350" w:hanging="534"/>
      </w:pPr>
      <w:rPr>
        <w:rFonts w:hint="default"/>
        <w:lang w:val="en-US" w:eastAsia="zh-CN" w:bidi="ar-SA"/>
      </w:rPr>
    </w:lvl>
    <w:lvl w:ilvl="5" w:tentative="0">
      <w:start w:val="0"/>
      <w:numFmt w:val="bullet"/>
      <w:lvlText w:val="•"/>
      <w:lvlJc w:val="left"/>
      <w:pPr>
        <w:ind w:left="6992" w:hanging="534"/>
      </w:pPr>
      <w:rPr>
        <w:rFonts w:hint="default"/>
        <w:lang w:val="en-US" w:eastAsia="zh-CN" w:bidi="ar-SA"/>
      </w:rPr>
    </w:lvl>
    <w:lvl w:ilvl="6" w:tentative="0">
      <w:start w:val="0"/>
      <w:numFmt w:val="bullet"/>
      <w:lvlText w:val="•"/>
      <w:lvlJc w:val="left"/>
      <w:pPr>
        <w:ind w:left="7635" w:hanging="534"/>
      </w:pPr>
      <w:rPr>
        <w:rFonts w:hint="default"/>
        <w:lang w:val="en-US" w:eastAsia="zh-CN" w:bidi="ar-SA"/>
      </w:rPr>
    </w:lvl>
    <w:lvl w:ilvl="7" w:tentative="0">
      <w:start w:val="0"/>
      <w:numFmt w:val="bullet"/>
      <w:lvlText w:val="•"/>
      <w:lvlJc w:val="left"/>
      <w:pPr>
        <w:ind w:left="8277" w:hanging="534"/>
      </w:pPr>
      <w:rPr>
        <w:rFonts w:hint="default"/>
        <w:lang w:val="en-US" w:eastAsia="zh-CN" w:bidi="ar-SA"/>
      </w:rPr>
    </w:lvl>
    <w:lvl w:ilvl="8" w:tentative="0">
      <w:start w:val="0"/>
      <w:numFmt w:val="bullet"/>
      <w:lvlText w:val="•"/>
      <w:lvlJc w:val="left"/>
      <w:pPr>
        <w:ind w:left="8920" w:hanging="534"/>
      </w:pPr>
      <w:rPr>
        <w:rFonts w:hint="default"/>
        <w:lang w:val="en-US" w:eastAsia="zh-CN" w:bidi="ar-SA"/>
      </w:rPr>
    </w:lvl>
  </w:abstractNum>
  <w:abstractNum w:abstractNumId="53">
    <w:nsid w:val="58765686"/>
    <w:multiLevelType w:val="multilevel"/>
    <w:tmpl w:val="58765686"/>
    <w:lvl w:ilvl="0" w:tentative="0">
      <w:start w:val="1"/>
      <w:numFmt w:val="decimal"/>
      <w:lvlText w:val="（%1）"/>
      <w:lvlJc w:val="left"/>
      <w:pPr>
        <w:ind w:left="702"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3780" w:hanging="529"/>
      </w:pPr>
      <w:rPr>
        <w:rFonts w:hint="default"/>
        <w:lang w:val="en-US" w:eastAsia="zh-CN" w:bidi="ar-SA"/>
      </w:rPr>
    </w:lvl>
    <w:lvl w:ilvl="2" w:tentative="0">
      <w:start w:val="0"/>
      <w:numFmt w:val="bullet"/>
      <w:lvlText w:val="•"/>
      <w:lvlJc w:val="left"/>
      <w:pPr>
        <w:ind w:left="4150" w:hanging="529"/>
      </w:pPr>
      <w:rPr>
        <w:rFonts w:hint="default"/>
        <w:lang w:val="en-US" w:eastAsia="zh-CN" w:bidi="ar-SA"/>
      </w:rPr>
    </w:lvl>
    <w:lvl w:ilvl="3" w:tentative="0">
      <w:start w:val="0"/>
      <w:numFmt w:val="bullet"/>
      <w:lvlText w:val="•"/>
      <w:lvlJc w:val="left"/>
      <w:pPr>
        <w:ind w:left="4521" w:hanging="529"/>
      </w:pPr>
      <w:rPr>
        <w:rFonts w:hint="default"/>
        <w:lang w:val="en-US" w:eastAsia="zh-CN" w:bidi="ar-SA"/>
      </w:rPr>
    </w:lvl>
    <w:lvl w:ilvl="4" w:tentative="0">
      <w:start w:val="0"/>
      <w:numFmt w:val="bullet"/>
      <w:lvlText w:val="•"/>
      <w:lvlJc w:val="left"/>
      <w:pPr>
        <w:ind w:left="4892" w:hanging="529"/>
      </w:pPr>
      <w:rPr>
        <w:rFonts w:hint="default"/>
        <w:lang w:val="en-US" w:eastAsia="zh-CN" w:bidi="ar-SA"/>
      </w:rPr>
    </w:lvl>
    <w:lvl w:ilvl="5" w:tentative="0">
      <w:start w:val="0"/>
      <w:numFmt w:val="bullet"/>
      <w:lvlText w:val="•"/>
      <w:lvlJc w:val="left"/>
      <w:pPr>
        <w:ind w:left="5263" w:hanging="529"/>
      </w:pPr>
      <w:rPr>
        <w:rFonts w:hint="default"/>
        <w:lang w:val="en-US" w:eastAsia="zh-CN" w:bidi="ar-SA"/>
      </w:rPr>
    </w:lvl>
    <w:lvl w:ilvl="6" w:tentative="0">
      <w:start w:val="0"/>
      <w:numFmt w:val="bullet"/>
      <w:lvlText w:val="•"/>
      <w:lvlJc w:val="left"/>
      <w:pPr>
        <w:ind w:left="5634" w:hanging="529"/>
      </w:pPr>
      <w:rPr>
        <w:rFonts w:hint="default"/>
        <w:lang w:val="en-US" w:eastAsia="zh-CN" w:bidi="ar-SA"/>
      </w:rPr>
    </w:lvl>
    <w:lvl w:ilvl="7" w:tentative="0">
      <w:start w:val="0"/>
      <w:numFmt w:val="bullet"/>
      <w:lvlText w:val="•"/>
      <w:lvlJc w:val="left"/>
      <w:pPr>
        <w:ind w:left="6005" w:hanging="529"/>
      </w:pPr>
      <w:rPr>
        <w:rFonts w:hint="default"/>
        <w:lang w:val="en-US" w:eastAsia="zh-CN" w:bidi="ar-SA"/>
      </w:rPr>
    </w:lvl>
    <w:lvl w:ilvl="8" w:tentative="0">
      <w:start w:val="0"/>
      <w:numFmt w:val="bullet"/>
      <w:lvlText w:val="•"/>
      <w:lvlJc w:val="left"/>
      <w:pPr>
        <w:ind w:left="6376" w:hanging="529"/>
      </w:pPr>
      <w:rPr>
        <w:rFonts w:hint="default"/>
        <w:lang w:val="en-US" w:eastAsia="zh-CN" w:bidi="ar-SA"/>
      </w:rPr>
    </w:lvl>
  </w:abstractNum>
  <w:abstractNum w:abstractNumId="54">
    <w:nsid w:val="59ADCABA"/>
    <w:multiLevelType w:val="multilevel"/>
    <w:tmpl w:val="59ADCABA"/>
    <w:lvl w:ilvl="0" w:tentative="0">
      <w:start w:val="1"/>
      <w:numFmt w:val="decimal"/>
      <w:lvlText w:val="（%1）"/>
      <w:lvlJc w:val="left"/>
      <w:pPr>
        <w:ind w:left="835" w:hanging="453"/>
        <w:jc w:val="left"/>
      </w:pPr>
      <w:rPr>
        <w:rFonts w:hint="default" w:ascii="宋体" w:hAnsi="宋体" w:eastAsia="宋体" w:cs="宋体"/>
        <w:b w:val="0"/>
        <w:bCs w:val="0"/>
        <w:i w:val="0"/>
        <w:iCs w:val="0"/>
        <w:w w:val="100"/>
        <w:sz w:val="16"/>
        <w:szCs w:val="16"/>
        <w:lang w:val="en-US" w:eastAsia="zh-CN" w:bidi="ar-SA"/>
      </w:rPr>
    </w:lvl>
    <w:lvl w:ilvl="1" w:tentative="0">
      <w:start w:val="0"/>
      <w:numFmt w:val="bullet"/>
      <w:lvlText w:val="•"/>
      <w:lvlJc w:val="left"/>
      <w:pPr>
        <w:ind w:left="1776" w:hanging="453"/>
      </w:pPr>
      <w:rPr>
        <w:rFonts w:hint="default"/>
        <w:lang w:val="en-US" w:eastAsia="zh-CN" w:bidi="ar-SA"/>
      </w:rPr>
    </w:lvl>
    <w:lvl w:ilvl="2" w:tentative="0">
      <w:start w:val="0"/>
      <w:numFmt w:val="bullet"/>
      <w:lvlText w:val="•"/>
      <w:lvlJc w:val="left"/>
      <w:pPr>
        <w:ind w:left="2713" w:hanging="453"/>
      </w:pPr>
      <w:rPr>
        <w:rFonts w:hint="default"/>
        <w:lang w:val="en-US" w:eastAsia="zh-CN" w:bidi="ar-SA"/>
      </w:rPr>
    </w:lvl>
    <w:lvl w:ilvl="3" w:tentative="0">
      <w:start w:val="0"/>
      <w:numFmt w:val="bullet"/>
      <w:lvlText w:val="•"/>
      <w:lvlJc w:val="left"/>
      <w:pPr>
        <w:ind w:left="3649" w:hanging="453"/>
      </w:pPr>
      <w:rPr>
        <w:rFonts w:hint="default"/>
        <w:lang w:val="en-US" w:eastAsia="zh-CN" w:bidi="ar-SA"/>
      </w:rPr>
    </w:lvl>
    <w:lvl w:ilvl="4" w:tentative="0">
      <w:start w:val="0"/>
      <w:numFmt w:val="bullet"/>
      <w:lvlText w:val="•"/>
      <w:lvlJc w:val="left"/>
      <w:pPr>
        <w:ind w:left="4586" w:hanging="453"/>
      </w:pPr>
      <w:rPr>
        <w:rFonts w:hint="default"/>
        <w:lang w:val="en-US" w:eastAsia="zh-CN" w:bidi="ar-SA"/>
      </w:rPr>
    </w:lvl>
    <w:lvl w:ilvl="5" w:tentative="0">
      <w:start w:val="0"/>
      <w:numFmt w:val="bullet"/>
      <w:lvlText w:val="•"/>
      <w:lvlJc w:val="left"/>
      <w:pPr>
        <w:ind w:left="5522" w:hanging="453"/>
      </w:pPr>
      <w:rPr>
        <w:rFonts w:hint="default"/>
        <w:lang w:val="en-US" w:eastAsia="zh-CN" w:bidi="ar-SA"/>
      </w:rPr>
    </w:lvl>
    <w:lvl w:ilvl="6" w:tentative="0">
      <w:start w:val="0"/>
      <w:numFmt w:val="bullet"/>
      <w:lvlText w:val="•"/>
      <w:lvlJc w:val="left"/>
      <w:pPr>
        <w:ind w:left="6459" w:hanging="453"/>
      </w:pPr>
      <w:rPr>
        <w:rFonts w:hint="default"/>
        <w:lang w:val="en-US" w:eastAsia="zh-CN" w:bidi="ar-SA"/>
      </w:rPr>
    </w:lvl>
    <w:lvl w:ilvl="7" w:tentative="0">
      <w:start w:val="0"/>
      <w:numFmt w:val="bullet"/>
      <w:lvlText w:val="•"/>
      <w:lvlJc w:val="left"/>
      <w:pPr>
        <w:ind w:left="7395" w:hanging="453"/>
      </w:pPr>
      <w:rPr>
        <w:rFonts w:hint="default"/>
        <w:lang w:val="en-US" w:eastAsia="zh-CN" w:bidi="ar-SA"/>
      </w:rPr>
    </w:lvl>
    <w:lvl w:ilvl="8" w:tentative="0">
      <w:start w:val="0"/>
      <w:numFmt w:val="bullet"/>
      <w:lvlText w:val="•"/>
      <w:lvlJc w:val="left"/>
      <w:pPr>
        <w:ind w:left="8332" w:hanging="453"/>
      </w:pPr>
      <w:rPr>
        <w:rFonts w:hint="default"/>
        <w:lang w:val="en-US" w:eastAsia="zh-CN" w:bidi="ar-SA"/>
      </w:rPr>
    </w:lvl>
  </w:abstractNum>
  <w:abstractNum w:abstractNumId="55">
    <w:nsid w:val="5A241D34"/>
    <w:multiLevelType w:val="multilevel"/>
    <w:tmpl w:val="5A241D34"/>
    <w:lvl w:ilvl="0" w:tentative="0">
      <w:start w:val="1"/>
      <w:numFmt w:val="decimal"/>
      <w:lvlText w:val="（%1）"/>
      <w:lvlJc w:val="left"/>
      <w:pPr>
        <w:ind w:left="702"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41" w:hanging="529"/>
      </w:pPr>
      <w:rPr>
        <w:rFonts w:hint="default"/>
        <w:lang w:val="en-US" w:eastAsia="zh-CN" w:bidi="ar-SA"/>
      </w:rPr>
    </w:lvl>
    <w:lvl w:ilvl="2" w:tentative="0">
      <w:start w:val="0"/>
      <w:numFmt w:val="bullet"/>
      <w:lvlText w:val="•"/>
      <w:lvlJc w:val="left"/>
      <w:pPr>
        <w:ind w:left="1983" w:hanging="529"/>
      </w:pPr>
      <w:rPr>
        <w:rFonts w:hint="default"/>
        <w:lang w:val="en-US" w:eastAsia="zh-CN" w:bidi="ar-SA"/>
      </w:rPr>
    </w:lvl>
    <w:lvl w:ilvl="3" w:tentative="0">
      <w:start w:val="0"/>
      <w:numFmt w:val="bullet"/>
      <w:lvlText w:val="•"/>
      <w:lvlJc w:val="left"/>
      <w:pPr>
        <w:ind w:left="2625" w:hanging="529"/>
      </w:pPr>
      <w:rPr>
        <w:rFonts w:hint="default"/>
        <w:lang w:val="en-US" w:eastAsia="zh-CN" w:bidi="ar-SA"/>
      </w:rPr>
    </w:lvl>
    <w:lvl w:ilvl="4" w:tentative="0">
      <w:start w:val="0"/>
      <w:numFmt w:val="bullet"/>
      <w:lvlText w:val="•"/>
      <w:lvlJc w:val="left"/>
      <w:pPr>
        <w:ind w:left="3267" w:hanging="529"/>
      </w:pPr>
      <w:rPr>
        <w:rFonts w:hint="default"/>
        <w:lang w:val="en-US" w:eastAsia="zh-CN" w:bidi="ar-SA"/>
      </w:rPr>
    </w:lvl>
    <w:lvl w:ilvl="5" w:tentative="0">
      <w:start w:val="0"/>
      <w:numFmt w:val="bullet"/>
      <w:lvlText w:val="•"/>
      <w:lvlJc w:val="left"/>
      <w:pPr>
        <w:ind w:left="3909" w:hanging="529"/>
      </w:pPr>
      <w:rPr>
        <w:rFonts w:hint="default"/>
        <w:lang w:val="en-US" w:eastAsia="zh-CN" w:bidi="ar-SA"/>
      </w:rPr>
    </w:lvl>
    <w:lvl w:ilvl="6" w:tentative="0">
      <w:start w:val="0"/>
      <w:numFmt w:val="bullet"/>
      <w:lvlText w:val="•"/>
      <w:lvlJc w:val="left"/>
      <w:pPr>
        <w:ind w:left="4550" w:hanging="529"/>
      </w:pPr>
      <w:rPr>
        <w:rFonts w:hint="default"/>
        <w:lang w:val="en-US" w:eastAsia="zh-CN" w:bidi="ar-SA"/>
      </w:rPr>
    </w:lvl>
    <w:lvl w:ilvl="7" w:tentative="0">
      <w:start w:val="0"/>
      <w:numFmt w:val="bullet"/>
      <w:lvlText w:val="•"/>
      <w:lvlJc w:val="left"/>
      <w:pPr>
        <w:ind w:left="5192" w:hanging="529"/>
      </w:pPr>
      <w:rPr>
        <w:rFonts w:hint="default"/>
        <w:lang w:val="en-US" w:eastAsia="zh-CN" w:bidi="ar-SA"/>
      </w:rPr>
    </w:lvl>
    <w:lvl w:ilvl="8" w:tentative="0">
      <w:start w:val="0"/>
      <w:numFmt w:val="bullet"/>
      <w:lvlText w:val="•"/>
      <w:lvlJc w:val="left"/>
      <w:pPr>
        <w:ind w:left="5834" w:hanging="529"/>
      </w:pPr>
      <w:rPr>
        <w:rFonts w:hint="default"/>
        <w:lang w:val="en-US" w:eastAsia="zh-CN" w:bidi="ar-SA"/>
      </w:rPr>
    </w:lvl>
  </w:abstractNum>
  <w:abstractNum w:abstractNumId="56">
    <w:nsid w:val="5E29AB5A"/>
    <w:multiLevelType w:val="multilevel"/>
    <w:tmpl w:val="5E29AB5A"/>
    <w:lvl w:ilvl="0" w:tentative="0">
      <w:start w:val="1"/>
      <w:numFmt w:val="decimal"/>
      <w:lvlText w:val="（%1）"/>
      <w:lvlJc w:val="left"/>
      <w:pPr>
        <w:ind w:left="529"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138" w:hanging="529"/>
      </w:pPr>
      <w:rPr>
        <w:rFonts w:hint="default"/>
        <w:lang w:val="en-US" w:eastAsia="zh-CN" w:bidi="ar-SA"/>
      </w:rPr>
    </w:lvl>
    <w:lvl w:ilvl="2" w:tentative="0">
      <w:start w:val="0"/>
      <w:numFmt w:val="bullet"/>
      <w:lvlText w:val="•"/>
      <w:lvlJc w:val="left"/>
      <w:pPr>
        <w:ind w:left="1756" w:hanging="529"/>
      </w:pPr>
      <w:rPr>
        <w:rFonts w:hint="default"/>
        <w:lang w:val="en-US" w:eastAsia="zh-CN" w:bidi="ar-SA"/>
      </w:rPr>
    </w:lvl>
    <w:lvl w:ilvl="3" w:tentative="0">
      <w:start w:val="0"/>
      <w:numFmt w:val="bullet"/>
      <w:lvlText w:val="•"/>
      <w:lvlJc w:val="left"/>
      <w:pPr>
        <w:ind w:left="2375" w:hanging="529"/>
      </w:pPr>
      <w:rPr>
        <w:rFonts w:hint="default"/>
        <w:lang w:val="en-US" w:eastAsia="zh-CN" w:bidi="ar-SA"/>
      </w:rPr>
    </w:lvl>
    <w:lvl w:ilvl="4" w:tentative="0">
      <w:start w:val="0"/>
      <w:numFmt w:val="bullet"/>
      <w:lvlText w:val="•"/>
      <w:lvlJc w:val="left"/>
      <w:pPr>
        <w:ind w:left="2993" w:hanging="529"/>
      </w:pPr>
      <w:rPr>
        <w:rFonts w:hint="default"/>
        <w:lang w:val="en-US" w:eastAsia="zh-CN" w:bidi="ar-SA"/>
      </w:rPr>
    </w:lvl>
    <w:lvl w:ilvl="5" w:tentative="0">
      <w:start w:val="0"/>
      <w:numFmt w:val="bullet"/>
      <w:lvlText w:val="•"/>
      <w:lvlJc w:val="left"/>
      <w:pPr>
        <w:ind w:left="3612" w:hanging="529"/>
      </w:pPr>
      <w:rPr>
        <w:rFonts w:hint="default"/>
        <w:lang w:val="en-US" w:eastAsia="zh-CN" w:bidi="ar-SA"/>
      </w:rPr>
    </w:lvl>
    <w:lvl w:ilvl="6" w:tentative="0">
      <w:start w:val="0"/>
      <w:numFmt w:val="bullet"/>
      <w:lvlText w:val="•"/>
      <w:lvlJc w:val="left"/>
      <w:pPr>
        <w:ind w:left="4230" w:hanging="529"/>
      </w:pPr>
      <w:rPr>
        <w:rFonts w:hint="default"/>
        <w:lang w:val="en-US" w:eastAsia="zh-CN" w:bidi="ar-SA"/>
      </w:rPr>
    </w:lvl>
    <w:lvl w:ilvl="7" w:tentative="0">
      <w:start w:val="0"/>
      <w:numFmt w:val="bullet"/>
      <w:lvlText w:val="•"/>
      <w:lvlJc w:val="left"/>
      <w:pPr>
        <w:ind w:left="4848" w:hanging="529"/>
      </w:pPr>
      <w:rPr>
        <w:rFonts w:hint="default"/>
        <w:lang w:val="en-US" w:eastAsia="zh-CN" w:bidi="ar-SA"/>
      </w:rPr>
    </w:lvl>
    <w:lvl w:ilvl="8" w:tentative="0">
      <w:start w:val="0"/>
      <w:numFmt w:val="bullet"/>
      <w:lvlText w:val="•"/>
      <w:lvlJc w:val="left"/>
      <w:pPr>
        <w:ind w:left="5467" w:hanging="529"/>
      </w:pPr>
      <w:rPr>
        <w:rFonts w:hint="default"/>
        <w:lang w:val="en-US" w:eastAsia="zh-CN" w:bidi="ar-SA"/>
      </w:rPr>
    </w:lvl>
  </w:abstractNum>
  <w:abstractNum w:abstractNumId="57">
    <w:nsid w:val="5FFFB1A7"/>
    <w:multiLevelType w:val="multilevel"/>
    <w:tmpl w:val="5FFFB1A7"/>
    <w:lvl w:ilvl="0" w:tentative="0">
      <w:start w:val="1"/>
      <w:numFmt w:val="decimal"/>
      <w:lvlText w:val="（%1）"/>
      <w:lvlJc w:val="left"/>
      <w:pPr>
        <w:ind w:left="804" w:hanging="627"/>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431" w:hanging="627"/>
      </w:pPr>
      <w:rPr>
        <w:rFonts w:hint="default"/>
        <w:lang w:val="en-US" w:eastAsia="zh-CN" w:bidi="ar-SA"/>
      </w:rPr>
    </w:lvl>
    <w:lvl w:ilvl="2" w:tentative="0">
      <w:start w:val="0"/>
      <w:numFmt w:val="bullet"/>
      <w:lvlText w:val="•"/>
      <w:lvlJc w:val="left"/>
      <w:pPr>
        <w:ind w:left="2063" w:hanging="627"/>
      </w:pPr>
      <w:rPr>
        <w:rFonts w:hint="default"/>
        <w:lang w:val="en-US" w:eastAsia="zh-CN" w:bidi="ar-SA"/>
      </w:rPr>
    </w:lvl>
    <w:lvl w:ilvl="3" w:tentative="0">
      <w:start w:val="0"/>
      <w:numFmt w:val="bullet"/>
      <w:lvlText w:val="•"/>
      <w:lvlJc w:val="left"/>
      <w:pPr>
        <w:ind w:left="2695" w:hanging="627"/>
      </w:pPr>
      <w:rPr>
        <w:rFonts w:hint="default"/>
        <w:lang w:val="en-US" w:eastAsia="zh-CN" w:bidi="ar-SA"/>
      </w:rPr>
    </w:lvl>
    <w:lvl w:ilvl="4" w:tentative="0">
      <w:start w:val="0"/>
      <w:numFmt w:val="bullet"/>
      <w:lvlText w:val="•"/>
      <w:lvlJc w:val="left"/>
      <w:pPr>
        <w:ind w:left="3327" w:hanging="627"/>
      </w:pPr>
      <w:rPr>
        <w:rFonts w:hint="default"/>
        <w:lang w:val="en-US" w:eastAsia="zh-CN" w:bidi="ar-SA"/>
      </w:rPr>
    </w:lvl>
    <w:lvl w:ilvl="5" w:tentative="0">
      <w:start w:val="0"/>
      <w:numFmt w:val="bullet"/>
      <w:lvlText w:val="•"/>
      <w:lvlJc w:val="left"/>
      <w:pPr>
        <w:ind w:left="3959" w:hanging="627"/>
      </w:pPr>
      <w:rPr>
        <w:rFonts w:hint="default"/>
        <w:lang w:val="en-US" w:eastAsia="zh-CN" w:bidi="ar-SA"/>
      </w:rPr>
    </w:lvl>
    <w:lvl w:ilvl="6" w:tentative="0">
      <w:start w:val="0"/>
      <w:numFmt w:val="bullet"/>
      <w:lvlText w:val="•"/>
      <w:lvlJc w:val="left"/>
      <w:pPr>
        <w:ind w:left="4590" w:hanging="627"/>
      </w:pPr>
      <w:rPr>
        <w:rFonts w:hint="default"/>
        <w:lang w:val="en-US" w:eastAsia="zh-CN" w:bidi="ar-SA"/>
      </w:rPr>
    </w:lvl>
    <w:lvl w:ilvl="7" w:tentative="0">
      <w:start w:val="0"/>
      <w:numFmt w:val="bullet"/>
      <w:lvlText w:val="•"/>
      <w:lvlJc w:val="left"/>
      <w:pPr>
        <w:ind w:left="5222" w:hanging="627"/>
      </w:pPr>
      <w:rPr>
        <w:rFonts w:hint="default"/>
        <w:lang w:val="en-US" w:eastAsia="zh-CN" w:bidi="ar-SA"/>
      </w:rPr>
    </w:lvl>
    <w:lvl w:ilvl="8" w:tentative="0">
      <w:start w:val="0"/>
      <w:numFmt w:val="bullet"/>
      <w:lvlText w:val="•"/>
      <w:lvlJc w:val="left"/>
      <w:pPr>
        <w:ind w:left="5854" w:hanging="627"/>
      </w:pPr>
      <w:rPr>
        <w:rFonts w:hint="default"/>
        <w:lang w:val="en-US" w:eastAsia="zh-CN" w:bidi="ar-SA"/>
      </w:rPr>
    </w:lvl>
  </w:abstractNum>
  <w:abstractNum w:abstractNumId="58">
    <w:nsid w:val="60382F6E"/>
    <w:multiLevelType w:val="multilevel"/>
    <w:tmpl w:val="60382F6E"/>
    <w:lvl w:ilvl="0" w:tentative="0">
      <w:start w:val="1"/>
      <w:numFmt w:val="decimal"/>
      <w:lvlText w:val="（%1）"/>
      <w:lvlJc w:val="left"/>
      <w:pPr>
        <w:ind w:left="897" w:hanging="453"/>
        <w:jc w:val="left"/>
      </w:pPr>
      <w:rPr>
        <w:rFonts w:hint="default" w:ascii="宋体" w:hAnsi="宋体" w:eastAsia="宋体" w:cs="宋体"/>
        <w:b w:val="0"/>
        <w:bCs w:val="0"/>
        <w:i w:val="0"/>
        <w:iCs w:val="0"/>
        <w:w w:val="100"/>
        <w:sz w:val="16"/>
        <w:szCs w:val="16"/>
        <w:lang w:val="en-US" w:eastAsia="zh-CN" w:bidi="ar-SA"/>
      </w:rPr>
    </w:lvl>
    <w:lvl w:ilvl="1" w:tentative="0">
      <w:start w:val="1"/>
      <w:numFmt w:val="decimal"/>
      <w:lvlText w:val="（%2）"/>
      <w:lvlJc w:val="left"/>
      <w:pPr>
        <w:ind w:left="3892" w:hanging="632"/>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4600" w:hanging="632"/>
      </w:pPr>
      <w:rPr>
        <w:rFonts w:hint="default"/>
        <w:lang w:val="en-US" w:eastAsia="zh-CN" w:bidi="ar-SA"/>
      </w:rPr>
    </w:lvl>
    <w:lvl w:ilvl="3" w:tentative="0">
      <w:start w:val="0"/>
      <w:numFmt w:val="bullet"/>
      <w:lvlText w:val="•"/>
      <w:lvlJc w:val="left"/>
      <w:pPr>
        <w:ind w:left="5301" w:hanging="632"/>
      </w:pPr>
      <w:rPr>
        <w:rFonts w:hint="default"/>
        <w:lang w:val="en-US" w:eastAsia="zh-CN" w:bidi="ar-SA"/>
      </w:rPr>
    </w:lvl>
    <w:lvl w:ilvl="4" w:tentative="0">
      <w:start w:val="0"/>
      <w:numFmt w:val="bullet"/>
      <w:lvlText w:val="•"/>
      <w:lvlJc w:val="left"/>
      <w:pPr>
        <w:ind w:left="6001" w:hanging="632"/>
      </w:pPr>
      <w:rPr>
        <w:rFonts w:hint="default"/>
        <w:lang w:val="en-US" w:eastAsia="zh-CN" w:bidi="ar-SA"/>
      </w:rPr>
    </w:lvl>
    <w:lvl w:ilvl="5" w:tentative="0">
      <w:start w:val="0"/>
      <w:numFmt w:val="bullet"/>
      <w:lvlText w:val="•"/>
      <w:lvlJc w:val="left"/>
      <w:pPr>
        <w:ind w:left="6702" w:hanging="632"/>
      </w:pPr>
      <w:rPr>
        <w:rFonts w:hint="default"/>
        <w:lang w:val="en-US" w:eastAsia="zh-CN" w:bidi="ar-SA"/>
      </w:rPr>
    </w:lvl>
    <w:lvl w:ilvl="6" w:tentative="0">
      <w:start w:val="0"/>
      <w:numFmt w:val="bullet"/>
      <w:lvlText w:val="•"/>
      <w:lvlJc w:val="left"/>
      <w:pPr>
        <w:ind w:left="7403" w:hanging="632"/>
      </w:pPr>
      <w:rPr>
        <w:rFonts w:hint="default"/>
        <w:lang w:val="en-US" w:eastAsia="zh-CN" w:bidi="ar-SA"/>
      </w:rPr>
    </w:lvl>
    <w:lvl w:ilvl="7" w:tentative="0">
      <w:start w:val="0"/>
      <w:numFmt w:val="bullet"/>
      <w:lvlText w:val="•"/>
      <w:lvlJc w:val="left"/>
      <w:pPr>
        <w:ind w:left="8103" w:hanging="632"/>
      </w:pPr>
      <w:rPr>
        <w:rFonts w:hint="default"/>
        <w:lang w:val="en-US" w:eastAsia="zh-CN" w:bidi="ar-SA"/>
      </w:rPr>
    </w:lvl>
    <w:lvl w:ilvl="8" w:tentative="0">
      <w:start w:val="0"/>
      <w:numFmt w:val="bullet"/>
      <w:lvlText w:val="•"/>
      <w:lvlJc w:val="left"/>
      <w:pPr>
        <w:ind w:left="8804" w:hanging="632"/>
      </w:pPr>
      <w:rPr>
        <w:rFonts w:hint="default"/>
        <w:lang w:val="en-US" w:eastAsia="zh-CN" w:bidi="ar-SA"/>
      </w:rPr>
    </w:lvl>
  </w:abstractNum>
  <w:abstractNum w:abstractNumId="59">
    <w:nsid w:val="629F7852"/>
    <w:multiLevelType w:val="multilevel"/>
    <w:tmpl w:val="629F7852"/>
    <w:lvl w:ilvl="0" w:tentative="0">
      <w:start w:val="1"/>
      <w:numFmt w:val="decimal"/>
      <w:lvlText w:val="（%1）"/>
      <w:lvlJc w:val="left"/>
      <w:pPr>
        <w:ind w:left="804" w:hanging="632"/>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431" w:hanging="632"/>
      </w:pPr>
      <w:rPr>
        <w:rFonts w:hint="default"/>
        <w:lang w:val="en-US" w:eastAsia="zh-CN" w:bidi="ar-SA"/>
      </w:rPr>
    </w:lvl>
    <w:lvl w:ilvl="2" w:tentative="0">
      <w:start w:val="0"/>
      <w:numFmt w:val="bullet"/>
      <w:lvlText w:val="•"/>
      <w:lvlJc w:val="left"/>
      <w:pPr>
        <w:ind w:left="2063" w:hanging="632"/>
      </w:pPr>
      <w:rPr>
        <w:rFonts w:hint="default"/>
        <w:lang w:val="en-US" w:eastAsia="zh-CN" w:bidi="ar-SA"/>
      </w:rPr>
    </w:lvl>
    <w:lvl w:ilvl="3" w:tentative="0">
      <w:start w:val="0"/>
      <w:numFmt w:val="bullet"/>
      <w:lvlText w:val="•"/>
      <w:lvlJc w:val="left"/>
      <w:pPr>
        <w:ind w:left="2695" w:hanging="632"/>
      </w:pPr>
      <w:rPr>
        <w:rFonts w:hint="default"/>
        <w:lang w:val="en-US" w:eastAsia="zh-CN" w:bidi="ar-SA"/>
      </w:rPr>
    </w:lvl>
    <w:lvl w:ilvl="4" w:tentative="0">
      <w:start w:val="0"/>
      <w:numFmt w:val="bullet"/>
      <w:lvlText w:val="•"/>
      <w:lvlJc w:val="left"/>
      <w:pPr>
        <w:ind w:left="3327" w:hanging="632"/>
      </w:pPr>
      <w:rPr>
        <w:rFonts w:hint="default"/>
        <w:lang w:val="en-US" w:eastAsia="zh-CN" w:bidi="ar-SA"/>
      </w:rPr>
    </w:lvl>
    <w:lvl w:ilvl="5" w:tentative="0">
      <w:start w:val="0"/>
      <w:numFmt w:val="bullet"/>
      <w:lvlText w:val="•"/>
      <w:lvlJc w:val="left"/>
      <w:pPr>
        <w:ind w:left="3959" w:hanging="632"/>
      </w:pPr>
      <w:rPr>
        <w:rFonts w:hint="default"/>
        <w:lang w:val="en-US" w:eastAsia="zh-CN" w:bidi="ar-SA"/>
      </w:rPr>
    </w:lvl>
    <w:lvl w:ilvl="6" w:tentative="0">
      <w:start w:val="0"/>
      <w:numFmt w:val="bullet"/>
      <w:lvlText w:val="•"/>
      <w:lvlJc w:val="left"/>
      <w:pPr>
        <w:ind w:left="4590" w:hanging="632"/>
      </w:pPr>
      <w:rPr>
        <w:rFonts w:hint="default"/>
        <w:lang w:val="en-US" w:eastAsia="zh-CN" w:bidi="ar-SA"/>
      </w:rPr>
    </w:lvl>
    <w:lvl w:ilvl="7" w:tentative="0">
      <w:start w:val="0"/>
      <w:numFmt w:val="bullet"/>
      <w:lvlText w:val="•"/>
      <w:lvlJc w:val="left"/>
      <w:pPr>
        <w:ind w:left="5222" w:hanging="632"/>
      </w:pPr>
      <w:rPr>
        <w:rFonts w:hint="default"/>
        <w:lang w:val="en-US" w:eastAsia="zh-CN" w:bidi="ar-SA"/>
      </w:rPr>
    </w:lvl>
    <w:lvl w:ilvl="8" w:tentative="0">
      <w:start w:val="0"/>
      <w:numFmt w:val="bullet"/>
      <w:lvlText w:val="•"/>
      <w:lvlJc w:val="left"/>
      <w:pPr>
        <w:ind w:left="5854" w:hanging="632"/>
      </w:pPr>
      <w:rPr>
        <w:rFonts w:hint="default"/>
        <w:lang w:val="en-US" w:eastAsia="zh-CN" w:bidi="ar-SA"/>
      </w:rPr>
    </w:lvl>
  </w:abstractNum>
  <w:abstractNum w:abstractNumId="60">
    <w:nsid w:val="65CD0074"/>
    <w:multiLevelType w:val="multilevel"/>
    <w:tmpl w:val="65CD0074"/>
    <w:lvl w:ilvl="0" w:tentative="0">
      <w:start w:val="1"/>
      <w:numFmt w:val="decimal"/>
      <w:lvlText w:val="（%1）"/>
      <w:lvlJc w:val="left"/>
      <w:pPr>
        <w:ind w:left="3789"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4422" w:hanging="529"/>
      </w:pPr>
      <w:rPr>
        <w:rFonts w:hint="default"/>
        <w:lang w:val="en-US" w:eastAsia="zh-CN" w:bidi="ar-SA"/>
      </w:rPr>
    </w:lvl>
    <w:lvl w:ilvl="2" w:tentative="0">
      <w:start w:val="0"/>
      <w:numFmt w:val="bullet"/>
      <w:lvlText w:val="•"/>
      <w:lvlJc w:val="left"/>
      <w:pPr>
        <w:ind w:left="5065" w:hanging="529"/>
      </w:pPr>
      <w:rPr>
        <w:rFonts w:hint="default"/>
        <w:lang w:val="en-US" w:eastAsia="zh-CN" w:bidi="ar-SA"/>
      </w:rPr>
    </w:lvl>
    <w:lvl w:ilvl="3" w:tentative="0">
      <w:start w:val="0"/>
      <w:numFmt w:val="bullet"/>
      <w:lvlText w:val="•"/>
      <w:lvlJc w:val="left"/>
      <w:pPr>
        <w:ind w:left="5707" w:hanging="529"/>
      </w:pPr>
      <w:rPr>
        <w:rFonts w:hint="default"/>
        <w:lang w:val="en-US" w:eastAsia="zh-CN" w:bidi="ar-SA"/>
      </w:rPr>
    </w:lvl>
    <w:lvl w:ilvl="4" w:tentative="0">
      <w:start w:val="0"/>
      <w:numFmt w:val="bullet"/>
      <w:lvlText w:val="•"/>
      <w:lvlJc w:val="left"/>
      <w:pPr>
        <w:ind w:left="6350" w:hanging="529"/>
      </w:pPr>
      <w:rPr>
        <w:rFonts w:hint="default"/>
        <w:lang w:val="en-US" w:eastAsia="zh-CN" w:bidi="ar-SA"/>
      </w:rPr>
    </w:lvl>
    <w:lvl w:ilvl="5" w:tentative="0">
      <w:start w:val="0"/>
      <w:numFmt w:val="bullet"/>
      <w:lvlText w:val="•"/>
      <w:lvlJc w:val="left"/>
      <w:pPr>
        <w:ind w:left="6992" w:hanging="529"/>
      </w:pPr>
      <w:rPr>
        <w:rFonts w:hint="default"/>
        <w:lang w:val="en-US" w:eastAsia="zh-CN" w:bidi="ar-SA"/>
      </w:rPr>
    </w:lvl>
    <w:lvl w:ilvl="6" w:tentative="0">
      <w:start w:val="0"/>
      <w:numFmt w:val="bullet"/>
      <w:lvlText w:val="•"/>
      <w:lvlJc w:val="left"/>
      <w:pPr>
        <w:ind w:left="7635" w:hanging="529"/>
      </w:pPr>
      <w:rPr>
        <w:rFonts w:hint="default"/>
        <w:lang w:val="en-US" w:eastAsia="zh-CN" w:bidi="ar-SA"/>
      </w:rPr>
    </w:lvl>
    <w:lvl w:ilvl="7" w:tentative="0">
      <w:start w:val="0"/>
      <w:numFmt w:val="bullet"/>
      <w:lvlText w:val="•"/>
      <w:lvlJc w:val="left"/>
      <w:pPr>
        <w:ind w:left="8277" w:hanging="529"/>
      </w:pPr>
      <w:rPr>
        <w:rFonts w:hint="default"/>
        <w:lang w:val="en-US" w:eastAsia="zh-CN" w:bidi="ar-SA"/>
      </w:rPr>
    </w:lvl>
    <w:lvl w:ilvl="8" w:tentative="0">
      <w:start w:val="0"/>
      <w:numFmt w:val="bullet"/>
      <w:lvlText w:val="•"/>
      <w:lvlJc w:val="left"/>
      <w:pPr>
        <w:ind w:left="8920" w:hanging="529"/>
      </w:pPr>
      <w:rPr>
        <w:rFonts w:hint="default"/>
        <w:lang w:val="en-US" w:eastAsia="zh-CN" w:bidi="ar-SA"/>
      </w:rPr>
    </w:lvl>
  </w:abstractNum>
  <w:abstractNum w:abstractNumId="61">
    <w:nsid w:val="72183CF9"/>
    <w:multiLevelType w:val="multilevel"/>
    <w:tmpl w:val="72183CF9"/>
    <w:lvl w:ilvl="0" w:tentative="0">
      <w:start w:val="1"/>
      <w:numFmt w:val="decimal"/>
      <w:lvlText w:val="（%1）"/>
      <w:lvlJc w:val="left"/>
      <w:pPr>
        <w:ind w:left="897" w:hanging="453"/>
        <w:jc w:val="left"/>
      </w:pPr>
      <w:rPr>
        <w:rFonts w:hint="default" w:ascii="宋体" w:hAnsi="宋体" w:eastAsia="宋体" w:cs="宋体"/>
        <w:b w:val="0"/>
        <w:bCs w:val="0"/>
        <w:i w:val="0"/>
        <w:iCs w:val="0"/>
        <w:w w:val="100"/>
        <w:sz w:val="16"/>
        <w:szCs w:val="16"/>
        <w:lang w:val="en-US" w:eastAsia="zh-CN" w:bidi="ar-SA"/>
      </w:rPr>
    </w:lvl>
    <w:lvl w:ilvl="1" w:tentative="0">
      <w:start w:val="0"/>
      <w:numFmt w:val="bullet"/>
      <w:lvlText w:val="•"/>
      <w:lvlJc w:val="left"/>
      <w:pPr>
        <w:ind w:left="1830" w:hanging="453"/>
      </w:pPr>
      <w:rPr>
        <w:rFonts w:hint="default"/>
        <w:lang w:val="en-US" w:eastAsia="zh-CN" w:bidi="ar-SA"/>
      </w:rPr>
    </w:lvl>
    <w:lvl w:ilvl="2" w:tentative="0">
      <w:start w:val="0"/>
      <w:numFmt w:val="bullet"/>
      <w:lvlText w:val="•"/>
      <w:lvlJc w:val="left"/>
      <w:pPr>
        <w:ind w:left="2761" w:hanging="453"/>
      </w:pPr>
      <w:rPr>
        <w:rFonts w:hint="default"/>
        <w:lang w:val="en-US" w:eastAsia="zh-CN" w:bidi="ar-SA"/>
      </w:rPr>
    </w:lvl>
    <w:lvl w:ilvl="3" w:tentative="0">
      <w:start w:val="0"/>
      <w:numFmt w:val="bullet"/>
      <w:lvlText w:val="•"/>
      <w:lvlJc w:val="left"/>
      <w:pPr>
        <w:ind w:left="3691" w:hanging="453"/>
      </w:pPr>
      <w:rPr>
        <w:rFonts w:hint="default"/>
        <w:lang w:val="en-US" w:eastAsia="zh-CN" w:bidi="ar-SA"/>
      </w:rPr>
    </w:lvl>
    <w:lvl w:ilvl="4" w:tentative="0">
      <w:start w:val="0"/>
      <w:numFmt w:val="bullet"/>
      <w:lvlText w:val="•"/>
      <w:lvlJc w:val="left"/>
      <w:pPr>
        <w:ind w:left="4622" w:hanging="453"/>
      </w:pPr>
      <w:rPr>
        <w:rFonts w:hint="default"/>
        <w:lang w:val="en-US" w:eastAsia="zh-CN" w:bidi="ar-SA"/>
      </w:rPr>
    </w:lvl>
    <w:lvl w:ilvl="5" w:tentative="0">
      <w:start w:val="0"/>
      <w:numFmt w:val="bullet"/>
      <w:lvlText w:val="•"/>
      <w:lvlJc w:val="left"/>
      <w:pPr>
        <w:ind w:left="5552" w:hanging="453"/>
      </w:pPr>
      <w:rPr>
        <w:rFonts w:hint="default"/>
        <w:lang w:val="en-US" w:eastAsia="zh-CN" w:bidi="ar-SA"/>
      </w:rPr>
    </w:lvl>
    <w:lvl w:ilvl="6" w:tentative="0">
      <w:start w:val="0"/>
      <w:numFmt w:val="bullet"/>
      <w:lvlText w:val="•"/>
      <w:lvlJc w:val="left"/>
      <w:pPr>
        <w:ind w:left="6483" w:hanging="453"/>
      </w:pPr>
      <w:rPr>
        <w:rFonts w:hint="default"/>
        <w:lang w:val="en-US" w:eastAsia="zh-CN" w:bidi="ar-SA"/>
      </w:rPr>
    </w:lvl>
    <w:lvl w:ilvl="7" w:tentative="0">
      <w:start w:val="0"/>
      <w:numFmt w:val="bullet"/>
      <w:lvlText w:val="•"/>
      <w:lvlJc w:val="left"/>
      <w:pPr>
        <w:ind w:left="7413" w:hanging="453"/>
      </w:pPr>
      <w:rPr>
        <w:rFonts w:hint="default"/>
        <w:lang w:val="en-US" w:eastAsia="zh-CN" w:bidi="ar-SA"/>
      </w:rPr>
    </w:lvl>
    <w:lvl w:ilvl="8" w:tentative="0">
      <w:start w:val="0"/>
      <w:numFmt w:val="bullet"/>
      <w:lvlText w:val="•"/>
      <w:lvlJc w:val="left"/>
      <w:pPr>
        <w:ind w:left="8344" w:hanging="453"/>
      </w:pPr>
      <w:rPr>
        <w:rFonts w:hint="default"/>
        <w:lang w:val="en-US" w:eastAsia="zh-CN" w:bidi="ar-SA"/>
      </w:rPr>
    </w:lvl>
  </w:abstractNum>
  <w:abstractNum w:abstractNumId="62">
    <w:nsid w:val="74C28B35"/>
    <w:multiLevelType w:val="multilevel"/>
    <w:tmpl w:val="74C28B35"/>
    <w:lvl w:ilvl="0" w:tentative="0">
      <w:start w:val="1"/>
      <w:numFmt w:val="decimal"/>
      <w:lvlText w:val="（%1）"/>
      <w:lvlJc w:val="left"/>
      <w:pPr>
        <w:ind w:left="702"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41" w:hanging="529"/>
      </w:pPr>
      <w:rPr>
        <w:rFonts w:hint="default"/>
        <w:lang w:val="en-US" w:eastAsia="zh-CN" w:bidi="ar-SA"/>
      </w:rPr>
    </w:lvl>
    <w:lvl w:ilvl="2" w:tentative="0">
      <w:start w:val="0"/>
      <w:numFmt w:val="bullet"/>
      <w:lvlText w:val="•"/>
      <w:lvlJc w:val="left"/>
      <w:pPr>
        <w:ind w:left="1983" w:hanging="529"/>
      </w:pPr>
      <w:rPr>
        <w:rFonts w:hint="default"/>
        <w:lang w:val="en-US" w:eastAsia="zh-CN" w:bidi="ar-SA"/>
      </w:rPr>
    </w:lvl>
    <w:lvl w:ilvl="3" w:tentative="0">
      <w:start w:val="0"/>
      <w:numFmt w:val="bullet"/>
      <w:lvlText w:val="•"/>
      <w:lvlJc w:val="left"/>
      <w:pPr>
        <w:ind w:left="2625" w:hanging="529"/>
      </w:pPr>
      <w:rPr>
        <w:rFonts w:hint="default"/>
        <w:lang w:val="en-US" w:eastAsia="zh-CN" w:bidi="ar-SA"/>
      </w:rPr>
    </w:lvl>
    <w:lvl w:ilvl="4" w:tentative="0">
      <w:start w:val="0"/>
      <w:numFmt w:val="bullet"/>
      <w:lvlText w:val="•"/>
      <w:lvlJc w:val="left"/>
      <w:pPr>
        <w:ind w:left="3267" w:hanging="529"/>
      </w:pPr>
      <w:rPr>
        <w:rFonts w:hint="default"/>
        <w:lang w:val="en-US" w:eastAsia="zh-CN" w:bidi="ar-SA"/>
      </w:rPr>
    </w:lvl>
    <w:lvl w:ilvl="5" w:tentative="0">
      <w:start w:val="0"/>
      <w:numFmt w:val="bullet"/>
      <w:lvlText w:val="•"/>
      <w:lvlJc w:val="left"/>
      <w:pPr>
        <w:ind w:left="3909" w:hanging="529"/>
      </w:pPr>
      <w:rPr>
        <w:rFonts w:hint="default"/>
        <w:lang w:val="en-US" w:eastAsia="zh-CN" w:bidi="ar-SA"/>
      </w:rPr>
    </w:lvl>
    <w:lvl w:ilvl="6" w:tentative="0">
      <w:start w:val="0"/>
      <w:numFmt w:val="bullet"/>
      <w:lvlText w:val="•"/>
      <w:lvlJc w:val="left"/>
      <w:pPr>
        <w:ind w:left="4550" w:hanging="529"/>
      </w:pPr>
      <w:rPr>
        <w:rFonts w:hint="default"/>
        <w:lang w:val="en-US" w:eastAsia="zh-CN" w:bidi="ar-SA"/>
      </w:rPr>
    </w:lvl>
    <w:lvl w:ilvl="7" w:tentative="0">
      <w:start w:val="0"/>
      <w:numFmt w:val="bullet"/>
      <w:lvlText w:val="•"/>
      <w:lvlJc w:val="left"/>
      <w:pPr>
        <w:ind w:left="5192" w:hanging="529"/>
      </w:pPr>
      <w:rPr>
        <w:rFonts w:hint="default"/>
        <w:lang w:val="en-US" w:eastAsia="zh-CN" w:bidi="ar-SA"/>
      </w:rPr>
    </w:lvl>
    <w:lvl w:ilvl="8" w:tentative="0">
      <w:start w:val="0"/>
      <w:numFmt w:val="bullet"/>
      <w:lvlText w:val="•"/>
      <w:lvlJc w:val="left"/>
      <w:pPr>
        <w:ind w:left="5834" w:hanging="529"/>
      </w:pPr>
      <w:rPr>
        <w:rFonts w:hint="default"/>
        <w:lang w:val="en-US" w:eastAsia="zh-CN" w:bidi="ar-SA"/>
      </w:rPr>
    </w:lvl>
  </w:abstractNum>
  <w:abstractNum w:abstractNumId="63">
    <w:nsid w:val="77ECEA79"/>
    <w:multiLevelType w:val="multilevel"/>
    <w:tmpl w:val="77ECEA79"/>
    <w:lvl w:ilvl="0" w:tentative="0">
      <w:start w:val="1"/>
      <w:numFmt w:val="decimal"/>
      <w:lvlText w:val="（%1）"/>
      <w:lvlJc w:val="left"/>
      <w:pPr>
        <w:ind w:left="804" w:hanging="632"/>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431" w:hanging="632"/>
      </w:pPr>
      <w:rPr>
        <w:rFonts w:hint="default"/>
        <w:lang w:val="en-US" w:eastAsia="zh-CN" w:bidi="ar-SA"/>
      </w:rPr>
    </w:lvl>
    <w:lvl w:ilvl="2" w:tentative="0">
      <w:start w:val="0"/>
      <w:numFmt w:val="bullet"/>
      <w:lvlText w:val="•"/>
      <w:lvlJc w:val="left"/>
      <w:pPr>
        <w:ind w:left="2063" w:hanging="632"/>
      </w:pPr>
      <w:rPr>
        <w:rFonts w:hint="default"/>
        <w:lang w:val="en-US" w:eastAsia="zh-CN" w:bidi="ar-SA"/>
      </w:rPr>
    </w:lvl>
    <w:lvl w:ilvl="3" w:tentative="0">
      <w:start w:val="0"/>
      <w:numFmt w:val="bullet"/>
      <w:lvlText w:val="•"/>
      <w:lvlJc w:val="left"/>
      <w:pPr>
        <w:ind w:left="2695" w:hanging="632"/>
      </w:pPr>
      <w:rPr>
        <w:rFonts w:hint="default"/>
        <w:lang w:val="en-US" w:eastAsia="zh-CN" w:bidi="ar-SA"/>
      </w:rPr>
    </w:lvl>
    <w:lvl w:ilvl="4" w:tentative="0">
      <w:start w:val="0"/>
      <w:numFmt w:val="bullet"/>
      <w:lvlText w:val="•"/>
      <w:lvlJc w:val="left"/>
      <w:pPr>
        <w:ind w:left="3327" w:hanging="632"/>
      </w:pPr>
      <w:rPr>
        <w:rFonts w:hint="default"/>
        <w:lang w:val="en-US" w:eastAsia="zh-CN" w:bidi="ar-SA"/>
      </w:rPr>
    </w:lvl>
    <w:lvl w:ilvl="5" w:tentative="0">
      <w:start w:val="0"/>
      <w:numFmt w:val="bullet"/>
      <w:lvlText w:val="•"/>
      <w:lvlJc w:val="left"/>
      <w:pPr>
        <w:ind w:left="3959" w:hanging="632"/>
      </w:pPr>
      <w:rPr>
        <w:rFonts w:hint="default"/>
        <w:lang w:val="en-US" w:eastAsia="zh-CN" w:bidi="ar-SA"/>
      </w:rPr>
    </w:lvl>
    <w:lvl w:ilvl="6" w:tentative="0">
      <w:start w:val="0"/>
      <w:numFmt w:val="bullet"/>
      <w:lvlText w:val="•"/>
      <w:lvlJc w:val="left"/>
      <w:pPr>
        <w:ind w:left="4590" w:hanging="632"/>
      </w:pPr>
      <w:rPr>
        <w:rFonts w:hint="default"/>
        <w:lang w:val="en-US" w:eastAsia="zh-CN" w:bidi="ar-SA"/>
      </w:rPr>
    </w:lvl>
    <w:lvl w:ilvl="7" w:tentative="0">
      <w:start w:val="0"/>
      <w:numFmt w:val="bullet"/>
      <w:lvlText w:val="•"/>
      <w:lvlJc w:val="left"/>
      <w:pPr>
        <w:ind w:left="5222" w:hanging="632"/>
      </w:pPr>
      <w:rPr>
        <w:rFonts w:hint="default"/>
        <w:lang w:val="en-US" w:eastAsia="zh-CN" w:bidi="ar-SA"/>
      </w:rPr>
    </w:lvl>
    <w:lvl w:ilvl="8" w:tentative="0">
      <w:start w:val="0"/>
      <w:numFmt w:val="bullet"/>
      <w:lvlText w:val="•"/>
      <w:lvlJc w:val="left"/>
      <w:pPr>
        <w:ind w:left="5854" w:hanging="632"/>
      </w:pPr>
      <w:rPr>
        <w:rFonts w:hint="default"/>
        <w:lang w:val="en-US" w:eastAsia="zh-CN" w:bidi="ar-SA"/>
      </w:rPr>
    </w:lvl>
  </w:abstractNum>
  <w:abstractNum w:abstractNumId="64">
    <w:nsid w:val="79AA4FA4"/>
    <w:multiLevelType w:val="multilevel"/>
    <w:tmpl w:val="79AA4FA4"/>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64" w:hanging="529"/>
      </w:pPr>
      <w:rPr>
        <w:rFonts w:hint="default"/>
        <w:lang w:val="en-US" w:eastAsia="zh-CN" w:bidi="ar-SA"/>
      </w:rPr>
    </w:lvl>
    <w:lvl w:ilvl="2" w:tentative="0">
      <w:start w:val="0"/>
      <w:numFmt w:val="bullet"/>
      <w:lvlText w:val="•"/>
      <w:lvlJc w:val="left"/>
      <w:pPr>
        <w:ind w:left="1888" w:hanging="529"/>
      </w:pPr>
      <w:rPr>
        <w:rFonts w:hint="default"/>
        <w:lang w:val="en-US" w:eastAsia="zh-CN" w:bidi="ar-SA"/>
      </w:rPr>
    </w:lvl>
    <w:lvl w:ilvl="3" w:tentative="0">
      <w:start w:val="0"/>
      <w:numFmt w:val="bullet"/>
      <w:lvlText w:val="•"/>
      <w:lvlJc w:val="left"/>
      <w:pPr>
        <w:ind w:left="2512" w:hanging="529"/>
      </w:pPr>
      <w:rPr>
        <w:rFonts w:hint="default"/>
        <w:lang w:val="en-US" w:eastAsia="zh-CN" w:bidi="ar-SA"/>
      </w:rPr>
    </w:lvl>
    <w:lvl w:ilvl="4" w:tentative="0">
      <w:start w:val="0"/>
      <w:numFmt w:val="bullet"/>
      <w:lvlText w:val="•"/>
      <w:lvlJc w:val="left"/>
      <w:pPr>
        <w:ind w:left="3136" w:hanging="529"/>
      </w:pPr>
      <w:rPr>
        <w:rFonts w:hint="default"/>
        <w:lang w:val="en-US" w:eastAsia="zh-CN" w:bidi="ar-SA"/>
      </w:rPr>
    </w:lvl>
    <w:lvl w:ilvl="5" w:tentative="0">
      <w:start w:val="0"/>
      <w:numFmt w:val="bullet"/>
      <w:lvlText w:val="•"/>
      <w:lvlJc w:val="left"/>
      <w:pPr>
        <w:ind w:left="3760" w:hanging="529"/>
      </w:pPr>
      <w:rPr>
        <w:rFonts w:hint="default"/>
        <w:lang w:val="en-US" w:eastAsia="zh-CN" w:bidi="ar-SA"/>
      </w:rPr>
    </w:lvl>
    <w:lvl w:ilvl="6" w:tentative="0">
      <w:start w:val="0"/>
      <w:numFmt w:val="bullet"/>
      <w:lvlText w:val="•"/>
      <w:lvlJc w:val="left"/>
      <w:pPr>
        <w:ind w:left="4384" w:hanging="529"/>
      </w:pPr>
      <w:rPr>
        <w:rFonts w:hint="default"/>
        <w:lang w:val="en-US" w:eastAsia="zh-CN" w:bidi="ar-SA"/>
      </w:rPr>
    </w:lvl>
    <w:lvl w:ilvl="7" w:tentative="0">
      <w:start w:val="0"/>
      <w:numFmt w:val="bullet"/>
      <w:lvlText w:val="•"/>
      <w:lvlJc w:val="left"/>
      <w:pPr>
        <w:ind w:left="5008" w:hanging="529"/>
      </w:pPr>
      <w:rPr>
        <w:rFonts w:hint="default"/>
        <w:lang w:val="en-US" w:eastAsia="zh-CN" w:bidi="ar-SA"/>
      </w:rPr>
    </w:lvl>
    <w:lvl w:ilvl="8" w:tentative="0">
      <w:start w:val="0"/>
      <w:numFmt w:val="bullet"/>
      <w:lvlText w:val="•"/>
      <w:lvlJc w:val="left"/>
      <w:pPr>
        <w:ind w:left="5632" w:hanging="529"/>
      </w:pPr>
      <w:rPr>
        <w:rFonts w:hint="default"/>
        <w:lang w:val="en-US" w:eastAsia="zh-CN" w:bidi="ar-SA"/>
      </w:rPr>
    </w:lvl>
  </w:abstractNum>
  <w:abstractNum w:abstractNumId="65">
    <w:nsid w:val="7C246926"/>
    <w:multiLevelType w:val="multilevel"/>
    <w:tmpl w:val="7C246926"/>
    <w:lvl w:ilvl="0" w:tentative="0">
      <w:start w:val="7"/>
      <w:numFmt w:val="decimal"/>
      <w:lvlText w:val="%1"/>
      <w:lvlJc w:val="left"/>
      <w:pPr>
        <w:ind w:left="1196" w:hanging="977"/>
        <w:jc w:val="left"/>
      </w:pPr>
      <w:rPr>
        <w:rFonts w:hint="default"/>
        <w:lang w:val="en-US" w:eastAsia="zh-CN" w:bidi="ar-SA"/>
      </w:rPr>
    </w:lvl>
    <w:lvl w:ilvl="1" w:tentative="0">
      <w:start w:val="2"/>
      <w:numFmt w:val="decimal"/>
      <w:lvlText w:val="%1.%2"/>
      <w:lvlJc w:val="left"/>
      <w:pPr>
        <w:ind w:left="1196" w:hanging="977"/>
        <w:jc w:val="left"/>
      </w:pPr>
      <w:rPr>
        <w:rFonts w:hint="default"/>
        <w:lang w:val="en-US" w:eastAsia="zh-CN" w:bidi="ar-SA"/>
      </w:rPr>
    </w:lvl>
    <w:lvl w:ilvl="2" w:tentative="0">
      <w:start w:val="15"/>
      <w:numFmt w:val="decimal"/>
      <w:lvlText w:val="%1.%2.%3"/>
      <w:lvlJc w:val="left"/>
      <w:pPr>
        <w:ind w:left="1196" w:hanging="977"/>
        <w:jc w:val="left"/>
      </w:pPr>
      <w:rPr>
        <w:rFonts w:hint="default" w:ascii="宋体" w:hAnsi="宋体" w:eastAsia="宋体" w:cs="宋体"/>
        <w:b/>
        <w:bCs/>
        <w:i w:val="0"/>
        <w:iCs w:val="0"/>
        <w:w w:val="99"/>
        <w:sz w:val="21"/>
        <w:szCs w:val="21"/>
        <w:lang w:val="en-US" w:eastAsia="zh-CN" w:bidi="ar-SA"/>
      </w:rPr>
    </w:lvl>
    <w:lvl w:ilvl="3" w:tentative="0">
      <w:start w:val="1"/>
      <w:numFmt w:val="decimal"/>
      <w:lvlText w:val="（%4）"/>
      <w:lvlJc w:val="left"/>
      <w:pPr>
        <w:ind w:left="3892" w:hanging="632"/>
        <w:jc w:val="left"/>
      </w:pPr>
      <w:rPr>
        <w:rFonts w:hint="default" w:ascii="宋体" w:hAnsi="宋体" w:eastAsia="宋体" w:cs="宋体"/>
        <w:b w:val="0"/>
        <w:bCs w:val="0"/>
        <w:i w:val="0"/>
        <w:iCs w:val="0"/>
        <w:w w:val="100"/>
        <w:sz w:val="21"/>
        <w:szCs w:val="21"/>
        <w:lang w:val="en-US" w:eastAsia="zh-CN" w:bidi="ar-SA"/>
      </w:rPr>
    </w:lvl>
    <w:lvl w:ilvl="4" w:tentative="0">
      <w:start w:val="0"/>
      <w:numFmt w:val="bullet"/>
      <w:lvlText w:val="•"/>
      <w:lvlJc w:val="left"/>
      <w:pPr>
        <w:ind w:left="6001" w:hanging="632"/>
      </w:pPr>
      <w:rPr>
        <w:rFonts w:hint="default"/>
        <w:lang w:val="en-US" w:eastAsia="zh-CN" w:bidi="ar-SA"/>
      </w:rPr>
    </w:lvl>
    <w:lvl w:ilvl="5" w:tentative="0">
      <w:start w:val="0"/>
      <w:numFmt w:val="bullet"/>
      <w:lvlText w:val="•"/>
      <w:lvlJc w:val="left"/>
      <w:pPr>
        <w:ind w:left="6702" w:hanging="632"/>
      </w:pPr>
      <w:rPr>
        <w:rFonts w:hint="default"/>
        <w:lang w:val="en-US" w:eastAsia="zh-CN" w:bidi="ar-SA"/>
      </w:rPr>
    </w:lvl>
    <w:lvl w:ilvl="6" w:tentative="0">
      <w:start w:val="0"/>
      <w:numFmt w:val="bullet"/>
      <w:lvlText w:val="•"/>
      <w:lvlJc w:val="left"/>
      <w:pPr>
        <w:ind w:left="7403" w:hanging="632"/>
      </w:pPr>
      <w:rPr>
        <w:rFonts w:hint="default"/>
        <w:lang w:val="en-US" w:eastAsia="zh-CN" w:bidi="ar-SA"/>
      </w:rPr>
    </w:lvl>
    <w:lvl w:ilvl="7" w:tentative="0">
      <w:start w:val="0"/>
      <w:numFmt w:val="bullet"/>
      <w:lvlText w:val="•"/>
      <w:lvlJc w:val="left"/>
      <w:pPr>
        <w:ind w:left="8103" w:hanging="632"/>
      </w:pPr>
      <w:rPr>
        <w:rFonts w:hint="default"/>
        <w:lang w:val="en-US" w:eastAsia="zh-CN" w:bidi="ar-SA"/>
      </w:rPr>
    </w:lvl>
    <w:lvl w:ilvl="8" w:tentative="0">
      <w:start w:val="0"/>
      <w:numFmt w:val="bullet"/>
      <w:lvlText w:val="•"/>
      <w:lvlJc w:val="left"/>
      <w:pPr>
        <w:ind w:left="8804" w:hanging="632"/>
      </w:pPr>
      <w:rPr>
        <w:rFonts w:hint="default"/>
        <w:lang w:val="en-US" w:eastAsia="zh-CN" w:bidi="ar-SA"/>
      </w:rPr>
    </w:lvl>
  </w:abstractNum>
  <w:abstractNum w:abstractNumId="66">
    <w:nsid w:val="7DEC2089"/>
    <w:multiLevelType w:val="multilevel"/>
    <w:tmpl w:val="7DEC2089"/>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64" w:hanging="529"/>
      </w:pPr>
      <w:rPr>
        <w:rFonts w:hint="default"/>
        <w:lang w:val="en-US" w:eastAsia="zh-CN" w:bidi="ar-SA"/>
      </w:rPr>
    </w:lvl>
    <w:lvl w:ilvl="2" w:tentative="0">
      <w:start w:val="0"/>
      <w:numFmt w:val="bullet"/>
      <w:lvlText w:val="•"/>
      <w:lvlJc w:val="left"/>
      <w:pPr>
        <w:ind w:left="1888" w:hanging="529"/>
      </w:pPr>
      <w:rPr>
        <w:rFonts w:hint="default"/>
        <w:lang w:val="en-US" w:eastAsia="zh-CN" w:bidi="ar-SA"/>
      </w:rPr>
    </w:lvl>
    <w:lvl w:ilvl="3" w:tentative="0">
      <w:start w:val="0"/>
      <w:numFmt w:val="bullet"/>
      <w:lvlText w:val="•"/>
      <w:lvlJc w:val="left"/>
      <w:pPr>
        <w:ind w:left="2512" w:hanging="529"/>
      </w:pPr>
      <w:rPr>
        <w:rFonts w:hint="default"/>
        <w:lang w:val="en-US" w:eastAsia="zh-CN" w:bidi="ar-SA"/>
      </w:rPr>
    </w:lvl>
    <w:lvl w:ilvl="4" w:tentative="0">
      <w:start w:val="0"/>
      <w:numFmt w:val="bullet"/>
      <w:lvlText w:val="•"/>
      <w:lvlJc w:val="left"/>
      <w:pPr>
        <w:ind w:left="3136" w:hanging="529"/>
      </w:pPr>
      <w:rPr>
        <w:rFonts w:hint="default"/>
        <w:lang w:val="en-US" w:eastAsia="zh-CN" w:bidi="ar-SA"/>
      </w:rPr>
    </w:lvl>
    <w:lvl w:ilvl="5" w:tentative="0">
      <w:start w:val="0"/>
      <w:numFmt w:val="bullet"/>
      <w:lvlText w:val="•"/>
      <w:lvlJc w:val="left"/>
      <w:pPr>
        <w:ind w:left="3760" w:hanging="529"/>
      </w:pPr>
      <w:rPr>
        <w:rFonts w:hint="default"/>
        <w:lang w:val="en-US" w:eastAsia="zh-CN" w:bidi="ar-SA"/>
      </w:rPr>
    </w:lvl>
    <w:lvl w:ilvl="6" w:tentative="0">
      <w:start w:val="0"/>
      <w:numFmt w:val="bullet"/>
      <w:lvlText w:val="•"/>
      <w:lvlJc w:val="left"/>
      <w:pPr>
        <w:ind w:left="4384" w:hanging="529"/>
      </w:pPr>
      <w:rPr>
        <w:rFonts w:hint="default"/>
        <w:lang w:val="en-US" w:eastAsia="zh-CN" w:bidi="ar-SA"/>
      </w:rPr>
    </w:lvl>
    <w:lvl w:ilvl="7" w:tentative="0">
      <w:start w:val="0"/>
      <w:numFmt w:val="bullet"/>
      <w:lvlText w:val="•"/>
      <w:lvlJc w:val="left"/>
      <w:pPr>
        <w:ind w:left="5008" w:hanging="529"/>
      </w:pPr>
      <w:rPr>
        <w:rFonts w:hint="default"/>
        <w:lang w:val="en-US" w:eastAsia="zh-CN" w:bidi="ar-SA"/>
      </w:rPr>
    </w:lvl>
    <w:lvl w:ilvl="8" w:tentative="0">
      <w:start w:val="0"/>
      <w:numFmt w:val="bullet"/>
      <w:lvlText w:val="•"/>
      <w:lvlJc w:val="left"/>
      <w:pPr>
        <w:ind w:left="5632" w:hanging="529"/>
      </w:pPr>
      <w:rPr>
        <w:rFonts w:hint="default"/>
        <w:lang w:val="en-US" w:eastAsia="zh-CN" w:bidi="ar-SA"/>
      </w:rPr>
    </w:lvl>
  </w:abstractNum>
  <w:num w:numId="1">
    <w:abstractNumId w:val="26"/>
  </w:num>
  <w:num w:numId="2">
    <w:abstractNumId w:val="18"/>
  </w:num>
  <w:num w:numId="3">
    <w:abstractNumId w:val="54"/>
  </w:num>
  <w:num w:numId="4">
    <w:abstractNumId w:val="15"/>
  </w:num>
  <w:num w:numId="5">
    <w:abstractNumId w:val="11"/>
  </w:num>
  <w:num w:numId="6">
    <w:abstractNumId w:val="29"/>
  </w:num>
  <w:num w:numId="7">
    <w:abstractNumId w:val="40"/>
  </w:num>
  <w:num w:numId="8">
    <w:abstractNumId w:val="61"/>
  </w:num>
  <w:num w:numId="9">
    <w:abstractNumId w:val="27"/>
  </w:num>
  <w:num w:numId="10">
    <w:abstractNumId w:val="5"/>
  </w:num>
  <w:num w:numId="11">
    <w:abstractNumId w:val="41"/>
  </w:num>
  <w:num w:numId="12">
    <w:abstractNumId w:val="55"/>
  </w:num>
  <w:num w:numId="13">
    <w:abstractNumId w:val="17"/>
  </w:num>
  <w:num w:numId="14">
    <w:abstractNumId w:val="51"/>
  </w:num>
  <w:num w:numId="15">
    <w:abstractNumId w:val="24"/>
  </w:num>
  <w:num w:numId="16">
    <w:abstractNumId w:val="39"/>
  </w:num>
  <w:num w:numId="17">
    <w:abstractNumId w:val="21"/>
  </w:num>
  <w:num w:numId="18">
    <w:abstractNumId w:val="20"/>
  </w:num>
  <w:num w:numId="19">
    <w:abstractNumId w:val="7"/>
  </w:num>
  <w:num w:numId="20">
    <w:abstractNumId w:val="49"/>
  </w:num>
  <w:num w:numId="21">
    <w:abstractNumId w:val="58"/>
  </w:num>
  <w:num w:numId="22">
    <w:abstractNumId w:val="32"/>
  </w:num>
  <w:num w:numId="23">
    <w:abstractNumId w:val="48"/>
  </w:num>
  <w:num w:numId="24">
    <w:abstractNumId w:val="8"/>
  </w:num>
  <w:num w:numId="25">
    <w:abstractNumId w:val="65"/>
  </w:num>
  <w:num w:numId="26">
    <w:abstractNumId w:val="63"/>
  </w:num>
  <w:num w:numId="27">
    <w:abstractNumId w:val="14"/>
  </w:num>
  <w:num w:numId="28">
    <w:abstractNumId w:val="59"/>
  </w:num>
  <w:num w:numId="29">
    <w:abstractNumId w:val="6"/>
  </w:num>
  <w:num w:numId="30">
    <w:abstractNumId w:val="46"/>
  </w:num>
  <w:num w:numId="31">
    <w:abstractNumId w:val="2"/>
  </w:num>
  <w:num w:numId="32">
    <w:abstractNumId w:val="53"/>
  </w:num>
  <w:num w:numId="33">
    <w:abstractNumId w:val="66"/>
  </w:num>
  <w:num w:numId="34">
    <w:abstractNumId w:val="0"/>
  </w:num>
  <w:num w:numId="35">
    <w:abstractNumId w:val="38"/>
  </w:num>
  <w:num w:numId="36">
    <w:abstractNumId w:val="52"/>
  </w:num>
  <w:num w:numId="37">
    <w:abstractNumId w:val="25"/>
  </w:num>
  <w:num w:numId="38">
    <w:abstractNumId w:val="22"/>
  </w:num>
  <w:num w:numId="39">
    <w:abstractNumId w:val="42"/>
  </w:num>
  <w:num w:numId="40">
    <w:abstractNumId w:val="64"/>
  </w:num>
  <w:num w:numId="41">
    <w:abstractNumId w:val="13"/>
  </w:num>
  <w:num w:numId="42">
    <w:abstractNumId w:val="4"/>
  </w:num>
  <w:num w:numId="43">
    <w:abstractNumId w:val="12"/>
  </w:num>
  <w:num w:numId="44">
    <w:abstractNumId w:val="56"/>
  </w:num>
  <w:num w:numId="45">
    <w:abstractNumId w:val="1"/>
  </w:num>
  <w:num w:numId="46">
    <w:abstractNumId w:val="35"/>
  </w:num>
  <w:num w:numId="47">
    <w:abstractNumId w:val="3"/>
  </w:num>
  <w:num w:numId="48">
    <w:abstractNumId w:val="57"/>
  </w:num>
  <w:num w:numId="49">
    <w:abstractNumId w:val="62"/>
  </w:num>
  <w:num w:numId="50">
    <w:abstractNumId w:val="50"/>
  </w:num>
  <w:num w:numId="51">
    <w:abstractNumId w:val="43"/>
  </w:num>
  <w:num w:numId="52">
    <w:abstractNumId w:val="60"/>
  </w:num>
  <w:num w:numId="53">
    <w:abstractNumId w:val="30"/>
  </w:num>
  <w:num w:numId="54">
    <w:abstractNumId w:val="31"/>
  </w:num>
  <w:num w:numId="55">
    <w:abstractNumId w:val="19"/>
  </w:num>
  <w:num w:numId="56">
    <w:abstractNumId w:val="44"/>
  </w:num>
  <w:num w:numId="57">
    <w:abstractNumId w:val="36"/>
  </w:num>
  <w:num w:numId="58">
    <w:abstractNumId w:val="23"/>
  </w:num>
  <w:num w:numId="59">
    <w:abstractNumId w:val="37"/>
  </w:num>
  <w:num w:numId="60">
    <w:abstractNumId w:val="10"/>
  </w:num>
  <w:num w:numId="61">
    <w:abstractNumId w:val="47"/>
  </w:num>
  <w:num w:numId="62">
    <w:abstractNumId w:val="33"/>
  </w:num>
  <w:num w:numId="63">
    <w:abstractNumId w:val="45"/>
  </w:num>
  <w:num w:numId="64">
    <w:abstractNumId w:val="28"/>
  </w:num>
  <w:num w:numId="65">
    <w:abstractNumId w:val="16"/>
  </w:num>
  <w:num w:numId="66">
    <w:abstractNumId w:val="34"/>
  </w:num>
  <w:num w:numId="6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7FB11AD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left="172"/>
      <w:outlineLvl w:val="1"/>
    </w:pPr>
    <w:rPr>
      <w:rFonts w:ascii="宋体" w:hAnsi="宋体" w:eastAsia="宋体" w:cs="宋体"/>
      <w:b/>
      <w:bCs/>
      <w:sz w:val="28"/>
      <w:szCs w:val="28"/>
      <w:lang w:val="en-US" w:eastAsia="zh-CN" w:bidi="ar-SA"/>
    </w:rPr>
  </w:style>
  <w:style w:type="paragraph" w:styleId="3">
    <w:name w:val="heading 2"/>
    <w:basedOn w:val="1"/>
    <w:next w:val="1"/>
    <w:qFormat/>
    <w:uiPriority w:val="1"/>
    <w:pPr>
      <w:spacing w:line="364" w:lineRule="exact"/>
      <w:outlineLvl w:val="2"/>
    </w:pPr>
    <w:rPr>
      <w:rFonts w:ascii="微软雅黑" w:hAnsi="微软雅黑" w:eastAsia="微软雅黑" w:cs="微软雅黑"/>
      <w:b/>
      <w:bCs/>
      <w:sz w:val="24"/>
      <w:szCs w:val="24"/>
      <w:lang w:val="en-US" w:eastAsia="zh-CN" w:bidi="ar-SA"/>
    </w:rPr>
  </w:style>
  <w:style w:type="character" w:default="1" w:styleId="6">
    <w:name w:val="Default Paragraph Font"/>
    <w:semiHidden/>
    <w:unhideWhenUsed/>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21"/>
      <w:szCs w:val="21"/>
      <w:lang w:val="en-US" w:eastAsia="zh-CN"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1196" w:hanging="977"/>
    </w:pPr>
    <w:rPr>
      <w:rFonts w:ascii="宋体" w:hAnsi="宋体" w:eastAsia="宋体" w:cs="宋体"/>
      <w:lang w:val="en-US" w:eastAsia="zh-CN" w:bidi="ar-SA"/>
    </w:rPr>
  </w:style>
  <w:style w:type="paragraph" w:customStyle="1" w:styleId="9">
    <w:name w:val="Table Paragraph"/>
    <w:basedOn w:val="1"/>
    <w:qFormat/>
    <w:uiPriority w:val="1"/>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3" Type="http://schemas.openxmlformats.org/officeDocument/2006/relationships/fontTable" Target="fontTable.xml"/><Relationship Id="rId32" Type="http://schemas.openxmlformats.org/officeDocument/2006/relationships/numbering" Target="numbering.xml"/><Relationship Id="rId31" Type="http://schemas.openxmlformats.org/officeDocument/2006/relationships/customXml" Target="../customXml/item1.xml"/><Relationship Id="rId30" Type="http://schemas.openxmlformats.org/officeDocument/2006/relationships/image" Target="media/image25.jpeg"/><Relationship Id="rId3" Type="http://schemas.openxmlformats.org/officeDocument/2006/relationships/footnotes" Target="footnotes.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jpe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39</Pages>
  <Words>31889</Words>
  <Characters>32605</Characters>
  <TotalTime>0</TotalTime>
  <ScaleCrop>false</ScaleCrop>
  <LinksUpToDate>false</LinksUpToDate>
  <CharactersWithSpaces>34306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2023-06-02T01:17:00Z</dcterms:created>
  <dc:creator>木木</dc:creator>
  <cp:lastModifiedBy>木木</cp:lastModifiedBy>
  <dcterms:modified xsi:type="dcterms:W3CDTF">2023-06-02T01:24:27Z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EAF7591DD361458DADF6AC87F294C5D4_12</vt:lpwstr>
  </property>
</Properties>
</file>